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47" w:rsidRPr="00647B84" w:rsidRDefault="00CB2147" w:rsidP="0018584F">
      <w:pPr>
        <w:spacing w:after="0" w:line="240" w:lineRule="auto"/>
        <w:jc w:val="center"/>
        <w:rPr>
          <w:rFonts w:eastAsia="Times New Roman" w:cstheme="minorHAnsi"/>
          <w:b/>
          <w:color w:val="3E3F3A"/>
          <w:sz w:val="28"/>
          <w:szCs w:val="28"/>
          <w:lang w:eastAsia="it-IT"/>
        </w:rPr>
      </w:pPr>
      <w:r w:rsidRPr="00647B84">
        <w:rPr>
          <w:rFonts w:eastAsia="Times New Roman" w:cstheme="minorHAnsi"/>
          <w:b/>
          <w:color w:val="3E3F3A"/>
          <w:sz w:val="28"/>
          <w:szCs w:val="28"/>
          <w:lang w:eastAsia="it-IT"/>
        </w:rPr>
        <w:t xml:space="preserve">Corso di formazione sul rapporto tra giudizio costituzionale e diritto amministrativo (Palazzo </w:t>
      </w:r>
      <w:r w:rsidR="00647B84">
        <w:rPr>
          <w:rFonts w:eastAsia="Times New Roman" w:cstheme="minorHAnsi"/>
          <w:b/>
          <w:color w:val="3E3F3A"/>
          <w:sz w:val="28"/>
          <w:szCs w:val="28"/>
          <w:lang w:eastAsia="it-IT"/>
        </w:rPr>
        <w:t>Spada</w:t>
      </w:r>
      <w:bookmarkStart w:id="0" w:name="_GoBack"/>
      <w:bookmarkEnd w:id="0"/>
      <w:r w:rsidRPr="00647B84">
        <w:rPr>
          <w:rFonts w:eastAsia="Times New Roman" w:cstheme="minorHAnsi"/>
          <w:b/>
          <w:color w:val="3E3F3A"/>
          <w:sz w:val="28"/>
          <w:szCs w:val="28"/>
          <w:lang w:eastAsia="it-IT"/>
        </w:rPr>
        <w:t>, 1° e 2 ottobre 2020)</w:t>
      </w:r>
    </w:p>
    <w:p w:rsidR="00CB2147" w:rsidRDefault="00CB2147" w:rsidP="0018584F">
      <w:pPr>
        <w:spacing w:after="0" w:line="240" w:lineRule="auto"/>
        <w:jc w:val="center"/>
        <w:rPr>
          <w:rFonts w:eastAsia="Times New Roman" w:cstheme="minorHAnsi"/>
          <w:b/>
          <w:color w:val="3E3F3A"/>
          <w:sz w:val="28"/>
          <w:szCs w:val="28"/>
          <w:lang w:eastAsia="it-IT"/>
        </w:rPr>
      </w:pPr>
    </w:p>
    <w:p w:rsidR="008F5C79" w:rsidRPr="00647B84" w:rsidRDefault="004F0564" w:rsidP="0018584F">
      <w:pPr>
        <w:spacing w:after="0" w:line="240" w:lineRule="auto"/>
        <w:jc w:val="center"/>
        <w:rPr>
          <w:rFonts w:eastAsia="Times New Roman" w:cstheme="minorHAnsi"/>
          <w:b/>
          <w:color w:val="3E3F3A"/>
          <w:sz w:val="24"/>
          <w:szCs w:val="24"/>
          <w:lang w:eastAsia="it-IT"/>
        </w:rPr>
      </w:pPr>
      <w:r w:rsidRPr="00647B84">
        <w:rPr>
          <w:rFonts w:eastAsia="Times New Roman" w:cstheme="minorHAnsi"/>
          <w:b/>
          <w:color w:val="3E3F3A"/>
          <w:sz w:val="24"/>
          <w:szCs w:val="24"/>
          <w:lang w:eastAsia="it-IT"/>
        </w:rPr>
        <w:t xml:space="preserve">Venerdì 2 ottobre 2020, sessione mattutina. </w:t>
      </w:r>
    </w:p>
    <w:p w:rsidR="008F5C79" w:rsidRPr="00647B84" w:rsidRDefault="004F0564" w:rsidP="0018584F">
      <w:pPr>
        <w:spacing w:after="0" w:line="240" w:lineRule="auto"/>
        <w:jc w:val="center"/>
        <w:rPr>
          <w:rFonts w:eastAsia="Times New Roman" w:cstheme="minorHAnsi"/>
          <w:b/>
          <w:color w:val="3E3F3A"/>
          <w:sz w:val="24"/>
          <w:szCs w:val="24"/>
          <w:lang w:eastAsia="it-IT"/>
        </w:rPr>
      </w:pPr>
      <w:r w:rsidRPr="00647B84">
        <w:rPr>
          <w:rFonts w:eastAsia="Times New Roman" w:cstheme="minorHAnsi"/>
          <w:b/>
          <w:color w:val="3E3F3A"/>
          <w:sz w:val="24"/>
          <w:szCs w:val="24"/>
          <w:lang w:eastAsia="it-IT"/>
        </w:rPr>
        <w:t xml:space="preserve">Introduzione del </w:t>
      </w:r>
      <w:r w:rsidR="00647B84">
        <w:rPr>
          <w:rFonts w:eastAsia="Times New Roman" w:cstheme="minorHAnsi"/>
          <w:b/>
          <w:color w:val="3E3F3A"/>
          <w:sz w:val="24"/>
          <w:szCs w:val="24"/>
          <w:lang w:eastAsia="it-IT"/>
        </w:rPr>
        <w:t>P</w:t>
      </w:r>
      <w:r w:rsidRPr="00647B84">
        <w:rPr>
          <w:rFonts w:eastAsia="Times New Roman" w:cstheme="minorHAnsi"/>
          <w:b/>
          <w:color w:val="3E3F3A"/>
          <w:sz w:val="24"/>
          <w:szCs w:val="24"/>
          <w:lang w:eastAsia="it-IT"/>
        </w:rPr>
        <w:t>res</w:t>
      </w:r>
      <w:r w:rsidR="008F5C79" w:rsidRPr="00647B84">
        <w:rPr>
          <w:rFonts w:eastAsia="Times New Roman" w:cstheme="minorHAnsi"/>
          <w:b/>
          <w:color w:val="3E3F3A"/>
          <w:sz w:val="24"/>
          <w:szCs w:val="24"/>
          <w:lang w:eastAsia="it-IT"/>
        </w:rPr>
        <w:t>idente del Consiglio di Stato</w:t>
      </w:r>
    </w:p>
    <w:p w:rsidR="004F0564" w:rsidRPr="00647B84" w:rsidRDefault="008F5C79" w:rsidP="0018584F">
      <w:pPr>
        <w:spacing w:after="0" w:line="240" w:lineRule="auto"/>
        <w:jc w:val="center"/>
        <w:rPr>
          <w:rFonts w:eastAsia="Times New Roman" w:cstheme="minorHAnsi"/>
          <w:b/>
          <w:color w:val="3E3F3A"/>
          <w:sz w:val="24"/>
          <w:szCs w:val="24"/>
          <w:lang w:eastAsia="it-IT"/>
        </w:rPr>
      </w:pPr>
      <w:r w:rsidRPr="00647B84">
        <w:rPr>
          <w:rFonts w:eastAsia="Times New Roman" w:cstheme="minorHAnsi"/>
          <w:b/>
          <w:color w:val="3E3F3A"/>
          <w:sz w:val="24"/>
          <w:szCs w:val="24"/>
          <w:lang w:eastAsia="it-IT"/>
        </w:rPr>
        <w:t>Filippo</w:t>
      </w:r>
      <w:r w:rsidR="004F0564" w:rsidRPr="00647B84">
        <w:rPr>
          <w:rFonts w:eastAsia="Times New Roman" w:cstheme="minorHAnsi"/>
          <w:b/>
          <w:color w:val="3E3F3A"/>
          <w:sz w:val="24"/>
          <w:szCs w:val="24"/>
          <w:lang w:eastAsia="it-IT"/>
        </w:rPr>
        <w:t xml:space="preserve"> Patroni Griffi.</w:t>
      </w:r>
    </w:p>
    <w:p w:rsidR="004F0564" w:rsidRPr="00340C42" w:rsidRDefault="004F0564">
      <w:pPr>
        <w:spacing w:before="100" w:beforeAutospacing="1" w:after="0" w:line="240" w:lineRule="auto"/>
        <w:jc w:val="both"/>
        <w:rPr>
          <w:rFonts w:eastAsia="Times New Roman" w:cstheme="minorHAnsi"/>
          <w:b/>
          <w:color w:val="3E3F3A"/>
          <w:sz w:val="28"/>
          <w:szCs w:val="28"/>
          <w:lang w:eastAsia="it-IT"/>
        </w:rPr>
      </w:pPr>
    </w:p>
    <w:p w:rsidR="004F0564" w:rsidRPr="00340C42" w:rsidRDefault="004F0564">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b/>
          <w:color w:val="3E3F3A"/>
          <w:sz w:val="28"/>
          <w:szCs w:val="28"/>
          <w:lang w:eastAsia="it-IT"/>
        </w:rPr>
        <w:t xml:space="preserve">1 – </w:t>
      </w:r>
      <w:r w:rsidR="00A8020E">
        <w:rPr>
          <w:rFonts w:eastAsia="Times New Roman" w:cstheme="minorHAnsi"/>
          <w:color w:val="3E3F3A"/>
          <w:sz w:val="28"/>
          <w:szCs w:val="28"/>
          <w:lang w:eastAsia="it-IT"/>
        </w:rPr>
        <w:t>E’ d</w:t>
      </w:r>
      <w:r w:rsidR="002F0770" w:rsidRPr="00340C42">
        <w:rPr>
          <w:rFonts w:eastAsia="Times New Roman" w:cstheme="minorHAnsi"/>
          <w:color w:val="3E3F3A"/>
          <w:sz w:val="28"/>
          <w:szCs w:val="28"/>
          <w:lang w:eastAsia="it-IT"/>
        </w:rPr>
        <w:t>i fondamentale importanza per la giustizia amministrativa</w:t>
      </w:r>
      <w:r w:rsidRPr="00340C42">
        <w:rPr>
          <w:rFonts w:eastAsia="Times New Roman" w:cstheme="minorHAnsi"/>
          <w:color w:val="3E3F3A"/>
          <w:sz w:val="28"/>
          <w:szCs w:val="28"/>
          <w:lang w:eastAsia="it-IT"/>
        </w:rPr>
        <w:t xml:space="preserve"> un corso</w:t>
      </w:r>
      <w:r w:rsidR="002F0770" w:rsidRPr="00340C42">
        <w:rPr>
          <w:rFonts w:eastAsia="Times New Roman" w:cstheme="minorHAnsi"/>
          <w:color w:val="3E3F3A"/>
          <w:sz w:val="28"/>
          <w:szCs w:val="28"/>
          <w:lang w:eastAsia="it-IT"/>
        </w:rPr>
        <w:t xml:space="preserve"> –organizzato dal nostro Ufficio studi-</w:t>
      </w:r>
      <w:r w:rsidRPr="00340C42">
        <w:rPr>
          <w:rFonts w:eastAsia="Times New Roman" w:cstheme="minorHAnsi"/>
          <w:color w:val="3E3F3A"/>
          <w:sz w:val="28"/>
          <w:szCs w:val="28"/>
          <w:lang w:eastAsia="it-IT"/>
        </w:rPr>
        <w:t xml:space="preserve"> che </w:t>
      </w:r>
      <w:r w:rsidR="002F0770" w:rsidRPr="00340C42">
        <w:rPr>
          <w:rFonts w:eastAsia="Times New Roman" w:cstheme="minorHAnsi"/>
          <w:color w:val="3E3F3A"/>
          <w:sz w:val="28"/>
          <w:szCs w:val="28"/>
          <w:lang w:eastAsia="it-IT"/>
        </w:rPr>
        <w:t xml:space="preserve">abbia </w:t>
      </w:r>
      <w:r w:rsidRPr="00340C42">
        <w:rPr>
          <w:rFonts w:eastAsia="Times New Roman" w:cstheme="minorHAnsi"/>
          <w:color w:val="3E3F3A"/>
          <w:sz w:val="28"/>
          <w:szCs w:val="28"/>
          <w:lang w:eastAsia="it-IT"/>
        </w:rPr>
        <w:t xml:space="preserve">al centro i rapporti tra giudizio amministrativo e giudizio costituzionale e l’analisi del rilevante impatto che la giurisprudenza costituzionale ha sull’intero diritto amministrativo. </w:t>
      </w:r>
      <w:r w:rsidR="002F0770" w:rsidRPr="00340C42">
        <w:rPr>
          <w:rFonts w:eastAsia="Times New Roman" w:cstheme="minorHAnsi"/>
          <w:color w:val="3E3F3A"/>
          <w:sz w:val="28"/>
          <w:szCs w:val="28"/>
          <w:lang w:eastAsia="it-IT"/>
        </w:rPr>
        <w:t xml:space="preserve">Ne è riprova </w:t>
      </w:r>
      <w:r w:rsidRPr="00340C42">
        <w:rPr>
          <w:rFonts w:eastAsia="Times New Roman" w:cstheme="minorHAnsi"/>
          <w:color w:val="3E3F3A"/>
          <w:sz w:val="28"/>
          <w:szCs w:val="28"/>
          <w:lang w:eastAsia="it-IT"/>
        </w:rPr>
        <w:t>l’elevata partecipazione all’interpello per accedere all’evento formativo, con la presentazione di oltre 100 domande, ben al di là della ordinaria partecipazione agli eventi formativi dedicati ai magistrati amministrativi.</w:t>
      </w:r>
      <w:r w:rsidR="002F0770" w:rsidRPr="00340C42">
        <w:rPr>
          <w:rFonts w:eastAsia="Times New Roman" w:cstheme="minorHAnsi"/>
          <w:color w:val="3E3F3A"/>
          <w:sz w:val="28"/>
          <w:szCs w:val="28"/>
          <w:lang w:eastAsia="it-IT"/>
        </w:rPr>
        <w:t xml:space="preserve"> Di tutto ciò devo in primo luogo ringraziare la Corte, il suo Presidente, e ancora il Vice Presidente Coraggio e la Giudice Prof. De Pretis che hanno voluto dare il loro apporto alle riflessioni di questi giorni. Così come ringrazio i relatori tutti e i colleghi partecipanti.</w:t>
      </w:r>
      <w:r w:rsidRPr="00340C42">
        <w:rPr>
          <w:rFonts w:eastAsia="Times New Roman" w:cstheme="minorHAnsi"/>
          <w:color w:val="3E3F3A"/>
          <w:sz w:val="28"/>
          <w:szCs w:val="28"/>
          <w:lang w:eastAsia="it-IT"/>
        </w:rPr>
        <w:t xml:space="preserve"> </w:t>
      </w:r>
    </w:p>
    <w:p w:rsidR="004F0564" w:rsidRPr="00340C42" w:rsidRDefault="004F0564">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b/>
          <w:color w:val="3E3F3A"/>
          <w:sz w:val="28"/>
          <w:szCs w:val="28"/>
          <w:lang w:eastAsia="it-IT"/>
        </w:rPr>
        <w:t xml:space="preserve">2 </w:t>
      </w:r>
      <w:r w:rsidR="002F0770" w:rsidRPr="00340C42">
        <w:rPr>
          <w:rFonts w:eastAsia="Times New Roman" w:cstheme="minorHAnsi"/>
          <w:b/>
          <w:color w:val="3E3F3A"/>
          <w:sz w:val="28"/>
          <w:szCs w:val="28"/>
          <w:lang w:eastAsia="it-IT"/>
        </w:rPr>
        <w:t>–</w:t>
      </w:r>
      <w:r w:rsidRPr="00340C42">
        <w:rPr>
          <w:rFonts w:eastAsia="Times New Roman" w:cstheme="minorHAnsi"/>
          <w:b/>
          <w:color w:val="3E3F3A"/>
          <w:sz w:val="28"/>
          <w:szCs w:val="28"/>
          <w:lang w:eastAsia="it-IT"/>
        </w:rPr>
        <w:t xml:space="preserve"> </w:t>
      </w:r>
      <w:r w:rsidR="002F0770" w:rsidRPr="00340C42">
        <w:rPr>
          <w:rFonts w:eastAsia="Times New Roman" w:cstheme="minorHAnsi"/>
          <w:color w:val="3E3F3A"/>
          <w:sz w:val="28"/>
          <w:szCs w:val="28"/>
          <w:lang w:eastAsia="it-IT"/>
        </w:rPr>
        <w:t>L’</w:t>
      </w:r>
      <w:r w:rsidRPr="00340C42">
        <w:rPr>
          <w:rFonts w:eastAsia="Times New Roman" w:cstheme="minorHAnsi"/>
          <w:color w:val="3E3F3A"/>
          <w:sz w:val="28"/>
          <w:szCs w:val="28"/>
          <w:lang w:eastAsia="it-IT"/>
        </w:rPr>
        <w:t>interesse</w:t>
      </w:r>
      <w:r w:rsidR="002F0770" w:rsidRPr="00340C42">
        <w:rPr>
          <w:rFonts w:eastAsia="Times New Roman" w:cstheme="minorHAnsi"/>
          <w:color w:val="3E3F3A"/>
          <w:sz w:val="28"/>
          <w:szCs w:val="28"/>
          <w:lang w:eastAsia="it-IT"/>
        </w:rPr>
        <w:t xml:space="preserve"> per il corso deriva,</w:t>
      </w:r>
      <w:r w:rsidRPr="00340C42">
        <w:rPr>
          <w:rFonts w:eastAsia="Times New Roman" w:cstheme="minorHAnsi"/>
          <w:color w:val="3E3F3A"/>
          <w:sz w:val="28"/>
          <w:szCs w:val="28"/>
          <w:lang w:eastAsia="it-IT"/>
        </w:rPr>
        <w:t xml:space="preserve"> in primo luogo, d</w:t>
      </w:r>
      <w:r w:rsidR="002F0770" w:rsidRPr="00340C42">
        <w:rPr>
          <w:rFonts w:eastAsia="Times New Roman" w:cstheme="minorHAnsi"/>
          <w:color w:val="3E3F3A"/>
          <w:sz w:val="28"/>
          <w:szCs w:val="28"/>
          <w:lang w:eastAsia="it-IT"/>
        </w:rPr>
        <w:t>alla</w:t>
      </w:r>
      <w:r w:rsidRPr="00340C42">
        <w:rPr>
          <w:rFonts w:eastAsia="Times New Roman" w:cstheme="minorHAnsi"/>
          <w:color w:val="3E3F3A"/>
          <w:sz w:val="28"/>
          <w:szCs w:val="28"/>
          <w:lang w:eastAsia="it-IT"/>
        </w:rPr>
        <w:t xml:space="preserve"> consapevolezza</w:t>
      </w:r>
      <w:r w:rsidR="002F0770"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tra i magistrati amministrativi</w:t>
      </w:r>
      <w:r w:rsidR="002F0770"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del primario rilievo che la giurisprudenza costituzionale ha come formante sia del diritto amministrativo sostanziale</w:t>
      </w:r>
      <w:r w:rsidR="002F0770" w:rsidRPr="00340C42">
        <w:rPr>
          <w:rFonts w:eastAsia="Times New Roman" w:cstheme="minorHAnsi"/>
          <w:color w:val="3E3F3A"/>
          <w:sz w:val="28"/>
          <w:szCs w:val="28"/>
          <w:lang w:eastAsia="it-IT"/>
        </w:rPr>
        <w:t>, sia della giustizia amministrativa, intesa come sistema di tutele che va ben oltre gli aspetti me</w:t>
      </w:r>
      <w:r w:rsidR="00CB2147" w:rsidRPr="00CB2147">
        <w:rPr>
          <w:rFonts w:eastAsia="Times New Roman" w:cstheme="minorHAnsi"/>
          <w:color w:val="3E3F3A"/>
          <w:sz w:val="28"/>
          <w:szCs w:val="28"/>
          <w:lang w:eastAsia="it-IT"/>
        </w:rPr>
        <w:t>ramente processuali del giudizio</w:t>
      </w:r>
      <w:r w:rsidR="002F0770"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w:t>
      </w:r>
    </w:p>
    <w:p w:rsidR="00242FE1" w:rsidRPr="00340C42" w:rsidRDefault="004F0564">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Sul versante della </w:t>
      </w:r>
      <w:r w:rsidRPr="00340C42">
        <w:rPr>
          <w:rFonts w:eastAsia="Times New Roman" w:cstheme="minorHAnsi"/>
          <w:color w:val="3E3F3A"/>
          <w:sz w:val="28"/>
          <w:szCs w:val="28"/>
          <w:u w:val="single"/>
          <w:lang w:eastAsia="it-IT"/>
        </w:rPr>
        <w:t>giustizia amministrativa</w:t>
      </w:r>
      <w:r w:rsidR="002F0770" w:rsidRPr="00340C42">
        <w:rPr>
          <w:rFonts w:eastAsia="Times New Roman" w:cstheme="minorHAnsi"/>
          <w:color w:val="3E3F3A"/>
          <w:sz w:val="28"/>
          <w:szCs w:val="28"/>
          <w:u w:val="single"/>
          <w:lang w:eastAsia="it-IT"/>
        </w:rPr>
        <w:t>,</w:t>
      </w:r>
      <w:r w:rsidRPr="00340C42">
        <w:rPr>
          <w:rFonts w:eastAsia="Times New Roman" w:cstheme="minorHAnsi"/>
          <w:color w:val="3E3F3A"/>
          <w:sz w:val="28"/>
          <w:szCs w:val="28"/>
          <w:lang w:eastAsia="it-IT"/>
        </w:rPr>
        <w:t xml:space="preserve"> le sentenze della Corte costituzionale </w:t>
      </w:r>
      <w:r w:rsidRPr="00340C42">
        <w:rPr>
          <w:rFonts w:eastAsia="Times New Roman" w:cstheme="minorHAnsi"/>
          <w:b/>
          <w:color w:val="3E3F3A"/>
          <w:sz w:val="28"/>
          <w:szCs w:val="28"/>
          <w:lang w:eastAsia="it-IT"/>
        </w:rPr>
        <w:t>n. 204 del 2004</w:t>
      </w:r>
      <w:r w:rsidRPr="00340C42">
        <w:rPr>
          <w:rFonts w:eastAsia="Times New Roman" w:cstheme="minorHAnsi"/>
          <w:color w:val="3E3F3A"/>
          <w:sz w:val="28"/>
          <w:szCs w:val="28"/>
          <w:lang w:eastAsia="it-IT"/>
        </w:rPr>
        <w:t xml:space="preserve"> e </w:t>
      </w:r>
      <w:r w:rsidRPr="00340C42">
        <w:rPr>
          <w:rFonts w:eastAsia="Times New Roman" w:cstheme="minorHAnsi"/>
          <w:b/>
          <w:color w:val="3E3F3A"/>
          <w:sz w:val="28"/>
          <w:szCs w:val="28"/>
          <w:lang w:eastAsia="it-IT"/>
        </w:rPr>
        <w:t>n. 191 del 2006</w:t>
      </w:r>
      <w:r w:rsidRPr="00340C42">
        <w:rPr>
          <w:rFonts w:eastAsia="Times New Roman" w:cstheme="minorHAnsi"/>
          <w:color w:val="3E3F3A"/>
          <w:sz w:val="28"/>
          <w:szCs w:val="28"/>
          <w:lang w:eastAsia="it-IT"/>
        </w:rPr>
        <w:t xml:space="preserve"> </w:t>
      </w:r>
      <w:r w:rsidR="002F0770" w:rsidRPr="00340C42">
        <w:rPr>
          <w:rFonts w:eastAsia="Times New Roman" w:cstheme="minorHAnsi"/>
          <w:color w:val="3E3F3A"/>
          <w:sz w:val="28"/>
          <w:szCs w:val="28"/>
          <w:lang w:eastAsia="it-IT"/>
        </w:rPr>
        <w:t>costituiscono una tappa significativa di quell’itinerario di tutela nei confronti dei poteri pubblici che segna la storia della giustizia amministrativa: una tappa che “reinterpreta”, nel solco del dettato costituzionale ma cogliendone i tratti evolutivi, il ruolo e la collocazione del giudice amministrativo come il «giudice naturale dell'esercizio della funzione pubblica», che deve poter garantire una tutela piena ed effettiva della situazione soggettiva</w:t>
      </w:r>
      <w:r w:rsidR="00242FE1" w:rsidRPr="00340C42">
        <w:rPr>
          <w:rFonts w:eastAsia="Times New Roman" w:cstheme="minorHAnsi"/>
          <w:color w:val="3E3F3A"/>
          <w:sz w:val="28"/>
          <w:szCs w:val="28"/>
          <w:lang w:eastAsia="it-IT"/>
        </w:rPr>
        <w:t>. Muovendo dalla Costituzione, che cristallizza il sistema duale, e anzi “plurale”, di giurisdizioni e schiudendo la porta a quella “pienezza” di tutela, sul piano delle azioni e dei mezzi di prova, che il codice del processo sancisce.</w:t>
      </w:r>
    </w:p>
    <w:p w:rsidR="00687F33" w:rsidRPr="00340C42" w:rsidRDefault="000F2916">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Tale impostazione, coerente con il sistema duale accolto dal Costituente, è stato ulteriormente precisato dalla Corte, con due sentenze che presentano come </w:t>
      </w:r>
      <w:r w:rsidRPr="00340C42">
        <w:rPr>
          <w:rFonts w:eastAsia="Times New Roman" w:cstheme="minorHAnsi"/>
          <w:i/>
          <w:color w:val="3E3F3A"/>
          <w:sz w:val="28"/>
          <w:szCs w:val="28"/>
          <w:lang w:eastAsia="it-IT"/>
        </w:rPr>
        <w:t>fil rouge</w:t>
      </w:r>
      <w:r w:rsidRPr="00340C42">
        <w:rPr>
          <w:rFonts w:eastAsia="Times New Roman" w:cstheme="minorHAnsi"/>
          <w:color w:val="3E3F3A"/>
          <w:sz w:val="28"/>
          <w:szCs w:val="28"/>
          <w:lang w:eastAsia="it-IT"/>
        </w:rPr>
        <w:t xml:space="preserve"> la parità delle tutele e quindi tra i giudici appartenenti alle diverse giurisdizioni, d’altra parte alla base logica del sistema duale.</w:t>
      </w:r>
    </w:p>
    <w:p w:rsidR="000F2916" w:rsidRPr="00340C42" w:rsidRDefault="00687F33">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lastRenderedPageBreak/>
        <w:t xml:space="preserve">Con </w:t>
      </w:r>
      <w:r w:rsidR="004F0564" w:rsidRPr="00340C42">
        <w:rPr>
          <w:rFonts w:eastAsia="Times New Roman" w:cstheme="minorHAnsi"/>
          <w:color w:val="3E3F3A"/>
          <w:sz w:val="28"/>
          <w:szCs w:val="28"/>
          <w:lang w:eastAsia="it-IT"/>
        </w:rPr>
        <w:t xml:space="preserve">la sentenza </w:t>
      </w:r>
      <w:r w:rsidR="004F0564" w:rsidRPr="00340C42">
        <w:rPr>
          <w:rFonts w:eastAsia="Times New Roman" w:cstheme="minorHAnsi"/>
          <w:b/>
          <w:color w:val="3E3F3A"/>
          <w:sz w:val="28"/>
          <w:szCs w:val="28"/>
          <w:lang w:eastAsia="it-IT"/>
        </w:rPr>
        <w:t>n. 140 del 2007</w:t>
      </w:r>
      <w:r w:rsidR="000F2916"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w:t>
      </w:r>
      <w:r w:rsidR="000F2916" w:rsidRPr="00340C42">
        <w:rPr>
          <w:rFonts w:eastAsia="Times New Roman" w:cstheme="minorHAnsi"/>
          <w:color w:val="3E3F3A"/>
          <w:sz w:val="28"/>
          <w:szCs w:val="28"/>
          <w:lang w:eastAsia="it-IT"/>
        </w:rPr>
        <w:t>la parità è stata affermata con riferimento alle posizioni giuridiche tutelabili. In essa la Corte afferma –sulla scia della dottrina amministrativistica anche risalente, e in particolare di Giannini- c</w:t>
      </w:r>
      <w:r w:rsidR="004F0564" w:rsidRPr="00340C42">
        <w:rPr>
          <w:rFonts w:eastAsia="Times New Roman" w:cstheme="minorHAnsi"/>
          <w:color w:val="3E3F3A"/>
          <w:sz w:val="28"/>
          <w:szCs w:val="28"/>
          <w:lang w:eastAsia="it-IT"/>
        </w:rPr>
        <w:t xml:space="preserve">he anche la lesione dei diritti fondamentali può essere fatta valere dinanzi al giudice amministrativo, non sussistendo nella Costituzione una norma che riservi </w:t>
      </w:r>
      <w:r w:rsidRPr="00340C42">
        <w:rPr>
          <w:rFonts w:eastAsia="Times New Roman" w:cstheme="minorHAnsi"/>
          <w:color w:val="3E3F3A"/>
          <w:sz w:val="28"/>
          <w:szCs w:val="28"/>
          <w:lang w:eastAsia="it-IT"/>
        </w:rPr>
        <w:t xml:space="preserve">la giurisdizione su </w:t>
      </w:r>
      <w:r w:rsidR="004F0564" w:rsidRPr="00340C42">
        <w:rPr>
          <w:rFonts w:eastAsia="Times New Roman" w:cstheme="minorHAnsi"/>
          <w:color w:val="3E3F3A"/>
          <w:sz w:val="28"/>
          <w:szCs w:val="28"/>
          <w:lang w:eastAsia="it-IT"/>
        </w:rPr>
        <w:t>tali diritti al giudice ordinario</w:t>
      </w:r>
      <w:r w:rsidR="000F2916" w:rsidRPr="00340C42">
        <w:rPr>
          <w:rFonts w:eastAsia="Times New Roman" w:cstheme="minorHAnsi"/>
          <w:color w:val="3E3F3A"/>
          <w:sz w:val="28"/>
          <w:szCs w:val="28"/>
          <w:lang w:eastAsia="it-IT"/>
        </w:rPr>
        <w:t>: e l’esperienza quotidiana ci dà contezza di tale verità.</w:t>
      </w:r>
    </w:p>
    <w:p w:rsidR="008C1565" w:rsidRPr="00340C42" w:rsidRDefault="00687F33">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Con la </w:t>
      </w:r>
      <w:r w:rsidR="004F0564" w:rsidRPr="00340C42">
        <w:rPr>
          <w:rFonts w:eastAsia="Times New Roman" w:cstheme="minorHAnsi"/>
          <w:color w:val="3E3F3A"/>
          <w:sz w:val="28"/>
          <w:szCs w:val="28"/>
          <w:lang w:eastAsia="it-IT"/>
        </w:rPr>
        <w:t xml:space="preserve">sentenza </w:t>
      </w:r>
      <w:r w:rsidR="004F0564" w:rsidRPr="00340C42">
        <w:rPr>
          <w:rFonts w:eastAsia="Times New Roman" w:cstheme="minorHAnsi"/>
          <w:b/>
          <w:color w:val="3E3F3A"/>
          <w:sz w:val="28"/>
          <w:szCs w:val="28"/>
          <w:lang w:eastAsia="it-IT"/>
        </w:rPr>
        <w:t>n. 6 del 2018</w:t>
      </w:r>
      <w:r w:rsidRPr="00340C42">
        <w:rPr>
          <w:rFonts w:eastAsia="Times New Roman" w:cstheme="minorHAnsi"/>
          <w:b/>
          <w:color w:val="3E3F3A"/>
          <w:sz w:val="28"/>
          <w:szCs w:val="28"/>
          <w:lang w:eastAsia="it-IT"/>
        </w:rPr>
        <w:t xml:space="preserve"> </w:t>
      </w:r>
      <w:r w:rsidRPr="00340C42">
        <w:rPr>
          <w:rFonts w:eastAsia="Times New Roman" w:cstheme="minorHAnsi"/>
          <w:color w:val="3E3F3A"/>
          <w:sz w:val="28"/>
          <w:szCs w:val="28"/>
          <w:lang w:eastAsia="it-IT"/>
        </w:rPr>
        <w:t xml:space="preserve">– con la quale, come è noto, è stato chiarito </w:t>
      </w:r>
      <w:r w:rsidR="004F0564" w:rsidRPr="00340C42">
        <w:rPr>
          <w:rFonts w:eastAsia="Times New Roman" w:cstheme="minorHAnsi"/>
          <w:color w:val="3E3F3A"/>
          <w:sz w:val="28"/>
          <w:szCs w:val="28"/>
          <w:lang w:eastAsia="it-IT"/>
        </w:rPr>
        <w:t>il concetto di “</w:t>
      </w:r>
      <w:r w:rsidR="004F0564" w:rsidRPr="00340C42">
        <w:rPr>
          <w:rFonts w:eastAsia="Times New Roman" w:cstheme="minorHAnsi"/>
          <w:i/>
          <w:color w:val="3E3F3A"/>
          <w:sz w:val="28"/>
          <w:szCs w:val="28"/>
          <w:lang w:eastAsia="it-IT"/>
        </w:rPr>
        <w:t>motivi inerenti alla giurisdizione</w:t>
      </w:r>
      <w:r w:rsidR="004F0564" w:rsidRPr="00340C42">
        <w:rPr>
          <w:rFonts w:eastAsia="Times New Roman" w:cstheme="minorHAnsi"/>
          <w:color w:val="3E3F3A"/>
          <w:sz w:val="28"/>
          <w:szCs w:val="28"/>
          <w:lang w:eastAsia="it-IT"/>
        </w:rPr>
        <w:t>” di cui all’art. 111, comma 8, Cost., quale presupposto per la sindacabilità in Cassazione delle decisioni del Consiglio di Stato</w:t>
      </w:r>
      <w:r w:rsidRPr="00340C42">
        <w:rPr>
          <w:rFonts w:eastAsia="Times New Roman" w:cstheme="minorHAnsi"/>
          <w:color w:val="3E3F3A"/>
          <w:sz w:val="28"/>
          <w:szCs w:val="28"/>
          <w:lang w:eastAsia="it-IT"/>
        </w:rPr>
        <w:t xml:space="preserve"> – la parità è stata affermata in relazione alla </w:t>
      </w:r>
      <w:r w:rsidR="00014799" w:rsidRPr="00340C42">
        <w:rPr>
          <w:rFonts w:eastAsia="Times New Roman" w:cstheme="minorHAnsi"/>
          <w:color w:val="3E3F3A"/>
          <w:sz w:val="28"/>
          <w:szCs w:val="28"/>
          <w:lang w:eastAsia="it-IT"/>
        </w:rPr>
        <w:t>posizione attribuita in un sistema plurale all’organo di vertice di una giurisdizione, che non consente una sostanziale elusione del dettato costituzionale</w:t>
      </w:r>
      <w:r w:rsidR="004F0564" w:rsidRPr="00340C42">
        <w:rPr>
          <w:rFonts w:eastAsia="Times New Roman" w:cstheme="minorHAnsi"/>
          <w:color w:val="3E3F3A"/>
          <w:sz w:val="28"/>
          <w:szCs w:val="28"/>
          <w:lang w:eastAsia="it-IT"/>
        </w:rPr>
        <w:t xml:space="preserve"> </w:t>
      </w:r>
      <w:r w:rsidR="00014799" w:rsidRPr="00340C42">
        <w:rPr>
          <w:rFonts w:eastAsia="Times New Roman" w:cstheme="minorHAnsi"/>
          <w:color w:val="3E3F3A"/>
          <w:sz w:val="28"/>
          <w:szCs w:val="28"/>
          <w:lang w:eastAsia="it-IT"/>
        </w:rPr>
        <w:t xml:space="preserve">nel trasformare lo stesso in un organo di secondo grado e il sistema di doppia giurisdizione in un sistema a giurisdizione unica. Il rilievo – che, per la verità mi sembrava sostanzialmente teorico a fronte dell’esperienza concreta del sindacato della Cassazione sulle </w:t>
      </w:r>
      <w:r w:rsidR="008C1565" w:rsidRPr="00340C42">
        <w:rPr>
          <w:rFonts w:eastAsia="Times New Roman" w:cstheme="minorHAnsi"/>
          <w:color w:val="3E3F3A"/>
          <w:sz w:val="28"/>
          <w:szCs w:val="28"/>
          <w:lang w:eastAsia="it-IT"/>
        </w:rPr>
        <w:t>sentenze del Consiglio di Stato-</w:t>
      </w:r>
      <w:r w:rsidR="00014799" w:rsidRPr="00340C42">
        <w:rPr>
          <w:rFonts w:eastAsia="Times New Roman" w:cstheme="minorHAnsi"/>
          <w:color w:val="3E3F3A"/>
          <w:sz w:val="28"/>
          <w:szCs w:val="28"/>
          <w:lang w:eastAsia="it-IT"/>
        </w:rPr>
        <w:t xml:space="preserve"> assume una configurazione diversa alla luce della recente ord</w:t>
      </w:r>
      <w:r w:rsidR="00CB2147" w:rsidRPr="00CB2147">
        <w:rPr>
          <w:rFonts w:eastAsia="Times New Roman" w:cstheme="minorHAnsi"/>
          <w:color w:val="3E3F3A"/>
          <w:sz w:val="28"/>
          <w:szCs w:val="28"/>
          <w:lang w:eastAsia="it-IT"/>
        </w:rPr>
        <w:t xml:space="preserve">inanza di rinvio pregiudiziale </w:t>
      </w:r>
      <w:r w:rsidR="008C1565" w:rsidRPr="00340C42">
        <w:rPr>
          <w:rFonts w:eastAsia="Times New Roman" w:cstheme="minorHAnsi"/>
          <w:color w:val="3E3F3A"/>
          <w:sz w:val="28"/>
          <w:szCs w:val="28"/>
          <w:lang w:eastAsia="it-IT"/>
        </w:rPr>
        <w:t>18 settembre 2020, n. 19598, che sembra, anche dal punto di vista della politica giudiziaria, voler abbandonare il proficuo percorso sin qui tracciato dalla collaborazione tra Consiglio di Stato e Corte di cassazione, nell’interesse del servizio giustizia.</w:t>
      </w:r>
    </w:p>
    <w:p w:rsidR="00014799" w:rsidRPr="00340C42" w:rsidRDefault="00014799">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Con tale ordinanza, la Corte di cassazione, in sostanza e in poche parole, dubita della compatibilità comunitaria del nostro articolo 111 comma 8 della Costituzione, della sentenza costituzionale n. </w:t>
      </w:r>
      <w:r w:rsidR="00681216" w:rsidRPr="00340C42">
        <w:rPr>
          <w:rFonts w:eastAsia="Times New Roman" w:cstheme="minorHAnsi"/>
          <w:color w:val="3E3F3A"/>
          <w:sz w:val="28"/>
          <w:szCs w:val="28"/>
          <w:lang w:eastAsia="it-IT"/>
        </w:rPr>
        <w:t>6 del 2018 e della stessa giurisprudenza successiva della Corte di cassazione, nella parte in cui non ammettono il sindacato della Corte di cassazione sulle violazioni del diritto europeo.</w:t>
      </w:r>
    </w:p>
    <w:p w:rsidR="00681216" w:rsidRPr="00340C42" w:rsidRDefault="00681216">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Chi mi conosce sa che sono uno strenuo fautore del dialogo tra le Corti, nazionali tra loro e con le Corti europee, purché però tale dialogo sia informato a una logica di maggior tutela per il cittadino e di rispetto reciproco</w:t>
      </w:r>
      <w:r w:rsidR="008C1565" w:rsidRPr="00340C42">
        <w:rPr>
          <w:rFonts w:eastAsia="Times New Roman" w:cstheme="minorHAnsi"/>
          <w:color w:val="3E3F3A"/>
          <w:sz w:val="28"/>
          <w:szCs w:val="28"/>
          <w:lang w:eastAsia="it-IT"/>
        </w:rPr>
        <w:t xml:space="preserve"> tra le Corti</w:t>
      </w:r>
      <w:r w:rsidRPr="00340C42">
        <w:rPr>
          <w:rFonts w:eastAsia="Times New Roman" w:cstheme="minorHAnsi"/>
          <w:color w:val="3E3F3A"/>
          <w:sz w:val="28"/>
          <w:szCs w:val="28"/>
          <w:lang w:eastAsia="it-IT"/>
        </w:rPr>
        <w:t xml:space="preserve"> e non a un’anacronistica e ideologica rivendicazione di “potere”. </w:t>
      </w:r>
      <w:r w:rsidR="008C1565" w:rsidRPr="00340C42">
        <w:rPr>
          <w:rFonts w:eastAsia="Times New Roman" w:cstheme="minorHAnsi"/>
          <w:color w:val="3E3F3A"/>
          <w:sz w:val="28"/>
          <w:szCs w:val="28"/>
          <w:lang w:eastAsia="it-IT"/>
        </w:rPr>
        <w:t xml:space="preserve">Sono </w:t>
      </w:r>
      <w:r w:rsidR="00C47163">
        <w:rPr>
          <w:rFonts w:eastAsia="Times New Roman" w:cstheme="minorHAnsi"/>
          <w:color w:val="3E3F3A"/>
          <w:sz w:val="28"/>
          <w:szCs w:val="28"/>
          <w:lang w:eastAsia="it-IT"/>
        </w:rPr>
        <w:t>perciò rimasto sinceramente stu</w:t>
      </w:r>
      <w:r w:rsidR="008C1565" w:rsidRPr="00340C42">
        <w:rPr>
          <w:rFonts w:eastAsia="Times New Roman" w:cstheme="minorHAnsi"/>
          <w:color w:val="3E3F3A"/>
          <w:sz w:val="28"/>
          <w:szCs w:val="28"/>
          <w:lang w:eastAsia="it-IT"/>
        </w:rPr>
        <w:t>pito</w:t>
      </w:r>
      <w:r w:rsidR="00CB2147">
        <w:rPr>
          <w:rFonts w:eastAsia="Times New Roman" w:cstheme="minorHAnsi"/>
          <w:color w:val="3E3F3A"/>
          <w:sz w:val="28"/>
          <w:szCs w:val="28"/>
          <w:lang w:eastAsia="it-IT"/>
        </w:rPr>
        <w:t xml:space="preserve"> dall’ordinanza in questione, che si muove, tra l’altro, in u</w:t>
      </w:r>
      <w:r w:rsidR="00311893" w:rsidRPr="00340C42">
        <w:rPr>
          <w:rFonts w:eastAsia="Times New Roman" w:cstheme="minorHAnsi"/>
          <w:color w:val="3E3F3A"/>
          <w:sz w:val="28"/>
          <w:szCs w:val="28"/>
          <w:lang w:eastAsia="it-IT"/>
        </w:rPr>
        <w:t>na logica</w:t>
      </w:r>
      <w:r w:rsidR="00CB2147" w:rsidRPr="00CB2147">
        <w:rPr>
          <w:rFonts w:eastAsia="Times New Roman" w:cstheme="minorHAnsi"/>
          <w:color w:val="3E3F3A"/>
          <w:sz w:val="28"/>
          <w:szCs w:val="28"/>
          <w:lang w:eastAsia="it-IT"/>
        </w:rPr>
        <w:t xml:space="preserve"> </w:t>
      </w:r>
      <w:r w:rsidR="00311893" w:rsidRPr="00340C42">
        <w:rPr>
          <w:rFonts w:eastAsia="Times New Roman" w:cstheme="minorHAnsi"/>
          <w:color w:val="3E3F3A"/>
          <w:sz w:val="28"/>
          <w:szCs w:val="28"/>
          <w:lang w:eastAsia="it-IT"/>
        </w:rPr>
        <w:t>che</w:t>
      </w:r>
      <w:r w:rsidR="008C1565" w:rsidRPr="00340C42">
        <w:rPr>
          <w:rFonts w:eastAsia="Times New Roman" w:cstheme="minorHAnsi"/>
          <w:color w:val="3E3F3A"/>
          <w:sz w:val="28"/>
          <w:szCs w:val="28"/>
          <w:lang w:eastAsia="it-IT"/>
        </w:rPr>
        <w:t xml:space="preserve"> finisce con l’</w:t>
      </w:r>
      <w:r w:rsidR="00311893" w:rsidRPr="00340C42">
        <w:rPr>
          <w:rFonts w:eastAsia="Times New Roman" w:cstheme="minorHAnsi"/>
          <w:color w:val="3E3F3A"/>
          <w:sz w:val="28"/>
          <w:szCs w:val="28"/>
          <w:lang w:eastAsia="it-IT"/>
        </w:rPr>
        <w:t>affida</w:t>
      </w:r>
      <w:r w:rsidR="008C1565" w:rsidRPr="00340C42">
        <w:rPr>
          <w:rFonts w:eastAsia="Times New Roman" w:cstheme="minorHAnsi"/>
          <w:color w:val="3E3F3A"/>
          <w:sz w:val="28"/>
          <w:szCs w:val="28"/>
          <w:lang w:eastAsia="it-IT"/>
        </w:rPr>
        <w:t>re</w:t>
      </w:r>
      <w:r w:rsidR="00311893" w:rsidRPr="00340C42">
        <w:rPr>
          <w:rFonts w:eastAsia="Times New Roman" w:cstheme="minorHAnsi"/>
          <w:color w:val="3E3F3A"/>
          <w:sz w:val="28"/>
          <w:szCs w:val="28"/>
          <w:lang w:eastAsia="it-IT"/>
        </w:rPr>
        <w:t xml:space="preserve"> a una Corte sovranazionale la definizione dell’assetto costituzionale</w:t>
      </w:r>
      <w:r w:rsidR="00CB2147">
        <w:rPr>
          <w:rFonts w:eastAsia="Times New Roman" w:cstheme="minorHAnsi"/>
          <w:color w:val="3E3F3A"/>
          <w:sz w:val="28"/>
          <w:szCs w:val="28"/>
          <w:lang w:eastAsia="it-IT"/>
        </w:rPr>
        <w:t xml:space="preserve"> interno</w:t>
      </w:r>
      <w:r w:rsidR="00311893" w:rsidRPr="00340C42">
        <w:rPr>
          <w:rFonts w:eastAsia="Times New Roman" w:cstheme="minorHAnsi"/>
          <w:color w:val="3E3F3A"/>
          <w:sz w:val="28"/>
          <w:szCs w:val="28"/>
          <w:lang w:eastAsia="it-IT"/>
        </w:rPr>
        <w:t xml:space="preserve"> delle giurisdizioni, </w:t>
      </w:r>
      <w:r w:rsidR="008C1565" w:rsidRPr="00340C42">
        <w:rPr>
          <w:rFonts w:eastAsia="Times New Roman" w:cstheme="minorHAnsi"/>
          <w:color w:val="3E3F3A"/>
          <w:sz w:val="28"/>
          <w:szCs w:val="28"/>
          <w:lang w:eastAsia="it-IT"/>
        </w:rPr>
        <w:t xml:space="preserve">portando </w:t>
      </w:r>
      <w:r w:rsidR="00C47163">
        <w:rPr>
          <w:rFonts w:eastAsia="Times New Roman" w:cstheme="minorHAnsi"/>
          <w:color w:val="3E3F3A"/>
          <w:sz w:val="28"/>
          <w:szCs w:val="28"/>
          <w:lang w:eastAsia="it-IT"/>
        </w:rPr>
        <w:t xml:space="preserve">per giunta </w:t>
      </w:r>
      <w:r w:rsidR="008C1565" w:rsidRPr="00340C42">
        <w:rPr>
          <w:rFonts w:eastAsia="Times New Roman" w:cstheme="minorHAnsi"/>
          <w:color w:val="3E3F3A"/>
          <w:sz w:val="28"/>
          <w:szCs w:val="28"/>
          <w:lang w:eastAsia="it-IT"/>
        </w:rPr>
        <w:t>all’estremo ciò che</w:t>
      </w:r>
      <w:r w:rsidR="00C47163">
        <w:rPr>
          <w:rFonts w:eastAsia="Times New Roman" w:cstheme="minorHAnsi"/>
          <w:color w:val="3E3F3A"/>
          <w:sz w:val="28"/>
          <w:szCs w:val="28"/>
          <w:lang w:eastAsia="it-IT"/>
        </w:rPr>
        <w:t>,</w:t>
      </w:r>
      <w:r w:rsidR="008C1565" w:rsidRPr="00340C42">
        <w:rPr>
          <w:rFonts w:eastAsia="Times New Roman" w:cstheme="minorHAnsi"/>
          <w:color w:val="3E3F3A"/>
          <w:sz w:val="28"/>
          <w:szCs w:val="28"/>
          <w:lang w:eastAsia="it-IT"/>
        </w:rPr>
        <w:t xml:space="preserve"> nel panorama europeo dei sistemi a doppia giurisdizione</w:t>
      </w:r>
      <w:r w:rsidR="00C47163">
        <w:rPr>
          <w:rFonts w:eastAsia="Times New Roman" w:cstheme="minorHAnsi"/>
          <w:color w:val="3E3F3A"/>
          <w:sz w:val="28"/>
          <w:szCs w:val="28"/>
          <w:lang w:eastAsia="it-IT"/>
        </w:rPr>
        <w:t>,</w:t>
      </w:r>
      <w:r w:rsidR="008C1565" w:rsidRPr="00340C42">
        <w:rPr>
          <w:rFonts w:eastAsia="Times New Roman" w:cstheme="minorHAnsi"/>
          <w:color w:val="3E3F3A"/>
          <w:sz w:val="28"/>
          <w:szCs w:val="28"/>
          <w:lang w:eastAsia="it-IT"/>
        </w:rPr>
        <w:t xml:space="preserve"> costituisce </w:t>
      </w:r>
      <w:r w:rsidR="00C47163">
        <w:rPr>
          <w:rFonts w:eastAsia="Times New Roman" w:cstheme="minorHAnsi"/>
          <w:color w:val="3E3F3A"/>
          <w:sz w:val="28"/>
          <w:szCs w:val="28"/>
          <w:lang w:eastAsia="it-IT"/>
        </w:rPr>
        <w:t xml:space="preserve">semmai </w:t>
      </w:r>
      <w:r w:rsidR="008C1565" w:rsidRPr="00340C42">
        <w:rPr>
          <w:rFonts w:eastAsia="Times New Roman" w:cstheme="minorHAnsi"/>
          <w:color w:val="3E3F3A"/>
          <w:sz w:val="28"/>
          <w:szCs w:val="28"/>
          <w:lang w:eastAsia="it-IT"/>
        </w:rPr>
        <w:t>un’anomalia italiana</w:t>
      </w:r>
      <w:r w:rsidR="00CB2147">
        <w:rPr>
          <w:rFonts w:eastAsia="Times New Roman" w:cstheme="minorHAnsi"/>
          <w:color w:val="3E3F3A"/>
          <w:sz w:val="28"/>
          <w:szCs w:val="28"/>
          <w:lang w:eastAsia="it-IT"/>
        </w:rPr>
        <w:t>, per quanto giustificata storicamente e che nessuno vuole mettere in discussione</w:t>
      </w:r>
      <w:r w:rsidR="008C1565" w:rsidRPr="00340C42">
        <w:rPr>
          <w:rFonts w:eastAsia="Times New Roman" w:cstheme="minorHAnsi"/>
          <w:color w:val="3E3F3A"/>
          <w:sz w:val="28"/>
          <w:szCs w:val="28"/>
          <w:lang w:eastAsia="it-IT"/>
        </w:rPr>
        <w:t xml:space="preserve"> (il controllo di una Corte di ultima istanza su altra Corte di ultima istanza</w:t>
      </w:r>
      <w:r w:rsidR="00C47163">
        <w:rPr>
          <w:rFonts w:eastAsia="Times New Roman" w:cstheme="minorHAnsi"/>
          <w:color w:val="3E3F3A"/>
          <w:sz w:val="28"/>
          <w:szCs w:val="28"/>
          <w:lang w:eastAsia="it-IT"/>
        </w:rPr>
        <w:t>, che però la Costituzione circoscrive a motivi ben delimitati e quindi di stretta interpretazione</w:t>
      </w:r>
      <w:r w:rsidR="008C1565" w:rsidRPr="00340C42">
        <w:rPr>
          <w:rFonts w:eastAsia="Times New Roman" w:cstheme="minorHAnsi"/>
          <w:color w:val="3E3F3A"/>
          <w:sz w:val="28"/>
          <w:szCs w:val="28"/>
          <w:lang w:eastAsia="it-IT"/>
        </w:rPr>
        <w:t xml:space="preserve">). Un simile modo di procedere è il contrario dell’ottica istituzionale cooperativa di cui parlavo prima e, quale che sia la decisione della Corte di giustizia, schiude </w:t>
      </w:r>
      <w:r w:rsidR="00311893" w:rsidRPr="00340C42">
        <w:rPr>
          <w:rFonts w:eastAsia="Times New Roman" w:cstheme="minorHAnsi"/>
          <w:color w:val="3E3F3A"/>
          <w:sz w:val="28"/>
          <w:szCs w:val="28"/>
          <w:lang w:eastAsia="it-IT"/>
        </w:rPr>
        <w:t xml:space="preserve">la porta </w:t>
      </w:r>
      <w:r w:rsidR="00CB2147">
        <w:rPr>
          <w:rFonts w:eastAsia="Times New Roman" w:cstheme="minorHAnsi"/>
          <w:color w:val="3E3F3A"/>
          <w:sz w:val="28"/>
          <w:szCs w:val="28"/>
          <w:lang w:eastAsia="it-IT"/>
        </w:rPr>
        <w:t>a</w:t>
      </w:r>
      <w:r w:rsidR="008C1565" w:rsidRPr="00340C42">
        <w:rPr>
          <w:rFonts w:eastAsia="Times New Roman" w:cstheme="minorHAnsi"/>
          <w:color w:val="3E3F3A"/>
          <w:sz w:val="28"/>
          <w:szCs w:val="28"/>
          <w:lang w:eastAsia="it-IT"/>
        </w:rPr>
        <w:t xml:space="preserve"> scenari, a livello costituzionale dei rapporti tra le Corti, </w:t>
      </w:r>
      <w:r w:rsidR="00CB2147">
        <w:rPr>
          <w:rFonts w:eastAsia="Times New Roman" w:cstheme="minorHAnsi"/>
          <w:color w:val="3E3F3A"/>
          <w:sz w:val="28"/>
          <w:szCs w:val="28"/>
          <w:lang w:eastAsia="it-IT"/>
        </w:rPr>
        <w:lastRenderedPageBreak/>
        <w:t xml:space="preserve">conflittuali, </w:t>
      </w:r>
      <w:r w:rsidR="008C1565" w:rsidRPr="00340C42">
        <w:rPr>
          <w:rFonts w:eastAsia="Times New Roman" w:cstheme="minorHAnsi"/>
          <w:color w:val="3E3F3A"/>
          <w:sz w:val="28"/>
          <w:szCs w:val="28"/>
          <w:lang w:eastAsia="it-IT"/>
        </w:rPr>
        <w:t>certo non auspicabili e che nulla hanno a che vedere con la miglior tutela delle persone</w:t>
      </w:r>
      <w:r w:rsidR="00CB2147">
        <w:rPr>
          <w:rFonts w:eastAsia="Times New Roman" w:cstheme="minorHAnsi"/>
          <w:color w:val="3E3F3A"/>
          <w:sz w:val="28"/>
          <w:szCs w:val="28"/>
          <w:lang w:eastAsia="it-IT"/>
        </w:rPr>
        <w:t>, che è il compito per il quale siamo pagati</w:t>
      </w:r>
      <w:r w:rsidR="008C1565" w:rsidRPr="00340C42">
        <w:rPr>
          <w:rFonts w:eastAsia="Times New Roman" w:cstheme="minorHAnsi"/>
          <w:color w:val="3E3F3A"/>
          <w:sz w:val="28"/>
          <w:szCs w:val="28"/>
          <w:lang w:eastAsia="it-IT"/>
        </w:rPr>
        <w:t>.</w:t>
      </w:r>
    </w:p>
    <w:p w:rsidR="00BA257A" w:rsidRPr="00340C42" w:rsidRDefault="00BA257A">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Naturalmente il lavoro della Corte non si è fermato a</w:t>
      </w:r>
      <w:r w:rsidR="00CB2147">
        <w:rPr>
          <w:rFonts w:eastAsia="Times New Roman" w:cstheme="minorHAnsi"/>
          <w:color w:val="3E3F3A"/>
          <w:sz w:val="28"/>
          <w:szCs w:val="28"/>
          <w:lang w:eastAsia="it-IT"/>
        </w:rPr>
        <w:t xml:space="preserve">lle </w:t>
      </w:r>
      <w:r w:rsidRPr="00340C42">
        <w:rPr>
          <w:rFonts w:eastAsia="Times New Roman" w:cstheme="minorHAnsi"/>
          <w:color w:val="3E3F3A"/>
          <w:sz w:val="28"/>
          <w:szCs w:val="28"/>
          <w:lang w:eastAsia="it-IT"/>
        </w:rPr>
        <w:t>pronunce</w:t>
      </w:r>
      <w:r w:rsidR="00CB2147">
        <w:rPr>
          <w:rFonts w:eastAsia="Times New Roman" w:cstheme="minorHAnsi"/>
          <w:color w:val="3E3F3A"/>
          <w:sz w:val="28"/>
          <w:szCs w:val="28"/>
          <w:lang w:eastAsia="it-IT"/>
        </w:rPr>
        <w:t xml:space="preserve"> che richiamavo</w:t>
      </w:r>
      <w:r w:rsidRPr="00340C42">
        <w:rPr>
          <w:rFonts w:eastAsia="Times New Roman" w:cstheme="minorHAnsi"/>
          <w:color w:val="3E3F3A"/>
          <w:sz w:val="28"/>
          <w:szCs w:val="28"/>
          <w:lang w:eastAsia="it-IT"/>
        </w:rPr>
        <w:t xml:space="preserve">. Molte sono le decisioni che quotidianamente i giudici amministrativi applicano nella risoluzione delle controversie, piccole o grandi che siano. </w:t>
      </w:r>
    </w:p>
    <w:p w:rsidR="00CB2147" w:rsidRDefault="00825830">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Sul versante del </w:t>
      </w:r>
      <w:r w:rsidRPr="00340C42">
        <w:rPr>
          <w:rFonts w:eastAsia="Times New Roman" w:cstheme="minorHAnsi"/>
          <w:color w:val="3E3F3A"/>
          <w:sz w:val="28"/>
          <w:szCs w:val="28"/>
          <w:u w:val="single"/>
          <w:lang w:eastAsia="it-IT"/>
        </w:rPr>
        <w:t>diritto sostanziale</w:t>
      </w:r>
      <w:r w:rsidRPr="00340C42">
        <w:rPr>
          <w:rFonts w:eastAsia="Times New Roman" w:cstheme="minorHAnsi"/>
          <w:color w:val="3E3F3A"/>
          <w:sz w:val="28"/>
          <w:szCs w:val="28"/>
          <w:lang w:eastAsia="it-IT"/>
        </w:rPr>
        <w:t xml:space="preserve"> ricorderei, con sguardo rivolto alle pronunce più recenti, le sentenze in materia di SCIA e tutela del terzo (sentenze </w:t>
      </w:r>
      <w:r w:rsidRPr="00340C42">
        <w:rPr>
          <w:rFonts w:eastAsia="Times New Roman" w:cstheme="minorHAnsi"/>
          <w:b/>
          <w:color w:val="3E3F3A"/>
          <w:sz w:val="28"/>
          <w:szCs w:val="28"/>
          <w:lang w:eastAsia="it-IT"/>
        </w:rPr>
        <w:t>n. 45 del 2019</w:t>
      </w:r>
      <w:r w:rsidRPr="00340C42">
        <w:rPr>
          <w:rFonts w:eastAsia="Times New Roman" w:cstheme="minorHAnsi"/>
          <w:color w:val="3E3F3A"/>
          <w:sz w:val="28"/>
          <w:szCs w:val="28"/>
          <w:lang w:eastAsia="it-IT"/>
        </w:rPr>
        <w:t xml:space="preserve"> e </w:t>
      </w:r>
      <w:r w:rsidRPr="00340C42">
        <w:rPr>
          <w:rFonts w:eastAsia="Times New Roman" w:cstheme="minorHAnsi"/>
          <w:b/>
          <w:color w:val="3E3F3A"/>
          <w:sz w:val="28"/>
          <w:szCs w:val="28"/>
          <w:lang w:eastAsia="it-IT"/>
        </w:rPr>
        <w:t>n. 153 del 2020</w:t>
      </w:r>
      <w:r w:rsidRPr="00340C42">
        <w:rPr>
          <w:rFonts w:eastAsia="Times New Roman" w:cstheme="minorHAnsi"/>
          <w:color w:val="3E3F3A"/>
          <w:sz w:val="28"/>
          <w:szCs w:val="28"/>
          <w:lang w:eastAsia="it-IT"/>
        </w:rPr>
        <w:t>)</w:t>
      </w:r>
      <w:r w:rsidR="008C1565" w:rsidRPr="00340C42">
        <w:rPr>
          <w:rFonts w:eastAsia="Times New Roman" w:cstheme="minorHAnsi"/>
          <w:color w:val="3E3F3A"/>
          <w:sz w:val="28"/>
          <w:szCs w:val="28"/>
          <w:lang w:eastAsia="it-IT"/>
        </w:rPr>
        <w:t xml:space="preserve"> e</w:t>
      </w:r>
      <w:r w:rsidRPr="00340C42">
        <w:rPr>
          <w:rFonts w:eastAsia="Times New Roman" w:cstheme="minorHAnsi"/>
          <w:color w:val="3E3F3A"/>
          <w:sz w:val="28"/>
          <w:szCs w:val="28"/>
          <w:lang w:eastAsia="it-IT"/>
        </w:rPr>
        <w:t xml:space="preserve"> la sentenza </w:t>
      </w:r>
      <w:r w:rsidRPr="00340C42">
        <w:rPr>
          <w:rFonts w:eastAsia="Times New Roman" w:cstheme="minorHAnsi"/>
          <w:b/>
          <w:color w:val="3E3F3A"/>
          <w:sz w:val="28"/>
          <w:szCs w:val="28"/>
          <w:lang w:eastAsia="it-IT"/>
        </w:rPr>
        <w:t>n. 116 del 2020</w:t>
      </w:r>
      <w:r w:rsidRPr="00340C42">
        <w:rPr>
          <w:rFonts w:eastAsia="Times New Roman" w:cstheme="minorHAnsi"/>
          <w:color w:val="3E3F3A"/>
          <w:sz w:val="28"/>
          <w:szCs w:val="28"/>
          <w:lang w:eastAsia="it-IT"/>
        </w:rPr>
        <w:t xml:space="preserve"> in materia di leggi pro</w:t>
      </w:r>
      <w:r w:rsidR="008C1565" w:rsidRPr="00340C42">
        <w:rPr>
          <w:rFonts w:eastAsia="Times New Roman" w:cstheme="minorHAnsi"/>
          <w:color w:val="3E3F3A"/>
          <w:sz w:val="28"/>
          <w:szCs w:val="28"/>
          <w:lang w:eastAsia="it-IT"/>
        </w:rPr>
        <w:t>vve</w:t>
      </w:r>
      <w:r w:rsidRPr="00340C42">
        <w:rPr>
          <w:rFonts w:eastAsia="Times New Roman" w:cstheme="minorHAnsi"/>
          <w:color w:val="3E3F3A"/>
          <w:sz w:val="28"/>
          <w:szCs w:val="28"/>
          <w:lang w:eastAsia="it-IT"/>
        </w:rPr>
        <w:t>dimento e di riserva di procedimento amministrativo</w:t>
      </w:r>
      <w:r w:rsidR="00CB2147">
        <w:rPr>
          <w:rFonts w:eastAsia="Times New Roman" w:cstheme="minorHAnsi"/>
          <w:color w:val="3E3F3A"/>
          <w:sz w:val="28"/>
          <w:szCs w:val="28"/>
          <w:lang w:eastAsia="it-IT"/>
        </w:rPr>
        <w:t>.</w:t>
      </w:r>
    </w:p>
    <w:p w:rsidR="00CB2147" w:rsidRPr="00C47163" w:rsidRDefault="00CB2147">
      <w:pPr>
        <w:spacing w:before="100" w:beforeAutospacing="1" w:after="0" w:line="240" w:lineRule="auto"/>
        <w:jc w:val="both"/>
        <w:rPr>
          <w:rFonts w:eastAsia="Times New Roman" w:cstheme="minorHAnsi"/>
          <w:color w:val="3E3F3A"/>
          <w:sz w:val="28"/>
          <w:szCs w:val="28"/>
          <w:lang w:eastAsia="it-IT"/>
        </w:rPr>
      </w:pPr>
      <w:r w:rsidRPr="00C47163">
        <w:rPr>
          <w:rFonts w:eastAsia="Times New Roman" w:cstheme="minorHAnsi"/>
          <w:color w:val="3E3F3A"/>
          <w:sz w:val="28"/>
          <w:szCs w:val="28"/>
          <w:lang w:eastAsia="it-IT"/>
        </w:rPr>
        <w:t>In quest’ultima</w:t>
      </w:r>
      <w:r w:rsidR="00825830" w:rsidRPr="00C47163">
        <w:rPr>
          <w:rFonts w:eastAsia="Times New Roman" w:cstheme="minorHAnsi"/>
          <w:color w:val="3E3F3A"/>
          <w:sz w:val="28"/>
          <w:szCs w:val="28"/>
          <w:lang w:eastAsia="it-IT"/>
        </w:rPr>
        <w:t xml:space="preserve"> si legge che il procedimento amministrativo costituisce il luogo elettivo di composizione degli interessi, in quanto è “</w:t>
      </w:r>
      <w:r w:rsidR="00825830" w:rsidRPr="00C47163">
        <w:rPr>
          <w:rFonts w:eastAsia="Times New Roman" w:cstheme="minorHAnsi"/>
          <w:i/>
          <w:color w:val="3E3F3A"/>
          <w:sz w:val="28"/>
          <w:szCs w:val="28"/>
          <w:lang w:eastAsia="it-IT"/>
        </w:rPr>
        <w:t>nella sede procedimentale […] che può e deve avvenire la valutazione sincronica degli interessi pubblici coinvolti e meritevoli di tutela, a confronto sia con l’interesse del soggetto privato operatore economico, sia ancora (e non da ultimo) con ulteriori interessi di cui sono titolari singoli cittadini e comunità, e che trovano nei princìpi costituzionali la loro previsione e tutela</w:t>
      </w:r>
      <w:r w:rsidR="00825830" w:rsidRPr="00C47163">
        <w:rPr>
          <w:rFonts w:eastAsia="Times New Roman" w:cstheme="minorHAnsi"/>
          <w:color w:val="3E3F3A"/>
          <w:sz w:val="28"/>
          <w:szCs w:val="28"/>
          <w:lang w:eastAsia="it-IT"/>
        </w:rPr>
        <w:t xml:space="preserve">”). </w:t>
      </w:r>
    </w:p>
    <w:p w:rsidR="00CB2147" w:rsidRDefault="00825830">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Da segnalare anche importanti pronunce in materia di appalti</w:t>
      </w:r>
      <w:r w:rsidR="00CB2147">
        <w:rPr>
          <w:rFonts w:eastAsia="Times New Roman" w:cstheme="minorHAnsi"/>
          <w:color w:val="3E3F3A"/>
          <w:sz w:val="28"/>
          <w:szCs w:val="28"/>
          <w:lang w:eastAsia="it-IT"/>
        </w:rPr>
        <w:t>.</w:t>
      </w:r>
    </w:p>
    <w:p w:rsidR="00825830" w:rsidRPr="00C47163" w:rsidRDefault="00CB2147">
      <w:pPr>
        <w:spacing w:before="100" w:beforeAutospacing="1" w:after="0" w:line="240" w:lineRule="auto"/>
        <w:jc w:val="both"/>
        <w:rPr>
          <w:rFonts w:eastAsia="Times New Roman" w:cstheme="minorHAnsi"/>
          <w:color w:val="3E3F3A"/>
          <w:sz w:val="28"/>
          <w:szCs w:val="28"/>
          <w:lang w:eastAsia="it-IT"/>
        </w:rPr>
      </w:pPr>
      <w:r w:rsidRPr="00C47163">
        <w:rPr>
          <w:rFonts w:eastAsia="Times New Roman" w:cstheme="minorHAnsi"/>
          <w:color w:val="3E3F3A"/>
          <w:sz w:val="28"/>
          <w:szCs w:val="28"/>
          <w:lang w:eastAsia="it-IT"/>
        </w:rPr>
        <w:t>In particolare, mi riferisco alle sentenze</w:t>
      </w:r>
      <w:r w:rsidR="00825830" w:rsidRPr="00C47163">
        <w:rPr>
          <w:rFonts w:eastAsia="Times New Roman" w:cstheme="minorHAnsi"/>
          <w:color w:val="3E3F3A"/>
          <w:sz w:val="28"/>
          <w:szCs w:val="28"/>
          <w:lang w:eastAsia="it-IT"/>
        </w:rPr>
        <w:t xml:space="preserve"> sul soccorso istruttorio (</w:t>
      </w:r>
      <w:r w:rsidR="00825830" w:rsidRPr="00C47163">
        <w:rPr>
          <w:rFonts w:eastAsia="Times New Roman" w:cstheme="minorHAnsi"/>
          <w:b/>
          <w:color w:val="3E3F3A"/>
          <w:sz w:val="28"/>
          <w:szCs w:val="28"/>
          <w:lang w:eastAsia="it-IT"/>
        </w:rPr>
        <w:t>ord. n. 76 del 2018</w:t>
      </w:r>
      <w:r w:rsidR="00825830" w:rsidRPr="00C47163">
        <w:rPr>
          <w:rFonts w:eastAsia="Times New Roman" w:cstheme="minorHAnsi"/>
          <w:color w:val="3E3F3A"/>
          <w:sz w:val="28"/>
          <w:szCs w:val="28"/>
          <w:lang w:eastAsia="it-IT"/>
        </w:rPr>
        <w:t>),</w:t>
      </w:r>
      <w:r w:rsidR="008C1565" w:rsidRPr="00C47163">
        <w:rPr>
          <w:rFonts w:eastAsia="Times New Roman" w:cstheme="minorHAnsi"/>
          <w:color w:val="3E3F3A"/>
          <w:sz w:val="28"/>
          <w:szCs w:val="28"/>
          <w:lang w:eastAsia="it-IT"/>
        </w:rPr>
        <w:t xml:space="preserve"> sulla</w:t>
      </w:r>
      <w:r w:rsidR="00825830" w:rsidRPr="00C47163">
        <w:rPr>
          <w:rFonts w:eastAsia="Times New Roman" w:cstheme="minorHAnsi"/>
          <w:color w:val="3E3F3A"/>
          <w:sz w:val="28"/>
          <w:szCs w:val="28"/>
          <w:lang w:eastAsia="it-IT"/>
        </w:rPr>
        <w:t xml:space="preserve"> </w:t>
      </w:r>
      <w:r w:rsidR="00C47163">
        <w:rPr>
          <w:rFonts w:eastAsia="Times New Roman" w:cstheme="minorHAnsi"/>
          <w:color w:val="3E3F3A"/>
          <w:sz w:val="28"/>
          <w:szCs w:val="28"/>
          <w:lang w:eastAsia="it-IT"/>
        </w:rPr>
        <w:t>illegittimità della</w:t>
      </w:r>
      <w:r w:rsidR="00825830" w:rsidRPr="00C47163">
        <w:rPr>
          <w:rFonts w:eastAsia="Times New Roman" w:cstheme="minorHAnsi"/>
          <w:color w:val="3E3F3A"/>
          <w:sz w:val="28"/>
          <w:szCs w:val="28"/>
          <w:lang w:eastAsia="it-IT"/>
        </w:rPr>
        <w:t xml:space="preserve"> riserva di partecipazione alle gare di imprese con sede nel territorio di una Regione (</w:t>
      </w:r>
      <w:r w:rsidR="00825830" w:rsidRPr="00C47163">
        <w:rPr>
          <w:rFonts w:eastAsia="Times New Roman" w:cstheme="minorHAnsi"/>
          <w:b/>
          <w:color w:val="3E3F3A"/>
          <w:sz w:val="28"/>
          <w:szCs w:val="28"/>
          <w:lang w:eastAsia="it-IT"/>
        </w:rPr>
        <w:t>n. 98 del 2020</w:t>
      </w:r>
      <w:r w:rsidR="00825830" w:rsidRPr="00C47163">
        <w:rPr>
          <w:rFonts w:eastAsia="Times New Roman" w:cstheme="minorHAnsi"/>
          <w:color w:val="3E3F3A"/>
          <w:sz w:val="28"/>
          <w:szCs w:val="28"/>
          <w:lang w:eastAsia="it-IT"/>
        </w:rPr>
        <w:t>),</w:t>
      </w:r>
      <w:r w:rsidR="008C1565" w:rsidRPr="00C47163">
        <w:rPr>
          <w:rFonts w:eastAsia="Times New Roman" w:cstheme="minorHAnsi"/>
          <w:color w:val="3E3F3A"/>
          <w:sz w:val="28"/>
          <w:szCs w:val="28"/>
          <w:lang w:eastAsia="it-IT"/>
        </w:rPr>
        <w:t xml:space="preserve"> su</w:t>
      </w:r>
      <w:r w:rsidR="00825830" w:rsidRPr="00C47163">
        <w:rPr>
          <w:rFonts w:eastAsia="Times New Roman" w:cstheme="minorHAnsi"/>
          <w:color w:val="3E3F3A"/>
          <w:sz w:val="28"/>
          <w:szCs w:val="28"/>
          <w:lang w:eastAsia="it-IT"/>
        </w:rPr>
        <w:t xml:space="preserve"> affidamenti </w:t>
      </w:r>
      <w:r w:rsidR="00825830" w:rsidRPr="00C47163">
        <w:rPr>
          <w:rFonts w:eastAsia="Times New Roman" w:cstheme="minorHAnsi"/>
          <w:i/>
          <w:color w:val="3E3F3A"/>
          <w:sz w:val="28"/>
          <w:szCs w:val="28"/>
          <w:lang w:eastAsia="it-IT"/>
        </w:rPr>
        <w:t>in house</w:t>
      </w:r>
      <w:r w:rsidR="00825830" w:rsidRPr="00C47163">
        <w:rPr>
          <w:rFonts w:eastAsia="Times New Roman" w:cstheme="minorHAnsi"/>
          <w:color w:val="3E3F3A"/>
          <w:sz w:val="28"/>
          <w:szCs w:val="28"/>
          <w:lang w:eastAsia="it-IT"/>
        </w:rPr>
        <w:t xml:space="preserve"> e obbligo di motivazione sul mancato ricorso al mercato (</w:t>
      </w:r>
      <w:r w:rsidR="00825830" w:rsidRPr="00C47163">
        <w:rPr>
          <w:rFonts w:eastAsia="Times New Roman" w:cstheme="minorHAnsi"/>
          <w:b/>
          <w:color w:val="3E3F3A"/>
          <w:sz w:val="28"/>
          <w:szCs w:val="28"/>
          <w:lang w:eastAsia="it-IT"/>
        </w:rPr>
        <w:t>n. 100 del 2020</w:t>
      </w:r>
      <w:r w:rsidR="00825830" w:rsidRPr="00C47163">
        <w:rPr>
          <w:rFonts w:eastAsia="Times New Roman" w:cstheme="minorHAnsi"/>
          <w:color w:val="3E3F3A"/>
          <w:sz w:val="28"/>
          <w:szCs w:val="28"/>
          <w:lang w:eastAsia="it-IT"/>
        </w:rPr>
        <w:t>),</w:t>
      </w:r>
      <w:r w:rsidR="008C1565" w:rsidRPr="00C47163">
        <w:rPr>
          <w:rFonts w:eastAsia="Times New Roman" w:cstheme="minorHAnsi"/>
          <w:color w:val="3E3F3A"/>
          <w:sz w:val="28"/>
          <w:szCs w:val="28"/>
          <w:lang w:eastAsia="it-IT"/>
        </w:rPr>
        <w:t xml:space="preserve"> sull’</w:t>
      </w:r>
      <w:r w:rsidR="00825830" w:rsidRPr="00C47163">
        <w:rPr>
          <w:rFonts w:eastAsia="Times New Roman" w:cstheme="minorHAnsi"/>
          <w:color w:val="3E3F3A"/>
          <w:sz w:val="28"/>
          <w:szCs w:val="28"/>
          <w:lang w:eastAsia="it-IT"/>
        </w:rPr>
        <w:t>ammissibilità in gara delle imprese in concordato con continuità (</w:t>
      </w:r>
      <w:r w:rsidR="00825830" w:rsidRPr="00C47163">
        <w:rPr>
          <w:rFonts w:eastAsia="Times New Roman" w:cstheme="minorHAnsi"/>
          <w:b/>
          <w:color w:val="3E3F3A"/>
          <w:sz w:val="28"/>
          <w:szCs w:val="28"/>
          <w:lang w:eastAsia="it-IT"/>
        </w:rPr>
        <w:t>n. 85 del 2020</w:t>
      </w:r>
      <w:r w:rsidR="00825830" w:rsidRPr="00C47163">
        <w:rPr>
          <w:rFonts w:eastAsia="Times New Roman" w:cstheme="minorHAnsi"/>
          <w:color w:val="3E3F3A"/>
          <w:sz w:val="28"/>
          <w:szCs w:val="28"/>
          <w:lang w:eastAsia="it-IT"/>
        </w:rPr>
        <w:t>, che giudica legittimo il trattamento differenziale riservato alla mandataria di RTI).</w:t>
      </w:r>
    </w:p>
    <w:p w:rsidR="004F0564" w:rsidRPr="00340C42" w:rsidRDefault="00687F33">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È indiscutibile che</w:t>
      </w:r>
      <w:r w:rsidR="00825830"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grazie all’incessante lavoro della Corte costituzionale, prima, e dei giudici amministrativi dopo, il diritto amministrativo e la giustizia amministrativa </w:t>
      </w:r>
      <w:r w:rsidR="00825830" w:rsidRPr="00340C42">
        <w:rPr>
          <w:rFonts w:eastAsia="Times New Roman" w:cstheme="minorHAnsi"/>
          <w:color w:val="3E3F3A"/>
          <w:sz w:val="28"/>
          <w:szCs w:val="28"/>
          <w:lang w:eastAsia="it-IT"/>
        </w:rPr>
        <w:t>hanno assunto un volto moderno, al passo con i tempi, e capace di garantire tutel</w:t>
      </w:r>
      <w:r w:rsidR="00A8020E">
        <w:rPr>
          <w:rFonts w:eastAsia="Times New Roman" w:cstheme="minorHAnsi"/>
          <w:color w:val="3E3F3A"/>
          <w:sz w:val="28"/>
          <w:szCs w:val="28"/>
          <w:lang w:eastAsia="it-IT"/>
        </w:rPr>
        <w:t>e</w:t>
      </w:r>
      <w:r w:rsidR="00825830" w:rsidRPr="00340C42">
        <w:rPr>
          <w:rFonts w:eastAsia="Times New Roman" w:cstheme="minorHAnsi"/>
          <w:color w:val="3E3F3A"/>
          <w:sz w:val="28"/>
          <w:szCs w:val="28"/>
          <w:lang w:eastAsia="it-IT"/>
        </w:rPr>
        <w:t>.</w:t>
      </w:r>
      <w:r w:rsidR="0018584F" w:rsidRPr="00340C42">
        <w:rPr>
          <w:rFonts w:eastAsia="Times New Roman" w:cstheme="minorHAnsi"/>
          <w:color w:val="3E3F3A"/>
          <w:sz w:val="28"/>
          <w:szCs w:val="28"/>
          <w:lang w:eastAsia="it-IT"/>
        </w:rPr>
        <w:t xml:space="preserve"> Oggi più che mai, si può affermare che </w:t>
      </w:r>
      <w:r w:rsidR="0018584F" w:rsidRPr="00340C42">
        <w:rPr>
          <w:rFonts w:cstheme="minorHAnsi"/>
          <w:sz w:val="28"/>
          <w:szCs w:val="28"/>
        </w:rPr>
        <w:t>il potere pubblico trova la sua giustificazione “nel collegamento con il circuito democratico, nel rispetto delle regole di diritto, nella partecipazione degli interessati alle decisioni, nell’</w:t>
      </w:r>
      <w:r w:rsidR="0018584F" w:rsidRPr="00340C42">
        <w:rPr>
          <w:rFonts w:cstheme="minorHAnsi"/>
          <w:i/>
          <w:sz w:val="28"/>
          <w:szCs w:val="28"/>
        </w:rPr>
        <w:t>accountability</w:t>
      </w:r>
      <w:r w:rsidR="0018584F" w:rsidRPr="00340C42">
        <w:rPr>
          <w:rFonts w:cstheme="minorHAnsi"/>
          <w:sz w:val="28"/>
          <w:szCs w:val="28"/>
        </w:rPr>
        <w:t>, nel sindacato giurisdizionale”</w:t>
      </w:r>
      <w:r w:rsidR="0018584F" w:rsidRPr="00340C42">
        <w:rPr>
          <w:rStyle w:val="Rimandonotaapidipagina"/>
          <w:rFonts w:asciiTheme="minorHAnsi" w:hAnsiTheme="minorHAnsi" w:cstheme="minorHAnsi"/>
          <w:sz w:val="28"/>
          <w:szCs w:val="28"/>
        </w:rPr>
        <w:footnoteReference w:id="1"/>
      </w:r>
      <w:r w:rsidR="0064143E" w:rsidRPr="00340C42">
        <w:rPr>
          <w:rFonts w:cstheme="minorHAnsi"/>
          <w:sz w:val="28"/>
          <w:szCs w:val="28"/>
        </w:rPr>
        <w:t>.</w:t>
      </w:r>
    </w:p>
    <w:p w:rsidR="00797FD2" w:rsidRDefault="004F0564">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Dunque estrema rilevanza della giurisprudenza della Corte nella elaborazione di molti istituti del diritto amministrativo. </w:t>
      </w:r>
    </w:p>
    <w:p w:rsidR="0018584F" w:rsidRPr="00340C42" w:rsidRDefault="0018584F" w:rsidP="00A86EE9">
      <w:pPr>
        <w:pStyle w:val="TESTOCOMM"/>
        <w:spacing w:line="240" w:lineRule="auto"/>
        <w:rPr>
          <w:rFonts w:asciiTheme="minorHAnsi" w:hAnsiTheme="minorHAnsi" w:cstheme="minorHAnsi"/>
          <w:sz w:val="28"/>
          <w:szCs w:val="28"/>
        </w:rPr>
      </w:pPr>
      <w:r w:rsidRPr="00340C42">
        <w:rPr>
          <w:rFonts w:asciiTheme="minorHAnsi" w:hAnsiTheme="minorHAnsi" w:cstheme="minorHAnsi"/>
          <w:sz w:val="28"/>
          <w:szCs w:val="28"/>
        </w:rPr>
        <w:t>La giurisprudenza costituzionale e quella amministrativa, con l’importante carica di innovazione, sono la dimostrazione del fatto che si sta assistendo, come icasticamente affermato dalla dottrina, ad un “</w:t>
      </w:r>
      <w:r w:rsidRPr="00340C42">
        <w:rPr>
          <w:rFonts w:asciiTheme="minorHAnsi" w:hAnsiTheme="minorHAnsi" w:cstheme="minorHAnsi"/>
          <w:iCs/>
          <w:sz w:val="28"/>
          <w:szCs w:val="28"/>
        </w:rPr>
        <w:t>ritorno al diritto</w:t>
      </w:r>
      <w:r w:rsidRPr="00340C42">
        <w:rPr>
          <w:rFonts w:asciiTheme="minorHAnsi" w:hAnsiTheme="minorHAnsi" w:cstheme="minorHAnsi"/>
          <w:sz w:val="28"/>
          <w:szCs w:val="28"/>
        </w:rPr>
        <w:t>”</w:t>
      </w:r>
      <w:r w:rsidRPr="00340C42">
        <w:rPr>
          <w:rStyle w:val="Rimandonotaapidipagina"/>
          <w:rFonts w:asciiTheme="minorHAnsi" w:hAnsiTheme="minorHAnsi" w:cstheme="minorHAnsi"/>
          <w:sz w:val="28"/>
          <w:szCs w:val="28"/>
        </w:rPr>
        <w:footnoteReference w:id="2"/>
      </w:r>
      <w:r w:rsidRPr="00340C42">
        <w:rPr>
          <w:rFonts w:asciiTheme="minorHAnsi" w:hAnsiTheme="minorHAnsi" w:cstheme="minorHAnsi"/>
          <w:sz w:val="28"/>
          <w:szCs w:val="28"/>
        </w:rPr>
        <w:t xml:space="preserve">. </w:t>
      </w:r>
    </w:p>
    <w:p w:rsidR="0018584F" w:rsidRPr="00340C42" w:rsidRDefault="00A8020E" w:rsidP="00A86EE9">
      <w:pPr>
        <w:pStyle w:val="TESTOCOMM"/>
        <w:spacing w:line="240" w:lineRule="auto"/>
        <w:rPr>
          <w:rFonts w:asciiTheme="minorHAnsi" w:hAnsiTheme="minorHAnsi" w:cstheme="minorHAnsi"/>
          <w:sz w:val="28"/>
          <w:szCs w:val="28"/>
        </w:rPr>
      </w:pPr>
      <w:r>
        <w:rPr>
          <w:rFonts w:asciiTheme="minorHAnsi" w:hAnsiTheme="minorHAnsi" w:cstheme="minorHAnsi"/>
          <w:sz w:val="28"/>
          <w:szCs w:val="28"/>
        </w:rPr>
        <w:t>E la stessa dottrina, che è poi un</w:t>
      </w:r>
      <w:r w:rsidR="0018584F" w:rsidRPr="00340C42">
        <w:rPr>
          <w:rFonts w:asciiTheme="minorHAnsi" w:hAnsiTheme="minorHAnsi" w:cstheme="minorHAnsi"/>
          <w:sz w:val="28"/>
          <w:szCs w:val="28"/>
        </w:rPr>
        <w:t xml:space="preserve"> autorevole Presidente</w:t>
      </w:r>
      <w:r>
        <w:rPr>
          <w:rFonts w:asciiTheme="minorHAnsi" w:hAnsiTheme="minorHAnsi" w:cstheme="minorHAnsi"/>
          <w:sz w:val="28"/>
          <w:szCs w:val="28"/>
        </w:rPr>
        <w:t xml:space="preserve"> emerito della Corte costituzionale, </w:t>
      </w:r>
      <w:r w:rsidR="0018584F" w:rsidRPr="00340C42">
        <w:rPr>
          <w:rFonts w:asciiTheme="minorHAnsi" w:hAnsiTheme="minorHAnsi" w:cstheme="minorHAnsi"/>
          <w:sz w:val="28"/>
          <w:szCs w:val="28"/>
        </w:rPr>
        <w:t>ha infatti affermato che “</w:t>
      </w:r>
      <w:r w:rsidR="0018584F" w:rsidRPr="00340C42">
        <w:rPr>
          <w:rFonts w:asciiTheme="minorHAnsi" w:hAnsiTheme="minorHAnsi" w:cstheme="minorHAnsi"/>
          <w:iCs/>
          <w:sz w:val="28"/>
          <w:szCs w:val="28"/>
        </w:rPr>
        <w:t>più che norme scritte, autoritarie, rigide, convengono...principi e decisioni su casi concreti, e sembrano particolarmente vocate ad avere un ruolo decisivo dottrina e giurisprudenza</w:t>
      </w:r>
      <w:r w:rsidR="0018584F" w:rsidRPr="00340C42">
        <w:rPr>
          <w:rFonts w:asciiTheme="minorHAnsi" w:hAnsiTheme="minorHAnsi" w:cstheme="minorHAnsi"/>
          <w:sz w:val="28"/>
          <w:szCs w:val="28"/>
        </w:rPr>
        <w:t>”</w:t>
      </w:r>
      <w:r w:rsidR="0018584F" w:rsidRPr="00340C42">
        <w:rPr>
          <w:rStyle w:val="Rimandonotaapidipagina"/>
          <w:rFonts w:asciiTheme="minorHAnsi" w:hAnsiTheme="minorHAnsi" w:cstheme="minorHAnsi"/>
          <w:sz w:val="28"/>
          <w:szCs w:val="28"/>
        </w:rPr>
        <w:footnoteReference w:id="3"/>
      </w:r>
      <w:r w:rsidR="0018584F" w:rsidRPr="00340C42">
        <w:rPr>
          <w:rFonts w:asciiTheme="minorHAnsi" w:hAnsiTheme="minorHAnsi" w:cstheme="minorHAnsi"/>
          <w:sz w:val="28"/>
          <w:szCs w:val="28"/>
        </w:rPr>
        <w:t>. Così facendo ci si pone nel solco tracciato, ormai più di un secolo fa, da Santi Romano nel discorso inaugurale dell’anno accademico tenuto nel 1909 presso l’Università di Pisa</w:t>
      </w:r>
      <w:r w:rsidR="0018584F" w:rsidRPr="00340C42">
        <w:rPr>
          <w:rStyle w:val="Rimandonotaapidipagina"/>
          <w:rFonts w:asciiTheme="minorHAnsi" w:hAnsiTheme="minorHAnsi" w:cstheme="minorHAnsi"/>
          <w:sz w:val="28"/>
          <w:szCs w:val="28"/>
        </w:rPr>
        <w:footnoteReference w:id="4"/>
      </w:r>
      <w:r w:rsidR="00BE0745" w:rsidRPr="00340C42">
        <w:rPr>
          <w:rFonts w:asciiTheme="minorHAnsi" w:hAnsiTheme="minorHAnsi" w:cstheme="minorHAnsi"/>
          <w:sz w:val="28"/>
          <w:szCs w:val="28"/>
        </w:rPr>
        <w:t>, in cui sostanzialmente si sostiene</w:t>
      </w:r>
      <w:r w:rsidR="0018584F" w:rsidRPr="00340C42">
        <w:rPr>
          <w:rFonts w:asciiTheme="minorHAnsi" w:hAnsiTheme="minorHAnsi" w:cstheme="minorHAnsi"/>
          <w:sz w:val="28"/>
          <w:szCs w:val="28"/>
        </w:rPr>
        <w:t xml:space="preserve"> di considerare il diritto “</w:t>
      </w:r>
      <w:r w:rsidR="0018584F" w:rsidRPr="00340C42">
        <w:rPr>
          <w:rFonts w:asciiTheme="minorHAnsi" w:hAnsiTheme="minorHAnsi" w:cstheme="minorHAnsi"/>
          <w:iCs/>
          <w:sz w:val="28"/>
          <w:szCs w:val="28"/>
        </w:rPr>
        <w:t>più come ordinamento che come comando</w:t>
      </w:r>
      <w:r w:rsidR="0018584F" w:rsidRPr="00340C42">
        <w:rPr>
          <w:rFonts w:asciiTheme="minorHAnsi" w:hAnsiTheme="minorHAnsi" w:cstheme="minorHAnsi"/>
          <w:sz w:val="28"/>
          <w:szCs w:val="28"/>
        </w:rPr>
        <w:t>”</w:t>
      </w:r>
      <w:r w:rsidR="0018584F" w:rsidRPr="00340C42">
        <w:rPr>
          <w:rStyle w:val="Rimandonotaapidipagina"/>
          <w:rFonts w:asciiTheme="minorHAnsi" w:hAnsiTheme="minorHAnsi" w:cstheme="minorHAnsi"/>
          <w:sz w:val="28"/>
          <w:szCs w:val="28"/>
        </w:rPr>
        <w:footnoteReference w:id="5"/>
      </w:r>
      <w:r w:rsidR="0018584F" w:rsidRPr="00340C42">
        <w:rPr>
          <w:rFonts w:asciiTheme="minorHAnsi" w:hAnsiTheme="minorHAnsi" w:cstheme="minorHAnsi"/>
          <w:sz w:val="28"/>
          <w:szCs w:val="28"/>
        </w:rPr>
        <w:t xml:space="preserve">, proprio perché oggi, più di ieri, è necessario “mettere ordine” ai molti interessi diffusi che dalla società emergono, imponendosi all’attenzione dei governanti e dei giuristi; interessi questi presi in considerazione e tutelati dalla Costituzione e, infine, sbocciati grazie all’idea pluralista di Stato e all’adesione al disegno europeo. In poche parole, e per riprendere ancora un efficace sintagma usato </w:t>
      </w:r>
      <w:r w:rsidR="00C47163">
        <w:rPr>
          <w:rFonts w:asciiTheme="minorHAnsi" w:hAnsiTheme="minorHAnsi" w:cstheme="minorHAnsi"/>
          <w:sz w:val="28"/>
          <w:szCs w:val="28"/>
        </w:rPr>
        <w:t>da Paolo Grossi</w:t>
      </w:r>
      <w:r w:rsidR="0018584F" w:rsidRPr="00340C42">
        <w:rPr>
          <w:rFonts w:asciiTheme="minorHAnsi" w:hAnsiTheme="minorHAnsi" w:cstheme="minorHAnsi"/>
          <w:sz w:val="28"/>
          <w:szCs w:val="28"/>
        </w:rPr>
        <w:t>, così si spiega</w:t>
      </w:r>
      <w:r w:rsidR="00C47163">
        <w:rPr>
          <w:rFonts w:asciiTheme="minorHAnsi" w:hAnsiTheme="minorHAnsi" w:cstheme="minorHAnsi"/>
          <w:sz w:val="28"/>
          <w:szCs w:val="28"/>
        </w:rPr>
        <w:t>, e in ciò consise,</w:t>
      </w:r>
      <w:r w:rsidR="0018584F" w:rsidRPr="00340C42">
        <w:rPr>
          <w:rFonts w:asciiTheme="minorHAnsi" w:hAnsiTheme="minorHAnsi" w:cstheme="minorHAnsi"/>
          <w:sz w:val="28"/>
          <w:szCs w:val="28"/>
        </w:rPr>
        <w:t xml:space="preserve"> il passaggio da modernità a “</w:t>
      </w:r>
      <w:r w:rsidR="0018584F" w:rsidRPr="00340C42">
        <w:rPr>
          <w:rFonts w:asciiTheme="minorHAnsi" w:hAnsiTheme="minorHAnsi" w:cstheme="minorHAnsi"/>
          <w:iCs/>
          <w:sz w:val="28"/>
          <w:szCs w:val="28"/>
        </w:rPr>
        <w:t>post-modernità</w:t>
      </w:r>
      <w:r w:rsidR="0018584F" w:rsidRPr="00340C42">
        <w:rPr>
          <w:rFonts w:asciiTheme="minorHAnsi" w:hAnsiTheme="minorHAnsi" w:cstheme="minorHAnsi"/>
          <w:sz w:val="28"/>
          <w:szCs w:val="28"/>
        </w:rPr>
        <w:t>”</w:t>
      </w:r>
      <w:r w:rsidR="0018584F" w:rsidRPr="00340C42">
        <w:rPr>
          <w:rStyle w:val="Rimandonotaapidipagina"/>
          <w:rFonts w:asciiTheme="minorHAnsi" w:hAnsiTheme="minorHAnsi" w:cstheme="minorHAnsi"/>
          <w:sz w:val="28"/>
          <w:szCs w:val="28"/>
        </w:rPr>
        <w:footnoteReference w:id="6"/>
      </w:r>
      <w:r w:rsidR="0018584F" w:rsidRPr="00340C42">
        <w:rPr>
          <w:rFonts w:asciiTheme="minorHAnsi" w:hAnsiTheme="minorHAnsi" w:cstheme="minorHAnsi"/>
          <w:sz w:val="28"/>
          <w:szCs w:val="28"/>
        </w:rPr>
        <w:t>.</w:t>
      </w:r>
    </w:p>
    <w:p w:rsidR="004F0564" w:rsidRPr="00340C42" w:rsidRDefault="004F0564" w:rsidP="0018584F">
      <w:pPr>
        <w:spacing w:before="100" w:beforeAutospacing="1" w:after="0" w:line="240" w:lineRule="auto"/>
        <w:jc w:val="both"/>
        <w:rPr>
          <w:rFonts w:eastAsia="Times New Roman" w:cstheme="minorHAnsi"/>
          <w:color w:val="3E3F3A"/>
          <w:sz w:val="28"/>
          <w:szCs w:val="28"/>
          <w:lang w:eastAsia="it-IT"/>
        </w:rPr>
      </w:pPr>
    </w:p>
    <w:p w:rsidR="00797FD2" w:rsidRDefault="004F0564" w:rsidP="0018584F">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b/>
          <w:color w:val="3E3F3A"/>
          <w:sz w:val="28"/>
          <w:szCs w:val="28"/>
          <w:lang w:eastAsia="it-IT"/>
        </w:rPr>
        <w:t xml:space="preserve">3 – </w:t>
      </w:r>
      <w:r w:rsidR="0018584F" w:rsidRPr="00340C42">
        <w:rPr>
          <w:rFonts w:eastAsia="Times New Roman" w:cstheme="minorHAnsi"/>
          <w:color w:val="3E3F3A"/>
          <w:sz w:val="28"/>
          <w:szCs w:val="28"/>
          <w:lang w:eastAsia="it-IT"/>
        </w:rPr>
        <w:t>Tornando ora al programma dell’evento formativo, non v’è dubbio che l</w:t>
      </w:r>
      <w:r w:rsidRPr="00340C42">
        <w:rPr>
          <w:rFonts w:eastAsia="Times New Roman" w:cstheme="minorHAnsi"/>
          <w:color w:val="3E3F3A"/>
          <w:sz w:val="28"/>
          <w:szCs w:val="28"/>
          <w:lang w:eastAsia="it-IT"/>
        </w:rPr>
        <w:t xml:space="preserve">’interesse per </w:t>
      </w:r>
      <w:r w:rsidR="00C47163">
        <w:rPr>
          <w:rFonts w:eastAsia="Times New Roman" w:cstheme="minorHAnsi"/>
          <w:color w:val="3E3F3A"/>
          <w:sz w:val="28"/>
          <w:szCs w:val="28"/>
          <w:lang w:eastAsia="it-IT"/>
        </w:rPr>
        <w:t>lo stesso</w:t>
      </w:r>
      <w:r w:rsidRPr="00340C42">
        <w:rPr>
          <w:rFonts w:eastAsia="Times New Roman" w:cstheme="minorHAnsi"/>
          <w:color w:val="3E3F3A"/>
          <w:sz w:val="28"/>
          <w:szCs w:val="28"/>
          <w:lang w:eastAsia="it-IT"/>
        </w:rPr>
        <w:t xml:space="preserve"> nasce anche dall’importanza, nella dinamica processuale e quindi nella quotidiana attività dei giudici amministrativi, dello strumento del sindacato di costituzionalità in via incidentale, che rappresenta lo snodo di collegamento tra processo amministrativo e processo costituzionale. Si tratta di istituto di grande importanza e di ampio utilizzo. Guardando ai dati in possesso dell’Ufficio Studi le ordinanze di rimessione alla Corte costituzionale sono state nel </w:t>
      </w:r>
      <w:r w:rsidRPr="00340C42">
        <w:rPr>
          <w:rFonts w:eastAsia="Times New Roman" w:cstheme="minorHAnsi"/>
          <w:b/>
          <w:color w:val="3E3F3A"/>
          <w:sz w:val="28"/>
          <w:szCs w:val="28"/>
          <w:lang w:eastAsia="it-IT"/>
        </w:rPr>
        <w:t xml:space="preserve">2018 </w:t>
      </w:r>
      <w:r w:rsidR="00825830" w:rsidRPr="00340C42">
        <w:rPr>
          <w:rFonts w:eastAsia="Times New Roman" w:cstheme="minorHAnsi"/>
          <w:color w:val="3E3F3A"/>
          <w:sz w:val="28"/>
          <w:szCs w:val="28"/>
          <w:lang w:eastAsia="it-IT"/>
        </w:rPr>
        <w:t>diciannove</w:t>
      </w:r>
      <w:r w:rsidRPr="00340C42">
        <w:rPr>
          <w:rFonts w:eastAsia="Times New Roman" w:cstheme="minorHAnsi"/>
          <w:color w:val="3E3F3A"/>
          <w:sz w:val="28"/>
          <w:szCs w:val="28"/>
          <w:lang w:eastAsia="it-IT"/>
        </w:rPr>
        <w:t xml:space="preserve"> da parte dei TAR, </w:t>
      </w:r>
      <w:r w:rsidR="00825830" w:rsidRPr="00340C42">
        <w:rPr>
          <w:rFonts w:eastAsia="Times New Roman" w:cstheme="minorHAnsi"/>
          <w:color w:val="3E3F3A"/>
          <w:sz w:val="28"/>
          <w:szCs w:val="28"/>
          <w:lang w:eastAsia="it-IT"/>
        </w:rPr>
        <w:t>cinque</w:t>
      </w:r>
      <w:r w:rsidRPr="00340C42">
        <w:rPr>
          <w:rFonts w:eastAsia="Times New Roman" w:cstheme="minorHAnsi"/>
          <w:color w:val="3E3F3A"/>
          <w:sz w:val="28"/>
          <w:szCs w:val="28"/>
          <w:lang w:eastAsia="it-IT"/>
        </w:rPr>
        <w:t xml:space="preserve"> da parte del Consiglio di Stato e </w:t>
      </w:r>
      <w:r w:rsidR="00825830" w:rsidRPr="00340C42">
        <w:rPr>
          <w:rFonts w:eastAsia="Times New Roman" w:cstheme="minorHAnsi"/>
          <w:color w:val="3E3F3A"/>
          <w:sz w:val="28"/>
          <w:szCs w:val="28"/>
          <w:lang w:eastAsia="it-IT"/>
        </w:rPr>
        <w:t>tre</w:t>
      </w:r>
      <w:r w:rsidRPr="00340C42">
        <w:rPr>
          <w:rFonts w:eastAsia="Times New Roman" w:cstheme="minorHAnsi"/>
          <w:color w:val="3E3F3A"/>
          <w:sz w:val="28"/>
          <w:szCs w:val="28"/>
          <w:lang w:eastAsia="it-IT"/>
        </w:rPr>
        <w:t xml:space="preserve"> da parte del CGA; nel </w:t>
      </w:r>
      <w:r w:rsidRPr="00340C42">
        <w:rPr>
          <w:rFonts w:eastAsia="Times New Roman" w:cstheme="minorHAnsi"/>
          <w:b/>
          <w:color w:val="3E3F3A"/>
          <w:sz w:val="28"/>
          <w:szCs w:val="28"/>
          <w:lang w:eastAsia="it-IT"/>
        </w:rPr>
        <w:t xml:space="preserve">2019 </w:t>
      </w:r>
      <w:r w:rsidRPr="00340C42">
        <w:rPr>
          <w:rFonts w:eastAsia="Times New Roman" w:cstheme="minorHAnsi"/>
          <w:color w:val="3E3F3A"/>
          <w:sz w:val="28"/>
          <w:szCs w:val="28"/>
          <w:lang w:eastAsia="it-IT"/>
        </w:rPr>
        <w:t xml:space="preserve">sono state </w:t>
      </w:r>
      <w:r w:rsidR="00825830" w:rsidRPr="00340C42">
        <w:rPr>
          <w:rFonts w:eastAsia="Times New Roman" w:cstheme="minorHAnsi"/>
          <w:color w:val="3E3F3A"/>
          <w:sz w:val="28"/>
          <w:szCs w:val="28"/>
          <w:lang w:eastAsia="it-IT"/>
        </w:rPr>
        <w:t>venti</w:t>
      </w:r>
      <w:r w:rsidRPr="00340C42">
        <w:rPr>
          <w:rFonts w:eastAsia="Times New Roman" w:cstheme="minorHAnsi"/>
          <w:color w:val="3E3F3A"/>
          <w:sz w:val="28"/>
          <w:szCs w:val="28"/>
          <w:lang w:eastAsia="it-IT"/>
        </w:rPr>
        <w:t xml:space="preserve"> dai TAR, </w:t>
      </w:r>
      <w:r w:rsidR="00825830" w:rsidRPr="00340C42">
        <w:rPr>
          <w:rFonts w:eastAsia="Times New Roman" w:cstheme="minorHAnsi"/>
          <w:color w:val="3E3F3A"/>
          <w:sz w:val="28"/>
          <w:szCs w:val="28"/>
          <w:lang w:eastAsia="it-IT"/>
        </w:rPr>
        <w:t>sei</w:t>
      </w:r>
      <w:r w:rsidRPr="00340C42">
        <w:rPr>
          <w:rFonts w:eastAsia="Times New Roman" w:cstheme="minorHAnsi"/>
          <w:color w:val="3E3F3A"/>
          <w:sz w:val="28"/>
          <w:szCs w:val="28"/>
          <w:lang w:eastAsia="it-IT"/>
        </w:rPr>
        <w:t xml:space="preserve"> dal Consiglio di Stato e </w:t>
      </w:r>
      <w:r w:rsidR="00825830" w:rsidRPr="00340C42">
        <w:rPr>
          <w:rFonts w:eastAsia="Times New Roman" w:cstheme="minorHAnsi"/>
          <w:color w:val="3E3F3A"/>
          <w:sz w:val="28"/>
          <w:szCs w:val="28"/>
          <w:lang w:eastAsia="it-IT"/>
        </w:rPr>
        <w:t>una</w:t>
      </w:r>
      <w:r w:rsidRPr="00340C42">
        <w:rPr>
          <w:rFonts w:eastAsia="Times New Roman" w:cstheme="minorHAnsi"/>
          <w:color w:val="3E3F3A"/>
          <w:sz w:val="28"/>
          <w:szCs w:val="28"/>
          <w:lang w:eastAsia="it-IT"/>
        </w:rPr>
        <w:t xml:space="preserve"> dal CGA; nel </w:t>
      </w:r>
      <w:r w:rsidRPr="00340C42">
        <w:rPr>
          <w:rFonts w:eastAsia="Times New Roman" w:cstheme="minorHAnsi"/>
          <w:b/>
          <w:color w:val="3E3F3A"/>
          <w:sz w:val="28"/>
          <w:szCs w:val="28"/>
          <w:lang w:eastAsia="it-IT"/>
        </w:rPr>
        <w:t>2020</w:t>
      </w:r>
      <w:r w:rsidRPr="00340C42">
        <w:rPr>
          <w:rFonts w:eastAsia="Times New Roman" w:cstheme="minorHAnsi"/>
          <w:color w:val="3E3F3A"/>
          <w:sz w:val="28"/>
          <w:szCs w:val="28"/>
          <w:lang w:eastAsia="it-IT"/>
        </w:rPr>
        <w:t xml:space="preserve">, ad oggi, sono </w:t>
      </w:r>
      <w:r w:rsidR="00825830" w:rsidRPr="00340C42">
        <w:rPr>
          <w:rFonts w:eastAsia="Times New Roman" w:cstheme="minorHAnsi"/>
          <w:color w:val="3E3F3A"/>
          <w:sz w:val="28"/>
          <w:szCs w:val="28"/>
          <w:lang w:eastAsia="it-IT"/>
        </w:rPr>
        <w:t>dieci</w:t>
      </w:r>
      <w:r w:rsidRPr="00340C42">
        <w:rPr>
          <w:rFonts w:eastAsia="Times New Roman" w:cstheme="minorHAnsi"/>
          <w:color w:val="3E3F3A"/>
          <w:sz w:val="28"/>
          <w:szCs w:val="28"/>
          <w:lang w:eastAsia="it-IT"/>
        </w:rPr>
        <w:t xml:space="preserve"> dai TAR e </w:t>
      </w:r>
      <w:r w:rsidR="00825830" w:rsidRPr="00340C42">
        <w:rPr>
          <w:rFonts w:eastAsia="Times New Roman" w:cstheme="minorHAnsi"/>
          <w:color w:val="3E3F3A"/>
          <w:sz w:val="28"/>
          <w:szCs w:val="28"/>
          <w:lang w:eastAsia="it-IT"/>
        </w:rPr>
        <w:t>tre</w:t>
      </w:r>
      <w:r w:rsidRPr="00340C42">
        <w:rPr>
          <w:rFonts w:eastAsia="Times New Roman" w:cstheme="minorHAnsi"/>
          <w:color w:val="3E3F3A"/>
          <w:sz w:val="28"/>
          <w:szCs w:val="28"/>
          <w:lang w:eastAsia="it-IT"/>
        </w:rPr>
        <w:t xml:space="preserve"> dal Consiglio di Stato. </w:t>
      </w:r>
    </w:p>
    <w:p w:rsidR="00BE0745" w:rsidRDefault="004F0564" w:rsidP="00A86EE9">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b/>
          <w:color w:val="3E3F3A"/>
          <w:sz w:val="28"/>
          <w:szCs w:val="28"/>
          <w:lang w:eastAsia="it-IT"/>
        </w:rPr>
        <w:t xml:space="preserve">4 – </w:t>
      </w:r>
      <w:r w:rsidRPr="00340C42">
        <w:rPr>
          <w:rFonts w:eastAsia="Times New Roman" w:cstheme="minorHAnsi"/>
          <w:color w:val="3E3F3A"/>
          <w:sz w:val="28"/>
          <w:szCs w:val="28"/>
          <w:lang w:eastAsia="it-IT"/>
        </w:rPr>
        <w:t>Di particolare importanza teorica</w:t>
      </w:r>
      <w:r w:rsidR="00825830" w:rsidRPr="00340C42">
        <w:rPr>
          <w:rFonts w:eastAsia="Times New Roman" w:cstheme="minorHAnsi"/>
          <w:color w:val="3E3F3A"/>
          <w:sz w:val="28"/>
          <w:szCs w:val="28"/>
          <w:lang w:eastAsia="it-IT"/>
        </w:rPr>
        <w:t xml:space="preserve">, ma </w:t>
      </w:r>
      <w:r w:rsidR="00BE0745" w:rsidRPr="00340C42">
        <w:rPr>
          <w:rFonts w:eastAsia="Times New Roman" w:cstheme="minorHAnsi"/>
          <w:color w:val="3E3F3A"/>
          <w:sz w:val="28"/>
          <w:szCs w:val="28"/>
          <w:lang w:eastAsia="it-IT"/>
        </w:rPr>
        <w:t xml:space="preserve">soprattutto </w:t>
      </w:r>
      <w:r w:rsidRPr="00340C42">
        <w:rPr>
          <w:rFonts w:eastAsia="Times New Roman" w:cstheme="minorHAnsi"/>
          <w:color w:val="3E3F3A"/>
          <w:sz w:val="28"/>
          <w:szCs w:val="28"/>
          <w:lang w:eastAsia="it-IT"/>
        </w:rPr>
        <w:t>pratica</w:t>
      </w:r>
      <w:r w:rsidR="00825830" w:rsidRPr="00340C42">
        <w:rPr>
          <w:rFonts w:eastAsia="Times New Roman" w:cstheme="minorHAnsi"/>
          <w:color w:val="3E3F3A"/>
          <w:sz w:val="28"/>
          <w:szCs w:val="28"/>
          <w:lang w:eastAsia="it-IT"/>
        </w:rPr>
        <w:t>,</w:t>
      </w:r>
      <w:r w:rsidRPr="00340C42">
        <w:rPr>
          <w:rFonts w:eastAsia="Times New Roman" w:cstheme="minorHAnsi"/>
          <w:color w:val="3E3F3A"/>
          <w:sz w:val="28"/>
          <w:szCs w:val="28"/>
          <w:lang w:eastAsia="it-IT"/>
        </w:rPr>
        <w:t xml:space="preserve"> risulta </w:t>
      </w:r>
      <w:r w:rsidR="0018584F" w:rsidRPr="00340C42">
        <w:rPr>
          <w:rFonts w:eastAsia="Times New Roman" w:cstheme="minorHAnsi"/>
          <w:color w:val="3E3F3A"/>
          <w:sz w:val="28"/>
          <w:szCs w:val="28"/>
          <w:lang w:eastAsia="it-IT"/>
        </w:rPr>
        <w:t xml:space="preserve">inoltre </w:t>
      </w:r>
      <w:r w:rsidR="00C47163">
        <w:rPr>
          <w:rFonts w:eastAsia="Times New Roman" w:cstheme="minorHAnsi"/>
          <w:color w:val="3E3F3A"/>
          <w:sz w:val="28"/>
          <w:szCs w:val="28"/>
          <w:lang w:eastAsia="it-IT"/>
        </w:rPr>
        <w:t xml:space="preserve">il tema </w:t>
      </w:r>
      <w:r w:rsidRPr="00340C42">
        <w:rPr>
          <w:rFonts w:eastAsia="Times New Roman" w:cstheme="minorHAnsi"/>
          <w:color w:val="3E3F3A"/>
          <w:sz w:val="28"/>
          <w:szCs w:val="28"/>
          <w:lang w:eastAsia="it-IT"/>
        </w:rPr>
        <w:t xml:space="preserve">delle cause di inammissibilità delle questioni di legittimità costituzionale sollevate. Sono molte le sentenze della Corte che dichiarano inammissibili le questioni sollevate dai giudici amministrativi ed è tema sul quale occorre lavorare per ridurre quanto più possibile il loro numero. </w:t>
      </w:r>
    </w:p>
    <w:p w:rsidR="004F0564" w:rsidRPr="00C47163" w:rsidRDefault="00C47163" w:rsidP="00A86EE9">
      <w:pPr>
        <w:spacing w:before="100" w:beforeAutospacing="1" w:after="0" w:line="240" w:lineRule="auto"/>
        <w:jc w:val="both"/>
        <w:rPr>
          <w:rFonts w:eastAsia="Times New Roman" w:cstheme="minorHAnsi"/>
          <w:color w:val="3E3F3A"/>
          <w:sz w:val="28"/>
          <w:szCs w:val="28"/>
          <w:lang w:eastAsia="it-IT"/>
        </w:rPr>
      </w:pPr>
      <w:r>
        <w:rPr>
          <w:rFonts w:eastAsia="Times New Roman" w:cstheme="minorHAnsi"/>
          <w:color w:val="3E3F3A"/>
          <w:sz w:val="28"/>
          <w:szCs w:val="28"/>
          <w:lang w:eastAsia="it-IT"/>
        </w:rPr>
        <w:t xml:space="preserve">E </w:t>
      </w:r>
      <w:r w:rsidR="004F0564" w:rsidRPr="00C47163">
        <w:rPr>
          <w:rFonts w:eastAsia="Times New Roman" w:cstheme="minorHAnsi"/>
          <w:color w:val="3E3F3A"/>
          <w:sz w:val="28"/>
          <w:szCs w:val="28"/>
          <w:lang w:eastAsia="it-IT"/>
        </w:rPr>
        <w:t>questione analoga si pone per le inammissibilità dei rinvii pregiud</w:t>
      </w:r>
      <w:r>
        <w:rPr>
          <w:rFonts w:eastAsia="Times New Roman" w:cstheme="minorHAnsi"/>
          <w:color w:val="3E3F3A"/>
          <w:sz w:val="28"/>
          <w:szCs w:val="28"/>
          <w:lang w:eastAsia="it-IT"/>
        </w:rPr>
        <w:t>iziali alla Corte di Giustizia, tanto che</w:t>
      </w:r>
      <w:r w:rsidR="004F0564" w:rsidRPr="00C47163">
        <w:rPr>
          <w:rFonts w:eastAsia="Times New Roman" w:cstheme="minorHAnsi"/>
          <w:color w:val="3E3F3A"/>
          <w:sz w:val="28"/>
          <w:szCs w:val="28"/>
          <w:lang w:eastAsia="it-IT"/>
        </w:rPr>
        <w:t xml:space="preserve"> il programma di formazione dei magistrati amministrativi del 2021 lavorerà anche su questo fronte.</w:t>
      </w:r>
    </w:p>
    <w:p w:rsidR="00BE0745" w:rsidRDefault="00BE0745" w:rsidP="0018584F">
      <w:pPr>
        <w:spacing w:before="100" w:beforeAutospacing="1" w:after="0" w:line="240" w:lineRule="auto"/>
        <w:jc w:val="both"/>
        <w:rPr>
          <w:rFonts w:eastAsia="Times New Roman" w:cstheme="minorHAnsi"/>
          <w:color w:val="3E3F3A"/>
          <w:sz w:val="28"/>
          <w:szCs w:val="28"/>
          <w:lang w:eastAsia="it-IT"/>
        </w:rPr>
      </w:pPr>
      <w:r>
        <w:rPr>
          <w:rFonts w:eastAsia="Times New Roman" w:cstheme="minorHAnsi"/>
          <w:color w:val="3E3F3A"/>
          <w:sz w:val="28"/>
          <w:szCs w:val="28"/>
          <w:lang w:eastAsia="it-IT"/>
        </w:rPr>
        <w:t>Al riguardo</w:t>
      </w:r>
      <w:r w:rsidR="00963D39" w:rsidRPr="00340C42">
        <w:rPr>
          <w:rFonts w:eastAsia="Times New Roman" w:cstheme="minorHAnsi"/>
          <w:color w:val="3E3F3A"/>
          <w:sz w:val="28"/>
          <w:szCs w:val="28"/>
          <w:lang w:eastAsia="it-IT"/>
        </w:rPr>
        <w:t xml:space="preserve">, possiamo ricordare la recente sentenza </w:t>
      </w:r>
      <w:r w:rsidR="00963D39" w:rsidRPr="00340C42">
        <w:rPr>
          <w:rFonts w:eastAsia="Times New Roman" w:cstheme="minorHAnsi"/>
          <w:b/>
          <w:color w:val="3E3F3A"/>
          <w:sz w:val="28"/>
          <w:szCs w:val="28"/>
          <w:lang w:eastAsia="it-IT"/>
        </w:rPr>
        <w:t>n. 160 del 2020</w:t>
      </w:r>
      <w:r w:rsidR="00963D39" w:rsidRPr="00340C42">
        <w:rPr>
          <w:rFonts w:eastAsia="Times New Roman" w:cstheme="minorHAnsi"/>
          <w:color w:val="3E3F3A"/>
          <w:sz w:val="28"/>
          <w:szCs w:val="28"/>
          <w:lang w:eastAsia="it-IT"/>
        </w:rPr>
        <w:t xml:space="preserve">, in materia di piani di abbattimento degli animali selvatici, che ha dichiarato inammissibile la questione sollevata a motivo della non sufficiente motivazione della non manifesta infondatezza, la quale risulta dedotta, nell’ordinanza di remissione, mediate un </w:t>
      </w:r>
      <w:r w:rsidR="00963D39" w:rsidRPr="00340C42">
        <w:rPr>
          <w:rFonts w:eastAsia="Times New Roman" w:cstheme="minorHAnsi"/>
          <w:b/>
          <w:color w:val="3E3F3A"/>
          <w:sz w:val="28"/>
          <w:szCs w:val="28"/>
          <w:lang w:eastAsia="it-IT"/>
        </w:rPr>
        <w:t xml:space="preserve">mero rinvio </w:t>
      </w:r>
      <w:r w:rsidR="00963D39" w:rsidRPr="00340C42">
        <w:rPr>
          <w:rFonts w:eastAsia="Times New Roman" w:cstheme="minorHAnsi"/>
          <w:b/>
          <w:i/>
          <w:color w:val="3E3F3A"/>
          <w:sz w:val="28"/>
          <w:szCs w:val="28"/>
          <w:lang w:eastAsia="it-IT"/>
        </w:rPr>
        <w:t>per relationem</w:t>
      </w:r>
      <w:r w:rsidR="00963D39" w:rsidRPr="00340C42">
        <w:rPr>
          <w:rFonts w:eastAsia="Times New Roman" w:cstheme="minorHAnsi"/>
          <w:b/>
          <w:color w:val="3E3F3A"/>
          <w:sz w:val="28"/>
          <w:szCs w:val="28"/>
          <w:lang w:eastAsia="it-IT"/>
        </w:rPr>
        <w:t xml:space="preserve"> </w:t>
      </w:r>
      <w:r w:rsidR="00963D39" w:rsidRPr="00340C42">
        <w:rPr>
          <w:rFonts w:eastAsia="Times New Roman" w:cstheme="minorHAnsi"/>
          <w:color w:val="3E3F3A"/>
          <w:sz w:val="28"/>
          <w:szCs w:val="28"/>
          <w:lang w:eastAsia="it-IT"/>
        </w:rPr>
        <w:t xml:space="preserve">a precedenti pronunce della Corte. </w:t>
      </w:r>
    </w:p>
    <w:p w:rsidR="00963D39" w:rsidRPr="00C47163" w:rsidRDefault="00963D39" w:rsidP="0018584F">
      <w:pPr>
        <w:spacing w:before="100" w:beforeAutospacing="1" w:after="0" w:line="240" w:lineRule="auto"/>
        <w:jc w:val="both"/>
        <w:rPr>
          <w:rFonts w:eastAsia="Times New Roman" w:cstheme="minorHAnsi"/>
          <w:i/>
          <w:color w:val="3E3F3A"/>
          <w:sz w:val="28"/>
          <w:szCs w:val="28"/>
          <w:lang w:eastAsia="it-IT"/>
        </w:rPr>
      </w:pPr>
      <w:r w:rsidRPr="00C47163">
        <w:rPr>
          <w:rFonts w:eastAsia="Times New Roman" w:cstheme="minorHAnsi"/>
          <w:color w:val="3E3F3A"/>
          <w:sz w:val="28"/>
          <w:szCs w:val="28"/>
          <w:lang w:eastAsia="it-IT"/>
        </w:rPr>
        <w:t>In termini analoghi la Corte si era espressa in molti precedenti (ordinanze n. 19 del 2018, n. 19 del 2017, n. 253 del 2008, 354 del 2007, n. 103 del 2007 (nella quale si legge: “</w:t>
      </w:r>
      <w:r w:rsidRPr="00C47163">
        <w:rPr>
          <w:rFonts w:eastAsia="Times New Roman" w:cstheme="minorHAnsi"/>
          <w:i/>
          <w:color w:val="3E3F3A"/>
          <w:sz w:val="28"/>
          <w:szCs w:val="28"/>
          <w:lang w:eastAsia="it-IT"/>
        </w:rPr>
        <w:t xml:space="preserve">la giurisprudenza di questa Corte è infatti costante nell’affermare che non possono </w:t>
      </w:r>
      <w:r w:rsidR="00B73C96" w:rsidRPr="00C47163">
        <w:rPr>
          <w:rFonts w:eastAsia="Times New Roman" w:cstheme="minorHAnsi"/>
          <w:i/>
          <w:color w:val="3E3F3A"/>
          <w:sz w:val="28"/>
          <w:szCs w:val="28"/>
          <w:lang w:eastAsia="it-IT"/>
        </w:rPr>
        <w:t xml:space="preserve">avere ingresso nel giudizio incidentale di costituzionalità questioni motivate solo per relationem, dovendo il rimettente rendere esplicite in ciascuna ordinanza le ragioni per le quali ritenga rilevante e non manifestamente infondata la questione sollevata, mediante una </w:t>
      </w:r>
      <w:r w:rsidR="00B73C96" w:rsidRPr="00C47163">
        <w:rPr>
          <w:rFonts w:eastAsia="Times New Roman" w:cstheme="minorHAnsi"/>
          <w:b/>
          <w:i/>
          <w:color w:val="3E3F3A"/>
          <w:sz w:val="28"/>
          <w:szCs w:val="28"/>
          <w:lang w:eastAsia="it-IT"/>
        </w:rPr>
        <w:t>motivazione autosufficiente</w:t>
      </w:r>
      <w:r w:rsidR="00B73C96" w:rsidRPr="00C47163">
        <w:rPr>
          <w:rFonts w:eastAsia="Times New Roman" w:cstheme="minorHAnsi"/>
          <w:i/>
          <w:color w:val="3E3F3A"/>
          <w:sz w:val="28"/>
          <w:szCs w:val="28"/>
          <w:lang w:eastAsia="it-IT"/>
        </w:rPr>
        <w:t xml:space="preserve">, non sostituibile dal rinvio al contenuto di altre ordinanze, anche se emanate dallo stesso giudice nel medesimo giudizio”). </w:t>
      </w:r>
    </w:p>
    <w:p w:rsidR="007410D1" w:rsidRPr="00340C42" w:rsidRDefault="007410D1">
      <w:pPr>
        <w:spacing w:before="100" w:beforeAutospacing="1" w:after="0" w:line="240" w:lineRule="auto"/>
        <w:jc w:val="both"/>
        <w:rPr>
          <w:rFonts w:eastAsia="Times New Roman" w:cstheme="minorHAnsi"/>
          <w:b/>
          <w:color w:val="3E3F3A"/>
          <w:sz w:val="28"/>
          <w:szCs w:val="28"/>
          <w:lang w:eastAsia="it-IT"/>
        </w:rPr>
      </w:pPr>
      <w:r w:rsidRPr="00340C42">
        <w:rPr>
          <w:rFonts w:eastAsia="Times New Roman" w:cstheme="minorHAnsi"/>
          <w:color w:val="3E3F3A"/>
          <w:sz w:val="28"/>
          <w:szCs w:val="28"/>
          <w:lang w:eastAsia="it-IT"/>
        </w:rPr>
        <w:t xml:space="preserve">D’altra parte la sentenza </w:t>
      </w:r>
      <w:r w:rsidRPr="00340C42">
        <w:rPr>
          <w:rFonts w:eastAsia="Times New Roman" w:cstheme="minorHAnsi"/>
          <w:b/>
          <w:color w:val="3E3F3A"/>
          <w:sz w:val="28"/>
          <w:szCs w:val="28"/>
          <w:lang w:eastAsia="it-IT"/>
        </w:rPr>
        <w:t>n. 239 del 2019</w:t>
      </w:r>
      <w:r w:rsidRPr="00340C42">
        <w:rPr>
          <w:rFonts w:eastAsia="Times New Roman" w:cstheme="minorHAnsi"/>
          <w:color w:val="3E3F3A"/>
          <w:sz w:val="28"/>
          <w:szCs w:val="28"/>
          <w:lang w:eastAsia="it-IT"/>
        </w:rPr>
        <w:t>, in materia di riordino dei ruoli dell’Arma dei Carabinieri, ha ritenuto inammissibili le questioni di costituzionalità in quanto, nelle ordinanze di rimessione</w:t>
      </w:r>
      <w:r w:rsidRPr="00340C42">
        <w:rPr>
          <w:rFonts w:eastAsia="Times New Roman" w:cstheme="minorHAnsi"/>
          <w:b/>
          <w:color w:val="3E3F3A"/>
          <w:sz w:val="28"/>
          <w:szCs w:val="28"/>
          <w:lang w:eastAsia="it-IT"/>
        </w:rPr>
        <w:t xml:space="preserve">, i </w:t>
      </w:r>
      <w:r w:rsidRPr="00340C42">
        <w:rPr>
          <w:rFonts w:eastAsia="Times New Roman" w:cstheme="minorHAnsi"/>
          <w:b/>
          <w:i/>
          <w:color w:val="3E3F3A"/>
          <w:sz w:val="28"/>
          <w:szCs w:val="28"/>
          <w:lang w:eastAsia="it-IT"/>
        </w:rPr>
        <w:t>petita</w:t>
      </w:r>
      <w:r w:rsidRPr="00340C42">
        <w:rPr>
          <w:rFonts w:eastAsia="Times New Roman" w:cstheme="minorHAnsi"/>
          <w:b/>
          <w:color w:val="3E3F3A"/>
          <w:sz w:val="28"/>
          <w:szCs w:val="28"/>
          <w:lang w:eastAsia="it-IT"/>
        </w:rPr>
        <w:t xml:space="preserve"> </w:t>
      </w:r>
      <w:r w:rsidR="00385C0D" w:rsidRPr="00340C42">
        <w:rPr>
          <w:rFonts w:eastAsia="Times New Roman" w:cstheme="minorHAnsi"/>
          <w:b/>
          <w:color w:val="3E3F3A"/>
          <w:sz w:val="28"/>
          <w:szCs w:val="28"/>
          <w:lang w:eastAsia="it-IT"/>
        </w:rPr>
        <w:t xml:space="preserve">venivano </w:t>
      </w:r>
      <w:r w:rsidRPr="00340C42">
        <w:rPr>
          <w:rFonts w:eastAsia="Times New Roman" w:cstheme="minorHAnsi"/>
          <w:b/>
          <w:color w:val="3E3F3A"/>
          <w:sz w:val="28"/>
          <w:szCs w:val="28"/>
          <w:lang w:eastAsia="it-IT"/>
        </w:rPr>
        <w:t>formulati in modo ambiguo e indeterminato.</w:t>
      </w:r>
    </w:p>
    <w:p w:rsidR="00BE0745" w:rsidRDefault="009B64B4">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La Corte altre volte ha giudicato inammissibili le questioni sollevate con riguardo alla </w:t>
      </w:r>
      <w:r w:rsidRPr="00340C42">
        <w:rPr>
          <w:rFonts w:eastAsia="Times New Roman" w:cstheme="minorHAnsi"/>
          <w:b/>
          <w:color w:val="3E3F3A"/>
          <w:sz w:val="28"/>
          <w:szCs w:val="28"/>
          <w:lang w:eastAsia="it-IT"/>
        </w:rPr>
        <w:t>mancanza di completezza della ricostruzione, da parte del giudice a quo, del quadro normativo di riferimento</w:t>
      </w:r>
      <w:r w:rsidRPr="00340C42">
        <w:rPr>
          <w:rFonts w:eastAsia="Times New Roman" w:cstheme="minorHAnsi"/>
          <w:color w:val="3E3F3A"/>
          <w:sz w:val="28"/>
          <w:szCs w:val="28"/>
          <w:lang w:eastAsia="it-IT"/>
        </w:rPr>
        <w:t>.</w:t>
      </w:r>
    </w:p>
    <w:p w:rsidR="007410D1" w:rsidRPr="00C47163" w:rsidRDefault="009B64B4">
      <w:pPr>
        <w:spacing w:before="100" w:beforeAutospacing="1" w:after="0" w:line="240" w:lineRule="auto"/>
        <w:jc w:val="both"/>
        <w:rPr>
          <w:rFonts w:eastAsia="Times New Roman" w:cstheme="minorHAnsi"/>
          <w:color w:val="3E3F3A"/>
          <w:sz w:val="28"/>
          <w:szCs w:val="28"/>
          <w:lang w:eastAsia="it-IT"/>
        </w:rPr>
      </w:pPr>
      <w:r w:rsidRPr="00C47163">
        <w:rPr>
          <w:rFonts w:eastAsia="Times New Roman" w:cstheme="minorHAnsi"/>
          <w:color w:val="3E3F3A"/>
          <w:sz w:val="28"/>
          <w:szCs w:val="28"/>
          <w:lang w:eastAsia="it-IT"/>
        </w:rPr>
        <w:t xml:space="preserve">In particolare nella sentenza </w:t>
      </w:r>
      <w:r w:rsidRPr="00C47163">
        <w:rPr>
          <w:rFonts w:eastAsia="Times New Roman" w:cstheme="minorHAnsi"/>
          <w:b/>
          <w:color w:val="3E3F3A"/>
          <w:sz w:val="28"/>
          <w:szCs w:val="28"/>
          <w:lang w:eastAsia="it-IT"/>
        </w:rPr>
        <w:t xml:space="preserve">n. 150 del 2019 </w:t>
      </w:r>
      <w:r w:rsidRPr="00C47163">
        <w:rPr>
          <w:rFonts w:eastAsia="Times New Roman" w:cstheme="minorHAnsi"/>
          <w:color w:val="3E3F3A"/>
          <w:sz w:val="28"/>
          <w:szCs w:val="28"/>
          <w:lang w:eastAsia="it-IT"/>
        </w:rPr>
        <w:t xml:space="preserve">la Corte afferma: </w:t>
      </w:r>
      <w:r w:rsidRPr="00C47163">
        <w:rPr>
          <w:rFonts w:eastAsia="Times New Roman" w:cstheme="minorHAnsi"/>
          <w:i/>
          <w:color w:val="3E3F3A"/>
          <w:sz w:val="28"/>
          <w:szCs w:val="28"/>
          <w:lang w:eastAsia="it-IT"/>
        </w:rPr>
        <w:t>“la circostanza che il rimettente non abbia ricostruito in modo completo il quadro normativo, né abbia esaminato i profili indicati di applicabilità della disciplina intervenuta, anche solo per negare rilievo o consistenza, compromette irrimediabilmente l’iter logico argomentativo posto a fondamento delle censure sollevate. Ciò che, secondo la costante giurisprudenza costituzionale, ne preclude lo scrutinio, incidendo sull’ammissibilità delle questioni”</w:t>
      </w:r>
      <w:r w:rsidRPr="00C47163">
        <w:rPr>
          <w:rFonts w:eastAsia="Times New Roman" w:cstheme="minorHAnsi"/>
          <w:color w:val="3E3F3A"/>
          <w:sz w:val="28"/>
          <w:szCs w:val="28"/>
          <w:lang w:eastAsia="it-IT"/>
        </w:rPr>
        <w:t xml:space="preserve">. Si veda anche Corte cost. </w:t>
      </w:r>
      <w:r w:rsidRPr="00C47163">
        <w:rPr>
          <w:rFonts w:eastAsia="Times New Roman" w:cstheme="minorHAnsi"/>
          <w:b/>
          <w:color w:val="3E3F3A"/>
          <w:sz w:val="28"/>
          <w:szCs w:val="28"/>
          <w:lang w:eastAsia="it-IT"/>
        </w:rPr>
        <w:t>n. 9 del 2018</w:t>
      </w:r>
      <w:r w:rsidRPr="00C47163">
        <w:rPr>
          <w:rFonts w:eastAsia="Times New Roman" w:cstheme="minorHAnsi"/>
          <w:color w:val="3E3F3A"/>
          <w:sz w:val="28"/>
          <w:szCs w:val="28"/>
          <w:lang w:eastAsia="it-IT"/>
        </w:rPr>
        <w:t xml:space="preserve"> </w:t>
      </w:r>
      <w:r w:rsidR="00FF0C40" w:rsidRPr="00C47163">
        <w:rPr>
          <w:rFonts w:eastAsia="Times New Roman" w:cstheme="minorHAnsi"/>
          <w:color w:val="3E3F3A"/>
          <w:sz w:val="28"/>
          <w:szCs w:val="28"/>
          <w:lang w:eastAsia="it-IT"/>
        </w:rPr>
        <w:t xml:space="preserve">secondo cui </w:t>
      </w:r>
      <w:r w:rsidR="00FF0C40" w:rsidRPr="00C47163">
        <w:rPr>
          <w:rFonts w:eastAsia="Times New Roman" w:cstheme="minorHAnsi"/>
          <w:i/>
          <w:color w:val="3E3F3A"/>
          <w:sz w:val="28"/>
          <w:szCs w:val="28"/>
          <w:lang w:eastAsia="it-IT"/>
        </w:rPr>
        <w:t>“è compito del giudice a quo identificare univocamente la norma da applicare alla fattispecie concreta. Omettendo di farlo, e formulando questioni alternative su due diverse leggi succedutisi nel tempo, l’ordinanza finisce per formulare questioni dichiaratamente ancipiti e, per questo, inammissibili”</w:t>
      </w:r>
      <w:r w:rsidR="00FF0C40" w:rsidRPr="00C47163">
        <w:rPr>
          <w:rFonts w:eastAsia="Times New Roman" w:cstheme="minorHAnsi"/>
          <w:color w:val="3E3F3A"/>
          <w:sz w:val="28"/>
          <w:szCs w:val="28"/>
          <w:lang w:eastAsia="it-IT"/>
        </w:rPr>
        <w:t>.</w:t>
      </w:r>
    </w:p>
    <w:p w:rsidR="00BE0745" w:rsidRDefault="00A512C7">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 xml:space="preserve">Altre volte ancora la Corte ha ritenuto la inammissibilità della questione di legittimità costituzionale sollevata per la sua </w:t>
      </w:r>
      <w:r w:rsidRPr="00340C42">
        <w:rPr>
          <w:rFonts w:eastAsia="Times New Roman" w:cstheme="minorHAnsi"/>
          <w:b/>
          <w:color w:val="3E3F3A"/>
          <w:sz w:val="28"/>
          <w:szCs w:val="28"/>
          <w:lang w:eastAsia="it-IT"/>
        </w:rPr>
        <w:t>inidoneità a garantire il risultato perseguito</w:t>
      </w:r>
      <w:r w:rsidRPr="00340C42">
        <w:rPr>
          <w:rFonts w:eastAsia="Times New Roman" w:cstheme="minorHAnsi"/>
          <w:color w:val="3E3F3A"/>
          <w:sz w:val="28"/>
          <w:szCs w:val="28"/>
          <w:lang w:eastAsia="it-IT"/>
        </w:rPr>
        <w:t xml:space="preserve"> (anche nella logica della c.</w:t>
      </w:r>
      <w:r w:rsidR="00BE0745">
        <w:rPr>
          <w:rFonts w:eastAsia="Times New Roman" w:cstheme="minorHAnsi"/>
          <w:color w:val="3E3F3A"/>
          <w:sz w:val="28"/>
          <w:szCs w:val="28"/>
          <w:lang w:eastAsia="it-IT"/>
        </w:rPr>
        <w:t>d</w:t>
      </w:r>
      <w:r w:rsidRPr="00340C42">
        <w:rPr>
          <w:rFonts w:eastAsia="Times New Roman" w:cstheme="minorHAnsi"/>
          <w:color w:val="3E3F3A"/>
          <w:sz w:val="28"/>
          <w:szCs w:val="28"/>
          <w:lang w:eastAsia="it-IT"/>
        </w:rPr>
        <w:t>. normativa di risulta).</w:t>
      </w:r>
      <w:r w:rsidR="00BE0745">
        <w:rPr>
          <w:rFonts w:eastAsia="Times New Roman" w:cstheme="minorHAnsi"/>
          <w:color w:val="3E3F3A"/>
          <w:sz w:val="28"/>
          <w:szCs w:val="28"/>
          <w:lang w:eastAsia="it-IT"/>
        </w:rPr>
        <w:t xml:space="preserve"> </w:t>
      </w:r>
    </w:p>
    <w:p w:rsidR="00A512C7" w:rsidRPr="00C47163" w:rsidRDefault="00BE0745">
      <w:pPr>
        <w:spacing w:before="100" w:beforeAutospacing="1" w:after="0" w:line="240" w:lineRule="auto"/>
        <w:jc w:val="both"/>
        <w:rPr>
          <w:rFonts w:eastAsia="Times New Roman" w:cstheme="minorHAnsi"/>
          <w:color w:val="3E3F3A"/>
          <w:sz w:val="28"/>
          <w:szCs w:val="28"/>
          <w:lang w:eastAsia="it-IT"/>
        </w:rPr>
      </w:pPr>
      <w:r w:rsidRPr="00C47163">
        <w:rPr>
          <w:rFonts w:eastAsia="Times New Roman" w:cstheme="minorHAnsi"/>
          <w:color w:val="3E3F3A"/>
          <w:sz w:val="28"/>
          <w:szCs w:val="28"/>
          <w:lang w:eastAsia="it-IT"/>
        </w:rPr>
        <w:t>S</w:t>
      </w:r>
      <w:r w:rsidR="00A512C7" w:rsidRPr="00C47163">
        <w:rPr>
          <w:rFonts w:eastAsia="Times New Roman" w:cstheme="minorHAnsi"/>
          <w:color w:val="3E3F3A"/>
          <w:sz w:val="28"/>
          <w:szCs w:val="28"/>
          <w:lang w:eastAsia="it-IT"/>
        </w:rPr>
        <w:t xml:space="preserve">i veda Corte cost. </w:t>
      </w:r>
      <w:r w:rsidR="00A512C7" w:rsidRPr="00C47163">
        <w:rPr>
          <w:rFonts w:eastAsia="Times New Roman" w:cstheme="minorHAnsi"/>
          <w:b/>
          <w:color w:val="3E3F3A"/>
          <w:sz w:val="28"/>
          <w:szCs w:val="28"/>
          <w:lang w:eastAsia="it-IT"/>
        </w:rPr>
        <w:t>n. 210 del 2015</w:t>
      </w:r>
      <w:r w:rsidR="00A512C7" w:rsidRPr="00C47163">
        <w:rPr>
          <w:rFonts w:eastAsia="Times New Roman" w:cstheme="minorHAnsi"/>
          <w:color w:val="3E3F3A"/>
          <w:sz w:val="28"/>
          <w:szCs w:val="28"/>
          <w:lang w:eastAsia="it-IT"/>
        </w:rPr>
        <w:t xml:space="preserve"> secondo cui, tra l’altro, </w:t>
      </w:r>
      <w:r w:rsidR="00A512C7" w:rsidRPr="00C47163">
        <w:rPr>
          <w:rFonts w:eastAsia="Times New Roman" w:cstheme="minorHAnsi"/>
          <w:i/>
          <w:color w:val="3E3F3A"/>
          <w:sz w:val="28"/>
          <w:szCs w:val="28"/>
          <w:lang w:eastAsia="it-IT"/>
        </w:rPr>
        <w:t>“è inammissibile, in quanto comunque inidonea a garantire la realizzazione del risultato perseguito dal giudice a quo, la questione di legittimità costituzionale dell’art. 38, comma 5, d.lgs. 31 luglio 2005 n. 177, come sostituito dall’art. 12 d.lgs. 15 marzo 2010 n. 44, nella parte in cui stabilisce per le emittenti televisive a pagamento limiti orari alla trasmissione di spot pubblicitari più restrittivi di quelli previsti per le emittenti c.d. in chiaro, in riferimento all’art. 3 Cost.”; “ l’inidoneità dell’intervento correttivo invocato a garantire la realizzazione del risultato avuto di mira dal remittente, ovvero il rischio che essa produca vizi consequenziali più gravi di quelli in origine denunciati, determina l’inammissibilità della questione di legittimità costituzionale</w:t>
      </w:r>
      <w:r w:rsidR="00A512C7" w:rsidRPr="00C47163">
        <w:rPr>
          <w:rFonts w:eastAsia="Times New Roman" w:cstheme="minorHAnsi"/>
          <w:color w:val="3E3F3A"/>
          <w:sz w:val="28"/>
          <w:szCs w:val="28"/>
          <w:lang w:eastAsia="it-IT"/>
        </w:rPr>
        <w:t xml:space="preserve">”. </w:t>
      </w:r>
    </w:p>
    <w:p w:rsidR="007D18C8" w:rsidRDefault="00A512C7">
      <w:pPr>
        <w:spacing w:before="100" w:beforeAutospacing="1" w:after="0" w:line="240" w:lineRule="auto"/>
        <w:jc w:val="both"/>
        <w:rPr>
          <w:rFonts w:eastAsia="Times New Roman" w:cstheme="minorHAnsi"/>
          <w:color w:val="3E3F3A"/>
          <w:sz w:val="28"/>
          <w:szCs w:val="28"/>
          <w:lang w:eastAsia="it-IT"/>
        </w:rPr>
      </w:pPr>
      <w:r w:rsidRPr="00340C42">
        <w:rPr>
          <w:rFonts w:eastAsia="Times New Roman" w:cstheme="minorHAnsi"/>
          <w:color w:val="3E3F3A"/>
          <w:sz w:val="28"/>
          <w:szCs w:val="28"/>
          <w:lang w:eastAsia="it-IT"/>
        </w:rPr>
        <w:t>Le relazioni ci consentiranno di approfondire quest</w:t>
      </w:r>
      <w:r w:rsidR="00385C0D" w:rsidRPr="00340C42">
        <w:rPr>
          <w:rFonts w:eastAsia="Times New Roman" w:cstheme="minorHAnsi"/>
          <w:color w:val="3E3F3A"/>
          <w:sz w:val="28"/>
          <w:szCs w:val="28"/>
          <w:lang w:eastAsia="it-IT"/>
        </w:rPr>
        <w:t>i</w:t>
      </w:r>
      <w:r w:rsidRPr="00340C42">
        <w:rPr>
          <w:rFonts w:eastAsia="Times New Roman" w:cstheme="minorHAnsi"/>
          <w:color w:val="3E3F3A"/>
          <w:sz w:val="28"/>
          <w:szCs w:val="28"/>
          <w:lang w:eastAsia="it-IT"/>
        </w:rPr>
        <w:t xml:space="preserve"> e molti altri profili di possibile inammissibilità delle questioni di costituzionalità sollevate. Sarà interessante ed importante far tesoro degli approfondimenti teorici che potranno anche portare, nel tempo, ad una riduzione de</w:t>
      </w:r>
      <w:r w:rsidR="00A8020E">
        <w:rPr>
          <w:rFonts w:eastAsia="Times New Roman" w:cstheme="minorHAnsi"/>
          <w:color w:val="3E3F3A"/>
          <w:sz w:val="28"/>
          <w:szCs w:val="28"/>
          <w:lang w:eastAsia="it-IT"/>
        </w:rPr>
        <w:t>lle pronunce di inammissibilità, ma</w:t>
      </w:r>
      <w:r w:rsidR="00C47163">
        <w:rPr>
          <w:rFonts w:eastAsia="Times New Roman" w:cstheme="minorHAnsi"/>
          <w:color w:val="3E3F3A"/>
          <w:sz w:val="28"/>
          <w:szCs w:val="28"/>
          <w:lang w:eastAsia="it-IT"/>
        </w:rPr>
        <w:t>, più in generale,</w:t>
      </w:r>
      <w:r w:rsidR="00A8020E">
        <w:rPr>
          <w:rFonts w:eastAsia="Times New Roman" w:cstheme="minorHAnsi"/>
          <w:color w:val="3E3F3A"/>
          <w:sz w:val="28"/>
          <w:szCs w:val="28"/>
          <w:lang w:eastAsia="it-IT"/>
        </w:rPr>
        <w:t xml:space="preserve"> anche a un dibattito aperto e “colto” sui temi sostanziali</w:t>
      </w:r>
      <w:r w:rsidR="00C47163">
        <w:rPr>
          <w:rFonts w:eastAsia="Times New Roman" w:cstheme="minorHAnsi"/>
          <w:color w:val="3E3F3A"/>
          <w:sz w:val="28"/>
          <w:szCs w:val="28"/>
          <w:lang w:eastAsia="it-IT"/>
        </w:rPr>
        <w:t>,</w:t>
      </w:r>
      <w:r w:rsidR="00A8020E">
        <w:rPr>
          <w:rFonts w:eastAsia="Times New Roman" w:cstheme="minorHAnsi"/>
          <w:color w:val="3E3F3A"/>
          <w:sz w:val="28"/>
          <w:szCs w:val="28"/>
          <w:lang w:eastAsia="it-IT"/>
        </w:rPr>
        <w:t xml:space="preserve"> tra diritto costituzionale e diritto amministrativo. E’</w:t>
      </w:r>
      <w:r w:rsidR="000B19CD">
        <w:rPr>
          <w:rFonts w:eastAsia="Times New Roman" w:cstheme="minorHAnsi"/>
          <w:color w:val="3E3F3A"/>
          <w:sz w:val="28"/>
          <w:szCs w:val="28"/>
          <w:lang w:eastAsia="it-IT"/>
        </w:rPr>
        <w:t xml:space="preserve"> </w:t>
      </w:r>
      <w:r w:rsidR="00A8020E">
        <w:rPr>
          <w:rFonts w:eastAsia="Times New Roman" w:cstheme="minorHAnsi"/>
          <w:color w:val="3E3F3A"/>
          <w:sz w:val="28"/>
          <w:szCs w:val="28"/>
          <w:lang w:eastAsia="it-IT"/>
        </w:rPr>
        <w:t>infatti mia profonda convinzione che il diritto amministrativo e il suo processo siano i luoghi privilegiati per dare concretezza e quotidianità ai valori costituzionali.</w:t>
      </w:r>
    </w:p>
    <w:p w:rsidR="00BE0745" w:rsidRPr="00340C42" w:rsidRDefault="00BE0745">
      <w:pPr>
        <w:spacing w:before="100" w:beforeAutospacing="1" w:after="0" w:line="240" w:lineRule="auto"/>
        <w:jc w:val="both"/>
        <w:rPr>
          <w:rFonts w:cstheme="minorHAnsi"/>
          <w:sz w:val="28"/>
          <w:szCs w:val="28"/>
        </w:rPr>
      </w:pPr>
      <w:r>
        <w:rPr>
          <w:rFonts w:eastAsia="Times New Roman" w:cstheme="minorHAnsi"/>
          <w:color w:val="3E3F3A"/>
          <w:sz w:val="28"/>
          <w:szCs w:val="28"/>
          <w:lang w:eastAsia="it-IT"/>
        </w:rPr>
        <w:t>Credo che il grande inte</w:t>
      </w:r>
      <w:r w:rsidR="00A06872">
        <w:rPr>
          <w:rFonts w:eastAsia="Times New Roman" w:cstheme="minorHAnsi"/>
          <w:color w:val="3E3F3A"/>
          <w:sz w:val="28"/>
          <w:szCs w:val="28"/>
          <w:lang w:eastAsia="it-IT"/>
        </w:rPr>
        <w:t>resse per la materia discenda di</w:t>
      </w:r>
      <w:r>
        <w:rPr>
          <w:rFonts w:eastAsia="Times New Roman" w:cstheme="minorHAnsi"/>
          <w:color w:val="3E3F3A"/>
          <w:sz w:val="28"/>
          <w:szCs w:val="28"/>
          <w:lang w:eastAsia="it-IT"/>
        </w:rPr>
        <w:t>rettamente dalla varietà e dall’importanza dei temi trattati. Rinnovo il ringraziamento mio e della giustizia amministrativa alla Corte, agli organizzatori, ai partecipanti</w:t>
      </w:r>
      <w:r w:rsidR="00C47163">
        <w:rPr>
          <w:rFonts w:eastAsia="Times New Roman" w:cstheme="minorHAnsi"/>
          <w:color w:val="3E3F3A"/>
          <w:sz w:val="28"/>
          <w:szCs w:val="28"/>
          <w:lang w:eastAsia="it-IT"/>
        </w:rPr>
        <w:t xml:space="preserve"> nonché al Segretariato e al personale tutto che ha reso possibile lo svolgimento di questo evento in una situazione non facile.</w:t>
      </w:r>
    </w:p>
    <w:sectPr w:rsidR="00BE0745" w:rsidRPr="00340C4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D3" w:rsidRDefault="00087ED3" w:rsidP="0018584F">
      <w:pPr>
        <w:spacing w:after="0" w:line="240" w:lineRule="auto"/>
      </w:pPr>
      <w:r>
        <w:separator/>
      </w:r>
    </w:p>
  </w:endnote>
  <w:endnote w:type="continuationSeparator" w:id="0">
    <w:p w:rsidR="00087ED3" w:rsidRDefault="00087ED3" w:rsidP="0018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83320"/>
      <w:docPartObj>
        <w:docPartGallery w:val="Page Numbers (Bottom of Page)"/>
        <w:docPartUnique/>
      </w:docPartObj>
    </w:sdtPr>
    <w:sdtEndPr/>
    <w:sdtContent>
      <w:p w:rsidR="00BE0745" w:rsidRDefault="00BE0745">
        <w:pPr>
          <w:pStyle w:val="Pidipagina"/>
          <w:jc w:val="right"/>
        </w:pPr>
        <w:r>
          <w:fldChar w:fldCharType="begin"/>
        </w:r>
        <w:r>
          <w:instrText>PAGE   \* MERGEFORMAT</w:instrText>
        </w:r>
        <w:r>
          <w:fldChar w:fldCharType="separate"/>
        </w:r>
        <w:r w:rsidR="00647B84">
          <w:rPr>
            <w:noProof/>
          </w:rPr>
          <w:t>6</w:t>
        </w:r>
        <w:r>
          <w:fldChar w:fldCharType="end"/>
        </w:r>
      </w:p>
    </w:sdtContent>
  </w:sdt>
  <w:p w:rsidR="00BE0745" w:rsidRDefault="00BE07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D3" w:rsidRDefault="00087ED3" w:rsidP="0018584F">
      <w:pPr>
        <w:spacing w:after="0" w:line="240" w:lineRule="auto"/>
      </w:pPr>
      <w:r>
        <w:separator/>
      </w:r>
    </w:p>
  </w:footnote>
  <w:footnote w:type="continuationSeparator" w:id="0">
    <w:p w:rsidR="00087ED3" w:rsidRDefault="00087ED3" w:rsidP="0018584F">
      <w:pPr>
        <w:spacing w:after="0" w:line="240" w:lineRule="auto"/>
      </w:pPr>
      <w:r>
        <w:continuationSeparator/>
      </w:r>
    </w:p>
  </w:footnote>
  <w:footnote w:id="1">
    <w:p w:rsidR="0018584F" w:rsidRPr="00D57415" w:rsidRDefault="0018584F" w:rsidP="0018584F">
      <w:pPr>
        <w:pStyle w:val="TN"/>
        <w:rPr>
          <w:szCs w:val="17"/>
        </w:rPr>
      </w:pPr>
      <w:r w:rsidRPr="00357B99">
        <w:rPr>
          <w:rStyle w:val="Rimandonotaapidipagina"/>
        </w:rPr>
        <w:footnoteRef/>
      </w:r>
      <w:r w:rsidRPr="00D57415">
        <w:rPr>
          <w:szCs w:val="17"/>
        </w:rPr>
        <w:t xml:space="preserve"> </w:t>
      </w:r>
      <w:r w:rsidR="002046B1">
        <w:rPr>
          <w:szCs w:val="17"/>
        </w:rPr>
        <w:t>E. M</w:t>
      </w:r>
      <w:r w:rsidRPr="00D57415">
        <w:rPr>
          <w:szCs w:val="17"/>
        </w:rPr>
        <w:t xml:space="preserve">orlino, </w:t>
      </w:r>
      <w:r w:rsidRPr="00F103F0">
        <w:rPr>
          <w:i/>
          <w:szCs w:val="17"/>
        </w:rPr>
        <w:t>La responsabilità della pubblica amministrazione nel diritto nazionale, comparato ed europeo, in Lezioni di diritto amministrativo progredito</w:t>
      </w:r>
      <w:r w:rsidR="002046B1">
        <w:rPr>
          <w:szCs w:val="17"/>
        </w:rPr>
        <w:t xml:space="preserve"> a  cura di L. Torchia, Il Muliono, 2010, </w:t>
      </w:r>
      <w:r w:rsidRPr="00D57415">
        <w:rPr>
          <w:szCs w:val="17"/>
        </w:rPr>
        <w:t>170.</w:t>
      </w:r>
    </w:p>
  </w:footnote>
  <w:footnote w:id="2">
    <w:p w:rsidR="0018584F" w:rsidRPr="00D000BA" w:rsidRDefault="0018584F" w:rsidP="0018584F">
      <w:pPr>
        <w:pStyle w:val="TN"/>
        <w:rPr>
          <w:szCs w:val="17"/>
        </w:rPr>
      </w:pPr>
      <w:r w:rsidRPr="00D000BA">
        <w:rPr>
          <w:rStyle w:val="Rimandonotaapidipagina"/>
        </w:rPr>
        <w:footnoteRef/>
      </w:r>
      <w:r w:rsidRPr="00D000BA">
        <w:rPr>
          <w:szCs w:val="17"/>
        </w:rPr>
        <w:t xml:space="preserve"> P. Grossi, </w:t>
      </w:r>
      <w:r w:rsidRPr="002A732D">
        <w:rPr>
          <w:i/>
          <w:szCs w:val="17"/>
        </w:rPr>
        <w:t>Ritorno al diritto</w:t>
      </w:r>
      <w:r w:rsidRPr="00D000BA">
        <w:rPr>
          <w:szCs w:val="17"/>
        </w:rPr>
        <w:t>, Roma-Bari, 2015.</w:t>
      </w:r>
    </w:p>
  </w:footnote>
  <w:footnote w:id="3">
    <w:p w:rsidR="0018584F" w:rsidRPr="00D000BA" w:rsidRDefault="0018584F" w:rsidP="0018584F">
      <w:pPr>
        <w:pStyle w:val="TN"/>
        <w:rPr>
          <w:szCs w:val="17"/>
        </w:rPr>
      </w:pPr>
      <w:r w:rsidRPr="00D000BA">
        <w:rPr>
          <w:rStyle w:val="Rimandonotaapidipagina"/>
        </w:rPr>
        <w:footnoteRef/>
      </w:r>
      <w:r w:rsidRPr="00D000BA">
        <w:rPr>
          <w:szCs w:val="17"/>
        </w:rPr>
        <w:t xml:space="preserve"> P. Grossi, cit., 30.</w:t>
      </w:r>
    </w:p>
  </w:footnote>
  <w:footnote w:id="4">
    <w:p w:rsidR="0018584F" w:rsidRPr="00D000BA" w:rsidRDefault="0018584F" w:rsidP="0018584F">
      <w:pPr>
        <w:pStyle w:val="TN"/>
        <w:rPr>
          <w:szCs w:val="17"/>
        </w:rPr>
      </w:pPr>
      <w:r w:rsidRPr="00D000BA">
        <w:rPr>
          <w:rStyle w:val="Rimandonotaapidipagina"/>
        </w:rPr>
        <w:footnoteRef/>
      </w:r>
      <w:r w:rsidRPr="00D000BA">
        <w:rPr>
          <w:szCs w:val="17"/>
        </w:rPr>
        <w:t xml:space="preserve"> Dello studioso deve qui essere ricordato lo scritto, </w:t>
      </w:r>
      <w:r w:rsidRPr="00D000BA">
        <w:rPr>
          <w:i/>
          <w:szCs w:val="17"/>
        </w:rPr>
        <w:t>L’ordinamento giuridico</w:t>
      </w:r>
      <w:r w:rsidRPr="00D000BA">
        <w:rPr>
          <w:szCs w:val="17"/>
        </w:rPr>
        <w:t xml:space="preserve">, consultabile in </w:t>
      </w:r>
      <w:r w:rsidRPr="00D000BA">
        <w:rPr>
          <w:i/>
          <w:szCs w:val="17"/>
        </w:rPr>
        <w:t>L’ultimo Santi Romano</w:t>
      </w:r>
      <w:r w:rsidRPr="00D000BA">
        <w:rPr>
          <w:szCs w:val="17"/>
        </w:rPr>
        <w:t xml:space="preserve">, Milano, 2013. Si veda anche P. Grossi, </w:t>
      </w:r>
      <w:r w:rsidRPr="00D000BA">
        <w:rPr>
          <w:i/>
          <w:szCs w:val="17"/>
        </w:rPr>
        <w:t>Santi Romano: un messaggio da ripensare nella odierna crisi delle fonti</w:t>
      </w:r>
      <w:r w:rsidRPr="00D000BA">
        <w:rPr>
          <w:szCs w:val="17"/>
        </w:rPr>
        <w:t xml:space="preserve">, 2005. </w:t>
      </w:r>
    </w:p>
  </w:footnote>
  <w:footnote w:id="5">
    <w:p w:rsidR="0018584F" w:rsidRPr="00D000BA" w:rsidRDefault="0018584F" w:rsidP="0018584F">
      <w:pPr>
        <w:pStyle w:val="TN"/>
        <w:rPr>
          <w:szCs w:val="17"/>
        </w:rPr>
      </w:pPr>
      <w:r w:rsidRPr="00D000BA">
        <w:rPr>
          <w:rStyle w:val="Rimandonotaapidipagina"/>
        </w:rPr>
        <w:footnoteRef/>
      </w:r>
      <w:r w:rsidRPr="00D000BA">
        <w:rPr>
          <w:szCs w:val="17"/>
        </w:rPr>
        <w:t xml:space="preserve"> Ancora P. Grossi, cit., 10.</w:t>
      </w:r>
    </w:p>
  </w:footnote>
  <w:footnote w:id="6">
    <w:p w:rsidR="0018584F" w:rsidRPr="009052F9" w:rsidRDefault="0018584F" w:rsidP="0018584F">
      <w:pPr>
        <w:pStyle w:val="TN"/>
        <w:rPr>
          <w:szCs w:val="17"/>
        </w:rPr>
      </w:pPr>
      <w:r w:rsidRPr="00D000BA">
        <w:rPr>
          <w:rStyle w:val="Rimandonotaapidipagina"/>
        </w:rPr>
        <w:footnoteRef/>
      </w:r>
      <w:r w:rsidRPr="00D000BA">
        <w:rPr>
          <w:szCs w:val="17"/>
        </w:rPr>
        <w:t xml:space="preserve"> Ancora P. Grossi, cit.,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64"/>
    <w:rsid w:val="00014799"/>
    <w:rsid w:val="00087ED3"/>
    <w:rsid w:val="000B19CD"/>
    <w:rsid w:val="000F2916"/>
    <w:rsid w:val="0018584F"/>
    <w:rsid w:val="002046B1"/>
    <w:rsid w:val="00242FE1"/>
    <w:rsid w:val="002F0770"/>
    <w:rsid w:val="00311893"/>
    <w:rsid w:val="00340C42"/>
    <w:rsid w:val="00385C0D"/>
    <w:rsid w:val="004E7244"/>
    <w:rsid w:val="004F0564"/>
    <w:rsid w:val="0054175B"/>
    <w:rsid w:val="0064143E"/>
    <w:rsid w:val="00647B84"/>
    <w:rsid w:val="00681216"/>
    <w:rsid w:val="00687F33"/>
    <w:rsid w:val="007410D1"/>
    <w:rsid w:val="00797FD2"/>
    <w:rsid w:val="007D18C8"/>
    <w:rsid w:val="00805908"/>
    <w:rsid w:val="00825830"/>
    <w:rsid w:val="008C1565"/>
    <w:rsid w:val="008F5C79"/>
    <w:rsid w:val="009245C2"/>
    <w:rsid w:val="00963D39"/>
    <w:rsid w:val="00975ECD"/>
    <w:rsid w:val="009B64B4"/>
    <w:rsid w:val="00A06872"/>
    <w:rsid w:val="00A512C7"/>
    <w:rsid w:val="00A8020E"/>
    <w:rsid w:val="00A86EE9"/>
    <w:rsid w:val="00B73C96"/>
    <w:rsid w:val="00BA257A"/>
    <w:rsid w:val="00BE0745"/>
    <w:rsid w:val="00C44C4F"/>
    <w:rsid w:val="00C47163"/>
    <w:rsid w:val="00CB2147"/>
    <w:rsid w:val="00F83250"/>
    <w:rsid w:val="00FF0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4EC8"/>
  <w15:chartTrackingRefBased/>
  <w15:docId w15:val="{580C1655-2B00-4544-8DCD-9D5426D9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5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D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D39"/>
    <w:rPr>
      <w:rFonts w:ascii="Segoe UI" w:hAnsi="Segoe UI" w:cs="Segoe UI"/>
      <w:sz w:val="18"/>
      <w:szCs w:val="18"/>
    </w:rPr>
  </w:style>
  <w:style w:type="character" w:styleId="Rimandonotaapidipagina">
    <w:name w:val="footnote reference"/>
    <w:uiPriority w:val="99"/>
    <w:rsid w:val="0018584F"/>
    <w:rPr>
      <w:rFonts w:ascii="Times New Roman" w:hAnsi="Times New Roman"/>
      <w:sz w:val="22"/>
      <w:vertAlign w:val="superscript"/>
    </w:rPr>
  </w:style>
  <w:style w:type="paragraph" w:customStyle="1" w:styleId="TN">
    <w:name w:val="TN"/>
    <w:rsid w:val="0018584F"/>
    <w:pPr>
      <w:widowControl w:val="0"/>
      <w:autoSpaceDE w:val="0"/>
      <w:autoSpaceDN w:val="0"/>
      <w:adjustRightInd w:val="0"/>
      <w:spacing w:before="100" w:after="0" w:line="190" w:lineRule="exact"/>
      <w:jc w:val="both"/>
    </w:pPr>
    <w:rPr>
      <w:rFonts w:ascii="Arial" w:eastAsia="Times New Roman" w:hAnsi="Arial" w:cs="Arial"/>
      <w:sz w:val="17"/>
      <w:szCs w:val="20"/>
      <w:lang w:eastAsia="it-IT"/>
    </w:rPr>
  </w:style>
  <w:style w:type="paragraph" w:customStyle="1" w:styleId="TESTOCOMM">
    <w:name w:val="TESTOCOMM"/>
    <w:rsid w:val="0018584F"/>
    <w:pPr>
      <w:widowControl w:val="0"/>
      <w:autoSpaceDE w:val="0"/>
      <w:autoSpaceDN w:val="0"/>
      <w:adjustRightInd w:val="0"/>
      <w:spacing w:after="0" w:line="260" w:lineRule="exact"/>
      <w:jc w:val="both"/>
    </w:pPr>
    <w:rPr>
      <w:rFonts w:ascii="Times New Roman" w:eastAsia="Times New Roman" w:hAnsi="Times New Roman" w:cs="Times New Roman"/>
      <w:sz w:val="23"/>
      <w:szCs w:val="20"/>
      <w:lang w:eastAsia="it-IT"/>
    </w:rPr>
  </w:style>
  <w:style w:type="paragraph" w:styleId="Revisione">
    <w:name w:val="Revision"/>
    <w:hidden/>
    <w:uiPriority w:val="99"/>
    <w:semiHidden/>
    <w:rsid w:val="00A86EE9"/>
    <w:pPr>
      <w:spacing w:after="0" w:line="240" w:lineRule="auto"/>
    </w:pPr>
  </w:style>
  <w:style w:type="paragraph" w:styleId="Intestazione">
    <w:name w:val="header"/>
    <w:basedOn w:val="Normale"/>
    <w:link w:val="IntestazioneCarattere"/>
    <w:uiPriority w:val="99"/>
    <w:unhideWhenUsed/>
    <w:rsid w:val="00BE07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0745"/>
  </w:style>
  <w:style w:type="paragraph" w:styleId="Pidipagina">
    <w:name w:val="footer"/>
    <w:basedOn w:val="Normale"/>
    <w:link w:val="PidipaginaCarattere"/>
    <w:uiPriority w:val="99"/>
    <w:unhideWhenUsed/>
    <w:rsid w:val="00BE07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82E164E-AAB1-4624-8041-F792F517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2291</Words>
  <Characters>13063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Riccardo</dc:creator>
  <cp:keywords/>
  <dc:description/>
  <cp:lastModifiedBy>FERRARI Giulia</cp:lastModifiedBy>
  <cp:revision>2</cp:revision>
  <cp:lastPrinted>2020-09-28T17:01:00Z</cp:lastPrinted>
  <dcterms:created xsi:type="dcterms:W3CDTF">2020-10-02T13:12:00Z</dcterms:created>
  <dcterms:modified xsi:type="dcterms:W3CDTF">2020-10-02T13:12:00Z</dcterms:modified>
</cp:coreProperties>
</file>