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6ED3" w:rsidRPr="005E10A1" w:rsidRDefault="00536ED3" w:rsidP="00536ED3">
      <w:pPr>
        <w:widowControl w:val="0"/>
        <w:spacing w:after="120" w:line="259" w:lineRule="auto"/>
        <w:jc w:val="center"/>
        <w:rPr>
          <w:rFonts w:ascii="Garamond" w:hAnsi="Garamond"/>
          <w:b/>
          <w:caps/>
          <w:sz w:val="32"/>
          <w:szCs w:val="32"/>
        </w:rPr>
      </w:pPr>
      <w:r w:rsidRPr="005E10A1">
        <w:rPr>
          <w:rFonts w:ascii="Garamond" w:hAnsi="Garamond"/>
          <w:b/>
          <w:caps/>
          <w:noProof/>
          <w:sz w:val="32"/>
          <w:szCs w:val="32"/>
          <w:lang w:eastAsia="it-IT"/>
        </w:rPr>
        <w:drawing>
          <wp:anchor distT="0" distB="0" distL="114300" distR="114300" simplePos="0" relativeHeight="251659264" behindDoc="0" locked="0" layoutInCell="1" allowOverlap="1" wp14:anchorId="2A23B454" wp14:editId="36C9CED0">
            <wp:simplePos x="0" y="0"/>
            <wp:positionH relativeFrom="margin">
              <wp:align>center</wp:align>
            </wp:positionH>
            <wp:positionV relativeFrom="paragraph">
              <wp:posOffset>-356870</wp:posOffset>
            </wp:positionV>
            <wp:extent cx="708660" cy="762000"/>
            <wp:effectExtent l="0" t="0" r="0" b="0"/>
            <wp:wrapNone/>
            <wp:docPr id="10" name="Immagine 10" descr="http://upload.wikimedia.org/wikipedia/commons/thumb/6/6b/Italy-Emblem.svg/200px-Italy-Emblem.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6/6b/Italy-Emblem.svg/200px-Italy-Emblem.svg.pn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708660"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36ED3" w:rsidRPr="005E10A1" w:rsidRDefault="00536ED3" w:rsidP="00536ED3">
      <w:pPr>
        <w:widowControl w:val="0"/>
        <w:spacing w:after="120" w:line="259" w:lineRule="auto"/>
        <w:jc w:val="center"/>
        <w:rPr>
          <w:rFonts w:ascii="Garamond" w:hAnsi="Garamond"/>
          <w:b/>
          <w:caps/>
          <w:sz w:val="120"/>
          <w:szCs w:val="120"/>
        </w:rPr>
      </w:pPr>
      <w:r w:rsidRPr="00186AF6">
        <w:rPr>
          <w:rFonts w:ascii="Kunstler Script" w:hAnsi="Kunstler Script"/>
          <w:sz w:val="120"/>
          <w:szCs w:val="120"/>
        </w:rPr>
        <w:t>Consiglio</w:t>
      </w:r>
      <w:r w:rsidRPr="005E10A1">
        <w:rPr>
          <w:rFonts w:ascii="Garamond" w:hAnsi="Garamond"/>
          <w:sz w:val="120"/>
          <w:szCs w:val="120"/>
        </w:rPr>
        <w:t xml:space="preserve"> </w:t>
      </w:r>
      <w:r w:rsidRPr="00186AF6">
        <w:rPr>
          <w:rFonts w:ascii="Kunstler Script" w:hAnsi="Kunstler Script"/>
          <w:sz w:val="120"/>
          <w:szCs w:val="120"/>
        </w:rPr>
        <w:t>di Stato</w:t>
      </w:r>
    </w:p>
    <w:p w:rsidR="00503E53" w:rsidRDefault="00503E53" w:rsidP="009732A4">
      <w:pPr>
        <w:widowControl w:val="0"/>
        <w:spacing w:after="0" w:line="259" w:lineRule="auto"/>
        <w:jc w:val="center"/>
        <w:rPr>
          <w:rFonts w:ascii="Times New Roman" w:hAnsi="Times New Roman" w:cs="Times New Roman"/>
          <w:caps/>
          <w:sz w:val="28"/>
          <w:szCs w:val="28"/>
        </w:rPr>
      </w:pPr>
    </w:p>
    <w:p w:rsidR="00503E53" w:rsidRDefault="00503E53" w:rsidP="009732A4">
      <w:pPr>
        <w:widowControl w:val="0"/>
        <w:spacing w:after="0" w:line="259" w:lineRule="auto"/>
        <w:jc w:val="center"/>
        <w:rPr>
          <w:rFonts w:ascii="Times New Roman" w:hAnsi="Times New Roman" w:cs="Times New Roman"/>
          <w:caps/>
          <w:sz w:val="28"/>
          <w:szCs w:val="28"/>
        </w:rPr>
      </w:pPr>
    </w:p>
    <w:p w:rsidR="00503E53" w:rsidRDefault="00503E53" w:rsidP="009732A4">
      <w:pPr>
        <w:widowControl w:val="0"/>
        <w:spacing w:after="0" w:line="259" w:lineRule="auto"/>
        <w:jc w:val="center"/>
        <w:rPr>
          <w:rFonts w:ascii="Times New Roman" w:hAnsi="Times New Roman" w:cs="Times New Roman"/>
          <w:caps/>
          <w:sz w:val="28"/>
          <w:szCs w:val="28"/>
        </w:rPr>
      </w:pPr>
    </w:p>
    <w:p w:rsidR="009732A4" w:rsidRPr="00503E53" w:rsidRDefault="00536ED3" w:rsidP="009732A4">
      <w:pPr>
        <w:widowControl w:val="0"/>
        <w:spacing w:after="0" w:line="259" w:lineRule="auto"/>
        <w:jc w:val="center"/>
        <w:rPr>
          <w:rFonts w:ascii="Garamond" w:hAnsi="Garamond" w:cs="Times New Roman"/>
          <w:caps/>
          <w:sz w:val="28"/>
          <w:szCs w:val="28"/>
        </w:rPr>
      </w:pPr>
      <w:r w:rsidRPr="00503E53">
        <w:rPr>
          <w:rFonts w:ascii="Garamond" w:hAnsi="Garamond" w:cs="Times New Roman"/>
          <w:caps/>
          <w:sz w:val="28"/>
          <w:szCs w:val="28"/>
        </w:rPr>
        <w:t xml:space="preserve">RELAZIONE SULL’ATTIVITÀ DELLA GIUSTIZIA AMMINISTRATIVA </w:t>
      </w:r>
    </w:p>
    <w:p w:rsidR="009732A4" w:rsidRPr="00503E53" w:rsidRDefault="00536ED3" w:rsidP="009732A4">
      <w:pPr>
        <w:widowControl w:val="0"/>
        <w:spacing w:after="0" w:line="259" w:lineRule="auto"/>
        <w:jc w:val="center"/>
        <w:rPr>
          <w:rFonts w:ascii="Garamond" w:hAnsi="Garamond" w:cs="Times New Roman"/>
          <w:caps/>
          <w:sz w:val="28"/>
          <w:szCs w:val="28"/>
        </w:rPr>
      </w:pPr>
      <w:r w:rsidRPr="00503E53">
        <w:rPr>
          <w:rFonts w:ascii="Garamond" w:hAnsi="Garamond" w:cs="Times New Roman"/>
          <w:caps/>
          <w:sz w:val="28"/>
          <w:szCs w:val="28"/>
        </w:rPr>
        <w:t xml:space="preserve">DEL PRESIDENTE DEL CONSIGLIO DI STATO </w:t>
      </w:r>
    </w:p>
    <w:p w:rsidR="00536ED3" w:rsidRPr="009732A4" w:rsidRDefault="00536ED3" w:rsidP="009732A4">
      <w:pPr>
        <w:widowControl w:val="0"/>
        <w:spacing w:after="0" w:line="259" w:lineRule="auto"/>
        <w:jc w:val="center"/>
        <w:rPr>
          <w:rFonts w:ascii="Times New Roman" w:hAnsi="Times New Roman" w:cs="Times New Roman"/>
          <w:caps/>
          <w:sz w:val="28"/>
          <w:szCs w:val="28"/>
        </w:rPr>
      </w:pPr>
      <w:r w:rsidRPr="00503E53">
        <w:rPr>
          <w:rFonts w:ascii="Garamond" w:hAnsi="Garamond" w:cs="Times New Roman"/>
          <w:caps/>
          <w:sz w:val="28"/>
          <w:szCs w:val="28"/>
        </w:rPr>
        <w:t>FILIPPO PATRONI GRIFFI</w:t>
      </w:r>
    </w:p>
    <w:p w:rsidR="00536ED3" w:rsidRPr="005E10A1" w:rsidRDefault="00536ED3" w:rsidP="00536ED3">
      <w:pPr>
        <w:widowControl w:val="0"/>
        <w:spacing w:after="120" w:line="259" w:lineRule="auto"/>
        <w:jc w:val="center"/>
        <w:rPr>
          <w:rFonts w:ascii="Garamond" w:hAnsi="Garamond"/>
          <w:caps/>
          <w:sz w:val="32"/>
          <w:szCs w:val="32"/>
        </w:rPr>
      </w:pPr>
    </w:p>
    <w:p w:rsidR="00536ED3" w:rsidRPr="005E10A1" w:rsidRDefault="00536ED3" w:rsidP="00536ED3">
      <w:pPr>
        <w:widowControl w:val="0"/>
        <w:spacing w:after="120" w:line="259" w:lineRule="auto"/>
        <w:jc w:val="center"/>
        <w:rPr>
          <w:rFonts w:ascii="Garamond" w:hAnsi="Garamond"/>
          <w:caps/>
          <w:sz w:val="32"/>
          <w:szCs w:val="32"/>
        </w:rPr>
      </w:pPr>
      <w:r w:rsidRPr="005E10A1">
        <w:rPr>
          <w:rFonts w:ascii="Garamond" w:hAnsi="Garamond"/>
          <w:noProof/>
          <w:lang w:eastAsia="it-IT"/>
        </w:rPr>
        <w:drawing>
          <wp:inline distT="0" distB="0" distL="0" distR="0" wp14:anchorId="770FC24C" wp14:editId="329DDB6A">
            <wp:extent cx="4324350" cy="2532651"/>
            <wp:effectExtent l="0" t="0" r="0" b="1270"/>
            <wp:docPr id="8" name="Immagine 8" descr="cid:image001.png@01D5D5E5.FC7BDA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id:image001.png@01D5D5E5.FC7BDA6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343537" cy="2543889"/>
                    </a:xfrm>
                    <a:prstGeom prst="rect">
                      <a:avLst/>
                    </a:prstGeom>
                    <a:noFill/>
                    <a:ln>
                      <a:noFill/>
                    </a:ln>
                  </pic:spPr>
                </pic:pic>
              </a:graphicData>
            </a:graphic>
          </wp:inline>
        </w:drawing>
      </w:r>
    </w:p>
    <w:p w:rsidR="00536ED3" w:rsidRPr="005E10A1" w:rsidRDefault="00536ED3" w:rsidP="00536ED3">
      <w:pPr>
        <w:widowControl w:val="0"/>
        <w:spacing w:after="120" w:line="259" w:lineRule="auto"/>
        <w:jc w:val="center"/>
        <w:rPr>
          <w:rFonts w:ascii="Garamond" w:hAnsi="Garamond" w:cs="Times New Roman"/>
          <w:i/>
          <w:sz w:val="28"/>
          <w:szCs w:val="28"/>
        </w:rPr>
      </w:pPr>
    </w:p>
    <w:p w:rsidR="00503E53" w:rsidRDefault="00503E53" w:rsidP="00536ED3">
      <w:pPr>
        <w:widowControl w:val="0"/>
        <w:spacing w:after="120" w:line="259" w:lineRule="auto"/>
        <w:jc w:val="center"/>
        <w:rPr>
          <w:rFonts w:ascii="Times New Roman" w:hAnsi="Times New Roman" w:cs="Times New Roman"/>
          <w:i/>
          <w:sz w:val="28"/>
          <w:szCs w:val="28"/>
        </w:rPr>
      </w:pPr>
    </w:p>
    <w:p w:rsidR="00536ED3" w:rsidRPr="00503E53" w:rsidRDefault="009732A4" w:rsidP="00536ED3">
      <w:pPr>
        <w:widowControl w:val="0"/>
        <w:spacing w:after="120" w:line="259" w:lineRule="auto"/>
        <w:jc w:val="center"/>
        <w:rPr>
          <w:rFonts w:ascii="Garamond" w:hAnsi="Garamond" w:cs="Times New Roman"/>
          <w:smallCaps/>
          <w:sz w:val="28"/>
          <w:szCs w:val="28"/>
        </w:rPr>
      </w:pPr>
      <w:r w:rsidRPr="00503E53">
        <w:rPr>
          <w:rFonts w:ascii="Garamond" w:hAnsi="Garamond" w:cs="Times New Roman"/>
          <w:smallCaps/>
          <w:sz w:val="28"/>
          <w:szCs w:val="28"/>
        </w:rPr>
        <w:t>Discorsi pronunciati</w:t>
      </w:r>
    </w:p>
    <w:p w:rsidR="009732A4" w:rsidRDefault="009732A4" w:rsidP="00536ED3">
      <w:pPr>
        <w:widowControl w:val="0"/>
        <w:spacing w:after="120" w:line="259" w:lineRule="auto"/>
        <w:jc w:val="center"/>
        <w:rPr>
          <w:rFonts w:ascii="Garamond" w:hAnsi="Garamond" w:cs="Times New Roman"/>
          <w:i/>
          <w:sz w:val="28"/>
          <w:szCs w:val="28"/>
        </w:rPr>
      </w:pPr>
    </w:p>
    <w:p w:rsidR="00503E53" w:rsidRDefault="00503E53" w:rsidP="00536ED3">
      <w:pPr>
        <w:widowControl w:val="0"/>
        <w:spacing w:after="120" w:line="259" w:lineRule="auto"/>
        <w:jc w:val="center"/>
        <w:rPr>
          <w:rFonts w:ascii="Garamond" w:hAnsi="Garamond" w:cs="Times New Roman"/>
          <w:i/>
          <w:sz w:val="28"/>
          <w:szCs w:val="28"/>
        </w:rPr>
      </w:pPr>
    </w:p>
    <w:p w:rsidR="00503E53" w:rsidRDefault="00503E53" w:rsidP="00536ED3">
      <w:pPr>
        <w:widowControl w:val="0"/>
        <w:spacing w:after="120" w:line="259" w:lineRule="auto"/>
        <w:jc w:val="center"/>
        <w:rPr>
          <w:rFonts w:ascii="Garamond" w:hAnsi="Garamond" w:cs="Times New Roman"/>
          <w:i/>
          <w:sz w:val="28"/>
          <w:szCs w:val="28"/>
        </w:rPr>
      </w:pPr>
    </w:p>
    <w:p w:rsidR="00503E53" w:rsidRDefault="00503E53" w:rsidP="00536ED3">
      <w:pPr>
        <w:widowControl w:val="0"/>
        <w:spacing w:after="120" w:line="259" w:lineRule="auto"/>
        <w:jc w:val="center"/>
        <w:rPr>
          <w:rFonts w:ascii="Garamond" w:hAnsi="Garamond" w:cs="Times New Roman"/>
          <w:i/>
          <w:sz w:val="28"/>
          <w:szCs w:val="28"/>
        </w:rPr>
      </w:pPr>
    </w:p>
    <w:p w:rsidR="00503E53" w:rsidRPr="005E10A1" w:rsidRDefault="00503E53" w:rsidP="00536ED3">
      <w:pPr>
        <w:widowControl w:val="0"/>
        <w:spacing w:after="120" w:line="259" w:lineRule="auto"/>
        <w:jc w:val="center"/>
        <w:rPr>
          <w:rFonts w:ascii="Garamond" w:hAnsi="Garamond" w:cs="Times New Roman"/>
          <w:i/>
          <w:sz w:val="28"/>
          <w:szCs w:val="28"/>
        </w:rPr>
      </w:pPr>
    </w:p>
    <w:p w:rsidR="00536ED3" w:rsidRPr="005E10A1" w:rsidRDefault="00536ED3" w:rsidP="00536ED3">
      <w:pPr>
        <w:widowControl w:val="0"/>
        <w:spacing w:after="120" w:line="259" w:lineRule="auto"/>
        <w:jc w:val="center"/>
        <w:rPr>
          <w:rFonts w:ascii="Garamond" w:hAnsi="Garamond" w:cs="Times New Roman"/>
          <w:i/>
          <w:sz w:val="28"/>
          <w:szCs w:val="28"/>
        </w:rPr>
      </w:pPr>
      <w:r w:rsidRPr="005E10A1">
        <w:rPr>
          <w:rFonts w:ascii="Garamond" w:hAnsi="Garamond" w:cs="Times New Roman"/>
          <w:i/>
          <w:sz w:val="28"/>
          <w:szCs w:val="28"/>
        </w:rPr>
        <w:t>Palazzo Spada, 2 febbraio 2021</w:t>
      </w:r>
    </w:p>
    <w:p w:rsidR="00536ED3" w:rsidRPr="005E10A1" w:rsidRDefault="00536ED3" w:rsidP="00536ED3">
      <w:pPr>
        <w:widowControl w:val="0"/>
        <w:rPr>
          <w:rFonts w:ascii="Garamond" w:hAnsi="Garamond"/>
          <w:lang w:eastAsia="it-IT"/>
        </w:rPr>
      </w:pPr>
    </w:p>
    <w:p w:rsidR="00536ED3" w:rsidRDefault="00536ED3">
      <w:pPr>
        <w:spacing w:line="259" w:lineRule="auto"/>
        <w:rPr>
          <w:rFonts w:ascii="Garamond" w:hAnsi="Garamond"/>
          <w:caps/>
          <w:sz w:val="28"/>
          <w:szCs w:val="28"/>
        </w:rPr>
      </w:pPr>
      <w:r>
        <w:rPr>
          <w:rFonts w:ascii="Garamond" w:hAnsi="Garamond"/>
          <w:caps/>
          <w:sz w:val="28"/>
          <w:szCs w:val="28"/>
        </w:rPr>
        <w:br w:type="page"/>
      </w:r>
    </w:p>
    <w:sdt>
      <w:sdtPr>
        <w:rPr>
          <w:rFonts w:asciiTheme="minorHAnsi" w:eastAsiaTheme="minorHAnsi" w:hAnsiTheme="minorHAnsi" w:cstheme="minorBidi"/>
          <w:color w:val="auto"/>
          <w:sz w:val="22"/>
          <w:szCs w:val="22"/>
          <w:lang w:eastAsia="en-US"/>
        </w:rPr>
        <w:id w:val="-499430572"/>
        <w:docPartObj>
          <w:docPartGallery w:val="Table of Contents"/>
          <w:docPartUnique/>
        </w:docPartObj>
      </w:sdtPr>
      <w:sdtEndPr>
        <w:rPr>
          <w:b/>
          <w:bCs/>
        </w:rPr>
      </w:sdtEndPr>
      <w:sdtContent>
        <w:p w:rsidR="00927250" w:rsidRPr="003F44F5" w:rsidRDefault="00927250" w:rsidP="006163CF">
          <w:pPr>
            <w:pStyle w:val="Titolosommario"/>
            <w:spacing w:before="0"/>
            <w:ind w:firstLine="284"/>
            <w:rPr>
              <w:rFonts w:eastAsiaTheme="minorEastAsia"/>
              <w:noProof/>
              <w:color w:val="auto"/>
            </w:rPr>
          </w:pPr>
          <w:r w:rsidRPr="00927250">
            <w:fldChar w:fldCharType="begin"/>
          </w:r>
          <w:r w:rsidRPr="00927250">
            <w:instrText xml:space="preserve"> TOC \o "1-3" \h \z \u </w:instrText>
          </w:r>
          <w:r w:rsidRPr="00927250">
            <w:fldChar w:fldCharType="separate"/>
          </w:r>
          <w:hyperlink w:anchor="_Toc63074272" w:history="1">
            <w:r w:rsidRPr="003F44F5">
              <w:rPr>
                <w:rStyle w:val="Collegamentoipertestuale"/>
                <w:rFonts w:ascii="Garamond" w:hAnsi="Garamond"/>
                <w:b/>
                <w:noProof/>
                <w:color w:val="auto"/>
                <w:sz w:val="28"/>
                <w:szCs w:val="28"/>
              </w:rPr>
              <w:t>Relazione del Presidente del Consiglio di Stato</w:t>
            </w:r>
          </w:hyperlink>
        </w:p>
        <w:p w:rsidR="003F44F5" w:rsidRDefault="003F44F5" w:rsidP="00503E53">
          <w:pPr>
            <w:pStyle w:val="Sommario1"/>
            <w:jc w:val="left"/>
            <w:rPr>
              <w:rStyle w:val="Collegamentoipertestuale"/>
            </w:rPr>
          </w:pPr>
        </w:p>
        <w:p w:rsidR="00927250" w:rsidRPr="00927250" w:rsidRDefault="00E87242" w:rsidP="00503E53">
          <w:pPr>
            <w:pStyle w:val="Sommario1"/>
            <w:jc w:val="left"/>
            <w:rPr>
              <w:rFonts w:eastAsiaTheme="minorEastAsia"/>
              <w:lang w:eastAsia="it-IT"/>
            </w:rPr>
          </w:pPr>
          <w:hyperlink w:anchor="_Toc63074273" w:history="1">
            <w:r w:rsidR="00927250" w:rsidRPr="00927250">
              <w:rPr>
                <w:rStyle w:val="Collegamentoipertestuale"/>
              </w:rPr>
              <w:t>Indirizzi di saluto</w:t>
            </w:r>
          </w:hyperlink>
        </w:p>
        <w:p w:rsidR="00927250" w:rsidRPr="00927250" w:rsidRDefault="00E87242" w:rsidP="00503E53">
          <w:pPr>
            <w:pStyle w:val="Sommario1"/>
            <w:rPr>
              <w:rFonts w:eastAsiaTheme="minorEastAsia"/>
              <w:lang w:eastAsia="it-IT"/>
            </w:rPr>
          </w:pPr>
          <w:hyperlink w:anchor="_Toc63074274" w:history="1">
            <w:r w:rsidR="00927250" w:rsidRPr="00927250">
              <w:rPr>
                <w:rStyle w:val="Collegamentoipertestuale"/>
              </w:rPr>
              <w:t>CAPITOLO I</w:t>
            </w:r>
          </w:hyperlink>
        </w:p>
        <w:p w:rsidR="00927250" w:rsidRDefault="00E87242" w:rsidP="00503E53">
          <w:pPr>
            <w:pStyle w:val="Sommario1"/>
            <w:rPr>
              <w:rStyle w:val="Collegamentoipertestuale"/>
            </w:rPr>
          </w:pPr>
          <w:hyperlink w:anchor="_Toc63074275" w:history="1">
            <w:r w:rsidR="00927250" w:rsidRPr="00927250">
              <w:rPr>
                <w:rStyle w:val="Collegamentoipertestuale"/>
              </w:rPr>
              <w:t>CRISI E RINNOVAMENTO</w:t>
            </w:r>
          </w:hyperlink>
        </w:p>
        <w:p w:rsidR="00503E53" w:rsidRPr="00503E53" w:rsidRDefault="00503E53" w:rsidP="00503E53">
          <w:pPr>
            <w:rPr>
              <w:noProof/>
            </w:rPr>
          </w:pPr>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76" w:history="1">
            <w:r w:rsidR="00927250" w:rsidRPr="00927250">
              <w:rPr>
                <w:rStyle w:val="Collegamentoipertestuale"/>
                <w:rFonts w:ascii="Garamond" w:hAnsi="Garamond"/>
                <w:noProof/>
                <w:sz w:val="28"/>
                <w:szCs w:val="28"/>
              </w:rPr>
              <w:t>1. Legge e Amministrazione durante la pandemia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_Toc63074276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4</w:t>
            </w:r>
            <w:r w:rsidR="00927250" w:rsidRPr="00927250">
              <w:rPr>
                <w:rFonts w:ascii="Garamond" w:hAnsi="Garamond"/>
                <w:noProof/>
                <w:webHidden/>
                <w:sz w:val="28"/>
                <w:szCs w:val="28"/>
              </w:rPr>
              <w:fldChar w:fldCharType="end"/>
            </w:r>
          </w:hyperlink>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77" w:history="1">
            <w:r w:rsidR="00927250" w:rsidRPr="00927250">
              <w:rPr>
                <w:rStyle w:val="Collegamentoipertestuale"/>
                <w:rFonts w:ascii="Garamond" w:hAnsi="Garamond"/>
                <w:noProof/>
                <w:sz w:val="28"/>
                <w:szCs w:val="28"/>
              </w:rPr>
              <w:t>2. Ricostruzione, amministrazione e giustizia amministrativa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_Toc63074277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6</w:t>
            </w:r>
            <w:r w:rsidR="00927250" w:rsidRPr="00927250">
              <w:rPr>
                <w:rFonts w:ascii="Garamond" w:hAnsi="Garamond"/>
                <w:noProof/>
                <w:webHidden/>
                <w:sz w:val="28"/>
                <w:szCs w:val="28"/>
              </w:rPr>
              <w:fldChar w:fldCharType="end"/>
            </w:r>
          </w:hyperlink>
        </w:p>
        <w:p w:rsidR="00BB3C80" w:rsidRDefault="00BB3C80" w:rsidP="00503E53">
          <w:pPr>
            <w:pStyle w:val="Sommario1"/>
            <w:rPr>
              <w:rStyle w:val="Collegamentoipertestuale"/>
            </w:rPr>
          </w:pPr>
        </w:p>
        <w:p w:rsidR="00927250" w:rsidRPr="00927250" w:rsidRDefault="00E87242" w:rsidP="00503E53">
          <w:pPr>
            <w:pStyle w:val="Sommario1"/>
            <w:rPr>
              <w:rFonts w:eastAsiaTheme="minorEastAsia"/>
              <w:lang w:eastAsia="it-IT"/>
            </w:rPr>
          </w:pPr>
          <w:hyperlink w:anchor="_Toc63074278" w:history="1">
            <w:r w:rsidR="00927250" w:rsidRPr="00927250">
              <w:rPr>
                <w:rStyle w:val="Collegamentoipertestuale"/>
              </w:rPr>
              <w:t>CAPITOLO II</w:t>
            </w:r>
          </w:hyperlink>
        </w:p>
        <w:p w:rsidR="00927250" w:rsidRPr="00927250" w:rsidRDefault="00E87242" w:rsidP="00503E53">
          <w:pPr>
            <w:pStyle w:val="Sommario1"/>
            <w:rPr>
              <w:rFonts w:eastAsiaTheme="minorEastAsia"/>
              <w:lang w:eastAsia="it-IT"/>
            </w:rPr>
          </w:pPr>
          <w:hyperlink w:anchor="_Toc63074279" w:history="1">
            <w:r w:rsidR="00927250" w:rsidRPr="00927250">
              <w:rPr>
                <w:rStyle w:val="Collegamentoipertestuale"/>
              </w:rPr>
              <w:t>LA GIURISPRUDENZA AMMINISTRATIVA</w:t>
            </w:r>
          </w:hyperlink>
        </w:p>
        <w:p w:rsidR="00927250" w:rsidRDefault="00E87242" w:rsidP="00503E53">
          <w:pPr>
            <w:pStyle w:val="Sommario1"/>
            <w:rPr>
              <w:rStyle w:val="Collegamentoipertestuale"/>
            </w:rPr>
          </w:pPr>
          <w:hyperlink w:anchor="_Toc63074280" w:history="1">
            <w:r w:rsidR="00927250" w:rsidRPr="00927250">
              <w:rPr>
                <w:rStyle w:val="Collegamentoipertestuale"/>
              </w:rPr>
              <w:t>AL TEMPO DELLA PANDEMIA</w:t>
            </w:r>
          </w:hyperlink>
        </w:p>
        <w:p w:rsidR="00503E53" w:rsidRPr="00503E53" w:rsidRDefault="00503E53" w:rsidP="00503E53">
          <w:pPr>
            <w:rPr>
              <w:noProof/>
            </w:rPr>
          </w:pPr>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81" w:history="1">
            <w:r w:rsidR="00927250" w:rsidRPr="00927250">
              <w:rPr>
                <w:rStyle w:val="Collegamentoipertestuale"/>
                <w:rFonts w:ascii="Garamond" w:hAnsi="Garamond"/>
                <w:noProof/>
                <w:sz w:val="28"/>
                <w:szCs w:val="28"/>
              </w:rPr>
              <w:t>1. Riti e numeri dell’emergenza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_Toc63074281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10</w:t>
            </w:r>
            <w:r w:rsidR="00927250" w:rsidRPr="00927250">
              <w:rPr>
                <w:rFonts w:ascii="Garamond" w:hAnsi="Garamond"/>
                <w:noProof/>
                <w:webHidden/>
                <w:sz w:val="28"/>
                <w:szCs w:val="28"/>
              </w:rPr>
              <w:fldChar w:fldCharType="end"/>
            </w:r>
          </w:hyperlink>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82" w:history="1">
            <w:r w:rsidR="00927250" w:rsidRPr="00927250">
              <w:rPr>
                <w:rStyle w:val="Collegamentoipertestuale"/>
                <w:rFonts w:ascii="Garamond" w:hAnsi="Garamond"/>
                <w:noProof/>
                <w:sz w:val="28"/>
                <w:szCs w:val="28"/>
              </w:rPr>
              <w:t>2. Il diritto giurisprudenziale dell’emergenza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_Toc63074282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11</w:t>
            </w:r>
            <w:r w:rsidR="00927250" w:rsidRPr="00927250">
              <w:rPr>
                <w:rFonts w:ascii="Garamond" w:hAnsi="Garamond"/>
                <w:noProof/>
                <w:webHidden/>
                <w:sz w:val="28"/>
                <w:szCs w:val="28"/>
              </w:rPr>
              <w:fldChar w:fldCharType="end"/>
            </w:r>
          </w:hyperlink>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83" w:history="1">
            <w:r w:rsidR="00927250" w:rsidRPr="00927250">
              <w:rPr>
                <w:rStyle w:val="Collegamentoipertestuale"/>
                <w:rFonts w:ascii="Garamond" w:hAnsi="Garamond"/>
                <w:noProof/>
                <w:sz w:val="28"/>
                <w:szCs w:val="28"/>
              </w:rPr>
              <w:t>3. Il contenzioso “ordinario”</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_Toc63074283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12</w:t>
            </w:r>
            <w:r w:rsidR="00927250" w:rsidRPr="00927250">
              <w:rPr>
                <w:rFonts w:ascii="Garamond" w:hAnsi="Garamond"/>
                <w:noProof/>
                <w:webHidden/>
                <w:sz w:val="28"/>
                <w:szCs w:val="28"/>
              </w:rPr>
              <w:fldChar w:fldCharType="end"/>
            </w:r>
          </w:hyperlink>
        </w:p>
        <w:p w:rsidR="00927250" w:rsidRPr="00927250" w:rsidRDefault="00E87242" w:rsidP="00503E53">
          <w:pPr>
            <w:pStyle w:val="Sommario3"/>
            <w:tabs>
              <w:tab w:val="right" w:leader="dot" w:pos="9628"/>
            </w:tabs>
            <w:spacing w:after="0" w:line="240" w:lineRule="auto"/>
            <w:rPr>
              <w:rFonts w:ascii="Garamond" w:eastAsiaTheme="minorEastAsia" w:hAnsi="Garamond"/>
              <w:noProof/>
              <w:sz w:val="28"/>
              <w:szCs w:val="28"/>
              <w:lang w:eastAsia="it-IT"/>
            </w:rPr>
          </w:pPr>
          <w:hyperlink w:anchor="_Toc63074284" w:history="1">
            <w:r w:rsidR="00927250" w:rsidRPr="00927250">
              <w:rPr>
                <w:rStyle w:val="Collegamentoipertestuale"/>
                <w:rFonts w:ascii="Garamond" w:hAnsi="Garamond"/>
                <w:noProof/>
                <w:sz w:val="28"/>
                <w:szCs w:val="28"/>
              </w:rPr>
              <w:t>- Accesso, trasparenza e informazione ai consumatori</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_Toc63074284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12</w:t>
            </w:r>
            <w:r w:rsidR="00927250" w:rsidRPr="00927250">
              <w:rPr>
                <w:rFonts w:ascii="Garamond" w:hAnsi="Garamond"/>
                <w:noProof/>
                <w:webHidden/>
                <w:sz w:val="28"/>
                <w:szCs w:val="28"/>
              </w:rPr>
              <w:fldChar w:fldCharType="end"/>
            </w:r>
          </w:hyperlink>
        </w:p>
        <w:p w:rsidR="00927250" w:rsidRPr="00927250" w:rsidRDefault="00E87242" w:rsidP="00503E53">
          <w:pPr>
            <w:pStyle w:val="Sommario3"/>
            <w:tabs>
              <w:tab w:val="right" w:leader="dot" w:pos="9628"/>
            </w:tabs>
            <w:spacing w:after="0" w:line="240" w:lineRule="auto"/>
            <w:rPr>
              <w:rFonts w:ascii="Garamond" w:eastAsiaTheme="minorEastAsia" w:hAnsi="Garamond"/>
              <w:noProof/>
              <w:sz w:val="28"/>
              <w:szCs w:val="28"/>
              <w:lang w:eastAsia="it-IT"/>
            </w:rPr>
          </w:pPr>
          <w:hyperlink w:anchor="_Toc63074285" w:history="1">
            <w:r w:rsidR="00927250" w:rsidRPr="00927250">
              <w:rPr>
                <w:rStyle w:val="Collegamentoipertestuale"/>
                <w:rFonts w:ascii="Garamond" w:hAnsi="Garamond"/>
                <w:noProof/>
                <w:sz w:val="28"/>
                <w:szCs w:val="28"/>
              </w:rPr>
              <w:t>- La centralità del procedimento</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_Toc63074285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12</w:t>
            </w:r>
            <w:r w:rsidR="00927250" w:rsidRPr="00927250">
              <w:rPr>
                <w:rFonts w:ascii="Garamond" w:hAnsi="Garamond"/>
                <w:noProof/>
                <w:webHidden/>
                <w:sz w:val="28"/>
                <w:szCs w:val="28"/>
              </w:rPr>
              <w:fldChar w:fldCharType="end"/>
            </w:r>
          </w:hyperlink>
        </w:p>
        <w:p w:rsidR="00927250" w:rsidRPr="00927250" w:rsidRDefault="00E87242" w:rsidP="00503E53">
          <w:pPr>
            <w:pStyle w:val="Sommario3"/>
            <w:tabs>
              <w:tab w:val="right" w:leader="dot" w:pos="9628"/>
            </w:tabs>
            <w:spacing w:after="0" w:line="240" w:lineRule="auto"/>
            <w:rPr>
              <w:rFonts w:ascii="Garamond" w:eastAsiaTheme="minorEastAsia" w:hAnsi="Garamond"/>
              <w:noProof/>
              <w:sz w:val="28"/>
              <w:szCs w:val="28"/>
              <w:lang w:eastAsia="it-IT"/>
            </w:rPr>
          </w:pPr>
          <w:hyperlink w:anchor="_Toc63074286" w:history="1">
            <w:r w:rsidR="00927250" w:rsidRPr="00927250">
              <w:rPr>
                <w:rStyle w:val="Collegamentoipertestuale"/>
                <w:rFonts w:ascii="Garamond" w:hAnsi="Garamond"/>
                <w:noProof/>
                <w:sz w:val="28"/>
                <w:szCs w:val="28"/>
              </w:rPr>
              <w:t>- Il diritto dell’economia post pandemia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_Toc63074286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14</w:t>
            </w:r>
            <w:r w:rsidR="00927250" w:rsidRPr="00927250">
              <w:rPr>
                <w:rFonts w:ascii="Garamond" w:hAnsi="Garamond"/>
                <w:noProof/>
                <w:webHidden/>
                <w:sz w:val="28"/>
                <w:szCs w:val="28"/>
              </w:rPr>
              <w:fldChar w:fldCharType="end"/>
            </w:r>
          </w:hyperlink>
        </w:p>
        <w:p w:rsidR="00927250" w:rsidRPr="00927250" w:rsidRDefault="00E87242" w:rsidP="00503E53">
          <w:pPr>
            <w:pStyle w:val="Sommario3"/>
            <w:tabs>
              <w:tab w:val="right" w:leader="dot" w:pos="9628"/>
            </w:tabs>
            <w:spacing w:after="0" w:line="240" w:lineRule="auto"/>
            <w:rPr>
              <w:rFonts w:ascii="Garamond" w:eastAsiaTheme="minorEastAsia" w:hAnsi="Garamond"/>
              <w:noProof/>
              <w:sz w:val="28"/>
              <w:szCs w:val="28"/>
              <w:lang w:eastAsia="it-IT"/>
            </w:rPr>
          </w:pPr>
          <w:hyperlink w:anchor="_Toc63074287" w:history="1">
            <w:r w:rsidR="00927250" w:rsidRPr="00927250">
              <w:rPr>
                <w:rStyle w:val="Collegamentoipertestuale"/>
                <w:rFonts w:ascii="Garamond" w:hAnsi="Garamond"/>
                <w:noProof/>
                <w:sz w:val="28"/>
                <w:szCs w:val="28"/>
              </w:rPr>
              <w:t>- Ambiente</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_Toc63074287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16</w:t>
            </w:r>
            <w:r w:rsidR="00927250" w:rsidRPr="00927250">
              <w:rPr>
                <w:rFonts w:ascii="Garamond" w:hAnsi="Garamond"/>
                <w:noProof/>
                <w:webHidden/>
                <w:sz w:val="28"/>
                <w:szCs w:val="28"/>
              </w:rPr>
              <w:fldChar w:fldCharType="end"/>
            </w:r>
          </w:hyperlink>
        </w:p>
        <w:p w:rsidR="00927250" w:rsidRPr="00927250" w:rsidRDefault="00E87242" w:rsidP="00503E53">
          <w:pPr>
            <w:pStyle w:val="Sommario3"/>
            <w:tabs>
              <w:tab w:val="right" w:leader="dot" w:pos="9628"/>
            </w:tabs>
            <w:spacing w:after="0" w:line="240" w:lineRule="auto"/>
            <w:rPr>
              <w:rFonts w:ascii="Garamond" w:eastAsiaTheme="minorEastAsia" w:hAnsi="Garamond"/>
              <w:noProof/>
              <w:sz w:val="28"/>
              <w:szCs w:val="28"/>
              <w:lang w:eastAsia="it-IT"/>
            </w:rPr>
          </w:pPr>
          <w:hyperlink w:anchor="_Toc63074288" w:history="1">
            <w:r w:rsidR="00927250" w:rsidRPr="00927250">
              <w:rPr>
                <w:rStyle w:val="Collegamentoipertestuale"/>
                <w:rFonts w:ascii="Garamond" w:hAnsi="Garamond"/>
                <w:noProof/>
                <w:sz w:val="28"/>
                <w:szCs w:val="28"/>
              </w:rPr>
              <w:t>- Governo del territorio</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_Toc63074288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16</w:t>
            </w:r>
            <w:r w:rsidR="00927250" w:rsidRPr="00927250">
              <w:rPr>
                <w:rFonts w:ascii="Garamond" w:hAnsi="Garamond"/>
                <w:noProof/>
                <w:webHidden/>
                <w:sz w:val="28"/>
                <w:szCs w:val="28"/>
              </w:rPr>
              <w:fldChar w:fldCharType="end"/>
            </w:r>
          </w:hyperlink>
        </w:p>
        <w:p w:rsidR="00927250" w:rsidRPr="00927250" w:rsidRDefault="00E87242" w:rsidP="00503E53">
          <w:pPr>
            <w:pStyle w:val="Sommario3"/>
            <w:tabs>
              <w:tab w:val="right" w:leader="dot" w:pos="9628"/>
            </w:tabs>
            <w:spacing w:after="0" w:line="240" w:lineRule="auto"/>
            <w:rPr>
              <w:rFonts w:ascii="Garamond" w:eastAsiaTheme="minorEastAsia" w:hAnsi="Garamond"/>
              <w:noProof/>
              <w:sz w:val="28"/>
              <w:szCs w:val="28"/>
              <w:lang w:eastAsia="it-IT"/>
            </w:rPr>
          </w:pPr>
          <w:hyperlink w:anchor="_Toc63074289" w:history="1">
            <w:r w:rsidR="00927250" w:rsidRPr="00927250">
              <w:rPr>
                <w:rStyle w:val="Collegamentoipertestuale"/>
                <w:rFonts w:ascii="Garamond" w:hAnsi="Garamond"/>
                <w:noProof/>
                <w:sz w:val="28"/>
                <w:szCs w:val="28"/>
              </w:rPr>
              <w:t>-Immigrazione</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_Toc63074289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17</w:t>
            </w:r>
            <w:r w:rsidR="00927250" w:rsidRPr="00927250">
              <w:rPr>
                <w:rFonts w:ascii="Garamond" w:hAnsi="Garamond"/>
                <w:noProof/>
                <w:webHidden/>
                <w:sz w:val="28"/>
                <w:szCs w:val="28"/>
              </w:rPr>
              <w:fldChar w:fldCharType="end"/>
            </w:r>
          </w:hyperlink>
        </w:p>
        <w:p w:rsidR="00BB3C80" w:rsidRDefault="00BB3C80" w:rsidP="00503E53">
          <w:pPr>
            <w:pStyle w:val="Sommario1"/>
            <w:rPr>
              <w:rStyle w:val="Collegamentoipertestuale"/>
            </w:rPr>
          </w:pPr>
        </w:p>
        <w:p w:rsidR="00927250" w:rsidRPr="00927250" w:rsidRDefault="00E87242" w:rsidP="00503E53">
          <w:pPr>
            <w:pStyle w:val="Sommario1"/>
            <w:rPr>
              <w:rFonts w:eastAsiaTheme="minorEastAsia"/>
              <w:lang w:eastAsia="it-IT"/>
            </w:rPr>
          </w:pPr>
          <w:hyperlink w:anchor="_Toc63074290" w:history="1">
            <w:r w:rsidR="00927250" w:rsidRPr="00927250">
              <w:rPr>
                <w:rStyle w:val="Collegamentoipertestuale"/>
              </w:rPr>
              <w:t>CAPITOLO III</w:t>
            </w:r>
          </w:hyperlink>
        </w:p>
        <w:p w:rsidR="00927250" w:rsidRDefault="00E87242" w:rsidP="00503E53">
          <w:pPr>
            <w:pStyle w:val="Sommario1"/>
            <w:rPr>
              <w:rStyle w:val="Collegamentoipertestuale"/>
            </w:rPr>
          </w:pPr>
          <w:hyperlink w:anchor="_Toc63074291" w:history="1">
            <w:r w:rsidR="00927250" w:rsidRPr="00927250">
              <w:rPr>
                <w:rStyle w:val="Collegamentoipertestuale"/>
              </w:rPr>
              <w:t>ATTIVITÀ INTERNAZIONALI</w:t>
            </w:r>
          </w:hyperlink>
        </w:p>
        <w:p w:rsidR="00503E53" w:rsidRPr="00503E53" w:rsidRDefault="00503E53" w:rsidP="00503E53">
          <w:pPr>
            <w:rPr>
              <w:noProof/>
            </w:rPr>
          </w:pPr>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92" w:history="1">
            <w:r w:rsidR="00927250" w:rsidRPr="00927250">
              <w:rPr>
                <w:rStyle w:val="Collegamentoipertestuale"/>
                <w:rFonts w:ascii="Garamond" w:hAnsi="Garamond"/>
                <w:noProof/>
                <w:sz w:val="28"/>
                <w:szCs w:val="28"/>
              </w:rPr>
              <w:t>1. L’Europa tra emergenza sanitaria e dialogo tra le Corti</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_Toc63074292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18</w:t>
            </w:r>
            <w:r w:rsidR="00927250" w:rsidRPr="00927250">
              <w:rPr>
                <w:rFonts w:ascii="Garamond" w:hAnsi="Garamond"/>
                <w:noProof/>
                <w:webHidden/>
                <w:sz w:val="28"/>
                <w:szCs w:val="28"/>
              </w:rPr>
              <w:fldChar w:fldCharType="end"/>
            </w:r>
          </w:hyperlink>
        </w:p>
        <w:p w:rsidR="00BB3C80" w:rsidRDefault="00BB3C80" w:rsidP="00503E53">
          <w:pPr>
            <w:pStyle w:val="Sommario1"/>
            <w:rPr>
              <w:rStyle w:val="Collegamentoipertestuale"/>
            </w:rPr>
          </w:pPr>
        </w:p>
        <w:p w:rsidR="00927250" w:rsidRPr="00927250" w:rsidRDefault="00E87242" w:rsidP="00503E53">
          <w:pPr>
            <w:pStyle w:val="Sommario1"/>
            <w:rPr>
              <w:rFonts w:eastAsiaTheme="minorEastAsia"/>
              <w:lang w:eastAsia="it-IT"/>
            </w:rPr>
          </w:pPr>
          <w:hyperlink w:anchor="_Toc63074293" w:history="1">
            <w:r w:rsidR="00927250" w:rsidRPr="00927250">
              <w:rPr>
                <w:rStyle w:val="Collegamentoipertestuale"/>
              </w:rPr>
              <w:t>CAPITOLO IV</w:t>
            </w:r>
          </w:hyperlink>
        </w:p>
        <w:p w:rsidR="00927250" w:rsidRDefault="00E87242" w:rsidP="00503E53">
          <w:pPr>
            <w:pStyle w:val="Sommario1"/>
            <w:rPr>
              <w:rStyle w:val="Collegamentoipertestuale"/>
            </w:rPr>
          </w:pPr>
          <w:hyperlink w:anchor="_Toc63074294" w:history="1">
            <w:r w:rsidR="00927250" w:rsidRPr="00927250">
              <w:rPr>
                <w:rStyle w:val="Collegamentoipertestuale"/>
              </w:rPr>
              <w:t>L’ORGANIZZAZIONE E I SERVIZI DELLA GIUSTIZIA AMMINISTRATIVA</w:t>
            </w:r>
          </w:hyperlink>
        </w:p>
        <w:p w:rsidR="00503E53" w:rsidRPr="00503E53" w:rsidRDefault="00503E53" w:rsidP="00503E53">
          <w:pPr>
            <w:spacing w:after="0"/>
            <w:rPr>
              <w:noProof/>
            </w:rPr>
          </w:pPr>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95" w:history="1">
            <w:r w:rsidR="00927250" w:rsidRPr="00927250">
              <w:rPr>
                <w:rStyle w:val="Collegamentoipertestuale"/>
                <w:rFonts w:ascii="Garamond" w:hAnsi="Garamond"/>
                <w:noProof/>
                <w:sz w:val="28"/>
                <w:szCs w:val="28"/>
              </w:rPr>
              <w:t>1. L’abbattimento dell’arretrato e il rafforzamento della “macchina” amministrativa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_Toc63074295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21</w:t>
            </w:r>
            <w:r w:rsidR="00927250" w:rsidRPr="00927250">
              <w:rPr>
                <w:rFonts w:ascii="Garamond" w:hAnsi="Garamond"/>
                <w:noProof/>
                <w:webHidden/>
                <w:sz w:val="28"/>
                <w:szCs w:val="28"/>
              </w:rPr>
              <w:fldChar w:fldCharType="end"/>
            </w:r>
          </w:hyperlink>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96" w:history="1">
            <w:r w:rsidR="00927250" w:rsidRPr="00927250">
              <w:rPr>
                <w:rStyle w:val="Collegamentoipertestuale"/>
                <w:rFonts w:ascii="Garamond" w:hAnsi="Garamond"/>
                <w:noProof/>
                <w:sz w:val="28"/>
                <w:szCs w:val="28"/>
              </w:rPr>
              <w:t>2. La comunicazione istituzionale e il sito della giustizia amministrativa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_Toc63074296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22</w:t>
            </w:r>
            <w:r w:rsidR="00927250" w:rsidRPr="00927250">
              <w:rPr>
                <w:rFonts w:ascii="Garamond" w:hAnsi="Garamond"/>
                <w:noProof/>
                <w:webHidden/>
                <w:sz w:val="28"/>
                <w:szCs w:val="28"/>
              </w:rPr>
              <w:fldChar w:fldCharType="end"/>
            </w:r>
          </w:hyperlink>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97" w:history="1">
            <w:r w:rsidR="00927250" w:rsidRPr="00927250">
              <w:rPr>
                <w:rStyle w:val="Collegamentoipertestuale"/>
                <w:rFonts w:ascii="Garamond" w:hAnsi="Garamond"/>
                <w:noProof/>
                <w:sz w:val="28"/>
                <w:szCs w:val="28"/>
              </w:rPr>
              <w:t>3. L’informatizzazione</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_Toc63074297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23</w:t>
            </w:r>
            <w:r w:rsidR="00927250" w:rsidRPr="00927250">
              <w:rPr>
                <w:rFonts w:ascii="Garamond" w:hAnsi="Garamond"/>
                <w:noProof/>
                <w:webHidden/>
                <w:sz w:val="28"/>
                <w:szCs w:val="28"/>
              </w:rPr>
              <w:fldChar w:fldCharType="end"/>
            </w:r>
          </w:hyperlink>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98" w:history="1">
            <w:r w:rsidR="00927250" w:rsidRPr="00927250">
              <w:rPr>
                <w:rStyle w:val="Collegamentoipertestuale"/>
                <w:rFonts w:ascii="Garamond" w:hAnsi="Garamond"/>
                <w:noProof/>
                <w:sz w:val="28"/>
                <w:szCs w:val="28"/>
              </w:rPr>
              <w:t>4. L’Ufficio Studi</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_Toc63074298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23</w:t>
            </w:r>
            <w:r w:rsidR="00927250" w:rsidRPr="00927250">
              <w:rPr>
                <w:rFonts w:ascii="Garamond" w:hAnsi="Garamond"/>
                <w:noProof/>
                <w:webHidden/>
                <w:sz w:val="28"/>
                <w:szCs w:val="28"/>
              </w:rPr>
              <w:fldChar w:fldCharType="end"/>
            </w:r>
          </w:hyperlink>
        </w:p>
        <w:p w:rsidR="00927250" w:rsidRPr="00927250" w:rsidRDefault="00E87242" w:rsidP="00503E53">
          <w:pPr>
            <w:pStyle w:val="Sommario2"/>
            <w:spacing w:after="0" w:line="240" w:lineRule="auto"/>
            <w:rPr>
              <w:rFonts w:ascii="Garamond" w:eastAsiaTheme="minorEastAsia" w:hAnsi="Garamond"/>
              <w:noProof/>
              <w:sz w:val="28"/>
              <w:szCs w:val="28"/>
              <w:lang w:eastAsia="it-IT"/>
            </w:rPr>
          </w:pPr>
          <w:hyperlink w:anchor="_Toc63074299" w:history="1">
            <w:r w:rsidR="00927250" w:rsidRPr="00927250">
              <w:rPr>
                <w:rStyle w:val="Collegamentoipertestuale"/>
                <w:rFonts w:ascii="Garamond" w:hAnsi="Garamond"/>
                <w:noProof/>
                <w:sz w:val="28"/>
                <w:szCs w:val="28"/>
              </w:rPr>
              <w:t>5. Il governo autonomo della giustizia amministrativa</w:t>
            </w:r>
            <w:r w:rsidR="00927250" w:rsidRPr="00927250">
              <w:rPr>
                <w:rFonts w:ascii="Garamond" w:hAnsi="Garamond"/>
                <w:noProof/>
                <w:webHidden/>
                <w:sz w:val="28"/>
                <w:szCs w:val="28"/>
              </w:rPr>
              <w:tab/>
            </w:r>
            <w:r w:rsidR="00927250" w:rsidRPr="00927250">
              <w:rPr>
                <w:rFonts w:ascii="Garamond" w:hAnsi="Garamond"/>
                <w:noProof/>
                <w:webHidden/>
                <w:sz w:val="28"/>
                <w:szCs w:val="28"/>
              </w:rPr>
              <w:fldChar w:fldCharType="begin"/>
            </w:r>
            <w:r w:rsidR="00927250" w:rsidRPr="00927250">
              <w:rPr>
                <w:rFonts w:ascii="Garamond" w:hAnsi="Garamond"/>
                <w:noProof/>
                <w:webHidden/>
                <w:sz w:val="28"/>
                <w:szCs w:val="28"/>
              </w:rPr>
              <w:instrText xml:space="preserve"> PAGEREF _Toc63074299 \h </w:instrText>
            </w:r>
            <w:r w:rsidR="00927250" w:rsidRPr="00927250">
              <w:rPr>
                <w:rFonts w:ascii="Garamond" w:hAnsi="Garamond"/>
                <w:noProof/>
                <w:webHidden/>
                <w:sz w:val="28"/>
                <w:szCs w:val="28"/>
              </w:rPr>
            </w:r>
            <w:r w:rsidR="00927250" w:rsidRPr="00927250">
              <w:rPr>
                <w:rFonts w:ascii="Garamond" w:hAnsi="Garamond"/>
                <w:noProof/>
                <w:webHidden/>
                <w:sz w:val="28"/>
                <w:szCs w:val="28"/>
              </w:rPr>
              <w:fldChar w:fldCharType="separate"/>
            </w:r>
            <w:r w:rsidR="00ED7531">
              <w:rPr>
                <w:rFonts w:ascii="Garamond" w:hAnsi="Garamond"/>
                <w:noProof/>
                <w:webHidden/>
                <w:sz w:val="28"/>
                <w:szCs w:val="28"/>
              </w:rPr>
              <w:t>24</w:t>
            </w:r>
            <w:r w:rsidR="00927250" w:rsidRPr="00927250">
              <w:rPr>
                <w:rFonts w:ascii="Garamond" w:hAnsi="Garamond"/>
                <w:noProof/>
                <w:webHidden/>
                <w:sz w:val="28"/>
                <w:szCs w:val="28"/>
              </w:rPr>
              <w:fldChar w:fldCharType="end"/>
            </w:r>
          </w:hyperlink>
        </w:p>
        <w:p w:rsidR="00927250" w:rsidRPr="00927250" w:rsidRDefault="00E87242" w:rsidP="00503E53">
          <w:pPr>
            <w:pStyle w:val="Sommario1"/>
            <w:rPr>
              <w:rFonts w:eastAsiaTheme="minorEastAsia"/>
              <w:lang w:eastAsia="it-IT"/>
            </w:rPr>
          </w:pPr>
          <w:hyperlink w:anchor="_Toc63074300" w:history="1">
            <w:r w:rsidR="00927250" w:rsidRPr="00927250">
              <w:rPr>
                <w:rStyle w:val="Collegamentoipertestuale"/>
              </w:rPr>
              <w:t>Conclusioni</w:t>
            </w:r>
            <w:r w:rsidR="00927250" w:rsidRPr="00927250">
              <w:rPr>
                <w:webHidden/>
              </w:rPr>
              <w:tab/>
            </w:r>
            <w:r w:rsidR="00231E32">
              <w:rPr>
                <w:webHidden/>
              </w:rPr>
              <w:tab/>
            </w:r>
            <w:r w:rsidR="00231E32">
              <w:rPr>
                <w:webHidden/>
              </w:rPr>
              <w:tab/>
            </w:r>
            <w:r w:rsidR="00231E32">
              <w:rPr>
                <w:webHidden/>
              </w:rPr>
              <w:tab/>
              <w:t xml:space="preserve">  </w:t>
            </w:r>
            <w:r w:rsidR="00927250" w:rsidRPr="00927250">
              <w:rPr>
                <w:webHidden/>
              </w:rPr>
              <w:fldChar w:fldCharType="begin"/>
            </w:r>
            <w:r w:rsidR="00927250" w:rsidRPr="00927250">
              <w:rPr>
                <w:webHidden/>
              </w:rPr>
              <w:instrText xml:space="preserve"> PAGEREF _Toc63074300 \h </w:instrText>
            </w:r>
            <w:r w:rsidR="00927250" w:rsidRPr="00927250">
              <w:rPr>
                <w:webHidden/>
              </w:rPr>
            </w:r>
            <w:r w:rsidR="00927250" w:rsidRPr="00927250">
              <w:rPr>
                <w:webHidden/>
              </w:rPr>
              <w:fldChar w:fldCharType="separate"/>
            </w:r>
            <w:r w:rsidR="00ED7531">
              <w:rPr>
                <w:webHidden/>
              </w:rPr>
              <w:t>26</w:t>
            </w:r>
            <w:r w:rsidR="00927250" w:rsidRPr="00927250">
              <w:rPr>
                <w:webHidden/>
              </w:rPr>
              <w:fldChar w:fldCharType="end"/>
            </w:r>
          </w:hyperlink>
        </w:p>
        <w:p w:rsidR="00927250" w:rsidRPr="00927250" w:rsidRDefault="00927250" w:rsidP="00BB3C80">
          <w:pPr>
            <w:pStyle w:val="Sommario1"/>
            <w:rPr>
              <w:rStyle w:val="Collegamentoipertestuale"/>
            </w:rPr>
          </w:pPr>
        </w:p>
        <w:p w:rsidR="00927250" w:rsidRPr="00927250" w:rsidRDefault="00E87242" w:rsidP="00BB3C80">
          <w:pPr>
            <w:pStyle w:val="Sommario1"/>
            <w:rPr>
              <w:rFonts w:eastAsiaTheme="minorEastAsia"/>
              <w:lang w:eastAsia="it-IT"/>
            </w:rPr>
          </w:pPr>
          <w:hyperlink w:anchor="_Toc63074301" w:history="1">
            <w:r w:rsidR="00927250" w:rsidRPr="00927250">
              <w:rPr>
                <w:rStyle w:val="Collegamentoipertestuale"/>
                <w:b/>
                <w:u w:val="none"/>
              </w:rPr>
              <w:t>Intervento dell’Avvocato Generale dello Stato</w:t>
            </w:r>
            <w:r w:rsidR="00231E32">
              <w:rPr>
                <w:rStyle w:val="Collegamentoipertestuale"/>
                <w:b/>
                <w:u w:val="none"/>
              </w:rPr>
              <w:tab/>
            </w:r>
            <w:r w:rsidR="00231E32">
              <w:rPr>
                <w:rStyle w:val="Collegamentoipertestuale"/>
                <w:b/>
                <w:u w:val="none"/>
              </w:rPr>
              <w:tab/>
            </w:r>
            <w:r w:rsidR="00231E32">
              <w:rPr>
                <w:rStyle w:val="Collegamentoipertestuale"/>
                <w:b/>
                <w:u w:val="none"/>
              </w:rPr>
              <w:tab/>
              <w:t xml:space="preserve"> </w:t>
            </w:r>
            <w:r w:rsidR="00927250" w:rsidRPr="00927250">
              <w:rPr>
                <w:webHidden/>
              </w:rPr>
              <w:tab/>
            </w:r>
            <w:r w:rsidR="00231E32">
              <w:rPr>
                <w:webHidden/>
              </w:rPr>
              <w:t xml:space="preserve">  </w:t>
            </w:r>
            <w:r w:rsidR="00927250" w:rsidRPr="00927250">
              <w:rPr>
                <w:webHidden/>
              </w:rPr>
              <w:fldChar w:fldCharType="begin"/>
            </w:r>
            <w:r w:rsidR="00927250" w:rsidRPr="00927250">
              <w:rPr>
                <w:webHidden/>
              </w:rPr>
              <w:instrText xml:space="preserve"> PAGEREF _Toc63074301 \h </w:instrText>
            </w:r>
            <w:r w:rsidR="00927250" w:rsidRPr="00927250">
              <w:rPr>
                <w:webHidden/>
              </w:rPr>
            </w:r>
            <w:r w:rsidR="00927250" w:rsidRPr="00927250">
              <w:rPr>
                <w:webHidden/>
              </w:rPr>
              <w:fldChar w:fldCharType="separate"/>
            </w:r>
            <w:r w:rsidR="00ED7531">
              <w:rPr>
                <w:webHidden/>
              </w:rPr>
              <w:t>32</w:t>
            </w:r>
            <w:r w:rsidR="00927250" w:rsidRPr="00927250">
              <w:rPr>
                <w:webHidden/>
              </w:rPr>
              <w:fldChar w:fldCharType="end"/>
            </w:r>
          </w:hyperlink>
        </w:p>
        <w:p w:rsidR="00927250" w:rsidRPr="00927250" w:rsidRDefault="00927250" w:rsidP="00BB3C80">
          <w:pPr>
            <w:pStyle w:val="Sommario1"/>
            <w:rPr>
              <w:rStyle w:val="Collegamentoipertestuale"/>
            </w:rPr>
          </w:pPr>
        </w:p>
        <w:p w:rsidR="00927250" w:rsidRPr="00927250" w:rsidRDefault="00E87242" w:rsidP="00BB3C80">
          <w:pPr>
            <w:pStyle w:val="Sommario1"/>
            <w:rPr>
              <w:rFonts w:eastAsiaTheme="minorEastAsia"/>
              <w:lang w:eastAsia="it-IT"/>
            </w:rPr>
          </w:pPr>
          <w:hyperlink w:anchor="_Toc63074302" w:history="1">
            <w:r w:rsidR="00927250" w:rsidRPr="00927250">
              <w:rPr>
                <w:rStyle w:val="Collegamentoipertestuale"/>
                <w:b/>
              </w:rPr>
              <w:t>Intervento del Presidente f.f. del</w:t>
            </w:r>
          </w:hyperlink>
          <w:r w:rsidR="00927250" w:rsidRPr="00231E32">
            <w:rPr>
              <w:rStyle w:val="Collegamentoipertestuale"/>
              <w:b/>
              <w:color w:val="FFFFFF" w:themeColor="background1"/>
            </w:rPr>
            <w:t xml:space="preserve"> </w:t>
          </w:r>
          <w:hyperlink w:anchor="_Toc63074303" w:history="1">
            <w:r w:rsidR="00927250" w:rsidRPr="00927250">
              <w:rPr>
                <w:rStyle w:val="Collegamentoipertestuale"/>
                <w:b/>
              </w:rPr>
              <w:t>Consiglio Nazionale Forense</w:t>
            </w:r>
            <w:r w:rsidR="00927250" w:rsidRPr="00927250">
              <w:rPr>
                <w:webHidden/>
              </w:rPr>
              <w:tab/>
            </w:r>
            <w:r w:rsidR="00927250">
              <w:rPr>
                <w:webHidden/>
              </w:rPr>
              <w:tab/>
            </w:r>
            <w:r w:rsidR="00927250">
              <w:rPr>
                <w:webHidden/>
              </w:rPr>
              <w:tab/>
            </w:r>
            <w:r w:rsidR="00231E32">
              <w:rPr>
                <w:webHidden/>
              </w:rPr>
              <w:t xml:space="preserve">  </w:t>
            </w:r>
            <w:r w:rsidR="00927250" w:rsidRPr="00231E32">
              <w:rPr>
                <w:webHidden/>
              </w:rPr>
              <w:fldChar w:fldCharType="begin"/>
            </w:r>
            <w:r w:rsidR="00927250" w:rsidRPr="00231E32">
              <w:rPr>
                <w:webHidden/>
              </w:rPr>
              <w:instrText xml:space="preserve"> PAGEREF _Toc63074303 \h </w:instrText>
            </w:r>
            <w:r w:rsidR="00927250" w:rsidRPr="00231E32">
              <w:rPr>
                <w:webHidden/>
              </w:rPr>
            </w:r>
            <w:r w:rsidR="00927250" w:rsidRPr="00231E32">
              <w:rPr>
                <w:webHidden/>
              </w:rPr>
              <w:fldChar w:fldCharType="separate"/>
            </w:r>
            <w:r w:rsidR="00ED7531">
              <w:rPr>
                <w:webHidden/>
              </w:rPr>
              <w:t>36</w:t>
            </w:r>
            <w:r w:rsidR="00927250" w:rsidRPr="00231E32">
              <w:rPr>
                <w:webHidden/>
              </w:rPr>
              <w:fldChar w:fldCharType="end"/>
            </w:r>
          </w:hyperlink>
        </w:p>
        <w:p w:rsidR="00927250" w:rsidRDefault="00927250" w:rsidP="00927250">
          <w:r w:rsidRPr="00927250">
            <w:rPr>
              <w:rFonts w:ascii="Garamond" w:hAnsi="Garamond"/>
              <w:b/>
              <w:bCs/>
              <w:sz w:val="28"/>
              <w:szCs w:val="28"/>
            </w:rPr>
            <w:fldChar w:fldCharType="end"/>
          </w:r>
        </w:p>
      </w:sdtContent>
    </w:sdt>
    <w:p w:rsidR="009732A4" w:rsidRDefault="009732A4">
      <w:pPr>
        <w:spacing w:line="259" w:lineRule="auto"/>
        <w:rPr>
          <w:rFonts w:ascii="Garamond" w:hAnsi="Garamond"/>
          <w:b/>
          <w:color w:val="000000"/>
          <w:sz w:val="28"/>
          <w:szCs w:val="28"/>
        </w:rPr>
      </w:pPr>
    </w:p>
    <w:p w:rsidR="00330FBA" w:rsidRPr="005E10A1" w:rsidRDefault="00187154" w:rsidP="00187154">
      <w:pPr>
        <w:pStyle w:val="Titolo1"/>
      </w:pPr>
      <w:bookmarkStart w:id="0" w:name="_Toc63074272"/>
      <w:r>
        <w:t>Relazione del Presidente del Consiglio di Stato</w:t>
      </w:r>
      <w:bookmarkEnd w:id="0"/>
      <w:r>
        <w:t xml:space="preserve"> </w:t>
      </w:r>
    </w:p>
    <w:p w:rsidR="00187154" w:rsidRDefault="00187154" w:rsidP="00240B55">
      <w:pPr>
        <w:pStyle w:val="Titolo1"/>
      </w:pPr>
      <w:bookmarkStart w:id="1" w:name="_Toc31190916"/>
      <w:bookmarkStart w:id="2" w:name="_Toc63071633"/>
    </w:p>
    <w:p w:rsidR="00330FBA" w:rsidRPr="005E10A1" w:rsidRDefault="00330FBA" w:rsidP="00240B55">
      <w:pPr>
        <w:pStyle w:val="Titolo1"/>
      </w:pPr>
      <w:bookmarkStart w:id="3" w:name="_Toc63074273"/>
      <w:r w:rsidRPr="005E10A1">
        <w:t>Indirizzi di saluto</w:t>
      </w:r>
      <w:bookmarkEnd w:id="1"/>
      <w:bookmarkEnd w:id="2"/>
      <w:bookmarkEnd w:id="3"/>
    </w:p>
    <w:p w:rsidR="00330FBA" w:rsidRPr="005E10A1" w:rsidRDefault="00330FBA" w:rsidP="00216CDA">
      <w:pPr>
        <w:pStyle w:val="Default"/>
        <w:widowControl w:val="0"/>
        <w:spacing w:after="120"/>
        <w:jc w:val="both"/>
        <w:rPr>
          <w:rFonts w:ascii="Garamond" w:hAnsi="Garamond" w:cstheme="minorBidi"/>
          <w:sz w:val="32"/>
          <w:szCs w:val="32"/>
        </w:rPr>
      </w:pPr>
    </w:p>
    <w:p w:rsidR="00330FBA" w:rsidRPr="005E10A1" w:rsidRDefault="00330FBA" w:rsidP="00216CDA">
      <w:pPr>
        <w:pStyle w:val="Default"/>
        <w:widowControl w:val="0"/>
        <w:spacing w:after="120"/>
        <w:jc w:val="both"/>
        <w:rPr>
          <w:rFonts w:ascii="Garamond" w:hAnsi="Garamond" w:cstheme="minorBidi"/>
          <w:sz w:val="32"/>
          <w:szCs w:val="32"/>
        </w:rPr>
      </w:pPr>
    </w:p>
    <w:p w:rsidR="00330FBA" w:rsidRPr="005E10A1" w:rsidRDefault="00330FBA" w:rsidP="00216CDA">
      <w:pPr>
        <w:widowControl w:val="0"/>
        <w:spacing w:after="120" w:line="360" w:lineRule="auto"/>
        <w:jc w:val="both"/>
        <w:rPr>
          <w:rFonts w:ascii="Garamond" w:hAnsi="Garamond" w:cs="Times New Roman"/>
          <w:i/>
          <w:iCs/>
          <w:color w:val="000000"/>
          <w:sz w:val="28"/>
          <w:szCs w:val="28"/>
          <w:bdr w:val="none" w:sz="0" w:space="0" w:color="auto" w:frame="1"/>
          <w:shd w:val="clear" w:color="auto" w:fill="FFFFFF"/>
        </w:rPr>
      </w:pPr>
      <w:r w:rsidRPr="005E10A1">
        <w:rPr>
          <w:rFonts w:ascii="Garamond" w:hAnsi="Garamond" w:cs="Times New Roman"/>
          <w:i/>
          <w:iCs/>
          <w:color w:val="000000"/>
          <w:sz w:val="28"/>
          <w:szCs w:val="28"/>
          <w:bdr w:val="none" w:sz="0" w:space="0" w:color="auto" w:frame="1"/>
          <w:shd w:val="clear" w:color="auto" w:fill="FFFFFF"/>
        </w:rPr>
        <w:t xml:space="preserve">Signor Presidente della Repubblica, Autorità civili, militari e religiose, componenti del Consiglio di Presidenza della giustizia amministrativa, esponenti del mondo accademico, colleghi di questa e delle altre magistrature, avvocati dello Stato, degli enti pubblici e del libero Foro, personale tutto della </w:t>
      </w:r>
      <w:r w:rsidR="00341D59" w:rsidRPr="005E10A1">
        <w:rPr>
          <w:rFonts w:ascii="Garamond" w:hAnsi="Garamond" w:cs="Times New Roman"/>
          <w:i/>
          <w:iCs/>
          <w:color w:val="000000"/>
          <w:sz w:val="28"/>
          <w:szCs w:val="28"/>
          <w:bdr w:val="none" w:sz="0" w:space="0" w:color="auto" w:frame="1"/>
          <w:shd w:val="clear" w:color="auto" w:fill="FFFFFF"/>
        </w:rPr>
        <w:t>G</w:t>
      </w:r>
      <w:r w:rsidR="0047377C">
        <w:rPr>
          <w:rFonts w:ascii="Garamond" w:hAnsi="Garamond" w:cs="Times New Roman"/>
          <w:i/>
          <w:iCs/>
          <w:color w:val="000000"/>
          <w:sz w:val="28"/>
          <w:szCs w:val="28"/>
          <w:bdr w:val="none" w:sz="0" w:space="0" w:color="auto" w:frame="1"/>
          <w:shd w:val="clear" w:color="auto" w:fill="FFFFFF"/>
        </w:rPr>
        <w:t>iustizia amministrativa, Signore e Signori presenti e collegati a distanza.</w:t>
      </w:r>
    </w:p>
    <w:p w:rsidR="00BF3290" w:rsidRPr="005E10A1" w:rsidRDefault="00BF3290" w:rsidP="00216CDA">
      <w:pPr>
        <w:widowControl w:val="0"/>
        <w:spacing w:after="120" w:line="259" w:lineRule="auto"/>
        <w:jc w:val="both"/>
        <w:rPr>
          <w:rFonts w:ascii="Garamond" w:hAnsi="Garamond"/>
          <w:b/>
          <w:color w:val="000000"/>
          <w:sz w:val="28"/>
          <w:szCs w:val="28"/>
        </w:rPr>
      </w:pPr>
    </w:p>
    <w:p w:rsidR="000346AF" w:rsidRPr="005E10A1" w:rsidRDefault="005A13B5" w:rsidP="00216CDA">
      <w:pPr>
        <w:widowControl w:val="0"/>
        <w:spacing w:after="120" w:line="259" w:lineRule="auto"/>
        <w:rPr>
          <w:rFonts w:ascii="Garamond" w:hAnsi="Garamond"/>
          <w:b/>
          <w:caps/>
          <w:color w:val="000000"/>
          <w:sz w:val="28"/>
          <w:szCs w:val="28"/>
        </w:rPr>
        <w:sectPr w:rsidR="000346AF" w:rsidRPr="005E10A1" w:rsidSect="009732A4">
          <w:footerReference w:type="default" r:id="rId12"/>
          <w:pgSz w:w="11906" w:h="16838" w:code="9"/>
          <w:pgMar w:top="1418" w:right="1134" w:bottom="1134" w:left="1134" w:header="709" w:footer="709" w:gutter="0"/>
          <w:cols w:space="708"/>
          <w:docGrid w:linePitch="360"/>
        </w:sectPr>
      </w:pPr>
      <w:r w:rsidRPr="005E10A1">
        <w:rPr>
          <w:rFonts w:ascii="Garamond" w:hAnsi="Garamond"/>
          <w:b/>
          <w:caps/>
          <w:color w:val="000000"/>
          <w:sz w:val="28"/>
          <w:szCs w:val="28"/>
        </w:rPr>
        <w:br w:type="page"/>
      </w:r>
    </w:p>
    <w:p w:rsidR="00252FFB" w:rsidRPr="005E10A1" w:rsidRDefault="00252FFB" w:rsidP="00240B55">
      <w:pPr>
        <w:pStyle w:val="Titolo1"/>
      </w:pPr>
    </w:p>
    <w:p w:rsidR="00D846E4" w:rsidRPr="005E10A1" w:rsidRDefault="00D846E4" w:rsidP="00240B55">
      <w:pPr>
        <w:pStyle w:val="Titolo1"/>
      </w:pPr>
      <w:bookmarkStart w:id="4" w:name="_Toc63071634"/>
      <w:bookmarkStart w:id="5" w:name="_Toc63074274"/>
      <w:r w:rsidRPr="005E10A1">
        <w:t>CAPITOLO I</w:t>
      </w:r>
      <w:bookmarkEnd w:id="4"/>
      <w:bookmarkEnd w:id="5"/>
    </w:p>
    <w:p w:rsidR="00D846E4" w:rsidRPr="005E10A1" w:rsidRDefault="00D846E4" w:rsidP="00240B55">
      <w:pPr>
        <w:pStyle w:val="Titolo1"/>
      </w:pPr>
      <w:bookmarkStart w:id="6" w:name="_Toc63071635"/>
      <w:bookmarkStart w:id="7" w:name="_Toc63074275"/>
      <w:r w:rsidRPr="005E10A1">
        <w:t>CRISI E RINNOVAMENTO</w:t>
      </w:r>
      <w:bookmarkEnd w:id="6"/>
      <w:bookmarkEnd w:id="7"/>
      <w:r w:rsidRPr="005E10A1">
        <w:t xml:space="preserve"> </w:t>
      </w:r>
    </w:p>
    <w:p w:rsidR="00386712" w:rsidRPr="005E10A1" w:rsidRDefault="00386712" w:rsidP="00216CDA">
      <w:pPr>
        <w:widowControl w:val="0"/>
        <w:rPr>
          <w:rFonts w:ascii="Garamond" w:hAnsi="Garamond"/>
        </w:rPr>
      </w:pPr>
    </w:p>
    <w:p w:rsidR="00D846E4" w:rsidRPr="005E10A1" w:rsidRDefault="00D846E4" w:rsidP="00240B55">
      <w:pPr>
        <w:pStyle w:val="Titolo2"/>
      </w:pPr>
      <w:bookmarkStart w:id="8" w:name="_Toc63071636"/>
      <w:bookmarkStart w:id="9" w:name="_Toc63074276"/>
      <w:r w:rsidRPr="005E10A1">
        <w:t>1. Legge e Amministrazione durante la pandemia</w:t>
      </w:r>
      <w:bookmarkEnd w:id="8"/>
      <w:bookmarkEnd w:id="9"/>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Secondo Elias Canetti, quando le epidemie colpiscono «si vive tutti in un’eguale, terribile attesa, durante la quale si sciolgono i consueti vincoli degli uomini»</w:t>
      </w:r>
      <w:r w:rsidRPr="005E10A1">
        <w:rPr>
          <w:rStyle w:val="Rimandonotaapidipagina"/>
          <w:rFonts w:ascii="Garamond" w:hAnsi="Garamond" w:cs="Times New Roman"/>
          <w:color w:val="000000"/>
          <w:sz w:val="28"/>
          <w:szCs w:val="28"/>
        </w:rPr>
        <w:footnoteReference w:id="1"/>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Alla sfiducia, umanamente </w:t>
      </w:r>
      <w:r w:rsidR="0047377C">
        <w:rPr>
          <w:rFonts w:ascii="Garamond" w:hAnsi="Garamond" w:cs="Times New Roman"/>
          <w:color w:val="000000"/>
          <w:sz w:val="28"/>
          <w:szCs w:val="28"/>
        </w:rPr>
        <w:t>comprensibile</w:t>
      </w:r>
      <w:r w:rsidRPr="005E10A1">
        <w:rPr>
          <w:rFonts w:ascii="Garamond" w:hAnsi="Garamond" w:cs="Times New Roman"/>
          <w:color w:val="000000"/>
          <w:sz w:val="28"/>
          <w:szCs w:val="28"/>
        </w:rPr>
        <w:t xml:space="preserve">, dell’intellettuale, </w:t>
      </w:r>
      <w:r w:rsidR="0047377C">
        <w:rPr>
          <w:rFonts w:ascii="Garamond" w:hAnsi="Garamond" w:cs="Times New Roman"/>
          <w:color w:val="000000"/>
          <w:sz w:val="28"/>
          <w:szCs w:val="28"/>
        </w:rPr>
        <w:t>va</w:t>
      </w:r>
      <w:r w:rsidRPr="005E10A1">
        <w:rPr>
          <w:rFonts w:ascii="Garamond" w:hAnsi="Garamond" w:cs="Times New Roman"/>
          <w:color w:val="000000"/>
          <w:sz w:val="28"/>
          <w:szCs w:val="28"/>
        </w:rPr>
        <w:t xml:space="preserve"> contrappost</w:t>
      </w:r>
      <w:r w:rsidR="0047377C">
        <w:rPr>
          <w:rFonts w:ascii="Garamond" w:hAnsi="Garamond" w:cs="Times New Roman"/>
          <w:color w:val="000000"/>
          <w:sz w:val="28"/>
          <w:szCs w:val="28"/>
        </w:rPr>
        <w:t>a</w:t>
      </w:r>
      <w:r w:rsidRPr="005E10A1">
        <w:rPr>
          <w:rFonts w:ascii="Garamond" w:hAnsi="Garamond" w:cs="Times New Roman"/>
          <w:color w:val="000000"/>
          <w:sz w:val="28"/>
          <w:szCs w:val="28"/>
        </w:rPr>
        <w:t xml:space="preserve"> una risposta individuale e collettiva ferma e responsabile che rinsalda i vincoli di solidarietà fra le persone e il ruolo unificante </w:t>
      </w:r>
      <w:r w:rsidR="00764269">
        <w:rPr>
          <w:rFonts w:ascii="Garamond" w:hAnsi="Garamond" w:cs="Times New Roman"/>
          <w:color w:val="000000"/>
          <w:sz w:val="28"/>
          <w:szCs w:val="28"/>
        </w:rPr>
        <w:t xml:space="preserve">di Stato e </w:t>
      </w:r>
      <w:r w:rsidRPr="005E10A1">
        <w:rPr>
          <w:rFonts w:ascii="Garamond" w:hAnsi="Garamond" w:cs="Times New Roman"/>
          <w:color w:val="000000"/>
          <w:sz w:val="28"/>
          <w:szCs w:val="28"/>
        </w:rPr>
        <w:t>Unione europea.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Di fronte a una pandemia che ha acuito le disuguaglianze, il compito delle istituzioni di rimuovere gli ostacoli di ordine economico e sociale si è fatto più pregnante e ha imposto decisioni politicamente difficili. Si è assistito negli ultimi mesi ad una moltiplicazione di atti regolativi che, sprigionando una massa di prescrizioni dai contenuti frammentati, hanno sottoposto a inedita tensione non solo l’ordinamento giuridico, ma lo stesso tessuto politico e istituzionale del nostro Paese.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produzione giuridica fondata sulla situazione emergenziale ha evidenziato due principali profili problematici nei rapporti sia tra Governo e Parlamento</w:t>
      </w:r>
      <w:r w:rsidR="00764269">
        <w:rPr>
          <w:rFonts w:ascii="Garamond" w:hAnsi="Garamond" w:cs="Times New Roman"/>
          <w:color w:val="000000"/>
          <w:sz w:val="28"/>
          <w:szCs w:val="28"/>
        </w:rPr>
        <w:t>,</w:t>
      </w:r>
      <w:r w:rsidRPr="005E10A1">
        <w:rPr>
          <w:rFonts w:ascii="Garamond" w:hAnsi="Garamond" w:cs="Times New Roman"/>
          <w:color w:val="000000"/>
          <w:sz w:val="28"/>
          <w:szCs w:val="28"/>
        </w:rPr>
        <w:t xml:space="preserve"> sia fra centro e autonomie territoriali.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Quanto ai primi, le misure adottate nel corso dell’emergenza hanno suscitato </w:t>
      </w:r>
      <w:r w:rsidR="0047377C">
        <w:rPr>
          <w:rFonts w:ascii="Garamond" w:hAnsi="Garamond" w:cs="Times New Roman"/>
          <w:color w:val="000000"/>
          <w:sz w:val="28"/>
          <w:szCs w:val="28"/>
        </w:rPr>
        <w:t>un dibattito</w:t>
      </w:r>
      <w:r w:rsidRPr="005E10A1">
        <w:rPr>
          <w:rFonts w:ascii="Garamond" w:hAnsi="Garamond" w:cs="Times New Roman"/>
          <w:color w:val="000000"/>
          <w:sz w:val="28"/>
          <w:szCs w:val="28"/>
        </w:rPr>
        <w:t xml:space="preserve"> sui limiti del potere di normazione secondaria del Governo e sull’esigenza di indirizzo e controllo parlamentare, con ripercussioni sul rapporto tra libertà fondamentali e riserva di legge </w:t>
      </w:r>
      <w:r w:rsidR="0047377C">
        <w:rPr>
          <w:rFonts w:ascii="Garamond" w:hAnsi="Garamond" w:cs="Times New Roman"/>
          <w:color w:val="000000"/>
          <w:sz w:val="28"/>
          <w:szCs w:val="28"/>
        </w:rPr>
        <w:t xml:space="preserve">che ha investito </w:t>
      </w:r>
      <w:r w:rsidRPr="005E10A1">
        <w:rPr>
          <w:rFonts w:ascii="Garamond" w:hAnsi="Garamond" w:cs="Times New Roman"/>
          <w:color w:val="000000"/>
          <w:sz w:val="28"/>
          <w:szCs w:val="28"/>
        </w:rPr>
        <w:t>il rispetto dello stesso principio di legalità, in un contesto in cui il diritto alla salute ha assunto valenza tendenzialmente primaria.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Quanto ai secondi, abbiamo assistito purtroppo, da un lato, all’assenza di una tempestiva ed effettiva cooperazione tra Stato e Regioni nella determinazione degli interventi da porre in essere, sintomo delle criticità della riforma costituzionale del 2001 nella gestione di situazioni di rilevanza nazionale; dall’altro, a una certa </w:t>
      </w:r>
      <w:r w:rsidR="0047377C">
        <w:rPr>
          <w:rFonts w:ascii="Garamond" w:hAnsi="Garamond" w:cs="Times New Roman"/>
          <w:color w:val="000000"/>
          <w:sz w:val="28"/>
          <w:szCs w:val="28"/>
        </w:rPr>
        <w:t>ritrosia</w:t>
      </w:r>
      <w:r w:rsidRPr="005E10A1">
        <w:rPr>
          <w:rFonts w:ascii="Garamond" w:hAnsi="Garamond" w:cs="Times New Roman"/>
          <w:color w:val="000000"/>
          <w:sz w:val="28"/>
          <w:szCs w:val="28"/>
        </w:rPr>
        <w:t xml:space="preserve"> dello Stato nell’esercitare funzioni di sua sicura competenza esclusiva (quali la profilassi internazionale) e nell’azionare il potere sostitutivo. Il che ha condotto a frequenti conflitti.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Superata la fase più acuta dell’emergenza, è possibile provare a tracciare un primo bilancio di come il diritto pubblico abbia risposto a questo sconvolgimento istituzionale e domandarsi se e fino a che punto il sistema normativo e amministrativo costruito </w:t>
      </w:r>
      <w:r w:rsidR="0047377C">
        <w:rPr>
          <w:rFonts w:ascii="Garamond" w:hAnsi="Garamond" w:cs="Times New Roman"/>
          <w:color w:val="000000"/>
          <w:sz w:val="28"/>
          <w:szCs w:val="28"/>
        </w:rPr>
        <w:t>per</w:t>
      </w:r>
      <w:r w:rsidRPr="005E10A1">
        <w:rPr>
          <w:rFonts w:ascii="Garamond" w:hAnsi="Garamond" w:cs="Times New Roman"/>
          <w:color w:val="000000"/>
          <w:sz w:val="28"/>
          <w:szCs w:val="28"/>
        </w:rPr>
        <w:t xml:space="preserve"> fronteggiare la crisi soddisfi le condizioni che Karl Popper</w:t>
      </w:r>
      <w:r w:rsidRPr="005E10A1">
        <w:rPr>
          <w:rFonts w:ascii="Garamond" w:hAnsi="Garamond" w:cs="Times New Roman"/>
          <w:sz w:val="28"/>
          <w:szCs w:val="28"/>
          <w:vertAlign w:val="superscript"/>
        </w:rPr>
        <w:footnoteReference w:id="2"/>
      </w:r>
      <w:r w:rsidRPr="005E10A1">
        <w:rPr>
          <w:rFonts w:ascii="Garamond" w:hAnsi="Garamond" w:cs="Times New Roman"/>
          <w:color w:val="000000"/>
          <w:sz w:val="28"/>
          <w:szCs w:val="28"/>
        </w:rPr>
        <w:t xml:space="preserve"> pone perché una società possa definirsi realmente “aperta”: se, cioè, nonostante l’ignoto e l’incertezza che per natura caratterizzano l’esistenza umana, ess</w:t>
      </w:r>
      <w:r w:rsidR="0047377C">
        <w:rPr>
          <w:rFonts w:ascii="Garamond" w:hAnsi="Garamond" w:cs="Times New Roman"/>
          <w:color w:val="000000"/>
          <w:sz w:val="28"/>
          <w:szCs w:val="28"/>
        </w:rPr>
        <w:t>o</w:t>
      </w:r>
      <w:r w:rsidRPr="005E10A1">
        <w:rPr>
          <w:rFonts w:ascii="Garamond" w:hAnsi="Garamond" w:cs="Times New Roman"/>
          <w:color w:val="000000"/>
          <w:sz w:val="28"/>
          <w:szCs w:val="28"/>
        </w:rPr>
        <w:t xml:space="preserve"> riesca a garantire, anche in circostanze straordinarie, la sicurezza e la libertà dei </w:t>
      </w:r>
      <w:r w:rsidRPr="005E10A1">
        <w:rPr>
          <w:rFonts w:ascii="Garamond" w:hAnsi="Garamond" w:cs="Times New Roman"/>
          <w:i/>
          <w:color w:val="000000"/>
          <w:sz w:val="28"/>
          <w:szCs w:val="28"/>
        </w:rPr>
        <w:t>cives</w:t>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Il mondo contemporaneo ci mostra sempre più che il rischio è un elemento ineliminabile nell’esistenza delle società e nei loro ordinamenti</w:t>
      </w:r>
      <w:r w:rsidR="00764269">
        <w:rPr>
          <w:rFonts w:ascii="Garamond" w:hAnsi="Garamond" w:cs="Times New Roman"/>
          <w:color w:val="000000"/>
          <w:sz w:val="28"/>
          <w:szCs w:val="28"/>
        </w:rPr>
        <w:t>. N</w:t>
      </w:r>
      <w:r w:rsidRPr="005E10A1">
        <w:rPr>
          <w:rFonts w:ascii="Garamond" w:hAnsi="Garamond" w:cs="Times New Roman"/>
          <w:color w:val="000000"/>
          <w:sz w:val="28"/>
          <w:szCs w:val="28"/>
        </w:rPr>
        <w:t>elle democrazie costituzionali non tutto è prevedibile a priori e riconducibile a procedure interamente predeterminate.</w:t>
      </w:r>
    </w:p>
    <w:p w:rsidR="00D846E4" w:rsidRPr="005E10A1" w:rsidRDefault="00D846E4" w:rsidP="00216CDA">
      <w:pPr>
        <w:widowControl w:val="0"/>
        <w:spacing w:after="120" w:line="360" w:lineRule="auto"/>
        <w:jc w:val="both"/>
        <w:rPr>
          <w:rFonts w:ascii="Garamond" w:hAnsi="Garamond" w:cs="Times New Roman"/>
          <w:sz w:val="28"/>
          <w:szCs w:val="28"/>
          <w:u w:val="single"/>
        </w:rPr>
      </w:pPr>
      <w:r w:rsidRPr="005E10A1">
        <w:rPr>
          <w:rFonts w:ascii="Garamond" w:hAnsi="Garamond" w:cs="Times New Roman"/>
          <w:color w:val="000000"/>
          <w:sz w:val="28"/>
          <w:szCs w:val="28"/>
        </w:rPr>
        <w:t>Esistono, è vero, regole e princìpi fondamentali che delineano l’assetto costituzionale dello Stato. Ma il diritto positivo va contestualizzato, in tale cornice ineludibile, a certe situazioni di fatto. E tra queste esiste lo stato di emergenza</w:t>
      </w:r>
      <w:r w:rsidRPr="005E10A1">
        <w:rPr>
          <w:rFonts w:ascii="Garamond" w:hAnsi="Garamond" w:cs="Times New Roman"/>
          <w:sz w:val="28"/>
          <w:szCs w:val="28"/>
        </w:rPr>
        <w:t xml:space="preserve">, </w:t>
      </w:r>
      <w:r w:rsidRPr="005E10A1">
        <w:rPr>
          <w:rFonts w:ascii="Garamond" w:hAnsi="Garamond" w:cs="Times New Roman"/>
          <w:i/>
          <w:sz w:val="28"/>
          <w:szCs w:val="28"/>
        </w:rPr>
        <w:t>fatto</w:t>
      </w:r>
      <w:r w:rsidRPr="005E10A1">
        <w:rPr>
          <w:rFonts w:ascii="Garamond" w:hAnsi="Garamond" w:cs="Times New Roman"/>
          <w:sz w:val="28"/>
          <w:szCs w:val="28"/>
        </w:rPr>
        <w:t xml:space="preserve"> che non tollera vuoti di potere. Non </w:t>
      </w:r>
      <w:r w:rsidRPr="005E10A1">
        <w:rPr>
          <w:rFonts w:ascii="Garamond" w:hAnsi="Garamond" w:cs="Times New Roman"/>
          <w:color w:val="000000"/>
          <w:sz w:val="28"/>
          <w:szCs w:val="28"/>
        </w:rPr>
        <w:t xml:space="preserve">sempre è tipizzato (come avviene per lo stato di guerra) ma da sempre è immanente al sistema. Se ragioniamo, nella situazione emergenziale, con gli stessi parametri di riferimento, con la stessa “raffinatezza giuridica” che tutti riconosciamo ai giuristi italiani, con il pensiero rivolto al regime ordinario e con il retropensiero che il regime derogatorio ci condurrà dallo stato di emergenza allo Stato di eccezione nell’accezione schmittiana del termine, ci infiliamo in disquisizioni teoriche  sull’applicazione di un diritto decontestualizzato che, per questo, diventa inutile, non serve. </w:t>
      </w:r>
    </w:p>
    <w:p w:rsidR="00D846E4" w:rsidRPr="005E10A1" w:rsidRDefault="00D846E4" w:rsidP="00216CDA">
      <w:pPr>
        <w:widowControl w:val="0"/>
        <w:spacing w:before="100" w:beforeAutospacing="1"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nostro sistema costituzionale ha dimostrato capacità di adattamento, rimanendo fedele alle premesse dello Stato di diritto </w:t>
      </w:r>
      <w:r w:rsidRPr="005E10A1">
        <w:rPr>
          <w:rFonts w:ascii="Times New Roman" w:hAnsi="Times New Roman" w:cs="Times New Roman"/>
          <w:color w:val="000000"/>
          <w:sz w:val="28"/>
          <w:szCs w:val="28"/>
        </w:rPr>
        <w:t>‒</w:t>
      </w:r>
      <w:r w:rsidRPr="005E10A1">
        <w:rPr>
          <w:rFonts w:ascii="Garamond" w:hAnsi="Garamond" w:cs="Times New Roman"/>
          <w:color w:val="000000"/>
          <w:sz w:val="28"/>
          <w:szCs w:val="28"/>
        </w:rPr>
        <w:t xml:space="preserve"> la pretesa cio</w:t>
      </w:r>
      <w:r w:rsidRPr="005E10A1">
        <w:rPr>
          <w:rFonts w:ascii="Garamond" w:hAnsi="Garamond" w:cs="Garamond"/>
          <w:color w:val="000000"/>
          <w:sz w:val="28"/>
          <w:szCs w:val="28"/>
        </w:rPr>
        <w:t>è</w:t>
      </w:r>
      <w:r w:rsidRPr="005E10A1">
        <w:rPr>
          <w:rFonts w:ascii="Garamond" w:hAnsi="Garamond" w:cs="Times New Roman"/>
          <w:color w:val="000000"/>
          <w:sz w:val="28"/>
          <w:szCs w:val="28"/>
        </w:rPr>
        <w:t xml:space="preserve"> di controllare il potere attraverso la sua sottoposizione al diritto </w:t>
      </w:r>
      <w:r w:rsidRPr="005E10A1">
        <w:rPr>
          <w:rFonts w:ascii="Times New Roman" w:hAnsi="Times New Roman" w:cs="Times New Roman"/>
          <w:color w:val="000000"/>
          <w:sz w:val="28"/>
          <w:szCs w:val="28"/>
        </w:rPr>
        <w:t>‒</w:t>
      </w:r>
      <w:r w:rsidRPr="005E10A1">
        <w:rPr>
          <w:rFonts w:ascii="Garamond" w:hAnsi="Garamond" w:cs="Times New Roman"/>
          <w:color w:val="000000"/>
          <w:sz w:val="28"/>
          <w:szCs w:val="28"/>
        </w:rPr>
        <w:t xml:space="preserve"> senza snaturarsi e senza </w:t>
      </w:r>
      <w:r w:rsidRPr="005E10A1">
        <w:rPr>
          <w:rFonts w:ascii="Garamond" w:hAnsi="Garamond" w:cs="Garamond"/>
          <w:color w:val="000000"/>
          <w:sz w:val="28"/>
          <w:szCs w:val="28"/>
        </w:rPr>
        <w:t>“</w:t>
      </w:r>
      <w:r w:rsidRPr="005E10A1">
        <w:rPr>
          <w:rFonts w:ascii="Garamond" w:hAnsi="Garamond" w:cs="Times New Roman"/>
          <w:color w:val="000000"/>
          <w:sz w:val="28"/>
          <w:szCs w:val="28"/>
        </w:rPr>
        <w:t>rotture</w:t>
      </w:r>
      <w:r w:rsidRPr="005E10A1">
        <w:rPr>
          <w:rFonts w:ascii="Garamond" w:hAnsi="Garamond" w:cs="Garamond"/>
          <w:color w:val="000000"/>
          <w:sz w:val="28"/>
          <w:szCs w:val="28"/>
        </w:rPr>
        <w:t>”</w:t>
      </w:r>
      <w:r w:rsidRPr="005E10A1">
        <w:rPr>
          <w:rFonts w:ascii="Garamond" w:hAnsi="Garamond" w:cs="Times New Roman"/>
          <w:color w:val="000000"/>
          <w:sz w:val="28"/>
          <w:szCs w:val="28"/>
        </w:rPr>
        <w:t xml:space="preserve"> dei paradigmi consolidati. La preminenza del diritto alla salute non lo ha sottratto al bilanciamento con altri valori costituzionali (Corte cost. 28 novembre 2012, n. 264); le misure limitative dell’ordinario svolgimento della vita sociale, ove sorrette da proporzionalità e temporaneità e rispettose della dignità umana, non hanno prodotto alterazioni irreversibili dei nostri diritti costituzionali individuali e collettivi. Quelle stesse misure sono state per lo più vissute dai consociati come legittime, perché percepite come funzionali alla tutela della salute</w:t>
      </w:r>
      <w:r w:rsidR="0047377C">
        <w:rPr>
          <w:rFonts w:ascii="Garamond" w:hAnsi="Garamond" w:cs="Times New Roman"/>
          <w:color w:val="000000"/>
          <w:sz w:val="28"/>
          <w:szCs w:val="28"/>
        </w:rPr>
        <w:t>:</w:t>
      </w:r>
      <w:r w:rsidRPr="005E10A1">
        <w:rPr>
          <w:rFonts w:ascii="Garamond" w:hAnsi="Garamond" w:cs="Times New Roman"/>
          <w:color w:val="000000"/>
          <w:sz w:val="28"/>
          <w:szCs w:val="28"/>
        </w:rPr>
        <w:t xml:space="preserve"> come ricorda Crisafulli, l’“effettività legittimante” delle norme si manifesta “nel reale conformarsi dell’esperienza alle norme, nel concreto prodursi degli effetti da queste disposti”</w:t>
      </w:r>
      <w:r w:rsidRPr="005E10A1">
        <w:rPr>
          <w:rStyle w:val="Rimandonotaapidipagina"/>
          <w:rFonts w:ascii="Garamond" w:hAnsi="Garamond" w:cs="Times New Roman"/>
          <w:color w:val="000000"/>
          <w:sz w:val="28"/>
          <w:szCs w:val="28"/>
        </w:rPr>
        <w:footnoteReference w:id="3"/>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Certo non possono non lamentarsi</w:t>
      </w:r>
      <w:r w:rsidR="0047377C">
        <w:rPr>
          <w:rFonts w:ascii="Garamond" w:hAnsi="Garamond" w:cs="Times New Roman"/>
          <w:color w:val="000000"/>
          <w:sz w:val="28"/>
          <w:szCs w:val="28"/>
        </w:rPr>
        <w:t xml:space="preserve"> problematicità</w:t>
      </w:r>
      <w:r w:rsidRPr="005E10A1">
        <w:rPr>
          <w:rFonts w:ascii="Garamond" w:hAnsi="Garamond" w:cs="Times New Roman"/>
          <w:color w:val="000000"/>
          <w:sz w:val="28"/>
          <w:szCs w:val="28"/>
        </w:rPr>
        <w:t>, sia pure in una situazione oggettivamente difficile da gestire: l’incertezza del quadro normativo, eccessivamente frammentato e in taluni casi tanto complicato da rendersi difficilmente comprensibile, da parte dei cittadini; una qualche criticità nella diffusione dei dati e delle informazioni sull’epidemia, sì da renderne difficile prima la consapevolezza e poi il controllo sociale</w:t>
      </w:r>
      <w:r w:rsidR="0047377C">
        <w:rPr>
          <w:rFonts w:ascii="Garamond" w:hAnsi="Garamond" w:cs="Times New Roman"/>
          <w:color w:val="000000"/>
          <w:sz w:val="28"/>
          <w:szCs w:val="28"/>
        </w:rPr>
        <w:t>; la comunicazione di dati e delle informazioni sulla pandemia, poi, non sempre è stata impeccabile e tempestiva: opacità, incertezze e cambi repentini ne hanno talvolta minato l’efficacia.</w:t>
      </w:r>
    </w:p>
    <w:p w:rsidR="00D846E4" w:rsidRPr="005E10A1" w:rsidRDefault="00D846E4" w:rsidP="00216CDA">
      <w:pPr>
        <w:widowControl w:val="0"/>
        <w:spacing w:after="120" w:line="360" w:lineRule="auto"/>
        <w:jc w:val="both"/>
        <w:rPr>
          <w:rFonts w:ascii="Garamond" w:hAnsi="Garamond" w:cs="Times New Roman"/>
          <w:b/>
          <w:color w:val="000000"/>
          <w:sz w:val="28"/>
          <w:szCs w:val="28"/>
        </w:rPr>
      </w:pPr>
    </w:p>
    <w:p w:rsidR="00D846E4" w:rsidRPr="005E10A1" w:rsidRDefault="00D846E4" w:rsidP="00240B55">
      <w:pPr>
        <w:pStyle w:val="Titolo2"/>
      </w:pPr>
      <w:bookmarkStart w:id="10" w:name="_Toc63071637"/>
      <w:bookmarkStart w:id="11" w:name="_Toc63074277"/>
      <w:r w:rsidRPr="005E10A1">
        <w:t>2. Ricostruzione, amministrazione e giustizia amministrativa</w:t>
      </w:r>
      <w:bookmarkEnd w:id="10"/>
      <w:bookmarkEnd w:id="11"/>
      <w:r w:rsidRPr="005E10A1">
        <w:t xml:space="preserv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Ora è il momento di riflettere sulla ricostruzione che verrà a mano a mano che l’emergenza sanitaria andrà attenuandosi.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La ricostruzione è sempre figlia di una tragedia, di una frattura che non si dimentica, di una ferita che non si rimargina, come ha avuto modo di osservare Renzo Piano all’inaugurazione del ponte di Genova.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ricostruzione “diventa l’essenza stessa di quello che saremo […], incorpora</w:t>
      </w:r>
      <w:r w:rsidRPr="005E10A1" w:rsidDel="00420A6F">
        <w:rPr>
          <w:rFonts w:ascii="Garamond" w:hAnsi="Garamond" w:cs="Times New Roman"/>
          <w:color w:val="000000"/>
          <w:sz w:val="28"/>
          <w:szCs w:val="28"/>
        </w:rPr>
        <w:t xml:space="preserve"> </w:t>
      </w:r>
      <w:r w:rsidRPr="005E10A1">
        <w:rPr>
          <w:rFonts w:ascii="Garamond" w:hAnsi="Garamond" w:cs="Times New Roman"/>
          <w:color w:val="000000"/>
          <w:sz w:val="28"/>
          <w:szCs w:val="28"/>
        </w:rPr>
        <w:t>… un passato che non si può ripristinare così come era, ma richiede un rinnovamento […] che pesca nell’esistente e ha un respiro di lungo periodo […] animato da una grande tensione ideale”</w:t>
      </w:r>
      <w:r w:rsidRPr="005E10A1">
        <w:rPr>
          <w:rStyle w:val="Rimandonotaapidipagina"/>
          <w:rFonts w:ascii="Garamond" w:hAnsi="Garamond" w:cs="Times New Roman"/>
          <w:color w:val="000000"/>
          <w:sz w:val="28"/>
          <w:szCs w:val="28"/>
        </w:rPr>
        <w:footnoteReference w:id="4"/>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L’Europa, dopo le prime iniziali incertezze, ha dato prova di voler reagire ai disastri provocati dalla pandemia; ora tocca alle nazioni e soprattutto all'Italia. Non possiamo prenderci la responsabilità di far fallire la solidarietà europea: ora più che mai, dobbiamo saper spendere bene, con interventi strutturali che ci consentano poi di proseguire il cammino sulle nostre gambe, indirizzando le risorse, come sottolineato dal Governatore della Banca d’Italia, “dove si possono ottenere i rendimenti sociali più elevati; (…) [attraverso] un miglioramento continuo e profondo nei servizi pubblici offerti, (…) le necessarie semplificazioni e (…) la giusta e consapevole attribuzione di responsabilità</w:t>
      </w:r>
      <w:r w:rsidRPr="005E10A1">
        <w:rPr>
          <w:rStyle w:val="Rimandonotaapidipagina"/>
          <w:rFonts w:ascii="Garamond" w:hAnsi="Garamond" w:cs="Times New Roman"/>
          <w:color w:val="000000"/>
          <w:sz w:val="28"/>
          <w:szCs w:val="28"/>
        </w:rPr>
        <w:footnoteReference w:id="5"/>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Occorrono, insieme, una chiara visione politica, fatta di realismo lungimirante, e un sistema amministrativo agile ed efficiente.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Al diritto pubblico verrà chiesto un importante contributo per la ricostruzione, ma, allo stesso tempo, i giuristi avranno un’occasione per ricostruire il diritto pubblico, intervenendo quantomeno su quegli aspetti del sistema amministrativo che durante la crisi sanitaria hanno mostrato evidenti criticità: sul piano strutturale, </w:t>
      </w:r>
      <w:r w:rsidR="00FE14D0">
        <w:rPr>
          <w:rFonts w:ascii="Garamond" w:hAnsi="Garamond" w:cs="Times New Roman"/>
          <w:color w:val="000000"/>
          <w:sz w:val="28"/>
          <w:szCs w:val="28"/>
        </w:rPr>
        <w:t>rimodulando</w:t>
      </w:r>
      <w:r w:rsidRPr="005E10A1">
        <w:rPr>
          <w:rFonts w:ascii="Garamond" w:hAnsi="Garamond" w:cs="Times New Roman"/>
          <w:color w:val="000000"/>
          <w:sz w:val="28"/>
          <w:szCs w:val="28"/>
        </w:rPr>
        <w:t xml:space="preserve"> le relazioni tra centro e territori; sul piano della regolazione normativa, mutandone i paradigmi, in modo da tenere meglio assieme sviluppo, ambiente, salute e solidarietà; sul piano dell’amministrazione, con il superamento dei suoi problemi endogeni: nuovi investimenti, un adeguato ricambio generazionale, il rilancio di un approccio tecnico ed economico e non più solo legalistico, una intensa opera di formazione.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L’efficienza del sistema amministrativo è dunque uno snodo cruciale della ricostruzione. Ma all’espansione dei poteri pubblici deve corrispondere un efficace sistema di giustizia amministrativa, in quanto è nel </w:t>
      </w:r>
      <w:r w:rsidRPr="005E10A1">
        <w:rPr>
          <w:rFonts w:ascii="Garamond" w:hAnsi="Garamond" w:cs="Times New Roman"/>
          <w:i/>
          <w:color w:val="000000"/>
          <w:sz w:val="28"/>
          <w:szCs w:val="28"/>
        </w:rPr>
        <w:t>proprium</w:t>
      </w:r>
      <w:r w:rsidRPr="005E10A1">
        <w:rPr>
          <w:rFonts w:ascii="Garamond" w:hAnsi="Garamond" w:cs="Times New Roman"/>
          <w:color w:val="000000"/>
          <w:sz w:val="28"/>
          <w:szCs w:val="28"/>
        </w:rPr>
        <w:t xml:space="preserve"> degli impianti a diritto pubblico la costante aderenza dell’evoluzione della giustizia ai momenti di trasformazione e alle vicende dei poteri pubblici nella società.</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fase emergenziale ha radicalizzato alcuni problemi di sistema, facendo emergere un’apparente contrapposizione fra potere esecutivo, votato tendenzialmente all’efficienza, e potere giudiziario, incentrato sulle garanzie.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A fronte di tentativi di marginalizzazione, quando non di delegittimazione strisciante, della giurisdizione amministrativa, bisogna essere chiari: l’efficienza della macchina amministrativa</w:t>
      </w:r>
      <w:r w:rsidR="00FE14D0">
        <w:rPr>
          <w:rFonts w:ascii="Garamond" w:hAnsi="Garamond" w:cs="Times New Roman"/>
          <w:color w:val="000000"/>
          <w:sz w:val="28"/>
          <w:szCs w:val="28"/>
        </w:rPr>
        <w:t xml:space="preserve">, che è tale se si muove nella legalità, </w:t>
      </w:r>
      <w:r w:rsidRPr="005E10A1">
        <w:rPr>
          <w:rFonts w:ascii="Garamond" w:hAnsi="Garamond" w:cs="Times New Roman"/>
          <w:color w:val="000000"/>
          <w:sz w:val="28"/>
          <w:szCs w:val="28"/>
        </w:rPr>
        <w:t>non può costituire un alibi per ridurre la garanzia dei diritti e la protezione degli interessi; l’incertezza nelle scelte politiche non può essere “scaricata” sull’amministrazione e sulla giurisdizione; l’inefficienza della macchina burocratica e l’illegittimo esercizio del potere pubblico non possono essere tollerati nemmeno in situazioni emergenziali e quindi men che mai in una fase di ricostruzione.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Alla politica e all’amministrazione il dovere di agire nella legalità in un quadro normativo chiaro e ben definito, al giudice il dovere di rispondere con tempestività e competenza alla domanda di giustizia.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Per non apparire astratti: ridurre gli oneri amministrativi non necessari, superare la paura della firma, uscire quanto prima da un regime derogatorio, se non speciale, in materia di appalti e concentrarsi, per il regime ordinario, su una seria riduzione dello stock regolatorio e sull’organizzazione delle stazioni appaltanti, fornendo le stesse e le amministrazioni in generale di personale tecnico, giovane, motivato e adeguatamente remunerato.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 cittadini hanno bisogno di risposte alla situazione di incertezza, che certo non può essere eliminata o governata dalla moltiplicazione delle regole. Nel quadro emergenziale, il giudice amministrativo deve saper contribuire alla riduzione dell’incertezza ed alla ri-costruzione della fiducia nella capacità dell’ordinamento di dare risposte effettive.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Costruire fiducia, non ricercare consenso.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Ricostruire fiducia senza ricercare il consenso è proprio delle istituzioni di garanzia, sottratte al circuito della rappresentanza politica. Una particolare responsabilità ricade sulle giurisdizioni superiori. La nomofilachia rafforza la responsabilità e la credibilità del giudice, assicurando la prevedibilità delle decisioni giudiziarie, ma fornisce anche un servizio utile per le amministrazioni, tracciando le coordinate della legittimità della loro azione attraverso l’effetto conformativo esterno.</w:t>
      </w:r>
    </w:p>
    <w:p w:rsidR="00417C40" w:rsidRDefault="00417C40">
      <w:pPr>
        <w:spacing w:line="259" w:lineRule="auto"/>
        <w:rPr>
          <w:rFonts w:ascii="Garamond" w:hAnsi="Garamond" w:cs="Times New Roman"/>
          <w:color w:val="000000"/>
          <w:sz w:val="28"/>
          <w:szCs w:val="28"/>
        </w:rPr>
      </w:pPr>
      <w:r>
        <w:rPr>
          <w:rFonts w:ascii="Garamond" w:hAnsi="Garamond" w:cs="Times New Roman"/>
          <w:color w:val="000000"/>
          <w:sz w:val="28"/>
          <w:szCs w:val="28"/>
        </w:rPr>
        <w:br w:type="page"/>
      </w:r>
    </w:p>
    <w:p w:rsidR="00252FFB" w:rsidRPr="005E10A1" w:rsidRDefault="00252FFB" w:rsidP="00216CDA">
      <w:pPr>
        <w:widowControl w:val="0"/>
        <w:spacing w:after="120" w:line="360" w:lineRule="auto"/>
        <w:jc w:val="both"/>
        <w:rPr>
          <w:rFonts w:ascii="Garamond" w:hAnsi="Garamond" w:cs="Times New Roman"/>
          <w:color w:val="000000"/>
          <w:sz w:val="28"/>
          <w:szCs w:val="28"/>
        </w:rPr>
      </w:pPr>
    </w:p>
    <w:p w:rsidR="00D846E4" w:rsidRPr="005E10A1" w:rsidRDefault="00D846E4" w:rsidP="00240B55">
      <w:pPr>
        <w:pStyle w:val="Titolo1"/>
      </w:pPr>
      <w:bookmarkStart w:id="12" w:name="_Toc63071638"/>
      <w:bookmarkStart w:id="13" w:name="_Toc63074278"/>
      <w:r w:rsidRPr="005E10A1">
        <w:t>CAPITOLO II</w:t>
      </w:r>
      <w:bookmarkEnd w:id="12"/>
      <w:bookmarkEnd w:id="13"/>
    </w:p>
    <w:p w:rsidR="00D846E4" w:rsidRPr="005E10A1" w:rsidRDefault="00D846E4" w:rsidP="00240B55">
      <w:pPr>
        <w:pStyle w:val="Titolo1"/>
      </w:pPr>
      <w:bookmarkStart w:id="14" w:name="_Toc63071639"/>
      <w:bookmarkStart w:id="15" w:name="_Toc63074279"/>
      <w:r w:rsidRPr="005E10A1">
        <w:t>LA GIURISPRUDENZA AMMINISTRATIVA</w:t>
      </w:r>
      <w:bookmarkEnd w:id="14"/>
      <w:bookmarkEnd w:id="15"/>
    </w:p>
    <w:p w:rsidR="00D846E4" w:rsidRPr="005E10A1" w:rsidRDefault="00D846E4" w:rsidP="00240B55">
      <w:pPr>
        <w:pStyle w:val="Titolo1"/>
      </w:pPr>
      <w:bookmarkStart w:id="16" w:name="_Toc63071640"/>
      <w:bookmarkStart w:id="17" w:name="_Toc63074280"/>
      <w:r w:rsidRPr="005E10A1">
        <w:t>AL TEMPO DELLA PANDEMIA</w:t>
      </w:r>
      <w:bookmarkEnd w:id="16"/>
      <w:bookmarkEnd w:id="17"/>
    </w:p>
    <w:p w:rsidR="00D846E4" w:rsidRPr="005E10A1" w:rsidRDefault="00D846E4" w:rsidP="00216CDA">
      <w:pPr>
        <w:widowControl w:val="0"/>
        <w:spacing w:after="120" w:line="240" w:lineRule="auto"/>
        <w:jc w:val="center"/>
        <w:rPr>
          <w:rFonts w:ascii="Garamond" w:hAnsi="Garamond" w:cs="Times New Roman"/>
          <w:b/>
          <w:color w:val="000000"/>
          <w:sz w:val="28"/>
          <w:szCs w:val="28"/>
        </w:rPr>
      </w:pPr>
    </w:p>
    <w:p w:rsidR="00D846E4" w:rsidRPr="005E10A1" w:rsidRDefault="00D846E4" w:rsidP="00240B55">
      <w:pPr>
        <w:pStyle w:val="Titolo2"/>
      </w:pPr>
      <w:bookmarkStart w:id="18" w:name="_Toc63071641"/>
      <w:bookmarkStart w:id="19" w:name="_Toc63074281"/>
      <w:r w:rsidRPr="005E10A1">
        <w:t>1. Riti e numeri dell’emergenza</w:t>
      </w:r>
      <w:bookmarkEnd w:id="18"/>
      <w:bookmarkEnd w:id="19"/>
      <w:r w:rsidRPr="005E10A1">
        <w:t xml:space="preserv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La giustizia amministrativa ha affrontato questo periodo con la consapevolezza del ruolo cui era chiamata in un momento difficile per il Paese. Occorreva garantire la continuità del servizio, sia per rispondere alla domanda di giustizia in relazione all’esercizio dei poteri pubblici emergenziali (e spesso per dirimere le controversie tra autorità pubbliche), sia per evitare l’accumularsi di un contenzioso arretrato. Ma era necessario anche assicurare un regime processuale che, per quanto derogatorio in ragione dell’emergenza, fosse in grado di garantire difesa e contraddittorio.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L’udienza “ad oralità mediata” (articolo 4 del decreto-legge 30 aprile 2020, n. 28), senza pubblicità, ma con la possibilità per i difensori di intervenire da remoto, costituisce l’attuale assetto “ordinario nell’emergenza” del processo amministrativo, ragionevole punto di ricaduta di esigenze concorrenti.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Il processo telematico, da tempo proficuamente utilizzato nella giustizia amministrativa, si è rivelato un valido strumento e ha retto alle nuove disposizioni processuali, accompagnato da protocolli di intesa con le associazioni forensi che ne hanno agevolato la condivisione e l’adattamento alle mutate esigenze. Grazie a tali strumenti e al fondamentale e consistente impegno di magistrati e personale amministrativo, si è dunque riusciti sia a non creare arretrato nel contenzioso ordinario, sia ad assicurare il tempestivo sindacato giurisdizionale sugli atti dei pubblici poteri emanati per far fronte all’emergenza.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Nel periodo che va dall’1 marzo 2020 al 31 dicembre 2020, la giustizia amministrativa ha smaltito</w:t>
      </w:r>
      <w:r w:rsidR="00002108">
        <w:rPr>
          <w:rFonts w:ascii="Garamond" w:eastAsia="Calibri" w:hAnsi="Garamond" w:cs="Times New Roman"/>
          <w:sz w:val="28"/>
          <w:szCs w:val="28"/>
        </w:rPr>
        <w:t xml:space="preserve">, in entrambi i gradi, </w:t>
      </w:r>
      <w:r w:rsidRPr="005E10A1">
        <w:rPr>
          <w:rFonts w:ascii="Garamond" w:eastAsia="Calibri" w:hAnsi="Garamond" w:cs="Times New Roman"/>
          <w:sz w:val="28"/>
          <w:szCs w:val="28"/>
        </w:rPr>
        <w:t xml:space="preserve">più di quanto </w:t>
      </w:r>
      <w:r w:rsidR="00002108">
        <w:rPr>
          <w:rFonts w:ascii="Garamond" w:eastAsia="Calibri" w:hAnsi="Garamond" w:cs="Times New Roman"/>
          <w:sz w:val="28"/>
          <w:szCs w:val="28"/>
        </w:rPr>
        <w:t>abbia</w:t>
      </w:r>
      <w:r w:rsidRPr="005E10A1">
        <w:rPr>
          <w:rFonts w:ascii="Garamond" w:eastAsia="Calibri" w:hAnsi="Garamond" w:cs="Times New Roman"/>
          <w:sz w:val="28"/>
          <w:szCs w:val="28"/>
        </w:rPr>
        <w:t xml:space="preserve"> incamerato: 47.869 procedimenti definiti in primo grado (a fronte dei 34.895 incamerati) e 11.078 in secondo grado (a fronte dei 9.135 incamerati).</w:t>
      </w:r>
    </w:p>
    <w:p w:rsidR="00D846E4" w:rsidRPr="005E10A1" w:rsidRDefault="00D846E4" w:rsidP="00216CDA">
      <w:pPr>
        <w:widowControl w:val="0"/>
        <w:spacing w:after="120" w:line="240" w:lineRule="auto"/>
        <w:jc w:val="both"/>
        <w:rPr>
          <w:rFonts w:ascii="Garamond" w:eastAsia="Calibri" w:hAnsi="Garamond" w:cs="Times New Roman"/>
          <w:b/>
          <w:sz w:val="28"/>
          <w:szCs w:val="28"/>
          <w:u w:val="single"/>
        </w:rPr>
      </w:pPr>
    </w:p>
    <w:p w:rsidR="00D846E4" w:rsidRPr="005E10A1" w:rsidRDefault="00D846E4" w:rsidP="00240B55">
      <w:pPr>
        <w:pStyle w:val="Titolo2"/>
      </w:pPr>
      <w:bookmarkStart w:id="20" w:name="_Toc63071642"/>
      <w:bookmarkStart w:id="21" w:name="_Toc63074282"/>
      <w:r w:rsidRPr="005E10A1">
        <w:t>2. Il diritto giurisprudenziale dell’emergenza</w:t>
      </w:r>
      <w:bookmarkEnd w:id="20"/>
      <w:bookmarkEnd w:id="21"/>
      <w:r w:rsidRPr="005E10A1">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L’urgenza del decidere, non il decidere in emergenza.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I tempi della pandemia saranno ricordati come i tempi della tutela immediata.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giustizia amministrativa non si è mai fermata grazie alla piena funzionalità del processo telematico, che ha consentito di prendere una moltitudine di decisioni cautelari depositate in tempi rapidissimi.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In alcuni casi la pronuncia cautelare ha fornito indicazioni tempestive ampiamente motivate all’amministrazione su rilevanti questioni concernenti i diritti dei cittadini e la tutela della salute; in altri si è addivenuti in breve tempo a una sentenza definitiva in doppio grado su questioni estremamente rilevanti per la ricerca e la prevenzione, come in tema di accordi tra Fondazioni I.R.C.C.S. e società private per la validazione di test sierologici e molecolari per la diagnosi di infezione da SARS-Cov-2 (Cons. St., sez. III, 17 dicembre 2020, n. 8126) o di </w:t>
      </w:r>
      <w:hyperlink r:id="rId13" w:tooltip="Visite domiciliari dei medici di medicina generale ai pazienti Covid" w:history="1">
        <w:r w:rsidRPr="005E10A1">
          <w:rPr>
            <w:rFonts w:ascii="Garamond" w:eastAsia="Calibri" w:hAnsi="Garamond" w:cs="Times New Roman"/>
            <w:sz w:val="28"/>
            <w:szCs w:val="28"/>
          </w:rPr>
          <w:t>visite domiciliari dei medici di medicina generale ai pazienti Covid</w:t>
        </w:r>
      </w:hyperlink>
      <w:r w:rsidRPr="005E10A1">
        <w:rPr>
          <w:rFonts w:ascii="Garamond" w:eastAsia="Calibri" w:hAnsi="Garamond" w:cs="Times New Roman"/>
          <w:sz w:val="28"/>
          <w:szCs w:val="28"/>
        </w:rPr>
        <w:t xml:space="preserve"> (</w:t>
      </w:r>
      <w:hyperlink r:id="rId14" w:tgtFrame="_blank" w:tooltip="Cons. St., sez. III, 18 dicembre 2020, n. 8166 – Pres. Corradino, Est. Veltri" w:history="1">
        <w:r w:rsidRPr="005E10A1">
          <w:rPr>
            <w:rFonts w:ascii="Garamond" w:eastAsia="Calibri" w:hAnsi="Garamond" w:cs="Times New Roman"/>
            <w:sz w:val="28"/>
            <w:szCs w:val="28"/>
          </w:rPr>
          <w:t>Cons. St., sez. III, 18 dicembre 2020, n. 8166</w:t>
        </w:r>
      </w:hyperlink>
      <w:r w:rsidRPr="005E10A1">
        <w:rPr>
          <w:rFonts w:ascii="Garamond" w:eastAsia="Calibri" w:hAnsi="Garamond" w:cs="Times New Roman"/>
          <w:sz w:val="28"/>
          <w:szCs w:val="28"/>
        </w:rPr>
        <w:t>).</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Rilevante, in fase iniziale, anche al fine di orientare i rapporti tra autorità centrali e comunali nell’azione di contenimento dell’epidemia, il parere reso dalla Sezione I in sede di annullamento governativo straordinario, </w:t>
      </w:r>
      <w:r w:rsidRPr="005E10A1">
        <w:rPr>
          <w:rFonts w:ascii="Garamond" w:eastAsia="Calibri" w:hAnsi="Garamond" w:cs="Times New Roman"/>
          <w:i/>
          <w:sz w:val="28"/>
          <w:szCs w:val="28"/>
        </w:rPr>
        <w:t>ex</w:t>
      </w:r>
      <w:r w:rsidRPr="005E10A1">
        <w:rPr>
          <w:rFonts w:ascii="Garamond" w:eastAsia="Calibri" w:hAnsi="Garamond" w:cs="Times New Roman"/>
          <w:sz w:val="28"/>
          <w:szCs w:val="28"/>
        </w:rPr>
        <w:t xml:space="preserve"> articolo 138 del decreto legislativo 18 agosto 2000, n. 267, dell'ordinanza del sindaco di Messina 5 aprile 2020, n. 105 (</w:t>
      </w:r>
      <w:hyperlink r:id="rId15" w:tgtFrame="_blank" w:tooltip="Cons. St., sez. I, 7 aprile 2020, n. 735 - Pres. Torsello, Est. Carpentieri" w:history="1">
        <w:r w:rsidRPr="005E10A1">
          <w:rPr>
            <w:rFonts w:ascii="Garamond" w:eastAsia="Calibri" w:hAnsi="Garamond" w:cs="Times New Roman"/>
            <w:sz w:val="28"/>
            <w:szCs w:val="28"/>
          </w:rPr>
          <w:t>Cons. St., sez. I, 7 aprile 2020, n. 735</w:t>
        </w:r>
      </w:hyperlink>
      <w:r w:rsidRPr="005E10A1">
        <w:rPr>
          <w:rFonts w:ascii="Garamond" w:eastAsia="Calibri" w:hAnsi="Garamond" w:cs="Times New Roman"/>
          <w:sz w:val="28"/>
          <w:szCs w:val="28"/>
        </w:rPr>
        <w:t>).</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Così come, sul tema della trasparenza e della corretta comunicazione ai cittadini sulla gestione della pandemia, sono significativi la sentenza del TAR Lazio (22 luglio 2020, n. 8615) e il decreto del Presidente della Sezione III del Consiglio di Stato (31 luglio 2020, n. 4574) in forza dei quali sono stati resi conoscibili, tramite accesso civico, i pareri adottati dal Comitato tecnico scientifico nominato ai sensi del decreto-legge 8 aprile 2020, n. 23. Sarebbe auspicabile che analoga trasparenza venisse assicurata nella gestione dei vaccini.</w:t>
      </w:r>
    </w:p>
    <w:p w:rsidR="00D846E4" w:rsidRDefault="00D846E4" w:rsidP="00216CDA">
      <w:pPr>
        <w:widowControl w:val="0"/>
        <w:autoSpaceDE w:val="0"/>
        <w:autoSpaceDN w:val="0"/>
        <w:adjustRightInd w:val="0"/>
        <w:spacing w:after="120" w:line="360" w:lineRule="auto"/>
        <w:jc w:val="both"/>
        <w:rPr>
          <w:rFonts w:ascii="Garamond" w:eastAsia="Calibri" w:hAnsi="Garamond" w:cs="Times New Roman"/>
          <w:strike/>
          <w:sz w:val="28"/>
          <w:szCs w:val="28"/>
        </w:rPr>
      </w:pPr>
    </w:p>
    <w:p w:rsidR="00E71C45" w:rsidRPr="005E10A1" w:rsidRDefault="00E71C45" w:rsidP="00216CDA">
      <w:pPr>
        <w:widowControl w:val="0"/>
        <w:autoSpaceDE w:val="0"/>
        <w:autoSpaceDN w:val="0"/>
        <w:adjustRightInd w:val="0"/>
        <w:spacing w:after="120" w:line="360" w:lineRule="auto"/>
        <w:jc w:val="both"/>
        <w:rPr>
          <w:rFonts w:ascii="Garamond" w:eastAsia="Calibri" w:hAnsi="Garamond" w:cs="Times New Roman"/>
          <w:strike/>
          <w:sz w:val="28"/>
          <w:szCs w:val="28"/>
        </w:rPr>
      </w:pPr>
    </w:p>
    <w:p w:rsidR="00D846E4" w:rsidRPr="005E10A1" w:rsidRDefault="00D846E4" w:rsidP="00240B55">
      <w:pPr>
        <w:pStyle w:val="Titolo2"/>
      </w:pPr>
      <w:bookmarkStart w:id="22" w:name="_Toc63071643"/>
      <w:bookmarkStart w:id="23" w:name="_Toc63074283"/>
      <w:r w:rsidRPr="005E10A1">
        <w:t>3. Il contenzioso “ordinario”</w:t>
      </w:r>
      <w:bookmarkEnd w:id="22"/>
      <w:bookmarkEnd w:id="23"/>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giurisprudenza del 2020 può essere esaminata con uno sguardo attento alla centralità dei temi rispetto al trend evolutivo dell’ordinamento proiettato al prossimo futuro. Nel quadro di una giurisprudenza che individua principi su cui costruire l’azione amministrativa post pandemica, in cui i diritti fondamentali delle persone possano raggiungere un più maturo e consapevole livello di fruizione, particolare rilievo assumono i temi della trasparenza, del procedimento amministrativo tra efficacia e garanzie, dei contratti pubblici</w:t>
      </w:r>
      <w:r w:rsidRPr="005E10A1">
        <w:rPr>
          <w:rFonts w:ascii="Garamond" w:eastAsia="Calibri" w:hAnsi="Garamond" w:cs="Times New Roman"/>
          <w:strike/>
          <w:sz w:val="28"/>
          <w:szCs w:val="28"/>
        </w:rPr>
        <w:t>,</w:t>
      </w:r>
      <w:r w:rsidRPr="005E10A1">
        <w:rPr>
          <w:rFonts w:ascii="Garamond" w:eastAsia="Calibri" w:hAnsi="Garamond" w:cs="Times New Roman"/>
          <w:sz w:val="28"/>
          <w:szCs w:val="28"/>
        </w:rPr>
        <w:t xml:space="preserve"> ma anche l’ambiente, il governo del territorio, la cui cura e tutela è irrinunciabile per assicurare sostanza ed effettività al cd. sviluppo sostenibile. E ancora, l’immigrazione, tema cui occorre guardare con attenzione sul versante del rispetto dei diritti fondamentali, ma anche con realismo considerato il drammatico calo della natalità e i riflessi che gli economisti vi ricollegano sul piano della tenuta economica del Paese. </w:t>
      </w:r>
    </w:p>
    <w:p w:rsidR="00D846E4" w:rsidRPr="005E10A1" w:rsidRDefault="00D846E4" w:rsidP="00216CDA">
      <w:pPr>
        <w:pStyle w:val="Titolo3"/>
        <w:widowControl w:val="0"/>
        <w:spacing w:after="120"/>
        <w:rPr>
          <w:rFonts w:ascii="Garamond" w:hAnsi="Garamond"/>
        </w:rPr>
      </w:pPr>
      <w:bookmarkStart w:id="24" w:name="_Toc63071644"/>
      <w:bookmarkStart w:id="25" w:name="_Toc63074284"/>
      <w:r w:rsidRPr="005E10A1">
        <w:rPr>
          <w:rFonts w:ascii="Garamond" w:hAnsi="Garamond"/>
        </w:rPr>
        <w:t>- Accesso, trasparenza e informazione ai consumatori</w:t>
      </w:r>
      <w:bookmarkEnd w:id="24"/>
      <w:bookmarkEnd w:id="25"/>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trasparenza è probabilmente il tema che più ha caratterizzato la giurisprudenza “ordinaria” nel 2020.</w:t>
      </w:r>
    </w:p>
    <w:p w:rsidR="00417C40" w:rsidRDefault="00D846E4" w:rsidP="009478B3">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L’Adunanza Plenaria ha ritenuto ammissibile l’accesso civico generalizzato agli atti della fase esecutiva del contratto pubblico (Cons. S</w:t>
      </w:r>
      <w:r w:rsidR="00417C40">
        <w:rPr>
          <w:rFonts w:ascii="Garamond" w:eastAsia="Calibri" w:hAnsi="Garamond" w:cs="Times New Roman"/>
          <w:sz w:val="28"/>
          <w:szCs w:val="28"/>
        </w:rPr>
        <w:t>t., A.P., 2 aprile 2020, n. 10)</w:t>
      </w:r>
      <w:r w:rsidR="008A0F18">
        <w:rPr>
          <w:rFonts w:ascii="Garamond" w:eastAsia="Calibri" w:hAnsi="Garamond" w:cs="Times New Roman"/>
          <w:sz w:val="28"/>
          <w:szCs w:val="28"/>
        </w:rPr>
        <w:t xml:space="preserve">, </w:t>
      </w:r>
      <w:r w:rsidRPr="005E10A1">
        <w:rPr>
          <w:rFonts w:ascii="Garamond" w:eastAsia="Calibri" w:hAnsi="Garamond" w:cs="Times New Roman"/>
          <w:sz w:val="28"/>
          <w:szCs w:val="28"/>
        </w:rPr>
        <w:t>nonché l’accesso “difensivo” ai documenti reddituali dei coniugi</w:t>
      </w:r>
      <w:r w:rsidR="00002108">
        <w:rPr>
          <w:rFonts w:ascii="Garamond" w:eastAsia="Calibri" w:hAnsi="Garamond" w:cs="Times New Roman"/>
          <w:sz w:val="28"/>
          <w:szCs w:val="28"/>
        </w:rPr>
        <w:t xml:space="preserve"> </w:t>
      </w:r>
      <w:r w:rsidR="00002108" w:rsidRPr="00002108">
        <w:rPr>
          <w:rFonts w:ascii="Garamond" w:eastAsia="Calibri" w:hAnsi="Garamond" w:cs="Times New Roman"/>
          <w:sz w:val="28"/>
          <w:szCs w:val="28"/>
        </w:rPr>
        <w:t>(Cons. St., A.P., 25 settembre 2020, n. 19)</w:t>
      </w:r>
      <w:r w:rsidR="008A0F18">
        <w:rPr>
          <w:rFonts w:ascii="Garamond" w:eastAsia="Calibri" w:hAnsi="Garamond" w:cs="Times New Roman"/>
          <w:sz w:val="28"/>
          <w:szCs w:val="28"/>
        </w:rPr>
        <w:t>.</w:t>
      </w:r>
    </w:p>
    <w:p w:rsidR="00744CBE"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Sempre in tema di “trasparenza” ed esaustività dell’informazione, questa volta a tutela dei consumatori, con due pronunce è stato riconosciuto l’obbligo del distributore di prodotti alimentari di integrare il </w:t>
      </w:r>
      <w:r w:rsidRPr="005E10A1">
        <w:rPr>
          <w:rFonts w:ascii="Garamond" w:eastAsia="Calibri" w:hAnsi="Garamond" w:cs="Times New Roman"/>
          <w:i/>
          <w:sz w:val="28"/>
          <w:szCs w:val="28"/>
        </w:rPr>
        <w:t>set</w:t>
      </w:r>
      <w:r w:rsidRPr="005E10A1">
        <w:rPr>
          <w:rFonts w:ascii="Garamond" w:eastAsia="Calibri" w:hAnsi="Garamond" w:cs="Times New Roman"/>
          <w:sz w:val="28"/>
          <w:szCs w:val="28"/>
        </w:rPr>
        <w:t xml:space="preserve"> di informazioni minime quando vi siano </w:t>
      </w:r>
      <w:r w:rsidRPr="005E10A1">
        <w:rPr>
          <w:rFonts w:ascii="Garamond" w:eastAsia="Calibri" w:hAnsi="Garamond" w:cs="Times New Roman"/>
          <w:i/>
          <w:sz w:val="28"/>
          <w:szCs w:val="28"/>
        </w:rPr>
        <w:t>alert</w:t>
      </w:r>
      <w:r w:rsidRPr="005E10A1">
        <w:rPr>
          <w:rFonts w:ascii="Garamond" w:eastAsia="Calibri" w:hAnsi="Garamond" w:cs="Times New Roman"/>
          <w:sz w:val="28"/>
          <w:szCs w:val="28"/>
        </w:rPr>
        <w:t xml:space="preserve"> relativi alla sicurezza degli alimenti</w:t>
      </w:r>
      <w:r w:rsidR="007A69A2">
        <w:rPr>
          <w:rFonts w:ascii="Garamond" w:eastAsia="Calibri" w:hAnsi="Garamond" w:cs="Times New Roman"/>
          <w:sz w:val="28"/>
          <w:szCs w:val="28"/>
        </w:rPr>
        <w:t>.</w:t>
      </w:r>
      <w:r w:rsidRPr="005E10A1">
        <w:rPr>
          <w:rFonts w:ascii="Garamond" w:eastAsia="Calibri" w:hAnsi="Garamond" w:cs="Times New Roman"/>
          <w:sz w:val="28"/>
          <w:szCs w:val="28"/>
        </w:rPr>
        <w:t xml:space="preserve"> </w:t>
      </w:r>
    </w:p>
    <w:p w:rsidR="00D846E4" w:rsidRPr="005E10A1" w:rsidRDefault="00D846E4" w:rsidP="00216CDA">
      <w:pPr>
        <w:pStyle w:val="Titolo3"/>
        <w:widowControl w:val="0"/>
        <w:spacing w:after="120"/>
        <w:rPr>
          <w:rFonts w:ascii="Garamond" w:hAnsi="Garamond"/>
        </w:rPr>
      </w:pPr>
      <w:bookmarkStart w:id="26" w:name="_Toc63071645"/>
      <w:bookmarkStart w:id="27" w:name="_Toc63074285"/>
      <w:r w:rsidRPr="005E10A1">
        <w:rPr>
          <w:rFonts w:ascii="Garamond" w:hAnsi="Garamond"/>
        </w:rPr>
        <w:t>- La centralità del procedimento</w:t>
      </w:r>
      <w:bookmarkEnd w:id="26"/>
      <w:bookmarkEnd w:id="27"/>
    </w:p>
    <w:p w:rsidR="00D846E4" w:rsidRPr="005E10A1" w:rsidRDefault="00D846E4" w:rsidP="00216CDA">
      <w:pPr>
        <w:widowControl w:val="0"/>
        <w:spacing w:before="100" w:beforeAutospacing="1"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partecipazione al procedimento è principio strumentale alla conoscibilità e alla trasparenza dell’azione amministrativa.</w:t>
      </w:r>
    </w:p>
    <w:p w:rsidR="00D846E4" w:rsidRPr="005E10A1" w:rsidRDefault="00D846E4" w:rsidP="00216CDA">
      <w:pPr>
        <w:widowControl w:val="0"/>
        <w:spacing w:before="100" w:beforeAutospacing="1"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È stata la Corte Costituzi</w:t>
      </w:r>
      <w:r w:rsidR="00002108">
        <w:rPr>
          <w:rFonts w:ascii="Garamond" w:eastAsia="Calibri" w:hAnsi="Garamond" w:cs="Times New Roman"/>
          <w:sz w:val="28"/>
          <w:szCs w:val="28"/>
        </w:rPr>
        <w:t>onale quest’anno, a 30 anni dal</w:t>
      </w:r>
      <w:r w:rsidRPr="005E10A1">
        <w:rPr>
          <w:rFonts w:ascii="Garamond" w:eastAsia="Calibri" w:hAnsi="Garamond" w:cs="Times New Roman"/>
          <w:sz w:val="28"/>
          <w:szCs w:val="28"/>
        </w:rPr>
        <w:t>la legge 7 agosto 1990, n. 241, a ricordarci la centralità del procedimento amministrativo come luogo elettivo di composizione degli interessi con la sentenza n. 116 del 2020 in materia di leggi-provvedimento e di riserva di amministrazione.</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 centralità del procedimento e delle sue garanzie è stata colta dal legislatore che ha meritoriamente individuato criticità rilevanti nella cd. inesauribilità del potere amministrativo, prevedendo, in particolare, che, in sede di riesercizio del potere a seguito di annullamento giurisdizionale,</w:t>
      </w:r>
      <w:r w:rsidR="00386712" w:rsidRPr="005E10A1">
        <w:rPr>
          <w:rFonts w:ascii="Garamond" w:eastAsia="Calibri" w:hAnsi="Garamond" w:cs="Times New Roman"/>
          <w:i/>
          <w:color w:val="333333"/>
          <w:sz w:val="28"/>
          <w:szCs w:val="28"/>
        </w:rPr>
        <w:t xml:space="preserve"> </w:t>
      </w:r>
      <w:r w:rsidR="00386712" w:rsidRPr="005E10A1">
        <w:rPr>
          <w:rFonts w:ascii="Garamond" w:eastAsia="Calibri" w:hAnsi="Garamond" w:cs="Times New Roman"/>
          <w:color w:val="333333"/>
          <w:sz w:val="28"/>
          <w:szCs w:val="28"/>
        </w:rPr>
        <w:t>“</w:t>
      </w:r>
      <w:r w:rsidRPr="005E10A1">
        <w:rPr>
          <w:rFonts w:ascii="Garamond" w:eastAsia="Calibri" w:hAnsi="Garamond" w:cs="Times New Roman"/>
          <w:sz w:val="28"/>
          <w:szCs w:val="28"/>
        </w:rPr>
        <w:t xml:space="preserve">l'amministrazione non può addurre per la prima volta motivi ostativi già emergenti dall'istruttoria del provvedimento annullato”.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Criticità, quelle appena evidenziate, che già avevano indotto il Consiglio di Stato a spingersi, in sede di cognizione, verso una soluzione “definitiva” della fattispecie sostanziale, senza costringere il privato all'introduzione di un indefinito numero di giudizi di cognizione prima di poter essere completamente soddisfatto (</w:t>
      </w:r>
      <w:r w:rsidRPr="005E10A1">
        <w:rPr>
          <w:rFonts w:ascii="Garamond" w:hAnsi="Garamond" w:cs="Times New Roman"/>
          <w:color w:val="000000"/>
          <w:sz w:val="27"/>
          <w:szCs w:val="27"/>
        </w:rPr>
        <w:t>Cons. St., sez. VI, 25 febbraio 2019, n. 1321</w:t>
      </w:r>
      <w:r w:rsidRPr="005E10A1">
        <w:rPr>
          <w:rFonts w:ascii="Garamond" w:eastAsia="Calibri" w:hAnsi="Garamond" w:cs="Times New Roman"/>
          <w:sz w:val="28"/>
          <w:szCs w:val="28"/>
        </w:rPr>
        <w:t>). Soluzione avallata dalla Cassazione, ponendo così in crisi – come avevamo già auspicato nella precedente relazione - il tradizionale discrimine tra giudizio di cognizione e giudizio di ottemperanza e quindi tra legittimità e merito in sede di sindacato giurisdizionale.</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E tale conclusione è da ritenersi valida anche quando l’amministrazione agisca nell’esercizio della cd. discrezionalità tecnica, affinché questa non “trasmodi in arbitrio specialistico”, con il solo limite del divieto di sostituzione del giudice all’amministrazione nella scelta tra opzioni possibili.</w:t>
      </w:r>
    </w:p>
    <w:p w:rsidR="00D846E4" w:rsidRPr="005E10A1" w:rsidRDefault="00D846E4" w:rsidP="00216CDA">
      <w:pPr>
        <w:widowControl w:val="0"/>
        <w:spacing w:before="100" w:beforeAutospacing="1" w:after="120" w:line="360" w:lineRule="auto"/>
        <w:jc w:val="both"/>
        <w:rPr>
          <w:rFonts w:ascii="Garamond" w:eastAsia="Calibri" w:hAnsi="Garamond" w:cs="Times New Roman"/>
          <w:bCs/>
          <w:color w:val="333333"/>
          <w:sz w:val="28"/>
          <w:szCs w:val="28"/>
        </w:rPr>
      </w:pPr>
      <w:r w:rsidRPr="005E10A1">
        <w:rPr>
          <w:rFonts w:ascii="Garamond" w:eastAsia="Calibri" w:hAnsi="Garamond" w:cs="Times New Roman"/>
          <w:color w:val="333333"/>
          <w:sz w:val="28"/>
          <w:szCs w:val="28"/>
        </w:rPr>
        <w:t>Il tema del procedimento è stato oggetto di attenzione da parte del Consiglio di Stato anche in relazione alla delicata materia delle informative antimafia, con appello al legislatore ad un recupero, quanto meno parziale, delle garanzie procedimentali laddove la partecipazione procedimentale non frustri l’urgenza del provvedere (Cons. St., sez. III, 10 agosto 2020, n. 4979</w:t>
      </w:r>
      <w:r w:rsidRPr="005E10A1">
        <w:rPr>
          <w:rFonts w:ascii="Garamond" w:eastAsia="Calibri" w:hAnsi="Garamond" w:cs="Times New Roman"/>
          <w:bCs/>
          <w:color w:val="333333"/>
          <w:sz w:val="28"/>
          <w:szCs w:val="28"/>
        </w:rPr>
        <w:t>).</w:t>
      </w:r>
    </w:p>
    <w:p w:rsidR="00216CDA" w:rsidRDefault="00216CDA" w:rsidP="00216CDA">
      <w:pPr>
        <w:widowControl w:val="0"/>
        <w:spacing w:after="0" w:line="240" w:lineRule="auto"/>
        <w:jc w:val="both"/>
        <w:rPr>
          <w:rFonts w:ascii="Garamond" w:eastAsia="Calibri" w:hAnsi="Garamond" w:cs="Times New Roman"/>
          <w:color w:val="333333"/>
          <w:sz w:val="20"/>
          <w:szCs w:val="20"/>
        </w:rPr>
      </w:pPr>
    </w:p>
    <w:p w:rsidR="0098283F" w:rsidRDefault="0098283F" w:rsidP="00216CDA">
      <w:pPr>
        <w:widowControl w:val="0"/>
        <w:spacing w:after="0" w:line="240" w:lineRule="auto"/>
        <w:jc w:val="both"/>
        <w:rPr>
          <w:rFonts w:ascii="Garamond" w:eastAsia="Calibri" w:hAnsi="Garamond" w:cs="Times New Roman"/>
          <w:color w:val="333333"/>
          <w:sz w:val="20"/>
          <w:szCs w:val="20"/>
        </w:rPr>
      </w:pPr>
    </w:p>
    <w:p w:rsidR="00E71C45" w:rsidRDefault="00E71C45" w:rsidP="00216CDA">
      <w:pPr>
        <w:widowControl w:val="0"/>
        <w:spacing w:after="0" w:line="240" w:lineRule="auto"/>
        <w:jc w:val="both"/>
        <w:rPr>
          <w:rFonts w:ascii="Garamond" w:eastAsia="Calibri" w:hAnsi="Garamond" w:cs="Times New Roman"/>
          <w:color w:val="333333"/>
          <w:sz w:val="20"/>
          <w:szCs w:val="20"/>
        </w:rPr>
      </w:pPr>
    </w:p>
    <w:p w:rsidR="00E71C45" w:rsidRDefault="00E71C45" w:rsidP="00216CDA">
      <w:pPr>
        <w:widowControl w:val="0"/>
        <w:spacing w:after="0" w:line="240" w:lineRule="auto"/>
        <w:jc w:val="both"/>
        <w:rPr>
          <w:rFonts w:ascii="Garamond" w:eastAsia="Calibri" w:hAnsi="Garamond" w:cs="Times New Roman"/>
          <w:color w:val="333333"/>
          <w:sz w:val="20"/>
          <w:szCs w:val="20"/>
        </w:rPr>
      </w:pPr>
    </w:p>
    <w:p w:rsidR="0098283F" w:rsidRPr="005E10A1" w:rsidRDefault="0098283F" w:rsidP="00216CDA">
      <w:pPr>
        <w:widowControl w:val="0"/>
        <w:spacing w:after="0" w:line="240" w:lineRule="auto"/>
        <w:jc w:val="both"/>
        <w:rPr>
          <w:rFonts w:ascii="Garamond" w:eastAsia="Calibri" w:hAnsi="Garamond" w:cs="Times New Roman"/>
          <w:color w:val="333333"/>
          <w:sz w:val="20"/>
          <w:szCs w:val="20"/>
        </w:rPr>
      </w:pPr>
    </w:p>
    <w:p w:rsidR="00D846E4" w:rsidRPr="005E10A1" w:rsidRDefault="00D846E4" w:rsidP="00216CDA">
      <w:pPr>
        <w:widowControl w:val="0"/>
        <w:spacing w:after="120"/>
        <w:rPr>
          <w:rFonts w:ascii="Garamond" w:hAnsi="Garamond"/>
        </w:rPr>
      </w:pPr>
      <w:r w:rsidRPr="005E10A1">
        <w:rPr>
          <w:rFonts w:ascii="Garamond" w:hAnsi="Garamond"/>
        </w:rPr>
        <w:t>-</w:t>
      </w:r>
      <w:r w:rsidRPr="005E10A1">
        <w:rPr>
          <w:rStyle w:val="Titolo3Carattere"/>
          <w:rFonts w:ascii="Garamond" w:hAnsi="Garamond"/>
        </w:rPr>
        <w:t xml:space="preserve"> I contratti pubblici</w:t>
      </w:r>
      <w:r w:rsidR="001F2B95" w:rsidRPr="005E10A1">
        <w:rPr>
          <w:rFonts w:ascii="Garamond" w:hAnsi="Garamond"/>
        </w:rPr>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Il 2020 è stato l’anno in cui la maggior parte delle questioni - per le quali, a distanza di quattro anni dal varo del nuovo codice dei contratti, residuavano ancora dubbi interpretativi – hanno trovato composizione, soprattutto grazie agli interventi della Adunanza Plenaria e delle Sezioni V e III</w:t>
      </w:r>
      <w:r w:rsidR="00002108">
        <w:rPr>
          <w:rFonts w:ascii="Garamond" w:eastAsia="Calibri" w:hAnsi="Garamond" w:cs="Times New Roman"/>
          <w:sz w:val="28"/>
          <w:szCs w:val="28"/>
        </w:rPr>
        <w:t xml:space="preserve"> e del Consiglio di giustizia amministrativa per la Regione Siciliana</w:t>
      </w:r>
      <w:r w:rsidRPr="005E10A1">
        <w:rPr>
          <w:rFonts w:ascii="Garamond" w:eastAsia="Calibri" w:hAnsi="Garamond" w:cs="Times New Roman"/>
          <w:sz w:val="28"/>
          <w:szCs w:val="28"/>
        </w:rPr>
        <w:t>. Se non che il profluvio normativo, che, sotto la spinta dell’emergenza ha ridisegnato, in via derogatoria e temporanea, regole e procedimenti, non giova, e probabilmente minerà quel graduale processo di chiarificazione che la giurisprudenza negli scorsi anni, e soprattutto nel 2020, ha condotto.</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L’Adunanza Plenaria si è pronunciata: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32"/>
          <w:szCs w:val="32"/>
        </w:rPr>
      </w:pPr>
      <w:r w:rsidRPr="005E10A1">
        <w:rPr>
          <w:rFonts w:ascii="Garamond" w:eastAsia="Calibri" w:hAnsi="Garamond" w:cs="Times New Roman"/>
          <w:sz w:val="28"/>
          <w:szCs w:val="28"/>
        </w:rPr>
        <w:t>- in punto di mancata indicazione separata dei costi della manodopera in un’offerta economica presentata nell’ambito di una procedura di aggiudicazione.</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 In ordine all’impossibilità del progettista “indicato” </w:t>
      </w:r>
      <w:r w:rsidRPr="005E10A1">
        <w:rPr>
          <w:rFonts w:ascii="Garamond" w:eastAsia="Calibri" w:hAnsi="Garamond" w:cs="Times New Roman"/>
          <w:i/>
          <w:sz w:val="28"/>
          <w:szCs w:val="28"/>
        </w:rPr>
        <w:t>ex</w:t>
      </w:r>
      <w:r w:rsidRPr="005E10A1">
        <w:rPr>
          <w:rFonts w:ascii="Garamond" w:eastAsia="Calibri" w:hAnsi="Garamond" w:cs="Times New Roman"/>
          <w:sz w:val="28"/>
          <w:szCs w:val="28"/>
        </w:rPr>
        <w:t xml:space="preserve"> articolo 53, comma 3, del decreto legislativo 12 aprile 2006, n. 163 di ricorrere all’istituto dell’avvalimento.</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 Sulla corretta individuazione del </w:t>
      </w:r>
      <w:r w:rsidRPr="005E10A1">
        <w:rPr>
          <w:rFonts w:ascii="Garamond" w:eastAsia="Calibri" w:hAnsi="Garamond" w:cs="Times New Roman"/>
          <w:i/>
          <w:sz w:val="28"/>
          <w:szCs w:val="28"/>
        </w:rPr>
        <w:t>dies a quo</w:t>
      </w:r>
      <w:r w:rsidRPr="005E10A1">
        <w:rPr>
          <w:rFonts w:ascii="Garamond" w:eastAsia="Calibri" w:hAnsi="Garamond" w:cs="Times New Roman"/>
          <w:sz w:val="28"/>
          <w:szCs w:val="28"/>
        </w:rPr>
        <w:t xml:space="preserve"> del termine per impugnare l’aggiudicazione della gara pubblica e sulla proponibilità dei motivi aggiunti.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Sugli obblighi dichiarativi e sulle false dichiarazioni rese dall’operatore economico partecipante alla gara.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32"/>
          <w:szCs w:val="32"/>
        </w:rPr>
      </w:pPr>
      <w:r w:rsidRPr="005E10A1">
        <w:rPr>
          <w:rFonts w:ascii="Garamond" w:eastAsia="Calibri" w:hAnsi="Garamond" w:cs="Times New Roman"/>
          <w:sz w:val="28"/>
          <w:szCs w:val="28"/>
        </w:rPr>
        <w:t>- Sulla questione delle clausole del bando nulle ai sensi dell’articolo 83, comma 8 del Codice dei contratti pubblici, con una pronuncia che contiene importanti enunciazioni di teoria generale sul regime delle nullità nel diritto amministrativo sostanziale e processuale (A.P. n. 22 del 2020)</w:t>
      </w:r>
      <w:r w:rsidRPr="005E10A1">
        <w:rPr>
          <w:rFonts w:ascii="Garamond" w:eastAsia="Calibri" w:hAnsi="Garamond" w:cs="Times New Roman"/>
          <w:sz w:val="32"/>
          <w:szCs w:val="32"/>
        </w:rPr>
        <w:t xml:space="preserve">. </w:t>
      </w:r>
    </w:p>
    <w:p w:rsidR="00BB5B5C" w:rsidRPr="005E10A1" w:rsidRDefault="00D846E4" w:rsidP="008A0F18">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Da segnalare anche alcune interessanti pronunce della V Sezione sul subappalto</w:t>
      </w:r>
      <w:r w:rsidR="008A0F18">
        <w:rPr>
          <w:rFonts w:ascii="Garamond" w:eastAsia="Calibri" w:hAnsi="Garamond" w:cs="Times New Roman"/>
          <w:sz w:val="28"/>
          <w:szCs w:val="28"/>
        </w:rPr>
        <w:t xml:space="preserve"> e </w:t>
      </w:r>
      <w:r w:rsidRPr="005E10A1">
        <w:rPr>
          <w:rFonts w:ascii="Garamond" w:eastAsia="Calibri" w:hAnsi="Garamond" w:cs="Times New Roman"/>
          <w:sz w:val="28"/>
          <w:szCs w:val="28"/>
        </w:rPr>
        <w:t>sui margini di residua applicazione del rito appalti cd “super accelerato”</w:t>
      </w:r>
      <w:r w:rsidR="008A0F18">
        <w:rPr>
          <w:rFonts w:ascii="Garamond" w:eastAsia="Calibri" w:hAnsi="Garamond" w:cs="Times New Roman"/>
          <w:sz w:val="28"/>
          <w:szCs w:val="28"/>
        </w:rPr>
        <w:t>.</w:t>
      </w:r>
      <w:r w:rsidR="00480258" w:rsidRPr="005E10A1">
        <w:rPr>
          <w:rFonts w:ascii="Garamond" w:eastAsia="Calibri" w:hAnsi="Garamond" w:cs="Times New Roman"/>
          <w:sz w:val="28"/>
          <w:szCs w:val="28"/>
        </w:rPr>
        <w:t xml:space="preserve"> </w:t>
      </w:r>
    </w:p>
    <w:p w:rsidR="00D846E4" w:rsidRPr="005E10A1" w:rsidRDefault="00D846E4" w:rsidP="00216CDA">
      <w:pPr>
        <w:pStyle w:val="Titolo3"/>
        <w:widowControl w:val="0"/>
        <w:spacing w:after="120"/>
        <w:rPr>
          <w:rFonts w:ascii="Garamond" w:hAnsi="Garamond"/>
        </w:rPr>
      </w:pPr>
      <w:bookmarkStart w:id="28" w:name="_Toc63071646"/>
      <w:bookmarkStart w:id="29" w:name="_Toc63074286"/>
      <w:r w:rsidRPr="005E10A1">
        <w:rPr>
          <w:rFonts w:ascii="Garamond" w:hAnsi="Garamond"/>
        </w:rPr>
        <w:t>- Il diritto dell’economia post pandemia</w:t>
      </w:r>
      <w:bookmarkEnd w:id="28"/>
      <w:bookmarkEnd w:id="29"/>
      <w:r w:rsidR="001F2B95" w:rsidRPr="005E10A1">
        <w:rPr>
          <w:rFonts w:ascii="Garamond" w:hAnsi="Garamond"/>
        </w:rPr>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 xml:space="preserve">Significativo il contributo delle Sezioni giurisdizionali e consultive su temi destinati ad avere grande rilevanza nell’auspicata fase di ripresa economica e di gestione del </w:t>
      </w:r>
      <w:r w:rsidRPr="005E10A1">
        <w:rPr>
          <w:rFonts w:ascii="Garamond" w:eastAsia="Calibri" w:hAnsi="Garamond" w:cs="Times New Roman"/>
          <w:i/>
          <w:sz w:val="28"/>
          <w:szCs w:val="28"/>
        </w:rPr>
        <w:t>recovery fund</w:t>
      </w:r>
      <w:r w:rsidRPr="005E10A1">
        <w:rPr>
          <w:rFonts w:ascii="Garamond" w:eastAsia="Calibri" w:hAnsi="Garamond" w:cs="Times New Roman"/>
          <w:sz w:val="28"/>
          <w:szCs w:val="28"/>
        </w:rPr>
        <w:t>.</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Sono stati resi pareri:</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w:t>
      </w:r>
      <w:r w:rsidR="008A0F18">
        <w:rPr>
          <w:rFonts w:ascii="Garamond" w:eastAsia="Calibri" w:hAnsi="Garamond" w:cs="Times New Roman"/>
          <w:sz w:val="28"/>
          <w:szCs w:val="28"/>
        </w:rPr>
        <w:t xml:space="preserve"> </w:t>
      </w:r>
      <w:r w:rsidRPr="005E10A1">
        <w:rPr>
          <w:rFonts w:ascii="Garamond" w:eastAsia="Calibri" w:hAnsi="Garamond" w:cs="Times New Roman"/>
          <w:sz w:val="28"/>
          <w:szCs w:val="28"/>
        </w:rPr>
        <w:t xml:space="preserve">in materia di contratti di </w:t>
      </w:r>
      <w:r w:rsidRPr="005E10A1">
        <w:rPr>
          <w:rFonts w:ascii="Garamond" w:eastAsia="Calibri" w:hAnsi="Garamond" w:cs="Times New Roman"/>
          <w:i/>
          <w:sz w:val="28"/>
          <w:szCs w:val="28"/>
        </w:rPr>
        <w:t>partnership</w:t>
      </w:r>
      <w:r w:rsidRPr="005E10A1">
        <w:rPr>
          <w:rFonts w:ascii="Garamond" w:eastAsia="Calibri" w:hAnsi="Garamond" w:cs="Times New Roman"/>
          <w:sz w:val="28"/>
          <w:szCs w:val="28"/>
        </w:rPr>
        <w:t xml:space="preserve"> pubblico-privata, sullo schema di contratto </w:t>
      </w:r>
      <w:r w:rsidRPr="005E10A1">
        <w:rPr>
          <w:rFonts w:ascii="Garamond" w:eastAsia="Calibri" w:hAnsi="Garamond" w:cs="Times New Roman"/>
          <w:i/>
          <w:sz w:val="28"/>
          <w:szCs w:val="28"/>
        </w:rPr>
        <w:t>standard</w:t>
      </w:r>
      <w:r w:rsidRPr="005E10A1">
        <w:rPr>
          <w:rFonts w:ascii="Garamond" w:eastAsia="Calibri" w:hAnsi="Garamond" w:cs="Times New Roman"/>
          <w:sz w:val="28"/>
          <w:szCs w:val="28"/>
        </w:rPr>
        <w:t xml:space="preserve"> (</w:t>
      </w:r>
      <w:r w:rsidRPr="005E10A1">
        <w:rPr>
          <w:rFonts w:ascii="Garamond" w:hAnsi="Garamond" w:cs="Times New Roman"/>
          <w:sz w:val="28"/>
          <w:szCs w:val="28"/>
        </w:rPr>
        <w:t>Cons. St., sez. I, 28 aprile 2020, n. 823)</w:t>
      </w:r>
      <w:r w:rsidRPr="005E10A1">
        <w:rPr>
          <w:rFonts w:ascii="Garamond" w:hAnsi="Garamond" w:cs="Times New Roman"/>
        </w:rPr>
        <w:t>,</w:t>
      </w:r>
      <w:r w:rsidR="001F2B95" w:rsidRPr="005E10A1">
        <w:rPr>
          <w:rFonts w:ascii="Garamond" w:hAnsi="Garamond" w:cs="Times New Roman"/>
        </w:rPr>
        <w:t xml:space="preserve"> </w:t>
      </w:r>
      <w:r w:rsidRPr="005E10A1">
        <w:rPr>
          <w:rFonts w:ascii="Garamond" w:eastAsia="Calibri" w:hAnsi="Garamond" w:cs="Times New Roman"/>
          <w:sz w:val="28"/>
          <w:szCs w:val="28"/>
        </w:rPr>
        <w:t>strumento operativo utile per il decollo di un istituto che, in ispecie nelle piccole realtà territoriali, non ha ancora trovato uno sviluppo coerente con le grandi potenzialità che possiede;</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w:t>
      </w:r>
      <w:r w:rsidR="008A0F18">
        <w:rPr>
          <w:rFonts w:ascii="Garamond" w:hAnsi="Garamond" w:cs="Times New Roman"/>
          <w:sz w:val="28"/>
          <w:szCs w:val="28"/>
        </w:rPr>
        <w:t xml:space="preserve"> </w:t>
      </w:r>
      <w:r w:rsidRPr="005E10A1">
        <w:rPr>
          <w:rFonts w:ascii="Garamond" w:hAnsi="Garamond" w:cs="Times New Roman"/>
          <w:sz w:val="28"/>
          <w:szCs w:val="28"/>
        </w:rPr>
        <w:t>sul regolamento che disciplina la costituzione da parte di Cassa Depositi e Prestiti s.p.a. di un patrimonio destinato all'attuazione di "interventi e operazioni di sostegno e rilancio del sistema economico-produttivo italiano in conseguenza dell'emergenza epidemiologica da Covid-19" (Sez. atti norm. 3 novembre 2020, n. 1717);</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rPr>
        <w:t xml:space="preserve">- </w:t>
      </w:r>
      <w:r w:rsidRPr="005E10A1">
        <w:rPr>
          <w:rFonts w:ascii="Garamond" w:hAnsi="Garamond" w:cs="Times New Roman"/>
          <w:sz w:val="28"/>
          <w:szCs w:val="28"/>
        </w:rPr>
        <w:t xml:space="preserve">sul regolamento per l’attribuzione delle misure premiali per l’utilizzo degli strumenti di pagamento elettronici (cd. </w:t>
      </w:r>
      <w:r w:rsidRPr="005E10A1">
        <w:rPr>
          <w:rFonts w:ascii="Garamond" w:hAnsi="Garamond" w:cs="Times New Roman"/>
          <w:i/>
          <w:sz w:val="28"/>
          <w:szCs w:val="28"/>
        </w:rPr>
        <w:t>cashback</w:t>
      </w:r>
      <w:r w:rsidRPr="005E10A1">
        <w:rPr>
          <w:rFonts w:ascii="Garamond" w:hAnsi="Garamond" w:cs="Times New Roman"/>
          <w:sz w:val="28"/>
          <w:szCs w:val="28"/>
        </w:rPr>
        <w:t>), strumento finalizzato a disincentivare l’utilizzo del contante in favore della tracciabilità delle transazioni (Sez. atti normativi, parere 5 novembre 2020, n. 1747).</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 xml:space="preserve">Questi pareri sono stati resi, unitamente a quelli concernenti la riorganizzazione di alcuni importanti ministeri, in tempi particolarmente rapidi, in considerazione della </w:t>
      </w:r>
      <w:r w:rsidR="00002108">
        <w:rPr>
          <w:rFonts w:ascii="Garamond" w:hAnsi="Garamond" w:cs="Times New Roman"/>
          <w:sz w:val="28"/>
          <w:szCs w:val="28"/>
        </w:rPr>
        <w:t xml:space="preserve">loro </w:t>
      </w:r>
      <w:r w:rsidRPr="005E10A1">
        <w:rPr>
          <w:rFonts w:ascii="Garamond" w:hAnsi="Garamond" w:cs="Times New Roman"/>
          <w:sz w:val="28"/>
          <w:szCs w:val="28"/>
        </w:rPr>
        <w:t>rilevanza e del rischio che maturassero alcune scadenze previste dalla legge</w:t>
      </w:r>
      <w:r w:rsidR="00002108">
        <w:rPr>
          <w:rFonts w:ascii="Garamond" w:hAnsi="Garamond" w:cs="Times New Roman"/>
          <w:sz w:val="28"/>
          <w:szCs w:val="28"/>
        </w:rPr>
        <w:t xml:space="preserve">. Per il futuro </w:t>
      </w:r>
      <w:r w:rsidRPr="005E10A1">
        <w:rPr>
          <w:rFonts w:ascii="Garamond" w:hAnsi="Garamond" w:cs="Times New Roman"/>
          <w:sz w:val="28"/>
          <w:szCs w:val="28"/>
        </w:rPr>
        <w:t>sarebbe estremamente opportuno che in tali casi le richieste di parere pervenissero con un</w:t>
      </w:r>
      <w:r w:rsidR="00002108">
        <w:rPr>
          <w:rFonts w:ascii="Garamond" w:hAnsi="Garamond" w:cs="Times New Roman"/>
          <w:sz w:val="28"/>
          <w:szCs w:val="28"/>
        </w:rPr>
        <w:t xml:space="preserve"> congruo</w:t>
      </w:r>
      <w:r w:rsidRPr="005E10A1">
        <w:rPr>
          <w:rFonts w:ascii="Garamond" w:hAnsi="Garamond" w:cs="Times New Roman"/>
          <w:sz w:val="28"/>
          <w:szCs w:val="28"/>
        </w:rPr>
        <w:t xml:space="preserve"> anticipo </w:t>
      </w:r>
      <w:r w:rsidR="00002108">
        <w:rPr>
          <w:rFonts w:ascii="Garamond" w:hAnsi="Garamond" w:cs="Times New Roman"/>
          <w:sz w:val="28"/>
          <w:szCs w:val="28"/>
        </w:rPr>
        <w:t xml:space="preserve">per </w:t>
      </w:r>
      <w:r w:rsidRPr="005E10A1">
        <w:rPr>
          <w:rFonts w:ascii="Garamond" w:hAnsi="Garamond" w:cs="Times New Roman"/>
          <w:sz w:val="28"/>
          <w:szCs w:val="28"/>
        </w:rPr>
        <w:t>consent</w:t>
      </w:r>
      <w:r w:rsidR="00002108">
        <w:rPr>
          <w:rFonts w:ascii="Garamond" w:hAnsi="Garamond" w:cs="Times New Roman"/>
          <w:sz w:val="28"/>
          <w:szCs w:val="28"/>
        </w:rPr>
        <w:t>ire</w:t>
      </w:r>
      <w:r w:rsidRPr="005E10A1">
        <w:rPr>
          <w:rFonts w:ascii="Garamond" w:hAnsi="Garamond" w:cs="Times New Roman"/>
          <w:sz w:val="28"/>
          <w:szCs w:val="28"/>
        </w:rPr>
        <w:t xml:space="preserve"> al Consiglio di Stato di avere a disposizio</w:t>
      </w:r>
      <w:r w:rsidR="00002108">
        <w:rPr>
          <w:rFonts w:ascii="Garamond" w:hAnsi="Garamond" w:cs="Times New Roman"/>
          <w:sz w:val="28"/>
          <w:szCs w:val="28"/>
        </w:rPr>
        <w:t>ne i tempi previsti dalla legge</w:t>
      </w:r>
      <w:r w:rsidRPr="005E10A1">
        <w:rPr>
          <w:rFonts w:ascii="Garamond" w:hAnsi="Garamond" w:cs="Times New Roman"/>
          <w:sz w:val="28"/>
          <w:szCs w:val="28"/>
        </w:rPr>
        <w:t xml:space="preserve">. </w:t>
      </w:r>
    </w:p>
    <w:p w:rsidR="00D846E4" w:rsidRPr="005E10A1" w:rsidRDefault="00D846E4" w:rsidP="00417C40">
      <w:pPr>
        <w:widowControl w:val="0"/>
        <w:autoSpaceDE w:val="0"/>
        <w:autoSpaceDN w:val="0"/>
        <w:adjustRightInd w:val="0"/>
        <w:spacing w:after="120" w:line="360" w:lineRule="auto"/>
        <w:jc w:val="both"/>
        <w:rPr>
          <w:rFonts w:ascii="Garamond" w:hAnsi="Garamond" w:cs="Times New Roman"/>
          <w:sz w:val="20"/>
          <w:szCs w:val="20"/>
        </w:rPr>
      </w:pPr>
      <w:r w:rsidRPr="005E10A1">
        <w:rPr>
          <w:rFonts w:ascii="Garamond" w:eastAsia="Calibri" w:hAnsi="Garamond" w:cs="Times New Roman"/>
          <w:sz w:val="28"/>
          <w:szCs w:val="28"/>
        </w:rPr>
        <w:t>E</w:t>
      </w:r>
      <w:r w:rsidRPr="005E10A1">
        <w:rPr>
          <w:rFonts w:ascii="Garamond" w:hAnsi="Garamond" w:cs="Times New Roman"/>
          <w:sz w:val="28"/>
          <w:szCs w:val="28"/>
        </w:rPr>
        <w:t xml:space="preserve">stremamente rilevante, attesa la tendenza incrementale del finanziamento pubblico dell’economia, è la pronuncia dell’Adunanza Plenaria n. 23 del 2020 sulla sorte delle somme ricevute dagli operatori economici per l’investimento nel proprio ciclo produttivo, nel caso </w:t>
      </w:r>
      <w:r w:rsidR="003C11DC">
        <w:rPr>
          <w:rFonts w:ascii="Garamond" w:hAnsi="Garamond" w:cs="Garamond"/>
          <w:sz w:val="28"/>
          <w:szCs w:val="28"/>
        </w:rPr>
        <w:t>di intervento postumo di una informativa antimafia.</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È stat</w:t>
      </w:r>
      <w:r w:rsidRPr="005E10A1">
        <w:rPr>
          <w:rFonts w:ascii="Garamond" w:eastAsia="Calibri" w:hAnsi="Garamond" w:cs="Times New Roman"/>
          <w:sz w:val="28"/>
          <w:szCs w:val="28"/>
        </w:rPr>
        <w:t>a</w:t>
      </w:r>
      <w:r w:rsidRPr="005E10A1">
        <w:rPr>
          <w:rFonts w:ascii="Garamond" w:hAnsi="Garamond" w:cs="Times New Roman"/>
          <w:sz w:val="28"/>
          <w:szCs w:val="28"/>
        </w:rPr>
        <w:t xml:space="preserve"> infine raccolta dal legislatore la segnalazione della Sezione III in ordine all’aporia della disciplina antimafia nella parte in cui esclude che un operatore privato possa richiedere l’informativa antimafia in relazione ad un suo </w:t>
      </w:r>
      <w:r w:rsidRPr="005E10A1">
        <w:rPr>
          <w:rFonts w:ascii="Garamond" w:hAnsi="Garamond" w:cs="Times New Roman"/>
          <w:i/>
          <w:sz w:val="28"/>
          <w:szCs w:val="28"/>
        </w:rPr>
        <w:t>partner</w:t>
      </w:r>
      <w:r w:rsidRPr="005E10A1">
        <w:rPr>
          <w:rFonts w:ascii="Garamond" w:hAnsi="Garamond" w:cs="Times New Roman"/>
          <w:sz w:val="28"/>
          <w:szCs w:val="28"/>
        </w:rPr>
        <w:t xml:space="preserve"> contrattuale.</w:t>
      </w:r>
    </w:p>
    <w:p w:rsidR="00D846E4" w:rsidRPr="005E10A1" w:rsidRDefault="00D846E4" w:rsidP="00216CDA">
      <w:pPr>
        <w:pStyle w:val="Titolo3"/>
        <w:widowControl w:val="0"/>
        <w:spacing w:after="120"/>
        <w:rPr>
          <w:rFonts w:ascii="Garamond" w:hAnsi="Garamond"/>
        </w:rPr>
      </w:pPr>
      <w:bookmarkStart w:id="30" w:name="_Toc63071647"/>
      <w:bookmarkStart w:id="31" w:name="_Toc63074287"/>
      <w:r w:rsidRPr="005E10A1">
        <w:rPr>
          <w:rFonts w:ascii="Garamond" w:hAnsi="Garamond"/>
        </w:rPr>
        <w:t>- Ambiente</w:t>
      </w:r>
      <w:bookmarkEnd w:id="30"/>
      <w:bookmarkEnd w:id="31"/>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L’ambiente – com</w:t>
      </w:r>
      <w:r w:rsidR="00002108">
        <w:rPr>
          <w:rFonts w:ascii="Garamond" w:hAnsi="Garamond" w:cs="Times New Roman"/>
          <w:sz w:val="28"/>
          <w:szCs w:val="28"/>
        </w:rPr>
        <w:t xml:space="preserve">e spesso accade quando </w:t>
      </w:r>
      <w:r w:rsidRPr="005E10A1">
        <w:rPr>
          <w:rFonts w:ascii="Garamond" w:hAnsi="Garamond" w:cs="Times New Roman"/>
          <w:sz w:val="28"/>
          <w:szCs w:val="28"/>
        </w:rPr>
        <w:t xml:space="preserve">non si abbia piena consapevolezza che le politiche pubbliche richiedono il bilanciamento tra i vari interessi in gioco – è visto ora in un’ottica di stringente tutela, ora quale fattore di blocco delle infrastrutture e </w:t>
      </w:r>
      <w:r w:rsidR="00002108">
        <w:rPr>
          <w:rFonts w:ascii="Garamond" w:hAnsi="Garamond" w:cs="Times New Roman"/>
          <w:sz w:val="28"/>
          <w:szCs w:val="28"/>
        </w:rPr>
        <w:t>quindi dell’economia</w:t>
      </w:r>
      <w:r w:rsidRPr="005E10A1">
        <w:rPr>
          <w:rFonts w:ascii="Garamond" w:hAnsi="Garamond" w:cs="Times New Roman"/>
          <w:sz w:val="28"/>
          <w:szCs w:val="28"/>
        </w:rPr>
        <w:t>. In realtà molti rallentamenti sono dovuti, non già alla preminenza dell’ambiente, valore irrinunciabile per una crescita sostenibile e solidale nei confronti delle generazioni future, ma ai tempi e alla complessità procedurale delle valutazioni VAS/VIA, nonché delle valutazion</w:t>
      </w:r>
      <w:r w:rsidRPr="005E10A1">
        <w:rPr>
          <w:rFonts w:ascii="Garamond" w:eastAsia="Calibri" w:hAnsi="Garamond" w:cs="Times New Roman"/>
          <w:sz w:val="28"/>
          <w:szCs w:val="28"/>
        </w:rPr>
        <w:t>i</w:t>
      </w:r>
      <w:r w:rsidRPr="005E10A1">
        <w:rPr>
          <w:rFonts w:ascii="Garamond" w:hAnsi="Garamond" w:cs="Times New Roman"/>
          <w:sz w:val="28"/>
          <w:szCs w:val="28"/>
        </w:rPr>
        <w:t xml:space="preserve"> preliminari di </w:t>
      </w:r>
      <w:r w:rsidRPr="005E10A1">
        <w:rPr>
          <w:rFonts w:ascii="Garamond" w:hAnsi="Garamond" w:cs="Times New Roman"/>
          <w:i/>
          <w:sz w:val="28"/>
          <w:szCs w:val="28"/>
        </w:rPr>
        <w:t>screening</w:t>
      </w:r>
      <w:r w:rsidRPr="005E10A1">
        <w:rPr>
          <w:rFonts w:ascii="Garamond" w:hAnsi="Garamond" w:cs="Times New Roman"/>
          <w:sz w:val="28"/>
          <w:szCs w:val="28"/>
        </w:rPr>
        <w:t xml:space="preserve">, non a caso oggetto di diffuso e penetrante intervento da parte del già richiamato “decreto semplificazioni”. </w:t>
      </w:r>
    </w:p>
    <w:p w:rsidR="00D846E4" w:rsidRPr="005E10A1" w:rsidRDefault="00D846E4" w:rsidP="00216CDA">
      <w:pPr>
        <w:widowControl w:val="0"/>
        <w:autoSpaceDE w:val="0"/>
        <w:autoSpaceDN w:val="0"/>
        <w:adjustRightInd w:val="0"/>
        <w:spacing w:after="120" w:line="360" w:lineRule="auto"/>
        <w:jc w:val="both"/>
        <w:rPr>
          <w:rFonts w:ascii="Garamond" w:hAnsi="Garamond" w:cs="Times New Roman"/>
          <w:sz w:val="28"/>
          <w:szCs w:val="28"/>
        </w:rPr>
      </w:pPr>
      <w:r w:rsidRPr="005E10A1">
        <w:rPr>
          <w:rFonts w:ascii="Garamond" w:hAnsi="Garamond" w:cs="Times New Roman"/>
          <w:sz w:val="28"/>
          <w:szCs w:val="28"/>
        </w:rPr>
        <w:t xml:space="preserve">Al riguardo abbiamo avuto significative pronunce </w:t>
      </w:r>
      <w:r w:rsidR="00002108">
        <w:rPr>
          <w:rFonts w:ascii="Garamond" w:hAnsi="Garamond" w:cs="Times New Roman"/>
          <w:sz w:val="28"/>
          <w:szCs w:val="28"/>
        </w:rPr>
        <w:t>dell</w:t>
      </w:r>
      <w:r w:rsidR="00164E71">
        <w:rPr>
          <w:rFonts w:ascii="Garamond" w:hAnsi="Garamond" w:cs="Times New Roman"/>
          <w:sz w:val="28"/>
          <w:szCs w:val="28"/>
        </w:rPr>
        <w:t xml:space="preserve">e Sezioni </w:t>
      </w:r>
      <w:r w:rsidR="00397411">
        <w:rPr>
          <w:rFonts w:ascii="Garamond" w:hAnsi="Garamond" w:cs="Times New Roman"/>
          <w:sz w:val="28"/>
          <w:szCs w:val="28"/>
        </w:rPr>
        <w:t xml:space="preserve">II </w:t>
      </w:r>
      <w:r w:rsidR="00164E71">
        <w:rPr>
          <w:rFonts w:ascii="Garamond" w:hAnsi="Garamond" w:cs="Times New Roman"/>
          <w:sz w:val="28"/>
          <w:szCs w:val="28"/>
        </w:rPr>
        <w:t xml:space="preserve">e </w:t>
      </w:r>
      <w:r w:rsidR="00397411">
        <w:rPr>
          <w:rFonts w:ascii="Garamond" w:hAnsi="Garamond" w:cs="Times New Roman"/>
          <w:sz w:val="28"/>
          <w:szCs w:val="28"/>
        </w:rPr>
        <w:t>IV</w:t>
      </w:r>
      <w:r w:rsidR="00164E71">
        <w:rPr>
          <w:rFonts w:ascii="Garamond" w:hAnsi="Garamond" w:cs="Times New Roman"/>
          <w:sz w:val="28"/>
          <w:szCs w:val="28"/>
        </w:rPr>
        <w:t xml:space="preserve"> </w:t>
      </w:r>
      <w:r w:rsidRPr="005E10A1">
        <w:rPr>
          <w:rFonts w:ascii="Garamond" w:hAnsi="Garamond" w:cs="Times New Roman"/>
          <w:sz w:val="28"/>
          <w:szCs w:val="28"/>
        </w:rPr>
        <w:t xml:space="preserve">in relazione alla fase della verifica di assoggettabilità a VIA di un progetto (cd. </w:t>
      </w:r>
      <w:r w:rsidRPr="005E10A1">
        <w:rPr>
          <w:rFonts w:ascii="Garamond" w:hAnsi="Garamond" w:cs="Times New Roman"/>
          <w:i/>
          <w:sz w:val="28"/>
          <w:szCs w:val="28"/>
        </w:rPr>
        <w:t>screening</w:t>
      </w:r>
      <w:r w:rsidRPr="005E10A1">
        <w:rPr>
          <w:rFonts w:ascii="Garamond" w:hAnsi="Garamond" w:cs="Times New Roman"/>
          <w:sz w:val="28"/>
          <w:szCs w:val="28"/>
        </w:rPr>
        <w:t>) e al rapporto tra progettazione preliminare e progettazione definitiva ai fini VIA relativamente alle opere di sviluppo aeroportuale.</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Sempre in materia ambientale, la questione che continua ad occupare la giurisprudenza è quella dei presupposti per ordinare al proprietario del suolo la rimozione di rifiuti abbandonati, con particolare riguardo ai profili dell’elemento soggettivo e dell’esigibilità della condotta, questione su cui si è di recente pronunciata l’Adunanza Plenaria, con particolare riferimento agli obblighi del curatore fallimentare dell’impresa proprietaria.</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Si segnala infine, sempre sul tema ambientale, il parere</w:t>
      </w:r>
      <w:r w:rsidRPr="005E10A1">
        <w:rPr>
          <w:rFonts w:ascii="Garamond" w:hAnsi="Garamond" w:cs="Times New Roman"/>
          <w:sz w:val="28"/>
          <w:szCs w:val="28"/>
        </w:rPr>
        <w:t xml:space="preserve"> </w:t>
      </w:r>
      <w:r w:rsidRPr="005E10A1">
        <w:rPr>
          <w:rFonts w:ascii="Garamond" w:eastAsia="Calibri" w:hAnsi="Garamond" w:cs="Times New Roman"/>
          <w:sz w:val="28"/>
          <w:szCs w:val="28"/>
        </w:rPr>
        <w:t>della Sezione normativa, 4 giugno 2020, n. 1055, reso sul regolamento del Ministero dell’ambiente sui requisiti per l’esercizio delle attività di gestione dei rifiuti ai sensi dell’articolo 195, comma 2, lett. g), e comma 4, del decreto legislativo. 3 aprile 2006, n. 152.</w:t>
      </w:r>
    </w:p>
    <w:p w:rsidR="00D846E4" w:rsidRPr="005E10A1" w:rsidRDefault="00D846E4" w:rsidP="00216CDA">
      <w:pPr>
        <w:pStyle w:val="Titolo3"/>
        <w:widowControl w:val="0"/>
        <w:spacing w:after="120"/>
        <w:rPr>
          <w:rFonts w:ascii="Garamond" w:hAnsi="Garamond"/>
        </w:rPr>
      </w:pPr>
      <w:bookmarkStart w:id="32" w:name="_Toc63071648"/>
      <w:bookmarkStart w:id="33" w:name="_Toc63074288"/>
      <w:r w:rsidRPr="005E10A1">
        <w:rPr>
          <w:rFonts w:ascii="Garamond" w:hAnsi="Garamond"/>
        </w:rPr>
        <w:t>- Governo del territorio</w:t>
      </w:r>
      <w:bookmarkEnd w:id="32"/>
      <w:bookmarkEnd w:id="33"/>
      <w:r w:rsidRPr="005E10A1">
        <w:rPr>
          <w:rFonts w:ascii="Garamond" w:hAnsi="Garamond"/>
        </w:rPr>
        <w:t xml:space="preserve"> </w:t>
      </w:r>
    </w:p>
    <w:p w:rsidR="00D846E4" w:rsidRPr="005E10A1" w:rsidRDefault="00D846E4" w:rsidP="00216CDA">
      <w:pPr>
        <w:widowControl w:val="0"/>
        <w:autoSpaceDE w:val="0"/>
        <w:autoSpaceDN w:val="0"/>
        <w:adjustRightInd w:val="0"/>
        <w:spacing w:after="120" w:line="360" w:lineRule="auto"/>
        <w:jc w:val="both"/>
        <w:rPr>
          <w:rFonts w:ascii="Garamond" w:eastAsia="Calibri" w:hAnsi="Garamond" w:cs="Times New Roman"/>
          <w:sz w:val="28"/>
          <w:szCs w:val="28"/>
        </w:rPr>
      </w:pPr>
      <w:r w:rsidRPr="005E10A1">
        <w:rPr>
          <w:rFonts w:ascii="Garamond" w:eastAsia="Calibri" w:hAnsi="Garamond" w:cs="Times New Roman"/>
          <w:sz w:val="28"/>
          <w:szCs w:val="28"/>
        </w:rPr>
        <w:t>Il governo del territorio è l’altro grande tema sul quale ogni iniziativa di rilievo economico è destinata a confrontarsi. L’Adunanza Plenaria ha di recente fissato due importanti principi, in ambiti strategici per l’ordinato processo di sviluppo urbanistico e infrastrutturale delle città e del territorio e segnatamente in tema di cd. fiscalizzazione dell’abuso edilizio e di espropriazione, espungendo definitivamente la fattispecie atipica della rinuncia abdicativa come modalità per l’acquisizione del bene alla mano pubblica.</w:t>
      </w:r>
    </w:p>
    <w:p w:rsidR="00D846E4" w:rsidRPr="005E10A1" w:rsidRDefault="00D846E4" w:rsidP="00216CDA">
      <w:pPr>
        <w:pStyle w:val="Titolo3"/>
        <w:widowControl w:val="0"/>
        <w:spacing w:after="120"/>
        <w:rPr>
          <w:rFonts w:ascii="Garamond" w:eastAsia="Times New Roman" w:hAnsi="Garamond"/>
          <w:color w:val="333333"/>
          <w:lang w:eastAsia="it-IT"/>
        </w:rPr>
      </w:pPr>
      <w:bookmarkStart w:id="34" w:name="_Toc63071649"/>
      <w:bookmarkStart w:id="35" w:name="_Toc63074289"/>
      <w:r w:rsidRPr="005E10A1">
        <w:rPr>
          <w:rFonts w:ascii="Garamond" w:hAnsi="Garamond"/>
        </w:rPr>
        <w:t>-Immigrazione</w:t>
      </w:r>
      <w:bookmarkEnd w:id="34"/>
      <w:bookmarkEnd w:id="35"/>
    </w:p>
    <w:p w:rsidR="00D846E4" w:rsidRPr="005E10A1" w:rsidRDefault="00D846E4" w:rsidP="00216CDA">
      <w:pPr>
        <w:widowControl w:val="0"/>
        <w:autoSpaceDE w:val="0"/>
        <w:autoSpaceDN w:val="0"/>
        <w:adjustRightInd w:val="0"/>
        <w:spacing w:after="120" w:line="336" w:lineRule="auto"/>
        <w:jc w:val="both"/>
        <w:rPr>
          <w:rFonts w:ascii="Garamond" w:eastAsia="Times New Roman" w:hAnsi="Garamond" w:cs="Times New Roman"/>
          <w:sz w:val="28"/>
          <w:szCs w:val="28"/>
          <w:lang w:eastAsia="it-IT"/>
        </w:rPr>
      </w:pPr>
      <w:r w:rsidRPr="005E10A1">
        <w:rPr>
          <w:rFonts w:ascii="Garamond" w:eastAsia="Times New Roman" w:hAnsi="Garamond" w:cs="Times New Roman"/>
          <w:sz w:val="28"/>
          <w:szCs w:val="28"/>
          <w:lang w:eastAsia="it-IT"/>
        </w:rPr>
        <w:t xml:space="preserve">In materia di immigrazione, la giurisprudenza della Sezione </w:t>
      </w:r>
      <w:r w:rsidR="007A69A2" w:rsidRPr="005E10A1">
        <w:rPr>
          <w:rFonts w:ascii="Garamond" w:eastAsia="Times New Roman" w:hAnsi="Garamond" w:cs="Times New Roman"/>
          <w:sz w:val="28"/>
          <w:szCs w:val="28"/>
          <w:lang w:eastAsia="it-IT"/>
        </w:rPr>
        <w:t xml:space="preserve">III </w:t>
      </w:r>
      <w:r w:rsidRPr="005E10A1">
        <w:rPr>
          <w:rFonts w:ascii="Garamond" w:eastAsia="Times New Roman" w:hAnsi="Garamond" w:cs="Times New Roman"/>
          <w:sz w:val="28"/>
          <w:szCs w:val="28"/>
          <w:lang w:eastAsia="it-IT"/>
        </w:rPr>
        <w:t>si è ormai assestata su alcuni principi chiari e stabili secondo i quali la certezza della situazione abitativa e il possesso di un reddito minimo costituiscono condizione non eludibile per fare ingresso e permanere sul territorio nazionale.</w:t>
      </w:r>
    </w:p>
    <w:p w:rsidR="00C74AA3" w:rsidRPr="005E10A1" w:rsidRDefault="00D846E4" w:rsidP="00417C40">
      <w:pPr>
        <w:widowControl w:val="0"/>
        <w:autoSpaceDE w:val="0"/>
        <w:autoSpaceDN w:val="0"/>
        <w:adjustRightInd w:val="0"/>
        <w:spacing w:after="120" w:line="336" w:lineRule="auto"/>
        <w:jc w:val="both"/>
        <w:rPr>
          <w:rFonts w:ascii="Garamond" w:hAnsi="Garamond" w:cs="Times New Roman"/>
          <w:color w:val="000000"/>
          <w:sz w:val="28"/>
          <w:szCs w:val="28"/>
        </w:rPr>
      </w:pPr>
      <w:r w:rsidRPr="005E10A1">
        <w:rPr>
          <w:rFonts w:ascii="Garamond" w:eastAsia="Times New Roman" w:hAnsi="Garamond" w:cs="Times New Roman"/>
          <w:color w:val="333333"/>
          <w:sz w:val="28"/>
          <w:szCs w:val="28"/>
          <w:lang w:eastAsia="it-IT"/>
        </w:rPr>
        <w:t>Al contempo ha dato continuità e stabilità all’orientamento secondo il quale non sussiste un meccanismo di automaticità tra condanna penale e diniego del rinnovo del permesso di soggiorno, ma occorre una valutazione ponderata quando lo straniero abbia famiglia sul territorio nazionale o goda di un permesso di lungo soggiorno, nel rispetto di quanto previsto dalle direttive europee (Cons. St., sez. III, 7 ottobre 2020, n. 5948).</w:t>
      </w:r>
      <w:r w:rsidR="005127A1" w:rsidRPr="005E10A1">
        <w:rPr>
          <w:rFonts w:ascii="Garamond" w:hAnsi="Garamond" w:cs="Times New Roman"/>
          <w:color w:val="000000"/>
          <w:sz w:val="28"/>
          <w:szCs w:val="28"/>
        </w:rPr>
        <w:br w:type="page"/>
      </w:r>
    </w:p>
    <w:p w:rsidR="005127A1" w:rsidRPr="005E10A1" w:rsidRDefault="005127A1" w:rsidP="00216CDA">
      <w:pPr>
        <w:widowControl w:val="0"/>
        <w:spacing w:after="120" w:line="360" w:lineRule="auto"/>
        <w:jc w:val="center"/>
        <w:rPr>
          <w:rFonts w:ascii="Garamond" w:hAnsi="Garamond" w:cs="Times New Roman"/>
          <w:color w:val="000000"/>
          <w:sz w:val="28"/>
          <w:szCs w:val="28"/>
        </w:rPr>
      </w:pPr>
    </w:p>
    <w:p w:rsidR="00D846E4" w:rsidRPr="005E10A1" w:rsidRDefault="00D846E4" w:rsidP="00240B55">
      <w:pPr>
        <w:pStyle w:val="Titolo1"/>
      </w:pPr>
      <w:bookmarkStart w:id="36" w:name="_Toc63071650"/>
      <w:bookmarkStart w:id="37" w:name="_Toc63074290"/>
      <w:r w:rsidRPr="005E10A1">
        <w:t>CAPITOLO III</w:t>
      </w:r>
      <w:bookmarkEnd w:id="36"/>
      <w:bookmarkEnd w:id="37"/>
    </w:p>
    <w:p w:rsidR="00D846E4" w:rsidRPr="005E10A1" w:rsidRDefault="00D846E4" w:rsidP="00240B55">
      <w:pPr>
        <w:pStyle w:val="Titolo1"/>
      </w:pPr>
      <w:bookmarkStart w:id="38" w:name="_Toc63071651"/>
      <w:bookmarkStart w:id="39" w:name="_Toc63074291"/>
      <w:r w:rsidRPr="005E10A1">
        <w:t>ATTIVITÀ INTERNAZIONALI</w:t>
      </w:r>
      <w:bookmarkEnd w:id="38"/>
      <w:bookmarkEnd w:id="39"/>
      <w:r w:rsidRPr="005E10A1">
        <w:t xml:space="preserve"> </w:t>
      </w:r>
    </w:p>
    <w:p w:rsidR="00386712" w:rsidRPr="005E10A1" w:rsidRDefault="00386712" w:rsidP="00216CDA">
      <w:pPr>
        <w:widowControl w:val="0"/>
        <w:rPr>
          <w:rFonts w:ascii="Garamond" w:hAnsi="Garamond"/>
        </w:rPr>
      </w:pPr>
    </w:p>
    <w:p w:rsidR="00D846E4" w:rsidRPr="005E10A1" w:rsidRDefault="00D846E4" w:rsidP="00240B55">
      <w:pPr>
        <w:pStyle w:val="Titolo2"/>
      </w:pPr>
      <w:bookmarkStart w:id="40" w:name="_Toc63071652"/>
      <w:bookmarkStart w:id="41" w:name="_Toc63074292"/>
      <w:r w:rsidRPr="005E10A1">
        <w:t>1. L’Europa tra emergenza sanitaria e dialogo tra le Corti</w:t>
      </w:r>
      <w:bookmarkEnd w:id="40"/>
      <w:bookmarkEnd w:id="41"/>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 xml:space="preserve">Tutte le supreme Corti amministrative si sono trovate a dover fronteggiare la pandemia, sotto il duplice profilo organizzativo e giurisdizionale. </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Se, come ammoniva Albert Camus, “La peste…apre gli occhi, costringe a pensare!”, la crisi sanitaria -</w:t>
      </w:r>
      <w:r w:rsidR="00397411">
        <w:rPr>
          <w:rFonts w:ascii="Garamond" w:hAnsi="Garamond" w:cs="Times New Roman"/>
          <w:sz w:val="28"/>
          <w:szCs w:val="28"/>
          <w:lang w:eastAsia="it-IT"/>
        </w:rPr>
        <w:t xml:space="preserve"> </w:t>
      </w:r>
      <w:r w:rsidRPr="005E10A1">
        <w:rPr>
          <w:rFonts w:ascii="Garamond" w:hAnsi="Garamond" w:cs="Times New Roman"/>
          <w:sz w:val="28"/>
          <w:szCs w:val="28"/>
          <w:lang w:eastAsia="it-IT"/>
        </w:rPr>
        <w:t>così come sottolineato anche dal Presidente della Repubblica</w:t>
      </w:r>
      <w:r w:rsidR="00397411">
        <w:rPr>
          <w:rFonts w:ascii="Garamond" w:hAnsi="Garamond" w:cs="Times New Roman"/>
          <w:sz w:val="28"/>
          <w:szCs w:val="28"/>
          <w:lang w:eastAsia="it-IT"/>
        </w:rPr>
        <w:t xml:space="preserve"> </w:t>
      </w:r>
      <w:r w:rsidRPr="005E10A1">
        <w:rPr>
          <w:rFonts w:ascii="Garamond" w:hAnsi="Garamond" w:cs="Times New Roman"/>
          <w:sz w:val="28"/>
          <w:szCs w:val="28"/>
          <w:lang w:eastAsia="it-IT"/>
        </w:rPr>
        <w:t>- ha rappresentato “uno spartiacque per l’Unione Europea che, in meno di sei mesi, ha compiuto scelte coraggiose e innovative che soltanto qualche settimana prima del suo inizio apparivano decisamente ‘fuori portata’”.</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 xml:space="preserve">All’indomani dell’accordo per la </w:t>
      </w:r>
      <w:r w:rsidRPr="005E10A1">
        <w:rPr>
          <w:rFonts w:ascii="Garamond" w:hAnsi="Garamond" w:cs="Times New Roman"/>
          <w:i/>
          <w:sz w:val="28"/>
          <w:szCs w:val="28"/>
          <w:lang w:eastAsia="it-IT"/>
        </w:rPr>
        <w:t>Brexit</w:t>
      </w:r>
      <w:r w:rsidRPr="005E10A1">
        <w:rPr>
          <w:rFonts w:ascii="Garamond" w:hAnsi="Garamond" w:cs="Times New Roman"/>
          <w:sz w:val="28"/>
          <w:szCs w:val="28"/>
          <w:lang w:eastAsia="it-IT"/>
        </w:rPr>
        <w:t>, la Presidente della Commissione europea ha detto “Dovremmo chiederci cosa significhi la sovranità nel ventesimo secolo. Si tratta di aiutarsi l’un l’altro in tempi di crisi, invece di cercare di rimettersi in piedi da soli. E l’Unione europea mostra come questo possa essere messo in pratica”.</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 xml:space="preserve">Ho avuto più volte occasione di dire che le Corti nazionali giocano un ruolo decisivo nella costruzione di uno spazio comune europeo del diritto, che regola la vita delle persone e delle imprese nella comunità di riferimento. </w:t>
      </w:r>
    </w:p>
    <w:p w:rsidR="00D846E4" w:rsidRPr="005E10A1" w:rsidRDefault="00D846E4" w:rsidP="00216CDA">
      <w:pPr>
        <w:widowControl w:val="0"/>
        <w:spacing w:line="360" w:lineRule="auto"/>
        <w:jc w:val="both"/>
        <w:rPr>
          <w:rFonts w:ascii="Garamond" w:hAnsi="Garamond" w:cs="Times New Roman"/>
          <w:sz w:val="28"/>
          <w:szCs w:val="28"/>
          <w:lang w:eastAsia="it-IT"/>
        </w:rPr>
      </w:pPr>
      <w:r w:rsidRPr="005E10A1">
        <w:rPr>
          <w:rFonts w:ascii="Garamond" w:hAnsi="Garamond" w:cs="Times New Roman"/>
          <w:sz w:val="28"/>
          <w:szCs w:val="28"/>
          <w:lang w:eastAsia="it-IT"/>
        </w:rPr>
        <w:t>Nel corso degli ultimi anni la proiezione esterna del Consiglio di Stato ha registrato un sensibile incremento tanto nelle attività in ambito multilaterale, a livello europeo con l’ACA Europe (Associazione dei Consigli di Stato e delle Corti amministrative supreme dell’Unione europea) e a livello mondiale con l’AIHJA (Associazione internazionale delle Alte Giurisdizioni Amministrative), quanto in occasioni bilaterali.</w:t>
      </w:r>
    </w:p>
    <w:p w:rsidR="00D846E4" w:rsidRPr="005E10A1" w:rsidRDefault="00D846E4" w:rsidP="00ED7531">
      <w:pPr>
        <w:widowControl w:val="0"/>
        <w:spacing w:after="120" w:line="360" w:lineRule="auto"/>
        <w:ind w:right="-1"/>
        <w:jc w:val="both"/>
        <w:rPr>
          <w:rFonts w:ascii="Garamond" w:eastAsia="Calibri" w:hAnsi="Garamond" w:cs="Times New Roman"/>
          <w:sz w:val="28"/>
          <w:szCs w:val="28"/>
          <w:lang w:eastAsia="it-IT"/>
        </w:rPr>
      </w:pPr>
      <w:r w:rsidRPr="005E10A1">
        <w:rPr>
          <w:rFonts w:ascii="Garamond" w:eastAsia="Calibri" w:hAnsi="Garamond" w:cs="Times New Roman"/>
          <w:sz w:val="28"/>
          <w:szCs w:val="28"/>
          <w:lang w:eastAsia="it-IT"/>
        </w:rPr>
        <w:t>La Presidenza italiana dell’ACA-Europe, che doveva essere assunta a maggio 2020 e ora rimandata al maggio di quest’anno, si inquadra nella determinazione del Consiglio di Stato di rafforzare la collaborazione tra Corti supreme amministrative d’Europa, attraverso l’incremento del “</w:t>
      </w:r>
      <w:r w:rsidRPr="005E10A1">
        <w:rPr>
          <w:rFonts w:ascii="Garamond" w:eastAsia="Times New Roman" w:hAnsi="Garamond" w:cs="Times New Roman"/>
          <w:sz w:val="28"/>
          <w:szCs w:val="28"/>
          <w:lang w:eastAsia="it-IT"/>
        </w:rPr>
        <w:t>dialogo orizzontale”, con l’ambizione di delineare un sindacato giurisdizionale sui pubblici poteri idoneo ad assicurare una protezione omogenea</w:t>
      </w:r>
      <w:r w:rsidRPr="005E10A1">
        <w:rPr>
          <w:rFonts w:ascii="Garamond" w:eastAsia="Calibri" w:hAnsi="Garamond" w:cs="Times New Roman"/>
          <w:sz w:val="28"/>
          <w:szCs w:val="28"/>
          <w:shd w:val="clear" w:color="auto" w:fill="FEFEFE"/>
        </w:rPr>
        <w:t xml:space="preserve"> dei diritti delle persone e delle imprese nei loro rapporti con le amministrazioni pubbliche</w:t>
      </w:r>
      <w:r w:rsidRPr="005E10A1">
        <w:rPr>
          <w:rFonts w:ascii="Garamond" w:eastAsia="Calibri" w:hAnsi="Garamond" w:cs="Times New Roman"/>
          <w:sz w:val="28"/>
          <w:szCs w:val="28"/>
          <w:lang w:eastAsia="it-IT"/>
        </w:rPr>
        <w:t xml:space="preserve">. </w:t>
      </w:r>
    </w:p>
    <w:p w:rsidR="00D846E4" w:rsidRPr="005E10A1" w:rsidRDefault="00D846E4" w:rsidP="00ED7531">
      <w:pPr>
        <w:widowControl w:val="0"/>
        <w:spacing w:after="120" w:line="360" w:lineRule="auto"/>
        <w:ind w:right="-1"/>
        <w:jc w:val="both"/>
        <w:rPr>
          <w:rFonts w:ascii="Garamond" w:eastAsia="Times New Roman" w:hAnsi="Garamond" w:cs="Times New Roman"/>
          <w:sz w:val="28"/>
          <w:szCs w:val="28"/>
          <w:lang w:eastAsia="it-IT"/>
        </w:rPr>
      </w:pPr>
      <w:r w:rsidRPr="005E10A1">
        <w:rPr>
          <w:rFonts w:ascii="Garamond" w:eastAsia="Calibri" w:hAnsi="Garamond" w:cs="Times New Roman"/>
          <w:sz w:val="28"/>
          <w:szCs w:val="28"/>
          <w:lang w:eastAsia="it-IT"/>
        </w:rPr>
        <w:t>La</w:t>
      </w:r>
      <w:r w:rsidRPr="005E10A1">
        <w:rPr>
          <w:rFonts w:ascii="Garamond" w:eastAsia="Times New Roman" w:hAnsi="Garamond" w:cs="Times New Roman"/>
          <w:sz w:val="28"/>
          <w:szCs w:val="28"/>
          <w:lang w:eastAsia="it-IT"/>
        </w:rPr>
        <w:t xml:space="preserve"> pandemia non ha impedito il confronto con quanto è accaduto negli altri Stati, i cui i giudici hanno dovuto far fronte alle nuove situazioni determinate dal diritto emergenziale.</w:t>
      </w:r>
    </w:p>
    <w:p w:rsidR="00D846E4" w:rsidRPr="005E10A1" w:rsidRDefault="00D846E4" w:rsidP="00ED7531">
      <w:pPr>
        <w:widowControl w:val="0"/>
        <w:autoSpaceDE w:val="0"/>
        <w:autoSpaceDN w:val="0"/>
        <w:adjustRightInd w:val="0"/>
        <w:spacing w:after="120" w:line="360" w:lineRule="auto"/>
        <w:ind w:right="-1"/>
        <w:jc w:val="both"/>
        <w:rPr>
          <w:rFonts w:ascii="Garamond" w:eastAsia="Calibri" w:hAnsi="Garamond" w:cs="Times New Roman"/>
          <w:sz w:val="32"/>
          <w:szCs w:val="32"/>
        </w:rPr>
      </w:pPr>
      <w:r w:rsidRPr="005E10A1">
        <w:rPr>
          <w:rFonts w:ascii="Garamond" w:eastAsia="Calibri" w:hAnsi="Garamond" w:cs="Times New Roman"/>
          <w:sz w:val="28"/>
          <w:szCs w:val="28"/>
        </w:rPr>
        <w:t xml:space="preserve">Se, “in tempo di emergenza, il potere tende a spostarsi verso l’Esecutivo”, è giocoforza che buona parte delle pronunce dei Tribunali amministrativi e delle Corti Supreme, di natura prevalentemente cautelare, abbia riguardato il legittimo esercizio del potere emergenziale in relazione alla tutela dei diritti (e il correlato bilanciamento tra il diritto alla salute e gli altri diritti) e </w:t>
      </w:r>
      <w:r w:rsidR="008B2E1D">
        <w:rPr>
          <w:rFonts w:ascii="Garamond" w:eastAsia="Calibri" w:hAnsi="Garamond" w:cs="Times New Roman"/>
          <w:sz w:val="28"/>
          <w:szCs w:val="28"/>
        </w:rPr>
        <w:t>all</w:t>
      </w:r>
      <w:r w:rsidRPr="005E10A1">
        <w:rPr>
          <w:rFonts w:ascii="Garamond" w:eastAsia="Calibri" w:hAnsi="Garamond" w:cs="Times New Roman"/>
          <w:sz w:val="28"/>
          <w:szCs w:val="28"/>
        </w:rPr>
        <w:t>’allocazion</w:t>
      </w:r>
      <w:r w:rsidR="00830A20">
        <w:rPr>
          <w:rFonts w:ascii="Garamond" w:eastAsia="Calibri" w:hAnsi="Garamond" w:cs="Times New Roman"/>
          <w:sz w:val="28"/>
          <w:szCs w:val="28"/>
        </w:rPr>
        <w:t xml:space="preserve">e delle competenze tra Governo </w:t>
      </w:r>
      <w:r w:rsidRPr="005E10A1">
        <w:rPr>
          <w:rFonts w:ascii="Garamond" w:eastAsia="Calibri" w:hAnsi="Garamond" w:cs="Times New Roman"/>
          <w:sz w:val="28"/>
          <w:szCs w:val="28"/>
        </w:rPr>
        <w:t>e diverse autorità territoriali (per noi tra Stato, Regioni e poteri di ordinanza sindacale).</w:t>
      </w:r>
    </w:p>
    <w:p w:rsidR="00D846E4" w:rsidRPr="005E10A1" w:rsidRDefault="00D846E4" w:rsidP="00ED7531">
      <w:pPr>
        <w:widowControl w:val="0"/>
        <w:autoSpaceDE w:val="0"/>
        <w:autoSpaceDN w:val="0"/>
        <w:adjustRightInd w:val="0"/>
        <w:spacing w:after="120" w:line="360" w:lineRule="auto"/>
        <w:ind w:right="-1"/>
        <w:jc w:val="both"/>
        <w:rPr>
          <w:rFonts w:ascii="Garamond" w:eastAsia="Calibri" w:hAnsi="Garamond" w:cs="Times New Roman"/>
          <w:sz w:val="28"/>
          <w:szCs w:val="28"/>
        </w:rPr>
      </w:pPr>
      <w:r w:rsidRPr="005E10A1">
        <w:rPr>
          <w:rFonts w:ascii="Garamond" w:eastAsia="Times New Roman" w:hAnsi="Garamond" w:cs="Times New Roman"/>
          <w:sz w:val="28"/>
          <w:szCs w:val="28"/>
          <w:lang w:eastAsia="it-IT"/>
        </w:rPr>
        <w:t xml:space="preserve">Dalla nostra esperienza e da quella delle altre Corti europee emerge la conferma che il giudice amministrativo ha assunto il ruolo, </w:t>
      </w:r>
      <w:r w:rsidR="00830A20">
        <w:rPr>
          <w:rFonts w:ascii="Garamond" w:eastAsia="Times New Roman" w:hAnsi="Garamond" w:cs="Times New Roman"/>
          <w:sz w:val="28"/>
          <w:szCs w:val="28"/>
          <w:lang w:eastAsia="it-IT"/>
        </w:rPr>
        <w:t xml:space="preserve">a maggior ragione </w:t>
      </w:r>
      <w:r w:rsidRPr="005E10A1">
        <w:rPr>
          <w:rFonts w:ascii="Garamond" w:eastAsia="Times New Roman" w:hAnsi="Garamond" w:cs="Times New Roman"/>
          <w:sz w:val="28"/>
          <w:szCs w:val="28"/>
          <w:lang w:eastAsia="it-IT"/>
        </w:rPr>
        <w:t>in questa fase emergenziale, di garante delle libertà individuali e di arbitro nel difficile bilanciamento tra esigenze di sicurezza e salvaguardia della salute e le connesse limitazioni e compressioni dei diritti individuali fondamentali, effettuando un sapiente dosaggio dei princìpi di ragionevolezza,</w:t>
      </w:r>
      <w:r w:rsidRPr="005E10A1">
        <w:rPr>
          <w:rFonts w:ascii="Garamond" w:eastAsia="Calibri" w:hAnsi="Garamond" w:cs="Times New Roman"/>
          <w:sz w:val="28"/>
          <w:szCs w:val="28"/>
        </w:rPr>
        <w:t xml:space="preserve"> di proporzionalità e di precauzione, in forza dei quali ogni restrizione deve essere limitata allo stretto necessario sotto il profilo spazio-temporale ed essere proporzionata e adeguata all’obiettivo. </w:t>
      </w:r>
    </w:p>
    <w:p w:rsidR="00D846E4" w:rsidRPr="005E10A1" w:rsidRDefault="00D846E4" w:rsidP="00ED7531">
      <w:pPr>
        <w:widowControl w:val="0"/>
        <w:spacing w:after="120" w:line="360" w:lineRule="auto"/>
        <w:ind w:right="-1"/>
        <w:jc w:val="both"/>
        <w:rPr>
          <w:rFonts w:ascii="Garamond" w:eastAsia="Calibri" w:hAnsi="Garamond" w:cs="Times New Roman"/>
          <w:sz w:val="28"/>
          <w:szCs w:val="28"/>
        </w:rPr>
      </w:pPr>
      <w:r w:rsidRPr="005E10A1">
        <w:rPr>
          <w:rFonts w:ascii="Garamond" w:eastAsia="Calibri" w:hAnsi="Garamond" w:cs="Times New Roman"/>
          <w:sz w:val="28"/>
          <w:szCs w:val="28"/>
        </w:rPr>
        <w:t xml:space="preserve">La collaborazione tra Corti europee ha dimostrato ancora una volta la forza propulsiva dell’Unione europea, la sua capacità di ritrovare nei momenti d’emergenza l’autentico spirito dei padri fondatori, basandosi sui valori della solidarietà e del dialogo. </w:t>
      </w:r>
    </w:p>
    <w:p w:rsidR="00D846E4" w:rsidRPr="005E10A1" w:rsidRDefault="00D846E4" w:rsidP="00ED7531">
      <w:pPr>
        <w:widowControl w:val="0"/>
        <w:spacing w:after="120" w:line="360" w:lineRule="auto"/>
        <w:ind w:right="-1"/>
        <w:jc w:val="both"/>
        <w:rPr>
          <w:rFonts w:ascii="Garamond" w:eastAsia="Calibri" w:hAnsi="Garamond" w:cs="Times New Roman"/>
          <w:sz w:val="28"/>
          <w:szCs w:val="28"/>
          <w:lang w:eastAsia="it-IT"/>
        </w:rPr>
      </w:pPr>
      <w:r w:rsidRPr="005E10A1">
        <w:rPr>
          <w:rFonts w:ascii="Garamond" w:eastAsia="Calibri" w:hAnsi="Garamond" w:cs="Times New Roman"/>
          <w:sz w:val="28"/>
          <w:szCs w:val="28"/>
          <w:lang w:eastAsia="it-IT"/>
        </w:rPr>
        <w:t xml:space="preserve">Su un piano più squisitamente bilaterale sarebbero dovute proseguire nel corso del 2020 le iniziative con istituzioni omologhe di altri Paesi, quali la Giordania, la Russia, Panama, il Marocco e la Tunisia. </w:t>
      </w:r>
    </w:p>
    <w:p w:rsidR="00D846E4" w:rsidRPr="005E10A1" w:rsidRDefault="00D846E4" w:rsidP="00ED7531">
      <w:pPr>
        <w:widowControl w:val="0"/>
        <w:spacing w:after="120" w:line="360" w:lineRule="auto"/>
        <w:ind w:right="-1"/>
        <w:jc w:val="both"/>
        <w:rPr>
          <w:rFonts w:ascii="Garamond" w:eastAsia="Calibri" w:hAnsi="Garamond" w:cs="Times New Roman"/>
          <w:sz w:val="32"/>
          <w:szCs w:val="32"/>
          <w:lang w:eastAsia="it-IT"/>
        </w:rPr>
      </w:pPr>
      <w:r w:rsidRPr="005E10A1">
        <w:rPr>
          <w:rFonts w:ascii="Garamond" w:eastAsia="Calibri" w:hAnsi="Garamond" w:cs="Times New Roman"/>
          <w:sz w:val="28"/>
          <w:szCs w:val="28"/>
          <w:lang w:eastAsia="it-IT"/>
        </w:rPr>
        <w:t>In Tunisia è tuttora in corso il progetto di gemellaggio con il Tribunale amministrativo supremo (finanziato dall’Unione europea) dal titolo ‘</w:t>
      </w:r>
      <w:r w:rsidRPr="005E10A1">
        <w:rPr>
          <w:rFonts w:ascii="Garamond" w:eastAsia="Calibri" w:hAnsi="Garamond" w:cs="Times New Roman"/>
          <w:i/>
          <w:sz w:val="28"/>
          <w:szCs w:val="28"/>
          <w:lang w:eastAsia="it-IT"/>
        </w:rPr>
        <w:t>Appui à la réforme de la Justice administrative en Tunisie’</w:t>
      </w:r>
      <w:r w:rsidRPr="005E10A1">
        <w:rPr>
          <w:rFonts w:ascii="Garamond" w:eastAsia="Calibri" w:hAnsi="Garamond" w:cs="Times New Roman"/>
          <w:sz w:val="28"/>
          <w:szCs w:val="28"/>
          <w:lang w:eastAsia="it-IT"/>
        </w:rPr>
        <w:t>.</w:t>
      </w:r>
    </w:p>
    <w:p w:rsidR="0057744B" w:rsidRPr="005E10A1" w:rsidRDefault="00D846E4" w:rsidP="00ED7531">
      <w:pPr>
        <w:widowControl w:val="0"/>
        <w:shd w:val="clear" w:color="auto" w:fill="FFFFFF"/>
        <w:spacing w:after="120" w:line="360" w:lineRule="auto"/>
        <w:ind w:right="-1"/>
        <w:jc w:val="both"/>
        <w:textAlignment w:val="baseline"/>
        <w:rPr>
          <w:rFonts w:ascii="Garamond" w:hAnsi="Garamond" w:cs="Times New Roman"/>
          <w:sz w:val="28"/>
          <w:szCs w:val="28"/>
        </w:rPr>
      </w:pPr>
      <w:r w:rsidRPr="005E10A1">
        <w:rPr>
          <w:rFonts w:ascii="Garamond" w:hAnsi="Garamond" w:cs="Times New Roman"/>
          <w:sz w:val="28"/>
          <w:szCs w:val="28"/>
        </w:rPr>
        <w:t xml:space="preserve">Il clima di intensa e fattiva collaborazione ha indotto il nuovo Presidente della Repubblica tunisina, Kais Saied, in occasione della visita di Stato, poi rimandata, in Italia, a manifestare l’intenzione di recarsi anche qui a Palazzo Spada. </w:t>
      </w:r>
    </w:p>
    <w:p w:rsidR="00D846E4" w:rsidRPr="005E10A1" w:rsidRDefault="00D846E4" w:rsidP="00ED7531">
      <w:pPr>
        <w:widowControl w:val="0"/>
        <w:spacing w:after="120" w:line="360" w:lineRule="auto"/>
        <w:ind w:right="-1"/>
        <w:jc w:val="both"/>
        <w:rPr>
          <w:rFonts w:ascii="Garamond" w:hAnsi="Garamond" w:cs="Times New Roman"/>
          <w:color w:val="000000"/>
          <w:sz w:val="28"/>
          <w:szCs w:val="28"/>
        </w:rPr>
      </w:pPr>
      <w:r w:rsidRPr="005E10A1">
        <w:rPr>
          <w:rFonts w:ascii="Garamond" w:eastAsia="Calibri" w:hAnsi="Garamond" w:cs="Times New Roman"/>
          <w:sz w:val="28"/>
          <w:szCs w:val="28"/>
        </w:rPr>
        <w:t xml:space="preserve">Il progetto di gemellaggio e le altre iniziative che negli anni recenti hanno legato il Consiglio di Stato e le Istituzioni di vari Paesi rappresentano tasselli importanti verso il comune cammino che conduce alla piena realizzazione degli obiettivi dello Stato di diritto e della democrazia anche oltre l’ambito europeo, con uno sguardo privilegiato a ciò che avviene nel Mediterraneo. </w:t>
      </w:r>
    </w:p>
    <w:p w:rsidR="00441970" w:rsidRPr="005E10A1" w:rsidRDefault="00441970">
      <w:pPr>
        <w:spacing w:line="259" w:lineRule="auto"/>
        <w:rPr>
          <w:rFonts w:ascii="Garamond" w:hAnsi="Garamond" w:cs="Times New Roman"/>
          <w:sz w:val="32"/>
          <w:szCs w:val="32"/>
        </w:rPr>
      </w:pPr>
      <w:r w:rsidRPr="005E10A1">
        <w:rPr>
          <w:rFonts w:ascii="Garamond" w:hAnsi="Garamond" w:cs="Times New Roman"/>
          <w:sz w:val="32"/>
          <w:szCs w:val="32"/>
        </w:rPr>
        <w:br w:type="page"/>
      </w:r>
    </w:p>
    <w:p w:rsidR="000F2F2A" w:rsidRPr="005E10A1" w:rsidRDefault="000F2F2A">
      <w:pPr>
        <w:spacing w:line="259" w:lineRule="auto"/>
        <w:rPr>
          <w:rFonts w:ascii="Garamond" w:hAnsi="Garamond" w:cs="Times New Roman"/>
          <w:sz w:val="32"/>
          <w:szCs w:val="32"/>
        </w:rPr>
      </w:pPr>
    </w:p>
    <w:p w:rsidR="00794228" w:rsidRPr="005E10A1" w:rsidRDefault="00794228" w:rsidP="00216CDA">
      <w:pPr>
        <w:widowControl w:val="0"/>
        <w:spacing w:after="120" w:line="360" w:lineRule="auto"/>
        <w:jc w:val="center"/>
        <w:rPr>
          <w:rFonts w:ascii="Garamond" w:hAnsi="Garamond" w:cs="Times New Roman"/>
          <w:sz w:val="32"/>
          <w:szCs w:val="32"/>
        </w:rPr>
      </w:pPr>
    </w:p>
    <w:p w:rsidR="00D846E4" w:rsidRPr="005E10A1" w:rsidRDefault="00D846E4" w:rsidP="00240B55">
      <w:pPr>
        <w:pStyle w:val="Titolo1"/>
      </w:pPr>
      <w:bookmarkStart w:id="42" w:name="_Toc63071653"/>
      <w:bookmarkStart w:id="43" w:name="_Toc63074293"/>
      <w:r w:rsidRPr="005E10A1">
        <w:t>CAPITOLO IV</w:t>
      </w:r>
      <w:bookmarkEnd w:id="42"/>
      <w:bookmarkEnd w:id="43"/>
    </w:p>
    <w:p w:rsidR="00D846E4" w:rsidRPr="005E10A1" w:rsidRDefault="00D846E4" w:rsidP="00240B55">
      <w:pPr>
        <w:pStyle w:val="Titolo1"/>
      </w:pPr>
      <w:bookmarkStart w:id="44" w:name="_Toc63071654"/>
      <w:bookmarkStart w:id="45" w:name="_Toc63074294"/>
      <w:r w:rsidRPr="005E10A1">
        <w:t>L’ORGANIZZAZIONE E I SERVIZI DELLA GIUSTIZIA AMMINISTRATIVA</w:t>
      </w:r>
      <w:bookmarkEnd w:id="44"/>
      <w:bookmarkEnd w:id="45"/>
    </w:p>
    <w:p w:rsidR="00013B21" w:rsidRPr="005E10A1" w:rsidRDefault="00013B21" w:rsidP="00216CDA">
      <w:pPr>
        <w:widowControl w:val="0"/>
        <w:rPr>
          <w:rFonts w:ascii="Garamond" w:hAnsi="Garamond"/>
        </w:rPr>
      </w:pPr>
    </w:p>
    <w:p w:rsidR="00D846E4" w:rsidRPr="005E10A1" w:rsidRDefault="00D846E4" w:rsidP="00240B55">
      <w:pPr>
        <w:pStyle w:val="Titolo2"/>
      </w:pPr>
      <w:bookmarkStart w:id="46" w:name="_Toc63071655"/>
      <w:bookmarkStart w:id="47" w:name="_Toc63074295"/>
      <w:r w:rsidRPr="005E10A1">
        <w:t>1. L’abbattimento dell’arretrato e il rafforzamento della “macchina” amministrativa</w:t>
      </w:r>
      <w:bookmarkEnd w:id="46"/>
      <w:bookmarkEnd w:id="47"/>
    </w:p>
    <w:p w:rsidR="00830A20" w:rsidRDefault="00397411" w:rsidP="00216CDA">
      <w:pPr>
        <w:widowControl w:val="0"/>
        <w:spacing w:after="120" w:line="360" w:lineRule="auto"/>
        <w:jc w:val="both"/>
        <w:rPr>
          <w:rFonts w:ascii="Garamond" w:hAnsi="Garamond" w:cs="Times New Roman"/>
          <w:color w:val="000000"/>
          <w:sz w:val="28"/>
          <w:szCs w:val="28"/>
        </w:rPr>
      </w:pPr>
      <w:r>
        <w:rPr>
          <w:rFonts w:ascii="Garamond" w:hAnsi="Garamond" w:cs="Times New Roman"/>
          <w:color w:val="000000"/>
          <w:sz w:val="28"/>
          <w:szCs w:val="28"/>
        </w:rPr>
        <w:t>La g</w:t>
      </w:r>
      <w:r w:rsidR="00830A20">
        <w:rPr>
          <w:rFonts w:ascii="Garamond" w:hAnsi="Garamond" w:cs="Times New Roman"/>
          <w:color w:val="000000"/>
          <w:sz w:val="28"/>
          <w:szCs w:val="28"/>
        </w:rPr>
        <w:t>iustizia amministrativa non ha mai rallentato il proprio corso, nemmeno nei giorni più terribili di questa pandemia. La tutela dei diritti non si è mai fermata.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 magistrati hanno continuato le udienze, dapprima da remoto e poi, </w:t>
      </w:r>
      <w:r w:rsidR="00830A20">
        <w:rPr>
          <w:rFonts w:ascii="Garamond" w:hAnsi="Garamond" w:cs="Times New Roman"/>
          <w:color w:val="000000"/>
          <w:sz w:val="28"/>
          <w:szCs w:val="28"/>
        </w:rPr>
        <w:t xml:space="preserve">compatibilmente con il recedere della </w:t>
      </w:r>
      <w:r w:rsidRPr="005E10A1">
        <w:rPr>
          <w:rFonts w:ascii="Garamond" w:hAnsi="Garamond" w:cs="Times New Roman"/>
          <w:color w:val="000000"/>
          <w:sz w:val="28"/>
          <w:szCs w:val="28"/>
        </w:rPr>
        <w:t xml:space="preserve">curva epidemiologica, in presenza; infine, in autunno, nuovamente da remoto. Fatta eccezione per le prime settimane di </w:t>
      </w:r>
      <w:r w:rsidRPr="005E10A1">
        <w:rPr>
          <w:rFonts w:ascii="Garamond" w:hAnsi="Garamond" w:cs="Times New Roman"/>
          <w:i/>
          <w:color w:val="000000"/>
          <w:sz w:val="28"/>
          <w:szCs w:val="28"/>
        </w:rPr>
        <w:t>lockdown</w:t>
      </w:r>
      <w:r w:rsidRPr="005E10A1">
        <w:rPr>
          <w:rFonts w:ascii="Garamond" w:hAnsi="Garamond" w:cs="Times New Roman"/>
          <w:color w:val="000000"/>
          <w:sz w:val="28"/>
          <w:szCs w:val="28"/>
        </w:rPr>
        <w:t xml:space="preserve">, è stato sempre assicurato al Foro il contraddittorio, in presenza </w:t>
      </w:r>
      <w:r w:rsidR="00830A20">
        <w:rPr>
          <w:rFonts w:ascii="Garamond" w:hAnsi="Garamond" w:cs="Times New Roman"/>
          <w:color w:val="000000"/>
          <w:sz w:val="28"/>
          <w:szCs w:val="28"/>
        </w:rPr>
        <w:t xml:space="preserve">o </w:t>
      </w:r>
      <w:r w:rsidRPr="005E10A1">
        <w:rPr>
          <w:rFonts w:ascii="Garamond" w:hAnsi="Garamond" w:cs="Times New Roman"/>
          <w:color w:val="000000"/>
          <w:sz w:val="28"/>
          <w:szCs w:val="28"/>
        </w:rPr>
        <w:t xml:space="preserve">da remoto. La </w:t>
      </w:r>
      <w:r w:rsidR="00830A20">
        <w:rPr>
          <w:rFonts w:ascii="Garamond" w:hAnsi="Garamond" w:cs="Times New Roman"/>
          <w:color w:val="000000"/>
          <w:sz w:val="28"/>
          <w:szCs w:val="28"/>
        </w:rPr>
        <w:t xml:space="preserve">costante e costruttiva </w:t>
      </w:r>
      <w:r w:rsidRPr="005E10A1">
        <w:rPr>
          <w:rFonts w:ascii="Garamond" w:hAnsi="Garamond" w:cs="Times New Roman"/>
          <w:color w:val="000000"/>
          <w:sz w:val="28"/>
          <w:szCs w:val="28"/>
        </w:rPr>
        <w:t>collaborazione del Foro, anche attr</w:t>
      </w:r>
      <w:r w:rsidR="00830A20">
        <w:rPr>
          <w:rFonts w:ascii="Garamond" w:hAnsi="Garamond" w:cs="Times New Roman"/>
          <w:color w:val="000000"/>
          <w:sz w:val="28"/>
          <w:szCs w:val="28"/>
        </w:rPr>
        <w:t xml:space="preserve">averso l’adozione di protocolli, </w:t>
      </w:r>
      <w:r w:rsidRPr="005E10A1">
        <w:rPr>
          <w:rFonts w:ascii="Garamond" w:hAnsi="Garamond" w:cs="Times New Roman"/>
          <w:color w:val="000000"/>
          <w:sz w:val="28"/>
          <w:szCs w:val="28"/>
        </w:rPr>
        <w:t xml:space="preserve">si è rivelata decisiva per il buon andamento del servizio. </w:t>
      </w:r>
      <w:r w:rsidR="00830A20">
        <w:rPr>
          <w:rFonts w:ascii="Garamond" w:hAnsi="Garamond" w:cs="Times New Roman"/>
          <w:color w:val="000000"/>
          <w:sz w:val="28"/>
          <w:szCs w:val="28"/>
        </w:rPr>
        <w:t>Incessante</w:t>
      </w:r>
      <w:r w:rsidRPr="005E10A1">
        <w:rPr>
          <w:rFonts w:ascii="Garamond" w:hAnsi="Garamond" w:cs="Times New Roman"/>
          <w:color w:val="000000"/>
          <w:sz w:val="28"/>
          <w:szCs w:val="28"/>
        </w:rPr>
        <w:t xml:space="preserve"> è stato l’impegno profuso dal Segretariato</w:t>
      </w:r>
      <w:r w:rsidR="00830A20">
        <w:rPr>
          <w:rFonts w:ascii="Garamond" w:hAnsi="Garamond" w:cs="Times New Roman"/>
          <w:color w:val="000000"/>
          <w:sz w:val="28"/>
          <w:szCs w:val="28"/>
        </w:rPr>
        <w:t>, dal Datore di lavoro</w:t>
      </w:r>
      <w:r w:rsidRPr="005E10A1">
        <w:rPr>
          <w:rFonts w:ascii="Garamond" w:hAnsi="Garamond" w:cs="Times New Roman"/>
          <w:color w:val="000000"/>
          <w:sz w:val="28"/>
          <w:szCs w:val="28"/>
        </w:rPr>
        <w:t xml:space="preserve"> e dal Medico competente per consentire a magistrati, personale amministrativo e utenti del servizio di operare in sicurezza.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Nonostante le difficoltà legate al periodo emergenziale, lo sforzo di abbattere l’arretrato è continuato</w:t>
      </w:r>
      <w:r w:rsidR="00830A20">
        <w:rPr>
          <w:rFonts w:ascii="Garamond" w:hAnsi="Garamond" w:cs="Times New Roman"/>
          <w:color w:val="000000"/>
          <w:sz w:val="28"/>
          <w:szCs w:val="28"/>
        </w:rPr>
        <w:t>, grazie anche al notevole lavoro della Sezione</w:t>
      </w:r>
      <w:r w:rsidR="00397411">
        <w:rPr>
          <w:rFonts w:ascii="Garamond" w:hAnsi="Garamond" w:cs="Times New Roman"/>
          <w:color w:val="000000"/>
          <w:sz w:val="28"/>
          <w:szCs w:val="28"/>
        </w:rPr>
        <w:t xml:space="preserve"> II</w:t>
      </w:r>
      <w:r w:rsidR="00830A20">
        <w:rPr>
          <w:rFonts w:ascii="Garamond" w:hAnsi="Garamond" w:cs="Times New Roman"/>
          <w:color w:val="000000"/>
          <w:sz w:val="28"/>
          <w:szCs w:val="28"/>
        </w:rPr>
        <w:t>,</w:t>
      </w:r>
      <w:r w:rsidRPr="005E10A1">
        <w:rPr>
          <w:rFonts w:ascii="Garamond" w:hAnsi="Garamond" w:cs="Times New Roman"/>
          <w:color w:val="000000"/>
          <w:sz w:val="28"/>
          <w:szCs w:val="28"/>
        </w:rPr>
        <w:t xml:space="preserve"> conducendo a un calo del 6% delle pendenze, in Consiglio di Stato, e del 9,7% presso i TAR.</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Particolarmente bassi, in appello, i tempi medi di definizione dei ricorsi in materia di appalti. Mentre l’uso delle sentenze in forma semplificata ha consentito una definizione in appello in 69 giorni </w:t>
      </w:r>
      <w:r w:rsidR="00830A20">
        <w:rPr>
          <w:rFonts w:ascii="Garamond" w:hAnsi="Garamond" w:cs="Times New Roman"/>
          <w:color w:val="000000"/>
          <w:sz w:val="28"/>
          <w:szCs w:val="28"/>
        </w:rPr>
        <w:t>del</w:t>
      </w:r>
      <w:r w:rsidRPr="005E10A1">
        <w:rPr>
          <w:rFonts w:ascii="Garamond" w:hAnsi="Garamond" w:cs="Times New Roman"/>
          <w:color w:val="000000"/>
          <w:sz w:val="28"/>
          <w:szCs w:val="28"/>
        </w:rPr>
        <w:t xml:space="preserve"> 26% delle cause per le quali era stata chiesta la sospensione cautelare della sentenza di primo grado.</w:t>
      </w:r>
    </w:p>
    <w:p w:rsidR="00F77603" w:rsidRPr="005E10A1" w:rsidRDefault="00F77603" w:rsidP="00216CDA">
      <w:pPr>
        <w:pStyle w:val="NormaleWeb"/>
        <w:widowControl w:val="0"/>
        <w:spacing w:after="120" w:afterAutospacing="0" w:line="360" w:lineRule="auto"/>
        <w:jc w:val="both"/>
        <w:rPr>
          <w:rFonts w:ascii="Garamond" w:hAnsi="Garamond"/>
          <w:color w:val="000000"/>
          <w:sz w:val="28"/>
          <w:szCs w:val="28"/>
        </w:rPr>
      </w:pPr>
      <w:r w:rsidRPr="005E10A1">
        <w:rPr>
          <w:rFonts w:ascii="Garamond" w:hAnsi="Garamond"/>
          <w:color w:val="000000"/>
          <w:sz w:val="28"/>
          <w:szCs w:val="28"/>
          <w:shd w:val="clear" w:color="auto" w:fill="FFFFFF"/>
        </w:rPr>
        <w:t>Quest’anno, dunque, non solo non si è formato ulteriore arretrato, ma, grazie alla definizione nel 2020 di 13.221 appelli, si è assistito ad un calo delle pendenze, che risultano pari a</w:t>
      </w:r>
      <w:r w:rsidRPr="005E10A1">
        <w:rPr>
          <w:rFonts w:ascii="Garamond" w:hAnsi="Garamond"/>
          <w:bCs/>
          <w:color w:val="000000"/>
          <w:sz w:val="28"/>
          <w:szCs w:val="28"/>
          <w:shd w:val="clear" w:color="auto" w:fill="FFFFFF"/>
        </w:rPr>
        <w:t xml:space="preserve"> 24.161</w:t>
      </w:r>
      <w:r w:rsidRPr="005E10A1">
        <w:rPr>
          <w:rFonts w:ascii="Garamond" w:hAnsi="Garamond"/>
          <w:b/>
          <w:bCs/>
          <w:color w:val="000000"/>
          <w:sz w:val="28"/>
          <w:szCs w:val="28"/>
          <w:shd w:val="clear" w:color="auto" w:fill="FFFFFF"/>
        </w:rPr>
        <w:t xml:space="preserve"> </w:t>
      </w:r>
      <w:r w:rsidRPr="005E10A1">
        <w:rPr>
          <w:rFonts w:ascii="Garamond" w:hAnsi="Garamond"/>
          <w:color w:val="000000"/>
          <w:sz w:val="28"/>
          <w:szCs w:val="28"/>
          <w:shd w:val="clear" w:color="auto" w:fill="FFFFFF"/>
        </w:rPr>
        <w:t>affari (pari alla somma tra i</w:t>
      </w:r>
      <w:r w:rsidRPr="005E10A1">
        <w:rPr>
          <w:rFonts w:ascii="Garamond" w:hAnsi="Garamond"/>
          <w:bCs/>
          <w:color w:val="000000"/>
          <w:sz w:val="28"/>
          <w:szCs w:val="28"/>
          <w:shd w:val="clear" w:color="auto" w:fill="FFFFFF"/>
        </w:rPr>
        <w:t xml:space="preserve"> 22.696</w:t>
      </w:r>
      <w:r w:rsidRPr="005E10A1">
        <w:rPr>
          <w:rFonts w:ascii="Garamond" w:hAnsi="Garamond"/>
          <w:b/>
          <w:bCs/>
          <w:color w:val="000000"/>
          <w:sz w:val="28"/>
          <w:szCs w:val="28"/>
          <w:shd w:val="clear" w:color="auto" w:fill="FFFFFF"/>
        </w:rPr>
        <w:t xml:space="preserve"> </w:t>
      </w:r>
      <w:r w:rsidRPr="005E10A1">
        <w:rPr>
          <w:rFonts w:ascii="Garamond" w:hAnsi="Garamond"/>
          <w:color w:val="000000"/>
          <w:sz w:val="28"/>
          <w:szCs w:val="28"/>
          <w:shd w:val="clear" w:color="auto" w:fill="FFFFFF"/>
        </w:rPr>
        <w:t xml:space="preserve">ricorsi pendenti al 31 dicembre 2020 presso le </w:t>
      </w:r>
      <w:r w:rsidR="00397411">
        <w:rPr>
          <w:rFonts w:ascii="Garamond" w:hAnsi="Garamond"/>
          <w:color w:val="000000"/>
          <w:sz w:val="28"/>
          <w:szCs w:val="28"/>
          <w:shd w:val="clear" w:color="auto" w:fill="FFFFFF"/>
        </w:rPr>
        <w:t>Sezioni g</w:t>
      </w:r>
      <w:r w:rsidRPr="005E10A1">
        <w:rPr>
          <w:rFonts w:ascii="Garamond" w:hAnsi="Garamond"/>
          <w:color w:val="000000"/>
          <w:sz w:val="28"/>
          <w:szCs w:val="28"/>
          <w:shd w:val="clear" w:color="auto" w:fill="FFFFFF"/>
        </w:rPr>
        <w:t>iurisdizionali del Consiglio di Stato e i 1.465 ricorsi pendenti al 31 d</w:t>
      </w:r>
      <w:r w:rsidR="00397411">
        <w:rPr>
          <w:rFonts w:ascii="Garamond" w:hAnsi="Garamond"/>
          <w:color w:val="000000"/>
          <w:sz w:val="28"/>
          <w:szCs w:val="28"/>
          <w:shd w:val="clear" w:color="auto" w:fill="FFFFFF"/>
        </w:rPr>
        <w:t>icembre 2020 presso la Sezione g</w:t>
      </w:r>
      <w:r w:rsidRPr="005E10A1">
        <w:rPr>
          <w:rFonts w:ascii="Garamond" w:hAnsi="Garamond"/>
          <w:color w:val="000000"/>
          <w:sz w:val="28"/>
          <w:szCs w:val="28"/>
          <w:shd w:val="clear" w:color="auto" w:fill="FFFFFF"/>
        </w:rPr>
        <w:t xml:space="preserve">iurisdizionale del Consiglio di Giustizia </w:t>
      </w:r>
      <w:r w:rsidR="007A69A2">
        <w:rPr>
          <w:rFonts w:ascii="Garamond" w:hAnsi="Garamond"/>
          <w:color w:val="000000"/>
          <w:sz w:val="28"/>
          <w:szCs w:val="28"/>
          <w:lang w:eastAsia="en-GB"/>
        </w:rPr>
        <w:t>della Regione S</w:t>
      </w:r>
      <w:r w:rsidRPr="005E10A1">
        <w:rPr>
          <w:rFonts w:ascii="Garamond" w:hAnsi="Garamond"/>
          <w:color w:val="000000"/>
          <w:sz w:val="28"/>
          <w:szCs w:val="28"/>
          <w:lang w:eastAsia="en-GB"/>
        </w:rPr>
        <w:t>iciliana</w:t>
      </w:r>
      <w:r w:rsidR="00830A20">
        <w:rPr>
          <w:rFonts w:ascii="Garamond" w:hAnsi="Garamond"/>
          <w:color w:val="000000"/>
          <w:sz w:val="28"/>
          <w:szCs w:val="28"/>
          <w:lang w:eastAsia="en-GB"/>
        </w:rPr>
        <w:t>) e a 131.937 in primo grado.</w:t>
      </w:r>
      <w:r w:rsidRPr="005E10A1">
        <w:rPr>
          <w:rFonts w:ascii="Garamond" w:hAnsi="Garamond"/>
          <w:color w:val="000000"/>
          <w:sz w:val="28"/>
          <w:szCs w:val="28"/>
          <w:lang w:eastAsia="en-GB"/>
        </w:rPr>
        <w:t xml:space="preserve"> </w:t>
      </w:r>
    </w:p>
    <w:p w:rsidR="00D846E4" w:rsidRPr="005E10A1" w:rsidRDefault="00D846E4" w:rsidP="00216CDA">
      <w:pPr>
        <w:pStyle w:val="NormaleWeb"/>
        <w:widowControl w:val="0"/>
        <w:spacing w:after="120" w:afterAutospacing="0" w:line="360" w:lineRule="auto"/>
        <w:jc w:val="both"/>
        <w:rPr>
          <w:rFonts w:ascii="Garamond" w:hAnsi="Garamond"/>
          <w:color w:val="000000"/>
          <w:sz w:val="28"/>
          <w:szCs w:val="28"/>
        </w:rPr>
      </w:pPr>
      <w:r w:rsidRPr="005E10A1">
        <w:rPr>
          <w:rFonts w:ascii="Garamond" w:hAnsi="Garamond"/>
          <w:color w:val="000000"/>
          <w:sz w:val="28"/>
          <w:szCs w:val="28"/>
          <w:lang w:eastAsia="en-GB"/>
        </w:rPr>
        <w:t>Per quanto riguarda l’attività consultiva, sono stati resi 96 pareri dalla Sezione atti normativi (di cui 79 definitivi) e 2</w:t>
      </w:r>
      <w:r w:rsidR="00397411">
        <w:rPr>
          <w:rFonts w:ascii="Garamond" w:hAnsi="Garamond"/>
          <w:color w:val="000000"/>
          <w:sz w:val="28"/>
          <w:szCs w:val="28"/>
          <w:lang w:eastAsia="en-GB"/>
        </w:rPr>
        <w:t>.</w:t>
      </w:r>
      <w:r w:rsidRPr="005E10A1">
        <w:rPr>
          <w:rFonts w:ascii="Garamond" w:hAnsi="Garamond"/>
          <w:color w:val="000000"/>
          <w:sz w:val="28"/>
          <w:szCs w:val="28"/>
          <w:lang w:eastAsia="en-GB"/>
        </w:rPr>
        <w:t>123 pareri (di cui 1</w:t>
      </w:r>
      <w:r w:rsidR="00397411">
        <w:rPr>
          <w:rFonts w:ascii="Garamond" w:hAnsi="Garamond"/>
          <w:color w:val="000000"/>
          <w:sz w:val="28"/>
          <w:szCs w:val="28"/>
          <w:lang w:eastAsia="en-GB"/>
        </w:rPr>
        <w:t>.</w:t>
      </w:r>
      <w:r w:rsidRPr="005E10A1">
        <w:rPr>
          <w:rFonts w:ascii="Garamond" w:hAnsi="Garamond"/>
          <w:color w:val="000000"/>
          <w:sz w:val="28"/>
          <w:szCs w:val="28"/>
          <w:lang w:eastAsia="en-GB"/>
        </w:rPr>
        <w:t>640 definitivi) dalla Sezione prima, su richieste di Amministrazioni e su ricorsi straordinari al Capo dello Stato e 380 pareri (di cui 343 definitivi) dal Consiglio di Giustizi</w:t>
      </w:r>
      <w:r w:rsidR="00397411">
        <w:rPr>
          <w:rFonts w:ascii="Garamond" w:hAnsi="Garamond"/>
          <w:color w:val="000000"/>
          <w:sz w:val="28"/>
          <w:szCs w:val="28"/>
          <w:lang w:eastAsia="en-GB"/>
        </w:rPr>
        <w:t>a amministrativa della Regione S</w:t>
      </w:r>
      <w:r w:rsidRPr="005E10A1">
        <w:rPr>
          <w:rFonts w:ascii="Garamond" w:hAnsi="Garamond"/>
          <w:color w:val="000000"/>
          <w:sz w:val="28"/>
          <w:szCs w:val="28"/>
          <w:lang w:eastAsia="en-GB"/>
        </w:rPr>
        <w:t xml:space="preserve">iciliana.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Per questi risultati non posso non ringraziare i colleghi, i dirigenti delle Sezioni e il personale amministrativo, senza il cui apporto lo sforzo di noi magistrati sarebbe vano.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Anche l’attività amministrativa è continuata incessante, rivolta, in particolare, al reclutamento sia di magistrati, sia di personale amministrativo, il quale, nel rapporto con i magistrati, resta tuttora sottodimensionato rispetto alle altre magistrature. E </w:t>
      </w:r>
      <w:r w:rsidR="00C32292">
        <w:rPr>
          <w:rFonts w:ascii="Garamond" w:hAnsi="Garamond" w:cs="Times New Roman"/>
          <w:color w:val="000000"/>
          <w:sz w:val="28"/>
          <w:szCs w:val="28"/>
        </w:rPr>
        <w:t xml:space="preserve">questa carenza di organico va segnalata </w:t>
      </w:r>
      <w:r w:rsidRPr="005E10A1">
        <w:rPr>
          <w:rFonts w:ascii="Garamond" w:hAnsi="Garamond" w:cs="Times New Roman"/>
          <w:color w:val="000000"/>
          <w:sz w:val="28"/>
          <w:szCs w:val="28"/>
        </w:rPr>
        <w:t>al Governo e al Parlamento.</w:t>
      </w:r>
    </w:p>
    <w:p w:rsidR="00D846E4" w:rsidRPr="005E10A1" w:rsidRDefault="00D846E4" w:rsidP="00216CDA">
      <w:pPr>
        <w:widowControl w:val="0"/>
        <w:spacing w:after="120" w:line="240" w:lineRule="auto"/>
        <w:jc w:val="both"/>
        <w:rPr>
          <w:rFonts w:ascii="Garamond" w:hAnsi="Garamond" w:cs="Times New Roman"/>
          <w:b/>
          <w:color w:val="000000"/>
          <w:sz w:val="28"/>
          <w:szCs w:val="28"/>
        </w:rPr>
      </w:pPr>
    </w:p>
    <w:p w:rsidR="00D846E4" w:rsidRPr="005E10A1" w:rsidRDefault="00D846E4" w:rsidP="00240B55">
      <w:pPr>
        <w:pStyle w:val="Titolo2"/>
      </w:pPr>
      <w:bookmarkStart w:id="48" w:name="_Toc63071656"/>
      <w:bookmarkStart w:id="49" w:name="_Toc63074296"/>
      <w:r w:rsidRPr="005E10A1">
        <w:t>2. La comunicazione istituzionale e il sito della giustizia amministrativa</w:t>
      </w:r>
      <w:bookmarkEnd w:id="48"/>
      <w:bookmarkEnd w:id="49"/>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Comunicare la giustizia significa svolgere un servizio a favore dei cittadini. </w:t>
      </w:r>
      <w:r w:rsidR="00C32292">
        <w:rPr>
          <w:rFonts w:ascii="Garamond" w:hAnsi="Garamond" w:cs="Times New Roman"/>
          <w:color w:val="000000"/>
          <w:sz w:val="28"/>
          <w:szCs w:val="28"/>
        </w:rPr>
        <w:t xml:space="preserve">E questo è particolarmente importante in un momento di emergenza, dove serve </w:t>
      </w:r>
      <w:r w:rsidRPr="005E10A1">
        <w:rPr>
          <w:rFonts w:ascii="Garamond" w:hAnsi="Garamond" w:cs="Times New Roman"/>
          <w:color w:val="000000"/>
          <w:sz w:val="28"/>
          <w:szCs w:val="28"/>
        </w:rPr>
        <w:t>un lavoro comune di magistratura e organi d’informazione per</w:t>
      </w:r>
      <w:r w:rsidRPr="005E10A1">
        <w:rPr>
          <w:rFonts w:ascii="Garamond" w:hAnsi="Garamond" w:cs="Times New Roman"/>
          <w:bCs/>
          <w:color w:val="000000"/>
          <w:sz w:val="28"/>
          <w:szCs w:val="28"/>
        </w:rPr>
        <w:t xml:space="preserve"> rendere chiara e comprensibile a tutti l’attività giurisdizionale, evitando manipolazioni e </w:t>
      </w:r>
      <w:r w:rsidRPr="005E10A1">
        <w:rPr>
          <w:rFonts w:ascii="Garamond" w:hAnsi="Garamond" w:cs="Times New Roman"/>
          <w:bCs/>
          <w:i/>
          <w:color w:val="000000"/>
          <w:sz w:val="28"/>
          <w:szCs w:val="28"/>
        </w:rPr>
        <w:t>fake new</w:t>
      </w:r>
      <w:r w:rsidRPr="005E10A1">
        <w:rPr>
          <w:rFonts w:ascii="Garamond" w:hAnsi="Garamond" w:cs="Times New Roman"/>
          <w:bCs/>
          <w:color w:val="000000"/>
          <w:sz w:val="28"/>
          <w:szCs w:val="28"/>
        </w:rPr>
        <w:t>s.</w:t>
      </w:r>
    </w:p>
    <w:p w:rsidR="00C32292" w:rsidRDefault="00C32292" w:rsidP="00216CDA">
      <w:pPr>
        <w:widowControl w:val="0"/>
        <w:spacing w:after="120" w:line="360" w:lineRule="auto"/>
        <w:jc w:val="both"/>
        <w:rPr>
          <w:rFonts w:ascii="Garamond" w:hAnsi="Garamond" w:cs="Times New Roman"/>
          <w:color w:val="000000"/>
          <w:sz w:val="28"/>
          <w:szCs w:val="28"/>
        </w:rPr>
      </w:pPr>
      <w:r>
        <w:rPr>
          <w:rFonts w:ascii="Garamond" w:hAnsi="Garamond" w:cs="Times New Roman"/>
          <w:color w:val="000000"/>
          <w:sz w:val="28"/>
          <w:szCs w:val="28"/>
        </w:rPr>
        <w:t>L</w:t>
      </w:r>
      <w:r w:rsidR="00D846E4" w:rsidRPr="005E10A1">
        <w:rPr>
          <w:rFonts w:ascii="Garamond" w:hAnsi="Garamond" w:cs="Times New Roman"/>
          <w:color w:val="000000"/>
          <w:sz w:val="28"/>
          <w:szCs w:val="28"/>
        </w:rPr>
        <w:t xml:space="preserve">’attività dell’Ufficio stampa e comunicazione istituzionale è stata quindi </w:t>
      </w:r>
      <w:r>
        <w:rPr>
          <w:rFonts w:ascii="Garamond" w:hAnsi="Garamond" w:cs="Times New Roman"/>
          <w:color w:val="000000"/>
          <w:sz w:val="28"/>
          <w:szCs w:val="28"/>
        </w:rPr>
        <w:t>fondamentale</w:t>
      </w:r>
      <w:r w:rsidR="00D846E4" w:rsidRPr="005E10A1">
        <w:rPr>
          <w:rFonts w:ascii="Garamond" w:hAnsi="Garamond" w:cs="Times New Roman"/>
          <w:color w:val="000000"/>
          <w:sz w:val="28"/>
          <w:szCs w:val="28"/>
        </w:rPr>
        <w:t>, perché ha consentito di comunicare in tempo reale l’esperienza della “giustizia amministra</w:t>
      </w:r>
      <w:r>
        <w:rPr>
          <w:rFonts w:ascii="Garamond" w:hAnsi="Garamond" w:cs="Times New Roman"/>
          <w:color w:val="000000"/>
          <w:sz w:val="28"/>
          <w:szCs w:val="28"/>
        </w:rPr>
        <w:t xml:space="preserve">tiva” al tempo del coronavirus. Sono state comunicate </w:t>
      </w:r>
      <w:r w:rsidR="00D846E4" w:rsidRPr="005E10A1">
        <w:rPr>
          <w:rFonts w:ascii="Garamond" w:hAnsi="Garamond" w:cs="Times New Roman"/>
          <w:color w:val="000000"/>
          <w:sz w:val="28"/>
          <w:szCs w:val="28"/>
        </w:rPr>
        <w:t xml:space="preserve">con rapidità e chiarezza le decisioni </w:t>
      </w:r>
      <w:r>
        <w:rPr>
          <w:rFonts w:ascii="Garamond" w:hAnsi="Garamond" w:cs="Times New Roman"/>
          <w:color w:val="000000"/>
          <w:sz w:val="28"/>
          <w:szCs w:val="28"/>
        </w:rPr>
        <w:t xml:space="preserve">di maggior rilievo e impatto sociale </w:t>
      </w:r>
      <w:r w:rsidR="00D846E4" w:rsidRPr="005E10A1">
        <w:rPr>
          <w:rFonts w:ascii="Garamond" w:hAnsi="Garamond" w:cs="Times New Roman"/>
          <w:color w:val="000000"/>
          <w:sz w:val="28"/>
          <w:szCs w:val="28"/>
        </w:rPr>
        <w:t>del Consiglio di Stato e dei TAR</w:t>
      </w:r>
      <w:r>
        <w:rPr>
          <w:rFonts w:ascii="Garamond" w:hAnsi="Garamond" w:cs="Times New Roman"/>
          <w:color w:val="000000"/>
          <w:sz w:val="28"/>
          <w:szCs w:val="28"/>
        </w:rPr>
        <w:t xml:space="preserve"> e sono stati forniti chiarimenti e precisazioni, in tempo reale, agli organi di informazione.</w:t>
      </w:r>
    </w:p>
    <w:p w:rsidR="00C32292" w:rsidRPr="00C32292" w:rsidRDefault="00397411" w:rsidP="00C32292">
      <w:pPr>
        <w:widowControl w:val="0"/>
        <w:spacing w:after="120" w:line="360" w:lineRule="auto"/>
        <w:jc w:val="both"/>
        <w:rPr>
          <w:rFonts w:ascii="Garamond" w:hAnsi="Garamond" w:cs="Times New Roman"/>
          <w:color w:val="000000"/>
          <w:sz w:val="28"/>
          <w:szCs w:val="28"/>
        </w:rPr>
      </w:pPr>
      <w:r>
        <w:rPr>
          <w:rFonts w:ascii="Garamond" w:hAnsi="Garamond" w:cs="Times New Roman"/>
          <w:color w:val="000000"/>
          <w:sz w:val="28"/>
          <w:szCs w:val="28"/>
        </w:rPr>
        <w:t>Il sito della g</w:t>
      </w:r>
      <w:r w:rsidR="00C32292" w:rsidRPr="00C32292">
        <w:rPr>
          <w:rFonts w:ascii="Garamond" w:hAnsi="Garamond" w:cs="Times New Roman"/>
          <w:color w:val="000000"/>
          <w:sz w:val="28"/>
          <w:szCs w:val="28"/>
        </w:rPr>
        <w:t xml:space="preserve">iustizia amministrativa è stato aggiornato in tempo reale, per dare conto delle sentenze e dei pareri resi dal Consiglio di Stato, ma anche delle misure organizzative adottate per contrastare il coronavirus, a tutela di magistrati, avvocati e cittadini. Ogni giorno sono state pubblicate in evidenza le decisioni più importanti, con le relative massime e l’account </w:t>
      </w:r>
      <w:r w:rsidR="00C32292" w:rsidRPr="00397411">
        <w:rPr>
          <w:rFonts w:ascii="Garamond" w:hAnsi="Garamond" w:cs="Times New Roman"/>
          <w:i/>
          <w:color w:val="000000"/>
          <w:sz w:val="28"/>
          <w:szCs w:val="28"/>
        </w:rPr>
        <w:t>Twitter @CdSinforma</w:t>
      </w:r>
      <w:r w:rsidR="00C32292" w:rsidRPr="00C32292">
        <w:rPr>
          <w:rFonts w:ascii="Garamond" w:hAnsi="Garamond" w:cs="Times New Roman"/>
          <w:color w:val="000000"/>
          <w:sz w:val="28"/>
          <w:szCs w:val="28"/>
        </w:rPr>
        <w:t xml:space="preserve"> è stato utilizzato per segnalare le principali iniziative istituzionali.</w:t>
      </w:r>
    </w:p>
    <w:p w:rsidR="00D846E4" w:rsidRPr="005E10A1" w:rsidRDefault="00D846E4" w:rsidP="00216CDA">
      <w:pPr>
        <w:widowControl w:val="0"/>
        <w:spacing w:after="120" w:line="360" w:lineRule="auto"/>
        <w:jc w:val="both"/>
        <w:rPr>
          <w:rFonts w:ascii="Garamond" w:hAnsi="Garamond" w:cs="Times New Roman"/>
          <w:b/>
          <w:color w:val="000000"/>
          <w:sz w:val="28"/>
          <w:szCs w:val="28"/>
        </w:rPr>
      </w:pPr>
    </w:p>
    <w:p w:rsidR="00D846E4" w:rsidRPr="005E10A1" w:rsidRDefault="00D846E4" w:rsidP="00240B55">
      <w:pPr>
        <w:pStyle w:val="Titolo2"/>
      </w:pPr>
      <w:bookmarkStart w:id="50" w:name="_Toc63071657"/>
      <w:bookmarkStart w:id="51" w:name="_Toc63074297"/>
      <w:r w:rsidRPr="005E10A1">
        <w:t>3. L’informatizzazione</w:t>
      </w:r>
      <w:bookmarkEnd w:id="50"/>
      <w:bookmarkEnd w:id="51"/>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Sin dall’inizio del periodo emergenziale, il Segretariato generale e il Servizio per l’informatica hanno attivato misure organizzative volte, da un lato, a tutelare la salute del personale di magistratura, amministrativo e dell’ulteriore utenza, dall’altro, a garantire l’operatività degli uffici e, quindi, la continuità del servizio, sia per quanto concerne l’attività istituzionale, sia per lo svolgimento delle sedute del Consiglio di presidenza attraverso complesse attività di implementazione delle funzionalità del Sistema Informativo della Giustizia amministrativa (SIGA).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Infine, già prima dell’emergenza, è stata sviluppata e sperimentata un’applicazione </w:t>
      </w:r>
      <w:r w:rsidRPr="005E10A1">
        <w:rPr>
          <w:rFonts w:ascii="Garamond" w:hAnsi="Garamond" w:cs="Times New Roman"/>
          <w:i/>
          <w:color w:val="000000"/>
          <w:sz w:val="28"/>
          <w:szCs w:val="28"/>
        </w:rPr>
        <w:t>in-house</w:t>
      </w:r>
      <w:r w:rsidRPr="005E10A1">
        <w:rPr>
          <w:rFonts w:ascii="Garamond" w:hAnsi="Garamond" w:cs="Times New Roman"/>
          <w:color w:val="000000"/>
          <w:sz w:val="28"/>
          <w:szCs w:val="28"/>
        </w:rPr>
        <w:t xml:space="preserve"> per la gestione delle chiamate a udienza, basata su piattaforma </w:t>
      </w:r>
      <w:r w:rsidRPr="005E10A1">
        <w:rPr>
          <w:rFonts w:ascii="Garamond" w:hAnsi="Garamond" w:cs="Times New Roman"/>
          <w:i/>
          <w:color w:val="000000"/>
          <w:sz w:val="28"/>
          <w:szCs w:val="28"/>
        </w:rPr>
        <w:t>Telegram</w:t>
      </w:r>
      <w:r w:rsidRPr="005E10A1">
        <w:rPr>
          <w:rFonts w:ascii="Garamond" w:hAnsi="Garamond" w:cs="Times New Roman"/>
          <w:color w:val="000000"/>
          <w:sz w:val="28"/>
          <w:szCs w:val="28"/>
        </w:rPr>
        <w:t xml:space="preserve"> che consente agli avvocati di ricevere notifiche in tempo reale sull’andamento dell’udienza direttamente sul proprio </w:t>
      </w:r>
      <w:r w:rsidRPr="005E10A1">
        <w:rPr>
          <w:rFonts w:ascii="Garamond" w:hAnsi="Garamond" w:cs="Times New Roman"/>
          <w:i/>
          <w:color w:val="000000"/>
          <w:sz w:val="28"/>
          <w:szCs w:val="28"/>
        </w:rPr>
        <w:t>smartphone</w:t>
      </w:r>
      <w:r w:rsidRPr="005E10A1">
        <w:rPr>
          <w:rFonts w:ascii="Garamond" w:hAnsi="Garamond" w:cs="Times New Roman"/>
          <w:color w:val="000000"/>
          <w:sz w:val="28"/>
          <w:szCs w:val="28"/>
        </w:rPr>
        <w:t>.</w:t>
      </w:r>
    </w:p>
    <w:p w:rsidR="00013B21" w:rsidRPr="005E10A1" w:rsidRDefault="00013B21" w:rsidP="00216CDA">
      <w:pPr>
        <w:widowControl w:val="0"/>
        <w:spacing w:after="120" w:line="240" w:lineRule="auto"/>
        <w:jc w:val="both"/>
        <w:rPr>
          <w:rFonts w:ascii="Garamond" w:hAnsi="Garamond" w:cs="Times New Roman"/>
          <w:color w:val="000000"/>
          <w:sz w:val="20"/>
          <w:szCs w:val="20"/>
        </w:rPr>
      </w:pPr>
    </w:p>
    <w:p w:rsidR="00D846E4" w:rsidRPr="005E10A1" w:rsidRDefault="00D846E4" w:rsidP="00240B55">
      <w:pPr>
        <w:pStyle w:val="Titolo2"/>
      </w:pPr>
      <w:bookmarkStart w:id="52" w:name="_Toc63071658"/>
      <w:bookmarkStart w:id="53" w:name="_Toc63074298"/>
      <w:r w:rsidRPr="005E10A1">
        <w:t>4. L’Ufficio Studi</w:t>
      </w:r>
      <w:bookmarkEnd w:id="52"/>
      <w:bookmarkEnd w:id="53"/>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L’Ufficio Studi, anche in sinergia con il Comitato tecnico-scientifico, ha svolto nel 2020 un’importante e incisiva attività, nei quattro settori nei quali è articolata la sua azione, anche se non si sono potuti tenere alcuni degli eventi programmati.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 settore della formazione, la programmazione di eventi formativi per il 2020, anche in collaborazione con la Scuola Superiore della Magistratura e l’Accademia delle Crusca, è stata fortemente ridimensionata </w:t>
      </w:r>
      <w:r w:rsidR="00C32292">
        <w:rPr>
          <w:rFonts w:ascii="Garamond" w:hAnsi="Garamond" w:cs="Times New Roman"/>
          <w:color w:val="000000"/>
          <w:sz w:val="28"/>
          <w:szCs w:val="28"/>
        </w:rPr>
        <w:t>e ha richiesto, quando possibile, lo svolgimento di corsi e</w:t>
      </w:r>
      <w:r w:rsidRPr="005E10A1">
        <w:rPr>
          <w:rFonts w:ascii="Garamond" w:hAnsi="Garamond" w:cs="Times New Roman"/>
          <w:color w:val="000000"/>
          <w:sz w:val="28"/>
          <w:szCs w:val="28"/>
        </w:rPr>
        <w:t xml:space="preserve"> convegni da remoto.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È stato organizzato un ciclo di lezioni, in materia di diritto amministrativo, diritto penale e diritto civile, al quale sono stati ammessi i tirocinanti del Consiglio di Stato e dei TAR.</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settore News offre dal 2016 un tempestivo e approfondito aggiornamento giurisprudenziale, commentando tutte le ordinanze di remissione dei giudici amministrativi alla Corte costituzionale, alla Corte di Giustizia e le ordinanze del Consiglio di Stato di remissione alla Plenaria, nonché le sentenze frutto delle riferite remissioni e le più importanti pronunce delle giurisdizioni superiori.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Nell’anno 2020 si è aggiunto un nuovo prodotto informativo semestrale, denominato “Echi d’Europa”, ove è possibile leggere un breve </w:t>
      </w:r>
      <w:r w:rsidRPr="005E10A1">
        <w:rPr>
          <w:rFonts w:ascii="Garamond" w:hAnsi="Garamond" w:cs="Times New Roman"/>
          <w:i/>
          <w:color w:val="000000"/>
          <w:sz w:val="28"/>
          <w:szCs w:val="28"/>
        </w:rPr>
        <w:t>abstract</w:t>
      </w:r>
      <w:r w:rsidRPr="005E10A1">
        <w:rPr>
          <w:rFonts w:ascii="Garamond" w:hAnsi="Garamond" w:cs="Times New Roman"/>
          <w:color w:val="000000"/>
          <w:sz w:val="28"/>
          <w:szCs w:val="28"/>
        </w:rPr>
        <w:t xml:space="preserve"> delle ordinanze di remissione alla Corte di giustizia UE di giudici europei, grazie al protocollo d’intesa che l’Ufficio Studi ha concluso con il Dipartimento delle Politiche Europee.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Quanto al settore internazionale, centrale nella formazione e nello scambio di conoscenze e di competenze dei magistrati europei si è rivelata l’attività dell’EJTN (</w:t>
      </w:r>
      <w:r w:rsidRPr="005E10A1">
        <w:rPr>
          <w:rFonts w:ascii="Garamond" w:hAnsi="Garamond" w:cs="Times New Roman"/>
          <w:i/>
          <w:color w:val="000000"/>
          <w:sz w:val="28"/>
          <w:szCs w:val="28"/>
        </w:rPr>
        <w:t>European Judicial training network</w:t>
      </w:r>
      <w:r w:rsidRPr="005E10A1">
        <w:rPr>
          <w:rFonts w:ascii="Garamond" w:hAnsi="Garamond" w:cs="Times New Roman"/>
          <w:color w:val="000000"/>
          <w:sz w:val="28"/>
          <w:szCs w:val="28"/>
        </w:rPr>
        <w:t xml:space="preserv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 2020 è proseguita l’attività di contatto, di studi e approfondimenti legata alla partecipazione alla Rete europea dei consigli giudiziari (o organi di autogoverno della magistratura), cui partecipa il nostro Consiglio di Presidenza, che ha contribuito alla recente nomina quale presidente del rappresentante del CSM.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Se la crisi sanitaria non ha consentito al Consiglio di Stato di assumere quest’anno la presidenza dell’ACA, è andato però avanti il gruppo di lavoro sul portale </w:t>
      </w:r>
      <w:r w:rsidRPr="005E10A1">
        <w:rPr>
          <w:rFonts w:ascii="Garamond" w:hAnsi="Garamond" w:cs="Times New Roman"/>
          <w:i/>
          <w:color w:val="000000"/>
          <w:sz w:val="28"/>
          <w:szCs w:val="28"/>
        </w:rPr>
        <w:t>Jurifast</w:t>
      </w:r>
      <w:r w:rsidRPr="005E10A1">
        <w:rPr>
          <w:rFonts w:ascii="Garamond" w:hAnsi="Garamond" w:cs="Times New Roman"/>
          <w:color w:val="000000"/>
          <w:sz w:val="28"/>
          <w:szCs w:val="28"/>
        </w:rPr>
        <w:t xml:space="preserve">, cui partecipa un componente dell’Ufficio Studi, che ha approvato un nuovo format per l'inserimento delle pronunce del Consiglio di Stato nel database. Soprattutto, si è proceduto all’alimentazione del suddetto portale con sentenze italiane, anche con il coinvolgimento, per colmare pregresse lacune, di altri magistrati dell’Ufficio, oltre al referente. </w:t>
      </w:r>
    </w:p>
    <w:p w:rsidR="00013B21" w:rsidRPr="005E10A1" w:rsidRDefault="00013B21" w:rsidP="00216CDA">
      <w:pPr>
        <w:widowControl w:val="0"/>
        <w:spacing w:after="120" w:line="240" w:lineRule="auto"/>
        <w:jc w:val="both"/>
        <w:rPr>
          <w:rFonts w:ascii="Garamond" w:hAnsi="Garamond" w:cs="Times New Roman"/>
          <w:color w:val="000000"/>
          <w:sz w:val="20"/>
          <w:szCs w:val="20"/>
        </w:rPr>
      </w:pPr>
    </w:p>
    <w:p w:rsidR="00D846E4" w:rsidRPr="005E10A1" w:rsidRDefault="00D846E4" w:rsidP="00240B55">
      <w:pPr>
        <w:pStyle w:val="Titolo2"/>
      </w:pPr>
      <w:bookmarkStart w:id="54" w:name="_Toc63071659"/>
      <w:bookmarkStart w:id="55" w:name="_Toc63074299"/>
      <w:r w:rsidRPr="005E10A1">
        <w:t>5. Il governo autonomo della giustizia amministrativa</w:t>
      </w:r>
      <w:bookmarkEnd w:id="54"/>
      <w:bookmarkEnd w:id="55"/>
      <w:r w:rsidRPr="005E10A1">
        <w:t xml:space="preserve"> </w:t>
      </w:r>
    </w:p>
    <w:p w:rsidR="00D846E4" w:rsidRPr="005E10A1" w:rsidRDefault="00D846E4" w:rsidP="00216CDA">
      <w:pPr>
        <w:widowControl w:val="0"/>
        <w:spacing w:after="120" w:line="360" w:lineRule="auto"/>
        <w:jc w:val="both"/>
        <w:rPr>
          <w:rFonts w:ascii="Garamond" w:hAnsi="Garamond" w:cs="Times New Roman"/>
          <w:sz w:val="28"/>
          <w:szCs w:val="28"/>
        </w:rPr>
      </w:pPr>
      <w:r w:rsidRPr="005E10A1">
        <w:rPr>
          <w:rFonts w:ascii="Garamond" w:hAnsi="Garamond" w:cs="Times New Roman"/>
          <w:sz w:val="28"/>
          <w:szCs w:val="28"/>
        </w:rPr>
        <w:t xml:space="preserve">Anche il Consiglio di Presidenza della Giustizia amministrativa, nel corso del 2020, si è trovato ad affrontare il difficile momento causato dall’emergenza sanitaria. </w:t>
      </w:r>
    </w:p>
    <w:p w:rsidR="00D669F6" w:rsidRPr="00D669F6" w:rsidRDefault="00D846E4" w:rsidP="00D669F6">
      <w:pPr>
        <w:widowControl w:val="0"/>
        <w:spacing w:after="120" w:line="360" w:lineRule="auto"/>
        <w:jc w:val="both"/>
        <w:rPr>
          <w:rFonts w:ascii="Garamond" w:hAnsi="Garamond" w:cs="Times New Roman"/>
          <w:sz w:val="28"/>
          <w:szCs w:val="28"/>
        </w:rPr>
      </w:pPr>
      <w:r w:rsidRPr="00D669F6">
        <w:rPr>
          <w:rFonts w:ascii="Garamond" w:hAnsi="Garamond" w:cs="Times New Roman"/>
          <w:sz w:val="28"/>
          <w:szCs w:val="28"/>
        </w:rPr>
        <w:t>La piena sinergia tra l’Organo di autogoverno e il Segretariato generale ha consentito di approvare le nuove “Regole tecnico-operative del processo amministrativo telematico”,</w:t>
      </w:r>
      <w:r w:rsidR="00262E73" w:rsidRPr="00D669F6">
        <w:rPr>
          <w:rFonts w:ascii="Garamond" w:hAnsi="Garamond" w:cs="Times New Roman"/>
          <w:sz w:val="28"/>
          <w:szCs w:val="28"/>
        </w:rPr>
        <w:t xml:space="preserve"> </w:t>
      </w:r>
    </w:p>
    <w:p w:rsidR="00D669F6" w:rsidRDefault="00D846E4" w:rsidP="00D669F6">
      <w:pPr>
        <w:widowControl w:val="0"/>
        <w:spacing w:after="120" w:line="360" w:lineRule="auto"/>
        <w:jc w:val="both"/>
        <w:rPr>
          <w:rFonts w:ascii="Garamond" w:hAnsi="Garamond" w:cs="Times New Roman"/>
          <w:sz w:val="28"/>
          <w:szCs w:val="28"/>
        </w:rPr>
      </w:pPr>
      <w:r w:rsidRPr="00D669F6">
        <w:rPr>
          <w:rFonts w:ascii="Garamond" w:hAnsi="Garamond" w:cs="Times New Roman"/>
          <w:sz w:val="28"/>
          <w:szCs w:val="28"/>
        </w:rPr>
        <w:t xml:space="preserve">nonché di novellare il Regolamento di autonomia finanziaria e quello di organizzazione del 2018,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L’Organo di autogoverno ha continuato ad operare nella consapevolezza della prevalenza della funzione giurisdizionale e consultiva rispetto allo svolgimento (eventuale) di incarichi extraistituzionali da parte dei magistrati amministrativi, in ordine ai quali è stato assicurato il rispetto degli obblighi imposti dalla normativa interna.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Consiglio di Presidenza ha, fin dal suo insediamento, fissato tra gli obiettivi prioritari quello della riforma del procedimento disciplinare, </w:t>
      </w:r>
      <w:r w:rsidR="00D669F6">
        <w:rPr>
          <w:rFonts w:ascii="Garamond" w:hAnsi="Garamond" w:cs="Times New Roman"/>
          <w:color w:val="000000"/>
          <w:sz w:val="28"/>
          <w:szCs w:val="28"/>
        </w:rPr>
        <w:t>auspicando la</w:t>
      </w:r>
      <w:r w:rsidRPr="005E10A1">
        <w:rPr>
          <w:rFonts w:ascii="Garamond" w:hAnsi="Garamond" w:cs="Times New Roman"/>
          <w:color w:val="000000"/>
          <w:sz w:val="28"/>
          <w:szCs w:val="28"/>
        </w:rPr>
        <w:t xml:space="preserve"> modifica dell’attuale normativa, per assicurarne un tempestivo svolgimento, pur nell’ovvio rispetto dei canoni di garanzia.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Infine, il Consiglio di Presidenza, ormai da qualche anno, ha reso strutturale l’attività di monitoraggio delle funzioni magistratuali (con particolare riferimento al rispetto del termine di deposito dei provvedimenti in sede giurisdizionale e consultiva) non solo nell’ottica del controllo, ma soprattutto del rafforzamento degli obiettivi di tempestività e di efficienza della risposta di giustizia. </w:t>
      </w:r>
    </w:p>
    <w:p w:rsidR="00441970" w:rsidRPr="005E10A1" w:rsidRDefault="00441970">
      <w:pPr>
        <w:spacing w:line="259" w:lineRule="auto"/>
        <w:rPr>
          <w:rFonts w:ascii="Garamond" w:hAnsi="Garamond"/>
          <w:b/>
          <w:smallCaps/>
          <w:color w:val="000000"/>
          <w:sz w:val="32"/>
          <w:szCs w:val="32"/>
        </w:rPr>
      </w:pPr>
      <w:r w:rsidRPr="005E10A1">
        <w:rPr>
          <w:rFonts w:ascii="Garamond" w:hAnsi="Garamond"/>
        </w:rPr>
        <w:br w:type="page"/>
      </w:r>
    </w:p>
    <w:p w:rsidR="00D846E4" w:rsidRPr="005E10A1" w:rsidRDefault="00441970" w:rsidP="00240B55">
      <w:pPr>
        <w:pStyle w:val="Titolo1"/>
      </w:pPr>
      <w:bookmarkStart w:id="56" w:name="_Toc63071660"/>
      <w:bookmarkStart w:id="57" w:name="_Toc63074300"/>
      <w:r w:rsidRPr="005E10A1">
        <w:t>C</w:t>
      </w:r>
      <w:r w:rsidR="00D846E4" w:rsidRPr="005E10A1">
        <w:t>onclusioni</w:t>
      </w:r>
      <w:bookmarkEnd w:id="56"/>
      <w:bookmarkEnd w:id="57"/>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È tempo di concludere.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Amartya Sen ci ricorda che “</w:t>
      </w:r>
      <w:r w:rsidRPr="005E10A1">
        <w:rPr>
          <w:rFonts w:ascii="Garamond" w:hAnsi="Garamond" w:cs="Times New Roman"/>
          <w:i/>
          <w:color w:val="000000"/>
          <w:sz w:val="28"/>
          <w:szCs w:val="28"/>
        </w:rPr>
        <w:t>Justice is ultimately connected with the way people’s lives go</w:t>
      </w:r>
      <w:r w:rsidRPr="005E10A1">
        <w:rPr>
          <w:rFonts w:ascii="Garamond" w:hAnsi="Garamond" w:cs="Times New Roman"/>
          <w:color w:val="000000"/>
          <w:sz w:val="28"/>
          <w:szCs w:val="28"/>
        </w:rPr>
        <w:t>”</w:t>
      </w:r>
      <w:r w:rsidRPr="005E10A1">
        <w:rPr>
          <w:rStyle w:val="Rimandonotaapidipagina"/>
          <w:rFonts w:ascii="Garamond" w:hAnsi="Garamond" w:cs="Times New Roman"/>
          <w:color w:val="000000"/>
          <w:sz w:val="28"/>
          <w:szCs w:val="28"/>
        </w:rPr>
        <w:footnoteReference w:id="6"/>
      </w:r>
      <w:r w:rsidRPr="005E10A1">
        <w:rPr>
          <w:rFonts w:ascii="Garamond" w:hAnsi="Garamond" w:cs="Times New Roman"/>
          <w:color w:val="000000"/>
          <w:sz w:val="28"/>
          <w:szCs w:val="28"/>
        </w:rPr>
        <w:t xml:space="preserve"> (La giustizia è in ultima analisi legata a come vanno le vite delle persone). Mai come quest’anno, in cui le vite di tutti sono state sconvolte, ci accorgiamo dell’importanza di questa chiave di lettura per riflettere sull’anno concluso e guardare a quello che si apre.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A cosa bisogna ispirarsi oggi per guardare al futuro, per averne “visione”?</w:t>
      </w:r>
    </w:p>
    <w:p w:rsidR="00D846E4" w:rsidRPr="005E10A1" w:rsidRDefault="00D846E4" w:rsidP="00D669F6">
      <w:pPr>
        <w:spacing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Se il diritto e la giustizia, sono fatti per le persone, </w:t>
      </w:r>
      <w:r w:rsidR="00D669F6">
        <w:rPr>
          <w:rFonts w:ascii="Garamond" w:hAnsi="Garamond" w:cs="Times New Roman"/>
          <w:color w:val="000000"/>
          <w:sz w:val="28"/>
          <w:szCs w:val="28"/>
        </w:rPr>
        <w:t>far parte di una comunità ci assegna</w:t>
      </w:r>
      <w:r w:rsidRPr="005E10A1">
        <w:rPr>
          <w:rFonts w:ascii="Garamond" w:hAnsi="Garamond" w:cs="Times New Roman"/>
          <w:color w:val="000000"/>
          <w:sz w:val="28"/>
          <w:szCs w:val="28"/>
        </w:rPr>
        <w:t xml:space="preserve"> “diritti inviolabili” e “doveri inderogabili”, legati dal collante della solidarietà. La solidarietà, intesa come bene collettivo, rende possibile la dignità, intesa come bene individuale, personale, ma richiede comportamenti responsabili come fondamento della comunità, come patto che lega i consociati. Una responsabilità</w:t>
      </w:r>
      <w:r w:rsidRPr="005E10A1">
        <w:rPr>
          <w:rFonts w:ascii="Garamond" w:hAnsi="Garamond" w:cs="Times New Roman"/>
          <w:color w:val="000000"/>
          <w:sz w:val="20"/>
          <w:szCs w:val="28"/>
        </w:rPr>
        <w:t xml:space="preserve"> </w:t>
      </w:r>
      <w:r w:rsidRPr="005E10A1">
        <w:rPr>
          <w:rFonts w:ascii="Garamond" w:hAnsi="Garamond" w:cs="Times New Roman"/>
          <w:color w:val="000000"/>
          <w:sz w:val="28"/>
          <w:szCs w:val="28"/>
        </w:rPr>
        <w:t>intesa come “</w:t>
      </w:r>
      <w:r w:rsidR="009A463C" w:rsidRPr="009A463C">
        <w:rPr>
          <w:rFonts w:ascii="Garamond" w:hAnsi="Garamond" w:cs="Times New Roman"/>
          <w:sz w:val="28"/>
          <w:szCs w:val="28"/>
        </w:rPr>
        <w:t>ε</w:t>
      </w:r>
      <w:r w:rsidR="009A463C" w:rsidRPr="009A463C">
        <w:rPr>
          <w:rFonts w:ascii="Times New Roman" w:hAnsi="Times New Roman" w:cs="Times New Roman"/>
          <w:sz w:val="28"/>
          <w:szCs w:val="28"/>
        </w:rPr>
        <w:t>ὔ</w:t>
      </w:r>
      <w:r w:rsidR="009A463C" w:rsidRPr="009A463C">
        <w:rPr>
          <w:rFonts w:ascii="Garamond" w:hAnsi="Garamond" w:cs="Times New Roman"/>
          <w:sz w:val="28"/>
          <w:szCs w:val="28"/>
        </w:rPr>
        <w:t>θυνα</w:t>
      </w:r>
      <w:r w:rsidR="009A463C">
        <w:rPr>
          <w:rFonts w:ascii="Garamond" w:hAnsi="Garamond"/>
          <w:sz w:val="28"/>
          <w:szCs w:val="28"/>
        </w:rPr>
        <w:t>”</w:t>
      </w:r>
      <w:r w:rsidRPr="005E10A1">
        <w:rPr>
          <w:rFonts w:ascii="Garamond" w:hAnsi="Garamond" w:cs="Times New Roman"/>
          <w:color w:val="000000"/>
          <w:sz w:val="28"/>
          <w:szCs w:val="28"/>
        </w:rPr>
        <w:t>, il “dar conto”, che - come ci insegna Erodoto</w:t>
      </w:r>
      <w:r w:rsidRPr="005E10A1">
        <w:rPr>
          <w:rStyle w:val="Rimandonotaapidipagina"/>
          <w:rFonts w:ascii="Garamond" w:hAnsi="Garamond" w:cs="Times New Roman"/>
          <w:color w:val="000000"/>
          <w:sz w:val="28"/>
          <w:szCs w:val="28"/>
        </w:rPr>
        <w:footnoteReference w:id="7"/>
      </w:r>
      <w:r w:rsidRPr="005E10A1">
        <w:rPr>
          <w:rFonts w:ascii="Garamond" w:hAnsi="Garamond" w:cs="Times New Roman"/>
          <w:color w:val="000000"/>
          <w:sz w:val="28"/>
          <w:szCs w:val="28"/>
        </w:rPr>
        <w:t xml:space="preserve">- riguarda in primo luogo le magistrature.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La pandemia ci lascerà, e già ci sta lasciando, il dovere di concentrarci su settori-chiave per un nuovo sviluppo sostenibile: ambiente, </w:t>
      </w:r>
      <w:r w:rsidRPr="005E10A1">
        <w:rPr>
          <w:rFonts w:ascii="Garamond" w:hAnsi="Garamond" w:cs="Times New Roman"/>
          <w:i/>
          <w:color w:val="000000"/>
          <w:sz w:val="28"/>
          <w:szCs w:val="28"/>
        </w:rPr>
        <w:t>welfare</w:t>
      </w:r>
      <w:r w:rsidRPr="005E10A1">
        <w:rPr>
          <w:rFonts w:ascii="Garamond" w:hAnsi="Garamond" w:cs="Times New Roman"/>
          <w:color w:val="000000"/>
          <w:sz w:val="28"/>
          <w:szCs w:val="28"/>
        </w:rPr>
        <w:t xml:space="preserve">, innovazione, infrastrutture, istruzione, sanità, tra loro tenuti insieme da quell’infrastruttura immateriale costituita da una rete del sentire in comune, frutto di una sorta di </w:t>
      </w:r>
      <w:r w:rsidRPr="005E10A1">
        <w:rPr>
          <w:rFonts w:ascii="Garamond" w:hAnsi="Garamond" w:cs="Times New Roman"/>
          <w:i/>
          <w:color w:val="000000"/>
          <w:sz w:val="28"/>
          <w:szCs w:val="28"/>
        </w:rPr>
        <w:t>translatio</w:t>
      </w:r>
      <w:r w:rsidRPr="005E10A1">
        <w:rPr>
          <w:rFonts w:ascii="Garamond" w:hAnsi="Garamond" w:cs="Times New Roman"/>
          <w:color w:val="000000"/>
          <w:sz w:val="28"/>
          <w:szCs w:val="28"/>
        </w:rPr>
        <w:t xml:space="preserve"> dell’etica individuale nell’etica collettiva. La sfera privata e quella pubblica si fondono nello Stato-comunità in cui tutti sono chiamati a dare il proprio contributo per colmare le disuguaglianze sociali ed economiche acuite dalla pandemia.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“L’epidemia è una faccenda di ciascuno e ciascuno deve compiere il proprio dovere”</w:t>
      </w:r>
      <w:r w:rsidRPr="005E10A1">
        <w:rPr>
          <w:rStyle w:val="Rimandonotaapidipagina"/>
          <w:rFonts w:ascii="Garamond" w:hAnsi="Garamond" w:cs="Times New Roman"/>
          <w:color w:val="000000"/>
          <w:sz w:val="28"/>
          <w:szCs w:val="28"/>
        </w:rPr>
        <w:footnoteReference w:id="8"/>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iCs/>
          <w:color w:val="000000"/>
          <w:sz w:val="28"/>
          <w:szCs w:val="28"/>
        </w:rPr>
      </w:pPr>
      <w:r w:rsidRPr="005E10A1">
        <w:rPr>
          <w:rFonts w:ascii="Garamond" w:hAnsi="Garamond" w:cs="Times New Roman"/>
          <w:color w:val="000000"/>
          <w:sz w:val="28"/>
          <w:szCs w:val="28"/>
        </w:rPr>
        <w:t xml:space="preserve">Il “servizio-giustizia” assume il ruolo di garanzia della corretta attuazione di questo nuovo scenario nel quadro della Costituzione italiana e del processo costituente europeo. E i settori che ho appena enumerato sono ambiti di giurisdizione amministrativa, nei quali si muovono servizi pubblici, beni (pubblici e collettivi), coesione socio-territoriale, libertà fondamentali, veri fattori competitivi per l’Italia e l’Europa. </w:t>
      </w:r>
      <w:r w:rsidRPr="005E10A1">
        <w:rPr>
          <w:rFonts w:ascii="Garamond" w:hAnsi="Garamond" w:cs="Times New Roman"/>
          <w:iCs/>
          <w:color w:val="000000"/>
          <w:sz w:val="28"/>
          <w:szCs w:val="28"/>
        </w:rPr>
        <w:t xml:space="preserve">La giurisprudenza di questi tempi ci ha mostrato “sul campo” - se ancora ve ne fosse bisogno - come libertà e diritti fondamentali possano richiedere tutela anche dinanzi al giudice amministrativo, tutte le volte che queste situazioni soggettive si trovino di fronte all’esercizio di un potere pubblico. </w:t>
      </w:r>
    </w:p>
    <w:p w:rsidR="00D846E4" w:rsidRPr="005E10A1" w:rsidRDefault="00D846E4" w:rsidP="00216CDA">
      <w:pPr>
        <w:widowControl w:val="0"/>
        <w:spacing w:after="120" w:line="360" w:lineRule="auto"/>
        <w:jc w:val="both"/>
        <w:rPr>
          <w:rFonts w:ascii="Garamond" w:hAnsi="Garamond" w:cs="Times New Roman"/>
          <w:iCs/>
          <w:color w:val="000000"/>
          <w:sz w:val="28"/>
          <w:szCs w:val="28"/>
        </w:rPr>
      </w:pPr>
      <w:r w:rsidRPr="005E10A1">
        <w:rPr>
          <w:rFonts w:ascii="Garamond" w:hAnsi="Garamond" w:cs="Times New Roman"/>
          <w:iCs/>
          <w:color w:val="000000"/>
          <w:sz w:val="28"/>
          <w:szCs w:val="28"/>
        </w:rPr>
        <w:t>E il giudice amministrativo non è né un’arma che talvolta sento brandire da un’istituzione contro un’altra, né, all’opposto, qualcosa da abolire: è la garanzia del corretto bilanciamento tra diritti individuali e collettivi ed è colui che chiamato a supplire al fallimento della leale cooperazione tra istituzioni</w:t>
      </w:r>
      <w:r w:rsidR="00D669F6">
        <w:rPr>
          <w:rFonts w:ascii="Garamond" w:hAnsi="Garamond" w:cs="Times New Roman"/>
          <w:iCs/>
          <w:color w:val="000000"/>
          <w:sz w:val="28"/>
          <w:szCs w:val="28"/>
        </w:rPr>
        <w:t xml:space="preserve"> (come è avvenuto, per esempio, per la scuola)</w:t>
      </w:r>
      <w:r w:rsidRPr="005E10A1">
        <w:rPr>
          <w:rFonts w:ascii="Garamond" w:hAnsi="Garamond" w:cs="Times New Roman"/>
          <w:iCs/>
          <w:color w:val="000000"/>
          <w:sz w:val="28"/>
          <w:szCs w:val="28"/>
        </w:rPr>
        <w:t>; ma si tratta di una supplenza temporanea, perché è solo con la leale collaborazione tra istituzioni che si rinsalda lo spirito di una comunità.</w:t>
      </w:r>
    </w:p>
    <w:p w:rsidR="00D846E4" w:rsidRPr="005E10A1" w:rsidRDefault="00D846E4" w:rsidP="00216CDA">
      <w:pPr>
        <w:widowControl w:val="0"/>
        <w:spacing w:after="120" w:line="360" w:lineRule="auto"/>
        <w:jc w:val="both"/>
        <w:rPr>
          <w:rFonts w:ascii="Garamond" w:hAnsi="Garamond" w:cs="Times New Roman"/>
          <w:iCs/>
          <w:color w:val="000000"/>
          <w:sz w:val="28"/>
          <w:szCs w:val="28"/>
        </w:rPr>
      </w:pPr>
      <w:r w:rsidRPr="005E10A1">
        <w:rPr>
          <w:rFonts w:ascii="Garamond" w:hAnsi="Garamond" w:cs="Times New Roman"/>
          <w:iCs/>
          <w:color w:val="000000"/>
          <w:sz w:val="28"/>
          <w:szCs w:val="28"/>
        </w:rPr>
        <w:t xml:space="preserve">Il “sistema” delle nostre Corti </w:t>
      </w:r>
      <w:r w:rsidRPr="005E10A1">
        <w:rPr>
          <w:rFonts w:ascii="Times New Roman" w:hAnsi="Times New Roman" w:cs="Times New Roman"/>
          <w:iCs/>
          <w:color w:val="000000"/>
          <w:sz w:val="28"/>
          <w:szCs w:val="28"/>
        </w:rPr>
        <w:t>‒</w:t>
      </w:r>
      <w:r w:rsidRPr="005E10A1">
        <w:rPr>
          <w:rFonts w:ascii="Garamond" w:hAnsi="Garamond" w:cs="Times New Roman"/>
          <w:iCs/>
          <w:color w:val="000000"/>
          <w:sz w:val="28"/>
          <w:szCs w:val="28"/>
        </w:rPr>
        <w:t xml:space="preserve"> e la rete delle Corti nazionali e sovranazionali </w:t>
      </w:r>
      <w:r w:rsidRPr="005E10A1">
        <w:rPr>
          <w:rFonts w:ascii="Times New Roman" w:hAnsi="Times New Roman" w:cs="Times New Roman"/>
          <w:iCs/>
          <w:color w:val="000000"/>
          <w:sz w:val="28"/>
          <w:szCs w:val="28"/>
        </w:rPr>
        <w:t>‒</w:t>
      </w:r>
      <w:r w:rsidRPr="005E10A1">
        <w:rPr>
          <w:rFonts w:ascii="Garamond" w:hAnsi="Garamond" w:cs="Times New Roman"/>
          <w:iCs/>
          <w:color w:val="000000"/>
          <w:sz w:val="28"/>
          <w:szCs w:val="28"/>
        </w:rPr>
        <w:t xml:space="preserve"> potrà assicurare una costante protezione dei diritti individuali ma anche di quelli della collettività se saprà muoversi nella logica coordinata e cooperativa di assicurare la miglior tutela e non in una logica rivendicazionista di auto-attribuzione di “potere”.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Il nostro sistema di doppia giurisdizione, in oltre un secolo di vita, si è rivelato in grado di assicurare un’ampia copertura e un progressivo riconoscimento di situazioni soggettive tutelabili nei confronti del potere.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E in questo percorso la Corte di Cassazione, fin dagli albori del secolo scorso, è stata decisiva nel riconoscere il ruolo della giurisdizione amministrativa, perché si è sempre mossa in un’ottica di estensione delle tutele.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eastAsia="Times New Roman" w:hAnsi="Garamond" w:cs="Times New Roman"/>
          <w:sz w:val="28"/>
          <w:szCs w:val="28"/>
          <w:lang w:eastAsia="it-IT"/>
        </w:rPr>
        <w:t xml:space="preserve">Il pluralismo giurisdizionale - e delle istituzioni in genere - </w:t>
      </w:r>
      <w:r w:rsidRPr="005E10A1">
        <w:rPr>
          <w:rFonts w:ascii="Garamond" w:hAnsi="Garamond" w:cs="Times New Roman"/>
          <w:color w:val="000000"/>
          <w:sz w:val="28"/>
          <w:szCs w:val="28"/>
        </w:rPr>
        <w:t xml:space="preserve">è un valore che va preservato, ma richiede, per non degenerare in conflitti, equilibrio e competenze capaci di governare la complessità. Mi sembra purtroppo estranea a un contesto improntato al dialogo cooperativo tra le Corti, per modi e per contenuti, la recente ordinanza di rinvio pregiudiziale alla Corte di giustizia, nella quale le Sezioni unite, smentendo anche la propria giurisprudenza, demandano alla Corte sovranazionale europea la questione di compatibilità comunitaria di un articolo della nostra Costituzione e di una sentenza della nostra Corte costituzionale, mirando a una radicale modifica </w:t>
      </w:r>
      <w:r w:rsidRPr="005E10A1">
        <w:rPr>
          <w:rFonts w:ascii="Garamond" w:hAnsi="Garamond" w:cs="Times New Roman"/>
          <w:i/>
          <w:color w:val="000000"/>
          <w:sz w:val="28"/>
          <w:szCs w:val="28"/>
        </w:rPr>
        <w:t>extra ordinem</w:t>
      </w:r>
      <w:r w:rsidRPr="005E10A1">
        <w:rPr>
          <w:rFonts w:ascii="Garamond" w:hAnsi="Garamond" w:cs="Times New Roman"/>
          <w:color w:val="000000"/>
          <w:sz w:val="28"/>
          <w:szCs w:val="28"/>
        </w:rPr>
        <w:t xml:space="preserve"> dell’assetto costituzionale della giurisdizione, quale stratificatosi in più di 130 anni.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Sono peraltro confidente nel fatto che, al di là della richiamata parentesi, il Consiglio di Stato e la Corte di cassazione sapranno continuare a confrontarsi nella ricerca di sempre nuove forme di garanzia per i cittadini, secondo quella logica di coordinamento e sistematicità delle tutele cui prima si è fatto cenno e che va avanti ormai da decenni, nella doverosa ricerca di un linguaggio e di un modello etico comuni alle giurisdizioni.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Quest’anno ricorre il 190° anniversario dell’istituzione del Consiglio di Stato, che 132 anni fa assunse le funzioni giurisdizionali nell’Italia unificata, e il 50° anniversario dell’istituzione dei Tribunali amministrativi regionali. Il sistema della giurisdizione amministrativa delineato dal Costituente si è profondamente trasformato, nel seguire le trasformazioni del potere pubblico: da un giudice che tutela le libertà e i diritti dei cittadini nei confronti di un potere pubblico in espansione a un giudice che garantisce, in più, le prestazioni che gli individui e le imprese pretendono dai poteri pubblici, sempre più erogatori di servizi, in uno Stato sociale e solidaristico.</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Tre spunti di riflessione e un impegno vorrei in conclusione, Signor Presidente, richiamare.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Il primo. La pandemia ha catapultato anche i giudici nell’era della tecnologia e dobbiamo saperci stare: il processo telematico si è dimostrato un potente e flessibile strumento gestionale, funzionale sia alle esigenze di lavoro a distanza, sia al miglior andamento delle udienze. Esso merita un maggiore investimento in termini di attenzione e di risorse – risorse che si sta cercando di ricomprendere nei settori di investimento del </w:t>
      </w:r>
      <w:r w:rsidRPr="005E10A1">
        <w:rPr>
          <w:rFonts w:ascii="Garamond" w:hAnsi="Garamond" w:cs="Times New Roman"/>
          <w:i/>
          <w:color w:val="000000"/>
          <w:sz w:val="28"/>
          <w:szCs w:val="28"/>
        </w:rPr>
        <w:t>Recovery Plan</w:t>
      </w:r>
      <w:r w:rsidRPr="005E10A1">
        <w:rPr>
          <w:rFonts w:ascii="Garamond" w:hAnsi="Garamond" w:cs="Times New Roman"/>
          <w:color w:val="000000"/>
          <w:sz w:val="28"/>
          <w:szCs w:val="28"/>
        </w:rPr>
        <w:t xml:space="preserve"> – in modo da sfruttarne appieno le potenzialità, al contempo cogliendo le opportunità che la repentina evoluzione tecnologica offre anche sul versante della cd. intelligenza artificiale e della ricerca statistica, ambiti nei quali la giustizia amministrativa può assumere un ruolo pilota. Se l’intelligenza artificiale applicata alle decisioni amministrative risponde a esigenze di celerità e, in ultima analisi, di imparzialità dell’azione amministrativa, senza che quest’ultima in tal modo possa sottrarsi al sindacato del giudice e tradursi in una minor tutela delle persone (come di recente ribadito da Cons. St., sez. VI, 4 febbraio 2020, n. 881), l’intelligenza artificiale applicata al processo, potrà, se ben governata, incrementare certezza e prevedibilità delle sentenze, senza peraltro potersi tradurre in una cristallizzazione della giurisprudenza nel tempo (perché è proprio della giurisprudenza, nel quadro fornito dalla legge, adeguare il diritto alle esigenze di contesto concreto), in quanto i connotati della coscienza umana costituirebbero comunque uno scoglio insormontabile per l’intelligenza artificiale</w:t>
      </w:r>
      <w:r w:rsidRPr="005E10A1">
        <w:rPr>
          <w:rStyle w:val="Rimandonotaapidipagina"/>
          <w:rFonts w:ascii="Garamond" w:hAnsi="Garamond" w:cs="Times New Roman"/>
          <w:color w:val="000000"/>
          <w:sz w:val="28"/>
          <w:szCs w:val="28"/>
        </w:rPr>
        <w:footnoteReference w:id="9"/>
      </w:r>
      <w:r w:rsidRPr="005E10A1">
        <w:rPr>
          <w:rFonts w:ascii="Garamond" w:hAnsi="Garamond" w:cs="Times New Roman"/>
          <w:color w:val="000000"/>
          <w:sz w:val="28"/>
          <w:szCs w:val="28"/>
        </w:rPr>
        <w:t>.</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Il secondo. L’impegno della magistratura amministrativa deve consistere in primo luogo nella consapevolezza del giudicare. Come è stato osservato da un autorevole filosofo del diritto</w:t>
      </w:r>
      <w:r w:rsidRPr="005E10A1">
        <w:rPr>
          <w:rFonts w:ascii="Garamond" w:hAnsi="Garamond" w:cs="Times New Roman"/>
          <w:color w:val="000000"/>
          <w:sz w:val="28"/>
          <w:szCs w:val="28"/>
          <w:vertAlign w:val="superscript"/>
        </w:rPr>
        <w:footnoteReference w:id="10"/>
      </w:r>
      <w:r w:rsidRPr="005E10A1">
        <w:rPr>
          <w:rFonts w:ascii="Garamond" w:hAnsi="Garamond" w:cs="Times New Roman"/>
          <w:color w:val="000000"/>
          <w:sz w:val="28"/>
          <w:szCs w:val="28"/>
        </w:rPr>
        <w:t>, le massime deontologiche del giudice sono: “la consapevolezza del carattere sempre relativo ed incerto della verità processuale, la prudenza nel giudizio, la disponibilità all’ascolto di tutte le diverse e opposte ragioni”. In una, direi, l’arte del dubbio nella consapevolezza del dover decidere.</w:t>
      </w:r>
      <w:r w:rsidRPr="005E10A1">
        <w:rPr>
          <w:rStyle w:val="Rimandonotaapidipagina"/>
          <w:rFonts w:ascii="Garamond" w:hAnsi="Garamond" w:cs="Times New Roman"/>
          <w:color w:val="000000"/>
          <w:sz w:val="28"/>
          <w:szCs w:val="28"/>
        </w:rPr>
        <w:footnoteReference w:id="11"/>
      </w:r>
      <w:r w:rsidRPr="005E10A1">
        <w:rPr>
          <w:rFonts w:ascii="Garamond" w:hAnsi="Garamond" w:cs="Times New Roman"/>
          <w:color w:val="000000"/>
          <w:sz w:val="28"/>
          <w:szCs w:val="28"/>
        </w:rPr>
        <w:t xml:space="preserve"> E aggiungerei: competenza come dovere professionale e non come giustificazione per la rivendicazione di privilegi; rispetto per l’istituzione cui si appartiene, per i colleghi e per il Foro, ma, prima ancora, responsabilità per la posizione che quell’appartenenza ci attribuisce nella società.</w:t>
      </w:r>
    </w:p>
    <w:p w:rsidR="005A7A2E"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In questo contesto, ancora una volta, il profilo di una pronta reazione disciplinare a comportamenti illeciti che possono sempre annidarsi in ogni corpo sociale assume una rilevanza centrale per un’etica di corpo, che voglia proporsi non certo come etica corporativa, che sarebbe un ossimoro, bensì come etica dell’istituzione che voglia aprirsi alla comunità dinanzi alla quale è responsabile. Un’etica del corpo magistratuale che appartenga a ciascuno e a tutti, che sia frutto di competenza e di comportamenti corretti, che rinvenga la chiusura del sistema nel giusto procedimento disciplinare condotto dall’organo di autogoverno - e, quando previsto, comprensivo dell’apporto consultivo dell’Adunanza generale -, sottoposto ovviamente al sindacato del giudice a garanzia dei diritti dell’incolpato. La reazione sul piano disciplinare è un dovere dell’organo di autogoverno nei confronti dei cittadini e sapremo assolvervi</w:t>
      </w:r>
      <w:r w:rsidR="00EE5AB5">
        <w:rPr>
          <w:rFonts w:ascii="Garamond" w:hAnsi="Garamond" w:cs="Times New Roman"/>
          <w:color w:val="000000"/>
          <w:sz w:val="28"/>
          <w:szCs w:val="28"/>
        </w:rPr>
        <w:t xml:space="preserve">, sempre con serenità, </w:t>
      </w:r>
      <w:r w:rsidR="005A7A2E">
        <w:rPr>
          <w:rFonts w:ascii="Garamond" w:hAnsi="Garamond" w:cs="Times New Roman"/>
          <w:color w:val="000000"/>
          <w:sz w:val="28"/>
          <w:szCs w:val="28"/>
        </w:rPr>
        <w:t>ma anche con fermezza e determinazione.</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E nella evidente difficoltà di addivenire a una riforma legislativa organica del sistema disciplinare, segnalo ancora tre aspetti “minimali” quanto oramai ineludibili: previsione di una sanzione disciplinare intermedia tra destituzione e perdita dell’anzianità; </w:t>
      </w:r>
      <w:r w:rsidR="00EE5AB5">
        <w:rPr>
          <w:rFonts w:ascii="Garamond" w:hAnsi="Garamond" w:cs="Times New Roman"/>
          <w:color w:val="000000"/>
          <w:sz w:val="28"/>
          <w:szCs w:val="28"/>
        </w:rPr>
        <w:t xml:space="preserve">rimodulazione temporale </w:t>
      </w:r>
      <w:r w:rsidRPr="005E10A1">
        <w:rPr>
          <w:rFonts w:ascii="Garamond" w:hAnsi="Garamond" w:cs="Times New Roman"/>
          <w:color w:val="000000"/>
          <w:sz w:val="28"/>
          <w:szCs w:val="28"/>
        </w:rPr>
        <w:t>del parere conforme dell’Adunanza generale</w:t>
      </w:r>
      <w:r w:rsidR="00EE5AB5">
        <w:rPr>
          <w:rFonts w:ascii="Garamond" w:hAnsi="Garamond" w:cs="Times New Roman"/>
          <w:color w:val="000000"/>
          <w:sz w:val="28"/>
          <w:szCs w:val="28"/>
        </w:rPr>
        <w:t xml:space="preserve"> nei casi di sospensione cautelare</w:t>
      </w:r>
      <w:r w:rsidRPr="005E10A1">
        <w:rPr>
          <w:rFonts w:ascii="Garamond" w:hAnsi="Garamond" w:cs="Times New Roman"/>
          <w:color w:val="000000"/>
          <w:sz w:val="28"/>
          <w:szCs w:val="28"/>
        </w:rPr>
        <w:t>; l’attribuzione di poteri istruttori, anche ispettivi.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E siamo alla terza riflessione. La ripresa dalla crisi sanitaria richiederà priorità nelle scelte politiche, nella speranza che si tratti di scelte lungimiranti capaci di una visione per il futuro delle prossime generazioni. Bisogna saper leggere la contemporaneità guardando al futuro, perché possa davvero venire il “tempo dei costruttori” da Lei invocato, signor Presidente. Prima o poi occorrerà anche ripensare l’assetto della giustizia amministrativa e la sua collocazione in una società che si spera avrà subìto una profonda trasformazione. Si dovrà trattare di riforme strutturali capaci di avvicinare ancor più la giustizia ai territori, in alcune materie, e ad accentuare l’immediatezza del sindacato in altre, assicurando di regola due gradi di giudizio, in corrispondenza di quella che sarà l’allocazione, si spera più chiara, dei poteri pubblici ai diversi livelli di governo. E la comparazione con i modelli europei ci suggerisce orgoglio per il grado di apertura e di effettività delle nostre tutele</w:t>
      </w:r>
      <w:r w:rsidR="0030518A">
        <w:rPr>
          <w:rFonts w:ascii="Garamond" w:hAnsi="Garamond" w:cs="Times New Roman"/>
          <w:color w:val="000000"/>
          <w:sz w:val="28"/>
          <w:szCs w:val="28"/>
        </w:rPr>
        <w:t>,</w:t>
      </w:r>
      <w:r w:rsidRPr="005E10A1">
        <w:rPr>
          <w:rFonts w:ascii="Garamond" w:hAnsi="Garamond" w:cs="Times New Roman"/>
          <w:color w:val="000000"/>
          <w:sz w:val="28"/>
          <w:szCs w:val="28"/>
        </w:rPr>
        <w:t xml:space="preserve"> ma consapevolezza delle insufficienze nei tempi di ancora troppi processi e nell’applicazione dei criteri di riparto tra giurisdizioni.</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 xml:space="preserve">Nel frattempo il nostro Consiglio di Stato - nel sistema complessivo della giustizia amministrativa tutta - continuerà a svolgere il proprio ruolo, insieme alle altre Corti, nel processo costituente europeo. </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Sarà nostro impegno fare in modo che si avvicinino sempre più l’idea di giustizia, la percezione della giustizia e la sua effettiva manifestazione. Il senso di ingiustizia diffusamente percepito non deve essere rifiutato come un’offesa, che induca per giunta a un arroccamento difensivo e autoreferenziale, ma accolto come uno stimolo prezioso per offrire un servizio migliore e ancor più celere. Perché il diritto è utile se serve a fini pratici, cioè per regolare una società nel momento in cui la regola viene applicata.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sz w:val="28"/>
          <w:szCs w:val="28"/>
        </w:rPr>
        <w:t>Un grande poeta austriaco del Novecento, Rainer M.Rilke, ci ammonisce sul senso del limite dell’essere umano</w:t>
      </w:r>
      <w:r w:rsidRPr="005E10A1">
        <w:rPr>
          <w:rStyle w:val="Rimandonotaapidipagina"/>
          <w:rFonts w:ascii="Garamond" w:hAnsi="Garamond" w:cs="Times New Roman"/>
          <w:sz w:val="28"/>
          <w:szCs w:val="28"/>
        </w:rPr>
        <w:footnoteReference w:id="12"/>
      </w:r>
      <w:r w:rsidRPr="005E10A1">
        <w:rPr>
          <w:rFonts w:ascii="Garamond" w:hAnsi="Garamond" w:cs="Times New Roman"/>
          <w:sz w:val="28"/>
          <w:szCs w:val="28"/>
        </w:rPr>
        <w:t>. Se noi opereremo tutti con questo senso del limite e della relatività delle vicende umane, ma sorretti da una spinta interiore alla giustizia, tutti insieme costruiremo un mondo più sostenibile, meno ingiusto. Una società “</w:t>
      </w:r>
      <w:r w:rsidRPr="005E10A1">
        <w:rPr>
          <w:rFonts w:ascii="Garamond" w:hAnsi="Garamond" w:cs="Times New Roman"/>
          <w:i/>
          <w:iCs/>
          <w:sz w:val="28"/>
          <w:szCs w:val="28"/>
        </w:rPr>
        <w:t>decent</w:t>
      </w:r>
      <w:r w:rsidRPr="005E10A1">
        <w:rPr>
          <w:rFonts w:ascii="Garamond" w:hAnsi="Garamond" w:cs="Times New Roman"/>
          <w:sz w:val="28"/>
          <w:szCs w:val="28"/>
        </w:rPr>
        <w:t>”, direi civile e dignitosa.</w:t>
      </w:r>
    </w:p>
    <w:p w:rsidR="00D846E4" w:rsidRPr="005E10A1" w:rsidRDefault="00D846E4" w:rsidP="00216CDA">
      <w:pPr>
        <w:widowControl w:val="0"/>
        <w:spacing w:after="120" w:line="360" w:lineRule="auto"/>
        <w:jc w:val="both"/>
        <w:rPr>
          <w:rFonts w:ascii="Garamond" w:hAnsi="Garamond" w:cs="Times New Roman"/>
          <w:color w:val="000000"/>
          <w:sz w:val="28"/>
          <w:szCs w:val="28"/>
        </w:rPr>
      </w:pPr>
      <w:r w:rsidRPr="005E10A1">
        <w:rPr>
          <w:rFonts w:ascii="Garamond" w:hAnsi="Garamond" w:cs="Times New Roman"/>
          <w:color w:val="000000"/>
          <w:sz w:val="28"/>
          <w:szCs w:val="28"/>
        </w:rPr>
        <w:t>Della consapevolezza di questo impegno in tutti i magistrati amministrativi, Signor Presidente, sia certo.</w:t>
      </w:r>
    </w:p>
    <w:p w:rsidR="000346AF" w:rsidRPr="005E10A1" w:rsidRDefault="000346AF" w:rsidP="00441970">
      <w:pPr>
        <w:widowControl w:val="0"/>
        <w:spacing w:after="120" w:line="360" w:lineRule="auto"/>
        <w:jc w:val="both"/>
        <w:rPr>
          <w:rFonts w:ascii="Garamond" w:hAnsi="Garamond" w:cs="Times New Roman"/>
          <w:sz w:val="28"/>
          <w:szCs w:val="28"/>
        </w:rPr>
        <w:sectPr w:rsidR="000346AF" w:rsidRPr="005E10A1" w:rsidSect="009732A4">
          <w:pgSz w:w="11906" w:h="16838" w:code="9"/>
          <w:pgMar w:top="1418" w:right="1134" w:bottom="1134" w:left="1134" w:header="709" w:footer="709" w:gutter="0"/>
          <w:cols w:space="708"/>
          <w:docGrid w:linePitch="360"/>
        </w:sectPr>
      </w:pPr>
    </w:p>
    <w:p w:rsidR="009732A4" w:rsidRPr="009732A4" w:rsidRDefault="009732A4" w:rsidP="009732A4">
      <w:pPr>
        <w:pStyle w:val="Titolo1"/>
        <w:rPr>
          <w:sz w:val="28"/>
          <w:szCs w:val="28"/>
        </w:rPr>
      </w:pPr>
      <w:bookmarkStart w:id="58" w:name="_Toc63071661"/>
      <w:bookmarkStart w:id="59" w:name="_Toc63074301"/>
      <w:r w:rsidRPr="009732A4">
        <w:rPr>
          <w:sz w:val="28"/>
          <w:szCs w:val="28"/>
        </w:rPr>
        <w:t>Intervento dell’Avvocato Generale dello Stato</w:t>
      </w:r>
      <w:bookmarkEnd w:id="58"/>
      <w:bookmarkEnd w:id="59"/>
    </w:p>
    <w:p w:rsidR="009732A4" w:rsidRPr="00187154" w:rsidRDefault="009732A4" w:rsidP="00187154">
      <w:pPr>
        <w:jc w:val="center"/>
        <w:rPr>
          <w:rFonts w:ascii="Garamond" w:hAnsi="Garamond" w:cs="Times New Roman"/>
          <w:b/>
          <w:smallCaps/>
          <w:color w:val="000000"/>
          <w:sz w:val="28"/>
          <w:szCs w:val="28"/>
        </w:rPr>
      </w:pPr>
      <w:bookmarkStart w:id="60" w:name="_Toc63071662"/>
      <w:bookmarkStart w:id="61" w:name="_Toc63071700"/>
      <w:r w:rsidRPr="00187154">
        <w:rPr>
          <w:rFonts w:ascii="Garamond" w:hAnsi="Garamond" w:cs="Times New Roman"/>
          <w:b/>
          <w:smallCaps/>
          <w:color w:val="000000"/>
          <w:sz w:val="28"/>
          <w:szCs w:val="28"/>
        </w:rPr>
        <w:t>Avv. Gabriella Palmieri Sandulli</w:t>
      </w:r>
      <w:bookmarkEnd w:id="60"/>
      <w:bookmarkEnd w:id="61"/>
    </w:p>
    <w:p w:rsidR="009732A4" w:rsidRDefault="009732A4" w:rsidP="009732A4">
      <w:pPr>
        <w:widowControl w:val="0"/>
        <w:spacing w:after="0" w:line="360" w:lineRule="auto"/>
        <w:ind w:left="284"/>
        <w:jc w:val="center"/>
        <w:rPr>
          <w:rFonts w:ascii="Times New Roman" w:hAnsi="Times New Roman"/>
          <w:b/>
          <w:sz w:val="32"/>
          <w:szCs w:val="32"/>
        </w:rPr>
      </w:pPr>
    </w:p>
    <w:p w:rsidR="00A23059"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 xml:space="preserve">Signor Presidente della Repubblica, Autorità, Signor Presidente del Consiglio di Stato, Signor Presidente Aggiunto (del Consiglio di Stato), </w:t>
      </w:r>
    </w:p>
    <w:p w:rsidR="00A23059"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sono onorata di prendere, per la seconda volta, la parola in questa Cerimonia per portare il saluto dell’Istituto che ho l’alto onore di dirigere e per ribadire che il mio intervento testimonia lo spirito di leale collaborazione che da sempre connota il rapporto con il Giudice amministrativo.</w:t>
      </w:r>
    </w:p>
    <w:p w:rsidR="00A23059"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L’attività dell’Avvocatura dello Stato si svolge in misura rilevantissima proprio dinanzi alla Magistratura amministrativa, sia nello svolgimento dell’attività strettamente giurisdizionale, nella quale si esprime la sua missione istituzionale, sia in altri settori di natura organizzativa, collaterali, ma non meno importanti e che sono, anzi, divenuti, nell’anno appena trascorso, decisivi.</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Nel corso dell’anno 2020, infatti, non solo si è continuato a implementare e migliorare gli strumenti del processo telematico già in uso, ma il costante raccordo con la Giustizia Amministrativa, nell’ambito della tradizionale e consolidata reciproca collaborazione istituzionale, della quale ringrazio Lei, Signor Presidente, e tutti i Magistrati e il Personale amministrativo, ha rappresentato l’occasione per attribuire a tale collaborazione una valenza ancora più significativa.</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 xml:space="preserve">Essa è stata, infatti, la chiave di volta per affrontare in modo proficuo l’emergenza epidemiologica. Dal confronto sui provvedimenti normativi dettati per lo svolgimento delle udienze da remoto sono emerse soluzioni condivise poi tradotte in Protocolli operativi, sperimentando con successo, grazie alla Sua volontà, Signor Presidente e a quelli di tutti i Magistrati del plesso TT.AA.RR. – Consiglio di Stato, il dialogo costruttivo con gli Avvocati come metodo da non circoscrivere temporalmente alla fase emergenziale. </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In linea di continuità con quanto da Lei affermato in occasione della Cerimonia del Suo insediamento e della Relazione sull’attività della giustizia amministrativa per l’anno 2019, ritenendo la proficua collaborazione tra Magistratura e Avvocatura funzionale all’espletamento delle funzioni giurisdizionali in chiave di efficienza, di imparzialità, di equidistanza e di affidabilità.</w:t>
      </w:r>
    </w:p>
    <w:p w:rsidR="009732A4" w:rsidRPr="007A56C8" w:rsidRDefault="009732A4" w:rsidP="00A23059">
      <w:pPr>
        <w:widowControl w:val="0"/>
        <w:spacing w:after="0" w:line="360" w:lineRule="auto"/>
        <w:ind w:right="-852"/>
        <w:jc w:val="center"/>
        <w:rPr>
          <w:rFonts w:ascii="Garamond" w:hAnsi="Garamond" w:cs="Times New Roman"/>
          <w:color w:val="000000"/>
          <w:sz w:val="28"/>
          <w:szCs w:val="28"/>
        </w:rPr>
      </w:pPr>
      <w:r w:rsidRPr="007A56C8">
        <w:rPr>
          <w:rFonts w:ascii="Garamond" w:hAnsi="Garamond" w:cs="Times New Roman"/>
          <w:color w:val="000000"/>
          <w:sz w:val="28"/>
          <w:szCs w:val="28"/>
        </w:rPr>
        <w:t>*</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 xml:space="preserve">Dal 2017, anno di introduzione del processo amministrativo telematico, a oggi, l’Avvocatura dello Stato ha eseguito oltre 251mila depositi telematici di cui circa 70.000 nel solo anno 2020, con un incremento percentuale pari allo 0,66, significativo in una contingenza temporale, quale quella pandemica, caratterizzata, invece, da una generale flessione del contenzioso.  </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Nel 2017 i depositi telematici riguardavano, per espressa previsione normativa, solo i giudizi introdotti a partire dal primo gennaio di quell'anno, mentre dal 2018 l'obbligo è stato esteso anche ai giudizi sorti precedentemente e, pertanto, da quella data la variazione numerica dei depositi telematici è diventata anche indice di variazione del volume del contenzioso.</w:t>
      </w:r>
    </w:p>
    <w:p w:rsidR="009732A4" w:rsidRPr="007A56C8" w:rsidRDefault="009732A4" w:rsidP="00A23059">
      <w:pPr>
        <w:pStyle w:val="Paragrafoelenco"/>
        <w:widowControl w:val="0"/>
        <w:spacing w:after="0" w:line="360" w:lineRule="auto"/>
        <w:ind w:left="0" w:right="-852"/>
        <w:jc w:val="both"/>
        <w:rPr>
          <w:rFonts w:ascii="Garamond" w:hAnsi="Garamond" w:cs="Times New Roman"/>
          <w:color w:val="000000"/>
          <w:sz w:val="28"/>
          <w:szCs w:val="28"/>
        </w:rPr>
      </w:pPr>
      <w:r w:rsidRPr="007A56C8">
        <w:rPr>
          <w:rFonts w:ascii="Garamond" w:hAnsi="Garamond" w:cs="Times New Roman"/>
          <w:color w:val="000000"/>
          <w:sz w:val="28"/>
          <w:szCs w:val="28"/>
        </w:rPr>
        <w:t>Dai predetti dati numerici risulta l’intensità dell’impegno dell’Avvocatura dello Stato e si accompagna la considerazione circa l’importanza e la centralità degli ambiti e delle materie che vedono quotidianamente impegnato l’Istituto davanti al Giudice Amministrativo.</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 xml:space="preserve"> In particolare, rimandando alla più ampia disamina che sarà contenuta nella Relazione annuale sul contenzioso dell’Avvocatura dello Stato che presenteremo nei prossimi mesi, ripristinando una delle più significative tradizioni dell’Istituto e con la brevità dettata dalla sobrietà di questa Cerimonia, va ricordato il peculiare contenzioso fra Stato e Regioni nella delicata materia riguardante le modalità di gestione dell’emergenza epidemiologica. Contenzioso, sia in sede cautelare, sia in sede di merito, funzionale alla corretta individuazione degli ambiti di rispettiva competenza nell’adozione delle misure volte al contenimento dell’emergenza da COVID-19 e che è culminato nel giudizio pendente in Corte costituzionale, su ricorso ex art. 127 Cost. avverso la legge della regione Valle d’Aosta n. 11/20, deciso in fase cautelare con la storica ordinanza n. 4/2021, che ha riconosciuto la competenza esclusiva dello Stato ex art. 117, comma 2, lett. q), Cost., nella materia della profilassi internazionale e la necessità di una gestione unitaria a livello nazionale della pandemia.</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L’impegno dell’Avvocatura dello Stato è continuato con la stessa intensità anche nelle altre delicate tematiche in materia di immigrazione, nelle questioni di natura più squisitamente economica, in tema di concorrenza, di regolazione dei settori della comunicazione, nelle controversie in materia di opere pubbliche, anche grazie all’impegno costante degli Avvocati e Procuratori dello Stato e del Personale amministrativo, che hanno consentito con il loro impegno e la piena collaborazione di trasformare l’emergenza in una opportunità per accelerare la digitalizzazione e la dematerializzazione in un’ottica di efficienza e di efficacia dell’attività di difesa.</w:t>
      </w:r>
    </w:p>
    <w:p w:rsidR="009732A4" w:rsidRPr="007A56C8" w:rsidRDefault="009732A4" w:rsidP="00A23059">
      <w:pPr>
        <w:pStyle w:val="Paragrafoelenco"/>
        <w:widowControl w:val="0"/>
        <w:spacing w:after="0" w:line="360" w:lineRule="auto"/>
        <w:ind w:left="0" w:right="-852"/>
        <w:jc w:val="center"/>
        <w:rPr>
          <w:rFonts w:ascii="Garamond" w:hAnsi="Garamond" w:cs="Times New Roman"/>
          <w:color w:val="000000"/>
          <w:sz w:val="28"/>
          <w:szCs w:val="28"/>
        </w:rPr>
      </w:pPr>
      <w:r w:rsidRPr="007A56C8">
        <w:rPr>
          <w:rFonts w:ascii="Garamond" w:hAnsi="Garamond" w:cs="Times New Roman"/>
          <w:color w:val="000000"/>
          <w:sz w:val="28"/>
          <w:szCs w:val="28"/>
        </w:rPr>
        <w:t>*</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Come è continuato senza soste l’impegno innanzi alle giurisdizioni sovranazionali, Corte di giustizia e Tribunale della Ue e CEDU, essendo sempre viva la necessità di confrontarsi con la normativa europea e la tutela uniforme dei diritti che essa impone agli Stati Membri, ancora più decisive nell’attuale fase emergenziale.</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 xml:space="preserve">In questo delicato compito le Sezioni giurisdizionali e consultive del Consiglio di Stato hanno continuato a svolgere un importante ruolo di indirizzo; essendo, peraltro, i giudizi che si svolgono davanti ad esso, quale giudice di ultima istanza, la sede nella quale sono proposti la maggior parte dei rinvii pregiudiziali in Corte di giustizia che provengono dall’Italia. </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L’importanza del rinvio pregiudiziale, strumento di cooperazione “da giudice a giudice”, è stata spesso sottolineata dalla stessa Corte di giustizia come “chiave di volta” del sistema giurisdizionale della Ue.</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È proprio nel meccanismo del rinvio pregiudiziale che si enfatizza lo stretto e necessario legame collaborativo tra il Consiglio di Stato e l’Avvocatura dello Stato, che già presente (a monte) nei giudizi nazionali a quo, è chiamata a rappresentare le ragioni del Governo italiano anche innanzi alla Corte di giustizia, per poi, (a valle), a rappresentarne gli esiti e le conseguenze alla ripresa del giudizio dinnanzi al giudice nazionale. Un circuito virtuoso dunque.</w:t>
      </w:r>
    </w:p>
    <w:p w:rsidR="009732A4" w:rsidRPr="007A56C8" w:rsidRDefault="009732A4" w:rsidP="00A23059">
      <w:pPr>
        <w:widowControl w:val="0"/>
        <w:spacing w:after="0" w:line="360" w:lineRule="auto"/>
        <w:ind w:right="-852"/>
        <w:jc w:val="center"/>
        <w:rPr>
          <w:rFonts w:ascii="Garamond" w:hAnsi="Garamond" w:cs="Times New Roman"/>
          <w:color w:val="000000"/>
          <w:sz w:val="28"/>
          <w:szCs w:val="28"/>
        </w:rPr>
      </w:pPr>
      <w:r w:rsidRPr="007A56C8">
        <w:rPr>
          <w:rFonts w:ascii="Garamond" w:hAnsi="Garamond" w:cs="Times New Roman"/>
          <w:color w:val="000000"/>
          <w:sz w:val="28"/>
          <w:szCs w:val="28"/>
        </w:rPr>
        <w:t>*</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 xml:space="preserve">L’attenzione del Consiglio di Stato si è rivolta anche alle nuove e delicate questioni che l’evoluzione tecnologica porta all’attenzione degli operatori del diritto: i moderni strumenti di comunicazione ed elaborazione dei dati, l’intelligenza artificiale, contemplata anche nel nostro progetto Avvocatura 2020, e l’utilizzo dell’algoritmo nell’ambito di un procedimento amministrativo al fine di valutarne la legittimità. </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In linea con tale evoluzione l’Avvocatura dello Stato ha chiesto uno stanziamento specifico nell’ambito del Recovery Fund per l’implementazione dei modelli di intelligenza artificiale e per la predisposizione di una banca dati professionale avanzata con i dati relativi alle precedenti difese svolte per assicurare, da un lato, una più efficace collaborazione con le Amministrazioni difese; e, dall’altro, per ottimizzare la strategia processuale, con l’uso di algoritmi predittivi e di tecniche di machine learning per conseguire la migliore strategia giudiziaria a partire dai dati, anche in chiave deflattiva del contenzioso.</w:t>
      </w:r>
    </w:p>
    <w:p w:rsidR="009732A4" w:rsidRPr="007A56C8" w:rsidRDefault="009732A4" w:rsidP="00A23059">
      <w:pPr>
        <w:widowControl w:val="0"/>
        <w:spacing w:after="0" w:line="360" w:lineRule="auto"/>
        <w:ind w:right="-852"/>
        <w:jc w:val="center"/>
        <w:rPr>
          <w:rFonts w:ascii="Garamond" w:hAnsi="Garamond" w:cs="Times New Roman"/>
          <w:color w:val="000000"/>
          <w:sz w:val="28"/>
          <w:szCs w:val="28"/>
        </w:rPr>
      </w:pPr>
      <w:r w:rsidRPr="007A56C8">
        <w:rPr>
          <w:rFonts w:ascii="Garamond" w:hAnsi="Garamond" w:cs="Times New Roman"/>
          <w:color w:val="000000"/>
          <w:sz w:val="28"/>
          <w:szCs w:val="28"/>
        </w:rPr>
        <w:t>*</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r w:rsidRPr="007A56C8">
        <w:rPr>
          <w:rFonts w:ascii="Garamond" w:hAnsi="Garamond" w:cs="Times New Roman"/>
          <w:color w:val="000000"/>
          <w:sz w:val="28"/>
          <w:szCs w:val="28"/>
        </w:rPr>
        <w:t>Concludo questo mio intervento confermando che l’Avvocatura dello Stato e tutti i suoi Componenti continueranno a profondere il massimo impegno nello svolgimento degli importanti compiti loro assegnati e per essere all’altezza della fiducia riposta in loro.</w:t>
      </w:r>
    </w:p>
    <w:p w:rsidR="009732A4" w:rsidRPr="007A56C8" w:rsidRDefault="009732A4" w:rsidP="00A23059">
      <w:pPr>
        <w:widowControl w:val="0"/>
        <w:spacing w:after="0" w:line="360" w:lineRule="auto"/>
        <w:ind w:right="-852"/>
        <w:jc w:val="both"/>
        <w:rPr>
          <w:rFonts w:ascii="Garamond" w:hAnsi="Garamond" w:cs="Times New Roman"/>
          <w:color w:val="000000"/>
          <w:sz w:val="28"/>
          <w:szCs w:val="28"/>
        </w:rPr>
      </w:pPr>
    </w:p>
    <w:p w:rsidR="009732A4" w:rsidRDefault="009732A4" w:rsidP="00A23059">
      <w:pPr>
        <w:widowControl w:val="0"/>
        <w:spacing w:after="0" w:line="360" w:lineRule="auto"/>
        <w:ind w:right="-852"/>
        <w:jc w:val="both"/>
        <w:rPr>
          <w:rFonts w:ascii="Times New Roman" w:hAnsi="Times New Roman"/>
          <w:bCs/>
          <w:sz w:val="28"/>
          <w:szCs w:val="28"/>
        </w:rPr>
      </w:pPr>
      <w:r w:rsidRPr="007A56C8">
        <w:rPr>
          <w:rFonts w:ascii="Garamond" w:hAnsi="Garamond" w:cs="Times New Roman"/>
          <w:color w:val="000000"/>
          <w:sz w:val="28"/>
          <w:szCs w:val="28"/>
        </w:rPr>
        <w:t>Grazie per l’attenzione.</w:t>
      </w:r>
      <w:r>
        <w:rPr>
          <w:rFonts w:ascii="Times New Roman" w:hAnsi="Times New Roman"/>
          <w:bCs/>
          <w:sz w:val="28"/>
          <w:szCs w:val="28"/>
        </w:rPr>
        <w:br w:type="page"/>
      </w:r>
    </w:p>
    <w:p w:rsidR="00230C53" w:rsidRDefault="00230C53">
      <w:pPr>
        <w:spacing w:line="259" w:lineRule="auto"/>
        <w:rPr>
          <w:rFonts w:ascii="Times New Roman" w:hAnsi="Times New Roman"/>
          <w:bCs/>
          <w:sz w:val="28"/>
          <w:szCs w:val="28"/>
        </w:rPr>
      </w:pPr>
    </w:p>
    <w:p w:rsidR="0098283F" w:rsidRDefault="009732A4" w:rsidP="0098283F">
      <w:pPr>
        <w:pStyle w:val="Titolo1"/>
        <w:rPr>
          <w:sz w:val="28"/>
          <w:szCs w:val="28"/>
        </w:rPr>
      </w:pPr>
      <w:bookmarkStart w:id="62" w:name="_Toc63074302"/>
      <w:bookmarkStart w:id="63" w:name="_Toc63071663"/>
      <w:r w:rsidRPr="009732A4">
        <w:rPr>
          <w:sz w:val="28"/>
          <w:szCs w:val="28"/>
        </w:rPr>
        <w:t>Intervento del Presidente f</w:t>
      </w:r>
      <w:r w:rsidR="0098283F">
        <w:rPr>
          <w:sz w:val="28"/>
          <w:szCs w:val="28"/>
        </w:rPr>
        <w:t>.f. del</w:t>
      </w:r>
      <w:bookmarkEnd w:id="62"/>
    </w:p>
    <w:p w:rsidR="009732A4" w:rsidRPr="009732A4" w:rsidRDefault="009732A4" w:rsidP="0098283F">
      <w:pPr>
        <w:pStyle w:val="Titolo1"/>
        <w:rPr>
          <w:sz w:val="28"/>
          <w:szCs w:val="28"/>
        </w:rPr>
      </w:pPr>
      <w:bookmarkStart w:id="64" w:name="_Toc63074303"/>
      <w:r w:rsidRPr="009732A4">
        <w:rPr>
          <w:sz w:val="28"/>
          <w:szCs w:val="28"/>
        </w:rPr>
        <w:t>Consiglio Nazionale Forense</w:t>
      </w:r>
      <w:bookmarkEnd w:id="63"/>
      <w:bookmarkEnd w:id="64"/>
    </w:p>
    <w:p w:rsidR="009732A4" w:rsidRPr="00187154" w:rsidRDefault="009732A4" w:rsidP="00187154">
      <w:pPr>
        <w:ind w:firstLine="284"/>
        <w:jc w:val="center"/>
        <w:rPr>
          <w:rFonts w:ascii="Garamond" w:hAnsi="Garamond" w:cs="Times New Roman"/>
          <w:b/>
          <w:smallCaps/>
          <w:color w:val="000000"/>
          <w:sz w:val="28"/>
          <w:szCs w:val="28"/>
        </w:rPr>
      </w:pPr>
      <w:bookmarkStart w:id="65" w:name="_Toc63071664"/>
      <w:bookmarkStart w:id="66" w:name="_Toc63071702"/>
      <w:r w:rsidRPr="00187154">
        <w:rPr>
          <w:rFonts w:ascii="Garamond" w:hAnsi="Garamond" w:cs="Times New Roman"/>
          <w:b/>
          <w:smallCaps/>
          <w:color w:val="000000"/>
          <w:sz w:val="28"/>
          <w:szCs w:val="28"/>
        </w:rPr>
        <w:t>Avv. Maria Masi</w:t>
      </w:r>
      <w:bookmarkEnd w:id="65"/>
      <w:bookmarkEnd w:id="66"/>
    </w:p>
    <w:p w:rsidR="009732A4" w:rsidRDefault="009732A4" w:rsidP="009732A4">
      <w:pPr>
        <w:widowControl w:val="0"/>
        <w:spacing w:after="0" w:line="360" w:lineRule="auto"/>
        <w:ind w:firstLine="284"/>
        <w:jc w:val="both"/>
        <w:rPr>
          <w:sz w:val="30"/>
          <w:szCs w:val="30"/>
        </w:rPr>
      </w:pPr>
    </w:p>
    <w:p w:rsidR="00230C53" w:rsidRDefault="009732A4" w:rsidP="00ED7531">
      <w:pPr>
        <w:widowControl w:val="0"/>
        <w:spacing w:after="0" w:line="360" w:lineRule="auto"/>
        <w:ind w:right="-850" w:firstLine="284"/>
        <w:jc w:val="both"/>
        <w:rPr>
          <w:rFonts w:ascii="Garamond" w:hAnsi="Garamond" w:cs="Bookman Old Style"/>
          <w:i/>
          <w:iCs/>
          <w:sz w:val="28"/>
          <w:szCs w:val="28"/>
        </w:rPr>
      </w:pPr>
      <w:r w:rsidRPr="009732A4">
        <w:rPr>
          <w:rFonts w:ascii="Garamond" w:hAnsi="Garamond" w:cs="Bookman Old Style"/>
          <w:i/>
          <w:iCs/>
          <w:sz w:val="28"/>
          <w:szCs w:val="28"/>
        </w:rPr>
        <w:t xml:space="preserve">Signor Presidente della Repubblica, </w:t>
      </w:r>
    </w:p>
    <w:p w:rsidR="00ED7531" w:rsidRDefault="009732A4" w:rsidP="00ED7531">
      <w:pPr>
        <w:widowControl w:val="0"/>
        <w:spacing w:after="0" w:line="360" w:lineRule="auto"/>
        <w:ind w:right="-850" w:firstLine="284"/>
        <w:jc w:val="both"/>
        <w:rPr>
          <w:rFonts w:ascii="Garamond" w:hAnsi="Garamond" w:cs="Bookman Old Style"/>
          <w:i/>
          <w:iCs/>
          <w:sz w:val="28"/>
          <w:szCs w:val="28"/>
        </w:rPr>
      </w:pPr>
      <w:r w:rsidRPr="009732A4">
        <w:rPr>
          <w:rFonts w:ascii="Garamond" w:hAnsi="Garamond" w:cs="Bookman Old Style"/>
          <w:i/>
          <w:iCs/>
          <w:sz w:val="28"/>
          <w:szCs w:val="28"/>
        </w:rPr>
        <w:t xml:space="preserve">Signor Presidente del Consiglio di Stato, </w:t>
      </w:r>
    </w:p>
    <w:p w:rsidR="00ED7531" w:rsidRDefault="009732A4" w:rsidP="00ED7531">
      <w:pPr>
        <w:widowControl w:val="0"/>
        <w:spacing w:after="0" w:line="360" w:lineRule="auto"/>
        <w:ind w:right="-850" w:firstLine="284"/>
        <w:jc w:val="both"/>
        <w:rPr>
          <w:rFonts w:ascii="Garamond" w:hAnsi="Garamond" w:cs="Bookman Old Style"/>
          <w:i/>
          <w:iCs/>
          <w:sz w:val="28"/>
          <w:szCs w:val="28"/>
        </w:rPr>
      </w:pPr>
      <w:r w:rsidRPr="009732A4">
        <w:rPr>
          <w:rFonts w:ascii="Garamond" w:hAnsi="Garamond" w:cs="Bookman Old Style"/>
          <w:i/>
          <w:iCs/>
          <w:sz w:val="28"/>
          <w:szCs w:val="28"/>
        </w:rPr>
        <w:t xml:space="preserve">Autorità Tutte, </w:t>
      </w:r>
    </w:p>
    <w:p w:rsidR="00ED7531" w:rsidRDefault="009732A4" w:rsidP="00ED7531">
      <w:pPr>
        <w:widowControl w:val="0"/>
        <w:spacing w:after="0" w:line="360" w:lineRule="auto"/>
        <w:ind w:right="-850" w:firstLine="284"/>
        <w:jc w:val="both"/>
        <w:rPr>
          <w:rFonts w:ascii="Garamond" w:hAnsi="Garamond" w:cs="Bookman Old Style"/>
          <w:i/>
          <w:iCs/>
          <w:sz w:val="28"/>
          <w:szCs w:val="28"/>
        </w:rPr>
      </w:pPr>
      <w:r w:rsidRPr="009732A4">
        <w:rPr>
          <w:rFonts w:ascii="Garamond" w:hAnsi="Garamond" w:cs="Bookman Old Style"/>
          <w:i/>
          <w:iCs/>
          <w:sz w:val="28"/>
          <w:szCs w:val="28"/>
        </w:rPr>
        <w:t xml:space="preserve">Consigliere e Consiglieri, Colleghe e Colleghi, </w:t>
      </w:r>
    </w:p>
    <w:p w:rsidR="00ED7531" w:rsidRDefault="009732A4" w:rsidP="00ED7531">
      <w:pPr>
        <w:widowControl w:val="0"/>
        <w:spacing w:after="0" w:line="360" w:lineRule="auto"/>
        <w:ind w:right="-850"/>
        <w:jc w:val="both"/>
        <w:rPr>
          <w:rFonts w:ascii="Garamond" w:hAnsi="Garamond"/>
          <w:sz w:val="28"/>
          <w:szCs w:val="28"/>
        </w:rPr>
      </w:pPr>
      <w:r w:rsidRPr="009732A4">
        <w:rPr>
          <w:rFonts w:ascii="Garamond" w:hAnsi="Garamond"/>
          <w:sz w:val="28"/>
          <w:szCs w:val="28"/>
        </w:rPr>
        <w:t xml:space="preserve">ringrazio il Presidente Patroni Griffi per l’invito soprattutto perché conferma un coinvolgimento reale e una condivisione sostanziale, dettati dalla consapevolezza del ruolo complementare e come tale necessario dell’Avvocatura, anche nella e per la giurisdizione amministrativa. La Giustizia amministrativa delinea il perimetro della tutela dei diritti di cittadine e cittadini nei confronti dello Stato. Tutela che, mai come nel corso dell’anno appena compiuto e purtroppo si teme, anche per quello in corso, si è resa particolarmente necessaria, oltre che urgente, in conseguenza della situazione di emergenza, generata dalla diffusione dell’epidemia, che ha complicato il già fragile equilibrio tra i rapporti civili, etico sociali, economici. L’invocato necessario bilanciamento tra libertà di circolazione, di riunione, diritto allo studio e al lavoro con il diritto alla salute ha posto il problema, altrettanto serio, dell’effettività e dell’efficacia della tutela giurisdizionale. Pur senza entrare nel merito dei provvedimenti o meglio dell’efficacia degli strumenti, adottati per conseguire gli obiettivi dettati dall’emergenza, non si può negare il rischio dell'alterazione dei principi che informano la gerarchia delle fonti e la separazione dei poteri. L'intervenuta legislazione emergenziale dei decreti e delle ordinanze, è stata percepita dai cittadini come un'eccessiva quanto ingiustificata forma di controllo piuttosto che come necessaria forma di tutela. Tanti, quindi, gli ostacoli rinvenuti in questa circostanza e certamente ancora pochi, rispetto alle esigenze palesate, quelli rimossi per ripristinare, in senso proprio, il principio di legalità. Ciò ha senza dubbio influenzato negativamente il rapporto di fiducia tra Stato e cittadino, il quale è indotto a recepire, come di fatto spesso recepisce, la giustizia, un ulteriore ostacolo all’esercizio dei diritti, piuttosto che tutela degli stessi. Essenziale, invece, come sempre, più di sempre, la funzione anche riequilibratrice della giustizia amministrativa, il cui accesso, a maggior ragione, deve essere garantito a tutti, anche sotto il profilo economico. Attualmente gli oneri contributivi sono ancora molto alti, a discapito dei cittadini più deboli che, spesso, nonostante la consapevolezza di aver subito un’ingiustizia rinunciano, per questioni economiche, alla tutela giudiziaria. Rinuncia che in questo particolare momento storico corre il rischio di assumere il significato di una resa acuita dalla distanza tra la richiesta del cittadino e la risposta o il silenzio della pubblica amministrazione e quindi dello Stato. Il diritto a chiedere giustizia, ancor prima del diritto a ottenerla, non può considerarsi avulso dal principio di eguaglianza sostanziale tra i cittadini che si esplica anche nell’assicurare pari opportunità di accesso alla tutela giurisdizionale. A proposito di tutela giurisdizionale, voglio sottolineare, anche in questa occasione, la costante e attenta interlocuzione tra Avvocatura e Consiglio di Stato, informata ad un proficuo spirito di collaborazione, nell’affrontare e risolvere i problemi legati anche agli aspetti pratici dell’accesso alla giustizia amministrativa e allo sviluppo del processo telematico nonché all’efficienza del processo nel pieno assolvimento delle garanzie di difesa, anche nella fase emergenziale. L’esperienza, originata dal primo documento congiunto e dal tavolo di monitoraggio, istituito al fine di rispondere alle necessità che la iniziale e concreta applicazione aveva fatto emergere, alla rinnovata collaborazione, in piena emergenza, con lo scopo comune di consentire il regolare svolgimento delle udienze, nel rispetto dei principi del “giusto processo”, ha dimostrato che il dialogo tra </w:t>
      </w:r>
      <w:r w:rsidRPr="009732A4">
        <w:rPr>
          <w:rFonts w:ascii="Garamond" w:hAnsi="Garamond" w:cs="Times New Roman"/>
          <w:sz w:val="23"/>
          <w:szCs w:val="23"/>
        </w:rPr>
        <w:t xml:space="preserve">3 </w:t>
      </w:r>
      <w:r w:rsidRPr="009732A4">
        <w:rPr>
          <w:rFonts w:ascii="Garamond" w:hAnsi="Garamond"/>
          <w:sz w:val="28"/>
          <w:szCs w:val="28"/>
        </w:rPr>
        <w:t xml:space="preserve">avvocatura e magistratura, quando consente lo scambio proficuo di opinioni ed esperienze, genera sempre buoni frutti. Nei decreti, infatti, sono state recepite le osservazioni dell’avvocatura così come in tutti i protocolli condivisi e sottoscritti relativi alla modalità di svolgimento delle udienze da remoto prima e in presenza dopo, è stato sempre garantito in maniera adeguata l’esercizio dell’attività di rappresentanza e difesa. Sottende il medesimo spirito, l’accordo di collaborazione, di recente sottoscritto tra l’Ufficio Studi formazione e massimario della Giustizia Amministrativa e l’Osservatorio Nazionale Permanente sull’esercizio della Giurisdizione, regolamentato dal Consiglio Nazionale Forense presso cui ha sede, con il quale si è inteso condividere attività di studio e ricerca in materie che rivestono interessi strategici per l’economia e le istituzioni nazionali e sovranazionali oltre a favorire e promuovere, come opportuno attività di formazione congiunta mirata all’aggiornamento professionale di magistrati e avvocati. Concludo, auspicando il massimo impegno da parte di tutti gli operatori del diritto, vocati al corretto funzionamento della giustizia, nell’emergenza e oltre l’emergenza, per rendere possibile la realizzazione di un nuovo o meglio rinnovato concetto di comunità della giurisdizione, informato ai principi di responsabilità, solidarietà ed eguaglianza. </w:t>
      </w:r>
    </w:p>
    <w:p w:rsidR="009732A4" w:rsidRPr="009732A4" w:rsidRDefault="009732A4" w:rsidP="00ED7531">
      <w:pPr>
        <w:widowControl w:val="0"/>
        <w:spacing w:after="0" w:line="360" w:lineRule="auto"/>
        <w:ind w:right="-850"/>
        <w:jc w:val="both"/>
        <w:rPr>
          <w:rFonts w:ascii="Garamond" w:hAnsi="Garamond"/>
          <w:bCs/>
          <w:sz w:val="28"/>
          <w:szCs w:val="28"/>
        </w:rPr>
      </w:pPr>
      <w:r w:rsidRPr="009732A4">
        <w:rPr>
          <w:rFonts w:ascii="Garamond" w:hAnsi="Garamond"/>
          <w:sz w:val="28"/>
          <w:szCs w:val="28"/>
        </w:rPr>
        <w:t>Auguri di buon lavoro.</w:t>
      </w:r>
    </w:p>
    <w:p w:rsidR="005307A9" w:rsidRPr="005E10A1" w:rsidRDefault="005307A9" w:rsidP="00A64172">
      <w:pPr>
        <w:widowControl w:val="0"/>
        <w:jc w:val="both"/>
        <w:rPr>
          <w:rFonts w:ascii="Garamond" w:hAnsi="Garamond" w:cs="Times New Roman"/>
          <w:b/>
          <w:sz w:val="24"/>
          <w:szCs w:val="24"/>
        </w:rPr>
      </w:pPr>
    </w:p>
    <w:sectPr w:rsidR="005307A9" w:rsidRPr="005E10A1" w:rsidSect="00ED7531">
      <w:footerReference w:type="default" r:id="rId16"/>
      <w:pgSz w:w="11906" w:h="16838"/>
      <w:pgMar w:top="2268" w:right="1983"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7242" w:rsidRDefault="00E87242" w:rsidP="00306509">
      <w:pPr>
        <w:spacing w:after="0" w:line="240" w:lineRule="auto"/>
      </w:pPr>
      <w:r>
        <w:separator/>
      </w:r>
    </w:p>
  </w:endnote>
  <w:endnote w:type="continuationSeparator" w:id="0">
    <w:p w:rsidR="00E87242" w:rsidRDefault="00E87242" w:rsidP="00306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FUIText-Regular">
    <w:altName w:val="Times New Roman"/>
    <w:panose1 w:val="00000000000000000000"/>
    <w:charset w:val="00"/>
    <w:family w:val="roman"/>
    <w:notTrueType/>
    <w:pitch w:val="default"/>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54" w:rsidRDefault="00187154">
    <w:pPr>
      <w:pStyle w:val="Pidipagina"/>
      <w:jc w:val="center"/>
    </w:pPr>
  </w:p>
  <w:p w:rsidR="00187154" w:rsidRDefault="00187154">
    <w:pPr>
      <w:pStyle w:val="Pidipagina"/>
      <w:jc w:val="center"/>
    </w:pPr>
  </w:p>
  <w:p w:rsidR="00187154" w:rsidRDefault="00E87242">
    <w:pPr>
      <w:pStyle w:val="Pidipagina"/>
      <w:jc w:val="center"/>
    </w:pPr>
    <w:sdt>
      <w:sdtPr>
        <w:id w:val="1002163210"/>
        <w:docPartObj>
          <w:docPartGallery w:val="Page Numbers (Bottom of Page)"/>
          <w:docPartUnique/>
        </w:docPartObj>
      </w:sdtPr>
      <w:sdtEndPr/>
      <w:sdtContent>
        <w:r w:rsidR="00187154">
          <w:fldChar w:fldCharType="begin"/>
        </w:r>
        <w:r w:rsidR="00187154">
          <w:instrText>PAGE   \* MERGEFORMAT</w:instrText>
        </w:r>
        <w:r w:rsidR="00187154">
          <w:fldChar w:fldCharType="separate"/>
        </w:r>
        <w:r w:rsidR="00F51EA7">
          <w:rPr>
            <w:noProof/>
          </w:rPr>
          <w:t>2</w:t>
        </w:r>
        <w:r w:rsidR="00187154">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154" w:rsidRDefault="00187154">
    <w:pPr>
      <w:pStyle w:val="Pidipagina"/>
      <w:jc w:val="center"/>
    </w:pPr>
    <w:r>
      <w:fldChar w:fldCharType="begin"/>
    </w:r>
    <w:r>
      <w:instrText>PAGE   \* MERGEFORMAT</w:instrText>
    </w:r>
    <w:r>
      <w:fldChar w:fldCharType="separate"/>
    </w:r>
    <w:r w:rsidR="00F51EA7">
      <w:rPr>
        <w:noProof/>
      </w:rPr>
      <w:t>38</w:t>
    </w:r>
    <w:r>
      <w:rPr>
        <w:noProof/>
      </w:rPr>
      <w:fldChar w:fldCharType="end"/>
    </w:r>
  </w:p>
  <w:p w:rsidR="00187154" w:rsidRDefault="0018715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7242" w:rsidRDefault="00E87242" w:rsidP="00306509">
      <w:pPr>
        <w:spacing w:after="0" w:line="240" w:lineRule="auto"/>
      </w:pPr>
      <w:r>
        <w:separator/>
      </w:r>
    </w:p>
  </w:footnote>
  <w:footnote w:type="continuationSeparator" w:id="0">
    <w:p w:rsidR="00E87242" w:rsidRDefault="00E87242" w:rsidP="00306509">
      <w:pPr>
        <w:spacing w:after="0" w:line="240" w:lineRule="auto"/>
      </w:pPr>
      <w:r>
        <w:continuationSeparator/>
      </w:r>
    </w:p>
  </w:footnote>
  <w:footnote w:id="1">
    <w:p w:rsidR="00187154" w:rsidRPr="005E10A1" w:rsidRDefault="00187154" w:rsidP="00D846E4">
      <w:pPr>
        <w:pStyle w:val="Testonotaapidipagina"/>
        <w:rPr>
          <w:rFonts w:ascii="Garamond" w:hAnsi="Garamond" w:cs="Times New Roman"/>
        </w:rPr>
      </w:pPr>
      <w:r w:rsidRPr="006D10FE">
        <w:rPr>
          <w:rStyle w:val="Rimandonotaapidipagina"/>
          <w:rFonts w:ascii="Times New Roman" w:hAnsi="Times New Roman" w:cs="Times New Roman"/>
        </w:rPr>
        <w:footnoteRef/>
      </w:r>
      <w:r w:rsidRPr="005E10A1">
        <w:rPr>
          <w:rFonts w:ascii="Garamond" w:hAnsi="Garamond" w:cs="Times New Roman"/>
          <w:lang w:val="fr-FR"/>
        </w:rPr>
        <w:t xml:space="preserve">E. </w:t>
      </w:r>
      <w:r w:rsidRPr="005E10A1">
        <w:rPr>
          <w:rFonts w:ascii="Garamond" w:hAnsi="Garamond" w:cs="Times New Roman"/>
        </w:rPr>
        <w:t>Canetti,</w:t>
      </w:r>
      <w:r w:rsidRPr="005E10A1">
        <w:rPr>
          <w:rFonts w:ascii="Garamond" w:hAnsi="Garamond" w:cs="Times New Roman"/>
          <w:i/>
        </w:rPr>
        <w:t xml:space="preserve"> Massa e potere</w:t>
      </w:r>
      <w:r w:rsidRPr="005E10A1">
        <w:rPr>
          <w:rFonts w:ascii="Garamond" w:hAnsi="Garamond" w:cs="Times New Roman"/>
        </w:rPr>
        <w:t>, Milano, 1981, p. 330.</w:t>
      </w:r>
    </w:p>
  </w:footnote>
  <w:footnote w:id="2">
    <w:p w:rsidR="00187154" w:rsidRPr="005E10A1" w:rsidRDefault="00187154" w:rsidP="00D846E4">
      <w:pPr>
        <w:pStyle w:val="Testonotaapidipagina"/>
        <w:rPr>
          <w:rFonts w:ascii="Garamond" w:hAnsi="Garamond" w:cs="Times New Roman"/>
        </w:rPr>
      </w:pPr>
      <w:r w:rsidRPr="006D10FE">
        <w:rPr>
          <w:rStyle w:val="Rimandonotaapidipagina"/>
          <w:rFonts w:ascii="Times New Roman" w:hAnsi="Times New Roman" w:cs="Times New Roman"/>
        </w:rPr>
        <w:footnoteRef/>
      </w:r>
      <w:r w:rsidRPr="006D10FE">
        <w:rPr>
          <w:rFonts w:ascii="Times New Roman" w:hAnsi="Times New Roman" w:cs="Times New Roman"/>
        </w:rPr>
        <w:t xml:space="preserve"> </w:t>
      </w:r>
      <w:r w:rsidRPr="005E10A1">
        <w:rPr>
          <w:rFonts w:ascii="Garamond" w:hAnsi="Garamond" w:cs="Times New Roman"/>
        </w:rPr>
        <w:t xml:space="preserve">K. Popper, </w:t>
      </w:r>
      <w:r w:rsidRPr="005E10A1">
        <w:rPr>
          <w:rFonts w:ascii="Garamond" w:hAnsi="Garamond" w:cs="Times New Roman"/>
          <w:i/>
        </w:rPr>
        <w:t>La società aperta e i suoi nemici,</w:t>
      </w:r>
      <w:r w:rsidRPr="005E10A1">
        <w:rPr>
          <w:rFonts w:ascii="Garamond" w:hAnsi="Garamond" w:cs="Times New Roman"/>
        </w:rPr>
        <w:t xml:space="preserve"> Roma, 1973, II, 279.</w:t>
      </w:r>
    </w:p>
  </w:footnote>
  <w:footnote w:id="3">
    <w:p w:rsidR="00187154" w:rsidRPr="005E10A1" w:rsidRDefault="00187154" w:rsidP="00D846E4">
      <w:pPr>
        <w:pStyle w:val="Testonotaapidipagina"/>
        <w:jc w:val="both"/>
        <w:rPr>
          <w:rFonts w:ascii="Garamond" w:hAnsi="Garamond" w:cs="Times New Roman"/>
        </w:rPr>
      </w:pPr>
      <w:r w:rsidRPr="006D10FE">
        <w:rPr>
          <w:rStyle w:val="Rimandonotaapidipagina"/>
          <w:rFonts w:ascii="Times New Roman" w:hAnsi="Times New Roman" w:cs="Times New Roman"/>
        </w:rPr>
        <w:footnoteRef/>
      </w:r>
      <w:r w:rsidRPr="006D10FE">
        <w:rPr>
          <w:rFonts w:ascii="Times New Roman" w:hAnsi="Times New Roman" w:cs="Times New Roman"/>
        </w:rPr>
        <w:t xml:space="preserve"> </w:t>
      </w:r>
      <w:r w:rsidRPr="005E10A1">
        <w:rPr>
          <w:rFonts w:ascii="Garamond" w:hAnsi="Garamond" w:cs="Times New Roman"/>
        </w:rPr>
        <w:t xml:space="preserve">V. Crisafulli, </w:t>
      </w:r>
      <w:r w:rsidRPr="005E10A1">
        <w:rPr>
          <w:rFonts w:ascii="Garamond" w:hAnsi="Garamond" w:cs="Times New Roman"/>
          <w:i/>
          <w:iCs/>
        </w:rPr>
        <w:t>Lezioni di diritto costituzionale</w:t>
      </w:r>
      <w:r w:rsidRPr="005E10A1">
        <w:rPr>
          <w:rFonts w:ascii="Garamond" w:hAnsi="Garamond" w:cs="Times New Roman"/>
        </w:rPr>
        <w:t>, Padova, 1984, II, p. 165 ss.</w:t>
      </w:r>
    </w:p>
  </w:footnote>
  <w:footnote w:id="4">
    <w:p w:rsidR="00187154" w:rsidRPr="0047377C" w:rsidRDefault="00187154" w:rsidP="00216CDA">
      <w:pPr>
        <w:spacing w:after="0" w:line="240" w:lineRule="auto"/>
        <w:jc w:val="both"/>
        <w:rPr>
          <w:rFonts w:ascii="Garamond" w:hAnsi="Garamond" w:cs="Times New Roman"/>
          <w:sz w:val="20"/>
          <w:szCs w:val="20"/>
        </w:rPr>
      </w:pPr>
      <w:r w:rsidRPr="006D10FE">
        <w:rPr>
          <w:rStyle w:val="Rimandonotaapidipagina"/>
          <w:rFonts w:ascii="Times New Roman" w:hAnsi="Times New Roman" w:cs="Times New Roman"/>
          <w:sz w:val="20"/>
          <w:szCs w:val="20"/>
        </w:rPr>
        <w:footnoteRef/>
      </w:r>
      <w:r w:rsidRPr="006D10FE">
        <w:rPr>
          <w:rFonts w:ascii="Times New Roman" w:hAnsi="Times New Roman" w:cs="Times New Roman"/>
          <w:sz w:val="20"/>
          <w:szCs w:val="20"/>
        </w:rPr>
        <w:t xml:space="preserve"> </w:t>
      </w:r>
      <w:r w:rsidRPr="005E10A1">
        <w:rPr>
          <w:rFonts w:ascii="Garamond" w:hAnsi="Garamond" w:cs="Times New Roman"/>
          <w:sz w:val="20"/>
          <w:szCs w:val="20"/>
        </w:rPr>
        <w:t xml:space="preserve">Come ci ricorda Marta Cartabia, citando anche Pietro Scoppola, nella sua </w:t>
      </w:r>
      <w:r w:rsidRPr="005E10A1">
        <w:rPr>
          <w:rFonts w:ascii="Garamond" w:hAnsi="Garamond" w:cs="Times New Roman"/>
          <w:i/>
          <w:sz w:val="20"/>
          <w:szCs w:val="20"/>
        </w:rPr>
        <w:t>Lectio</w:t>
      </w:r>
      <w:r w:rsidRPr="005E10A1">
        <w:rPr>
          <w:rFonts w:ascii="Garamond" w:hAnsi="Garamond" w:cs="Times New Roman"/>
          <w:sz w:val="20"/>
          <w:szCs w:val="20"/>
        </w:rPr>
        <w:t xml:space="preserve"> </w:t>
      </w:r>
      <w:r w:rsidRPr="005E10A1">
        <w:rPr>
          <w:rFonts w:ascii="Garamond" w:eastAsia="Times New Roman" w:hAnsi="Garamond" w:cs="Times New Roman"/>
          <w:i/>
          <w:iCs/>
          <w:color w:val="303030"/>
          <w:sz w:val="20"/>
          <w:szCs w:val="20"/>
          <w:bdr w:val="none" w:sz="0" w:space="0" w:color="auto" w:frame="1"/>
          <w:lang w:eastAsia="en-GB"/>
        </w:rPr>
        <w:t>degasperiana 2020</w:t>
      </w:r>
      <w:r>
        <w:rPr>
          <w:rFonts w:ascii="Garamond" w:eastAsia="Times New Roman" w:hAnsi="Garamond" w:cs="Times New Roman"/>
          <w:i/>
          <w:iCs/>
          <w:color w:val="303030"/>
          <w:sz w:val="20"/>
          <w:szCs w:val="20"/>
          <w:bdr w:val="none" w:sz="0" w:space="0" w:color="auto" w:frame="1"/>
          <w:lang w:eastAsia="en-GB"/>
        </w:rPr>
        <w:t>,</w:t>
      </w:r>
      <w:r w:rsidRPr="005E10A1">
        <w:rPr>
          <w:rFonts w:ascii="Garamond" w:eastAsia="Times New Roman" w:hAnsi="Garamond" w:cs="Times New Roman"/>
          <w:i/>
          <w:iCs/>
          <w:color w:val="303030"/>
          <w:sz w:val="20"/>
          <w:szCs w:val="20"/>
          <w:bdr w:val="none" w:sz="0" w:space="0" w:color="auto" w:frame="1"/>
          <w:lang w:eastAsia="en-GB"/>
        </w:rPr>
        <w:t xml:space="preserve"> </w:t>
      </w:r>
      <w:r w:rsidRPr="005E10A1">
        <w:rPr>
          <w:rFonts w:ascii="Garamond" w:hAnsi="Garamond" w:cs="Times New Roman"/>
          <w:sz w:val="20"/>
          <w:szCs w:val="20"/>
        </w:rPr>
        <w:t xml:space="preserve"> </w:t>
      </w:r>
      <w:hyperlink r:id="rId1" w:history="1">
        <w:r w:rsidRPr="0047377C">
          <w:rPr>
            <w:rStyle w:val="Collegamentoipertestuale"/>
            <w:rFonts w:ascii="Garamond" w:hAnsi="Garamond" w:cs="Times New Roman"/>
            <w:color w:val="auto"/>
            <w:sz w:val="20"/>
            <w:szCs w:val="20"/>
            <w:u w:val="none"/>
          </w:rPr>
          <w:t>http://confini.blog.rainews.it/2020/08/24/de-gasperi-tra-costituente-e-ricostruzione-un-testo-di-marta-cartabia-presidente-della-corte-costituzionale/</w:t>
        </w:r>
      </w:hyperlink>
      <w:r w:rsidRPr="0047377C">
        <w:rPr>
          <w:rStyle w:val="Collegamentoipertestuale"/>
          <w:rFonts w:ascii="Garamond" w:hAnsi="Garamond" w:cs="Times New Roman"/>
          <w:color w:val="auto"/>
          <w:sz w:val="20"/>
          <w:szCs w:val="20"/>
          <w:u w:val="none"/>
        </w:rPr>
        <w:t xml:space="preserve">. </w:t>
      </w:r>
    </w:p>
  </w:footnote>
  <w:footnote w:id="5">
    <w:p w:rsidR="00187154" w:rsidRPr="005E10A1" w:rsidRDefault="00187154" w:rsidP="00216CDA">
      <w:pPr>
        <w:pStyle w:val="Testonotaapidipagina"/>
        <w:jc w:val="both"/>
        <w:rPr>
          <w:rFonts w:ascii="Garamond" w:hAnsi="Garamond" w:cs="Times New Roman"/>
        </w:rPr>
      </w:pPr>
      <w:r w:rsidRPr="006D10FE">
        <w:rPr>
          <w:rStyle w:val="Rimandonotaapidipagina"/>
          <w:rFonts w:ascii="Times New Roman" w:hAnsi="Times New Roman" w:cs="Times New Roman"/>
        </w:rPr>
        <w:footnoteRef/>
      </w:r>
      <w:r w:rsidRPr="006D10FE">
        <w:rPr>
          <w:rFonts w:ascii="Times New Roman" w:hAnsi="Times New Roman" w:cs="Times New Roman"/>
        </w:rPr>
        <w:t xml:space="preserve"> </w:t>
      </w:r>
      <w:r w:rsidRPr="005E10A1">
        <w:rPr>
          <w:rFonts w:ascii="Garamond" w:hAnsi="Garamond" w:cs="Times New Roman"/>
        </w:rPr>
        <w:t>Banca d’Italia, Considerazioni finali del Governatore sul 2019, 29 maggio 2020, p. 13 https://www.bancaditalia.it/pubblicazioni/interventi-governatore/integov2020/cf_2019.pdf</w:t>
      </w:r>
    </w:p>
    <w:p w:rsidR="00187154" w:rsidRPr="005E10A1" w:rsidRDefault="00187154" w:rsidP="00D846E4">
      <w:pPr>
        <w:pStyle w:val="Testonotaapidipagina"/>
        <w:jc w:val="both"/>
        <w:rPr>
          <w:rFonts w:ascii="Garamond" w:hAnsi="Garamond" w:cs="Times New Roman"/>
        </w:rPr>
      </w:pPr>
    </w:p>
  </w:footnote>
  <w:footnote w:id="6">
    <w:p w:rsidR="00187154" w:rsidRPr="0001295C" w:rsidRDefault="00187154" w:rsidP="000F2F2A">
      <w:pPr>
        <w:autoSpaceDE w:val="0"/>
        <w:autoSpaceDN w:val="0"/>
        <w:adjustRightInd w:val="0"/>
        <w:spacing w:after="0" w:line="240" w:lineRule="auto"/>
        <w:jc w:val="both"/>
        <w:rPr>
          <w:rFonts w:ascii="Times New Roman" w:hAnsi="Times New Roman" w:cs="Times New Roman"/>
          <w:sz w:val="20"/>
          <w:szCs w:val="20"/>
          <w:lang w:val="en-GB"/>
        </w:rPr>
      </w:pPr>
      <w:r w:rsidRPr="0001295C">
        <w:rPr>
          <w:rStyle w:val="Rimandonotaapidipagina"/>
          <w:rFonts w:ascii="Times New Roman" w:hAnsi="Times New Roman" w:cs="Times New Roman"/>
          <w:sz w:val="20"/>
          <w:szCs w:val="20"/>
        </w:rPr>
        <w:footnoteRef/>
      </w:r>
      <w:r w:rsidRPr="0001295C">
        <w:rPr>
          <w:rFonts w:ascii="Times New Roman" w:hAnsi="Times New Roman" w:cs="Times New Roman"/>
          <w:sz w:val="20"/>
          <w:szCs w:val="20"/>
          <w:lang w:val="en-US"/>
        </w:rPr>
        <w:t xml:space="preserve"> </w:t>
      </w:r>
      <w:r w:rsidRPr="0001295C">
        <w:rPr>
          <w:rFonts w:ascii="Garamond" w:hAnsi="Garamond" w:cs="Times New Roman"/>
          <w:sz w:val="20"/>
          <w:szCs w:val="20"/>
          <w:lang w:val="en-US"/>
        </w:rPr>
        <w:t xml:space="preserve">A. Sen, </w:t>
      </w:r>
      <w:r w:rsidRPr="0001295C">
        <w:rPr>
          <w:rFonts w:ascii="Garamond" w:hAnsi="Garamond" w:cs="Times New Roman"/>
          <w:i/>
          <w:sz w:val="20"/>
          <w:szCs w:val="20"/>
          <w:lang w:val="en-US"/>
        </w:rPr>
        <w:t>The idea of Justice</w:t>
      </w:r>
      <w:r w:rsidRPr="0001295C">
        <w:rPr>
          <w:rFonts w:ascii="Garamond" w:hAnsi="Garamond" w:cs="Times New Roman"/>
          <w:sz w:val="20"/>
          <w:szCs w:val="20"/>
          <w:lang w:val="en-US"/>
        </w:rPr>
        <w:t xml:space="preserve">, </w:t>
      </w:r>
      <w:r w:rsidRPr="0001295C">
        <w:rPr>
          <w:rFonts w:ascii="Garamond" w:hAnsi="Garamond" w:cs="Times New Roman"/>
          <w:sz w:val="20"/>
          <w:szCs w:val="20"/>
          <w:lang w:val="en-GB"/>
        </w:rPr>
        <w:t>The Belknap Press of Harvard University Press</w:t>
      </w:r>
      <w:r w:rsidRPr="0001295C">
        <w:rPr>
          <w:rFonts w:ascii="Garamond" w:hAnsi="Garamond" w:cs="Times New Roman"/>
          <w:sz w:val="20"/>
          <w:szCs w:val="20"/>
          <w:lang w:val="en-US"/>
        </w:rPr>
        <w:t>, 2009, p. X</w:t>
      </w:r>
      <w:r w:rsidRPr="0001295C">
        <w:rPr>
          <w:rFonts w:ascii="Times New Roman" w:hAnsi="Times New Roman" w:cs="Times New Roman"/>
          <w:sz w:val="20"/>
          <w:szCs w:val="20"/>
          <w:lang w:val="en-US"/>
        </w:rPr>
        <w:t>.</w:t>
      </w:r>
    </w:p>
  </w:footnote>
  <w:footnote w:id="7">
    <w:p w:rsidR="00187154" w:rsidRPr="00536387" w:rsidRDefault="00187154"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Erodoto, </w:t>
      </w:r>
      <w:r w:rsidRPr="00536387">
        <w:rPr>
          <w:rFonts w:ascii="Garamond" w:hAnsi="Garamond" w:cs="Times New Roman"/>
          <w:i/>
        </w:rPr>
        <w:t>Storie</w:t>
      </w:r>
      <w:r w:rsidRPr="00536387">
        <w:rPr>
          <w:rFonts w:ascii="Garamond" w:hAnsi="Garamond" w:cs="Times New Roman"/>
        </w:rPr>
        <w:t>, III, 80-82, riferito nel testo al mondo persiano con un chiaro riferimento alla democrazia ateniese.</w:t>
      </w:r>
    </w:p>
  </w:footnote>
  <w:footnote w:id="8">
    <w:p w:rsidR="00187154" w:rsidRPr="00536387" w:rsidRDefault="00187154"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A. Camus, traduzione de </w:t>
      </w:r>
      <w:r w:rsidRPr="00536387">
        <w:rPr>
          <w:rFonts w:ascii="Garamond" w:hAnsi="Garamond" w:cs="Times New Roman"/>
          <w:i/>
        </w:rPr>
        <w:t>La peste</w:t>
      </w:r>
      <w:r w:rsidRPr="00536387">
        <w:rPr>
          <w:rFonts w:ascii="Garamond" w:hAnsi="Garamond" w:cs="Times New Roman"/>
        </w:rPr>
        <w:t xml:space="preserve"> “</w:t>
      </w:r>
      <w:r w:rsidRPr="00536387">
        <w:rPr>
          <w:rFonts w:ascii="Garamond" w:hAnsi="Garamond" w:cs="Times New Roman"/>
          <w:i/>
        </w:rPr>
        <w:t>que l’epidemia etat l’affaire de chacun et que chacun devait faire son devoir</w:t>
      </w:r>
      <w:r w:rsidRPr="00536387">
        <w:rPr>
          <w:rFonts w:ascii="Garamond" w:hAnsi="Garamond" w:cs="Times New Roman"/>
        </w:rPr>
        <w:t>”, Gallimard, Paris, 1947.</w:t>
      </w:r>
    </w:p>
  </w:footnote>
  <w:footnote w:id="9">
    <w:p w:rsidR="00187154" w:rsidRPr="00536387" w:rsidRDefault="00187154" w:rsidP="00B32901">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In tale senso, lo storico Yuval Harari, </w:t>
      </w:r>
      <w:r w:rsidRPr="00536387">
        <w:rPr>
          <w:rFonts w:ascii="Garamond" w:hAnsi="Garamond" w:cs="Times New Roman"/>
          <w:i/>
        </w:rPr>
        <w:t>21 Lessons for the 21st Century</w:t>
      </w:r>
      <w:r w:rsidRPr="00536387">
        <w:rPr>
          <w:rFonts w:ascii="Garamond" w:hAnsi="Garamond" w:cs="Times New Roman"/>
        </w:rPr>
        <w:t>, ed. Bompiani (trad.it.), 2018, 114 ss.</w:t>
      </w:r>
    </w:p>
  </w:footnote>
  <w:footnote w:id="10">
    <w:p w:rsidR="00187154" w:rsidRPr="00536387" w:rsidRDefault="00187154" w:rsidP="00D846E4">
      <w:pPr>
        <w:pStyle w:val="Testonotaapidipagina"/>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L. Ferrajoli, </w:t>
      </w:r>
      <w:r w:rsidRPr="00536387">
        <w:rPr>
          <w:rFonts w:ascii="Garamond" w:hAnsi="Garamond" w:cs="Times New Roman"/>
          <w:i/>
        </w:rPr>
        <w:t>Dei diritti e delle garanzie</w:t>
      </w:r>
      <w:r w:rsidRPr="00536387">
        <w:rPr>
          <w:rFonts w:ascii="Garamond" w:hAnsi="Garamond" w:cs="Times New Roman"/>
        </w:rPr>
        <w:t>, Bologna 2013, 15</w:t>
      </w:r>
    </w:p>
  </w:footnote>
  <w:footnote w:id="11">
    <w:p w:rsidR="00187154" w:rsidRPr="00536387" w:rsidRDefault="00187154" w:rsidP="00D846E4">
      <w:pPr>
        <w:pStyle w:val="Testonotaapidipagina"/>
        <w:jc w:val="both"/>
        <w:rPr>
          <w:rFonts w:ascii="Garamond" w:hAnsi="Garamond" w:cs="Times New Roman"/>
        </w:rPr>
      </w:pPr>
      <w:r w:rsidRPr="00536387">
        <w:rPr>
          <w:rStyle w:val="Rimandonotaapidipagina"/>
          <w:rFonts w:ascii="Garamond" w:hAnsi="Garamond" w:cs="Times New Roman"/>
        </w:rPr>
        <w:footnoteRef/>
      </w:r>
      <w:r w:rsidRPr="00536387">
        <w:rPr>
          <w:rFonts w:ascii="Garamond" w:hAnsi="Garamond" w:cs="Times New Roman"/>
        </w:rPr>
        <w:t xml:space="preserve"> Ed evitare, per converso, come ammonisce T. Chamorro Prezumic, </w:t>
      </w:r>
      <w:r w:rsidRPr="00536387">
        <w:rPr>
          <w:rFonts w:ascii="Garamond" w:hAnsi="Garamond" w:cs="Times New Roman"/>
          <w:i/>
        </w:rPr>
        <w:t>Perché tanti uomini incompetenti diventano leader? (e come porvi rimedio)</w:t>
      </w:r>
      <w:r w:rsidRPr="00536387">
        <w:rPr>
          <w:rFonts w:ascii="Garamond" w:hAnsi="Garamond" w:cs="Times New Roman"/>
        </w:rPr>
        <w:t>, Egea 2020, che prevalgano “il protagonismo rispetto all’umiltà, l’estroversione rispetto alla sobrietà, la voce grossa rispetto all’</w:t>
      </w:r>
      <w:r w:rsidRPr="00536387">
        <w:rPr>
          <w:rFonts w:ascii="Garamond" w:hAnsi="Garamond" w:cs="Times New Roman"/>
          <w:i/>
        </w:rPr>
        <w:t>understatement</w:t>
      </w:r>
      <w:r w:rsidRPr="00536387">
        <w:rPr>
          <w:rFonts w:ascii="Garamond" w:hAnsi="Garamond" w:cs="Times New Roman"/>
        </w:rPr>
        <w:t>, l’azzardo rispetto alla saggezza”.</w:t>
      </w:r>
    </w:p>
  </w:footnote>
  <w:footnote w:id="12">
    <w:p w:rsidR="00187154" w:rsidRPr="00536387" w:rsidRDefault="00187154" w:rsidP="00D846E4">
      <w:pPr>
        <w:pStyle w:val="Testonotaapidipagina"/>
        <w:rPr>
          <w:rFonts w:ascii="Garamond" w:hAnsi="Garamond"/>
        </w:rPr>
      </w:pPr>
      <w:r w:rsidRPr="00536387">
        <w:rPr>
          <w:rStyle w:val="Rimandonotaapidipagina"/>
          <w:rFonts w:ascii="Garamond" w:hAnsi="Garamond" w:cs="Times New Roman"/>
        </w:rPr>
        <w:footnoteRef/>
      </w:r>
      <w:r w:rsidRPr="00536387">
        <w:rPr>
          <w:rFonts w:ascii="Garamond" w:hAnsi="Garamond" w:cs="Times New Roman"/>
        </w:rPr>
        <w:t xml:space="preserve"> Espresso con la nota locuzione: “Noi viviamo per dire sempre addio”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1E851C3C"/>
    <w:multiLevelType w:val="multilevel"/>
    <w:tmpl w:val="BE4867E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99110E"/>
    <w:multiLevelType w:val="multilevel"/>
    <w:tmpl w:val="EFE609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2925E9"/>
    <w:multiLevelType w:val="multilevel"/>
    <w:tmpl w:val="2BF4A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F03902"/>
    <w:multiLevelType w:val="multilevel"/>
    <w:tmpl w:val="6C789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A16AE"/>
    <w:multiLevelType w:val="multilevel"/>
    <w:tmpl w:val="916A1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AD6B24"/>
    <w:multiLevelType w:val="multilevel"/>
    <w:tmpl w:val="0584F6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autoHyphenation/>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0A8"/>
    <w:rsid w:val="00000CC0"/>
    <w:rsid w:val="0000162D"/>
    <w:rsid w:val="00002108"/>
    <w:rsid w:val="00002A65"/>
    <w:rsid w:val="00002C9B"/>
    <w:rsid w:val="00002F54"/>
    <w:rsid w:val="00003CB3"/>
    <w:rsid w:val="00004620"/>
    <w:rsid w:val="00005224"/>
    <w:rsid w:val="000118A6"/>
    <w:rsid w:val="0001295C"/>
    <w:rsid w:val="00012AD1"/>
    <w:rsid w:val="00013B21"/>
    <w:rsid w:val="000214FA"/>
    <w:rsid w:val="00023F08"/>
    <w:rsid w:val="0002401A"/>
    <w:rsid w:val="0002477B"/>
    <w:rsid w:val="0002722B"/>
    <w:rsid w:val="000346AF"/>
    <w:rsid w:val="00034AF0"/>
    <w:rsid w:val="00036504"/>
    <w:rsid w:val="00037418"/>
    <w:rsid w:val="00041FAD"/>
    <w:rsid w:val="0004262F"/>
    <w:rsid w:val="00042F28"/>
    <w:rsid w:val="00043250"/>
    <w:rsid w:val="00045576"/>
    <w:rsid w:val="00045827"/>
    <w:rsid w:val="0004672C"/>
    <w:rsid w:val="00046A55"/>
    <w:rsid w:val="00046D44"/>
    <w:rsid w:val="00046FC8"/>
    <w:rsid w:val="00050B4D"/>
    <w:rsid w:val="00050D98"/>
    <w:rsid w:val="00051135"/>
    <w:rsid w:val="00053241"/>
    <w:rsid w:val="00053694"/>
    <w:rsid w:val="00061251"/>
    <w:rsid w:val="00061514"/>
    <w:rsid w:val="00061937"/>
    <w:rsid w:val="000654BD"/>
    <w:rsid w:val="00066B9B"/>
    <w:rsid w:val="00066FF5"/>
    <w:rsid w:val="00071531"/>
    <w:rsid w:val="00071802"/>
    <w:rsid w:val="00075971"/>
    <w:rsid w:val="00076279"/>
    <w:rsid w:val="00084213"/>
    <w:rsid w:val="00087ED3"/>
    <w:rsid w:val="00092C59"/>
    <w:rsid w:val="00093C1A"/>
    <w:rsid w:val="00097AE8"/>
    <w:rsid w:val="00097FCD"/>
    <w:rsid w:val="000A0459"/>
    <w:rsid w:val="000A16F4"/>
    <w:rsid w:val="000A564E"/>
    <w:rsid w:val="000B0719"/>
    <w:rsid w:val="000C00D5"/>
    <w:rsid w:val="000C0889"/>
    <w:rsid w:val="000C20A5"/>
    <w:rsid w:val="000C3758"/>
    <w:rsid w:val="000C56A0"/>
    <w:rsid w:val="000C607A"/>
    <w:rsid w:val="000C60B9"/>
    <w:rsid w:val="000D0826"/>
    <w:rsid w:val="000D18F7"/>
    <w:rsid w:val="000D5B57"/>
    <w:rsid w:val="000D7640"/>
    <w:rsid w:val="000E0ADE"/>
    <w:rsid w:val="000E3F92"/>
    <w:rsid w:val="000E60A1"/>
    <w:rsid w:val="000F0457"/>
    <w:rsid w:val="000F04F5"/>
    <w:rsid w:val="000F22EC"/>
    <w:rsid w:val="000F2F2A"/>
    <w:rsid w:val="000F4FF0"/>
    <w:rsid w:val="00101342"/>
    <w:rsid w:val="0010190E"/>
    <w:rsid w:val="00101A33"/>
    <w:rsid w:val="0010279E"/>
    <w:rsid w:val="00102C29"/>
    <w:rsid w:val="00103618"/>
    <w:rsid w:val="00103848"/>
    <w:rsid w:val="00104C87"/>
    <w:rsid w:val="00111B86"/>
    <w:rsid w:val="001124E4"/>
    <w:rsid w:val="0011368A"/>
    <w:rsid w:val="00113889"/>
    <w:rsid w:val="00114947"/>
    <w:rsid w:val="00120299"/>
    <w:rsid w:val="001209C7"/>
    <w:rsid w:val="00121C2C"/>
    <w:rsid w:val="00122464"/>
    <w:rsid w:val="00122EDD"/>
    <w:rsid w:val="00123225"/>
    <w:rsid w:val="00124652"/>
    <w:rsid w:val="001250CB"/>
    <w:rsid w:val="00125212"/>
    <w:rsid w:val="00125516"/>
    <w:rsid w:val="0012619C"/>
    <w:rsid w:val="00127482"/>
    <w:rsid w:val="00127793"/>
    <w:rsid w:val="00127CDA"/>
    <w:rsid w:val="00130EAF"/>
    <w:rsid w:val="001347C6"/>
    <w:rsid w:val="00141171"/>
    <w:rsid w:val="00143951"/>
    <w:rsid w:val="00144347"/>
    <w:rsid w:val="001447C0"/>
    <w:rsid w:val="001478AC"/>
    <w:rsid w:val="00150A0B"/>
    <w:rsid w:val="001515D6"/>
    <w:rsid w:val="0015273A"/>
    <w:rsid w:val="001557E0"/>
    <w:rsid w:val="00161EB6"/>
    <w:rsid w:val="0016325F"/>
    <w:rsid w:val="001649D7"/>
    <w:rsid w:val="00164E71"/>
    <w:rsid w:val="00164F85"/>
    <w:rsid w:val="001663CC"/>
    <w:rsid w:val="00166949"/>
    <w:rsid w:val="001675F9"/>
    <w:rsid w:val="00172F78"/>
    <w:rsid w:val="00176E90"/>
    <w:rsid w:val="00177CA7"/>
    <w:rsid w:val="001803EF"/>
    <w:rsid w:val="001817F9"/>
    <w:rsid w:val="00184BD2"/>
    <w:rsid w:val="00184D9F"/>
    <w:rsid w:val="00185E82"/>
    <w:rsid w:val="00186AF6"/>
    <w:rsid w:val="00187154"/>
    <w:rsid w:val="00187C47"/>
    <w:rsid w:val="00197093"/>
    <w:rsid w:val="0019758B"/>
    <w:rsid w:val="00197864"/>
    <w:rsid w:val="001A3046"/>
    <w:rsid w:val="001A4A78"/>
    <w:rsid w:val="001A70C3"/>
    <w:rsid w:val="001A77B0"/>
    <w:rsid w:val="001B0747"/>
    <w:rsid w:val="001B1754"/>
    <w:rsid w:val="001B4424"/>
    <w:rsid w:val="001B4B16"/>
    <w:rsid w:val="001B569A"/>
    <w:rsid w:val="001B7644"/>
    <w:rsid w:val="001C0B13"/>
    <w:rsid w:val="001C1CD7"/>
    <w:rsid w:val="001C4EDF"/>
    <w:rsid w:val="001C57BA"/>
    <w:rsid w:val="001D26A5"/>
    <w:rsid w:val="001D51FD"/>
    <w:rsid w:val="001D68A9"/>
    <w:rsid w:val="001D69D6"/>
    <w:rsid w:val="001E0C57"/>
    <w:rsid w:val="001E4122"/>
    <w:rsid w:val="001E4A29"/>
    <w:rsid w:val="001E4A97"/>
    <w:rsid w:val="001E7239"/>
    <w:rsid w:val="001F12C1"/>
    <w:rsid w:val="001F1C12"/>
    <w:rsid w:val="001F246D"/>
    <w:rsid w:val="001F2B95"/>
    <w:rsid w:val="001F30E1"/>
    <w:rsid w:val="001F3341"/>
    <w:rsid w:val="001F3D4E"/>
    <w:rsid w:val="001F60C0"/>
    <w:rsid w:val="0020265A"/>
    <w:rsid w:val="00203CF3"/>
    <w:rsid w:val="00212ECD"/>
    <w:rsid w:val="00214B0A"/>
    <w:rsid w:val="002159D7"/>
    <w:rsid w:val="002160CE"/>
    <w:rsid w:val="00216CDA"/>
    <w:rsid w:val="002213D5"/>
    <w:rsid w:val="0022347F"/>
    <w:rsid w:val="0022379F"/>
    <w:rsid w:val="00225625"/>
    <w:rsid w:val="00226153"/>
    <w:rsid w:val="0022771C"/>
    <w:rsid w:val="00230C53"/>
    <w:rsid w:val="00231E32"/>
    <w:rsid w:val="00232C83"/>
    <w:rsid w:val="00233C4C"/>
    <w:rsid w:val="00236121"/>
    <w:rsid w:val="00240B55"/>
    <w:rsid w:val="002423A9"/>
    <w:rsid w:val="00244442"/>
    <w:rsid w:val="00245CF0"/>
    <w:rsid w:val="00250294"/>
    <w:rsid w:val="00252FFB"/>
    <w:rsid w:val="002540A9"/>
    <w:rsid w:val="002551B7"/>
    <w:rsid w:val="002625B2"/>
    <w:rsid w:val="00262E73"/>
    <w:rsid w:val="002638C2"/>
    <w:rsid w:val="0027156C"/>
    <w:rsid w:val="00271BFE"/>
    <w:rsid w:val="0027258B"/>
    <w:rsid w:val="00272D4D"/>
    <w:rsid w:val="002748FF"/>
    <w:rsid w:val="002755AB"/>
    <w:rsid w:val="002770F8"/>
    <w:rsid w:val="00277C93"/>
    <w:rsid w:val="002801BD"/>
    <w:rsid w:val="002817C2"/>
    <w:rsid w:val="00281EDA"/>
    <w:rsid w:val="00286F43"/>
    <w:rsid w:val="00287345"/>
    <w:rsid w:val="0029128C"/>
    <w:rsid w:val="00294A25"/>
    <w:rsid w:val="00296266"/>
    <w:rsid w:val="0029772C"/>
    <w:rsid w:val="002977E4"/>
    <w:rsid w:val="002A628E"/>
    <w:rsid w:val="002A7C4B"/>
    <w:rsid w:val="002C0378"/>
    <w:rsid w:val="002C203A"/>
    <w:rsid w:val="002C2599"/>
    <w:rsid w:val="002C3C8D"/>
    <w:rsid w:val="002C5494"/>
    <w:rsid w:val="002C58C4"/>
    <w:rsid w:val="002C740F"/>
    <w:rsid w:val="002C76AD"/>
    <w:rsid w:val="002D08E4"/>
    <w:rsid w:val="002D3AE2"/>
    <w:rsid w:val="002D41EC"/>
    <w:rsid w:val="002D7264"/>
    <w:rsid w:val="002D7587"/>
    <w:rsid w:val="002E59FA"/>
    <w:rsid w:val="002F0BA5"/>
    <w:rsid w:val="00301AF7"/>
    <w:rsid w:val="00301F57"/>
    <w:rsid w:val="0030518A"/>
    <w:rsid w:val="00306509"/>
    <w:rsid w:val="00306B0B"/>
    <w:rsid w:val="003077B5"/>
    <w:rsid w:val="003077F9"/>
    <w:rsid w:val="003106BA"/>
    <w:rsid w:val="00310D53"/>
    <w:rsid w:val="003212CE"/>
    <w:rsid w:val="00321857"/>
    <w:rsid w:val="003222D4"/>
    <w:rsid w:val="00325DD5"/>
    <w:rsid w:val="00330FBA"/>
    <w:rsid w:val="00334158"/>
    <w:rsid w:val="00337A12"/>
    <w:rsid w:val="0034075C"/>
    <w:rsid w:val="003410F6"/>
    <w:rsid w:val="00341D59"/>
    <w:rsid w:val="00343BE1"/>
    <w:rsid w:val="003440AD"/>
    <w:rsid w:val="003444E6"/>
    <w:rsid w:val="00344F9C"/>
    <w:rsid w:val="00345263"/>
    <w:rsid w:val="00346649"/>
    <w:rsid w:val="00346E35"/>
    <w:rsid w:val="00351058"/>
    <w:rsid w:val="00353C08"/>
    <w:rsid w:val="003550A2"/>
    <w:rsid w:val="00355658"/>
    <w:rsid w:val="00356810"/>
    <w:rsid w:val="00360D19"/>
    <w:rsid w:val="00364FBD"/>
    <w:rsid w:val="0036532A"/>
    <w:rsid w:val="00366DFA"/>
    <w:rsid w:val="00367173"/>
    <w:rsid w:val="003678FB"/>
    <w:rsid w:val="003707E8"/>
    <w:rsid w:val="00371391"/>
    <w:rsid w:val="00373714"/>
    <w:rsid w:val="00376947"/>
    <w:rsid w:val="00376CE7"/>
    <w:rsid w:val="0038038F"/>
    <w:rsid w:val="00380C77"/>
    <w:rsid w:val="00383C69"/>
    <w:rsid w:val="00385FCA"/>
    <w:rsid w:val="00386712"/>
    <w:rsid w:val="0038705B"/>
    <w:rsid w:val="00392DDD"/>
    <w:rsid w:val="00395D74"/>
    <w:rsid w:val="00396251"/>
    <w:rsid w:val="00396C67"/>
    <w:rsid w:val="00397411"/>
    <w:rsid w:val="003A172C"/>
    <w:rsid w:val="003A2A9A"/>
    <w:rsid w:val="003A32BA"/>
    <w:rsid w:val="003A642A"/>
    <w:rsid w:val="003B164B"/>
    <w:rsid w:val="003B18F4"/>
    <w:rsid w:val="003B286C"/>
    <w:rsid w:val="003B2C6C"/>
    <w:rsid w:val="003B3428"/>
    <w:rsid w:val="003B6D7B"/>
    <w:rsid w:val="003B7278"/>
    <w:rsid w:val="003C11DC"/>
    <w:rsid w:val="003C41CB"/>
    <w:rsid w:val="003C63B8"/>
    <w:rsid w:val="003D012A"/>
    <w:rsid w:val="003D0A76"/>
    <w:rsid w:val="003D1FE9"/>
    <w:rsid w:val="003D6ADB"/>
    <w:rsid w:val="003D6D0D"/>
    <w:rsid w:val="003D7120"/>
    <w:rsid w:val="003D7B99"/>
    <w:rsid w:val="003E35B3"/>
    <w:rsid w:val="003E4702"/>
    <w:rsid w:val="003E693D"/>
    <w:rsid w:val="003E7012"/>
    <w:rsid w:val="003F04A0"/>
    <w:rsid w:val="003F0EEC"/>
    <w:rsid w:val="003F3C80"/>
    <w:rsid w:val="003F44F5"/>
    <w:rsid w:val="003F635A"/>
    <w:rsid w:val="003F7C0B"/>
    <w:rsid w:val="004026BD"/>
    <w:rsid w:val="004070B8"/>
    <w:rsid w:val="0041512F"/>
    <w:rsid w:val="00417C40"/>
    <w:rsid w:val="00421476"/>
    <w:rsid w:val="00423C63"/>
    <w:rsid w:val="004258C6"/>
    <w:rsid w:val="004269F2"/>
    <w:rsid w:val="00427538"/>
    <w:rsid w:val="00433C3F"/>
    <w:rsid w:val="00441970"/>
    <w:rsid w:val="00441EE5"/>
    <w:rsid w:val="00441FE7"/>
    <w:rsid w:val="004428CA"/>
    <w:rsid w:val="00445D3F"/>
    <w:rsid w:val="004464FD"/>
    <w:rsid w:val="00446B91"/>
    <w:rsid w:val="004517FB"/>
    <w:rsid w:val="0045375C"/>
    <w:rsid w:val="00454A6B"/>
    <w:rsid w:val="0045775C"/>
    <w:rsid w:val="004608DB"/>
    <w:rsid w:val="00472382"/>
    <w:rsid w:val="00472742"/>
    <w:rsid w:val="004735E4"/>
    <w:rsid w:val="0047377C"/>
    <w:rsid w:val="0047555C"/>
    <w:rsid w:val="00480258"/>
    <w:rsid w:val="00484EF6"/>
    <w:rsid w:val="0048646A"/>
    <w:rsid w:val="00486EB1"/>
    <w:rsid w:val="0048780B"/>
    <w:rsid w:val="00491783"/>
    <w:rsid w:val="00491B0A"/>
    <w:rsid w:val="004921C6"/>
    <w:rsid w:val="004977E5"/>
    <w:rsid w:val="00497841"/>
    <w:rsid w:val="004A1118"/>
    <w:rsid w:val="004A217A"/>
    <w:rsid w:val="004A2AAB"/>
    <w:rsid w:val="004A39E4"/>
    <w:rsid w:val="004A5EBA"/>
    <w:rsid w:val="004A6213"/>
    <w:rsid w:val="004B200B"/>
    <w:rsid w:val="004B6A0B"/>
    <w:rsid w:val="004B76AB"/>
    <w:rsid w:val="004C04BA"/>
    <w:rsid w:val="004C05EB"/>
    <w:rsid w:val="004C1724"/>
    <w:rsid w:val="004C227F"/>
    <w:rsid w:val="004C3698"/>
    <w:rsid w:val="004C36ED"/>
    <w:rsid w:val="004C677A"/>
    <w:rsid w:val="004C6E38"/>
    <w:rsid w:val="004D017C"/>
    <w:rsid w:val="004D4C24"/>
    <w:rsid w:val="004D55F3"/>
    <w:rsid w:val="004D5619"/>
    <w:rsid w:val="004D617E"/>
    <w:rsid w:val="004E1F5F"/>
    <w:rsid w:val="004E276A"/>
    <w:rsid w:val="004E3C5A"/>
    <w:rsid w:val="004E65FD"/>
    <w:rsid w:val="004E69E3"/>
    <w:rsid w:val="004E7376"/>
    <w:rsid w:val="004F56DA"/>
    <w:rsid w:val="004F5D55"/>
    <w:rsid w:val="004F7C9F"/>
    <w:rsid w:val="00503E53"/>
    <w:rsid w:val="00505197"/>
    <w:rsid w:val="0050599A"/>
    <w:rsid w:val="005076AE"/>
    <w:rsid w:val="005101DC"/>
    <w:rsid w:val="00510D8C"/>
    <w:rsid w:val="005127A1"/>
    <w:rsid w:val="00515A0F"/>
    <w:rsid w:val="00515FF1"/>
    <w:rsid w:val="0051640B"/>
    <w:rsid w:val="00520170"/>
    <w:rsid w:val="005213FE"/>
    <w:rsid w:val="005224C4"/>
    <w:rsid w:val="0052318B"/>
    <w:rsid w:val="0052748A"/>
    <w:rsid w:val="005307A9"/>
    <w:rsid w:val="005323CB"/>
    <w:rsid w:val="00533CEF"/>
    <w:rsid w:val="0053501D"/>
    <w:rsid w:val="0053502F"/>
    <w:rsid w:val="00536387"/>
    <w:rsid w:val="00536D80"/>
    <w:rsid w:val="00536ED3"/>
    <w:rsid w:val="00541AE9"/>
    <w:rsid w:val="005450AC"/>
    <w:rsid w:val="00550ECA"/>
    <w:rsid w:val="00551846"/>
    <w:rsid w:val="00551951"/>
    <w:rsid w:val="005531A5"/>
    <w:rsid w:val="0055351B"/>
    <w:rsid w:val="005537D3"/>
    <w:rsid w:val="00554591"/>
    <w:rsid w:val="00554B0D"/>
    <w:rsid w:val="00555514"/>
    <w:rsid w:val="00555ECD"/>
    <w:rsid w:val="00556667"/>
    <w:rsid w:val="00562346"/>
    <w:rsid w:val="0056472F"/>
    <w:rsid w:val="005675B9"/>
    <w:rsid w:val="005676EE"/>
    <w:rsid w:val="00570284"/>
    <w:rsid w:val="00575624"/>
    <w:rsid w:val="0057744B"/>
    <w:rsid w:val="0058540C"/>
    <w:rsid w:val="005878AB"/>
    <w:rsid w:val="005901E4"/>
    <w:rsid w:val="0059076E"/>
    <w:rsid w:val="00591F35"/>
    <w:rsid w:val="005930AF"/>
    <w:rsid w:val="00597891"/>
    <w:rsid w:val="00597B24"/>
    <w:rsid w:val="00597B2E"/>
    <w:rsid w:val="005A0324"/>
    <w:rsid w:val="005A0AFE"/>
    <w:rsid w:val="005A13B5"/>
    <w:rsid w:val="005A155E"/>
    <w:rsid w:val="005A3E88"/>
    <w:rsid w:val="005A5345"/>
    <w:rsid w:val="005A5AAF"/>
    <w:rsid w:val="005A7A2E"/>
    <w:rsid w:val="005B02D5"/>
    <w:rsid w:val="005B1DFF"/>
    <w:rsid w:val="005B256D"/>
    <w:rsid w:val="005B327E"/>
    <w:rsid w:val="005B3F87"/>
    <w:rsid w:val="005B40B9"/>
    <w:rsid w:val="005B4DCB"/>
    <w:rsid w:val="005C14E7"/>
    <w:rsid w:val="005C24F7"/>
    <w:rsid w:val="005C4607"/>
    <w:rsid w:val="005C5E0D"/>
    <w:rsid w:val="005C7188"/>
    <w:rsid w:val="005D3A1E"/>
    <w:rsid w:val="005D3BBE"/>
    <w:rsid w:val="005D3CDB"/>
    <w:rsid w:val="005D6A4E"/>
    <w:rsid w:val="005D6C92"/>
    <w:rsid w:val="005E10A1"/>
    <w:rsid w:val="005E3104"/>
    <w:rsid w:val="005E4B5D"/>
    <w:rsid w:val="005E7D75"/>
    <w:rsid w:val="005F0039"/>
    <w:rsid w:val="005F2490"/>
    <w:rsid w:val="005F5401"/>
    <w:rsid w:val="005F6EAD"/>
    <w:rsid w:val="005F753E"/>
    <w:rsid w:val="005F7D21"/>
    <w:rsid w:val="005F7DAA"/>
    <w:rsid w:val="00602A2F"/>
    <w:rsid w:val="00605F06"/>
    <w:rsid w:val="006107BA"/>
    <w:rsid w:val="00610B0E"/>
    <w:rsid w:val="00611DB4"/>
    <w:rsid w:val="006124A4"/>
    <w:rsid w:val="006163CF"/>
    <w:rsid w:val="00616CBA"/>
    <w:rsid w:val="00617ACA"/>
    <w:rsid w:val="00617F20"/>
    <w:rsid w:val="00620249"/>
    <w:rsid w:val="00621011"/>
    <w:rsid w:val="00622D2B"/>
    <w:rsid w:val="0062737C"/>
    <w:rsid w:val="006307C4"/>
    <w:rsid w:val="00632085"/>
    <w:rsid w:val="006348EE"/>
    <w:rsid w:val="00634F18"/>
    <w:rsid w:val="006479A5"/>
    <w:rsid w:val="006508F1"/>
    <w:rsid w:val="00651569"/>
    <w:rsid w:val="00652ED5"/>
    <w:rsid w:val="006530B8"/>
    <w:rsid w:val="00653FA0"/>
    <w:rsid w:val="00654941"/>
    <w:rsid w:val="00654DA7"/>
    <w:rsid w:val="00654E4C"/>
    <w:rsid w:val="006557F0"/>
    <w:rsid w:val="00661476"/>
    <w:rsid w:val="00667F07"/>
    <w:rsid w:val="0067259B"/>
    <w:rsid w:val="00672663"/>
    <w:rsid w:val="0067463A"/>
    <w:rsid w:val="00675725"/>
    <w:rsid w:val="0067681E"/>
    <w:rsid w:val="0067784F"/>
    <w:rsid w:val="00680DBA"/>
    <w:rsid w:val="00681885"/>
    <w:rsid w:val="00683AD9"/>
    <w:rsid w:val="0069353B"/>
    <w:rsid w:val="0069394B"/>
    <w:rsid w:val="00693CD2"/>
    <w:rsid w:val="00695625"/>
    <w:rsid w:val="006A2CB3"/>
    <w:rsid w:val="006A3523"/>
    <w:rsid w:val="006A4916"/>
    <w:rsid w:val="006A5BC8"/>
    <w:rsid w:val="006A6834"/>
    <w:rsid w:val="006B3FC7"/>
    <w:rsid w:val="006B7356"/>
    <w:rsid w:val="006C20B0"/>
    <w:rsid w:val="006C2F70"/>
    <w:rsid w:val="006C4EA2"/>
    <w:rsid w:val="006C557E"/>
    <w:rsid w:val="006C6D03"/>
    <w:rsid w:val="006D1840"/>
    <w:rsid w:val="006D2908"/>
    <w:rsid w:val="006D3B2C"/>
    <w:rsid w:val="006D4761"/>
    <w:rsid w:val="006D789C"/>
    <w:rsid w:val="006D7AFC"/>
    <w:rsid w:val="006E092F"/>
    <w:rsid w:val="006E2477"/>
    <w:rsid w:val="006E2609"/>
    <w:rsid w:val="006E5489"/>
    <w:rsid w:val="006E623D"/>
    <w:rsid w:val="006E6857"/>
    <w:rsid w:val="006F19A7"/>
    <w:rsid w:val="006F3A0E"/>
    <w:rsid w:val="006F5D45"/>
    <w:rsid w:val="006F7EF5"/>
    <w:rsid w:val="00700AAB"/>
    <w:rsid w:val="0070337C"/>
    <w:rsid w:val="007066D9"/>
    <w:rsid w:val="00713E3C"/>
    <w:rsid w:val="00713EE9"/>
    <w:rsid w:val="00713F9F"/>
    <w:rsid w:val="007153B1"/>
    <w:rsid w:val="007200A9"/>
    <w:rsid w:val="007234A9"/>
    <w:rsid w:val="007234D2"/>
    <w:rsid w:val="0072378E"/>
    <w:rsid w:val="00723BF3"/>
    <w:rsid w:val="007244AE"/>
    <w:rsid w:val="00730896"/>
    <w:rsid w:val="00731807"/>
    <w:rsid w:val="00731C7C"/>
    <w:rsid w:val="00732347"/>
    <w:rsid w:val="0073337C"/>
    <w:rsid w:val="00733D0C"/>
    <w:rsid w:val="00733DC0"/>
    <w:rsid w:val="00734BD7"/>
    <w:rsid w:val="0073735C"/>
    <w:rsid w:val="00740179"/>
    <w:rsid w:val="00740DDF"/>
    <w:rsid w:val="00744CBE"/>
    <w:rsid w:val="0074790F"/>
    <w:rsid w:val="00747E55"/>
    <w:rsid w:val="00751ED2"/>
    <w:rsid w:val="00752608"/>
    <w:rsid w:val="007541F9"/>
    <w:rsid w:val="007549A4"/>
    <w:rsid w:val="00754B19"/>
    <w:rsid w:val="00764269"/>
    <w:rsid w:val="00764297"/>
    <w:rsid w:val="00764904"/>
    <w:rsid w:val="00765F48"/>
    <w:rsid w:val="00771416"/>
    <w:rsid w:val="007748F0"/>
    <w:rsid w:val="00774BA1"/>
    <w:rsid w:val="00774DA3"/>
    <w:rsid w:val="0077534F"/>
    <w:rsid w:val="00775DD9"/>
    <w:rsid w:val="0077686D"/>
    <w:rsid w:val="00776C26"/>
    <w:rsid w:val="0078325D"/>
    <w:rsid w:val="007842D6"/>
    <w:rsid w:val="00785F0C"/>
    <w:rsid w:val="007864A3"/>
    <w:rsid w:val="00786542"/>
    <w:rsid w:val="00786F94"/>
    <w:rsid w:val="00790E92"/>
    <w:rsid w:val="00792B63"/>
    <w:rsid w:val="00794228"/>
    <w:rsid w:val="007A2A7F"/>
    <w:rsid w:val="007A37F5"/>
    <w:rsid w:val="007A4497"/>
    <w:rsid w:val="007A56C8"/>
    <w:rsid w:val="007A69A2"/>
    <w:rsid w:val="007A78DF"/>
    <w:rsid w:val="007B3B2D"/>
    <w:rsid w:val="007B4630"/>
    <w:rsid w:val="007C019F"/>
    <w:rsid w:val="007C0AD4"/>
    <w:rsid w:val="007C2BDB"/>
    <w:rsid w:val="007C6D6D"/>
    <w:rsid w:val="007D04BC"/>
    <w:rsid w:val="007D38A6"/>
    <w:rsid w:val="007D5EBD"/>
    <w:rsid w:val="007D67BB"/>
    <w:rsid w:val="007E05C0"/>
    <w:rsid w:val="007E2649"/>
    <w:rsid w:val="007E6FA0"/>
    <w:rsid w:val="007E7157"/>
    <w:rsid w:val="007F0A6C"/>
    <w:rsid w:val="007F5312"/>
    <w:rsid w:val="007F602E"/>
    <w:rsid w:val="007F6B02"/>
    <w:rsid w:val="007F79BE"/>
    <w:rsid w:val="00800C09"/>
    <w:rsid w:val="008028B4"/>
    <w:rsid w:val="008037FC"/>
    <w:rsid w:val="00805B1E"/>
    <w:rsid w:val="00806A7C"/>
    <w:rsid w:val="008073C6"/>
    <w:rsid w:val="008075B5"/>
    <w:rsid w:val="00814F8A"/>
    <w:rsid w:val="00820CC9"/>
    <w:rsid w:val="00823F05"/>
    <w:rsid w:val="008259F0"/>
    <w:rsid w:val="00826260"/>
    <w:rsid w:val="00827038"/>
    <w:rsid w:val="00827335"/>
    <w:rsid w:val="00827A37"/>
    <w:rsid w:val="00830A20"/>
    <w:rsid w:val="00831A93"/>
    <w:rsid w:val="00831E7E"/>
    <w:rsid w:val="00835380"/>
    <w:rsid w:val="00837DA2"/>
    <w:rsid w:val="00842ED4"/>
    <w:rsid w:val="00846148"/>
    <w:rsid w:val="00847A4A"/>
    <w:rsid w:val="00851C0F"/>
    <w:rsid w:val="0085297B"/>
    <w:rsid w:val="008564A7"/>
    <w:rsid w:val="00857F4C"/>
    <w:rsid w:val="0086012D"/>
    <w:rsid w:val="008603ED"/>
    <w:rsid w:val="00861254"/>
    <w:rsid w:val="00863575"/>
    <w:rsid w:val="00864760"/>
    <w:rsid w:val="00866130"/>
    <w:rsid w:val="00867705"/>
    <w:rsid w:val="00870401"/>
    <w:rsid w:val="00871BF4"/>
    <w:rsid w:val="00873882"/>
    <w:rsid w:val="008743C1"/>
    <w:rsid w:val="0087676F"/>
    <w:rsid w:val="0088181B"/>
    <w:rsid w:val="00883063"/>
    <w:rsid w:val="00884C6B"/>
    <w:rsid w:val="00887F73"/>
    <w:rsid w:val="008909A0"/>
    <w:rsid w:val="00893785"/>
    <w:rsid w:val="0089503B"/>
    <w:rsid w:val="008A0F18"/>
    <w:rsid w:val="008A203D"/>
    <w:rsid w:val="008A3D7B"/>
    <w:rsid w:val="008A5587"/>
    <w:rsid w:val="008A672E"/>
    <w:rsid w:val="008A6C60"/>
    <w:rsid w:val="008A74F5"/>
    <w:rsid w:val="008B0135"/>
    <w:rsid w:val="008B2A53"/>
    <w:rsid w:val="008B2E1D"/>
    <w:rsid w:val="008B381B"/>
    <w:rsid w:val="008B42F3"/>
    <w:rsid w:val="008B43F1"/>
    <w:rsid w:val="008B5A20"/>
    <w:rsid w:val="008B713D"/>
    <w:rsid w:val="008B76E2"/>
    <w:rsid w:val="008B7E33"/>
    <w:rsid w:val="008C265C"/>
    <w:rsid w:val="008C2A72"/>
    <w:rsid w:val="008C2C3C"/>
    <w:rsid w:val="008C65E5"/>
    <w:rsid w:val="008C6C1D"/>
    <w:rsid w:val="008C7B14"/>
    <w:rsid w:val="008C7E6F"/>
    <w:rsid w:val="008D058D"/>
    <w:rsid w:val="008D1623"/>
    <w:rsid w:val="008D1FB2"/>
    <w:rsid w:val="008D1FB5"/>
    <w:rsid w:val="008D3B4D"/>
    <w:rsid w:val="008E13AC"/>
    <w:rsid w:val="008E3924"/>
    <w:rsid w:val="008E3C48"/>
    <w:rsid w:val="008E60D8"/>
    <w:rsid w:val="008F014E"/>
    <w:rsid w:val="008F0438"/>
    <w:rsid w:val="008F1157"/>
    <w:rsid w:val="008F5B3F"/>
    <w:rsid w:val="00902113"/>
    <w:rsid w:val="00903148"/>
    <w:rsid w:val="00903867"/>
    <w:rsid w:val="00910F0C"/>
    <w:rsid w:val="00912559"/>
    <w:rsid w:val="00915EA5"/>
    <w:rsid w:val="00916BC9"/>
    <w:rsid w:val="00920676"/>
    <w:rsid w:val="00920A2A"/>
    <w:rsid w:val="00922624"/>
    <w:rsid w:val="00922811"/>
    <w:rsid w:val="00927250"/>
    <w:rsid w:val="00927CD9"/>
    <w:rsid w:val="00930079"/>
    <w:rsid w:val="009313B2"/>
    <w:rsid w:val="0093165D"/>
    <w:rsid w:val="009345B4"/>
    <w:rsid w:val="00934EB5"/>
    <w:rsid w:val="009355A9"/>
    <w:rsid w:val="00937AF7"/>
    <w:rsid w:val="00937DC2"/>
    <w:rsid w:val="00937E64"/>
    <w:rsid w:val="0094046C"/>
    <w:rsid w:val="00942C56"/>
    <w:rsid w:val="009465ED"/>
    <w:rsid w:val="009478B3"/>
    <w:rsid w:val="00951BC3"/>
    <w:rsid w:val="00962D02"/>
    <w:rsid w:val="0096324A"/>
    <w:rsid w:val="00964DDB"/>
    <w:rsid w:val="00965D3F"/>
    <w:rsid w:val="009662D8"/>
    <w:rsid w:val="00967D52"/>
    <w:rsid w:val="00970A9F"/>
    <w:rsid w:val="009720ED"/>
    <w:rsid w:val="009732A4"/>
    <w:rsid w:val="00973B10"/>
    <w:rsid w:val="00974FFB"/>
    <w:rsid w:val="00975664"/>
    <w:rsid w:val="00975D1B"/>
    <w:rsid w:val="00976BDB"/>
    <w:rsid w:val="009775B0"/>
    <w:rsid w:val="00981CDF"/>
    <w:rsid w:val="0098283F"/>
    <w:rsid w:val="00987A2B"/>
    <w:rsid w:val="00991603"/>
    <w:rsid w:val="00992F3E"/>
    <w:rsid w:val="00995CB2"/>
    <w:rsid w:val="00996AB9"/>
    <w:rsid w:val="0099744E"/>
    <w:rsid w:val="00997FF0"/>
    <w:rsid w:val="009A2D17"/>
    <w:rsid w:val="009A463C"/>
    <w:rsid w:val="009A54DE"/>
    <w:rsid w:val="009B4999"/>
    <w:rsid w:val="009B68AC"/>
    <w:rsid w:val="009C5E8E"/>
    <w:rsid w:val="009D23B0"/>
    <w:rsid w:val="009D3E1A"/>
    <w:rsid w:val="009D5084"/>
    <w:rsid w:val="009E0DF2"/>
    <w:rsid w:val="009E41B0"/>
    <w:rsid w:val="009E4A9D"/>
    <w:rsid w:val="009E5F70"/>
    <w:rsid w:val="009F05BF"/>
    <w:rsid w:val="009F0C36"/>
    <w:rsid w:val="009F2DD3"/>
    <w:rsid w:val="009F34F6"/>
    <w:rsid w:val="009F5342"/>
    <w:rsid w:val="009F5B9B"/>
    <w:rsid w:val="00A0150E"/>
    <w:rsid w:val="00A01594"/>
    <w:rsid w:val="00A02604"/>
    <w:rsid w:val="00A03A18"/>
    <w:rsid w:val="00A1249E"/>
    <w:rsid w:val="00A16292"/>
    <w:rsid w:val="00A16562"/>
    <w:rsid w:val="00A17078"/>
    <w:rsid w:val="00A1780B"/>
    <w:rsid w:val="00A2128A"/>
    <w:rsid w:val="00A23059"/>
    <w:rsid w:val="00A263BB"/>
    <w:rsid w:val="00A27846"/>
    <w:rsid w:val="00A311D3"/>
    <w:rsid w:val="00A31266"/>
    <w:rsid w:val="00A31635"/>
    <w:rsid w:val="00A31CDC"/>
    <w:rsid w:val="00A324C7"/>
    <w:rsid w:val="00A34263"/>
    <w:rsid w:val="00A34C92"/>
    <w:rsid w:val="00A40E60"/>
    <w:rsid w:val="00A4322A"/>
    <w:rsid w:val="00A44206"/>
    <w:rsid w:val="00A46936"/>
    <w:rsid w:val="00A47117"/>
    <w:rsid w:val="00A52509"/>
    <w:rsid w:val="00A52B4C"/>
    <w:rsid w:val="00A54F57"/>
    <w:rsid w:val="00A54FF5"/>
    <w:rsid w:val="00A557DE"/>
    <w:rsid w:val="00A63A75"/>
    <w:rsid w:val="00A64172"/>
    <w:rsid w:val="00A642BD"/>
    <w:rsid w:val="00A66A7D"/>
    <w:rsid w:val="00A66EA2"/>
    <w:rsid w:val="00A673CD"/>
    <w:rsid w:val="00A67D6B"/>
    <w:rsid w:val="00A70893"/>
    <w:rsid w:val="00A71CB3"/>
    <w:rsid w:val="00A72702"/>
    <w:rsid w:val="00A755CA"/>
    <w:rsid w:val="00A75D51"/>
    <w:rsid w:val="00A7770D"/>
    <w:rsid w:val="00A80909"/>
    <w:rsid w:val="00A8177F"/>
    <w:rsid w:val="00A84AB3"/>
    <w:rsid w:val="00A90DA1"/>
    <w:rsid w:val="00A91C02"/>
    <w:rsid w:val="00A926A1"/>
    <w:rsid w:val="00A933E9"/>
    <w:rsid w:val="00A947A2"/>
    <w:rsid w:val="00A9651D"/>
    <w:rsid w:val="00AA1643"/>
    <w:rsid w:val="00AA229E"/>
    <w:rsid w:val="00AA2BBB"/>
    <w:rsid w:val="00AA3754"/>
    <w:rsid w:val="00AB05EA"/>
    <w:rsid w:val="00AB14BE"/>
    <w:rsid w:val="00AB405D"/>
    <w:rsid w:val="00AB54B6"/>
    <w:rsid w:val="00AB5587"/>
    <w:rsid w:val="00AB5601"/>
    <w:rsid w:val="00AB5648"/>
    <w:rsid w:val="00AB62C4"/>
    <w:rsid w:val="00AB7A7F"/>
    <w:rsid w:val="00AC0321"/>
    <w:rsid w:val="00AC06D0"/>
    <w:rsid w:val="00AC2D3D"/>
    <w:rsid w:val="00AC5B1C"/>
    <w:rsid w:val="00AD2A36"/>
    <w:rsid w:val="00AD659F"/>
    <w:rsid w:val="00AD726B"/>
    <w:rsid w:val="00AD7DE1"/>
    <w:rsid w:val="00AE24ED"/>
    <w:rsid w:val="00AE2CDE"/>
    <w:rsid w:val="00AE3427"/>
    <w:rsid w:val="00AE3DF7"/>
    <w:rsid w:val="00AE5529"/>
    <w:rsid w:val="00AE7AFC"/>
    <w:rsid w:val="00AF06C9"/>
    <w:rsid w:val="00AF0BC1"/>
    <w:rsid w:val="00AF1E6F"/>
    <w:rsid w:val="00AF676E"/>
    <w:rsid w:val="00B01150"/>
    <w:rsid w:val="00B01CA6"/>
    <w:rsid w:val="00B0306A"/>
    <w:rsid w:val="00B050E9"/>
    <w:rsid w:val="00B07DE1"/>
    <w:rsid w:val="00B10302"/>
    <w:rsid w:val="00B10608"/>
    <w:rsid w:val="00B132A2"/>
    <w:rsid w:val="00B16067"/>
    <w:rsid w:val="00B217A6"/>
    <w:rsid w:val="00B226B7"/>
    <w:rsid w:val="00B24A2F"/>
    <w:rsid w:val="00B27BE5"/>
    <w:rsid w:val="00B310D7"/>
    <w:rsid w:val="00B316D9"/>
    <w:rsid w:val="00B322CA"/>
    <w:rsid w:val="00B32677"/>
    <w:rsid w:val="00B32901"/>
    <w:rsid w:val="00B33487"/>
    <w:rsid w:val="00B34825"/>
    <w:rsid w:val="00B34D0E"/>
    <w:rsid w:val="00B3530B"/>
    <w:rsid w:val="00B457DC"/>
    <w:rsid w:val="00B465DF"/>
    <w:rsid w:val="00B51301"/>
    <w:rsid w:val="00B544B2"/>
    <w:rsid w:val="00B60861"/>
    <w:rsid w:val="00B616AC"/>
    <w:rsid w:val="00B6494C"/>
    <w:rsid w:val="00B6687C"/>
    <w:rsid w:val="00B71A19"/>
    <w:rsid w:val="00B72B03"/>
    <w:rsid w:val="00B72D53"/>
    <w:rsid w:val="00B73675"/>
    <w:rsid w:val="00B74619"/>
    <w:rsid w:val="00B80FF7"/>
    <w:rsid w:val="00B82519"/>
    <w:rsid w:val="00B82A9A"/>
    <w:rsid w:val="00B84845"/>
    <w:rsid w:val="00B84AC7"/>
    <w:rsid w:val="00B91AA1"/>
    <w:rsid w:val="00B91E1F"/>
    <w:rsid w:val="00B93892"/>
    <w:rsid w:val="00B946B9"/>
    <w:rsid w:val="00B947AB"/>
    <w:rsid w:val="00B96A7C"/>
    <w:rsid w:val="00BA3A7C"/>
    <w:rsid w:val="00BA4EB6"/>
    <w:rsid w:val="00BA5075"/>
    <w:rsid w:val="00BA6B21"/>
    <w:rsid w:val="00BB1226"/>
    <w:rsid w:val="00BB15CC"/>
    <w:rsid w:val="00BB170B"/>
    <w:rsid w:val="00BB3C80"/>
    <w:rsid w:val="00BB3FFB"/>
    <w:rsid w:val="00BB5B5C"/>
    <w:rsid w:val="00BB7096"/>
    <w:rsid w:val="00BC1353"/>
    <w:rsid w:val="00BC2EA7"/>
    <w:rsid w:val="00BC3868"/>
    <w:rsid w:val="00BC5353"/>
    <w:rsid w:val="00BC7B6C"/>
    <w:rsid w:val="00BC7BAB"/>
    <w:rsid w:val="00BD00B2"/>
    <w:rsid w:val="00BD4FB2"/>
    <w:rsid w:val="00BD76AC"/>
    <w:rsid w:val="00BE470C"/>
    <w:rsid w:val="00BE63F3"/>
    <w:rsid w:val="00BE77B2"/>
    <w:rsid w:val="00BF1D09"/>
    <w:rsid w:val="00BF2447"/>
    <w:rsid w:val="00BF255F"/>
    <w:rsid w:val="00BF3290"/>
    <w:rsid w:val="00BF6E6F"/>
    <w:rsid w:val="00C01E5E"/>
    <w:rsid w:val="00C02FD8"/>
    <w:rsid w:val="00C033DF"/>
    <w:rsid w:val="00C079D5"/>
    <w:rsid w:val="00C07EF4"/>
    <w:rsid w:val="00C10466"/>
    <w:rsid w:val="00C114C8"/>
    <w:rsid w:val="00C13891"/>
    <w:rsid w:val="00C21F78"/>
    <w:rsid w:val="00C22AFB"/>
    <w:rsid w:val="00C242F3"/>
    <w:rsid w:val="00C2548A"/>
    <w:rsid w:val="00C25E7C"/>
    <w:rsid w:val="00C26C55"/>
    <w:rsid w:val="00C27BC6"/>
    <w:rsid w:val="00C3044F"/>
    <w:rsid w:val="00C30BE9"/>
    <w:rsid w:val="00C315A1"/>
    <w:rsid w:val="00C32292"/>
    <w:rsid w:val="00C3781B"/>
    <w:rsid w:val="00C40092"/>
    <w:rsid w:val="00C4043F"/>
    <w:rsid w:val="00C419A2"/>
    <w:rsid w:val="00C45767"/>
    <w:rsid w:val="00C46520"/>
    <w:rsid w:val="00C46617"/>
    <w:rsid w:val="00C477ED"/>
    <w:rsid w:val="00C50E23"/>
    <w:rsid w:val="00C51CB4"/>
    <w:rsid w:val="00C53C14"/>
    <w:rsid w:val="00C541FC"/>
    <w:rsid w:val="00C5429A"/>
    <w:rsid w:val="00C54E9E"/>
    <w:rsid w:val="00C57E14"/>
    <w:rsid w:val="00C600A8"/>
    <w:rsid w:val="00C62B89"/>
    <w:rsid w:val="00C643CB"/>
    <w:rsid w:val="00C702D9"/>
    <w:rsid w:val="00C7243B"/>
    <w:rsid w:val="00C725BD"/>
    <w:rsid w:val="00C73874"/>
    <w:rsid w:val="00C74074"/>
    <w:rsid w:val="00C74AA3"/>
    <w:rsid w:val="00C75A48"/>
    <w:rsid w:val="00C761AC"/>
    <w:rsid w:val="00C76FBE"/>
    <w:rsid w:val="00C8114E"/>
    <w:rsid w:val="00C827DB"/>
    <w:rsid w:val="00C8454B"/>
    <w:rsid w:val="00C86E25"/>
    <w:rsid w:val="00C91117"/>
    <w:rsid w:val="00C9130C"/>
    <w:rsid w:val="00C916B4"/>
    <w:rsid w:val="00C92B7B"/>
    <w:rsid w:val="00C953ED"/>
    <w:rsid w:val="00C95CCA"/>
    <w:rsid w:val="00CA06CB"/>
    <w:rsid w:val="00CA1F3D"/>
    <w:rsid w:val="00CA39ED"/>
    <w:rsid w:val="00CB04C8"/>
    <w:rsid w:val="00CB212A"/>
    <w:rsid w:val="00CB37F8"/>
    <w:rsid w:val="00CB56DE"/>
    <w:rsid w:val="00CC3FA4"/>
    <w:rsid w:val="00CC5F61"/>
    <w:rsid w:val="00CD04FA"/>
    <w:rsid w:val="00CD543E"/>
    <w:rsid w:val="00CE0946"/>
    <w:rsid w:val="00CE0B93"/>
    <w:rsid w:val="00CE1FB4"/>
    <w:rsid w:val="00CE26AC"/>
    <w:rsid w:val="00CE28D8"/>
    <w:rsid w:val="00CE3828"/>
    <w:rsid w:val="00CE6EF0"/>
    <w:rsid w:val="00CE7160"/>
    <w:rsid w:val="00CE7FD8"/>
    <w:rsid w:val="00CF0461"/>
    <w:rsid w:val="00CF0B8B"/>
    <w:rsid w:val="00CF1F5E"/>
    <w:rsid w:val="00CF7E98"/>
    <w:rsid w:val="00D058DB"/>
    <w:rsid w:val="00D05A81"/>
    <w:rsid w:val="00D05EA2"/>
    <w:rsid w:val="00D10AF9"/>
    <w:rsid w:val="00D10EEB"/>
    <w:rsid w:val="00D131A2"/>
    <w:rsid w:val="00D138F3"/>
    <w:rsid w:val="00D200CF"/>
    <w:rsid w:val="00D2199A"/>
    <w:rsid w:val="00D24142"/>
    <w:rsid w:val="00D24632"/>
    <w:rsid w:val="00D263F2"/>
    <w:rsid w:val="00D27626"/>
    <w:rsid w:val="00D30616"/>
    <w:rsid w:val="00D32759"/>
    <w:rsid w:val="00D33604"/>
    <w:rsid w:val="00D33EC5"/>
    <w:rsid w:val="00D34413"/>
    <w:rsid w:val="00D408B9"/>
    <w:rsid w:val="00D410D8"/>
    <w:rsid w:val="00D41E4C"/>
    <w:rsid w:val="00D473B6"/>
    <w:rsid w:val="00D507CA"/>
    <w:rsid w:val="00D50E9E"/>
    <w:rsid w:val="00D51F5A"/>
    <w:rsid w:val="00D570F5"/>
    <w:rsid w:val="00D57C6F"/>
    <w:rsid w:val="00D613EC"/>
    <w:rsid w:val="00D62042"/>
    <w:rsid w:val="00D62F11"/>
    <w:rsid w:val="00D669F6"/>
    <w:rsid w:val="00D71483"/>
    <w:rsid w:val="00D7271C"/>
    <w:rsid w:val="00D76666"/>
    <w:rsid w:val="00D77B4D"/>
    <w:rsid w:val="00D819B8"/>
    <w:rsid w:val="00D846E4"/>
    <w:rsid w:val="00D85CAD"/>
    <w:rsid w:val="00D86F81"/>
    <w:rsid w:val="00D87BB1"/>
    <w:rsid w:val="00D90AF1"/>
    <w:rsid w:val="00D9230D"/>
    <w:rsid w:val="00D93A87"/>
    <w:rsid w:val="00D94D8D"/>
    <w:rsid w:val="00D95ACB"/>
    <w:rsid w:val="00D95F01"/>
    <w:rsid w:val="00D961DD"/>
    <w:rsid w:val="00DA1EAE"/>
    <w:rsid w:val="00DA3B11"/>
    <w:rsid w:val="00DA3F70"/>
    <w:rsid w:val="00DA4C64"/>
    <w:rsid w:val="00DA64AB"/>
    <w:rsid w:val="00DB0816"/>
    <w:rsid w:val="00DB18E2"/>
    <w:rsid w:val="00DB4647"/>
    <w:rsid w:val="00DB5772"/>
    <w:rsid w:val="00DB63F6"/>
    <w:rsid w:val="00DB6F13"/>
    <w:rsid w:val="00DB7A43"/>
    <w:rsid w:val="00DC3004"/>
    <w:rsid w:val="00DC315B"/>
    <w:rsid w:val="00DC4464"/>
    <w:rsid w:val="00DC55F4"/>
    <w:rsid w:val="00DC6506"/>
    <w:rsid w:val="00DC7CDD"/>
    <w:rsid w:val="00DD0BAD"/>
    <w:rsid w:val="00DD2F6C"/>
    <w:rsid w:val="00DD4350"/>
    <w:rsid w:val="00DD4E67"/>
    <w:rsid w:val="00DD7847"/>
    <w:rsid w:val="00DE20A0"/>
    <w:rsid w:val="00DE3728"/>
    <w:rsid w:val="00DE45CA"/>
    <w:rsid w:val="00DF0E0B"/>
    <w:rsid w:val="00DF66E3"/>
    <w:rsid w:val="00DF75F4"/>
    <w:rsid w:val="00E00CCC"/>
    <w:rsid w:val="00E025F0"/>
    <w:rsid w:val="00E0455B"/>
    <w:rsid w:val="00E0472D"/>
    <w:rsid w:val="00E05A25"/>
    <w:rsid w:val="00E071F1"/>
    <w:rsid w:val="00E078EB"/>
    <w:rsid w:val="00E07E1E"/>
    <w:rsid w:val="00E102E9"/>
    <w:rsid w:val="00E160E7"/>
    <w:rsid w:val="00E20AD7"/>
    <w:rsid w:val="00E22BA2"/>
    <w:rsid w:val="00E23A4D"/>
    <w:rsid w:val="00E25D4C"/>
    <w:rsid w:val="00E27771"/>
    <w:rsid w:val="00E31E3A"/>
    <w:rsid w:val="00E3319F"/>
    <w:rsid w:val="00E37033"/>
    <w:rsid w:val="00E3769F"/>
    <w:rsid w:val="00E413BF"/>
    <w:rsid w:val="00E414AA"/>
    <w:rsid w:val="00E425F5"/>
    <w:rsid w:val="00E4403E"/>
    <w:rsid w:val="00E4501D"/>
    <w:rsid w:val="00E60565"/>
    <w:rsid w:val="00E62BAE"/>
    <w:rsid w:val="00E63E74"/>
    <w:rsid w:val="00E66EBD"/>
    <w:rsid w:val="00E71C45"/>
    <w:rsid w:val="00E72BBC"/>
    <w:rsid w:val="00E72E20"/>
    <w:rsid w:val="00E74FDE"/>
    <w:rsid w:val="00E75764"/>
    <w:rsid w:val="00E76553"/>
    <w:rsid w:val="00E81B5B"/>
    <w:rsid w:val="00E83BA7"/>
    <w:rsid w:val="00E83DCC"/>
    <w:rsid w:val="00E8454B"/>
    <w:rsid w:val="00E84C73"/>
    <w:rsid w:val="00E850B4"/>
    <w:rsid w:val="00E86964"/>
    <w:rsid w:val="00E87242"/>
    <w:rsid w:val="00E877C5"/>
    <w:rsid w:val="00E91536"/>
    <w:rsid w:val="00E94A0C"/>
    <w:rsid w:val="00EA0516"/>
    <w:rsid w:val="00EA1011"/>
    <w:rsid w:val="00EA193F"/>
    <w:rsid w:val="00EA20EC"/>
    <w:rsid w:val="00EA2260"/>
    <w:rsid w:val="00EA38C5"/>
    <w:rsid w:val="00EA45D6"/>
    <w:rsid w:val="00EA6478"/>
    <w:rsid w:val="00EA7735"/>
    <w:rsid w:val="00EB066E"/>
    <w:rsid w:val="00EB0B49"/>
    <w:rsid w:val="00EB4B4D"/>
    <w:rsid w:val="00EB560E"/>
    <w:rsid w:val="00EB5BEC"/>
    <w:rsid w:val="00EB6E98"/>
    <w:rsid w:val="00EB7753"/>
    <w:rsid w:val="00EC288B"/>
    <w:rsid w:val="00EC3F58"/>
    <w:rsid w:val="00EC4F56"/>
    <w:rsid w:val="00EC63BA"/>
    <w:rsid w:val="00EC676F"/>
    <w:rsid w:val="00EC73B1"/>
    <w:rsid w:val="00EC7CAF"/>
    <w:rsid w:val="00ED1235"/>
    <w:rsid w:val="00ED1EDC"/>
    <w:rsid w:val="00ED2572"/>
    <w:rsid w:val="00ED32A1"/>
    <w:rsid w:val="00ED3DCD"/>
    <w:rsid w:val="00ED530B"/>
    <w:rsid w:val="00ED7531"/>
    <w:rsid w:val="00EE01F0"/>
    <w:rsid w:val="00EE1AAD"/>
    <w:rsid w:val="00EE3551"/>
    <w:rsid w:val="00EE5AB5"/>
    <w:rsid w:val="00EE743F"/>
    <w:rsid w:val="00EF48C3"/>
    <w:rsid w:val="00EF5549"/>
    <w:rsid w:val="00EF5F53"/>
    <w:rsid w:val="00F01AC2"/>
    <w:rsid w:val="00F03985"/>
    <w:rsid w:val="00F03D77"/>
    <w:rsid w:val="00F05E99"/>
    <w:rsid w:val="00F14FF9"/>
    <w:rsid w:val="00F17AEA"/>
    <w:rsid w:val="00F20D8E"/>
    <w:rsid w:val="00F2356C"/>
    <w:rsid w:val="00F24125"/>
    <w:rsid w:val="00F24243"/>
    <w:rsid w:val="00F24D07"/>
    <w:rsid w:val="00F27BBE"/>
    <w:rsid w:val="00F32215"/>
    <w:rsid w:val="00F340FE"/>
    <w:rsid w:val="00F34346"/>
    <w:rsid w:val="00F351FF"/>
    <w:rsid w:val="00F37210"/>
    <w:rsid w:val="00F3776E"/>
    <w:rsid w:val="00F41D14"/>
    <w:rsid w:val="00F45AFA"/>
    <w:rsid w:val="00F469C5"/>
    <w:rsid w:val="00F500E3"/>
    <w:rsid w:val="00F51D33"/>
    <w:rsid w:val="00F51EA7"/>
    <w:rsid w:val="00F55689"/>
    <w:rsid w:val="00F55FBD"/>
    <w:rsid w:val="00F574C0"/>
    <w:rsid w:val="00F6332B"/>
    <w:rsid w:val="00F65477"/>
    <w:rsid w:val="00F65C36"/>
    <w:rsid w:val="00F66E3E"/>
    <w:rsid w:val="00F67F2F"/>
    <w:rsid w:val="00F70CAE"/>
    <w:rsid w:val="00F7126D"/>
    <w:rsid w:val="00F73D8B"/>
    <w:rsid w:val="00F7547C"/>
    <w:rsid w:val="00F76F31"/>
    <w:rsid w:val="00F77603"/>
    <w:rsid w:val="00F77855"/>
    <w:rsid w:val="00F77B02"/>
    <w:rsid w:val="00F837E7"/>
    <w:rsid w:val="00F87027"/>
    <w:rsid w:val="00F92C4A"/>
    <w:rsid w:val="00F935CB"/>
    <w:rsid w:val="00FA72A4"/>
    <w:rsid w:val="00FB6079"/>
    <w:rsid w:val="00FB6E81"/>
    <w:rsid w:val="00FC08F3"/>
    <w:rsid w:val="00FC0974"/>
    <w:rsid w:val="00FC0D6E"/>
    <w:rsid w:val="00FC1BE8"/>
    <w:rsid w:val="00FD525E"/>
    <w:rsid w:val="00FD6767"/>
    <w:rsid w:val="00FD7498"/>
    <w:rsid w:val="00FE0C72"/>
    <w:rsid w:val="00FE0DD2"/>
    <w:rsid w:val="00FE1352"/>
    <w:rsid w:val="00FE14D0"/>
    <w:rsid w:val="00FE22A1"/>
    <w:rsid w:val="00FE2F4F"/>
    <w:rsid w:val="00FE3F5E"/>
    <w:rsid w:val="00FE4187"/>
    <w:rsid w:val="00FE4587"/>
    <w:rsid w:val="00FE78CB"/>
    <w:rsid w:val="00FE7BF1"/>
    <w:rsid w:val="00FF77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6B83934-9CC2-45D3-8A81-4DAF08E11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E7BF1"/>
    <w:pPr>
      <w:spacing w:line="256" w:lineRule="auto"/>
    </w:pPr>
  </w:style>
  <w:style w:type="paragraph" w:styleId="Titolo1">
    <w:name w:val="heading 1"/>
    <w:basedOn w:val="Normale"/>
    <w:next w:val="Normale"/>
    <w:link w:val="Titolo1Carattere"/>
    <w:uiPriority w:val="9"/>
    <w:qFormat/>
    <w:rsid w:val="00240B55"/>
    <w:pPr>
      <w:widowControl w:val="0"/>
      <w:spacing w:after="120"/>
      <w:jc w:val="center"/>
      <w:outlineLvl w:val="0"/>
    </w:pPr>
    <w:rPr>
      <w:rFonts w:ascii="Garamond" w:hAnsi="Garamond" w:cs="Times New Roman"/>
      <w:b/>
      <w:smallCaps/>
      <w:color w:val="000000"/>
      <w:sz w:val="32"/>
      <w:szCs w:val="32"/>
    </w:rPr>
  </w:style>
  <w:style w:type="paragraph" w:styleId="Titolo2">
    <w:name w:val="heading 2"/>
    <w:basedOn w:val="Normale"/>
    <w:link w:val="Titolo2Carattere"/>
    <w:qFormat/>
    <w:rsid w:val="00240B55"/>
    <w:pPr>
      <w:widowControl w:val="0"/>
      <w:spacing w:before="120" w:after="120" w:line="276" w:lineRule="auto"/>
      <w:jc w:val="both"/>
      <w:outlineLvl w:val="1"/>
    </w:pPr>
    <w:rPr>
      <w:rFonts w:ascii="Garamond" w:hAnsi="Garamond" w:cs="Times New Roman"/>
      <w:b/>
      <w:smallCaps/>
      <w:color w:val="000000"/>
      <w:sz w:val="28"/>
      <w:szCs w:val="28"/>
    </w:rPr>
  </w:style>
  <w:style w:type="paragraph" w:styleId="Titolo3">
    <w:name w:val="heading 3"/>
    <w:basedOn w:val="Normale"/>
    <w:next w:val="Normale"/>
    <w:link w:val="Titolo3Carattere"/>
    <w:uiPriority w:val="9"/>
    <w:unhideWhenUsed/>
    <w:qFormat/>
    <w:rsid w:val="00D846E4"/>
    <w:pPr>
      <w:keepNext/>
      <w:spacing w:before="240" w:after="60" w:line="259" w:lineRule="auto"/>
      <w:outlineLvl w:val="2"/>
    </w:pPr>
    <w:rPr>
      <w:rFonts w:ascii="Times New Roman" w:eastAsia="Calibri" w:hAnsi="Times New Roman" w:cs="Times New Roman"/>
      <w:b/>
      <w:sz w:val="28"/>
      <w:szCs w:val="28"/>
    </w:rPr>
  </w:style>
  <w:style w:type="paragraph" w:styleId="Titolo4">
    <w:name w:val="heading 4"/>
    <w:basedOn w:val="Normale"/>
    <w:next w:val="Normale"/>
    <w:link w:val="Titolo4Carattere"/>
    <w:uiPriority w:val="9"/>
    <w:semiHidden/>
    <w:unhideWhenUsed/>
    <w:qFormat/>
    <w:rsid w:val="00D846E4"/>
    <w:pPr>
      <w:keepNext/>
      <w:keepLines/>
      <w:spacing w:before="40" w:after="0" w:line="259" w:lineRule="auto"/>
      <w:outlineLvl w:val="3"/>
    </w:pPr>
    <w:rPr>
      <w:rFonts w:ascii="Calibri Light" w:eastAsia="Times New Roman" w:hAnsi="Calibri Light" w:cs="Times New Roman"/>
      <w:i/>
      <w:iCs/>
      <w:color w:val="2E74B5"/>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40B55"/>
    <w:rPr>
      <w:rFonts w:ascii="Garamond" w:hAnsi="Garamond" w:cs="Times New Roman"/>
      <w:b/>
      <w:smallCaps/>
      <w:color w:val="000000"/>
      <w:sz w:val="32"/>
      <w:szCs w:val="32"/>
    </w:rPr>
  </w:style>
  <w:style w:type="character" w:customStyle="1" w:styleId="Titolo2Carattere">
    <w:name w:val="Titolo 2 Carattere"/>
    <w:basedOn w:val="Carpredefinitoparagrafo"/>
    <w:link w:val="Titolo2"/>
    <w:rsid w:val="00240B55"/>
    <w:rPr>
      <w:rFonts w:ascii="Garamond" w:hAnsi="Garamond" w:cs="Times New Roman"/>
      <w:b/>
      <w:smallCaps/>
      <w:color w:val="000000"/>
      <w:sz w:val="28"/>
      <w:szCs w:val="28"/>
    </w:rPr>
  </w:style>
  <w:style w:type="character" w:customStyle="1" w:styleId="Titolo3Carattere">
    <w:name w:val="Titolo 3 Carattere"/>
    <w:basedOn w:val="Carpredefinitoparagrafo"/>
    <w:link w:val="Titolo3"/>
    <w:uiPriority w:val="9"/>
    <w:rsid w:val="00D846E4"/>
    <w:rPr>
      <w:rFonts w:ascii="Times New Roman" w:eastAsia="Calibri" w:hAnsi="Times New Roman" w:cs="Times New Roman"/>
      <w:b/>
      <w:sz w:val="28"/>
      <w:szCs w:val="28"/>
    </w:rPr>
  </w:style>
  <w:style w:type="paragraph" w:styleId="Intestazione">
    <w:name w:val="header"/>
    <w:basedOn w:val="Normale"/>
    <w:link w:val="IntestazioneCarattere"/>
    <w:uiPriority w:val="99"/>
    <w:unhideWhenUsed/>
    <w:rsid w:val="0030650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06509"/>
  </w:style>
  <w:style w:type="paragraph" w:styleId="Pidipagina">
    <w:name w:val="footer"/>
    <w:basedOn w:val="Normale"/>
    <w:link w:val="PidipaginaCarattere"/>
    <w:uiPriority w:val="99"/>
    <w:unhideWhenUsed/>
    <w:rsid w:val="0030650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06509"/>
  </w:style>
  <w:style w:type="paragraph" w:styleId="Testonotaapidipagina">
    <w:name w:val="footnote text"/>
    <w:basedOn w:val="Normale"/>
    <w:link w:val="TestonotaapidipaginaCarattere"/>
    <w:uiPriority w:val="99"/>
    <w:unhideWhenUsed/>
    <w:rsid w:val="00FE7BF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FE7BF1"/>
    <w:rPr>
      <w:sz w:val="20"/>
      <w:szCs w:val="20"/>
    </w:rPr>
  </w:style>
  <w:style w:type="character" w:styleId="Rimandonotaapidipagina">
    <w:name w:val="footnote reference"/>
    <w:aliases w:val="Footnote reference number,Times 10 Point,Exposant 3 Point,Footnote symbol,Footnote Reference Number,Footnote Reference_LVL6,Footnote Reference_LVL61,Footnote Reference_LVL62,Footnote Reference_LVL63,Footnote Reference_LVL64"/>
    <w:basedOn w:val="Carpredefinitoparagrafo"/>
    <w:uiPriority w:val="99"/>
    <w:unhideWhenUsed/>
    <w:rsid w:val="00FE7BF1"/>
    <w:rPr>
      <w:vertAlign w:val="superscript"/>
    </w:rPr>
  </w:style>
  <w:style w:type="paragraph" w:styleId="Paragrafoelenco">
    <w:name w:val="List Paragraph"/>
    <w:basedOn w:val="Normale"/>
    <w:uiPriority w:val="99"/>
    <w:qFormat/>
    <w:rsid w:val="00E00CCC"/>
    <w:pPr>
      <w:ind w:left="720"/>
      <w:contextualSpacing/>
    </w:pPr>
  </w:style>
  <w:style w:type="paragraph" w:customStyle="1" w:styleId="popolo">
    <w:name w:val="popolo"/>
    <w:basedOn w:val="Normale"/>
    <w:rsid w:val="003212C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paragraph">
    <w:name w:val="paragraph"/>
    <w:basedOn w:val="Normale"/>
    <w:rsid w:val="00BC2EA7"/>
    <w:pPr>
      <w:spacing w:after="0" w:line="240" w:lineRule="auto"/>
    </w:pPr>
    <w:rPr>
      <w:rFonts w:ascii="Times New Roman" w:eastAsia="Times New Roman" w:hAnsi="Times New Roman" w:cs="Times New Roman"/>
      <w:sz w:val="24"/>
      <w:szCs w:val="24"/>
      <w:u w:color="000000"/>
      <w:lang w:eastAsia="it-IT"/>
    </w:rPr>
  </w:style>
  <w:style w:type="character" w:customStyle="1" w:styleId="normaltextrun1">
    <w:name w:val="normaltextrun1"/>
    <w:basedOn w:val="Carpredefinitoparagrafo"/>
    <w:rsid w:val="00BC2EA7"/>
  </w:style>
  <w:style w:type="paragraph" w:styleId="NormaleWeb">
    <w:name w:val="Normal (Web)"/>
    <w:basedOn w:val="Normale"/>
    <w:uiPriority w:val="99"/>
    <w:unhideWhenUsed/>
    <w:rsid w:val="00C26C55"/>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dj-grassetto">
    <w:name w:val="dj-grassetto"/>
    <w:basedOn w:val="Carpredefinitoparagrafo"/>
    <w:rsid w:val="00C26C55"/>
  </w:style>
  <w:style w:type="character" w:styleId="Collegamentoipertestuale">
    <w:name w:val="Hyperlink"/>
    <w:basedOn w:val="Carpredefinitoparagrafo"/>
    <w:uiPriority w:val="99"/>
    <w:unhideWhenUsed/>
    <w:rsid w:val="00C26C55"/>
    <w:rPr>
      <w:color w:val="0000FF"/>
      <w:u w:val="single"/>
    </w:rPr>
  </w:style>
  <w:style w:type="paragraph" w:styleId="Testonormale">
    <w:name w:val="Plain Text"/>
    <w:basedOn w:val="Normale"/>
    <w:link w:val="TestonormaleCarattere"/>
    <w:uiPriority w:val="99"/>
    <w:semiHidden/>
    <w:unhideWhenUsed/>
    <w:rsid w:val="00ED3DCD"/>
    <w:pPr>
      <w:spacing w:after="0" w:line="240" w:lineRule="auto"/>
    </w:pPr>
    <w:rPr>
      <w:rFonts w:ascii="Calibri" w:hAnsi="Calibri"/>
      <w:szCs w:val="21"/>
    </w:rPr>
  </w:style>
  <w:style w:type="character" w:customStyle="1" w:styleId="TestonormaleCarattere">
    <w:name w:val="Testo normale Carattere"/>
    <w:basedOn w:val="Carpredefinitoparagrafo"/>
    <w:link w:val="Testonormale"/>
    <w:uiPriority w:val="99"/>
    <w:semiHidden/>
    <w:rsid w:val="00ED3DCD"/>
    <w:rPr>
      <w:rFonts w:ascii="Calibri" w:hAnsi="Calibri"/>
      <w:szCs w:val="21"/>
    </w:rPr>
  </w:style>
  <w:style w:type="paragraph" w:styleId="Testofumetto">
    <w:name w:val="Balloon Text"/>
    <w:basedOn w:val="Normale"/>
    <w:link w:val="TestofumettoCarattere"/>
    <w:uiPriority w:val="99"/>
    <w:semiHidden/>
    <w:unhideWhenUsed/>
    <w:rsid w:val="00AC5B1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C5B1C"/>
    <w:rPr>
      <w:rFonts w:ascii="Segoe UI" w:hAnsi="Segoe UI" w:cs="Segoe UI"/>
      <w:sz w:val="18"/>
      <w:szCs w:val="18"/>
    </w:rPr>
  </w:style>
  <w:style w:type="character" w:styleId="Rimandocommento">
    <w:name w:val="annotation reference"/>
    <w:basedOn w:val="Carpredefinitoparagrafo"/>
    <w:uiPriority w:val="99"/>
    <w:semiHidden/>
    <w:unhideWhenUsed/>
    <w:rsid w:val="00FE0DD2"/>
    <w:rPr>
      <w:sz w:val="16"/>
      <w:szCs w:val="16"/>
    </w:rPr>
  </w:style>
  <w:style w:type="paragraph" w:styleId="Testocommento">
    <w:name w:val="annotation text"/>
    <w:basedOn w:val="Normale"/>
    <w:link w:val="TestocommentoCarattere"/>
    <w:uiPriority w:val="99"/>
    <w:semiHidden/>
    <w:unhideWhenUsed/>
    <w:rsid w:val="00FE0DD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FE0DD2"/>
    <w:rPr>
      <w:sz w:val="20"/>
      <w:szCs w:val="20"/>
    </w:rPr>
  </w:style>
  <w:style w:type="paragraph" w:styleId="Soggettocommento">
    <w:name w:val="annotation subject"/>
    <w:basedOn w:val="Testocommento"/>
    <w:next w:val="Testocommento"/>
    <w:link w:val="SoggettocommentoCarattere"/>
    <w:uiPriority w:val="99"/>
    <w:semiHidden/>
    <w:unhideWhenUsed/>
    <w:rsid w:val="00FE0DD2"/>
    <w:rPr>
      <w:b/>
      <w:bCs/>
    </w:rPr>
  </w:style>
  <w:style w:type="character" w:customStyle="1" w:styleId="SoggettocommentoCarattere">
    <w:name w:val="Soggetto commento Carattere"/>
    <w:basedOn w:val="TestocommentoCarattere"/>
    <w:link w:val="Soggettocommento"/>
    <w:uiPriority w:val="99"/>
    <w:semiHidden/>
    <w:rsid w:val="00FE0DD2"/>
    <w:rPr>
      <w:b/>
      <w:bCs/>
      <w:sz w:val="20"/>
      <w:szCs w:val="20"/>
    </w:rPr>
  </w:style>
  <w:style w:type="paragraph" w:styleId="Revisione">
    <w:name w:val="Revision"/>
    <w:hidden/>
    <w:uiPriority w:val="99"/>
    <w:semiHidden/>
    <w:rsid w:val="00A27846"/>
    <w:pPr>
      <w:spacing w:after="0" w:line="240" w:lineRule="auto"/>
    </w:pPr>
  </w:style>
  <w:style w:type="paragraph" w:customStyle="1" w:styleId="Default">
    <w:name w:val="Default"/>
    <w:rsid w:val="00BF3290"/>
    <w:pPr>
      <w:autoSpaceDE w:val="0"/>
      <w:autoSpaceDN w:val="0"/>
      <w:adjustRightInd w:val="0"/>
      <w:spacing w:after="0" w:line="240" w:lineRule="auto"/>
    </w:pPr>
    <w:rPr>
      <w:rFonts w:ascii="Times New Roman" w:hAnsi="Times New Roman" w:cs="Times New Roman"/>
      <w:color w:val="000000"/>
      <w:sz w:val="24"/>
      <w:szCs w:val="24"/>
    </w:rPr>
  </w:style>
  <w:style w:type="paragraph" w:styleId="Titolosommario">
    <w:name w:val="TOC Heading"/>
    <w:basedOn w:val="Titolo1"/>
    <w:next w:val="Normale"/>
    <w:uiPriority w:val="39"/>
    <w:unhideWhenUsed/>
    <w:qFormat/>
    <w:rsid w:val="007864A3"/>
    <w:pPr>
      <w:keepNext/>
      <w:keepLines/>
      <w:spacing w:before="240" w:after="0" w:line="259" w:lineRule="auto"/>
      <w:jc w:val="left"/>
      <w:outlineLvl w:val="9"/>
    </w:pPr>
    <w:rPr>
      <w:rFonts w:asciiTheme="majorHAnsi" w:eastAsiaTheme="majorEastAsia" w:hAnsiTheme="majorHAnsi" w:cstheme="majorBidi"/>
      <w:b w:val="0"/>
      <w:smallCaps w:val="0"/>
      <w:color w:val="2E74B5" w:themeColor="accent1" w:themeShade="BF"/>
      <w:lang w:eastAsia="it-IT"/>
    </w:rPr>
  </w:style>
  <w:style w:type="paragraph" w:styleId="Sommario1">
    <w:name w:val="toc 1"/>
    <w:basedOn w:val="Normale"/>
    <w:next w:val="Normale"/>
    <w:autoRedefine/>
    <w:uiPriority w:val="39"/>
    <w:unhideWhenUsed/>
    <w:rsid w:val="00BB3C80"/>
    <w:pPr>
      <w:widowControl w:val="0"/>
      <w:tabs>
        <w:tab w:val="right" w:leader="dot" w:pos="7361"/>
      </w:tabs>
      <w:spacing w:after="0" w:line="240" w:lineRule="auto"/>
      <w:ind w:left="284"/>
      <w:jc w:val="center"/>
    </w:pPr>
    <w:rPr>
      <w:rFonts w:ascii="Garamond" w:hAnsi="Garamond"/>
      <w:noProof/>
      <w:sz w:val="28"/>
      <w:szCs w:val="28"/>
    </w:rPr>
  </w:style>
  <w:style w:type="paragraph" w:styleId="Sommario2">
    <w:name w:val="toc 2"/>
    <w:basedOn w:val="Normale"/>
    <w:next w:val="Normale"/>
    <w:autoRedefine/>
    <w:uiPriority w:val="39"/>
    <w:unhideWhenUsed/>
    <w:rsid w:val="00927250"/>
    <w:pPr>
      <w:tabs>
        <w:tab w:val="right" w:leader="dot" w:pos="9628"/>
      </w:tabs>
      <w:spacing w:after="100"/>
      <w:ind w:left="220"/>
      <w:jc w:val="both"/>
    </w:pPr>
  </w:style>
  <w:style w:type="character" w:customStyle="1" w:styleId="st1">
    <w:name w:val="st1"/>
    <w:basedOn w:val="Carpredefinitoparagrafo"/>
    <w:rsid w:val="00B10302"/>
  </w:style>
  <w:style w:type="character" w:styleId="Enfasicorsivo">
    <w:name w:val="Emphasis"/>
    <w:basedOn w:val="Carpredefinitoparagrafo"/>
    <w:uiPriority w:val="20"/>
    <w:qFormat/>
    <w:rsid w:val="00B10302"/>
    <w:rPr>
      <w:b/>
      <w:bCs/>
      <w:i w:val="0"/>
      <w:iCs w:val="0"/>
    </w:rPr>
  </w:style>
  <w:style w:type="character" w:customStyle="1" w:styleId="sottotitolo">
    <w:name w:val="sottotitolo"/>
    <w:basedOn w:val="Carpredefinitoparagrafo"/>
    <w:rsid w:val="00995CB2"/>
  </w:style>
  <w:style w:type="paragraph" w:customStyle="1" w:styleId="xmsonormal">
    <w:name w:val="x_msonormal"/>
    <w:basedOn w:val="Normale"/>
    <w:rsid w:val="00995CB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4Carattere">
    <w:name w:val="Titolo 4 Carattere"/>
    <w:basedOn w:val="Carpredefinitoparagrafo"/>
    <w:link w:val="Titolo4"/>
    <w:uiPriority w:val="9"/>
    <w:semiHidden/>
    <w:rsid w:val="00D846E4"/>
    <w:rPr>
      <w:rFonts w:ascii="Calibri Light" w:eastAsia="Times New Roman" w:hAnsi="Calibri Light" w:cs="Times New Roman"/>
      <w:i/>
      <w:iCs/>
      <w:color w:val="2E74B5"/>
    </w:rPr>
  </w:style>
  <w:style w:type="paragraph" w:styleId="Sottotitolo0">
    <w:name w:val="Subtitle"/>
    <w:basedOn w:val="Normale"/>
    <w:next w:val="Normale"/>
    <w:link w:val="SottotitoloCarattere"/>
    <w:uiPriority w:val="11"/>
    <w:qFormat/>
    <w:rsid w:val="00D846E4"/>
    <w:pPr>
      <w:spacing w:after="60" w:line="276" w:lineRule="auto"/>
      <w:jc w:val="center"/>
      <w:outlineLvl w:val="1"/>
    </w:pPr>
    <w:rPr>
      <w:rFonts w:ascii="Calibri Light" w:eastAsia="Times New Roman" w:hAnsi="Calibri Light" w:cs="Times New Roman"/>
      <w:sz w:val="24"/>
      <w:szCs w:val="24"/>
      <w:lang w:val="x-none"/>
    </w:rPr>
  </w:style>
  <w:style w:type="character" w:customStyle="1" w:styleId="SottotitoloCarattere">
    <w:name w:val="Sottotitolo Carattere"/>
    <w:basedOn w:val="Carpredefinitoparagrafo"/>
    <w:link w:val="Sottotitolo0"/>
    <w:uiPriority w:val="11"/>
    <w:rsid w:val="00D846E4"/>
    <w:rPr>
      <w:rFonts w:ascii="Calibri Light" w:eastAsia="Times New Roman" w:hAnsi="Calibri Light" w:cs="Times New Roman"/>
      <w:sz w:val="24"/>
      <w:szCs w:val="24"/>
      <w:lang w:val="x-none"/>
    </w:rPr>
  </w:style>
  <w:style w:type="character" w:styleId="Enfasigrassetto">
    <w:name w:val="Strong"/>
    <w:basedOn w:val="Carpredefinitoparagrafo"/>
    <w:uiPriority w:val="22"/>
    <w:qFormat/>
    <w:rsid w:val="00D846E4"/>
    <w:rPr>
      <w:b/>
      <w:bCs/>
    </w:rPr>
  </w:style>
  <w:style w:type="paragraph" w:customStyle="1" w:styleId="Titolo41">
    <w:name w:val="Titolo 41"/>
    <w:basedOn w:val="Normale"/>
    <w:next w:val="Normale"/>
    <w:uiPriority w:val="9"/>
    <w:semiHidden/>
    <w:unhideWhenUsed/>
    <w:qFormat/>
    <w:rsid w:val="00D846E4"/>
    <w:pPr>
      <w:keepNext/>
      <w:keepLines/>
      <w:spacing w:before="40" w:after="0" w:line="480" w:lineRule="auto"/>
      <w:ind w:left="142"/>
      <w:jc w:val="both"/>
      <w:outlineLvl w:val="3"/>
    </w:pPr>
    <w:rPr>
      <w:rFonts w:ascii="Calibri Light" w:eastAsia="Times New Roman" w:hAnsi="Calibri Light" w:cs="Times New Roman"/>
      <w:i/>
      <w:iCs/>
      <w:color w:val="2E74B5"/>
    </w:rPr>
  </w:style>
  <w:style w:type="numbering" w:customStyle="1" w:styleId="Nessunelenco1">
    <w:name w:val="Nessun elenco1"/>
    <w:next w:val="Nessunelenco"/>
    <w:uiPriority w:val="99"/>
    <w:semiHidden/>
    <w:unhideWhenUsed/>
    <w:rsid w:val="00D846E4"/>
  </w:style>
  <w:style w:type="character" w:customStyle="1" w:styleId="Titolo4Carattere1">
    <w:name w:val="Titolo 4 Carattere1"/>
    <w:basedOn w:val="Carpredefinitoparagrafo"/>
    <w:uiPriority w:val="9"/>
    <w:semiHidden/>
    <w:rsid w:val="00D846E4"/>
    <w:rPr>
      <w:rFonts w:asciiTheme="majorHAnsi" w:eastAsiaTheme="majorEastAsia" w:hAnsiTheme="majorHAnsi" w:cstheme="majorBidi"/>
      <w:i/>
      <w:iCs/>
      <w:color w:val="2E74B5" w:themeColor="accent1" w:themeShade="BF"/>
    </w:rPr>
  </w:style>
  <w:style w:type="paragraph" w:customStyle="1" w:styleId="sentnormal1">
    <w:name w:val="sent_normal1"/>
    <w:basedOn w:val="Normale"/>
    <w:rsid w:val="00D846E4"/>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Grigliatabellachiara1">
    <w:name w:val="Griglia tabella chiara1"/>
    <w:uiPriority w:val="68"/>
    <w:qFormat/>
    <w:rsid w:val="00D846E4"/>
    <w:rPr>
      <w:b/>
      <w:bCs/>
      <w:smallCaps/>
      <w:color w:val="5B9BD5"/>
      <w:spacing w:val="5"/>
    </w:rPr>
  </w:style>
  <w:style w:type="paragraph" w:customStyle="1" w:styleId="TestodelbloccoLatinoGaramond">
    <w:name w:val="Testo del blocco + (Latino) Garamond"/>
    <w:aliases w:val="14 pt,Sinistro:  0 cm,Destro 0 cm,In..."/>
    <w:basedOn w:val="Normale"/>
    <w:rsid w:val="00D846E4"/>
    <w:pPr>
      <w:spacing w:line="259" w:lineRule="auto"/>
      <w:ind w:left="180" w:right="638"/>
      <w:jc w:val="both"/>
    </w:pPr>
    <w:rPr>
      <w:rFonts w:ascii="Garamond" w:eastAsia="Times New Roman" w:hAnsi="Garamond" w:cs="Times New Roman"/>
      <w:b/>
      <w:sz w:val="28"/>
      <w:szCs w:val="28"/>
    </w:rPr>
  </w:style>
  <w:style w:type="paragraph" w:customStyle="1" w:styleId="Paragrafoelenco1">
    <w:name w:val="Paragrafo elenco1"/>
    <w:basedOn w:val="Normale"/>
    <w:rsid w:val="00D846E4"/>
    <w:pPr>
      <w:spacing w:line="259" w:lineRule="auto"/>
      <w:ind w:left="720"/>
      <w:contextualSpacing/>
    </w:pPr>
    <w:rPr>
      <w:rFonts w:ascii="Calibri" w:eastAsia="Times New Roman" w:hAnsi="Calibri" w:cs="Times New Roman"/>
    </w:rPr>
  </w:style>
  <w:style w:type="character" w:customStyle="1" w:styleId="s1">
    <w:name w:val="s1"/>
    <w:rsid w:val="00D846E4"/>
    <w:rPr>
      <w:rFonts w:ascii=".SFUIText-Regular" w:hAnsi=".SFUIText-Regular"/>
      <w:sz w:val="34"/>
    </w:rPr>
  </w:style>
  <w:style w:type="character" w:styleId="Collegamentovisitato">
    <w:name w:val="FollowedHyperlink"/>
    <w:basedOn w:val="Carpredefinitoparagrafo"/>
    <w:uiPriority w:val="99"/>
    <w:semiHidden/>
    <w:unhideWhenUsed/>
    <w:rsid w:val="00D846E4"/>
    <w:rPr>
      <w:color w:val="954F72" w:themeColor="followedHyperlink"/>
      <w:u w:val="single"/>
    </w:rPr>
  </w:style>
  <w:style w:type="character" w:customStyle="1" w:styleId="UnresolvedMention1">
    <w:name w:val="Unresolved Mention1"/>
    <w:basedOn w:val="Carpredefinitoparagrafo"/>
    <w:uiPriority w:val="99"/>
    <w:semiHidden/>
    <w:unhideWhenUsed/>
    <w:rsid w:val="00D846E4"/>
    <w:rPr>
      <w:color w:val="605E5C"/>
      <w:shd w:val="clear" w:color="auto" w:fill="E1DFDD"/>
    </w:rPr>
  </w:style>
  <w:style w:type="paragraph" w:customStyle="1" w:styleId="xxxc02alineaalta">
    <w:name w:val="x_xxc02alineaalta"/>
    <w:basedOn w:val="Normale"/>
    <w:rsid w:val="00D846E4"/>
    <w:pPr>
      <w:spacing w:after="0" w:line="240" w:lineRule="auto"/>
    </w:pPr>
    <w:rPr>
      <w:rFonts w:ascii="Times New Roman" w:hAnsi="Times New Roman" w:cs="Times New Roman"/>
      <w:sz w:val="24"/>
      <w:szCs w:val="24"/>
      <w:lang w:eastAsia="it-IT"/>
    </w:rPr>
  </w:style>
  <w:style w:type="character" w:customStyle="1" w:styleId="UnresolvedMention">
    <w:name w:val="Unresolved Mention"/>
    <w:basedOn w:val="Carpredefinitoparagrafo"/>
    <w:uiPriority w:val="99"/>
    <w:semiHidden/>
    <w:unhideWhenUsed/>
    <w:rsid w:val="00D846E4"/>
    <w:rPr>
      <w:color w:val="605E5C"/>
      <w:shd w:val="clear" w:color="auto" w:fill="E1DFDD"/>
    </w:rPr>
  </w:style>
  <w:style w:type="paragraph" w:styleId="Sommario3">
    <w:name w:val="toc 3"/>
    <w:basedOn w:val="Normale"/>
    <w:next w:val="Normale"/>
    <w:autoRedefine/>
    <w:uiPriority w:val="39"/>
    <w:unhideWhenUsed/>
    <w:rsid w:val="001F2B95"/>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428">
      <w:bodyDiv w:val="1"/>
      <w:marLeft w:val="0"/>
      <w:marRight w:val="0"/>
      <w:marTop w:val="0"/>
      <w:marBottom w:val="0"/>
      <w:divBdr>
        <w:top w:val="none" w:sz="0" w:space="0" w:color="auto"/>
        <w:left w:val="none" w:sz="0" w:space="0" w:color="auto"/>
        <w:bottom w:val="none" w:sz="0" w:space="0" w:color="auto"/>
        <w:right w:val="none" w:sz="0" w:space="0" w:color="auto"/>
      </w:divBdr>
    </w:div>
    <w:div w:id="140076198">
      <w:bodyDiv w:val="1"/>
      <w:marLeft w:val="0"/>
      <w:marRight w:val="0"/>
      <w:marTop w:val="0"/>
      <w:marBottom w:val="0"/>
      <w:divBdr>
        <w:top w:val="none" w:sz="0" w:space="0" w:color="auto"/>
        <w:left w:val="none" w:sz="0" w:space="0" w:color="auto"/>
        <w:bottom w:val="none" w:sz="0" w:space="0" w:color="auto"/>
        <w:right w:val="none" w:sz="0" w:space="0" w:color="auto"/>
      </w:divBdr>
    </w:div>
    <w:div w:id="368646151">
      <w:bodyDiv w:val="1"/>
      <w:marLeft w:val="0"/>
      <w:marRight w:val="0"/>
      <w:marTop w:val="0"/>
      <w:marBottom w:val="0"/>
      <w:divBdr>
        <w:top w:val="none" w:sz="0" w:space="0" w:color="auto"/>
        <w:left w:val="none" w:sz="0" w:space="0" w:color="auto"/>
        <w:bottom w:val="none" w:sz="0" w:space="0" w:color="auto"/>
        <w:right w:val="none" w:sz="0" w:space="0" w:color="auto"/>
      </w:divBdr>
    </w:div>
    <w:div w:id="390274107">
      <w:bodyDiv w:val="1"/>
      <w:marLeft w:val="0"/>
      <w:marRight w:val="0"/>
      <w:marTop w:val="0"/>
      <w:marBottom w:val="0"/>
      <w:divBdr>
        <w:top w:val="none" w:sz="0" w:space="0" w:color="auto"/>
        <w:left w:val="none" w:sz="0" w:space="0" w:color="auto"/>
        <w:bottom w:val="none" w:sz="0" w:space="0" w:color="auto"/>
        <w:right w:val="none" w:sz="0" w:space="0" w:color="auto"/>
      </w:divBdr>
    </w:div>
    <w:div w:id="446461432">
      <w:bodyDiv w:val="1"/>
      <w:marLeft w:val="0"/>
      <w:marRight w:val="0"/>
      <w:marTop w:val="0"/>
      <w:marBottom w:val="0"/>
      <w:divBdr>
        <w:top w:val="none" w:sz="0" w:space="0" w:color="auto"/>
        <w:left w:val="none" w:sz="0" w:space="0" w:color="auto"/>
        <w:bottom w:val="none" w:sz="0" w:space="0" w:color="auto"/>
        <w:right w:val="none" w:sz="0" w:space="0" w:color="auto"/>
      </w:divBdr>
    </w:div>
    <w:div w:id="751239923">
      <w:bodyDiv w:val="1"/>
      <w:marLeft w:val="0"/>
      <w:marRight w:val="0"/>
      <w:marTop w:val="0"/>
      <w:marBottom w:val="0"/>
      <w:divBdr>
        <w:top w:val="none" w:sz="0" w:space="0" w:color="auto"/>
        <w:left w:val="none" w:sz="0" w:space="0" w:color="auto"/>
        <w:bottom w:val="none" w:sz="0" w:space="0" w:color="auto"/>
        <w:right w:val="none" w:sz="0" w:space="0" w:color="auto"/>
      </w:divBdr>
    </w:div>
    <w:div w:id="929705091">
      <w:bodyDiv w:val="1"/>
      <w:marLeft w:val="0"/>
      <w:marRight w:val="0"/>
      <w:marTop w:val="0"/>
      <w:marBottom w:val="0"/>
      <w:divBdr>
        <w:top w:val="none" w:sz="0" w:space="0" w:color="auto"/>
        <w:left w:val="none" w:sz="0" w:space="0" w:color="auto"/>
        <w:bottom w:val="none" w:sz="0" w:space="0" w:color="auto"/>
        <w:right w:val="none" w:sz="0" w:space="0" w:color="auto"/>
      </w:divBdr>
    </w:div>
    <w:div w:id="1110710209">
      <w:bodyDiv w:val="1"/>
      <w:marLeft w:val="0"/>
      <w:marRight w:val="0"/>
      <w:marTop w:val="0"/>
      <w:marBottom w:val="0"/>
      <w:divBdr>
        <w:top w:val="none" w:sz="0" w:space="0" w:color="auto"/>
        <w:left w:val="none" w:sz="0" w:space="0" w:color="auto"/>
        <w:bottom w:val="none" w:sz="0" w:space="0" w:color="auto"/>
        <w:right w:val="none" w:sz="0" w:space="0" w:color="auto"/>
      </w:divBdr>
    </w:div>
    <w:div w:id="1207763270">
      <w:bodyDiv w:val="1"/>
      <w:marLeft w:val="0"/>
      <w:marRight w:val="0"/>
      <w:marTop w:val="0"/>
      <w:marBottom w:val="0"/>
      <w:divBdr>
        <w:top w:val="none" w:sz="0" w:space="0" w:color="auto"/>
        <w:left w:val="none" w:sz="0" w:space="0" w:color="auto"/>
        <w:bottom w:val="none" w:sz="0" w:space="0" w:color="auto"/>
        <w:right w:val="none" w:sz="0" w:space="0" w:color="auto"/>
      </w:divBdr>
    </w:div>
    <w:div w:id="1320841557">
      <w:bodyDiv w:val="1"/>
      <w:marLeft w:val="0"/>
      <w:marRight w:val="0"/>
      <w:marTop w:val="0"/>
      <w:marBottom w:val="0"/>
      <w:divBdr>
        <w:top w:val="none" w:sz="0" w:space="0" w:color="auto"/>
        <w:left w:val="none" w:sz="0" w:space="0" w:color="auto"/>
        <w:bottom w:val="none" w:sz="0" w:space="0" w:color="auto"/>
        <w:right w:val="none" w:sz="0" w:space="0" w:color="auto"/>
      </w:divBdr>
    </w:div>
    <w:div w:id="1342320989">
      <w:bodyDiv w:val="1"/>
      <w:marLeft w:val="0"/>
      <w:marRight w:val="0"/>
      <w:marTop w:val="0"/>
      <w:marBottom w:val="0"/>
      <w:divBdr>
        <w:top w:val="none" w:sz="0" w:space="0" w:color="auto"/>
        <w:left w:val="none" w:sz="0" w:space="0" w:color="auto"/>
        <w:bottom w:val="none" w:sz="0" w:space="0" w:color="auto"/>
        <w:right w:val="none" w:sz="0" w:space="0" w:color="auto"/>
      </w:divBdr>
    </w:div>
    <w:div w:id="1392728721">
      <w:bodyDiv w:val="1"/>
      <w:marLeft w:val="0"/>
      <w:marRight w:val="0"/>
      <w:marTop w:val="0"/>
      <w:marBottom w:val="0"/>
      <w:divBdr>
        <w:top w:val="none" w:sz="0" w:space="0" w:color="auto"/>
        <w:left w:val="none" w:sz="0" w:space="0" w:color="auto"/>
        <w:bottom w:val="none" w:sz="0" w:space="0" w:color="auto"/>
        <w:right w:val="none" w:sz="0" w:space="0" w:color="auto"/>
      </w:divBdr>
    </w:div>
    <w:div w:id="1603996993">
      <w:bodyDiv w:val="1"/>
      <w:marLeft w:val="0"/>
      <w:marRight w:val="0"/>
      <w:marTop w:val="0"/>
      <w:marBottom w:val="0"/>
      <w:divBdr>
        <w:top w:val="none" w:sz="0" w:space="0" w:color="auto"/>
        <w:left w:val="none" w:sz="0" w:space="0" w:color="auto"/>
        <w:bottom w:val="none" w:sz="0" w:space="0" w:color="auto"/>
        <w:right w:val="none" w:sz="0" w:space="0" w:color="auto"/>
      </w:divBdr>
    </w:div>
    <w:div w:id="1678191547">
      <w:bodyDiv w:val="1"/>
      <w:marLeft w:val="0"/>
      <w:marRight w:val="0"/>
      <w:marTop w:val="0"/>
      <w:marBottom w:val="0"/>
      <w:divBdr>
        <w:top w:val="none" w:sz="0" w:space="0" w:color="auto"/>
        <w:left w:val="none" w:sz="0" w:space="0" w:color="auto"/>
        <w:bottom w:val="none" w:sz="0" w:space="0" w:color="auto"/>
        <w:right w:val="none" w:sz="0" w:space="0" w:color="auto"/>
      </w:divBdr>
    </w:div>
    <w:div w:id="199629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iustizia-amministrativa.it/web/guest/-/visite-domiciliare-dei-medici-di-medicina-generale-ai-pazienti-cov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5D5E5.FC7BDA60" TargetMode="External"/><Relationship Id="rId5" Type="http://schemas.openxmlformats.org/officeDocument/2006/relationships/webSettings" Target="webSettings.xml"/><Relationship Id="rId15" Type="http://schemas.openxmlformats.org/officeDocument/2006/relationships/hyperlink" Target="https://www.giustizia-amministrativa.it/portale/pages/istituzionale/visualizza?nodeRef=&amp;schema=consul&amp;nrg=202000260&amp;nomeFile=202000735_27.html&amp;subDir=Provvedimenti"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http://upload.wikimedia.org/wikipedia/commons/thumb/6/6b/Italy-Emblem.svg/200px-Italy-Emblem.svg.png" TargetMode="External"/><Relationship Id="rId14" Type="http://schemas.openxmlformats.org/officeDocument/2006/relationships/hyperlink" Target="https://www.giustizia-amministrativa.it/portale/pages/istituzionale/visualizza?nodeRef=&amp;schema=cds&amp;nrg=202008943&amp;nomeFile=202008166_11.html&amp;subDir=Provvediment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confini.blog.rainews.it/2020/08/24/de-gasperi-tra-costituente-e-ricostruzione-un-testo-di-marta-cartabia-presidente-della-corte-costituzional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FFFE59-B7B4-4E1A-BFF4-5535DE238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Pages>
  <Words>10269</Words>
  <Characters>58539</Characters>
  <Application>Microsoft Office Word</Application>
  <DocSecurity>0</DocSecurity>
  <Lines>487</Lines>
  <Paragraphs>137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SIMEOLI Dario</dc:creator>
  <cp:keywords/>
  <dc:description/>
  <cp:lastModifiedBy>VOLPE Nicola</cp:lastModifiedBy>
  <cp:revision>35</cp:revision>
  <cp:lastPrinted>2021-02-01T14:02:00Z</cp:lastPrinted>
  <dcterms:created xsi:type="dcterms:W3CDTF">2021-02-01T10:05:00Z</dcterms:created>
  <dcterms:modified xsi:type="dcterms:W3CDTF">2021-02-01T14:10:00Z</dcterms:modified>
</cp:coreProperties>
</file>