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363FA" w14:textId="2F9CB420" w:rsidR="0041589B" w:rsidRPr="00980A23" w:rsidRDefault="00DE366E" w:rsidP="00DE366E">
      <w:pPr>
        <w:spacing w:after="0" w:line="360" w:lineRule="auto"/>
        <w:ind w:right="-30"/>
        <w:contextualSpacing/>
        <w:jc w:val="center"/>
        <w:rPr>
          <w:rFonts w:ascii="Garamond" w:eastAsia="Calibri" w:hAnsi="Garamond" w:cs="Times New Roman"/>
          <w:b/>
          <w:sz w:val="48"/>
          <w:szCs w:val="48"/>
          <w:lang w:eastAsia="it-IT"/>
        </w:rPr>
      </w:pPr>
      <w:bookmarkStart w:id="0" w:name="_GoBack"/>
      <w:bookmarkEnd w:id="0"/>
      <w:r w:rsidRPr="00980A23">
        <w:rPr>
          <w:rFonts w:ascii="Garamond" w:eastAsia="Calibri" w:hAnsi="Garamond" w:cs="Times New Roman"/>
          <w:b/>
          <w:sz w:val="48"/>
          <w:szCs w:val="48"/>
          <w:lang w:eastAsia="it-IT"/>
        </w:rPr>
        <w:t>Dal diritto delle costruzioni nelle città</w:t>
      </w:r>
    </w:p>
    <w:p w14:paraId="6347B1E4" w14:textId="23A8C4EF" w:rsidR="005365CB" w:rsidRPr="00DE366E" w:rsidRDefault="00DE366E" w:rsidP="00DE366E">
      <w:pPr>
        <w:spacing w:after="0" w:line="360" w:lineRule="auto"/>
        <w:ind w:right="-30"/>
        <w:contextualSpacing/>
        <w:jc w:val="center"/>
        <w:rPr>
          <w:rFonts w:ascii="Garamond" w:eastAsia="Calibri" w:hAnsi="Garamond" w:cs="Times New Roman"/>
          <w:sz w:val="60"/>
          <w:szCs w:val="60"/>
          <w:lang w:eastAsia="it-IT"/>
        </w:rPr>
      </w:pPr>
      <w:r w:rsidRPr="00980A23">
        <w:rPr>
          <w:rFonts w:ascii="Garamond" w:eastAsia="Calibri" w:hAnsi="Garamond" w:cs="Times New Roman"/>
          <w:b/>
          <w:sz w:val="48"/>
          <w:szCs w:val="48"/>
          <w:lang w:eastAsia="it-IT"/>
        </w:rPr>
        <w:t>al governo del territorio</w:t>
      </w:r>
      <w:r w:rsidR="0038616F" w:rsidRPr="00DE366E">
        <w:rPr>
          <w:rStyle w:val="Rimandonotaapidipagina"/>
          <w:rFonts w:ascii="Garamond" w:eastAsia="Calibri" w:hAnsi="Garamond" w:cs="Times New Roman"/>
          <w:sz w:val="60"/>
          <w:szCs w:val="60"/>
          <w:lang w:eastAsia="it-IT"/>
        </w:rPr>
        <w:footnoteReference w:customMarkFollows="1" w:id="1"/>
        <w:t>*</w:t>
      </w:r>
    </w:p>
    <w:p w14:paraId="79CDB767" w14:textId="77777777" w:rsidR="00BD67FB" w:rsidRPr="00375B80" w:rsidRDefault="00BD67FB" w:rsidP="00DE366E">
      <w:pPr>
        <w:spacing w:after="0" w:line="360" w:lineRule="auto"/>
        <w:contextualSpacing/>
        <w:jc w:val="both"/>
        <w:rPr>
          <w:rFonts w:ascii="Garamond" w:eastAsia="Calibri" w:hAnsi="Garamond" w:cs="Times New Roman"/>
          <w:b/>
          <w:sz w:val="24"/>
          <w:szCs w:val="24"/>
          <w:lang w:eastAsia="it-IT"/>
        </w:rPr>
      </w:pPr>
    </w:p>
    <w:p w14:paraId="793C547F" w14:textId="5193E293" w:rsidR="00FA59BB" w:rsidRPr="00375B80" w:rsidRDefault="00C16787" w:rsidP="00DE366E">
      <w:pPr>
        <w:spacing w:after="0" w:line="360" w:lineRule="auto"/>
        <w:contextualSpacing/>
        <w:jc w:val="both"/>
        <w:rPr>
          <w:rFonts w:ascii="Garamond" w:hAnsi="Garamond" w:cs="Times New Roman"/>
          <w:sz w:val="24"/>
          <w:szCs w:val="24"/>
        </w:rPr>
      </w:pPr>
      <w:r w:rsidRPr="0062239C">
        <w:rPr>
          <w:rFonts w:ascii="Garamond" w:hAnsi="Garamond" w:cs="Times New Roman (Corpo CS)"/>
          <w:b/>
          <w:sz w:val="24"/>
          <w:szCs w:val="24"/>
          <w:u w:val="thick"/>
        </w:rPr>
        <w:t>Sommario</w:t>
      </w:r>
      <w:r w:rsidRPr="00375B80">
        <w:rPr>
          <w:rFonts w:ascii="Garamond" w:hAnsi="Garamond"/>
          <w:sz w:val="24"/>
          <w:szCs w:val="24"/>
        </w:rPr>
        <w:t xml:space="preserve">: </w:t>
      </w:r>
      <w:r w:rsidRPr="00957B66">
        <w:rPr>
          <w:rFonts w:ascii="Garamond" w:hAnsi="Garamond"/>
          <w:b/>
          <w:sz w:val="24"/>
          <w:szCs w:val="24"/>
        </w:rPr>
        <w:t>1.</w:t>
      </w:r>
      <w:r w:rsidRPr="00375B80">
        <w:rPr>
          <w:rFonts w:ascii="Garamond" w:hAnsi="Garamond"/>
          <w:sz w:val="24"/>
          <w:szCs w:val="24"/>
        </w:rPr>
        <w:t xml:space="preserve"> </w:t>
      </w:r>
      <w:r w:rsidRPr="00375B80">
        <w:rPr>
          <w:rFonts w:ascii="Garamond" w:eastAsia="Calibri" w:hAnsi="Garamond" w:cs="Times New Roman"/>
          <w:sz w:val="24"/>
          <w:szCs w:val="24"/>
          <w:lang w:eastAsia="it-IT"/>
        </w:rPr>
        <w:t>Città, solo città. Prima della piccola riforma costituzionale d’inizio millennio</w:t>
      </w:r>
      <w:r w:rsidR="00957B66">
        <w:rPr>
          <w:rFonts w:ascii="Garamond" w:eastAsia="Calibri" w:hAnsi="Garamond" w:cs="Times New Roman"/>
          <w:sz w:val="24"/>
          <w:szCs w:val="24"/>
          <w:lang w:eastAsia="it-IT"/>
        </w:rPr>
        <w:t>.</w:t>
      </w:r>
      <w:r w:rsidRPr="00375B80">
        <w:rPr>
          <w:rFonts w:ascii="Garamond" w:hAnsi="Garamond"/>
          <w:sz w:val="24"/>
          <w:szCs w:val="24"/>
        </w:rPr>
        <w:t xml:space="preserve"> </w:t>
      </w:r>
      <w:r w:rsidRPr="00957B66">
        <w:rPr>
          <w:rFonts w:ascii="Garamond" w:hAnsi="Garamond"/>
          <w:b/>
          <w:sz w:val="24"/>
          <w:szCs w:val="24"/>
        </w:rPr>
        <w:t>2.</w:t>
      </w:r>
      <w:r w:rsidRPr="00375B80">
        <w:rPr>
          <w:rFonts w:ascii="Garamond" w:hAnsi="Garamond"/>
          <w:sz w:val="24"/>
          <w:szCs w:val="24"/>
        </w:rPr>
        <w:t xml:space="preserve"> </w:t>
      </w:r>
      <w:r w:rsidR="009B6BC6" w:rsidRPr="00375B80">
        <w:rPr>
          <w:rFonts w:ascii="Garamond" w:eastAsia="Calibri" w:hAnsi="Garamond" w:cs="Times New Roman"/>
          <w:sz w:val="24"/>
          <w:szCs w:val="24"/>
          <w:lang w:eastAsia="it-IT"/>
        </w:rPr>
        <w:t>Il governo del territorio: ancora «umano, troppo umano»?</w:t>
      </w:r>
      <w:r w:rsidRPr="00375B80">
        <w:rPr>
          <w:rFonts w:ascii="Garamond" w:hAnsi="Garamond"/>
          <w:sz w:val="24"/>
          <w:szCs w:val="24"/>
        </w:rPr>
        <w:t xml:space="preserve"> </w:t>
      </w:r>
      <w:r w:rsidRPr="00957B66">
        <w:rPr>
          <w:rFonts w:ascii="Garamond" w:hAnsi="Garamond"/>
          <w:b/>
          <w:sz w:val="24"/>
          <w:szCs w:val="24"/>
        </w:rPr>
        <w:t>3</w:t>
      </w:r>
      <w:r w:rsidRPr="00957B66">
        <w:rPr>
          <w:rFonts w:ascii="Garamond" w:eastAsia="Calibri" w:hAnsi="Garamond" w:cs="Times New Roman"/>
          <w:b/>
          <w:sz w:val="24"/>
          <w:szCs w:val="24"/>
          <w:lang w:eastAsia="it-IT"/>
        </w:rPr>
        <w:t>.</w:t>
      </w:r>
      <w:r w:rsidR="00FA59BB" w:rsidRPr="00375B80">
        <w:rPr>
          <w:rFonts w:ascii="Garamond" w:hAnsi="Garamond" w:cs="Times New Roman"/>
          <w:sz w:val="24"/>
          <w:szCs w:val="24"/>
        </w:rPr>
        <w:t xml:space="preserve"> </w:t>
      </w:r>
      <w:r w:rsidR="00B14FFD" w:rsidRPr="00375B80">
        <w:rPr>
          <w:rFonts w:ascii="Garamond" w:hAnsi="Garamond" w:cs="Times New Roman"/>
          <w:sz w:val="24"/>
          <w:szCs w:val="24"/>
        </w:rPr>
        <w:t>Depianificazione e “cultura” del progetto: coalescenze per una veduta biocentrica.</w:t>
      </w:r>
    </w:p>
    <w:p w14:paraId="1899337A" w14:textId="1CDE5E01" w:rsidR="00847A5E" w:rsidRPr="00957B66" w:rsidRDefault="00847A5E" w:rsidP="00DE366E">
      <w:pPr>
        <w:spacing w:after="0" w:line="360" w:lineRule="auto"/>
        <w:contextualSpacing/>
        <w:jc w:val="both"/>
        <w:rPr>
          <w:rFonts w:ascii="Garamond" w:eastAsia="Calibri" w:hAnsi="Garamond" w:cs="Times New Roman"/>
          <w:sz w:val="24"/>
          <w:szCs w:val="24"/>
          <w:lang w:eastAsia="it-IT"/>
        </w:rPr>
      </w:pPr>
    </w:p>
    <w:p w14:paraId="48588C16" w14:textId="77777777" w:rsidR="00EF7744" w:rsidRPr="00957B66" w:rsidRDefault="00EF7744" w:rsidP="00DE366E">
      <w:pPr>
        <w:spacing w:after="0" w:line="360" w:lineRule="auto"/>
        <w:contextualSpacing/>
        <w:jc w:val="both"/>
        <w:rPr>
          <w:rFonts w:ascii="Garamond" w:eastAsia="Calibri" w:hAnsi="Garamond" w:cs="Times New Roman"/>
          <w:sz w:val="24"/>
          <w:szCs w:val="24"/>
          <w:lang w:eastAsia="it-IT"/>
        </w:rPr>
      </w:pPr>
    </w:p>
    <w:p w14:paraId="23619D79" w14:textId="0FF75285" w:rsidR="00957B66" w:rsidRPr="00957B66" w:rsidRDefault="00F54B63" w:rsidP="00DE366E">
      <w:pPr>
        <w:spacing w:after="0" w:line="360" w:lineRule="auto"/>
        <w:contextualSpacing/>
        <w:jc w:val="both"/>
        <w:rPr>
          <w:rFonts w:ascii="Garamond" w:eastAsia="Calibri" w:hAnsi="Garamond" w:cs="Times New Roman"/>
          <w:b/>
          <w:sz w:val="24"/>
          <w:szCs w:val="24"/>
          <w:lang w:eastAsia="it-IT"/>
        </w:rPr>
      </w:pPr>
      <w:r w:rsidRPr="00957B66">
        <w:rPr>
          <w:rFonts w:ascii="Garamond" w:eastAsia="Calibri" w:hAnsi="Garamond" w:cs="Times New Roman"/>
          <w:b/>
          <w:sz w:val="24"/>
          <w:szCs w:val="24"/>
          <w:lang w:eastAsia="it-IT"/>
        </w:rPr>
        <w:t>1</w:t>
      </w:r>
      <w:r w:rsidR="003112AC" w:rsidRPr="00957B66">
        <w:rPr>
          <w:rFonts w:ascii="Garamond" w:eastAsia="Calibri" w:hAnsi="Garamond" w:cs="Times New Roman"/>
          <w:b/>
          <w:sz w:val="24"/>
          <w:szCs w:val="24"/>
          <w:lang w:eastAsia="it-IT"/>
        </w:rPr>
        <w:t>.</w:t>
      </w:r>
      <w:r w:rsidR="006156D2" w:rsidRPr="00957B66">
        <w:rPr>
          <w:rFonts w:ascii="Garamond" w:eastAsia="Calibri" w:hAnsi="Garamond" w:cs="Times New Roman"/>
          <w:b/>
          <w:sz w:val="24"/>
          <w:szCs w:val="24"/>
          <w:lang w:eastAsia="it-IT"/>
        </w:rPr>
        <w:t xml:space="preserve"> </w:t>
      </w:r>
      <w:r w:rsidR="004E4C69" w:rsidRPr="00957B66">
        <w:rPr>
          <w:rFonts w:ascii="Garamond" w:eastAsia="Calibri" w:hAnsi="Garamond" w:cs="Times New Roman"/>
          <w:b/>
          <w:sz w:val="24"/>
          <w:szCs w:val="24"/>
          <w:lang w:eastAsia="it-IT"/>
        </w:rPr>
        <w:t xml:space="preserve">Città, </w:t>
      </w:r>
      <w:r w:rsidR="008A49FB" w:rsidRPr="00957B66">
        <w:rPr>
          <w:rFonts w:ascii="Garamond" w:eastAsia="Calibri" w:hAnsi="Garamond" w:cs="Times New Roman"/>
          <w:b/>
          <w:sz w:val="24"/>
          <w:szCs w:val="24"/>
          <w:lang w:eastAsia="it-IT"/>
        </w:rPr>
        <w:t>solo</w:t>
      </w:r>
      <w:r w:rsidR="004E4C69" w:rsidRPr="00957B66">
        <w:rPr>
          <w:rFonts w:ascii="Garamond" w:eastAsia="Calibri" w:hAnsi="Garamond" w:cs="Times New Roman"/>
          <w:b/>
          <w:sz w:val="24"/>
          <w:szCs w:val="24"/>
          <w:lang w:eastAsia="it-IT"/>
        </w:rPr>
        <w:t xml:space="preserve"> città.</w:t>
      </w:r>
      <w:r w:rsidR="008A49FB" w:rsidRPr="00957B66">
        <w:rPr>
          <w:rFonts w:ascii="Garamond" w:eastAsia="Calibri" w:hAnsi="Garamond" w:cs="Times New Roman"/>
          <w:b/>
          <w:sz w:val="24"/>
          <w:szCs w:val="24"/>
          <w:lang w:eastAsia="it-IT"/>
        </w:rPr>
        <w:t xml:space="preserve"> Prima della piccola riforma costituzionale d</w:t>
      </w:r>
      <w:r w:rsidR="00920BB2" w:rsidRPr="00957B66">
        <w:rPr>
          <w:rFonts w:ascii="Garamond" w:eastAsia="Calibri" w:hAnsi="Garamond" w:cs="Times New Roman"/>
          <w:b/>
          <w:sz w:val="24"/>
          <w:szCs w:val="24"/>
          <w:lang w:eastAsia="it-IT"/>
        </w:rPr>
        <w:t>’inizio millennio</w:t>
      </w:r>
    </w:p>
    <w:p w14:paraId="436DC802" w14:textId="001AE8CC" w:rsidR="00061947" w:rsidRPr="00375B80" w:rsidRDefault="00A91102" w:rsidP="00DE366E">
      <w:pPr>
        <w:spacing w:after="0" w:line="360" w:lineRule="auto"/>
        <w:contextualSpacing/>
        <w:jc w:val="both"/>
        <w:rPr>
          <w:rFonts w:ascii="Garamond" w:eastAsia="Calibri" w:hAnsi="Garamond" w:cs="Times New Roman"/>
          <w:b/>
          <w:sz w:val="24"/>
          <w:szCs w:val="24"/>
          <w:lang w:eastAsia="it-IT"/>
        </w:rPr>
      </w:pPr>
      <w:r w:rsidRPr="00375B80">
        <w:rPr>
          <w:rFonts w:ascii="Garamond" w:eastAsia="Calibri" w:hAnsi="Garamond" w:cs="Times New Roman"/>
          <w:sz w:val="24"/>
          <w:szCs w:val="24"/>
          <w:lang w:eastAsia="it-IT"/>
        </w:rPr>
        <w:t xml:space="preserve">Il percorso che porta dal diritto </w:t>
      </w:r>
      <w:r w:rsidR="00903EB4" w:rsidRPr="00375B80">
        <w:rPr>
          <w:rFonts w:ascii="Garamond" w:eastAsia="Calibri" w:hAnsi="Garamond" w:cs="Times New Roman"/>
          <w:sz w:val="24"/>
          <w:szCs w:val="24"/>
          <w:lang w:eastAsia="it-IT"/>
        </w:rPr>
        <w:t>amministrativo dell’</w:t>
      </w:r>
      <w:r w:rsidRPr="00375B80">
        <w:rPr>
          <w:rFonts w:ascii="Garamond" w:eastAsia="Calibri" w:hAnsi="Garamond" w:cs="Times New Roman"/>
          <w:sz w:val="24"/>
          <w:szCs w:val="24"/>
          <w:lang w:eastAsia="it-IT"/>
        </w:rPr>
        <w:t>edilizi</w:t>
      </w:r>
      <w:r w:rsidR="00903EB4" w:rsidRPr="00375B80">
        <w:rPr>
          <w:rFonts w:ascii="Garamond" w:eastAsia="Calibri" w:hAnsi="Garamond" w:cs="Times New Roman"/>
          <w:sz w:val="24"/>
          <w:szCs w:val="24"/>
          <w:lang w:eastAsia="it-IT"/>
        </w:rPr>
        <w:t>a</w:t>
      </w:r>
      <w:r w:rsidRPr="00375B80">
        <w:rPr>
          <w:rFonts w:ascii="Garamond" w:eastAsia="Calibri" w:hAnsi="Garamond" w:cs="Times New Roman"/>
          <w:sz w:val="24"/>
          <w:szCs w:val="24"/>
          <w:lang w:eastAsia="it-IT"/>
        </w:rPr>
        <w:t xml:space="preserve"> al sintagma ricevuto nella Carta – il governo del territorio – non è a mio avviso descrivibile come un semplice allargamento di scala. </w:t>
      </w:r>
    </w:p>
    <w:p w14:paraId="6A0014F8" w14:textId="5118A50A" w:rsidR="00A91102" w:rsidRPr="00375B80" w:rsidRDefault="00061947"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Vi è, di certo, una servitù di vocabolario dalla quale si deve per quanto possibile affrancarsi</w:t>
      </w:r>
      <w:r w:rsidR="00903EB4" w:rsidRPr="00375B80">
        <w:rPr>
          <w:rFonts w:ascii="Garamond" w:eastAsia="Calibri" w:hAnsi="Garamond" w:cs="Times New Roman"/>
          <w:sz w:val="24"/>
          <w:szCs w:val="24"/>
          <w:lang w:eastAsia="it-IT"/>
        </w:rPr>
        <w:t>.</w:t>
      </w:r>
    </w:p>
    <w:p w14:paraId="72D4D8BB" w14:textId="040C1788" w:rsidR="00903EB4" w:rsidRPr="00375B80" w:rsidRDefault="00903EB4"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Forse per un fenomeno di inerzia semantica la locuzione «governo del territorio» è sempre stata letta e collocata in una qualche relazione di continuità col lemma «urbanistica».</w:t>
      </w:r>
    </w:p>
    <w:p w14:paraId="398046BA" w14:textId="25A0CEFB" w:rsidR="00903EB4" w:rsidRPr="00375B80" w:rsidRDefault="00903EB4"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Già l’analisi normativa al massimo livello, quello costituzionale, porta a moti di sconforto.</w:t>
      </w:r>
    </w:p>
    <w:p w14:paraId="25314156" w14:textId="7E33FA29" w:rsidR="00903EB4" w:rsidRPr="00375B80" w:rsidRDefault="00903EB4"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L’assetto originario, quello cioè anteriore alla riforma del 2001, brillava infatti per l’incompetenza del Costituente. I lavori preparatori non registrano </w:t>
      </w:r>
      <w:r w:rsidR="00467A59" w:rsidRPr="00375B80">
        <w:rPr>
          <w:rFonts w:ascii="Garamond" w:eastAsia="Calibri" w:hAnsi="Garamond" w:cs="Times New Roman"/>
          <w:sz w:val="24"/>
          <w:szCs w:val="24"/>
          <w:lang w:eastAsia="it-IT"/>
        </w:rPr>
        <w:t>alc</w:t>
      </w:r>
      <w:r w:rsidRPr="00375B80">
        <w:rPr>
          <w:rFonts w:ascii="Garamond" w:eastAsia="Calibri" w:hAnsi="Garamond" w:cs="Times New Roman"/>
          <w:sz w:val="24"/>
          <w:szCs w:val="24"/>
          <w:lang w:eastAsia="it-IT"/>
        </w:rPr>
        <w:t>un dibattito sul contenuto del</w:t>
      </w:r>
      <w:r w:rsidR="00467A59" w:rsidRPr="00375B80">
        <w:rPr>
          <w:rFonts w:ascii="Garamond" w:eastAsia="Calibri" w:hAnsi="Garamond" w:cs="Times New Roman"/>
          <w:sz w:val="24"/>
          <w:szCs w:val="24"/>
          <w:lang w:eastAsia="it-IT"/>
        </w:rPr>
        <w:t xml:space="preserve"> lemma</w:t>
      </w:r>
      <w:r w:rsidRPr="00375B80">
        <w:rPr>
          <w:rFonts w:ascii="Garamond" w:eastAsia="Calibri" w:hAnsi="Garamond" w:cs="Times New Roman"/>
          <w:sz w:val="24"/>
          <w:szCs w:val="24"/>
          <w:lang w:eastAsia="it-IT"/>
        </w:rPr>
        <w:t>, che anzi si dà per presuppost</w:t>
      </w:r>
      <w:r w:rsidR="00467A59" w:rsidRPr="00375B80">
        <w:rPr>
          <w:rFonts w:ascii="Garamond" w:eastAsia="Calibri" w:hAnsi="Garamond" w:cs="Times New Roman"/>
          <w:sz w:val="24"/>
          <w:szCs w:val="24"/>
          <w:lang w:eastAsia="it-IT"/>
        </w:rPr>
        <w:t>o</w:t>
      </w:r>
      <w:r w:rsidRPr="00375B80">
        <w:rPr>
          <w:rFonts w:ascii="Garamond" w:eastAsia="Calibri" w:hAnsi="Garamond" w:cs="Times New Roman"/>
          <w:sz w:val="24"/>
          <w:szCs w:val="24"/>
          <w:lang w:eastAsia="it-IT"/>
        </w:rPr>
        <w:t xml:space="preserve"> o – meglio – ignot</w:t>
      </w:r>
      <w:r w:rsidR="00467A59" w:rsidRPr="00375B80">
        <w:rPr>
          <w:rFonts w:ascii="Garamond" w:eastAsia="Calibri" w:hAnsi="Garamond" w:cs="Times New Roman"/>
          <w:sz w:val="24"/>
          <w:szCs w:val="24"/>
          <w:lang w:eastAsia="it-IT"/>
        </w:rPr>
        <w:t>o</w:t>
      </w:r>
      <w:r w:rsidRPr="00375B80">
        <w:rPr>
          <w:rFonts w:ascii="Garamond" w:eastAsia="Calibri" w:hAnsi="Garamond" w:cs="Times New Roman"/>
          <w:sz w:val="24"/>
          <w:szCs w:val="24"/>
          <w:lang w:eastAsia="it-IT"/>
        </w:rPr>
        <w:t>.</w:t>
      </w:r>
    </w:p>
    <w:p w14:paraId="4A1D8945" w14:textId="63CA7DF3" w:rsidR="00BD67FB" w:rsidRPr="00375B80" w:rsidRDefault="00903EB4"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Di qui, poi, anche la scelta, altrettanto </w:t>
      </w:r>
      <w:r w:rsidRPr="00375B80">
        <w:rPr>
          <w:rFonts w:ascii="Garamond" w:eastAsia="Calibri" w:hAnsi="Garamond" w:cs="Times New Roman"/>
          <w:i/>
          <w:sz w:val="24"/>
          <w:szCs w:val="24"/>
          <w:lang w:eastAsia="it-IT"/>
        </w:rPr>
        <w:t>immeditata</w:t>
      </w:r>
      <w:r w:rsidRPr="00375B80">
        <w:rPr>
          <w:rFonts w:ascii="Garamond" w:eastAsia="Calibri" w:hAnsi="Garamond" w:cs="Times New Roman"/>
          <w:sz w:val="24"/>
          <w:szCs w:val="24"/>
          <w:lang w:eastAsia="it-IT"/>
        </w:rPr>
        <w:t xml:space="preserve">, di attribuire </w:t>
      </w:r>
      <w:r w:rsidR="00C436A5" w:rsidRPr="00375B80">
        <w:rPr>
          <w:rFonts w:ascii="Garamond" w:eastAsia="Calibri" w:hAnsi="Garamond" w:cs="Times New Roman"/>
          <w:sz w:val="24"/>
          <w:szCs w:val="24"/>
          <w:lang w:eastAsia="it-IT"/>
        </w:rPr>
        <w:t>la materia</w:t>
      </w:r>
      <w:r w:rsidRPr="00375B80">
        <w:rPr>
          <w:rFonts w:ascii="Garamond" w:eastAsia="Calibri" w:hAnsi="Garamond" w:cs="Times New Roman"/>
          <w:sz w:val="24"/>
          <w:szCs w:val="24"/>
          <w:lang w:eastAsia="it-IT"/>
        </w:rPr>
        <w:t xml:space="preserve"> alle Regioni</w:t>
      </w:r>
      <w:r w:rsidRPr="00375B80">
        <w:rPr>
          <w:rStyle w:val="Rimandonotaapidipagina"/>
          <w:rFonts w:ascii="Garamond" w:eastAsia="Calibri" w:hAnsi="Garamond" w:cs="Times New Roman"/>
          <w:sz w:val="24"/>
          <w:szCs w:val="24"/>
          <w:lang w:eastAsia="it-IT"/>
        </w:rPr>
        <w:footnoteReference w:id="2"/>
      </w:r>
      <w:r w:rsidR="00C436A5" w:rsidRPr="00375B80">
        <w:rPr>
          <w:rFonts w:ascii="Garamond" w:eastAsia="Calibri" w:hAnsi="Garamond" w:cs="Times New Roman"/>
          <w:sz w:val="24"/>
          <w:szCs w:val="24"/>
          <w:lang w:eastAsia="it-IT"/>
        </w:rPr>
        <w:t xml:space="preserve">: perché </w:t>
      </w:r>
      <w:r w:rsidR="00C605DC" w:rsidRPr="00375B80">
        <w:rPr>
          <w:rFonts w:ascii="Garamond" w:eastAsia="Calibri" w:hAnsi="Garamond" w:cs="Times New Roman"/>
          <w:sz w:val="24"/>
          <w:szCs w:val="24"/>
          <w:lang w:eastAsia="it-IT"/>
        </w:rPr>
        <w:t xml:space="preserve">– secondo il Costituente – </w:t>
      </w:r>
      <w:r w:rsidR="00C436A5" w:rsidRPr="00375B80">
        <w:rPr>
          <w:rFonts w:ascii="Garamond" w:eastAsia="Calibri" w:hAnsi="Garamond" w:cs="Times New Roman"/>
          <w:sz w:val="24"/>
          <w:szCs w:val="24"/>
          <w:lang w:eastAsia="it-IT"/>
        </w:rPr>
        <w:t>l’urbanistica concerne «</w:t>
      </w:r>
      <w:r w:rsidR="00C436A5" w:rsidRPr="00375B80">
        <w:rPr>
          <w:rFonts w:ascii="Garamond" w:eastAsia="Calibri" w:hAnsi="Garamond" w:cs="Times New Roman"/>
          <w:i/>
          <w:sz w:val="24"/>
          <w:szCs w:val="24"/>
          <w:lang w:eastAsia="it-IT"/>
        </w:rPr>
        <w:t>quasi esclusivamente</w:t>
      </w:r>
      <w:r w:rsidR="00C436A5" w:rsidRPr="00375B80">
        <w:rPr>
          <w:rFonts w:ascii="Garamond" w:eastAsia="Calibri" w:hAnsi="Garamond" w:cs="Times New Roman"/>
          <w:sz w:val="24"/>
          <w:szCs w:val="24"/>
          <w:lang w:eastAsia="it-IT"/>
        </w:rPr>
        <w:t xml:space="preserve"> la competenza degli enti locali» e perché «i piani regolatori debbono essere approvati con legge».</w:t>
      </w:r>
    </w:p>
    <w:p w14:paraId="70E890CC" w14:textId="0FDAE3B5" w:rsidR="00C436A5" w:rsidRPr="00375B80" w:rsidRDefault="00C436A5"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lastRenderedPageBreak/>
        <w:t xml:space="preserve">Due </w:t>
      </w:r>
      <w:r w:rsidR="00467A59" w:rsidRPr="00375B80">
        <w:rPr>
          <w:rFonts w:ascii="Garamond" w:eastAsia="Calibri" w:hAnsi="Garamond" w:cs="Times New Roman"/>
          <w:sz w:val="24"/>
          <w:szCs w:val="24"/>
          <w:lang w:eastAsia="it-IT"/>
        </w:rPr>
        <w:t>errori</w:t>
      </w:r>
      <w:r w:rsidRPr="00375B80">
        <w:rPr>
          <w:rFonts w:ascii="Garamond" w:eastAsia="Calibri" w:hAnsi="Garamond" w:cs="Times New Roman"/>
          <w:sz w:val="24"/>
          <w:szCs w:val="24"/>
          <w:lang w:eastAsia="it-IT"/>
        </w:rPr>
        <w:t xml:space="preserve"> rispettivamente di fatto e </w:t>
      </w:r>
      <w:r w:rsidR="00467A59" w:rsidRPr="00375B80">
        <w:rPr>
          <w:rFonts w:ascii="Garamond" w:eastAsia="Calibri" w:hAnsi="Garamond" w:cs="Times New Roman"/>
          <w:sz w:val="24"/>
          <w:szCs w:val="24"/>
          <w:lang w:eastAsia="it-IT"/>
        </w:rPr>
        <w:t xml:space="preserve">di </w:t>
      </w:r>
      <w:r w:rsidRPr="00375B80">
        <w:rPr>
          <w:rFonts w:ascii="Garamond" w:eastAsia="Calibri" w:hAnsi="Garamond" w:cs="Times New Roman"/>
          <w:sz w:val="24"/>
          <w:szCs w:val="24"/>
          <w:lang w:eastAsia="it-IT"/>
        </w:rPr>
        <w:t>diritto. E che condizioneranno non poco lo sviluppo del dibattito sia sul contenuto della materia-funzione in parola, sia sul disegno organizzativo.</w:t>
      </w:r>
    </w:p>
    <w:p w14:paraId="178A59D8" w14:textId="4832F109" w:rsidR="00C605DC" w:rsidRPr="00375B80" w:rsidRDefault="00C436A5"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Quel «quasi esclusivamente» </w:t>
      </w:r>
      <w:r w:rsidR="00A54B14" w:rsidRPr="00375B80">
        <w:rPr>
          <w:rFonts w:ascii="Garamond" w:eastAsia="Calibri" w:hAnsi="Garamond" w:cs="Times New Roman"/>
          <w:sz w:val="24"/>
          <w:szCs w:val="24"/>
          <w:lang w:eastAsia="it-IT"/>
        </w:rPr>
        <w:t>rispecchia bene</w:t>
      </w:r>
      <w:r w:rsidRPr="00375B80">
        <w:rPr>
          <w:rFonts w:ascii="Garamond" w:eastAsia="Calibri" w:hAnsi="Garamond" w:cs="Times New Roman"/>
          <w:sz w:val="24"/>
          <w:szCs w:val="24"/>
          <w:lang w:eastAsia="it-IT"/>
        </w:rPr>
        <w:t xml:space="preserve"> </w:t>
      </w:r>
      <w:r w:rsidR="00A54B14" w:rsidRPr="00375B80">
        <w:rPr>
          <w:rFonts w:ascii="Garamond" w:eastAsia="Calibri" w:hAnsi="Garamond" w:cs="Times New Roman"/>
          <w:sz w:val="24"/>
          <w:szCs w:val="24"/>
          <w:lang w:eastAsia="it-IT"/>
        </w:rPr>
        <w:t xml:space="preserve">– sebbene trascritta sul piano dell’attribuzione competenziale – </w:t>
      </w:r>
      <w:r w:rsidRPr="00375B80">
        <w:rPr>
          <w:rFonts w:ascii="Garamond" w:eastAsia="Calibri" w:hAnsi="Garamond" w:cs="Times New Roman"/>
          <w:sz w:val="24"/>
          <w:szCs w:val="24"/>
          <w:lang w:eastAsia="it-IT"/>
        </w:rPr>
        <w:t xml:space="preserve">una </w:t>
      </w:r>
      <w:r w:rsidR="00A54B14" w:rsidRPr="00375B80">
        <w:rPr>
          <w:rFonts w:ascii="Garamond" w:eastAsia="Calibri" w:hAnsi="Garamond" w:cs="Times New Roman"/>
          <w:sz w:val="24"/>
          <w:szCs w:val="24"/>
          <w:lang w:eastAsia="it-IT"/>
        </w:rPr>
        <w:t xml:space="preserve">tendenziale </w:t>
      </w:r>
      <w:r w:rsidRPr="00375B80">
        <w:rPr>
          <w:rFonts w:ascii="Garamond" w:eastAsia="Calibri" w:hAnsi="Garamond" w:cs="Times New Roman"/>
          <w:sz w:val="24"/>
          <w:szCs w:val="24"/>
          <w:lang w:eastAsia="it-IT"/>
        </w:rPr>
        <w:t>stenosi del campo</w:t>
      </w:r>
      <w:r w:rsidR="00A54B14" w:rsidRPr="00375B80">
        <w:rPr>
          <w:rFonts w:ascii="Garamond" w:eastAsia="Calibri" w:hAnsi="Garamond" w:cs="Times New Roman"/>
          <w:sz w:val="24"/>
          <w:szCs w:val="24"/>
          <w:lang w:eastAsia="it-IT"/>
        </w:rPr>
        <w:t xml:space="preserve"> osservativo: l’urbanistica sarà sempre vista come </w:t>
      </w:r>
      <w:r w:rsidR="00C605DC" w:rsidRPr="00375B80">
        <w:rPr>
          <w:rFonts w:ascii="Garamond" w:eastAsia="Calibri" w:hAnsi="Garamond" w:cs="Times New Roman"/>
          <w:sz w:val="24"/>
          <w:szCs w:val="24"/>
          <w:lang w:eastAsia="it-IT"/>
        </w:rPr>
        <w:t>affare soprattutto comunale</w:t>
      </w:r>
      <w:r w:rsidR="00A54B14" w:rsidRPr="00375B80">
        <w:rPr>
          <w:rFonts w:ascii="Garamond" w:eastAsia="Calibri" w:hAnsi="Garamond" w:cs="Times New Roman"/>
          <w:sz w:val="24"/>
          <w:szCs w:val="24"/>
          <w:lang w:eastAsia="it-IT"/>
        </w:rPr>
        <w:t xml:space="preserve"> </w:t>
      </w:r>
      <w:r w:rsidR="00C605DC" w:rsidRPr="00375B80">
        <w:rPr>
          <w:rFonts w:ascii="Garamond" w:eastAsia="Calibri" w:hAnsi="Garamond" w:cs="Times New Roman"/>
          <w:sz w:val="24"/>
          <w:szCs w:val="24"/>
          <w:lang w:eastAsia="it-IT"/>
        </w:rPr>
        <w:t>perché riguarda la città, l’</w:t>
      </w:r>
      <w:r w:rsidR="00C605DC" w:rsidRPr="00375B80">
        <w:rPr>
          <w:rFonts w:ascii="Garamond" w:eastAsia="Calibri" w:hAnsi="Garamond" w:cs="Times New Roman"/>
          <w:i/>
          <w:sz w:val="24"/>
          <w:szCs w:val="24"/>
          <w:lang w:eastAsia="it-IT"/>
        </w:rPr>
        <w:t>urbs</w:t>
      </w:r>
      <w:r w:rsidR="00C605DC" w:rsidRPr="00375B80">
        <w:rPr>
          <w:rFonts w:ascii="Garamond" w:eastAsia="Calibri" w:hAnsi="Garamond" w:cs="Times New Roman"/>
          <w:sz w:val="24"/>
          <w:szCs w:val="24"/>
          <w:lang w:eastAsia="it-IT"/>
        </w:rPr>
        <w:t>. O comunque, se lo sguardo cerca talvolta di spingersi oltre, verso cioè le aree non edificate, non sposta il suo presupposto, tanto implicito quanto ferm</w:t>
      </w:r>
      <w:r w:rsidR="00467A59" w:rsidRPr="00375B80">
        <w:rPr>
          <w:rFonts w:ascii="Garamond" w:eastAsia="Calibri" w:hAnsi="Garamond" w:cs="Times New Roman"/>
          <w:sz w:val="24"/>
          <w:szCs w:val="24"/>
          <w:lang w:eastAsia="it-IT"/>
        </w:rPr>
        <w:t>o</w:t>
      </w:r>
      <w:r w:rsidR="00C605DC" w:rsidRPr="00375B80">
        <w:rPr>
          <w:rFonts w:ascii="Garamond" w:eastAsia="Calibri" w:hAnsi="Garamond" w:cs="Times New Roman"/>
          <w:sz w:val="24"/>
          <w:szCs w:val="24"/>
          <w:lang w:eastAsia="it-IT"/>
        </w:rPr>
        <w:t xml:space="preserve">. Un po’ come la rosa dei venti, coi nomi battezzati da un immaginario uomo di mare che, da Zacinto </w:t>
      </w:r>
      <w:r w:rsidR="00D56547" w:rsidRPr="00375B80">
        <w:rPr>
          <w:rFonts w:ascii="Garamond" w:eastAsia="Calibri" w:hAnsi="Garamond" w:cs="Times New Roman"/>
          <w:sz w:val="24"/>
          <w:szCs w:val="24"/>
          <w:lang w:eastAsia="it-IT"/>
        </w:rPr>
        <w:t>ancor</w:t>
      </w:r>
      <w:r w:rsidR="00AB67A2" w:rsidRPr="00375B80">
        <w:rPr>
          <w:rFonts w:ascii="Garamond" w:eastAsia="Calibri" w:hAnsi="Garamond" w:cs="Times New Roman"/>
          <w:sz w:val="24"/>
          <w:szCs w:val="24"/>
          <w:lang w:eastAsia="it-IT"/>
        </w:rPr>
        <w:t>a</w:t>
      </w:r>
      <w:r w:rsidR="00D56547" w:rsidRPr="00375B80">
        <w:rPr>
          <w:rFonts w:ascii="Garamond" w:eastAsia="Calibri" w:hAnsi="Garamond" w:cs="Times New Roman"/>
          <w:sz w:val="24"/>
          <w:szCs w:val="24"/>
          <w:lang w:eastAsia="it-IT"/>
        </w:rPr>
        <w:t xml:space="preserve"> </w:t>
      </w:r>
      <w:r w:rsidR="00C605DC" w:rsidRPr="00375B80">
        <w:rPr>
          <w:rFonts w:ascii="Garamond" w:eastAsia="Calibri" w:hAnsi="Garamond" w:cs="Times New Roman"/>
          <w:sz w:val="24"/>
          <w:szCs w:val="24"/>
          <w:lang w:eastAsia="it-IT"/>
        </w:rPr>
        <w:t>veneziana, li avverte provenienti dai quattro angoli</w:t>
      </w:r>
      <w:r w:rsidR="00D56547" w:rsidRPr="00375B80">
        <w:rPr>
          <w:rFonts w:ascii="Garamond" w:eastAsia="Calibri" w:hAnsi="Garamond" w:cs="Times New Roman"/>
          <w:sz w:val="24"/>
          <w:szCs w:val="24"/>
          <w:lang w:eastAsia="it-IT"/>
        </w:rPr>
        <w:t xml:space="preserve"> del Mediterraneo</w:t>
      </w:r>
      <w:r w:rsidR="00C605DC" w:rsidRPr="00375B80">
        <w:rPr>
          <w:rFonts w:ascii="Garamond" w:eastAsia="Calibri" w:hAnsi="Garamond" w:cs="Times New Roman"/>
          <w:sz w:val="24"/>
          <w:szCs w:val="24"/>
          <w:lang w:eastAsia="it-IT"/>
        </w:rPr>
        <w:t xml:space="preserve">. </w:t>
      </w:r>
    </w:p>
    <w:p w14:paraId="22E35F6A" w14:textId="3181B9D1" w:rsidR="00C605DC" w:rsidRPr="00375B80" w:rsidRDefault="00C605DC"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Il punto di vista non muta, dicevo. Come il tema di fondo: la gestione della </w:t>
      </w:r>
      <w:r w:rsidRPr="00375B80">
        <w:rPr>
          <w:rFonts w:ascii="Garamond" w:eastAsia="Calibri" w:hAnsi="Garamond" w:cs="Times New Roman"/>
          <w:i/>
          <w:sz w:val="24"/>
          <w:szCs w:val="24"/>
          <w:lang w:eastAsia="it-IT"/>
        </w:rPr>
        <w:t>città</w:t>
      </w:r>
      <w:r w:rsidR="005264C2" w:rsidRPr="00375B80">
        <w:rPr>
          <w:rStyle w:val="Rimandonotaapidipagina"/>
          <w:rFonts w:ascii="Garamond" w:eastAsia="Calibri" w:hAnsi="Garamond" w:cs="Times New Roman"/>
          <w:sz w:val="24"/>
          <w:szCs w:val="24"/>
          <w:lang w:eastAsia="it-IT"/>
        </w:rPr>
        <w:footnoteReference w:id="3"/>
      </w:r>
      <w:r w:rsidR="00AB67A2" w:rsidRPr="00375B80">
        <w:rPr>
          <w:rFonts w:ascii="Garamond" w:eastAsia="Calibri" w:hAnsi="Garamond" w:cs="Times New Roman"/>
          <w:sz w:val="24"/>
          <w:szCs w:val="24"/>
          <w:lang w:eastAsia="it-IT"/>
        </w:rPr>
        <w:t>.</w:t>
      </w:r>
      <w:r w:rsidRPr="00375B80">
        <w:rPr>
          <w:rFonts w:ascii="Garamond" w:eastAsia="Calibri" w:hAnsi="Garamond" w:cs="Times New Roman"/>
          <w:sz w:val="24"/>
          <w:szCs w:val="24"/>
          <w:lang w:eastAsia="it-IT"/>
        </w:rPr>
        <w:t xml:space="preserve"> Muovendo dal suo centro e via via allargandosi sino all’agro ancora libero. L’uomo insediato e l’edificazione/trasformazione a lui servente sono i due pilastri che sorreggono – in modo chiaramente pregiudiziale e ideologico – </w:t>
      </w:r>
      <w:r w:rsidR="00467A59" w:rsidRPr="00375B80">
        <w:rPr>
          <w:rFonts w:ascii="Garamond" w:eastAsia="Calibri" w:hAnsi="Garamond" w:cs="Times New Roman"/>
          <w:sz w:val="24"/>
          <w:szCs w:val="24"/>
          <w:lang w:eastAsia="it-IT"/>
        </w:rPr>
        <w:t>il principio di</w:t>
      </w:r>
      <w:r w:rsidRPr="00375B80">
        <w:rPr>
          <w:rFonts w:ascii="Garamond" w:eastAsia="Calibri" w:hAnsi="Garamond" w:cs="Times New Roman"/>
          <w:sz w:val="24"/>
          <w:szCs w:val="24"/>
          <w:lang w:eastAsia="it-IT"/>
        </w:rPr>
        <w:t xml:space="preserve"> disciplina.</w:t>
      </w:r>
    </w:p>
    <w:p w14:paraId="0CEBE672" w14:textId="272F8675" w:rsidR="00D56547" w:rsidRPr="00375B80" w:rsidRDefault="00D56547"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La stessa nascita di quell’ircocervo sostanziale e giuridico che sarà</w:t>
      </w:r>
      <w:r w:rsidR="00B60CAE" w:rsidRPr="00375B80">
        <w:rPr>
          <w:rFonts w:ascii="Garamond" w:eastAsia="Calibri" w:hAnsi="Garamond" w:cs="Times New Roman"/>
          <w:sz w:val="24"/>
          <w:szCs w:val="24"/>
          <w:lang w:eastAsia="it-IT"/>
        </w:rPr>
        <w:t>,</w:t>
      </w:r>
      <w:r w:rsidRPr="00375B80">
        <w:rPr>
          <w:rFonts w:ascii="Garamond" w:eastAsia="Calibri" w:hAnsi="Garamond" w:cs="Times New Roman"/>
          <w:sz w:val="24"/>
          <w:szCs w:val="24"/>
          <w:lang w:eastAsia="it-IT"/>
        </w:rPr>
        <w:t xml:space="preserve"> nel diritto italiano </w:t>
      </w:r>
      <w:r w:rsidR="00B60CAE" w:rsidRPr="00375B80">
        <w:rPr>
          <w:rFonts w:ascii="Garamond" w:eastAsia="Calibri" w:hAnsi="Garamond" w:cs="Times New Roman"/>
          <w:sz w:val="24"/>
          <w:szCs w:val="24"/>
          <w:lang w:eastAsia="it-IT"/>
        </w:rPr>
        <w:t xml:space="preserve">del dopoguerra, </w:t>
      </w:r>
      <w:r w:rsidRPr="00375B80">
        <w:rPr>
          <w:rFonts w:ascii="Garamond" w:eastAsia="Calibri" w:hAnsi="Garamond" w:cs="Times New Roman"/>
          <w:sz w:val="24"/>
          <w:szCs w:val="24"/>
          <w:lang w:eastAsia="it-IT"/>
        </w:rPr>
        <w:t xml:space="preserve">il piano regolatore-atto complesso trova le ragioni </w:t>
      </w:r>
      <w:r w:rsidR="000D6F3D" w:rsidRPr="00375B80">
        <w:rPr>
          <w:rFonts w:ascii="Garamond" w:eastAsia="Calibri" w:hAnsi="Garamond" w:cs="Times New Roman"/>
          <w:sz w:val="24"/>
          <w:szCs w:val="24"/>
          <w:lang w:eastAsia="it-IT"/>
        </w:rPr>
        <w:t xml:space="preserve">genetiche all’interno di una </w:t>
      </w:r>
      <w:r w:rsidR="004E4C69" w:rsidRPr="00375B80">
        <w:rPr>
          <w:rFonts w:ascii="Garamond" w:eastAsia="Calibri" w:hAnsi="Garamond" w:cs="Times New Roman"/>
          <w:sz w:val="24"/>
          <w:szCs w:val="24"/>
          <w:lang w:eastAsia="it-IT"/>
        </w:rPr>
        <w:t xml:space="preserve">sofferta e tesa dialettica fra </w:t>
      </w:r>
      <w:r w:rsidR="000D6F3D" w:rsidRPr="00375B80">
        <w:rPr>
          <w:rFonts w:ascii="Garamond" w:eastAsia="Calibri" w:hAnsi="Garamond" w:cs="Times New Roman"/>
          <w:i/>
          <w:sz w:val="24"/>
          <w:szCs w:val="24"/>
          <w:lang w:eastAsia="it-IT"/>
        </w:rPr>
        <w:t>municipal</w:t>
      </w:r>
      <w:r w:rsidR="004E4C69" w:rsidRPr="00375B80">
        <w:rPr>
          <w:rFonts w:ascii="Garamond" w:eastAsia="Calibri" w:hAnsi="Garamond" w:cs="Times New Roman"/>
          <w:i/>
          <w:sz w:val="24"/>
          <w:szCs w:val="24"/>
          <w:lang w:eastAsia="it-IT"/>
        </w:rPr>
        <w:t>ità e statualità</w:t>
      </w:r>
      <w:r w:rsidR="000D6F3D" w:rsidRPr="00375B80">
        <w:rPr>
          <w:rFonts w:ascii="Garamond" w:eastAsia="Calibri" w:hAnsi="Garamond" w:cs="Times New Roman"/>
          <w:sz w:val="24"/>
          <w:szCs w:val="24"/>
          <w:lang w:eastAsia="it-IT"/>
        </w:rPr>
        <w:t xml:space="preserve"> del sistema</w:t>
      </w:r>
      <w:r w:rsidR="004E4C69" w:rsidRPr="00375B80">
        <w:rPr>
          <w:rFonts w:ascii="Garamond" w:eastAsia="Calibri" w:hAnsi="Garamond" w:cs="Times New Roman"/>
          <w:sz w:val="24"/>
          <w:szCs w:val="24"/>
          <w:lang w:eastAsia="it-IT"/>
        </w:rPr>
        <w:t>: u</w:t>
      </w:r>
      <w:r w:rsidR="00017FC1" w:rsidRPr="00375B80">
        <w:rPr>
          <w:rFonts w:ascii="Garamond" w:eastAsia="Calibri" w:hAnsi="Garamond" w:cs="Times New Roman"/>
          <w:sz w:val="24"/>
          <w:szCs w:val="24"/>
          <w:lang w:eastAsia="it-IT"/>
        </w:rPr>
        <w:t xml:space="preserve">n confronto di potere, non di campi, scenari, </w:t>
      </w:r>
      <w:r w:rsidR="008A49FB" w:rsidRPr="00375B80">
        <w:rPr>
          <w:rFonts w:ascii="Garamond" w:eastAsia="Calibri" w:hAnsi="Garamond" w:cs="Times New Roman"/>
          <w:sz w:val="24"/>
          <w:szCs w:val="24"/>
          <w:lang w:eastAsia="it-IT"/>
        </w:rPr>
        <w:t xml:space="preserve">obiettivi e dunque </w:t>
      </w:r>
      <w:r w:rsidR="00017FC1" w:rsidRPr="00375B80">
        <w:rPr>
          <w:rFonts w:ascii="Garamond" w:eastAsia="Calibri" w:hAnsi="Garamond" w:cs="Times New Roman"/>
          <w:sz w:val="24"/>
          <w:szCs w:val="24"/>
          <w:lang w:eastAsia="it-IT"/>
        </w:rPr>
        <w:t>scale di regolazione.</w:t>
      </w:r>
    </w:p>
    <w:p w14:paraId="345096A1" w14:textId="4197F5D8" w:rsidR="00B60CAE" w:rsidRPr="00375B80" w:rsidRDefault="00B60CAE"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Non torno </w:t>
      </w:r>
      <w:r w:rsidR="008A49FB" w:rsidRPr="00375B80">
        <w:rPr>
          <w:rFonts w:ascii="Garamond" w:eastAsia="Calibri" w:hAnsi="Garamond" w:cs="Times New Roman"/>
          <w:sz w:val="24"/>
          <w:szCs w:val="24"/>
          <w:lang w:eastAsia="it-IT"/>
        </w:rPr>
        <w:t xml:space="preserve">troppo </w:t>
      </w:r>
      <w:r w:rsidRPr="00375B80">
        <w:rPr>
          <w:rFonts w:ascii="Garamond" w:eastAsia="Calibri" w:hAnsi="Garamond" w:cs="Times New Roman"/>
          <w:sz w:val="24"/>
          <w:szCs w:val="24"/>
          <w:lang w:eastAsia="it-IT"/>
        </w:rPr>
        <w:t xml:space="preserve">su vicende note e ben ricostruite dalla letteratura giuridica. Mi limito a ricordare che l’aferesi del sistema generale – </w:t>
      </w:r>
      <w:r w:rsidR="00DB7957" w:rsidRPr="00375B80">
        <w:rPr>
          <w:rFonts w:ascii="Garamond" w:eastAsia="Calibri" w:hAnsi="Garamond" w:cs="Times New Roman"/>
          <w:sz w:val="24"/>
          <w:szCs w:val="24"/>
          <w:lang w:eastAsia="it-IT"/>
        </w:rPr>
        <w:t>il fatale colpo di mano che in sede di approvazione portò al</w:t>
      </w:r>
      <w:r w:rsidRPr="00375B80">
        <w:rPr>
          <w:rFonts w:ascii="Garamond" w:eastAsia="Calibri" w:hAnsi="Garamond" w:cs="Times New Roman"/>
          <w:sz w:val="24"/>
          <w:szCs w:val="24"/>
          <w:lang w:eastAsia="it-IT"/>
        </w:rPr>
        <w:t xml:space="preserve">l’elisione della obbligatorietà del piano territoriale di coordinamento nel testo definitivo della legge del </w:t>
      </w:r>
      <w:r w:rsidR="00DB7957" w:rsidRPr="00375B80">
        <w:rPr>
          <w:rFonts w:ascii="Garamond" w:eastAsia="Calibri" w:hAnsi="Garamond" w:cs="Times New Roman"/>
          <w:sz w:val="24"/>
          <w:szCs w:val="24"/>
          <w:lang w:eastAsia="it-IT"/>
        </w:rPr>
        <w:t>’</w:t>
      </w:r>
      <w:r w:rsidRPr="00375B80">
        <w:rPr>
          <w:rFonts w:ascii="Garamond" w:eastAsia="Calibri" w:hAnsi="Garamond" w:cs="Times New Roman"/>
          <w:sz w:val="24"/>
          <w:szCs w:val="24"/>
          <w:lang w:eastAsia="it-IT"/>
        </w:rPr>
        <w:t xml:space="preserve">42 </w:t>
      </w:r>
      <w:r w:rsidR="00337C75" w:rsidRPr="00375B80">
        <w:rPr>
          <w:rFonts w:ascii="Garamond" w:eastAsia="Calibri" w:hAnsi="Garamond" w:cs="Times New Roman"/>
          <w:sz w:val="24"/>
          <w:szCs w:val="24"/>
          <w:lang w:eastAsia="it-IT"/>
        </w:rPr>
        <w:t xml:space="preserve">– </w:t>
      </w:r>
      <w:r w:rsidRPr="00375B80">
        <w:rPr>
          <w:rFonts w:ascii="Garamond" w:eastAsia="Calibri" w:hAnsi="Garamond" w:cs="Times New Roman"/>
          <w:sz w:val="24"/>
          <w:szCs w:val="24"/>
          <w:lang w:eastAsia="it-IT"/>
        </w:rPr>
        <w:t>fu, fra le varie cause, sicuramente dovuta al nucleo concettuale ravvisato, lungo i decenni p</w:t>
      </w:r>
      <w:r w:rsidR="00DB7957" w:rsidRPr="00375B80">
        <w:rPr>
          <w:rFonts w:ascii="Garamond" w:eastAsia="Calibri" w:hAnsi="Garamond" w:cs="Times New Roman"/>
          <w:sz w:val="24"/>
          <w:szCs w:val="24"/>
          <w:lang w:eastAsia="it-IT"/>
        </w:rPr>
        <w:t>re</w:t>
      </w:r>
      <w:r w:rsidRPr="00375B80">
        <w:rPr>
          <w:rFonts w:ascii="Garamond" w:eastAsia="Calibri" w:hAnsi="Garamond" w:cs="Times New Roman"/>
          <w:sz w:val="24"/>
          <w:szCs w:val="24"/>
          <w:lang w:eastAsia="it-IT"/>
        </w:rPr>
        <w:t xml:space="preserve">bellici, nella nozione stessa di urbanistica: </w:t>
      </w:r>
      <w:r w:rsidR="00DB7957" w:rsidRPr="00375B80">
        <w:rPr>
          <w:rFonts w:ascii="Garamond" w:eastAsia="Calibri" w:hAnsi="Garamond" w:cs="Times New Roman"/>
          <w:sz w:val="24"/>
          <w:szCs w:val="24"/>
          <w:lang w:eastAsia="it-IT"/>
        </w:rPr>
        <w:t xml:space="preserve">malamente </w:t>
      </w:r>
      <w:r w:rsidRPr="00375B80">
        <w:rPr>
          <w:rFonts w:ascii="Garamond" w:eastAsia="Calibri" w:hAnsi="Garamond" w:cs="Times New Roman"/>
          <w:sz w:val="24"/>
          <w:szCs w:val="24"/>
          <w:lang w:eastAsia="it-IT"/>
        </w:rPr>
        <w:t>intesa in senso restrittivo, e dunque come mera disciplina dell</w:t>
      </w:r>
      <w:r w:rsidR="008F0D15" w:rsidRPr="00375B80">
        <w:rPr>
          <w:rFonts w:ascii="Garamond" w:eastAsia="Calibri" w:hAnsi="Garamond" w:cs="Times New Roman"/>
          <w:sz w:val="24"/>
          <w:szCs w:val="24"/>
          <w:lang w:eastAsia="it-IT"/>
        </w:rPr>
        <w:t>’</w:t>
      </w:r>
      <w:r w:rsidRPr="00375B80">
        <w:rPr>
          <w:rFonts w:ascii="Garamond" w:eastAsia="Calibri" w:hAnsi="Garamond" w:cs="Times New Roman"/>
          <w:sz w:val="24"/>
          <w:szCs w:val="24"/>
          <w:lang w:eastAsia="it-IT"/>
        </w:rPr>
        <w:t xml:space="preserve">edificazione all’interno dell’abitato o comunque del </w:t>
      </w:r>
      <w:r w:rsidR="00DB7957" w:rsidRPr="00375B80">
        <w:rPr>
          <w:rFonts w:ascii="Garamond" w:eastAsia="Calibri" w:hAnsi="Garamond" w:cs="Times New Roman"/>
          <w:sz w:val="24"/>
          <w:szCs w:val="24"/>
          <w:lang w:eastAsia="it-IT"/>
        </w:rPr>
        <w:t xml:space="preserve">solo </w:t>
      </w:r>
      <w:r w:rsidRPr="00375B80">
        <w:rPr>
          <w:rFonts w:ascii="Garamond" w:eastAsia="Calibri" w:hAnsi="Garamond" w:cs="Times New Roman"/>
          <w:sz w:val="24"/>
          <w:szCs w:val="24"/>
          <w:lang w:eastAsia="it-IT"/>
        </w:rPr>
        <w:t>territorio comunale.</w:t>
      </w:r>
      <w:r w:rsidR="00337C75" w:rsidRPr="00375B80">
        <w:rPr>
          <w:rFonts w:ascii="Garamond" w:eastAsia="Calibri" w:hAnsi="Garamond" w:cs="Times New Roman"/>
          <w:sz w:val="24"/>
          <w:szCs w:val="24"/>
          <w:lang w:eastAsia="it-IT"/>
        </w:rPr>
        <w:t xml:space="preserve"> </w:t>
      </w:r>
      <w:r w:rsidRPr="00375B80">
        <w:rPr>
          <w:rFonts w:ascii="Garamond" w:eastAsia="Calibri" w:hAnsi="Garamond" w:cs="Times New Roman"/>
          <w:sz w:val="24"/>
          <w:szCs w:val="24"/>
          <w:lang w:eastAsia="it-IT"/>
        </w:rPr>
        <w:t>Una percezione diffusa della materia, insomma, come di interesse esclusivamente locale: dalla quale rimanevano pertanto esclusi gli interessi sovracomunali, che erano invece destinati a essere soddisfatti mediante in</w:t>
      </w:r>
      <w:r w:rsidR="00F73FF4" w:rsidRPr="00375B80">
        <w:rPr>
          <w:rFonts w:ascii="Garamond" w:eastAsia="Calibri" w:hAnsi="Garamond" w:cs="Times New Roman"/>
          <w:sz w:val="24"/>
          <w:szCs w:val="24"/>
          <w:lang w:eastAsia="it-IT"/>
        </w:rPr>
        <w:t>terventi</w:t>
      </w:r>
      <w:r w:rsidRPr="00375B80">
        <w:rPr>
          <w:rFonts w:ascii="Garamond" w:eastAsia="Calibri" w:hAnsi="Garamond" w:cs="Times New Roman"/>
          <w:sz w:val="24"/>
          <w:szCs w:val="24"/>
          <w:lang w:eastAsia="it-IT"/>
        </w:rPr>
        <w:t xml:space="preserve"> </w:t>
      </w:r>
      <w:r w:rsidR="00F73FF4" w:rsidRPr="00375B80">
        <w:rPr>
          <w:rFonts w:ascii="Garamond" w:eastAsia="Calibri" w:hAnsi="Garamond" w:cs="Times New Roman"/>
          <w:sz w:val="24"/>
          <w:szCs w:val="24"/>
          <w:lang w:eastAsia="it-IT"/>
        </w:rPr>
        <w:t xml:space="preserve">soprattutto </w:t>
      </w:r>
      <w:r w:rsidRPr="00375B80">
        <w:rPr>
          <w:rFonts w:ascii="Garamond" w:eastAsia="Calibri" w:hAnsi="Garamond" w:cs="Times New Roman"/>
          <w:sz w:val="24"/>
          <w:szCs w:val="24"/>
          <w:lang w:eastAsia="it-IT"/>
        </w:rPr>
        <w:t>puntuali dei poteri centrali, non coordinat</w:t>
      </w:r>
      <w:r w:rsidR="00F73FF4" w:rsidRPr="00375B80">
        <w:rPr>
          <w:rFonts w:ascii="Garamond" w:eastAsia="Calibri" w:hAnsi="Garamond" w:cs="Times New Roman"/>
          <w:sz w:val="24"/>
          <w:szCs w:val="24"/>
          <w:lang w:eastAsia="it-IT"/>
        </w:rPr>
        <w:t>i</w:t>
      </w:r>
      <w:r w:rsidRPr="00375B80">
        <w:rPr>
          <w:rFonts w:ascii="Garamond" w:eastAsia="Calibri" w:hAnsi="Garamond" w:cs="Times New Roman"/>
          <w:sz w:val="24"/>
          <w:szCs w:val="24"/>
          <w:lang w:eastAsia="it-IT"/>
        </w:rPr>
        <w:t xml:space="preserve"> con le scelte pianificate dalla “base”.</w:t>
      </w:r>
    </w:p>
    <w:p w14:paraId="31455314" w14:textId="74FF3537" w:rsidR="004E4C69" w:rsidRPr="00375B80" w:rsidRDefault="0041589B"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lastRenderedPageBreak/>
        <w:t>Nel dopoguerra i</w:t>
      </w:r>
      <w:r w:rsidR="00337C75" w:rsidRPr="00375B80">
        <w:rPr>
          <w:rFonts w:ascii="Garamond" w:eastAsia="Calibri" w:hAnsi="Garamond" w:cs="Times New Roman"/>
          <w:sz w:val="24"/>
          <w:szCs w:val="24"/>
          <w:lang w:eastAsia="it-IT"/>
        </w:rPr>
        <w:t xml:space="preserve">l vuoto determinato dall’assenza dei piani sovracomunali genererà </w:t>
      </w:r>
      <w:r w:rsidR="00BA7AB7" w:rsidRPr="00375B80">
        <w:rPr>
          <w:rFonts w:ascii="Garamond" w:eastAsia="Calibri" w:hAnsi="Garamond" w:cs="Times New Roman"/>
          <w:sz w:val="24"/>
          <w:szCs w:val="24"/>
          <w:lang w:eastAsia="it-IT"/>
        </w:rPr>
        <w:t xml:space="preserve">a sua volta </w:t>
      </w:r>
      <w:r w:rsidR="00337C75" w:rsidRPr="00375B80">
        <w:rPr>
          <w:rFonts w:ascii="Garamond" w:eastAsia="Calibri" w:hAnsi="Garamond" w:cs="Times New Roman"/>
          <w:sz w:val="24"/>
          <w:szCs w:val="24"/>
          <w:lang w:eastAsia="it-IT"/>
        </w:rPr>
        <w:t xml:space="preserve">la </w:t>
      </w:r>
      <w:r w:rsidR="00DB7957" w:rsidRPr="00375B80">
        <w:rPr>
          <w:rFonts w:ascii="Garamond" w:eastAsia="Calibri" w:hAnsi="Garamond" w:cs="Times New Roman"/>
          <w:sz w:val="24"/>
          <w:szCs w:val="24"/>
          <w:lang w:eastAsia="it-IT"/>
        </w:rPr>
        <w:t>torsione</w:t>
      </w:r>
      <w:r w:rsidR="00337C75" w:rsidRPr="00375B80">
        <w:rPr>
          <w:rFonts w:ascii="Garamond" w:eastAsia="Calibri" w:hAnsi="Garamond" w:cs="Times New Roman"/>
          <w:sz w:val="24"/>
          <w:szCs w:val="24"/>
          <w:lang w:eastAsia="it-IT"/>
        </w:rPr>
        <w:t xml:space="preserve"> del doppio procedimento</w:t>
      </w:r>
      <w:r w:rsidR="00DB7957" w:rsidRPr="00375B80">
        <w:rPr>
          <w:rFonts w:ascii="Garamond" w:eastAsia="Calibri" w:hAnsi="Garamond" w:cs="Times New Roman"/>
          <w:sz w:val="24"/>
          <w:szCs w:val="24"/>
          <w:lang w:eastAsia="it-IT"/>
        </w:rPr>
        <w:t xml:space="preserve"> in funzione di controllo </w:t>
      </w:r>
      <w:r w:rsidR="00DB7957" w:rsidRPr="00375B80">
        <w:rPr>
          <w:rFonts w:ascii="Garamond" w:eastAsia="Calibri" w:hAnsi="Garamond" w:cs="Times New Roman"/>
          <w:i/>
          <w:sz w:val="24"/>
          <w:szCs w:val="24"/>
          <w:lang w:eastAsia="it-IT"/>
        </w:rPr>
        <w:t>meritale</w:t>
      </w:r>
      <w:r w:rsidR="00DB7957" w:rsidRPr="00375B80">
        <w:rPr>
          <w:rFonts w:ascii="Garamond" w:eastAsia="Calibri" w:hAnsi="Garamond" w:cs="Times New Roman"/>
          <w:sz w:val="24"/>
          <w:szCs w:val="24"/>
          <w:lang w:eastAsia="it-IT"/>
        </w:rPr>
        <w:t xml:space="preserve"> e non di mera conformità/compatibilità con l’assetto del piano territoriale</w:t>
      </w:r>
      <w:r w:rsidR="00337C75" w:rsidRPr="00375B80">
        <w:rPr>
          <w:rFonts w:ascii="Garamond" w:eastAsia="Calibri" w:hAnsi="Garamond" w:cs="Times New Roman"/>
          <w:sz w:val="24"/>
          <w:szCs w:val="24"/>
          <w:lang w:eastAsia="it-IT"/>
        </w:rPr>
        <w:t xml:space="preserve">. La doppia battuta, scandita attraverso la cadenza adozione-approvazione, </w:t>
      </w:r>
      <w:r w:rsidR="00DB7957" w:rsidRPr="00375B80">
        <w:rPr>
          <w:rFonts w:ascii="Garamond" w:eastAsia="Calibri" w:hAnsi="Garamond" w:cs="Times New Roman"/>
          <w:sz w:val="24"/>
          <w:szCs w:val="24"/>
          <w:lang w:eastAsia="it-IT"/>
        </w:rPr>
        <w:t xml:space="preserve">diviene </w:t>
      </w:r>
      <w:r w:rsidRPr="00375B80">
        <w:rPr>
          <w:rFonts w:ascii="Garamond" w:eastAsia="Calibri" w:hAnsi="Garamond" w:cs="Times New Roman"/>
          <w:sz w:val="24"/>
          <w:szCs w:val="24"/>
          <w:lang w:eastAsia="it-IT"/>
        </w:rPr>
        <w:t xml:space="preserve">cioè </w:t>
      </w:r>
      <w:r w:rsidR="00337C75" w:rsidRPr="00375B80">
        <w:rPr>
          <w:rFonts w:ascii="Garamond" w:eastAsia="Calibri" w:hAnsi="Garamond" w:cs="Times New Roman"/>
          <w:sz w:val="24"/>
          <w:szCs w:val="24"/>
          <w:lang w:eastAsia="it-IT"/>
        </w:rPr>
        <w:t>funzionale a un duplice obiettivo</w:t>
      </w:r>
      <w:r w:rsidR="00F73FF4" w:rsidRPr="00375B80">
        <w:rPr>
          <w:rFonts w:ascii="Garamond" w:eastAsia="Calibri" w:hAnsi="Garamond" w:cs="Times New Roman"/>
          <w:sz w:val="24"/>
          <w:szCs w:val="24"/>
          <w:lang w:eastAsia="it-IT"/>
        </w:rPr>
        <w:t>.</w:t>
      </w:r>
      <w:r w:rsidR="00337C75" w:rsidRPr="00375B80">
        <w:rPr>
          <w:rFonts w:ascii="Garamond" w:eastAsia="Calibri" w:hAnsi="Garamond" w:cs="Times New Roman"/>
          <w:sz w:val="24"/>
          <w:szCs w:val="24"/>
          <w:lang w:eastAsia="it-IT"/>
        </w:rPr>
        <w:t xml:space="preserve"> </w:t>
      </w:r>
      <w:r w:rsidR="00F70D6E" w:rsidRPr="00375B80">
        <w:rPr>
          <w:rFonts w:ascii="Garamond" w:eastAsia="Calibri" w:hAnsi="Garamond" w:cs="Times New Roman"/>
          <w:sz w:val="24"/>
          <w:szCs w:val="24"/>
          <w:lang w:eastAsia="it-IT"/>
        </w:rPr>
        <w:t>Anzitutto, l</w:t>
      </w:r>
      <w:r w:rsidR="00337C75" w:rsidRPr="00375B80">
        <w:rPr>
          <w:rFonts w:ascii="Garamond" w:eastAsia="Calibri" w:hAnsi="Garamond" w:cs="Times New Roman"/>
          <w:sz w:val="24"/>
          <w:szCs w:val="24"/>
          <w:lang w:eastAsia="it-IT"/>
        </w:rPr>
        <w:t xml:space="preserve">’inserimento – più virtuale che effettivo – degli interessi non comunali nell’orditura delle scelte di piano; ma </w:t>
      </w:r>
      <w:r w:rsidR="00F70D6E" w:rsidRPr="00375B80">
        <w:rPr>
          <w:rFonts w:ascii="Garamond" w:eastAsia="Calibri" w:hAnsi="Garamond" w:cs="Times New Roman"/>
          <w:sz w:val="24"/>
          <w:szCs w:val="24"/>
          <w:lang w:eastAsia="it-IT"/>
        </w:rPr>
        <w:t>anche</w:t>
      </w:r>
      <w:r w:rsidR="00337C75" w:rsidRPr="00375B80">
        <w:rPr>
          <w:rFonts w:ascii="Garamond" w:eastAsia="Calibri" w:hAnsi="Garamond" w:cs="Times New Roman"/>
          <w:sz w:val="24"/>
          <w:szCs w:val="24"/>
          <w:lang w:eastAsia="it-IT"/>
        </w:rPr>
        <w:t xml:space="preserve"> il controllo occhiuto del potere centrale</w:t>
      </w:r>
      <w:r w:rsidR="00BA7AB7" w:rsidRPr="00375B80">
        <w:rPr>
          <w:rFonts w:ascii="Garamond" w:eastAsia="Calibri" w:hAnsi="Garamond" w:cs="Times New Roman"/>
          <w:sz w:val="24"/>
          <w:szCs w:val="24"/>
          <w:lang w:eastAsia="it-IT"/>
        </w:rPr>
        <w:t xml:space="preserve"> su</w:t>
      </w:r>
      <w:r w:rsidR="00DB7957" w:rsidRPr="00375B80">
        <w:rPr>
          <w:rFonts w:ascii="Garamond" w:eastAsia="Calibri" w:hAnsi="Garamond" w:cs="Times New Roman"/>
          <w:sz w:val="24"/>
          <w:szCs w:val="24"/>
          <w:lang w:eastAsia="it-IT"/>
        </w:rPr>
        <w:t>lle tramature di</w:t>
      </w:r>
      <w:r w:rsidR="00BA7AB7" w:rsidRPr="00375B80">
        <w:rPr>
          <w:rFonts w:ascii="Garamond" w:eastAsia="Calibri" w:hAnsi="Garamond" w:cs="Times New Roman"/>
          <w:sz w:val="24"/>
          <w:szCs w:val="24"/>
          <w:lang w:eastAsia="it-IT"/>
        </w:rPr>
        <w:t xml:space="preserve"> primo livello</w:t>
      </w:r>
      <w:r w:rsidRPr="00375B80">
        <w:rPr>
          <w:rFonts w:ascii="Garamond" w:eastAsia="Calibri" w:hAnsi="Garamond" w:cs="Times New Roman"/>
          <w:sz w:val="24"/>
          <w:szCs w:val="24"/>
          <w:lang w:eastAsia="it-IT"/>
        </w:rPr>
        <w:t>:</w:t>
      </w:r>
      <w:r w:rsidR="00BA7AB7" w:rsidRPr="00375B80">
        <w:rPr>
          <w:rFonts w:ascii="Garamond" w:eastAsia="Calibri" w:hAnsi="Garamond" w:cs="Times New Roman"/>
          <w:sz w:val="24"/>
          <w:szCs w:val="24"/>
          <w:lang w:eastAsia="it-IT"/>
        </w:rPr>
        <w:t xml:space="preserve"> </w:t>
      </w:r>
      <w:r w:rsidR="00DB7957" w:rsidRPr="00375B80">
        <w:rPr>
          <w:rFonts w:ascii="Garamond" w:eastAsia="Calibri" w:hAnsi="Garamond" w:cs="Times New Roman"/>
          <w:sz w:val="24"/>
          <w:szCs w:val="24"/>
          <w:lang w:eastAsia="it-IT"/>
        </w:rPr>
        <w:t xml:space="preserve">cui sono sottratte </w:t>
      </w:r>
      <w:r w:rsidR="00BA7AB7" w:rsidRPr="00375B80">
        <w:rPr>
          <w:rFonts w:ascii="Garamond" w:eastAsia="Calibri" w:hAnsi="Garamond" w:cs="Times New Roman"/>
          <w:sz w:val="24"/>
          <w:szCs w:val="24"/>
          <w:lang w:eastAsia="it-IT"/>
        </w:rPr>
        <w:t>«quote» consistenti di autonomia allo scopo di scongiurare, o almeno arginare, i danni che erano e sarebbero ancora derivati dall</w:t>
      </w:r>
      <w:r w:rsidR="00F70D6E" w:rsidRPr="00375B80">
        <w:rPr>
          <w:rFonts w:ascii="Garamond" w:eastAsia="Calibri" w:hAnsi="Garamond" w:cs="Times New Roman"/>
          <w:sz w:val="24"/>
          <w:szCs w:val="24"/>
          <w:lang w:eastAsia="it-IT"/>
        </w:rPr>
        <w:t>e</w:t>
      </w:r>
      <w:r w:rsidR="00BA7AB7" w:rsidRPr="00375B80">
        <w:rPr>
          <w:rFonts w:ascii="Garamond" w:eastAsia="Calibri" w:hAnsi="Garamond" w:cs="Times New Roman"/>
          <w:sz w:val="24"/>
          <w:szCs w:val="24"/>
          <w:lang w:eastAsia="it-IT"/>
        </w:rPr>
        <w:t xml:space="preserve"> prov</w:t>
      </w:r>
      <w:r w:rsidR="00F70D6E" w:rsidRPr="00375B80">
        <w:rPr>
          <w:rFonts w:ascii="Garamond" w:eastAsia="Calibri" w:hAnsi="Garamond" w:cs="Times New Roman"/>
          <w:sz w:val="24"/>
          <w:szCs w:val="24"/>
          <w:lang w:eastAsia="it-IT"/>
        </w:rPr>
        <w:t>e</w:t>
      </w:r>
      <w:r w:rsidR="00BA7AB7" w:rsidRPr="00375B80">
        <w:rPr>
          <w:rFonts w:ascii="Garamond" w:eastAsia="Calibri" w:hAnsi="Garamond" w:cs="Times New Roman"/>
          <w:sz w:val="24"/>
          <w:szCs w:val="24"/>
          <w:lang w:eastAsia="it-IT"/>
        </w:rPr>
        <w:t xml:space="preserve"> non commendevol</w:t>
      </w:r>
      <w:r w:rsidR="00F70D6E" w:rsidRPr="00375B80">
        <w:rPr>
          <w:rFonts w:ascii="Garamond" w:eastAsia="Calibri" w:hAnsi="Garamond" w:cs="Times New Roman"/>
          <w:sz w:val="24"/>
          <w:szCs w:val="24"/>
          <w:lang w:eastAsia="it-IT"/>
        </w:rPr>
        <w:t>i</w:t>
      </w:r>
      <w:r w:rsidR="00BA7AB7" w:rsidRPr="00375B80">
        <w:rPr>
          <w:rFonts w:ascii="Garamond" w:eastAsia="Calibri" w:hAnsi="Garamond" w:cs="Times New Roman"/>
          <w:sz w:val="24"/>
          <w:szCs w:val="24"/>
          <w:lang w:eastAsia="it-IT"/>
        </w:rPr>
        <w:t xml:space="preserve"> che i Comuni avevano complessivamente fornito.</w:t>
      </w:r>
    </w:p>
    <w:p w14:paraId="718274D4" w14:textId="5D42B699" w:rsidR="004E4C69" w:rsidRPr="00375B80" w:rsidRDefault="00F70D6E"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Pure</w:t>
      </w:r>
      <w:r w:rsidR="004E4C69" w:rsidRPr="00375B80">
        <w:rPr>
          <w:rFonts w:ascii="Garamond" w:eastAsia="Calibri" w:hAnsi="Garamond" w:cs="Times New Roman"/>
          <w:sz w:val="24"/>
          <w:szCs w:val="24"/>
          <w:lang w:eastAsia="it-IT"/>
        </w:rPr>
        <w:t xml:space="preserve"> la riforma del ’67, </w:t>
      </w:r>
      <w:r w:rsidRPr="00375B80">
        <w:rPr>
          <w:rFonts w:ascii="Garamond" w:eastAsia="Calibri" w:hAnsi="Garamond" w:cs="Times New Roman"/>
          <w:sz w:val="24"/>
          <w:szCs w:val="24"/>
          <w:lang w:eastAsia="it-IT"/>
        </w:rPr>
        <w:t>sebbene</w:t>
      </w:r>
      <w:r w:rsidR="004E4C69" w:rsidRPr="00375B80">
        <w:rPr>
          <w:rFonts w:ascii="Garamond" w:eastAsia="Calibri" w:hAnsi="Garamond" w:cs="Times New Roman"/>
          <w:sz w:val="24"/>
          <w:szCs w:val="24"/>
          <w:lang w:eastAsia="it-IT"/>
        </w:rPr>
        <w:t xml:space="preserve"> sospinta dai fatti agrigentini e fiorentini che avrebbero dovuto indurre a una considerazione più organica e strutturale della questione, si limiterà a spostare ancor più verso l’alto il punto di coagulo delle scelte</w:t>
      </w:r>
      <w:r w:rsidR="006C5F6A" w:rsidRPr="00375B80">
        <w:rPr>
          <w:rStyle w:val="Rimandonotaapidipagina"/>
          <w:rFonts w:ascii="Garamond" w:eastAsia="Calibri" w:hAnsi="Garamond" w:cs="Times New Roman"/>
          <w:sz w:val="24"/>
          <w:szCs w:val="24"/>
          <w:lang w:eastAsia="it-IT"/>
        </w:rPr>
        <w:footnoteReference w:id="4"/>
      </w:r>
      <w:r w:rsidR="004E4C69" w:rsidRPr="00375B80">
        <w:rPr>
          <w:rFonts w:ascii="Garamond" w:eastAsia="Calibri" w:hAnsi="Garamond" w:cs="Times New Roman"/>
          <w:sz w:val="24"/>
          <w:szCs w:val="24"/>
          <w:lang w:eastAsia="it-IT"/>
        </w:rPr>
        <w:t>. Sia qui sufficiente richiamare il sistema delle modifiche d’ufficio delineato dalla legge ponte, che evidenzia una decisa riallocazione del baricentro decisionale a favore del livello centrale: cui compete l’esercizio di poteri di codecisione connotati da prolungati tratti di discrezionalità, che si estendono – attraverso le variazioni c.d. necessarie – sino a sindacare la congruità stessa dell’impostazione generale dello strumento adottato.</w:t>
      </w:r>
    </w:p>
    <w:p w14:paraId="44507BEA" w14:textId="14C0F4E0" w:rsidR="004E4C69" w:rsidRPr="00375B80" w:rsidRDefault="004E4C69"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La normazione sulle modifiche d’ufficio (e in generale quella recata dalla legge ponte), allora, non esprime affatto la </w:t>
      </w:r>
      <w:r w:rsidRPr="00375B80">
        <w:rPr>
          <w:rFonts w:ascii="Garamond" w:eastAsia="Calibri" w:hAnsi="Garamond" w:cs="Times New Roman"/>
          <w:i/>
          <w:sz w:val="24"/>
          <w:szCs w:val="24"/>
          <w:lang w:eastAsia="it-IT"/>
        </w:rPr>
        <w:t>ratio</w:t>
      </w:r>
      <w:r w:rsidRPr="00375B80">
        <w:rPr>
          <w:rFonts w:ascii="Garamond" w:eastAsia="Calibri" w:hAnsi="Garamond" w:cs="Times New Roman"/>
          <w:sz w:val="24"/>
          <w:szCs w:val="24"/>
          <w:lang w:eastAsia="it-IT"/>
        </w:rPr>
        <w:t xml:space="preserve"> di garantire «un’evoluzione della prassi verso un’affermazione sempre più netta della sostanziale “comunalità” dei piani», come pur si è ritenuto</w:t>
      </w:r>
      <w:r w:rsidRPr="00375B80">
        <w:rPr>
          <w:rStyle w:val="Rimandonotaapidipagina"/>
          <w:rFonts w:ascii="Garamond" w:eastAsia="Calibri" w:hAnsi="Garamond" w:cs="Times New Roman"/>
          <w:sz w:val="24"/>
          <w:szCs w:val="24"/>
          <w:lang w:eastAsia="it-IT"/>
        </w:rPr>
        <w:footnoteReference w:id="5"/>
      </w:r>
      <w:r w:rsidRPr="00375B80">
        <w:rPr>
          <w:rFonts w:ascii="Garamond" w:eastAsia="Calibri" w:hAnsi="Garamond" w:cs="Times New Roman"/>
          <w:sz w:val="24"/>
          <w:szCs w:val="24"/>
          <w:lang w:eastAsia="it-IT"/>
        </w:rPr>
        <w:t>: né intendeva essa porre un limite di diritto positivo alla «prassi di penetranti manipolazioni ministeriali»</w:t>
      </w:r>
      <w:r w:rsidRPr="00375B80">
        <w:rPr>
          <w:rStyle w:val="Rimandonotaapidipagina"/>
          <w:rFonts w:ascii="Garamond" w:eastAsia="Calibri" w:hAnsi="Garamond" w:cs="Times New Roman"/>
          <w:sz w:val="24"/>
          <w:szCs w:val="24"/>
          <w:lang w:eastAsia="it-IT"/>
        </w:rPr>
        <w:footnoteReference w:id="6"/>
      </w:r>
      <w:r w:rsidRPr="00375B80">
        <w:rPr>
          <w:rFonts w:ascii="Garamond" w:eastAsia="Calibri" w:hAnsi="Garamond" w:cs="Times New Roman"/>
          <w:sz w:val="24"/>
          <w:szCs w:val="24"/>
          <w:lang w:eastAsia="it-IT"/>
        </w:rPr>
        <w:t xml:space="preserve"> delle scelte comunali che aveva caratterizzato il periodo anteriore al 1967.</w:t>
      </w:r>
      <w:r w:rsidR="00F73FF4" w:rsidRPr="00375B80">
        <w:rPr>
          <w:rFonts w:ascii="Garamond" w:eastAsia="Calibri" w:hAnsi="Garamond" w:cs="Times New Roman"/>
          <w:sz w:val="24"/>
          <w:szCs w:val="24"/>
          <w:lang w:eastAsia="it-IT"/>
        </w:rPr>
        <w:t xml:space="preserve"> </w:t>
      </w:r>
      <w:r w:rsidRPr="00375B80">
        <w:rPr>
          <w:rFonts w:ascii="Garamond" w:eastAsia="Calibri" w:hAnsi="Garamond" w:cs="Times New Roman"/>
          <w:sz w:val="24"/>
          <w:szCs w:val="24"/>
          <w:lang w:eastAsia="it-IT"/>
        </w:rPr>
        <w:t xml:space="preserve">Rispetto alle quali l’enfatizzazione gianniniana </w:t>
      </w:r>
      <w:r w:rsidRPr="00375B80">
        <w:rPr>
          <w:rFonts w:ascii="Garamond" w:eastAsia="Calibri" w:hAnsi="Garamond" w:cs="Times New Roman"/>
          <w:sz w:val="24"/>
          <w:szCs w:val="24"/>
          <w:lang w:eastAsia="it-IT"/>
        </w:rPr>
        <w:lastRenderedPageBreak/>
        <w:t>della natura ineguale della complessità connotante la struttura del p.r.g. diviene quasi una realistica ma rassegnata presa d’atto di una distorsione del modello; e, simmetricamente, la teorizzazione di Sandulli (e poi di Mazzarolli) sul ruolo determinante riconosciuto al Comune (ancorché nel contesto della costitutività dell’atto di approvazione) assume il senso di un’impostazione «maggiormente sensibile al principio autonomistico, anche se purtroppo ottativa»</w:t>
      </w:r>
      <w:r w:rsidRPr="00375B80">
        <w:rPr>
          <w:rStyle w:val="Rimandonotaapidipagina"/>
          <w:rFonts w:ascii="Garamond" w:eastAsia="Calibri" w:hAnsi="Garamond" w:cs="Times New Roman"/>
          <w:sz w:val="24"/>
          <w:szCs w:val="24"/>
          <w:lang w:eastAsia="it-IT"/>
        </w:rPr>
        <w:footnoteReference w:id="7"/>
      </w:r>
      <w:r w:rsidRPr="00375B80">
        <w:rPr>
          <w:rFonts w:ascii="Garamond" w:eastAsia="Calibri" w:hAnsi="Garamond" w:cs="Times New Roman"/>
          <w:sz w:val="24"/>
          <w:szCs w:val="24"/>
          <w:lang w:eastAsia="it-IT"/>
        </w:rPr>
        <w:t>.</w:t>
      </w:r>
    </w:p>
    <w:p w14:paraId="115404CC" w14:textId="3458F608" w:rsidR="004E4C69" w:rsidRPr="00375B80" w:rsidRDefault="004E4C69"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Al contrario, si deve prendere atto di una traiettoria del nostro ordinamento che risulta chiaramente individuabile, e coerente nei suoi progressivi svolgimenti: una linea vettoriale che vede l’evoluzione della prassi amministrativa sempre più avallata – </w:t>
      </w:r>
      <w:r w:rsidR="00920BB2" w:rsidRPr="00375B80">
        <w:rPr>
          <w:rFonts w:ascii="Garamond" w:eastAsia="Calibri" w:hAnsi="Garamond" w:cs="Times New Roman"/>
          <w:sz w:val="24"/>
          <w:szCs w:val="24"/>
          <w:lang w:eastAsia="it-IT"/>
        </w:rPr>
        <w:t>meglio,</w:t>
      </w:r>
      <w:r w:rsidRPr="00375B80">
        <w:rPr>
          <w:rFonts w:ascii="Garamond" w:eastAsia="Calibri" w:hAnsi="Garamond" w:cs="Times New Roman"/>
          <w:sz w:val="24"/>
          <w:szCs w:val="24"/>
          <w:lang w:eastAsia="it-IT"/>
        </w:rPr>
        <w:t xml:space="preserve"> protetta – dagli orientamenti del giudice </w:t>
      </w:r>
      <w:r w:rsidRPr="00375B80">
        <w:rPr>
          <w:rFonts w:ascii="Garamond" w:eastAsia="Calibri" w:hAnsi="Garamond" w:cs="Times New Roman"/>
          <w:sz w:val="24"/>
          <w:szCs w:val="24"/>
          <w:lang w:eastAsia="it-IT"/>
        </w:rPr>
        <w:lastRenderedPageBreak/>
        <w:t>amministrativo</w:t>
      </w:r>
      <w:r w:rsidRPr="00375B80">
        <w:rPr>
          <w:rStyle w:val="Rimandonotaapidipagina"/>
          <w:rFonts w:ascii="Garamond" w:eastAsia="Calibri" w:hAnsi="Garamond" w:cs="Times New Roman"/>
          <w:sz w:val="24"/>
          <w:szCs w:val="24"/>
          <w:lang w:eastAsia="it-IT"/>
        </w:rPr>
        <w:footnoteReference w:id="8"/>
      </w:r>
      <w:r w:rsidRPr="00375B80">
        <w:rPr>
          <w:rFonts w:ascii="Garamond" w:eastAsia="Calibri" w:hAnsi="Garamond" w:cs="Times New Roman"/>
          <w:sz w:val="24"/>
          <w:szCs w:val="24"/>
          <w:lang w:eastAsia="it-IT"/>
        </w:rPr>
        <w:t>, per poi essere recepita dal diritto positivo, che nel 1967 ne opera così una formalizzazione esplicita</w:t>
      </w:r>
      <w:r w:rsidR="00920BB2" w:rsidRPr="00375B80">
        <w:rPr>
          <w:rFonts w:ascii="Garamond" w:eastAsia="Calibri" w:hAnsi="Garamond" w:cs="Times New Roman"/>
          <w:sz w:val="24"/>
          <w:szCs w:val="24"/>
          <w:lang w:eastAsia="it-IT"/>
        </w:rPr>
        <w:t xml:space="preserve"> con la norma – cruciale – sulle modifiche d’ufficio racchiusa nell’art. 10 della legge ponte</w:t>
      </w:r>
      <w:r w:rsidRPr="00375B80">
        <w:rPr>
          <w:rFonts w:ascii="Garamond" w:eastAsia="Calibri" w:hAnsi="Garamond" w:cs="Times New Roman"/>
          <w:sz w:val="24"/>
          <w:szCs w:val="24"/>
          <w:lang w:eastAsia="it-IT"/>
        </w:rPr>
        <w:t>.</w:t>
      </w:r>
    </w:p>
    <w:p w14:paraId="3737ADCB" w14:textId="00E5A7F4" w:rsidR="00920BB2" w:rsidRPr="00375B80" w:rsidRDefault="00920BB2"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Il quadro dei rapporti fra i due poteri, abbastanza sbilanciato a favore del centro, poteva dunque essere la precondizione per l’elaborazione di una «cultura» </w:t>
      </w:r>
      <w:r w:rsidR="005F25FF" w:rsidRPr="00375B80">
        <w:rPr>
          <w:rFonts w:ascii="Garamond" w:eastAsia="Calibri" w:hAnsi="Garamond" w:cs="Times New Roman"/>
          <w:sz w:val="24"/>
          <w:szCs w:val="24"/>
          <w:lang w:eastAsia="it-IT"/>
        </w:rPr>
        <w:t xml:space="preserve">del governo del territorio </w:t>
      </w:r>
      <w:r w:rsidRPr="00375B80">
        <w:rPr>
          <w:rFonts w:ascii="Garamond" w:eastAsia="Calibri" w:hAnsi="Garamond" w:cs="Times New Roman"/>
          <w:sz w:val="24"/>
          <w:szCs w:val="24"/>
          <w:lang w:eastAsia="it-IT"/>
        </w:rPr>
        <w:t xml:space="preserve">dagli orizzonti meno angusti. La visione </w:t>
      </w:r>
      <w:r w:rsidRPr="00375B80">
        <w:rPr>
          <w:rFonts w:ascii="Garamond" w:eastAsia="Calibri" w:hAnsi="Garamond" w:cs="Times New Roman"/>
          <w:i/>
          <w:sz w:val="24"/>
          <w:szCs w:val="24"/>
          <w:lang w:eastAsia="it-IT"/>
        </w:rPr>
        <w:t>ex alto</w:t>
      </w:r>
      <w:r w:rsidRPr="00375B80">
        <w:rPr>
          <w:rFonts w:ascii="Garamond" w:eastAsia="Calibri" w:hAnsi="Garamond" w:cs="Times New Roman"/>
          <w:sz w:val="24"/>
          <w:szCs w:val="24"/>
          <w:lang w:eastAsia="it-IT"/>
        </w:rPr>
        <w:t xml:space="preserve"> – sia pur con il suo fardello inevitabile di burocratismo ministeriale frammisto alla non prossimità rispetto agli interessi da gestire</w:t>
      </w:r>
      <w:r w:rsidRPr="00375B80">
        <w:rPr>
          <w:rStyle w:val="Rimandonotaapidipagina"/>
          <w:rFonts w:ascii="Garamond" w:eastAsia="Calibri" w:hAnsi="Garamond" w:cs="Times New Roman"/>
          <w:sz w:val="24"/>
          <w:szCs w:val="24"/>
          <w:lang w:eastAsia="it-IT"/>
        </w:rPr>
        <w:footnoteReference w:id="9"/>
      </w:r>
      <w:r w:rsidRPr="00375B80">
        <w:rPr>
          <w:rFonts w:ascii="Garamond" w:eastAsia="Calibri" w:hAnsi="Garamond" w:cs="Times New Roman"/>
          <w:sz w:val="24"/>
          <w:szCs w:val="24"/>
          <w:lang w:eastAsia="it-IT"/>
        </w:rPr>
        <w:t xml:space="preserve"> – avrebbe potuto garantire il necessario allargamento dell’arcata concettuale</w:t>
      </w:r>
      <w:r w:rsidR="005F25FF" w:rsidRPr="00375B80">
        <w:rPr>
          <w:rFonts w:ascii="Garamond" w:eastAsia="Calibri" w:hAnsi="Garamond" w:cs="Times New Roman"/>
          <w:sz w:val="24"/>
          <w:szCs w:val="24"/>
          <w:lang w:eastAsia="it-IT"/>
        </w:rPr>
        <w:t xml:space="preserve"> di riferimento</w:t>
      </w:r>
      <w:r w:rsidRPr="00375B80">
        <w:rPr>
          <w:rFonts w:ascii="Garamond" w:eastAsia="Calibri" w:hAnsi="Garamond" w:cs="Times New Roman"/>
          <w:sz w:val="24"/>
          <w:szCs w:val="24"/>
          <w:lang w:eastAsia="it-IT"/>
        </w:rPr>
        <w:t xml:space="preserve">: non più limitata </w:t>
      </w:r>
      <w:r w:rsidR="00057F1C" w:rsidRPr="00375B80">
        <w:rPr>
          <w:rFonts w:ascii="Garamond" w:eastAsia="Calibri" w:hAnsi="Garamond" w:cs="Times New Roman"/>
          <w:sz w:val="24"/>
          <w:szCs w:val="24"/>
          <w:lang w:eastAsia="it-IT"/>
        </w:rPr>
        <w:t>all’</w:t>
      </w:r>
      <w:r w:rsidR="00057F1C" w:rsidRPr="00375B80">
        <w:rPr>
          <w:rFonts w:ascii="Garamond" w:eastAsia="Calibri" w:hAnsi="Garamond" w:cs="Times New Roman"/>
          <w:i/>
          <w:sz w:val="24"/>
          <w:szCs w:val="24"/>
          <w:lang w:eastAsia="it-IT"/>
        </w:rPr>
        <w:t>urbs</w:t>
      </w:r>
      <w:r w:rsidR="00057F1C" w:rsidRPr="00375B80">
        <w:rPr>
          <w:rFonts w:ascii="Garamond" w:eastAsia="Calibri" w:hAnsi="Garamond" w:cs="Times New Roman"/>
          <w:sz w:val="24"/>
          <w:szCs w:val="24"/>
          <w:lang w:eastAsia="it-IT"/>
        </w:rPr>
        <w:t xml:space="preserve">, ma finalmente estesa alla considerazione di tutti gli interessi </w:t>
      </w:r>
      <w:r w:rsidR="005F25FF" w:rsidRPr="00375B80">
        <w:rPr>
          <w:rFonts w:ascii="Garamond" w:eastAsia="Calibri" w:hAnsi="Garamond" w:cs="Times New Roman"/>
          <w:sz w:val="24"/>
          <w:szCs w:val="24"/>
          <w:lang w:eastAsia="it-IT"/>
        </w:rPr>
        <w:t>connotati da ricadute territoriali</w:t>
      </w:r>
      <w:r w:rsidR="00057F1C" w:rsidRPr="00375B80">
        <w:rPr>
          <w:rFonts w:ascii="Garamond" w:eastAsia="Calibri" w:hAnsi="Garamond" w:cs="Times New Roman"/>
          <w:sz w:val="24"/>
          <w:szCs w:val="24"/>
          <w:lang w:eastAsia="it-IT"/>
        </w:rPr>
        <w:t>.</w:t>
      </w:r>
    </w:p>
    <w:p w14:paraId="63D12BCB" w14:textId="2763F320" w:rsidR="00057F1C" w:rsidRPr="00375B80" w:rsidRDefault="00057F1C"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Non fu così.</w:t>
      </w:r>
    </w:p>
    <w:p w14:paraId="036854AA" w14:textId="51A63527" w:rsidR="00E42FBD" w:rsidRPr="00375B80" w:rsidRDefault="00DC676D" w:rsidP="00DE366E">
      <w:pPr>
        <w:spacing w:after="0" w:line="360" w:lineRule="auto"/>
        <w:contextualSpacing/>
        <w:jc w:val="both"/>
        <w:rPr>
          <w:rFonts w:ascii="Garamond" w:hAnsi="Garamond" w:cs="Times New Roman"/>
          <w:sz w:val="24"/>
          <w:szCs w:val="24"/>
        </w:rPr>
      </w:pPr>
      <w:r w:rsidRPr="00375B80">
        <w:rPr>
          <w:rFonts w:ascii="Garamond" w:eastAsia="Calibri" w:hAnsi="Garamond" w:cs="Times New Roman"/>
          <w:sz w:val="24"/>
          <w:szCs w:val="24"/>
          <w:lang w:eastAsia="it-IT"/>
        </w:rPr>
        <w:t xml:space="preserve">Pur disponendo di un catalogo </w:t>
      </w:r>
      <w:r w:rsidR="009B1DE6" w:rsidRPr="00375B80">
        <w:rPr>
          <w:rFonts w:ascii="Garamond" w:eastAsia="Calibri" w:hAnsi="Garamond" w:cs="Times New Roman"/>
          <w:sz w:val="24"/>
          <w:szCs w:val="24"/>
          <w:lang w:eastAsia="it-IT"/>
        </w:rPr>
        <w:t xml:space="preserve">propizio </w:t>
      </w:r>
      <w:r w:rsidRPr="00375B80">
        <w:rPr>
          <w:rFonts w:ascii="Garamond" w:eastAsia="Calibri" w:hAnsi="Garamond" w:cs="Times New Roman"/>
          <w:sz w:val="24"/>
          <w:szCs w:val="24"/>
          <w:lang w:eastAsia="it-IT"/>
        </w:rPr>
        <w:t>d</w:t>
      </w:r>
      <w:r w:rsidR="00F70D6E" w:rsidRPr="00375B80">
        <w:rPr>
          <w:rFonts w:ascii="Garamond" w:eastAsia="Calibri" w:hAnsi="Garamond" w:cs="Times New Roman"/>
          <w:sz w:val="24"/>
          <w:szCs w:val="24"/>
          <w:lang w:eastAsia="it-IT"/>
        </w:rPr>
        <w:t>i</w:t>
      </w:r>
      <w:r w:rsidRPr="00375B80">
        <w:rPr>
          <w:rFonts w:ascii="Garamond" w:eastAsia="Calibri" w:hAnsi="Garamond" w:cs="Times New Roman"/>
          <w:sz w:val="24"/>
          <w:szCs w:val="24"/>
          <w:lang w:eastAsia="it-IT"/>
        </w:rPr>
        <w:t xml:space="preserve"> </w:t>
      </w:r>
      <w:r w:rsidR="00F70D6E" w:rsidRPr="00375B80">
        <w:rPr>
          <w:rFonts w:ascii="Garamond" w:eastAsia="Calibri" w:hAnsi="Garamond" w:cs="Times New Roman"/>
          <w:sz w:val="24"/>
          <w:szCs w:val="24"/>
          <w:lang w:eastAsia="it-IT"/>
        </w:rPr>
        <w:t xml:space="preserve">possibili </w:t>
      </w:r>
      <w:r w:rsidRPr="00375B80">
        <w:rPr>
          <w:rFonts w:ascii="Garamond" w:eastAsia="Calibri" w:hAnsi="Garamond" w:cs="Times New Roman"/>
          <w:sz w:val="24"/>
          <w:szCs w:val="24"/>
          <w:lang w:eastAsia="it-IT"/>
        </w:rPr>
        <w:t xml:space="preserve">modifiche d’ufficio (cfr., fra tutti, l’art. 10, comma 2, n. </w:t>
      </w:r>
      <w:r w:rsidRPr="00375B80">
        <w:rPr>
          <w:rFonts w:ascii="Garamond" w:hAnsi="Garamond" w:cs="Times New Roman"/>
          <w:sz w:val="24"/>
          <w:szCs w:val="24"/>
        </w:rPr>
        <w:t>3, l. ponte</w:t>
      </w:r>
      <w:r w:rsidR="00E42FBD" w:rsidRPr="00375B80">
        <w:rPr>
          <w:rFonts w:ascii="Garamond" w:hAnsi="Garamond" w:cs="Times New Roman"/>
          <w:sz w:val="24"/>
          <w:szCs w:val="24"/>
        </w:rPr>
        <w:t xml:space="preserve"> cit.</w:t>
      </w:r>
      <w:r w:rsidRPr="00375B80">
        <w:rPr>
          <w:rFonts w:ascii="Garamond" w:hAnsi="Garamond" w:cs="Times New Roman"/>
          <w:sz w:val="24"/>
          <w:szCs w:val="24"/>
        </w:rPr>
        <w:t>, che consente inserimenti ministeriali per «la tutela del paesaggio e di complessi storici, monumentali, ambientali ed archeologici»), i</w:t>
      </w:r>
      <w:r w:rsidR="00E42FBD" w:rsidRPr="00375B80">
        <w:rPr>
          <w:rFonts w:ascii="Garamond" w:hAnsi="Garamond" w:cs="Times New Roman"/>
          <w:sz w:val="24"/>
          <w:szCs w:val="24"/>
        </w:rPr>
        <w:t xml:space="preserve"> processi reali</w:t>
      </w:r>
      <w:r w:rsidRPr="00375B80">
        <w:rPr>
          <w:rFonts w:ascii="Garamond" w:hAnsi="Garamond" w:cs="Times New Roman"/>
          <w:sz w:val="24"/>
          <w:szCs w:val="24"/>
        </w:rPr>
        <w:t xml:space="preserve"> rester</w:t>
      </w:r>
      <w:r w:rsidR="00E42FBD" w:rsidRPr="00375B80">
        <w:rPr>
          <w:rFonts w:ascii="Garamond" w:hAnsi="Garamond" w:cs="Times New Roman"/>
          <w:sz w:val="24"/>
          <w:szCs w:val="24"/>
        </w:rPr>
        <w:t>anno</w:t>
      </w:r>
      <w:r w:rsidRPr="00375B80">
        <w:rPr>
          <w:rFonts w:ascii="Garamond" w:hAnsi="Garamond" w:cs="Times New Roman"/>
          <w:sz w:val="24"/>
          <w:szCs w:val="24"/>
        </w:rPr>
        <w:t xml:space="preserve"> </w:t>
      </w:r>
      <w:r w:rsidR="009B1DE6" w:rsidRPr="00375B80">
        <w:rPr>
          <w:rFonts w:ascii="Garamond" w:hAnsi="Garamond" w:cs="Times New Roman"/>
          <w:sz w:val="24"/>
          <w:szCs w:val="24"/>
        </w:rPr>
        <w:t xml:space="preserve">– come in passato – </w:t>
      </w:r>
      <w:r w:rsidRPr="00375B80">
        <w:rPr>
          <w:rFonts w:ascii="Garamond" w:hAnsi="Garamond" w:cs="Times New Roman"/>
          <w:sz w:val="24"/>
          <w:szCs w:val="24"/>
        </w:rPr>
        <w:t>rattrappit</w:t>
      </w:r>
      <w:r w:rsidR="00E42FBD" w:rsidRPr="00375B80">
        <w:rPr>
          <w:rFonts w:ascii="Garamond" w:hAnsi="Garamond" w:cs="Times New Roman"/>
          <w:sz w:val="24"/>
          <w:szCs w:val="24"/>
        </w:rPr>
        <w:t>i</w:t>
      </w:r>
      <w:r w:rsidRPr="00375B80">
        <w:rPr>
          <w:rFonts w:ascii="Garamond" w:hAnsi="Garamond" w:cs="Times New Roman"/>
          <w:sz w:val="24"/>
          <w:szCs w:val="24"/>
        </w:rPr>
        <w:t xml:space="preserve"> sulla scala urbana: in</w:t>
      </w:r>
      <w:r w:rsidR="00E42FBD" w:rsidRPr="00375B80">
        <w:rPr>
          <w:rFonts w:ascii="Garamond" w:hAnsi="Garamond" w:cs="Times New Roman"/>
          <w:sz w:val="24"/>
          <w:szCs w:val="24"/>
        </w:rPr>
        <w:t xml:space="preserve"> </w:t>
      </w:r>
      <w:r w:rsidRPr="00375B80">
        <w:rPr>
          <w:rFonts w:ascii="Garamond" w:hAnsi="Garamond" w:cs="Times New Roman"/>
          <w:sz w:val="24"/>
          <w:szCs w:val="24"/>
        </w:rPr>
        <w:t xml:space="preserve">sostanza, </w:t>
      </w:r>
      <w:r w:rsidR="00E42FBD" w:rsidRPr="00375B80">
        <w:rPr>
          <w:rFonts w:ascii="Garamond" w:hAnsi="Garamond" w:cs="Times New Roman"/>
          <w:sz w:val="24"/>
          <w:szCs w:val="24"/>
        </w:rPr>
        <w:t>sviliti ne</w:t>
      </w:r>
      <w:r w:rsidRPr="00375B80">
        <w:rPr>
          <w:rFonts w:ascii="Garamond" w:hAnsi="Garamond" w:cs="Times New Roman"/>
          <w:sz w:val="24"/>
          <w:szCs w:val="24"/>
        </w:rPr>
        <w:t>lla greve diade «edificabile/non edificabile»</w:t>
      </w:r>
      <w:r w:rsidR="00E42FBD" w:rsidRPr="00375B80">
        <w:rPr>
          <w:rStyle w:val="Rimandonotaapidipagina"/>
          <w:rFonts w:ascii="Garamond" w:hAnsi="Garamond" w:cs="Times New Roman"/>
          <w:sz w:val="24"/>
          <w:szCs w:val="24"/>
        </w:rPr>
        <w:footnoteReference w:id="10"/>
      </w:r>
      <w:r w:rsidRPr="00375B80">
        <w:rPr>
          <w:rFonts w:ascii="Garamond" w:hAnsi="Garamond" w:cs="Times New Roman"/>
          <w:sz w:val="24"/>
          <w:szCs w:val="24"/>
        </w:rPr>
        <w:t>.</w:t>
      </w:r>
    </w:p>
    <w:p w14:paraId="271D9B23" w14:textId="625F2122" w:rsidR="009B1DE6" w:rsidRPr="00375B80" w:rsidRDefault="00E42FBD"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Il che</w:t>
      </w:r>
      <w:r w:rsidR="009B1DE6" w:rsidRPr="00375B80">
        <w:rPr>
          <w:rFonts w:ascii="Garamond" w:hAnsi="Garamond" w:cs="Times New Roman"/>
          <w:sz w:val="24"/>
          <w:szCs w:val="24"/>
        </w:rPr>
        <w:t xml:space="preserve"> spiega </w:t>
      </w:r>
      <w:r w:rsidR="005F25FF" w:rsidRPr="00375B80">
        <w:rPr>
          <w:rFonts w:ascii="Garamond" w:hAnsi="Garamond" w:cs="Times New Roman"/>
          <w:sz w:val="24"/>
          <w:szCs w:val="24"/>
        </w:rPr>
        <w:t xml:space="preserve">poi </w:t>
      </w:r>
      <w:r w:rsidR="009B1DE6" w:rsidRPr="00375B80">
        <w:rPr>
          <w:rFonts w:ascii="Garamond" w:hAnsi="Garamond" w:cs="Times New Roman"/>
          <w:sz w:val="24"/>
          <w:szCs w:val="24"/>
        </w:rPr>
        <w:t xml:space="preserve">la </w:t>
      </w:r>
      <w:r w:rsidR="005F25FF" w:rsidRPr="00375B80">
        <w:rPr>
          <w:rFonts w:ascii="Garamond" w:hAnsi="Garamond" w:cs="Times New Roman"/>
          <w:sz w:val="24"/>
          <w:szCs w:val="24"/>
        </w:rPr>
        <w:t xml:space="preserve">già avvenuta </w:t>
      </w:r>
      <w:r w:rsidR="009B1DE6" w:rsidRPr="00375B80">
        <w:rPr>
          <w:rFonts w:ascii="Garamond" w:hAnsi="Garamond" w:cs="Times New Roman"/>
          <w:sz w:val="24"/>
          <w:szCs w:val="24"/>
        </w:rPr>
        <w:t>nascita</w:t>
      </w:r>
      <w:r w:rsidR="005225DC" w:rsidRPr="00375B80">
        <w:rPr>
          <w:rFonts w:ascii="Garamond" w:hAnsi="Garamond" w:cs="Times New Roman"/>
          <w:sz w:val="24"/>
          <w:szCs w:val="24"/>
        </w:rPr>
        <w:t xml:space="preserve">, non meno precoce che </w:t>
      </w:r>
      <w:r w:rsidR="009B1DE6" w:rsidRPr="00375B80">
        <w:rPr>
          <w:rFonts w:ascii="Garamond" w:hAnsi="Garamond" w:cs="Times New Roman"/>
          <w:sz w:val="24"/>
          <w:szCs w:val="24"/>
        </w:rPr>
        <w:t>inevitabile</w:t>
      </w:r>
      <w:r w:rsidR="005225DC" w:rsidRPr="00375B80">
        <w:rPr>
          <w:rFonts w:ascii="Garamond" w:hAnsi="Garamond" w:cs="Times New Roman"/>
          <w:sz w:val="24"/>
          <w:szCs w:val="24"/>
        </w:rPr>
        <w:t>,</w:t>
      </w:r>
      <w:r w:rsidR="009B1DE6" w:rsidRPr="00375B80">
        <w:rPr>
          <w:rFonts w:ascii="Garamond" w:hAnsi="Garamond" w:cs="Times New Roman"/>
          <w:sz w:val="24"/>
          <w:szCs w:val="24"/>
        </w:rPr>
        <w:t xml:space="preserve"> di tanti universi paralleli: ecosistemi normativi posti </w:t>
      </w:r>
      <w:r w:rsidR="009B1DE6" w:rsidRPr="00375B80">
        <w:rPr>
          <w:rFonts w:ascii="Garamond" w:hAnsi="Garamond" w:cs="Times New Roman"/>
          <w:i/>
          <w:sz w:val="24"/>
          <w:szCs w:val="24"/>
        </w:rPr>
        <w:t>singulatim</w:t>
      </w:r>
      <w:r w:rsidR="009B1DE6" w:rsidRPr="00375B80">
        <w:rPr>
          <w:rFonts w:ascii="Garamond" w:hAnsi="Garamond" w:cs="Times New Roman"/>
          <w:sz w:val="24"/>
          <w:szCs w:val="24"/>
        </w:rPr>
        <w:t xml:space="preserve"> a presidio di interessi specifici maggiormente esposti nei confronti delle implicazioni proprie dello sviluppo urbanistico. Le leggi Bottai del ’39 sulla tutela delle cose di interesse artistico e storico</w:t>
      </w:r>
      <w:r w:rsidR="009B1DE6" w:rsidRPr="00375B80">
        <w:rPr>
          <w:rStyle w:val="Rimandonotaapidipagina"/>
          <w:rFonts w:ascii="Garamond" w:hAnsi="Garamond" w:cs="Times New Roman"/>
          <w:sz w:val="24"/>
          <w:szCs w:val="24"/>
        </w:rPr>
        <w:footnoteReference w:id="11"/>
      </w:r>
      <w:r w:rsidR="009B1DE6" w:rsidRPr="00375B80">
        <w:rPr>
          <w:rFonts w:ascii="Garamond" w:hAnsi="Garamond" w:cs="Times New Roman"/>
          <w:sz w:val="24"/>
          <w:szCs w:val="24"/>
        </w:rPr>
        <w:t xml:space="preserve"> e sulla protezione delle bellezze naturali</w:t>
      </w:r>
      <w:r w:rsidR="009B1DE6" w:rsidRPr="00375B80">
        <w:rPr>
          <w:rStyle w:val="Rimandonotaapidipagina"/>
          <w:rFonts w:ascii="Garamond" w:hAnsi="Garamond" w:cs="Times New Roman"/>
          <w:sz w:val="24"/>
          <w:szCs w:val="24"/>
        </w:rPr>
        <w:footnoteReference w:id="12"/>
      </w:r>
      <w:r w:rsidR="009B1DE6" w:rsidRPr="00375B80">
        <w:rPr>
          <w:rFonts w:ascii="Garamond" w:hAnsi="Garamond" w:cs="Times New Roman"/>
          <w:sz w:val="24"/>
          <w:szCs w:val="24"/>
        </w:rPr>
        <w:t xml:space="preserve">; la legge per le </w:t>
      </w:r>
      <w:r w:rsidR="009B1DE6" w:rsidRPr="00375B80">
        <w:rPr>
          <w:rFonts w:ascii="Garamond" w:hAnsi="Garamond" w:cs="Times New Roman"/>
          <w:sz w:val="24"/>
          <w:szCs w:val="24"/>
        </w:rPr>
        <w:lastRenderedPageBreak/>
        <w:t>costruzioni nelle zone sismiche</w:t>
      </w:r>
      <w:r w:rsidR="009B1DE6" w:rsidRPr="00375B80">
        <w:rPr>
          <w:rStyle w:val="Rimandonotaapidipagina"/>
          <w:rFonts w:ascii="Garamond" w:hAnsi="Garamond" w:cs="Times New Roman"/>
          <w:sz w:val="24"/>
          <w:szCs w:val="24"/>
        </w:rPr>
        <w:footnoteReference w:id="13"/>
      </w:r>
      <w:r w:rsidR="009B1DE6" w:rsidRPr="00375B80">
        <w:rPr>
          <w:rFonts w:ascii="Garamond" w:hAnsi="Garamond" w:cs="Times New Roman"/>
          <w:sz w:val="24"/>
          <w:szCs w:val="24"/>
        </w:rPr>
        <w:t xml:space="preserve">; la normazione istitutiva dei quattro Parchi nazionali </w:t>
      </w:r>
      <w:r w:rsidR="005225DC" w:rsidRPr="00375B80">
        <w:rPr>
          <w:rFonts w:ascii="Garamond" w:hAnsi="Garamond" w:cs="Times New Roman"/>
          <w:sz w:val="24"/>
          <w:szCs w:val="24"/>
        </w:rPr>
        <w:t>(</w:t>
      </w:r>
      <w:r w:rsidR="009B1DE6" w:rsidRPr="00375B80">
        <w:rPr>
          <w:rFonts w:ascii="Garamond" w:hAnsi="Garamond" w:cs="Times New Roman"/>
          <w:sz w:val="24"/>
          <w:szCs w:val="24"/>
        </w:rPr>
        <w:t>Gran Paradiso</w:t>
      </w:r>
      <w:r w:rsidR="009B1DE6" w:rsidRPr="00375B80">
        <w:rPr>
          <w:rStyle w:val="Rimandonotaapidipagina"/>
          <w:rFonts w:ascii="Garamond" w:hAnsi="Garamond" w:cs="Times New Roman"/>
          <w:sz w:val="24"/>
          <w:szCs w:val="24"/>
        </w:rPr>
        <w:footnoteReference w:id="14"/>
      </w:r>
      <w:r w:rsidR="009B1DE6" w:rsidRPr="00375B80">
        <w:rPr>
          <w:rFonts w:ascii="Garamond" w:hAnsi="Garamond" w:cs="Times New Roman"/>
          <w:sz w:val="24"/>
          <w:szCs w:val="24"/>
        </w:rPr>
        <w:t>, Abruzzo</w:t>
      </w:r>
      <w:r w:rsidR="009B1DE6" w:rsidRPr="00375B80">
        <w:rPr>
          <w:rStyle w:val="Rimandonotaapidipagina"/>
          <w:rFonts w:ascii="Garamond" w:hAnsi="Garamond" w:cs="Times New Roman"/>
          <w:sz w:val="24"/>
          <w:szCs w:val="24"/>
        </w:rPr>
        <w:footnoteReference w:id="15"/>
      </w:r>
      <w:r w:rsidR="009B1DE6" w:rsidRPr="00375B80">
        <w:rPr>
          <w:rFonts w:ascii="Garamond" w:hAnsi="Garamond" w:cs="Times New Roman"/>
          <w:sz w:val="24"/>
          <w:szCs w:val="24"/>
        </w:rPr>
        <w:t>, Circeo</w:t>
      </w:r>
      <w:r w:rsidR="009B1DE6" w:rsidRPr="00375B80">
        <w:rPr>
          <w:rStyle w:val="Rimandonotaapidipagina"/>
          <w:rFonts w:ascii="Garamond" w:hAnsi="Garamond" w:cs="Times New Roman"/>
          <w:sz w:val="24"/>
          <w:szCs w:val="24"/>
        </w:rPr>
        <w:footnoteReference w:id="16"/>
      </w:r>
      <w:r w:rsidR="009B1DE6" w:rsidRPr="00375B80">
        <w:rPr>
          <w:rFonts w:ascii="Garamond" w:hAnsi="Garamond" w:cs="Times New Roman"/>
          <w:sz w:val="24"/>
          <w:szCs w:val="24"/>
        </w:rPr>
        <w:t xml:space="preserve"> e Stelvio</w:t>
      </w:r>
      <w:r w:rsidR="009B1DE6" w:rsidRPr="00375B80">
        <w:rPr>
          <w:rStyle w:val="Rimandonotaapidipagina"/>
          <w:rFonts w:ascii="Garamond" w:hAnsi="Garamond" w:cs="Times New Roman"/>
          <w:sz w:val="24"/>
          <w:szCs w:val="24"/>
        </w:rPr>
        <w:footnoteReference w:id="17"/>
      </w:r>
      <w:r w:rsidR="005225DC" w:rsidRPr="00375B80">
        <w:rPr>
          <w:rFonts w:ascii="Garamond" w:hAnsi="Garamond" w:cs="Times New Roman"/>
          <w:sz w:val="24"/>
          <w:szCs w:val="24"/>
        </w:rPr>
        <w:t>)</w:t>
      </w:r>
      <w:r w:rsidR="009B1DE6" w:rsidRPr="00375B80">
        <w:rPr>
          <w:rFonts w:ascii="Garamond" w:hAnsi="Garamond" w:cs="Times New Roman"/>
          <w:sz w:val="24"/>
          <w:szCs w:val="24"/>
        </w:rPr>
        <w:t>; le leggi, infine, sulle zone di rilievo militare</w:t>
      </w:r>
      <w:r w:rsidR="009B1DE6" w:rsidRPr="00375B80">
        <w:rPr>
          <w:rStyle w:val="Rimandonotaapidipagina"/>
          <w:rFonts w:ascii="Garamond" w:hAnsi="Garamond" w:cs="Times New Roman"/>
          <w:sz w:val="24"/>
          <w:szCs w:val="24"/>
        </w:rPr>
        <w:footnoteReference w:id="18"/>
      </w:r>
      <w:r w:rsidR="009B1DE6" w:rsidRPr="00375B80">
        <w:rPr>
          <w:rFonts w:ascii="Garamond" w:hAnsi="Garamond" w:cs="Times New Roman"/>
          <w:sz w:val="24"/>
          <w:szCs w:val="24"/>
        </w:rPr>
        <w:t xml:space="preserve"> e sulle servitù militari</w:t>
      </w:r>
      <w:r w:rsidR="009B1DE6" w:rsidRPr="00375B80">
        <w:rPr>
          <w:rStyle w:val="Rimandonotaapidipagina"/>
          <w:rFonts w:ascii="Garamond" w:hAnsi="Garamond" w:cs="Times New Roman"/>
          <w:sz w:val="24"/>
          <w:szCs w:val="24"/>
        </w:rPr>
        <w:footnoteReference w:id="19"/>
      </w:r>
      <w:r w:rsidR="009B1DE6" w:rsidRPr="00375B80">
        <w:rPr>
          <w:rFonts w:ascii="Garamond" w:hAnsi="Garamond" w:cs="Times New Roman"/>
          <w:sz w:val="24"/>
          <w:szCs w:val="24"/>
        </w:rPr>
        <w:t>.</w:t>
      </w:r>
    </w:p>
    <w:p w14:paraId="35D55C2A" w14:textId="400BAC30" w:rsidR="009B1DE6" w:rsidRPr="00375B80" w:rsidRDefault="009B1DE6"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È evidente, tuttavia, che si tratta</w:t>
      </w:r>
      <w:r w:rsidR="00AA51DF" w:rsidRPr="00375B80">
        <w:rPr>
          <w:rFonts w:ascii="Garamond" w:hAnsi="Garamond" w:cs="Times New Roman"/>
          <w:sz w:val="24"/>
          <w:szCs w:val="24"/>
        </w:rPr>
        <w:t>va</w:t>
      </w:r>
      <w:r w:rsidRPr="00375B80">
        <w:rPr>
          <w:rFonts w:ascii="Garamond" w:hAnsi="Garamond" w:cs="Times New Roman"/>
          <w:sz w:val="24"/>
          <w:szCs w:val="24"/>
        </w:rPr>
        <w:t xml:space="preserve"> di un</w:t>
      </w:r>
      <w:r w:rsidR="005225DC" w:rsidRPr="00375B80">
        <w:rPr>
          <w:rFonts w:ascii="Garamond" w:hAnsi="Garamond" w:cs="Times New Roman"/>
          <w:sz w:val="24"/>
          <w:szCs w:val="24"/>
        </w:rPr>
        <w:t>a</w:t>
      </w:r>
      <w:r w:rsidRPr="00375B80">
        <w:rPr>
          <w:rFonts w:ascii="Garamond" w:hAnsi="Garamond" w:cs="Times New Roman"/>
          <w:sz w:val="24"/>
          <w:szCs w:val="24"/>
        </w:rPr>
        <w:t xml:space="preserve"> </w:t>
      </w:r>
      <w:r w:rsidR="005225DC" w:rsidRPr="00375B80">
        <w:rPr>
          <w:rFonts w:ascii="Garamond" w:hAnsi="Garamond" w:cs="Times New Roman"/>
          <w:sz w:val="24"/>
          <w:szCs w:val="24"/>
        </w:rPr>
        <w:t xml:space="preserve">produzione </w:t>
      </w:r>
      <w:r w:rsidRPr="00375B80">
        <w:rPr>
          <w:rFonts w:ascii="Garamond" w:hAnsi="Garamond" w:cs="Times New Roman"/>
          <w:sz w:val="24"/>
          <w:szCs w:val="24"/>
        </w:rPr>
        <w:t>normativ</w:t>
      </w:r>
      <w:r w:rsidR="005225DC" w:rsidRPr="00375B80">
        <w:rPr>
          <w:rFonts w:ascii="Garamond" w:hAnsi="Garamond" w:cs="Times New Roman"/>
          <w:sz w:val="24"/>
          <w:szCs w:val="24"/>
        </w:rPr>
        <w:t>a disaggregata e disorganica,</w:t>
      </w:r>
      <w:r w:rsidRPr="00375B80">
        <w:rPr>
          <w:rFonts w:ascii="Garamond" w:hAnsi="Garamond" w:cs="Times New Roman"/>
          <w:sz w:val="24"/>
          <w:szCs w:val="24"/>
        </w:rPr>
        <w:t xml:space="preserve"> l</w:t>
      </w:r>
      <w:r w:rsidR="005225DC" w:rsidRPr="00375B80">
        <w:rPr>
          <w:rFonts w:ascii="Garamond" w:hAnsi="Garamond" w:cs="Times New Roman"/>
          <w:sz w:val="24"/>
          <w:szCs w:val="24"/>
        </w:rPr>
        <w:t>e</w:t>
      </w:r>
      <w:r w:rsidRPr="00375B80">
        <w:rPr>
          <w:rFonts w:ascii="Garamond" w:hAnsi="Garamond" w:cs="Times New Roman"/>
          <w:sz w:val="24"/>
          <w:szCs w:val="24"/>
        </w:rPr>
        <w:t xml:space="preserve"> cui specificità </w:t>
      </w:r>
      <w:r w:rsidR="005225DC" w:rsidRPr="00375B80">
        <w:rPr>
          <w:rFonts w:ascii="Garamond" w:hAnsi="Garamond" w:cs="Times New Roman"/>
          <w:sz w:val="24"/>
          <w:szCs w:val="24"/>
        </w:rPr>
        <w:t xml:space="preserve">formali </w:t>
      </w:r>
      <w:r w:rsidRPr="00375B80">
        <w:rPr>
          <w:rFonts w:ascii="Garamond" w:hAnsi="Garamond" w:cs="Times New Roman"/>
          <w:sz w:val="24"/>
          <w:szCs w:val="24"/>
        </w:rPr>
        <w:t>non era</w:t>
      </w:r>
      <w:r w:rsidR="005225DC" w:rsidRPr="00375B80">
        <w:rPr>
          <w:rFonts w:ascii="Garamond" w:hAnsi="Garamond" w:cs="Times New Roman"/>
          <w:sz w:val="24"/>
          <w:szCs w:val="24"/>
        </w:rPr>
        <w:t>no</w:t>
      </w:r>
      <w:r w:rsidRPr="00375B80">
        <w:rPr>
          <w:rFonts w:ascii="Garamond" w:hAnsi="Garamond" w:cs="Times New Roman"/>
          <w:sz w:val="24"/>
          <w:szCs w:val="24"/>
        </w:rPr>
        <w:t xml:space="preserve"> di certo idone</w:t>
      </w:r>
      <w:r w:rsidR="005225DC" w:rsidRPr="00375B80">
        <w:rPr>
          <w:rFonts w:ascii="Garamond" w:hAnsi="Garamond" w:cs="Times New Roman"/>
          <w:sz w:val="24"/>
          <w:szCs w:val="24"/>
        </w:rPr>
        <w:t>e</w:t>
      </w:r>
      <w:r w:rsidRPr="00375B80">
        <w:rPr>
          <w:rFonts w:ascii="Garamond" w:hAnsi="Garamond" w:cs="Times New Roman"/>
          <w:sz w:val="24"/>
          <w:szCs w:val="24"/>
        </w:rPr>
        <w:t xml:space="preserve"> a fronteggiare la questione generale della </w:t>
      </w:r>
      <w:r w:rsidR="005225DC" w:rsidRPr="00375B80">
        <w:rPr>
          <w:rFonts w:ascii="Garamond" w:hAnsi="Garamond" w:cs="Times New Roman"/>
          <w:sz w:val="24"/>
          <w:szCs w:val="24"/>
        </w:rPr>
        <w:t xml:space="preserve">governazione complessiva del territorio, di cui i profili </w:t>
      </w:r>
      <w:r w:rsidR="005225DC" w:rsidRPr="00375B80">
        <w:rPr>
          <w:rFonts w:ascii="Garamond" w:hAnsi="Garamond" w:cs="Times New Roman"/>
          <w:i/>
          <w:sz w:val="24"/>
          <w:szCs w:val="24"/>
        </w:rPr>
        <w:t>stricto sensu</w:t>
      </w:r>
      <w:r w:rsidR="005225DC" w:rsidRPr="00375B80">
        <w:rPr>
          <w:rFonts w:ascii="Garamond" w:hAnsi="Garamond" w:cs="Times New Roman"/>
          <w:sz w:val="24"/>
          <w:szCs w:val="24"/>
        </w:rPr>
        <w:t xml:space="preserve"> urbanistici sono solo un aspetto parziale</w:t>
      </w:r>
      <w:r w:rsidRPr="00375B80">
        <w:rPr>
          <w:rFonts w:ascii="Garamond" w:hAnsi="Garamond" w:cs="Times New Roman"/>
          <w:sz w:val="24"/>
          <w:szCs w:val="24"/>
        </w:rPr>
        <w:t xml:space="preserve">: anzi, </w:t>
      </w:r>
      <w:r w:rsidR="00AA51DF" w:rsidRPr="00375B80">
        <w:rPr>
          <w:rFonts w:ascii="Garamond" w:hAnsi="Garamond" w:cs="Times New Roman"/>
          <w:sz w:val="24"/>
          <w:szCs w:val="24"/>
        </w:rPr>
        <w:t xml:space="preserve">essa </w:t>
      </w:r>
      <w:r w:rsidRPr="00375B80">
        <w:rPr>
          <w:rFonts w:ascii="Garamond" w:hAnsi="Garamond" w:cs="Times New Roman"/>
          <w:sz w:val="24"/>
          <w:szCs w:val="24"/>
        </w:rPr>
        <w:t xml:space="preserve">poteva in </w:t>
      </w:r>
      <w:r w:rsidR="005225DC" w:rsidRPr="00375B80">
        <w:rPr>
          <w:rFonts w:ascii="Garamond" w:hAnsi="Garamond" w:cs="Times New Roman"/>
          <w:sz w:val="24"/>
          <w:szCs w:val="24"/>
        </w:rPr>
        <w:t>non pochi</w:t>
      </w:r>
      <w:r w:rsidRPr="00375B80">
        <w:rPr>
          <w:rFonts w:ascii="Garamond" w:hAnsi="Garamond" w:cs="Times New Roman"/>
          <w:sz w:val="24"/>
          <w:szCs w:val="24"/>
        </w:rPr>
        <w:t xml:space="preserve"> casi dar luogo a «problemi di coordinamento abbastanza rilevanti»</w:t>
      </w:r>
      <w:r w:rsidRPr="00375B80">
        <w:rPr>
          <w:rStyle w:val="Rimandonotaapidipagina"/>
          <w:rFonts w:ascii="Garamond" w:hAnsi="Garamond" w:cs="Times New Roman"/>
          <w:sz w:val="24"/>
          <w:szCs w:val="24"/>
        </w:rPr>
        <w:footnoteReference w:id="20"/>
      </w:r>
      <w:r w:rsidRPr="00375B80">
        <w:rPr>
          <w:rFonts w:ascii="Garamond" w:hAnsi="Garamond" w:cs="Times New Roman"/>
          <w:sz w:val="24"/>
          <w:szCs w:val="24"/>
        </w:rPr>
        <w:t>.</w:t>
      </w:r>
    </w:p>
    <w:p w14:paraId="103D11EF" w14:textId="76351AEC" w:rsidR="00E42FBD" w:rsidRPr="00375B80" w:rsidRDefault="009B1DE6"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E anche quando, come nel caso della legge sulle bellezze naturali, si elaborò un’apposita figura pianificatoria – i piani paesistici – questi furono quasi del tutto ignorati sia nella prassi che dalla dottrina</w:t>
      </w:r>
      <w:r w:rsidRPr="00375B80">
        <w:rPr>
          <w:rStyle w:val="Rimandonotaapidipagina"/>
          <w:rFonts w:ascii="Garamond" w:hAnsi="Garamond" w:cs="Times New Roman"/>
          <w:sz w:val="24"/>
          <w:szCs w:val="24"/>
        </w:rPr>
        <w:footnoteReference w:id="21"/>
      </w:r>
      <w:r w:rsidRPr="00375B80">
        <w:rPr>
          <w:rFonts w:ascii="Garamond" w:hAnsi="Garamond" w:cs="Times New Roman"/>
          <w:sz w:val="24"/>
          <w:szCs w:val="24"/>
        </w:rPr>
        <w:t>.</w:t>
      </w:r>
    </w:p>
    <w:p w14:paraId="2427D77D" w14:textId="6E56CA17" w:rsidR="00AA51DF" w:rsidRPr="00375B80" w:rsidRDefault="00AA51D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Una sorta di cecità epistemica</w:t>
      </w:r>
      <w:r w:rsidR="00B4260E" w:rsidRPr="00375B80">
        <w:rPr>
          <w:rFonts w:ascii="Garamond" w:hAnsi="Garamond" w:cs="Times New Roman"/>
          <w:sz w:val="24"/>
          <w:szCs w:val="24"/>
        </w:rPr>
        <w:t>, insomma,</w:t>
      </w:r>
      <w:r w:rsidRPr="00375B80">
        <w:rPr>
          <w:rFonts w:ascii="Garamond" w:hAnsi="Garamond" w:cs="Times New Roman"/>
          <w:sz w:val="24"/>
          <w:szCs w:val="24"/>
        </w:rPr>
        <w:t xml:space="preserve"> </w:t>
      </w:r>
      <w:r w:rsidR="00F13B61" w:rsidRPr="00375B80">
        <w:rPr>
          <w:rFonts w:ascii="Garamond" w:hAnsi="Garamond" w:cs="Times New Roman"/>
          <w:sz w:val="24"/>
          <w:szCs w:val="24"/>
        </w:rPr>
        <w:t xml:space="preserve">sembra </w:t>
      </w:r>
      <w:r w:rsidRPr="00375B80">
        <w:rPr>
          <w:rFonts w:ascii="Garamond" w:hAnsi="Garamond" w:cs="Times New Roman"/>
          <w:sz w:val="24"/>
          <w:szCs w:val="24"/>
        </w:rPr>
        <w:t>colpi</w:t>
      </w:r>
      <w:r w:rsidR="00F13B61" w:rsidRPr="00375B80">
        <w:rPr>
          <w:rFonts w:ascii="Garamond" w:hAnsi="Garamond" w:cs="Times New Roman"/>
          <w:sz w:val="24"/>
          <w:szCs w:val="24"/>
        </w:rPr>
        <w:t>r</w:t>
      </w:r>
      <w:r w:rsidRPr="00375B80">
        <w:rPr>
          <w:rFonts w:ascii="Garamond" w:hAnsi="Garamond" w:cs="Times New Roman"/>
          <w:sz w:val="24"/>
          <w:szCs w:val="24"/>
        </w:rPr>
        <w:t xml:space="preserve">e </w:t>
      </w:r>
      <w:r w:rsidR="00F13B61" w:rsidRPr="00375B80">
        <w:rPr>
          <w:rFonts w:ascii="Garamond" w:hAnsi="Garamond" w:cs="Times New Roman"/>
          <w:sz w:val="24"/>
          <w:szCs w:val="24"/>
        </w:rPr>
        <w:t xml:space="preserve">gli ingegneri normativi delle dorsali regolative nostre. In ritardo cronico rispetto alle posizioni degli urbanisti, i giuristi sembrano mancare anche l’appuntamento con il glorioso traguardo razionalista del decreto n. 1444/’68 sugli </w:t>
      </w:r>
      <w:r w:rsidR="00F13B61" w:rsidRPr="00375B80">
        <w:rPr>
          <w:rFonts w:ascii="Garamond" w:hAnsi="Garamond" w:cs="Times New Roman"/>
          <w:i/>
          <w:sz w:val="24"/>
          <w:szCs w:val="24"/>
        </w:rPr>
        <w:t>standard</w:t>
      </w:r>
      <w:r w:rsidR="00075F4A" w:rsidRPr="00375B80">
        <w:rPr>
          <w:rFonts w:ascii="Garamond" w:hAnsi="Garamond" w:cs="Times New Roman"/>
          <w:i/>
          <w:sz w:val="24"/>
          <w:szCs w:val="24"/>
        </w:rPr>
        <w:t>s</w:t>
      </w:r>
      <w:r w:rsidR="00F13B61" w:rsidRPr="00375B80">
        <w:rPr>
          <w:rFonts w:ascii="Garamond" w:hAnsi="Garamond" w:cs="Times New Roman"/>
          <w:sz w:val="24"/>
          <w:szCs w:val="24"/>
        </w:rPr>
        <w:t>.</w:t>
      </w:r>
    </w:p>
    <w:p w14:paraId="2C85DA5B" w14:textId="2FF6AE7D" w:rsidR="00F13B61" w:rsidRPr="00375B80" w:rsidRDefault="00F13B6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Mezzo secolo dopo</w:t>
      </w:r>
      <w:r w:rsidR="006C5F6A" w:rsidRPr="00375B80">
        <w:rPr>
          <w:rFonts w:ascii="Garamond" w:hAnsi="Garamond" w:cs="Times New Roman"/>
          <w:sz w:val="24"/>
          <w:szCs w:val="24"/>
        </w:rPr>
        <w:t xml:space="preserve"> quella fondamentale esperienza di normazione</w:t>
      </w:r>
      <w:r w:rsidRPr="00375B80">
        <w:rPr>
          <w:rFonts w:ascii="Garamond" w:hAnsi="Garamond" w:cs="Times New Roman"/>
          <w:sz w:val="24"/>
          <w:szCs w:val="24"/>
        </w:rPr>
        <w:t xml:space="preserve">, l’interprete vede chiaro, con </w:t>
      </w:r>
      <w:r w:rsidR="006C5F6A" w:rsidRPr="00375B80">
        <w:rPr>
          <w:rFonts w:ascii="Garamond" w:hAnsi="Garamond" w:cs="Times New Roman"/>
          <w:sz w:val="24"/>
          <w:szCs w:val="24"/>
        </w:rPr>
        <w:t>la malinconia</w:t>
      </w:r>
      <w:r w:rsidRPr="00375B80">
        <w:rPr>
          <w:rFonts w:ascii="Garamond" w:hAnsi="Garamond" w:cs="Times New Roman"/>
          <w:sz w:val="24"/>
          <w:szCs w:val="24"/>
        </w:rPr>
        <w:t xml:space="preserve"> che ne consegue, </w:t>
      </w:r>
      <w:r w:rsidR="006C5F6A" w:rsidRPr="00375B80">
        <w:rPr>
          <w:rFonts w:ascii="Garamond" w:hAnsi="Garamond" w:cs="Times New Roman"/>
          <w:sz w:val="24"/>
          <w:szCs w:val="24"/>
        </w:rPr>
        <w:t xml:space="preserve">la </w:t>
      </w:r>
      <w:r w:rsidR="006C5F6A" w:rsidRPr="00375B80">
        <w:rPr>
          <w:rFonts w:ascii="Garamond" w:hAnsi="Garamond" w:cs="Times New Roman"/>
          <w:i/>
          <w:sz w:val="24"/>
          <w:szCs w:val="24"/>
        </w:rPr>
        <w:t>Wirkungsgeschichte</w:t>
      </w:r>
      <w:r w:rsidR="006C5F6A" w:rsidRPr="00375B80">
        <w:rPr>
          <w:rFonts w:ascii="Garamond" w:hAnsi="Garamond" w:cs="Times New Roman"/>
          <w:sz w:val="24"/>
          <w:szCs w:val="24"/>
        </w:rPr>
        <w:t xml:space="preserve"> di una lettura ancora una volta riduttiva dei possibili effetti di senso del testo. L’occasione mancata, insomma.</w:t>
      </w:r>
    </w:p>
    <w:p w14:paraId="4697C318" w14:textId="4A0190DD" w:rsidR="004F46B1"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Eppure, quel decreto costituiva la recezione, all’interno del modello giuridico italiano di pianificazione, di uno degli strumenti centrali dell’urbanistica razionalista europea: la </w:t>
      </w:r>
      <w:r w:rsidRPr="00375B80">
        <w:rPr>
          <w:rFonts w:ascii="Garamond" w:hAnsi="Garamond" w:cs="Times New Roman"/>
          <w:i/>
          <w:sz w:val="24"/>
          <w:szCs w:val="24"/>
        </w:rPr>
        <w:t>standardizzazione</w:t>
      </w:r>
      <w:r w:rsidRPr="00375B80">
        <w:rPr>
          <w:rFonts w:ascii="Garamond" w:hAnsi="Garamond" w:cs="Times New Roman"/>
          <w:sz w:val="24"/>
          <w:szCs w:val="24"/>
        </w:rPr>
        <w:t xml:space="preserve"> delle funzioni urbane</w:t>
      </w:r>
      <w:r w:rsidRPr="00375B80">
        <w:rPr>
          <w:rStyle w:val="Rimandonotaapidipagina"/>
          <w:rFonts w:ascii="Garamond" w:hAnsi="Garamond" w:cs="Times New Roman"/>
          <w:color w:val="000000"/>
          <w:sz w:val="24"/>
          <w:szCs w:val="24"/>
        </w:rPr>
        <w:footnoteReference w:id="22"/>
      </w:r>
      <w:r w:rsidRPr="00375B80">
        <w:rPr>
          <w:rFonts w:ascii="Garamond" w:hAnsi="Garamond" w:cs="Times New Roman"/>
          <w:sz w:val="24"/>
          <w:szCs w:val="24"/>
        </w:rPr>
        <w:t>.</w:t>
      </w:r>
    </w:p>
    <w:p w14:paraId="47245B3E" w14:textId="77777777" w:rsidR="004F46B1"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 xml:space="preserve">Il fondamento teorico – elaborato fra le due guerre – consiste in una revisione delle tradizionali tipologie urbanistiche (ed edilizie), «fondate ora sui </w:t>
      </w:r>
      <w:r w:rsidRPr="00375B80">
        <w:rPr>
          <w:rFonts w:ascii="Garamond" w:hAnsi="Garamond" w:cs="Times New Roman"/>
          <w:i/>
          <w:sz w:val="24"/>
          <w:szCs w:val="24"/>
        </w:rPr>
        <w:t>valori</w:t>
      </w:r>
      <w:r w:rsidRPr="00375B80">
        <w:rPr>
          <w:rFonts w:ascii="Garamond" w:hAnsi="Garamond" w:cs="Times New Roman"/>
          <w:sz w:val="24"/>
          <w:szCs w:val="24"/>
        </w:rPr>
        <w:t xml:space="preserve"> che assumevano le </w:t>
      </w:r>
      <w:r w:rsidRPr="00375B80">
        <w:rPr>
          <w:rFonts w:ascii="Garamond" w:hAnsi="Garamond" w:cs="Times New Roman"/>
          <w:i/>
          <w:sz w:val="24"/>
          <w:szCs w:val="24"/>
        </w:rPr>
        <w:t>forme</w:t>
      </w:r>
      <w:r w:rsidRPr="00375B80">
        <w:rPr>
          <w:rFonts w:ascii="Garamond" w:hAnsi="Garamond" w:cs="Times New Roman"/>
          <w:sz w:val="24"/>
          <w:szCs w:val="24"/>
        </w:rPr>
        <w:t xml:space="preserve"> intese come espressione immediata di </w:t>
      </w:r>
      <w:r w:rsidRPr="00375B80">
        <w:rPr>
          <w:rFonts w:ascii="Garamond" w:hAnsi="Garamond" w:cs="Times New Roman"/>
          <w:i/>
          <w:sz w:val="24"/>
          <w:szCs w:val="24"/>
        </w:rPr>
        <w:t>rapporti</w:t>
      </w:r>
      <w:r w:rsidRPr="00375B80">
        <w:rPr>
          <w:rFonts w:ascii="Garamond" w:hAnsi="Garamond" w:cs="Times New Roman"/>
          <w:sz w:val="24"/>
          <w:szCs w:val="24"/>
        </w:rPr>
        <w:t xml:space="preserve"> spaziali corrispondenti a determinate </w:t>
      </w:r>
      <w:r w:rsidRPr="00375B80">
        <w:rPr>
          <w:rFonts w:ascii="Garamond" w:hAnsi="Garamond" w:cs="Times New Roman"/>
          <w:i/>
          <w:sz w:val="24"/>
          <w:szCs w:val="24"/>
        </w:rPr>
        <w:t>funzioni</w:t>
      </w:r>
      <w:r w:rsidRPr="00375B80">
        <w:rPr>
          <w:rFonts w:ascii="Garamond" w:hAnsi="Garamond" w:cs="Times New Roman"/>
          <w:sz w:val="24"/>
          <w:szCs w:val="24"/>
        </w:rPr>
        <w:t>»</w:t>
      </w:r>
      <w:r w:rsidRPr="00375B80">
        <w:rPr>
          <w:rStyle w:val="Rimandonotaapidipagina"/>
          <w:rFonts w:ascii="Garamond" w:hAnsi="Garamond" w:cs="Times New Roman"/>
          <w:sz w:val="24"/>
          <w:szCs w:val="24"/>
        </w:rPr>
        <w:footnoteReference w:id="23"/>
      </w:r>
      <w:r w:rsidRPr="00375B80">
        <w:rPr>
          <w:rFonts w:ascii="Garamond" w:hAnsi="Garamond" w:cs="Times New Roman"/>
          <w:sz w:val="24"/>
          <w:szCs w:val="24"/>
        </w:rPr>
        <w:t>.</w:t>
      </w:r>
    </w:p>
    <w:p w14:paraId="58CD2619" w14:textId="77777777" w:rsidR="004F46B1"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Per l’urbanistica razionalista, dunque, la funzione dell’abitare si carica di una pregnante eticità, la quale comporta l’adozione di un metodo logico-scientifico per la risoluzione delle questioni che essa pone.</w:t>
      </w:r>
    </w:p>
    <w:p w14:paraId="513B7F59" w14:textId="77777777" w:rsidR="004F46B1"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Addirittura la stessa conflittualità sociale, in questa prospettiva, diviene mera conseguenza contingente di un non abbastanza studiato problema di coerenza fra </w:t>
      </w:r>
      <w:r w:rsidRPr="00375B80">
        <w:rPr>
          <w:rFonts w:ascii="Garamond" w:hAnsi="Garamond" w:cs="Times New Roman"/>
          <w:i/>
          <w:sz w:val="24"/>
          <w:szCs w:val="24"/>
        </w:rPr>
        <w:t>funzione</w:t>
      </w:r>
      <w:r w:rsidRPr="00375B80">
        <w:rPr>
          <w:rFonts w:ascii="Garamond" w:hAnsi="Garamond" w:cs="Times New Roman"/>
          <w:sz w:val="24"/>
          <w:szCs w:val="24"/>
        </w:rPr>
        <w:t xml:space="preserve"> e </w:t>
      </w:r>
      <w:r w:rsidRPr="00375B80">
        <w:rPr>
          <w:rFonts w:ascii="Garamond" w:hAnsi="Garamond" w:cs="Times New Roman"/>
          <w:i/>
          <w:sz w:val="24"/>
          <w:szCs w:val="24"/>
        </w:rPr>
        <w:t>forma</w:t>
      </w:r>
      <w:r w:rsidRPr="00375B80">
        <w:rPr>
          <w:rFonts w:ascii="Garamond" w:hAnsi="Garamond" w:cs="Times New Roman"/>
          <w:sz w:val="24"/>
          <w:szCs w:val="24"/>
        </w:rPr>
        <w:t>, le cui espressioni concrete si riteneva fossero state – sino a quel momento – impostate senza un sufficiente rigore scientifico.</w:t>
      </w:r>
    </w:p>
    <w:p w14:paraId="7291533E" w14:textId="77777777" w:rsidR="004F46B1"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La ricerca di un’oggettivazione sempre più precisa delle funzioni dell’abitare si tradusse pertanto nella progressiva identificazione di rapporti quantitativamente e qualitativamente </w:t>
      </w:r>
      <w:r w:rsidRPr="00375B80">
        <w:rPr>
          <w:rFonts w:ascii="Garamond" w:hAnsi="Garamond" w:cs="Times New Roman"/>
          <w:i/>
          <w:sz w:val="24"/>
          <w:szCs w:val="24"/>
        </w:rPr>
        <w:t>misurabili</w:t>
      </w:r>
      <w:r w:rsidRPr="00375B80">
        <w:rPr>
          <w:rFonts w:ascii="Garamond" w:hAnsi="Garamond" w:cs="Times New Roman"/>
          <w:sz w:val="24"/>
          <w:szCs w:val="24"/>
        </w:rPr>
        <w:t xml:space="preserve"> con cui esprimere in modo </w:t>
      </w:r>
      <w:r w:rsidRPr="00375B80">
        <w:rPr>
          <w:rFonts w:ascii="Garamond" w:hAnsi="Garamond" w:cs="Times New Roman"/>
          <w:i/>
          <w:sz w:val="24"/>
          <w:szCs w:val="24"/>
        </w:rPr>
        <w:t>assoluto</w:t>
      </w:r>
      <w:r w:rsidRPr="00375B80">
        <w:rPr>
          <w:rFonts w:ascii="Garamond" w:hAnsi="Garamond" w:cs="Times New Roman"/>
          <w:sz w:val="24"/>
          <w:szCs w:val="24"/>
        </w:rPr>
        <w:t xml:space="preserve"> – cioè svincolato da contingenze sia </w:t>
      </w:r>
      <w:r w:rsidRPr="00375B80">
        <w:rPr>
          <w:rFonts w:ascii="Garamond" w:hAnsi="Garamond" w:cs="Times New Roman"/>
          <w:i/>
          <w:sz w:val="24"/>
          <w:szCs w:val="24"/>
        </w:rPr>
        <w:t>sociali</w:t>
      </w:r>
      <w:r w:rsidRPr="00375B80">
        <w:rPr>
          <w:rFonts w:ascii="Garamond" w:hAnsi="Garamond" w:cs="Times New Roman"/>
          <w:sz w:val="24"/>
          <w:szCs w:val="24"/>
        </w:rPr>
        <w:t xml:space="preserve">, sia </w:t>
      </w:r>
      <w:r w:rsidRPr="00375B80">
        <w:rPr>
          <w:rFonts w:ascii="Garamond" w:hAnsi="Garamond" w:cs="Times New Roman"/>
          <w:i/>
          <w:sz w:val="24"/>
          <w:szCs w:val="24"/>
        </w:rPr>
        <w:t xml:space="preserve">spazio-temporali </w:t>
      </w:r>
      <w:r w:rsidRPr="00375B80">
        <w:rPr>
          <w:rFonts w:ascii="Garamond" w:hAnsi="Garamond" w:cs="Times New Roman"/>
          <w:sz w:val="24"/>
          <w:szCs w:val="24"/>
        </w:rPr>
        <w:t>– le più diverse necessità poste dalla funzione medesima.</w:t>
      </w:r>
    </w:p>
    <w:p w14:paraId="3AFEB5B5" w14:textId="7C806846" w:rsidR="007646DA" w:rsidRPr="00375B80" w:rsidRDefault="004F46B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In altre parole, si ritenne verificabile, mediante una analisi tendenzialmente </w:t>
      </w:r>
      <w:r w:rsidRPr="00375B80">
        <w:rPr>
          <w:rFonts w:ascii="Garamond" w:hAnsi="Garamond" w:cs="Times New Roman"/>
          <w:i/>
          <w:sz w:val="24"/>
          <w:szCs w:val="24"/>
        </w:rPr>
        <w:t>priva</w:t>
      </w:r>
      <w:r w:rsidRPr="00375B80">
        <w:rPr>
          <w:rFonts w:ascii="Garamond" w:hAnsi="Garamond" w:cs="Times New Roman"/>
          <w:sz w:val="24"/>
          <w:szCs w:val="24"/>
        </w:rPr>
        <w:t xml:space="preserve"> di margini di soggettività, la convergenza di quelle funzioni in un armonico sistema che ne rendesse numericamente le varie articolazioni: e in quanto espressione dei bisogni fondamentali dell’uomo, </w:t>
      </w:r>
      <w:r w:rsidRPr="00375B80">
        <w:rPr>
          <w:rFonts w:ascii="Garamond" w:hAnsi="Garamond" w:cs="Times New Roman"/>
          <w:i/>
          <w:sz w:val="24"/>
          <w:szCs w:val="24"/>
        </w:rPr>
        <w:t>sottratte al divenire dei rapporti sociali</w:t>
      </w:r>
      <w:r w:rsidRPr="00375B80">
        <w:rPr>
          <w:rFonts w:ascii="Garamond" w:hAnsi="Garamond" w:cs="Times New Roman"/>
          <w:sz w:val="24"/>
          <w:szCs w:val="24"/>
        </w:rPr>
        <w:t xml:space="preserve"> e indifferenti alle mutevoli stratificazioni per ceti e classi.</w:t>
      </w:r>
    </w:p>
    <w:p w14:paraId="652D2FD3" w14:textId="18F5EDC5" w:rsidR="000E0C0E" w:rsidRPr="00375B80" w:rsidRDefault="000E0C0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L’approccio metodologico d’elezione, invece, procedette scientificamente attraverso un’analisi delle funzioni fondamentali e minime della cellula di base – l’abitazione, intesa appunto come </w:t>
      </w:r>
      <w:r w:rsidRPr="00375B80">
        <w:rPr>
          <w:rFonts w:ascii="Garamond" w:hAnsi="Garamond" w:cs="Times New Roman"/>
          <w:i/>
          <w:sz w:val="24"/>
          <w:szCs w:val="24"/>
        </w:rPr>
        <w:t>existenz minimum</w:t>
      </w:r>
      <w:r w:rsidRPr="00375B80">
        <w:rPr>
          <w:rFonts w:ascii="Garamond" w:hAnsi="Garamond" w:cs="Times New Roman"/>
          <w:sz w:val="24"/>
          <w:szCs w:val="24"/>
        </w:rPr>
        <w:t xml:space="preserve"> – per poi allargare il campo d’indagine preso in considerazione.</w:t>
      </w:r>
    </w:p>
    <w:p w14:paraId="3DE4D3E3" w14:textId="77777777" w:rsidR="000E0C0E" w:rsidRPr="00375B80" w:rsidRDefault="000E0C0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Anzitutto, si studiarono i rapporti fra edifici, rilevandone tutti i profili che nel fluire della vita concreta e quotidiana si traducono in dati misurabili e quindi riducibili a valori formali</w:t>
      </w:r>
      <w:r w:rsidRPr="00375B80">
        <w:rPr>
          <w:rStyle w:val="Rimandonotaapidipagina"/>
          <w:rFonts w:ascii="Garamond" w:hAnsi="Garamond" w:cs="Times New Roman"/>
          <w:sz w:val="24"/>
          <w:szCs w:val="24"/>
        </w:rPr>
        <w:footnoteReference w:id="24"/>
      </w:r>
      <w:r w:rsidRPr="00375B80">
        <w:rPr>
          <w:rFonts w:ascii="Garamond" w:hAnsi="Garamond" w:cs="Times New Roman"/>
          <w:sz w:val="24"/>
          <w:szCs w:val="24"/>
        </w:rPr>
        <w:t>.</w:t>
      </w:r>
    </w:p>
    <w:p w14:paraId="0EA183CF" w14:textId="77777777" w:rsidR="000E0C0E" w:rsidRPr="00375B80" w:rsidRDefault="000E0C0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In secondo luogo, procedendo nell’estensione del campo di indagine, i dati oggettivi così acquisiti poterono logicamente essere utilizzati per la sistematizzazione delle più complesse esigenze poste dalla scala urbana.</w:t>
      </w:r>
    </w:p>
    <w:p w14:paraId="654A5598" w14:textId="2519F9BB" w:rsidR="000E0C0E" w:rsidRPr="00375B80" w:rsidRDefault="000E0C0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Ne derivò l’innovativa articolazione – </w:t>
      </w:r>
      <w:r w:rsidRPr="00375B80">
        <w:rPr>
          <w:rFonts w:ascii="Garamond" w:hAnsi="Garamond" w:cs="Times New Roman"/>
          <w:i/>
          <w:sz w:val="24"/>
          <w:szCs w:val="24"/>
        </w:rPr>
        <w:t>anche qui effettuata mediante l’uso di parametri numerici</w:t>
      </w:r>
      <w:r w:rsidRPr="00375B80">
        <w:rPr>
          <w:rFonts w:ascii="Garamond" w:hAnsi="Garamond" w:cs="Times New Roman"/>
          <w:sz w:val="24"/>
          <w:szCs w:val="24"/>
        </w:rPr>
        <w:t xml:space="preserve"> – dell’insediamento urbano (in coerenza con la pluralità di funzione espresse) </w:t>
      </w:r>
      <w:r w:rsidRPr="00375B80">
        <w:rPr>
          <w:rFonts w:ascii="Garamond" w:hAnsi="Garamond" w:cs="Times New Roman"/>
          <w:i/>
          <w:sz w:val="24"/>
          <w:szCs w:val="24"/>
        </w:rPr>
        <w:t>attraverso l’inclusione nella tramatura del progetto di città di tutti i servizi generali della vita collettiva</w:t>
      </w:r>
      <w:r w:rsidRPr="00375B80">
        <w:rPr>
          <w:rFonts w:ascii="Garamond" w:hAnsi="Garamond" w:cs="Times New Roman"/>
          <w:sz w:val="24"/>
          <w:szCs w:val="24"/>
        </w:rPr>
        <w:t>, determinati «nell’ambito di valori controllabili e traducibili in espressioni funzionali»</w:t>
      </w:r>
      <w:r w:rsidRPr="00375B80">
        <w:rPr>
          <w:rStyle w:val="Rimandonotaapidipagina"/>
          <w:rFonts w:ascii="Garamond" w:hAnsi="Garamond" w:cs="Times New Roman"/>
          <w:sz w:val="24"/>
          <w:szCs w:val="24"/>
        </w:rPr>
        <w:footnoteReference w:id="25"/>
      </w:r>
      <w:r w:rsidRPr="00375B80">
        <w:rPr>
          <w:rFonts w:ascii="Garamond" w:hAnsi="Garamond" w:cs="Times New Roman"/>
          <w:sz w:val="24"/>
          <w:szCs w:val="24"/>
        </w:rPr>
        <w:t>.</w:t>
      </w:r>
    </w:p>
    <w:p w14:paraId="1D88366D" w14:textId="4A209CC9" w:rsidR="00D6270F" w:rsidRPr="00375B80" w:rsidRDefault="00D6270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Non si deve però tacere un punto nevralgico: il fraintendimento esegetico che ha colpito la norma del 1967.</w:t>
      </w:r>
    </w:p>
    <w:p w14:paraId="0D9CB204" w14:textId="602BA53B" w:rsidR="00D6270F" w:rsidRPr="00375B80" w:rsidRDefault="00D6270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Infatti, dall’art. 41-</w:t>
      </w:r>
      <w:r w:rsidRPr="00375B80">
        <w:rPr>
          <w:rFonts w:ascii="Garamond" w:hAnsi="Garamond" w:cs="Times New Roman"/>
          <w:i/>
          <w:sz w:val="24"/>
          <w:szCs w:val="24"/>
        </w:rPr>
        <w:t>quinquies</w:t>
      </w:r>
      <w:r w:rsidRPr="00375B80">
        <w:rPr>
          <w:rFonts w:ascii="Garamond" w:hAnsi="Garamond" w:cs="Times New Roman"/>
          <w:sz w:val="24"/>
          <w:szCs w:val="24"/>
        </w:rPr>
        <w:t xml:space="preserve">, comma 9 della legge del ’42 (come novellata dalla legge ponte) non si desume affatto un’immagine dei futuri </w:t>
      </w:r>
      <w:r w:rsidRPr="00375B80">
        <w:rPr>
          <w:rFonts w:ascii="Garamond" w:hAnsi="Garamond" w:cs="Times New Roman"/>
          <w:i/>
          <w:sz w:val="24"/>
          <w:szCs w:val="24"/>
        </w:rPr>
        <w:t xml:space="preserve">standards </w:t>
      </w:r>
      <w:r w:rsidRPr="00375B80">
        <w:rPr>
          <w:rFonts w:ascii="Garamond" w:hAnsi="Garamond" w:cs="Times New Roman"/>
          <w:sz w:val="24"/>
          <w:szCs w:val="24"/>
        </w:rPr>
        <w:t xml:space="preserve">come una grigia e indistinta </w:t>
      </w:r>
      <w:r w:rsidRPr="00375B80">
        <w:rPr>
          <w:rFonts w:ascii="Garamond" w:hAnsi="Garamond" w:cs="Times New Roman"/>
          <w:i/>
          <w:sz w:val="24"/>
          <w:szCs w:val="24"/>
        </w:rPr>
        <w:t>koinè</w:t>
      </w:r>
      <w:r w:rsidRPr="00375B80">
        <w:rPr>
          <w:rFonts w:ascii="Garamond" w:hAnsi="Garamond" w:cs="Times New Roman"/>
          <w:sz w:val="24"/>
          <w:szCs w:val="24"/>
        </w:rPr>
        <w:t xml:space="preserve"> urbanistica, nella quale dimenticare tutte le differenze.</w:t>
      </w:r>
    </w:p>
    <w:p w14:paraId="178225D5" w14:textId="172ED978" w:rsidR="00D6270F" w:rsidRPr="00375B80" w:rsidRDefault="00D6270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Al contrario, quella norma ricollega espressamente l’emananda decretazione sulla determinazione dei limiti e dei rapporti in esame alla (previa) identificazione di «zone territoriali omogenee»: le quali però – ecco il punto – non erano da intendersi </w:t>
      </w:r>
      <w:r w:rsidRPr="00375B80">
        <w:rPr>
          <w:rFonts w:ascii="Garamond" w:hAnsi="Garamond" w:cs="Times New Roman"/>
          <w:i/>
          <w:sz w:val="24"/>
          <w:szCs w:val="24"/>
        </w:rPr>
        <w:t>soltanto</w:t>
      </w:r>
      <w:r w:rsidRPr="00375B80">
        <w:rPr>
          <w:rFonts w:ascii="Garamond" w:hAnsi="Garamond" w:cs="Times New Roman"/>
          <w:sz w:val="24"/>
          <w:szCs w:val="24"/>
        </w:rPr>
        <w:t xml:space="preserve"> come le parti del territorio </w:t>
      </w:r>
      <w:r w:rsidRPr="00375B80">
        <w:rPr>
          <w:rFonts w:ascii="Garamond" w:hAnsi="Garamond" w:cs="Times New Roman"/>
          <w:i/>
          <w:sz w:val="24"/>
          <w:szCs w:val="24"/>
        </w:rPr>
        <w:t>comunale</w:t>
      </w:r>
      <w:r w:rsidRPr="00375B80">
        <w:rPr>
          <w:rFonts w:ascii="Garamond" w:hAnsi="Garamond" w:cs="Times New Roman"/>
          <w:sz w:val="24"/>
          <w:szCs w:val="24"/>
        </w:rPr>
        <w:t xml:space="preserve"> al cui interno articolare le previsioni di p.r.g., ma anche – e </w:t>
      </w:r>
      <w:r w:rsidRPr="00375B80">
        <w:rPr>
          <w:rFonts w:ascii="Garamond" w:hAnsi="Garamond" w:cs="Times New Roman"/>
          <w:i/>
          <w:sz w:val="24"/>
          <w:szCs w:val="24"/>
        </w:rPr>
        <w:t>soprattutto</w:t>
      </w:r>
      <w:r w:rsidRPr="00375B80">
        <w:rPr>
          <w:rFonts w:ascii="Garamond" w:hAnsi="Garamond" w:cs="Times New Roman"/>
          <w:sz w:val="24"/>
          <w:szCs w:val="24"/>
        </w:rPr>
        <w:t xml:space="preserve"> – come le specificità del territorio </w:t>
      </w:r>
      <w:r w:rsidRPr="00375B80">
        <w:rPr>
          <w:rFonts w:ascii="Garamond" w:hAnsi="Garamond" w:cs="Times New Roman"/>
          <w:i/>
          <w:sz w:val="24"/>
          <w:szCs w:val="24"/>
        </w:rPr>
        <w:t>nazionale</w:t>
      </w:r>
      <w:r w:rsidRPr="00375B80">
        <w:rPr>
          <w:rFonts w:ascii="Garamond" w:hAnsi="Garamond" w:cs="Times New Roman"/>
          <w:sz w:val="24"/>
          <w:szCs w:val="24"/>
        </w:rPr>
        <w:t xml:space="preserve"> da tenere nella massima considerazione al fine di non soffocare in una indifferenziata previsione le peculiarità del nostro Paese</w:t>
      </w:r>
      <w:r w:rsidRPr="00375B80">
        <w:rPr>
          <w:rStyle w:val="Rimandonotaapidipagina"/>
          <w:rFonts w:ascii="Garamond" w:hAnsi="Garamond" w:cs="Times New Roman"/>
          <w:sz w:val="24"/>
          <w:szCs w:val="24"/>
        </w:rPr>
        <w:footnoteReference w:id="26"/>
      </w:r>
      <w:r w:rsidRPr="00375B80">
        <w:rPr>
          <w:rFonts w:ascii="Garamond" w:hAnsi="Garamond" w:cs="Times New Roman"/>
          <w:sz w:val="24"/>
          <w:szCs w:val="24"/>
        </w:rPr>
        <w:t>.</w:t>
      </w:r>
    </w:p>
    <w:p w14:paraId="34BC31BF" w14:textId="60013A93" w:rsidR="00075F4A" w:rsidRPr="00375B80" w:rsidRDefault="00075F4A"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La dimensione diviene così la misura </w:t>
      </w:r>
      <w:r w:rsidRPr="00375B80">
        <w:rPr>
          <w:rFonts w:ascii="Garamond" w:hAnsi="Garamond" w:cs="Times New Roman"/>
          <w:i/>
          <w:color w:val="000000" w:themeColor="text1"/>
          <w:sz w:val="24"/>
          <w:szCs w:val="24"/>
        </w:rPr>
        <w:t>antropocentrica</w:t>
      </w:r>
      <w:r w:rsidRPr="00375B80">
        <w:rPr>
          <w:rStyle w:val="Rimandonotaapidipagina"/>
          <w:rFonts w:ascii="Garamond" w:hAnsi="Garamond" w:cs="Times New Roman"/>
          <w:sz w:val="24"/>
          <w:szCs w:val="24"/>
        </w:rPr>
        <w:footnoteReference w:id="27"/>
      </w:r>
      <w:r w:rsidRPr="00375B80">
        <w:rPr>
          <w:rFonts w:ascii="Garamond" w:hAnsi="Garamond" w:cs="Times New Roman"/>
          <w:sz w:val="24"/>
          <w:szCs w:val="24"/>
        </w:rPr>
        <w:t xml:space="preserve"> di ogni attività sul territorio, ponendosi come un fermo </w:t>
      </w:r>
      <w:r w:rsidRPr="00375B80">
        <w:rPr>
          <w:rFonts w:ascii="Garamond" w:hAnsi="Garamond" w:cs="Times New Roman"/>
          <w:i/>
          <w:sz w:val="24"/>
          <w:szCs w:val="24"/>
        </w:rPr>
        <w:t>a priori</w:t>
      </w:r>
      <w:r w:rsidRPr="00375B80">
        <w:rPr>
          <w:rFonts w:ascii="Garamond" w:hAnsi="Garamond" w:cs="Times New Roman"/>
          <w:sz w:val="24"/>
          <w:szCs w:val="24"/>
        </w:rPr>
        <w:t xml:space="preserve"> (anzitutto) </w:t>
      </w:r>
      <w:r w:rsidR="00E66303" w:rsidRPr="00375B80">
        <w:rPr>
          <w:rFonts w:ascii="Garamond" w:hAnsi="Garamond" w:cs="Times New Roman"/>
          <w:sz w:val="24"/>
          <w:szCs w:val="24"/>
        </w:rPr>
        <w:t>di valore</w:t>
      </w:r>
      <w:r w:rsidRPr="00375B80">
        <w:rPr>
          <w:rFonts w:ascii="Garamond" w:hAnsi="Garamond" w:cs="Times New Roman"/>
          <w:sz w:val="24"/>
          <w:szCs w:val="24"/>
        </w:rPr>
        <w:t xml:space="preserve"> e (poi) funzionale: non più condizionato, pertanto, a implausibili recuperi di spazi casuali, con localizzazioni ricavate a fatica nell’angusto reticolo della maglia urbana</w:t>
      </w:r>
      <w:r w:rsidRPr="00375B80">
        <w:rPr>
          <w:rStyle w:val="Rimandonotaapidipagina"/>
          <w:rFonts w:ascii="Garamond" w:hAnsi="Garamond" w:cs="Times New Roman"/>
          <w:sz w:val="24"/>
          <w:szCs w:val="24"/>
        </w:rPr>
        <w:footnoteReference w:id="28"/>
      </w:r>
      <w:r w:rsidRPr="00375B80">
        <w:rPr>
          <w:rFonts w:ascii="Garamond" w:hAnsi="Garamond" w:cs="Times New Roman"/>
          <w:sz w:val="24"/>
          <w:szCs w:val="24"/>
        </w:rPr>
        <w:t>.</w:t>
      </w:r>
    </w:p>
    <w:p w14:paraId="32CD378A" w14:textId="51EABDB7" w:rsidR="00075F4A" w:rsidRPr="00375B80" w:rsidRDefault="00075F4A"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 xml:space="preserve">Queste, dunque, le premesse teoriche – da un angolo visuale sia urbanistico che giuridico – attraverso cui nel 1967-68 si introducono finalmente nell’ordinamento italiano i meccanismi della pianificazione del territorio mediante </w:t>
      </w:r>
      <w:r w:rsidRPr="00375B80">
        <w:rPr>
          <w:rFonts w:ascii="Garamond" w:hAnsi="Garamond" w:cs="Times New Roman"/>
          <w:i/>
          <w:sz w:val="24"/>
          <w:szCs w:val="24"/>
        </w:rPr>
        <w:t>standards</w:t>
      </w:r>
      <w:r w:rsidRPr="00375B80">
        <w:rPr>
          <w:rStyle w:val="Rimandonotaapidipagina"/>
          <w:rFonts w:ascii="Garamond" w:hAnsi="Garamond" w:cs="Times New Roman"/>
          <w:sz w:val="24"/>
          <w:szCs w:val="24"/>
        </w:rPr>
        <w:footnoteReference w:id="29"/>
      </w:r>
      <w:r w:rsidRPr="00375B80">
        <w:rPr>
          <w:rFonts w:ascii="Garamond" w:hAnsi="Garamond" w:cs="Times New Roman"/>
          <w:sz w:val="24"/>
          <w:szCs w:val="24"/>
        </w:rPr>
        <w:t>.</w:t>
      </w:r>
    </w:p>
    <w:p w14:paraId="74B189B4" w14:textId="23D6CBBE" w:rsidR="005F3FFF" w:rsidRPr="00375B80" w:rsidRDefault="005F3FF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Le ordinate generali da cui muove la stagione normativa che abbiamo sin qui ricordato sono quindi riassumibili, volendone tentare una sintesi molto pronunciata, in almeno t</w:t>
      </w:r>
      <w:r w:rsidR="006D31CE" w:rsidRPr="00375B80">
        <w:rPr>
          <w:rFonts w:ascii="Garamond" w:hAnsi="Garamond" w:cs="Times New Roman"/>
          <w:sz w:val="24"/>
          <w:szCs w:val="24"/>
        </w:rPr>
        <w:t xml:space="preserve">re </w:t>
      </w:r>
      <w:r w:rsidRPr="00375B80">
        <w:rPr>
          <w:rFonts w:ascii="Garamond" w:hAnsi="Garamond" w:cs="Times New Roman"/>
          <w:sz w:val="24"/>
          <w:szCs w:val="24"/>
        </w:rPr>
        <w:t>profili.</w:t>
      </w:r>
    </w:p>
    <w:p w14:paraId="357CF71D" w14:textId="5D6FD52F" w:rsidR="00075F4A" w:rsidRPr="00375B80" w:rsidRDefault="005F3FF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Anzitutto, un’affermazione del valore della </w:t>
      </w:r>
      <w:r w:rsidRPr="00375B80">
        <w:rPr>
          <w:rFonts w:ascii="Garamond" w:hAnsi="Garamond" w:cs="Times New Roman"/>
          <w:i/>
          <w:sz w:val="24"/>
          <w:szCs w:val="24"/>
        </w:rPr>
        <w:t>pianificazione</w:t>
      </w:r>
      <w:r w:rsidRPr="00375B80">
        <w:rPr>
          <w:rFonts w:ascii="Garamond" w:hAnsi="Garamond" w:cs="Times New Roman"/>
          <w:sz w:val="24"/>
          <w:szCs w:val="24"/>
        </w:rPr>
        <w:t xml:space="preserve">, che assurge a principio </w:t>
      </w:r>
      <w:r w:rsidR="00A23BB7" w:rsidRPr="00375B80">
        <w:rPr>
          <w:rFonts w:ascii="Garamond" w:hAnsi="Garamond" w:cs="Times New Roman"/>
          <w:sz w:val="24"/>
          <w:szCs w:val="24"/>
        </w:rPr>
        <w:t xml:space="preserve">tanto </w:t>
      </w:r>
      <w:r w:rsidRPr="00375B80">
        <w:rPr>
          <w:rFonts w:ascii="Garamond" w:hAnsi="Garamond" w:cs="Times New Roman"/>
          <w:sz w:val="24"/>
          <w:szCs w:val="24"/>
        </w:rPr>
        <w:t>basilare</w:t>
      </w:r>
      <w:r w:rsidR="00A23BB7" w:rsidRPr="00375B80">
        <w:rPr>
          <w:rFonts w:ascii="Garamond" w:hAnsi="Garamond" w:cs="Times New Roman"/>
          <w:sz w:val="24"/>
          <w:szCs w:val="24"/>
        </w:rPr>
        <w:t>, quanto però ottativo</w:t>
      </w:r>
      <w:r w:rsidRPr="00375B80">
        <w:rPr>
          <w:rFonts w:ascii="Garamond" w:hAnsi="Garamond" w:cs="Times New Roman"/>
          <w:sz w:val="24"/>
          <w:szCs w:val="24"/>
        </w:rPr>
        <w:t>.</w:t>
      </w:r>
    </w:p>
    <w:p w14:paraId="1A34EF60" w14:textId="056EBCF3" w:rsidR="005F3FFF" w:rsidRPr="00375B80" w:rsidRDefault="005F3FF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Oggetto privilegiato del piano, in secondo luogo, è la </w:t>
      </w:r>
      <w:r w:rsidRPr="00375B80">
        <w:rPr>
          <w:rFonts w:ascii="Garamond" w:hAnsi="Garamond" w:cs="Times New Roman"/>
          <w:i/>
          <w:sz w:val="24"/>
          <w:szCs w:val="24"/>
        </w:rPr>
        <w:t>città</w:t>
      </w:r>
      <w:r w:rsidRPr="00375B80">
        <w:rPr>
          <w:rFonts w:ascii="Garamond" w:hAnsi="Garamond" w:cs="Times New Roman"/>
          <w:sz w:val="24"/>
          <w:szCs w:val="24"/>
        </w:rPr>
        <w:t xml:space="preserve">: </w:t>
      </w:r>
      <w:r w:rsidR="00B27DE6" w:rsidRPr="00375B80">
        <w:rPr>
          <w:rFonts w:ascii="Garamond" w:hAnsi="Garamond" w:cs="Times New Roman"/>
          <w:sz w:val="24"/>
          <w:szCs w:val="24"/>
        </w:rPr>
        <w:t>l’insediamento stabile dell’uomo sul territorio.</w:t>
      </w:r>
    </w:p>
    <w:p w14:paraId="1F0DD349" w14:textId="37CD0B33" w:rsidR="00A23BB7" w:rsidRPr="00375B80" w:rsidRDefault="00B27DE6"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Dell’uomo, ho appena detto: </w:t>
      </w:r>
      <w:r w:rsidR="00A23BB7" w:rsidRPr="00375B80">
        <w:rPr>
          <w:rFonts w:ascii="Garamond" w:hAnsi="Garamond" w:cs="Times New Roman"/>
          <w:sz w:val="24"/>
          <w:szCs w:val="24"/>
        </w:rPr>
        <w:t xml:space="preserve">la </w:t>
      </w:r>
      <w:r w:rsidR="00A23BB7" w:rsidRPr="00375B80">
        <w:rPr>
          <w:rFonts w:ascii="Garamond" w:hAnsi="Garamond" w:cs="Times New Roman"/>
          <w:i/>
          <w:sz w:val="24"/>
          <w:szCs w:val="24"/>
        </w:rPr>
        <w:t>visione antropocentrica</w:t>
      </w:r>
      <w:r w:rsidR="00A23BB7" w:rsidRPr="00375B80">
        <w:rPr>
          <w:rFonts w:ascii="Garamond" w:hAnsi="Garamond" w:cs="Times New Roman"/>
          <w:sz w:val="24"/>
          <w:szCs w:val="24"/>
        </w:rPr>
        <w:t>, vitruviana direi, è infine evident</w:t>
      </w:r>
      <w:r w:rsidR="007672F5" w:rsidRPr="00375B80">
        <w:rPr>
          <w:rFonts w:ascii="Garamond" w:hAnsi="Garamond" w:cs="Times New Roman"/>
          <w:sz w:val="24"/>
          <w:szCs w:val="24"/>
        </w:rPr>
        <w:t>e</w:t>
      </w:r>
      <w:r w:rsidRPr="00375B80">
        <w:rPr>
          <w:rFonts w:ascii="Garamond" w:hAnsi="Garamond" w:cs="Times New Roman"/>
          <w:sz w:val="24"/>
          <w:szCs w:val="24"/>
        </w:rPr>
        <w:t xml:space="preserve"> </w:t>
      </w:r>
      <w:r w:rsidR="00A23BB7" w:rsidRPr="00375B80">
        <w:rPr>
          <w:rFonts w:ascii="Garamond" w:hAnsi="Garamond" w:cs="Times New Roman"/>
          <w:sz w:val="24"/>
          <w:szCs w:val="24"/>
        </w:rPr>
        <w:t>nel sistema normativo. Gli interessi incidenti sul territorio non in prospettiva insediativa umana sono sostanzialmente assenti o comunque marginali. Espressione di una cedevolezza che le suaccennate tutele differenziali – sporadiche, scarne e ineffettive – non potranno certo irrobustire.</w:t>
      </w:r>
    </w:p>
    <w:p w14:paraId="59F80BE3" w14:textId="1BECD716" w:rsidR="00A23BB7" w:rsidRPr="00375B80" w:rsidRDefault="00A23BB7" w:rsidP="00DE366E">
      <w:pPr>
        <w:spacing w:after="0" w:line="360" w:lineRule="auto"/>
        <w:contextualSpacing/>
        <w:jc w:val="both"/>
        <w:rPr>
          <w:rFonts w:ascii="Garamond" w:hAnsi="Garamond" w:cs="Times New Roman"/>
          <w:sz w:val="24"/>
          <w:szCs w:val="24"/>
        </w:rPr>
      </w:pPr>
    </w:p>
    <w:p w14:paraId="2CD4F5BC" w14:textId="77777777" w:rsidR="00770D6D" w:rsidRPr="00770D6D" w:rsidRDefault="00A23BB7" w:rsidP="00DE366E">
      <w:pPr>
        <w:spacing w:after="0" w:line="360" w:lineRule="auto"/>
        <w:contextualSpacing/>
        <w:jc w:val="both"/>
        <w:rPr>
          <w:rFonts w:ascii="Garamond" w:eastAsia="Calibri" w:hAnsi="Garamond" w:cs="Times New Roman"/>
          <w:b/>
          <w:sz w:val="24"/>
          <w:szCs w:val="24"/>
          <w:lang w:eastAsia="it-IT"/>
        </w:rPr>
      </w:pPr>
      <w:r w:rsidRPr="00770D6D">
        <w:rPr>
          <w:rFonts w:ascii="Garamond" w:eastAsia="Calibri" w:hAnsi="Garamond" w:cs="Times New Roman"/>
          <w:b/>
          <w:sz w:val="24"/>
          <w:szCs w:val="24"/>
          <w:lang w:eastAsia="it-IT"/>
        </w:rPr>
        <w:t xml:space="preserve">2. </w:t>
      </w:r>
      <w:r w:rsidR="00C42D27" w:rsidRPr="00770D6D">
        <w:rPr>
          <w:rFonts w:ascii="Garamond" w:eastAsia="Calibri" w:hAnsi="Garamond" w:cs="Times New Roman"/>
          <w:b/>
          <w:sz w:val="24"/>
          <w:szCs w:val="24"/>
          <w:lang w:eastAsia="it-IT"/>
        </w:rPr>
        <w:t>Il governo del territorio: ancora «umano, troppo umano»?</w:t>
      </w:r>
    </w:p>
    <w:p w14:paraId="2281B0DA" w14:textId="29AB547D" w:rsidR="005C0D5B" w:rsidRPr="00375B80" w:rsidRDefault="005C0D5B" w:rsidP="00DE366E">
      <w:pPr>
        <w:spacing w:after="0" w:line="360" w:lineRule="auto"/>
        <w:contextualSpacing/>
        <w:jc w:val="both"/>
        <w:rPr>
          <w:rFonts w:ascii="Garamond" w:eastAsia="Calibri" w:hAnsi="Garamond" w:cs="Times New Roman"/>
          <w:b/>
          <w:sz w:val="24"/>
          <w:szCs w:val="24"/>
          <w:lang w:eastAsia="it-IT"/>
        </w:rPr>
      </w:pPr>
      <w:r w:rsidRPr="00375B80">
        <w:rPr>
          <w:rFonts w:ascii="Garamond" w:eastAsia="Calibri" w:hAnsi="Garamond" w:cs="Times New Roman"/>
          <w:sz w:val="24"/>
          <w:szCs w:val="24"/>
          <w:lang w:eastAsia="it-IT"/>
        </w:rPr>
        <w:t>Evitare l’acervo fra la vecchia materia «urbanistica» e il nuovo sintagma «governo del territorio». Questo si desume dall’analisi dei lavori preparatori che condussero alla l. cost. 3/’01.</w:t>
      </w:r>
    </w:p>
    <w:p w14:paraId="004F8AFA" w14:textId="49561DC7" w:rsidR="005C0D5B" w:rsidRPr="00375B80" w:rsidRDefault="005C0D5B" w:rsidP="00DE366E">
      <w:pPr>
        <w:spacing w:after="0" w:line="360" w:lineRule="auto"/>
        <w:contextualSpacing/>
        <w:jc w:val="both"/>
        <w:rPr>
          <w:rFonts w:ascii="Garamond" w:eastAsia="Calibri" w:hAnsi="Garamond" w:cs="Times New Roman"/>
          <w:sz w:val="24"/>
          <w:szCs w:val="24"/>
          <w:lang w:eastAsia="it-IT"/>
        </w:rPr>
      </w:pPr>
      <w:r w:rsidRPr="00375B80">
        <w:rPr>
          <w:rFonts w:ascii="Garamond" w:eastAsia="Calibri" w:hAnsi="Garamond" w:cs="Times New Roman"/>
          <w:sz w:val="24"/>
          <w:szCs w:val="24"/>
          <w:lang w:eastAsia="it-IT"/>
        </w:rPr>
        <w:t xml:space="preserve">La prima sarebbe divenuta </w:t>
      </w:r>
      <w:r w:rsidR="0058587F" w:rsidRPr="00375B80">
        <w:rPr>
          <w:rFonts w:ascii="Garamond" w:eastAsia="Calibri" w:hAnsi="Garamond" w:cs="Times New Roman"/>
          <w:i/>
          <w:sz w:val="24"/>
          <w:szCs w:val="24"/>
          <w:lang w:eastAsia="it-IT"/>
        </w:rPr>
        <w:t>per silentium</w:t>
      </w:r>
      <w:r w:rsidR="0058587F" w:rsidRPr="00375B80">
        <w:rPr>
          <w:rFonts w:ascii="Garamond" w:eastAsia="Calibri" w:hAnsi="Garamond" w:cs="Times New Roman"/>
          <w:sz w:val="24"/>
          <w:szCs w:val="24"/>
          <w:lang w:eastAsia="it-IT"/>
        </w:rPr>
        <w:t xml:space="preserve"> </w:t>
      </w:r>
      <w:r w:rsidRPr="00375B80">
        <w:rPr>
          <w:rFonts w:ascii="Garamond" w:eastAsia="Calibri" w:hAnsi="Garamond" w:cs="Times New Roman"/>
          <w:sz w:val="24"/>
          <w:szCs w:val="24"/>
          <w:lang w:eastAsia="it-IT"/>
        </w:rPr>
        <w:t xml:space="preserve">di competenza residuale – dunque esclusiva – delle Regioni. Il secondo sarebbe stato </w:t>
      </w:r>
      <w:r w:rsidR="00B507AB" w:rsidRPr="00375B80">
        <w:rPr>
          <w:rFonts w:ascii="Garamond" w:eastAsia="Calibri" w:hAnsi="Garamond" w:cs="Times New Roman"/>
          <w:sz w:val="24"/>
          <w:szCs w:val="24"/>
          <w:lang w:eastAsia="it-IT"/>
        </w:rPr>
        <w:t>disegnato</w:t>
      </w:r>
      <w:r w:rsidRPr="00375B80">
        <w:rPr>
          <w:rFonts w:ascii="Garamond" w:eastAsia="Calibri" w:hAnsi="Garamond" w:cs="Times New Roman"/>
          <w:sz w:val="24"/>
          <w:szCs w:val="24"/>
          <w:lang w:eastAsia="it-IT"/>
        </w:rPr>
        <w:t xml:space="preserve"> come di potestà concorrente</w:t>
      </w:r>
      <w:r w:rsidR="00B507AB" w:rsidRPr="00375B80">
        <w:rPr>
          <w:rStyle w:val="Rimandonotaapidipagina"/>
          <w:rFonts w:ascii="Garamond" w:eastAsia="Calibri" w:hAnsi="Garamond" w:cs="Times New Roman"/>
          <w:sz w:val="24"/>
          <w:szCs w:val="24"/>
          <w:lang w:eastAsia="it-IT"/>
        </w:rPr>
        <w:footnoteReference w:id="30"/>
      </w:r>
      <w:r w:rsidR="00B507AB" w:rsidRPr="00375B80">
        <w:rPr>
          <w:rFonts w:ascii="Garamond" w:eastAsia="Calibri" w:hAnsi="Garamond" w:cs="Times New Roman"/>
          <w:sz w:val="24"/>
          <w:szCs w:val="24"/>
          <w:lang w:eastAsia="it-IT"/>
        </w:rPr>
        <w:t>.</w:t>
      </w:r>
    </w:p>
    <w:p w14:paraId="07C13A4E" w14:textId="3CD558A7" w:rsidR="0058587F" w:rsidRPr="00375B80" w:rsidRDefault="0058587F" w:rsidP="00DE366E">
      <w:pPr>
        <w:pStyle w:val="Testonotaapidipagina"/>
        <w:spacing w:line="360" w:lineRule="auto"/>
        <w:contextualSpacing/>
        <w:jc w:val="both"/>
        <w:rPr>
          <w:rFonts w:ascii="Garamond" w:hAnsi="Garamond" w:cs="Times New Roman"/>
          <w:sz w:val="24"/>
          <w:szCs w:val="24"/>
        </w:rPr>
      </w:pPr>
      <w:r w:rsidRPr="00375B80">
        <w:rPr>
          <w:rFonts w:ascii="Garamond" w:eastAsia="Calibri" w:hAnsi="Garamond" w:cs="Times New Roman"/>
          <w:sz w:val="24"/>
          <w:szCs w:val="24"/>
          <w:lang w:eastAsia="it-IT"/>
        </w:rPr>
        <w:lastRenderedPageBreak/>
        <w:t xml:space="preserve">Com’è noto, la Consulta si distaccherà </w:t>
      </w:r>
      <w:r w:rsidR="00317C83" w:rsidRPr="00375B80">
        <w:rPr>
          <w:rFonts w:ascii="Garamond" w:eastAsia="Calibri" w:hAnsi="Garamond" w:cs="Times New Roman"/>
          <w:sz w:val="24"/>
          <w:szCs w:val="24"/>
          <w:lang w:eastAsia="it-IT"/>
        </w:rPr>
        <w:t xml:space="preserve">in modo netto </w:t>
      </w:r>
      <w:r w:rsidRPr="00375B80">
        <w:rPr>
          <w:rFonts w:ascii="Garamond" w:eastAsia="Calibri" w:hAnsi="Garamond" w:cs="Times New Roman"/>
          <w:sz w:val="24"/>
          <w:szCs w:val="24"/>
          <w:lang w:eastAsia="it-IT"/>
        </w:rPr>
        <w:t>da questa linea interpretativa: la sentenza</w:t>
      </w:r>
      <w:r w:rsidRPr="00375B80">
        <w:rPr>
          <w:rFonts w:ascii="Garamond" w:hAnsi="Garamond" w:cs="Times New Roman"/>
          <w:sz w:val="24"/>
          <w:szCs w:val="24"/>
        </w:rPr>
        <w:t xml:space="preserve"> n. 303/’03 statuirà che «la parola “urbanistica” non compare nel nuovo testo dell’art. 117, ma ciò non autorizza a ritenere che la relativa materia non sia più ricompresa nell’elenco del terzo comma: essa fa parte del “governo del territorio”. Se si considera che altre materie o funzioni di competenza concorrente, quali porti e aeroporti civili, grandi reti di trasporto e di navigazione, produzione, trasporto e distribuzione nazionale dell’energia, sono specificamente individuati nello stesso terzo comma dell’art. 117 Cost. e non rientrano quindi nel “governo del territorio”, appare del tutto implausibile che dalla competenza statale di principio su questa materia siano stati estromessi aspetti così rilevanti, quali quelli connessi all’urbanistica, e che il “governo del territorio” sia stato ridotto a poco più di un guscio vuoto».</w:t>
      </w:r>
    </w:p>
    <w:p w14:paraId="5FC8010A" w14:textId="5FBAA26D" w:rsidR="000F4968" w:rsidRPr="00375B80" w:rsidRDefault="00E85883"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Il governo del territorio assume</w:t>
      </w:r>
      <w:r w:rsidR="00BB4B42" w:rsidRPr="00375B80">
        <w:rPr>
          <w:rFonts w:ascii="Garamond" w:hAnsi="Garamond" w:cs="Times New Roman"/>
          <w:sz w:val="24"/>
          <w:szCs w:val="24"/>
        </w:rPr>
        <w:t>r</w:t>
      </w:r>
      <w:r w:rsidR="009B68E3" w:rsidRPr="00375B80">
        <w:rPr>
          <w:rFonts w:ascii="Garamond" w:hAnsi="Garamond" w:cs="Times New Roman"/>
          <w:sz w:val="24"/>
          <w:szCs w:val="24"/>
        </w:rPr>
        <w:t>à</w:t>
      </w:r>
      <w:r w:rsidRPr="00375B80">
        <w:rPr>
          <w:rFonts w:ascii="Garamond" w:hAnsi="Garamond" w:cs="Times New Roman"/>
          <w:sz w:val="24"/>
          <w:szCs w:val="24"/>
        </w:rPr>
        <w:t xml:space="preserve"> da quel momento – per diritto giurisprudenziale – il senso amp</w:t>
      </w:r>
      <w:r w:rsidR="00896D95" w:rsidRPr="00375B80">
        <w:rPr>
          <w:rFonts w:ascii="Garamond" w:hAnsi="Garamond" w:cs="Times New Roman"/>
          <w:sz w:val="24"/>
          <w:szCs w:val="24"/>
        </w:rPr>
        <w:t>io</w:t>
      </w:r>
      <w:r w:rsidRPr="00375B80">
        <w:rPr>
          <w:rFonts w:ascii="Garamond" w:hAnsi="Garamond" w:cs="Times New Roman"/>
          <w:sz w:val="24"/>
          <w:szCs w:val="24"/>
        </w:rPr>
        <w:t xml:space="preserve"> di «disciplina avente ad oggetto l’intero territorio»</w:t>
      </w:r>
      <w:r w:rsidRPr="00375B80">
        <w:rPr>
          <w:rStyle w:val="Rimandonotaapidipagina"/>
          <w:rFonts w:ascii="Garamond" w:hAnsi="Garamond" w:cs="Times New Roman"/>
          <w:sz w:val="24"/>
          <w:szCs w:val="24"/>
        </w:rPr>
        <w:footnoteReference w:id="31"/>
      </w:r>
      <w:r w:rsidRPr="00375B80">
        <w:rPr>
          <w:rFonts w:ascii="Garamond" w:hAnsi="Garamond" w:cs="Times New Roman"/>
          <w:sz w:val="24"/>
          <w:szCs w:val="24"/>
        </w:rPr>
        <w:t>, non più «limitata dal riferimento alla città ed al centro abitato»</w:t>
      </w:r>
      <w:r w:rsidRPr="00375B80">
        <w:rPr>
          <w:rStyle w:val="Rimandonotaapidipagina"/>
          <w:rFonts w:ascii="Garamond" w:hAnsi="Garamond" w:cs="Times New Roman"/>
          <w:sz w:val="24"/>
          <w:szCs w:val="24"/>
        </w:rPr>
        <w:footnoteReference w:id="32"/>
      </w:r>
      <w:r w:rsidRPr="00375B80">
        <w:rPr>
          <w:rFonts w:ascii="Garamond" w:hAnsi="Garamond" w:cs="Times New Roman"/>
          <w:sz w:val="24"/>
          <w:szCs w:val="24"/>
        </w:rPr>
        <w:t>, ma relativa alla «gestione coordinata del territorio nella sua integralità»</w:t>
      </w:r>
      <w:r w:rsidRPr="00375B80">
        <w:rPr>
          <w:rStyle w:val="Rimandonotaapidipagina"/>
          <w:rFonts w:ascii="Garamond" w:hAnsi="Garamond" w:cs="Times New Roman"/>
          <w:sz w:val="24"/>
          <w:szCs w:val="24"/>
        </w:rPr>
        <w:footnoteReference w:id="33"/>
      </w:r>
      <w:r w:rsidRPr="00375B80">
        <w:rPr>
          <w:rFonts w:ascii="Garamond" w:hAnsi="Garamond" w:cs="Times New Roman"/>
          <w:sz w:val="24"/>
          <w:szCs w:val="24"/>
        </w:rPr>
        <w:t>:</w:t>
      </w:r>
      <w:r w:rsidR="000F4968" w:rsidRPr="00375B80">
        <w:rPr>
          <w:rFonts w:ascii="Garamond" w:hAnsi="Garamond" w:cs="Times New Roman"/>
          <w:sz w:val="24"/>
          <w:szCs w:val="24"/>
        </w:rPr>
        <w:t xml:space="preserve"> apertura che ha spianato la strada a una visione dell’urbanistica che ne prospetta una dimensione </w:t>
      </w:r>
      <w:r w:rsidR="00A42F64" w:rsidRPr="00375B80">
        <w:rPr>
          <w:rFonts w:ascii="Garamond" w:hAnsi="Garamond" w:cs="Times New Roman"/>
          <w:sz w:val="24"/>
          <w:szCs w:val="24"/>
        </w:rPr>
        <w:t xml:space="preserve">finalmente </w:t>
      </w:r>
      <w:r w:rsidR="000F4968" w:rsidRPr="00375B80">
        <w:rPr>
          <w:rFonts w:ascii="Garamond" w:hAnsi="Garamond" w:cs="Times New Roman"/>
          <w:i/>
          <w:sz w:val="24"/>
          <w:szCs w:val="24"/>
        </w:rPr>
        <w:t>sovracomunale</w:t>
      </w:r>
      <w:r w:rsidR="000F4968" w:rsidRPr="00375B80">
        <w:rPr>
          <w:rFonts w:ascii="Garamond" w:hAnsi="Garamond" w:cs="Times New Roman"/>
          <w:sz w:val="24"/>
          <w:szCs w:val="24"/>
        </w:rPr>
        <w:t>. Ciò si deve proprio alla emersione di una «serie di precetti, tutti estranei ai temi della pianificazione urbanistica, ma tutti parimenti incidenti sulla disciplina del territorio»</w:t>
      </w:r>
      <w:r w:rsidR="000F4968" w:rsidRPr="00375B80">
        <w:rPr>
          <w:rStyle w:val="Rimandonotaapidipagina"/>
          <w:rFonts w:ascii="Garamond" w:hAnsi="Garamond" w:cs="Times New Roman"/>
          <w:sz w:val="24"/>
          <w:szCs w:val="24"/>
        </w:rPr>
        <w:footnoteReference w:id="34"/>
      </w:r>
      <w:r w:rsidR="000F4968" w:rsidRPr="00375B80">
        <w:rPr>
          <w:rFonts w:ascii="Garamond" w:hAnsi="Garamond" w:cs="Times New Roman"/>
          <w:sz w:val="24"/>
          <w:szCs w:val="24"/>
        </w:rPr>
        <w:t xml:space="preserve">: gli </w:t>
      </w:r>
      <w:r w:rsidR="000F4968" w:rsidRPr="00375B80">
        <w:rPr>
          <w:rFonts w:ascii="Garamond" w:hAnsi="Garamond" w:cs="Times New Roman"/>
          <w:i/>
          <w:sz w:val="24"/>
          <w:szCs w:val="24"/>
        </w:rPr>
        <w:t>interessi differenziati</w:t>
      </w:r>
      <w:r w:rsidR="000F4968" w:rsidRPr="00375B80">
        <w:rPr>
          <w:rStyle w:val="Rimandonotaapidipagina"/>
          <w:rFonts w:ascii="Garamond" w:hAnsi="Garamond" w:cs="Times New Roman"/>
          <w:sz w:val="24"/>
          <w:szCs w:val="24"/>
        </w:rPr>
        <w:footnoteReference w:id="35"/>
      </w:r>
      <w:r w:rsidR="000F4968" w:rsidRPr="00375B80">
        <w:rPr>
          <w:rFonts w:ascii="Garamond" w:hAnsi="Garamond" w:cs="Times New Roman"/>
          <w:sz w:val="24"/>
          <w:szCs w:val="24"/>
        </w:rPr>
        <w:t xml:space="preserve">, diversi da quelli abitualmente coinvolti dalle scelte urbanistiche (ad esempio, quelli concernenti il paesaggio, l’igiene, l’industria, il commercio, </w:t>
      </w:r>
      <w:r w:rsidR="000F4968" w:rsidRPr="00375B80">
        <w:rPr>
          <w:rFonts w:ascii="Garamond" w:hAnsi="Garamond" w:cs="Times New Roman"/>
          <w:i/>
          <w:iCs/>
          <w:sz w:val="24"/>
          <w:szCs w:val="24"/>
        </w:rPr>
        <w:t>etc.</w:t>
      </w:r>
      <w:r w:rsidR="000F4968" w:rsidRPr="00375B80">
        <w:rPr>
          <w:rFonts w:ascii="Garamond" w:hAnsi="Garamond" w:cs="Times New Roman"/>
          <w:sz w:val="24"/>
          <w:szCs w:val="24"/>
        </w:rPr>
        <w:t xml:space="preserve">), la cui </w:t>
      </w:r>
      <w:r w:rsidR="00F942A9" w:rsidRPr="00375B80">
        <w:rPr>
          <w:rFonts w:ascii="Garamond" w:hAnsi="Garamond" w:cs="Times New Roman"/>
          <w:sz w:val="24"/>
          <w:szCs w:val="24"/>
        </w:rPr>
        <w:t>gestione e tutela</w:t>
      </w:r>
      <w:r w:rsidR="000F4968" w:rsidRPr="00375B80">
        <w:rPr>
          <w:rFonts w:ascii="Garamond" w:hAnsi="Garamond" w:cs="Times New Roman"/>
          <w:sz w:val="24"/>
          <w:szCs w:val="24"/>
        </w:rPr>
        <w:t xml:space="preserve"> </w:t>
      </w:r>
      <w:r w:rsidR="00F942A9" w:rsidRPr="00375B80">
        <w:rPr>
          <w:rFonts w:ascii="Garamond" w:hAnsi="Garamond" w:cs="Times New Roman"/>
          <w:sz w:val="24"/>
          <w:szCs w:val="24"/>
        </w:rPr>
        <w:t>sono</w:t>
      </w:r>
      <w:r w:rsidR="000F4968" w:rsidRPr="00375B80">
        <w:rPr>
          <w:rFonts w:ascii="Garamond" w:hAnsi="Garamond" w:cs="Times New Roman"/>
          <w:sz w:val="24"/>
          <w:szCs w:val="24"/>
        </w:rPr>
        <w:t xml:space="preserve"> </w:t>
      </w:r>
      <w:r w:rsidR="00BB4B42" w:rsidRPr="00375B80">
        <w:rPr>
          <w:rFonts w:ascii="Garamond" w:hAnsi="Garamond" w:cs="Times New Roman"/>
          <w:sz w:val="24"/>
          <w:szCs w:val="24"/>
        </w:rPr>
        <w:t>di regola</w:t>
      </w:r>
      <w:r w:rsidR="000F4968" w:rsidRPr="00375B80">
        <w:rPr>
          <w:rFonts w:ascii="Garamond" w:hAnsi="Garamond" w:cs="Times New Roman"/>
          <w:sz w:val="24"/>
          <w:szCs w:val="24"/>
        </w:rPr>
        <w:t xml:space="preserve"> demandat</w:t>
      </w:r>
      <w:r w:rsidR="00F942A9" w:rsidRPr="00375B80">
        <w:rPr>
          <w:rFonts w:ascii="Garamond" w:hAnsi="Garamond" w:cs="Times New Roman"/>
          <w:sz w:val="24"/>
          <w:szCs w:val="24"/>
        </w:rPr>
        <w:t>e</w:t>
      </w:r>
      <w:r w:rsidR="000F4968" w:rsidRPr="00375B80">
        <w:rPr>
          <w:rFonts w:ascii="Garamond" w:hAnsi="Garamond" w:cs="Times New Roman"/>
          <w:sz w:val="24"/>
          <w:szCs w:val="24"/>
        </w:rPr>
        <w:t xml:space="preserve"> ad autorità di settore.</w:t>
      </w:r>
    </w:p>
    <w:p w14:paraId="2D629B7D" w14:textId="66273A78" w:rsidR="006D2539" w:rsidRPr="00375B80" w:rsidRDefault="006D253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A distanza di oltre quindici anni da quella pronuncia credo sia sempre meno appagante, per la sua insufficienza, risolvere il </w:t>
      </w:r>
      <w:r w:rsidRPr="00375B80">
        <w:rPr>
          <w:rFonts w:ascii="Garamond" w:hAnsi="Garamond" w:cs="Times New Roman"/>
          <w:i/>
          <w:sz w:val="24"/>
          <w:szCs w:val="24"/>
        </w:rPr>
        <w:t>novum</w:t>
      </w:r>
      <w:r w:rsidRPr="00375B80">
        <w:rPr>
          <w:rFonts w:ascii="Garamond" w:hAnsi="Garamond" w:cs="Times New Roman"/>
          <w:sz w:val="24"/>
          <w:szCs w:val="24"/>
        </w:rPr>
        <w:t xml:space="preserve"> della riforma costituzionale in un semplice allargamento dell’oggetto della materia/interesse attribuito alla potestà ripartita: dalla città, cioè, al territorio. Non basta.</w:t>
      </w:r>
    </w:p>
    <w:p w14:paraId="075BB3AE" w14:textId="2F5B9CA8" w:rsidR="006D2539" w:rsidRPr="00375B80" w:rsidRDefault="006D253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Ritengo preferibile una lettura più organica, giocata all’interno dell’intero sistema disegnato dal nuovo art. 117 Cost.</w:t>
      </w:r>
    </w:p>
    <w:p w14:paraId="697F2972" w14:textId="77777777" w:rsidR="006D2539" w:rsidRPr="00375B80" w:rsidRDefault="006D2539" w:rsidP="00DE366E">
      <w:pPr>
        <w:spacing w:after="0" w:line="360" w:lineRule="auto"/>
        <w:contextualSpacing/>
        <w:jc w:val="both"/>
        <w:rPr>
          <w:rFonts w:ascii="Garamond" w:hAnsi="Garamond"/>
          <w:sz w:val="24"/>
          <w:szCs w:val="24"/>
        </w:rPr>
      </w:pPr>
      <w:r w:rsidRPr="00375B80">
        <w:rPr>
          <w:rFonts w:ascii="Garamond" w:hAnsi="Garamond" w:cs="Times New Roman"/>
          <w:sz w:val="24"/>
          <w:szCs w:val="24"/>
        </w:rPr>
        <w:t>Uno degli aspetti peculiari di questa norma è proprio quello di aver elencato materie cui non sempre corrisponde un settore ben definito: molte indicano un interesse da soddisfare o, ancora, una finalità da raggiungere (ad esempio, ordine pubblico, sicurezza, tutela della salute, etc.).</w:t>
      </w:r>
      <w:r w:rsidRPr="00375B80">
        <w:rPr>
          <w:rFonts w:ascii="Garamond" w:hAnsi="Garamond"/>
          <w:sz w:val="24"/>
          <w:szCs w:val="24"/>
        </w:rPr>
        <w:t xml:space="preserve"> </w:t>
      </w:r>
    </w:p>
    <w:p w14:paraId="1103CCE4" w14:textId="3E150D6C" w:rsidR="000507D0" w:rsidRPr="00375B80" w:rsidRDefault="006D253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Ed è quel che p</w:t>
      </w:r>
      <w:r w:rsidR="008219C7" w:rsidRPr="00375B80">
        <w:rPr>
          <w:rFonts w:ascii="Garamond" w:hAnsi="Garamond" w:cs="Times New Roman"/>
          <w:sz w:val="24"/>
          <w:szCs w:val="24"/>
        </w:rPr>
        <w:t>uò</w:t>
      </w:r>
      <w:r w:rsidRPr="00375B80">
        <w:rPr>
          <w:rFonts w:ascii="Garamond" w:hAnsi="Garamond" w:cs="Times New Roman"/>
          <w:sz w:val="24"/>
          <w:szCs w:val="24"/>
        </w:rPr>
        <w:t xml:space="preserve"> sostenersi a proposito del governo del territorio, considerandolo un’esigenza generale da perseguire:</w:t>
      </w:r>
      <w:r w:rsidRPr="00375B80">
        <w:rPr>
          <w:rFonts w:ascii="Garamond" w:hAnsi="Garamond"/>
          <w:sz w:val="24"/>
          <w:szCs w:val="24"/>
        </w:rPr>
        <w:t xml:space="preserve"> </w:t>
      </w:r>
      <w:r w:rsidRPr="00375B80">
        <w:rPr>
          <w:rFonts w:ascii="Garamond" w:hAnsi="Garamond" w:cs="Times New Roman"/>
          <w:sz w:val="24"/>
          <w:szCs w:val="24"/>
        </w:rPr>
        <w:t xml:space="preserve">se almeno un sentiero ermeneutico può derivarsi, come abbiamo visto più sopra, dai lavori preparatori, consiste esso in una indicazione negativa, tesa cioè a evitare una sovrapposizione fra governo del territorio e urbanistica, e anche – forse meglio – una considerazione </w:t>
      </w:r>
      <w:r w:rsidR="000507D0" w:rsidRPr="00375B80">
        <w:rPr>
          <w:rFonts w:ascii="Garamond" w:hAnsi="Garamond" w:cs="Times New Roman"/>
          <w:sz w:val="24"/>
          <w:szCs w:val="24"/>
        </w:rPr>
        <w:t xml:space="preserve">contenutisticamente </w:t>
      </w:r>
      <w:r w:rsidRPr="00375B80">
        <w:rPr>
          <w:rFonts w:ascii="Garamond" w:hAnsi="Garamond" w:cs="Times New Roman"/>
          <w:sz w:val="24"/>
          <w:szCs w:val="24"/>
        </w:rPr>
        <w:t>omogenea delle due «materie».</w:t>
      </w:r>
      <w:r w:rsidR="00DE65DD" w:rsidRPr="00375B80">
        <w:rPr>
          <w:rFonts w:ascii="Garamond" w:hAnsi="Garamond" w:cs="Times New Roman"/>
          <w:sz w:val="24"/>
          <w:szCs w:val="24"/>
        </w:rPr>
        <w:t xml:space="preserve"> </w:t>
      </w:r>
    </w:p>
    <w:p w14:paraId="0AFB67E7" w14:textId="50336936" w:rsidR="00402159" w:rsidRPr="00375B80" w:rsidRDefault="00DE65DD"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Potrebbe invece rivelarsi più </w:t>
      </w:r>
      <w:r w:rsidR="000507D0" w:rsidRPr="00375B80">
        <w:rPr>
          <w:rFonts w:ascii="Garamond" w:hAnsi="Garamond" w:cs="Times New Roman"/>
          <w:sz w:val="24"/>
          <w:szCs w:val="24"/>
        </w:rPr>
        <w:t>interessante</w:t>
      </w:r>
      <w:r w:rsidRPr="00375B80">
        <w:rPr>
          <w:rFonts w:ascii="Garamond" w:hAnsi="Garamond" w:cs="Times New Roman"/>
          <w:sz w:val="24"/>
          <w:szCs w:val="24"/>
        </w:rPr>
        <w:t xml:space="preserve"> la scelta di «smaterializzare» il governo del territorio, assunto in un’accezione soprattutto ordinale.</w:t>
      </w:r>
      <w:r w:rsidR="00402159" w:rsidRPr="00375B80">
        <w:rPr>
          <w:rFonts w:ascii="Garamond" w:hAnsi="Garamond" w:cs="Times New Roman"/>
          <w:sz w:val="24"/>
          <w:szCs w:val="24"/>
        </w:rPr>
        <w:t xml:space="preserve"> Proprio in considerazione della sua natura teleologica esso potrebbe utilmente dialogare con le c.d. materie trasversali, di cui l’art. 117, secondo comma, lett. </w:t>
      </w:r>
      <w:r w:rsidR="00402159" w:rsidRPr="00375B80">
        <w:rPr>
          <w:rFonts w:ascii="Garamond" w:hAnsi="Garamond" w:cs="Times New Roman"/>
          <w:i/>
          <w:sz w:val="24"/>
          <w:szCs w:val="24"/>
        </w:rPr>
        <w:t>m</w:t>
      </w:r>
      <w:r w:rsidR="00402159" w:rsidRPr="00375B80">
        <w:rPr>
          <w:rFonts w:ascii="Garamond" w:hAnsi="Garamond" w:cs="Times New Roman"/>
          <w:sz w:val="24"/>
          <w:szCs w:val="24"/>
        </w:rPr>
        <w:t>) costituisce l’esempio tipico.</w:t>
      </w:r>
    </w:p>
    <w:p w14:paraId="68959785" w14:textId="7B28EE8C" w:rsidR="006D2539" w:rsidRPr="00375B80" w:rsidRDefault="0040215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In altre parole, il governo del territorio assumerebbe il senso e la portata di un obiettivo </w:t>
      </w:r>
      <w:r w:rsidR="000507D0" w:rsidRPr="00375B80">
        <w:rPr>
          <w:rFonts w:ascii="Garamond" w:hAnsi="Garamond" w:cs="Times New Roman"/>
          <w:sz w:val="24"/>
          <w:szCs w:val="24"/>
        </w:rPr>
        <w:t xml:space="preserve">fondamentale </w:t>
      </w:r>
      <w:r w:rsidRPr="00375B80">
        <w:rPr>
          <w:rFonts w:ascii="Garamond" w:hAnsi="Garamond" w:cs="Times New Roman"/>
          <w:sz w:val="24"/>
          <w:szCs w:val="24"/>
        </w:rPr>
        <w:t>da perseguire, consistente nella necessità</w:t>
      </w:r>
      <w:r w:rsidR="000507D0" w:rsidRPr="00375B80">
        <w:rPr>
          <w:rFonts w:ascii="Garamond" w:hAnsi="Garamond" w:cs="Times New Roman"/>
          <w:sz w:val="24"/>
          <w:szCs w:val="24"/>
        </w:rPr>
        <w:t xml:space="preserve"> di volgere l’</w:t>
      </w:r>
      <w:r w:rsidR="000507D0" w:rsidRPr="00375B80">
        <w:rPr>
          <w:rFonts w:ascii="Garamond" w:hAnsi="Garamond" w:cs="Times New Roman"/>
          <w:i/>
          <w:sz w:val="24"/>
          <w:szCs w:val="24"/>
        </w:rPr>
        <w:t>intero sistema della territorialità</w:t>
      </w:r>
      <w:r w:rsidR="000507D0" w:rsidRPr="00375B80">
        <w:rPr>
          <w:rFonts w:ascii="Garamond" w:hAnsi="Garamond" w:cs="Times New Roman"/>
          <w:sz w:val="24"/>
          <w:szCs w:val="24"/>
        </w:rPr>
        <w:t xml:space="preserve"> nella direzione – non più pericolosamente </w:t>
      </w:r>
      <w:r w:rsidR="000507D0" w:rsidRPr="00375B80">
        <w:rPr>
          <w:rFonts w:ascii="Garamond" w:hAnsi="Garamond" w:cs="Times New Roman"/>
          <w:i/>
          <w:sz w:val="24"/>
          <w:szCs w:val="24"/>
        </w:rPr>
        <w:t>antropocentrica</w:t>
      </w:r>
      <w:r w:rsidR="000507D0" w:rsidRPr="00375B80">
        <w:rPr>
          <w:rFonts w:ascii="Garamond" w:hAnsi="Garamond" w:cs="Times New Roman"/>
          <w:sz w:val="24"/>
          <w:szCs w:val="24"/>
        </w:rPr>
        <w:t xml:space="preserve"> – di supporto e, nello stesso tempo, di risultato in relazione ad azioni pubbliche ispirate da una visione finalmente </w:t>
      </w:r>
      <w:r w:rsidR="000507D0" w:rsidRPr="00375B80">
        <w:rPr>
          <w:rFonts w:ascii="Garamond" w:hAnsi="Garamond" w:cs="Times New Roman"/>
          <w:i/>
          <w:sz w:val="24"/>
          <w:szCs w:val="24"/>
        </w:rPr>
        <w:t>biocentrica</w:t>
      </w:r>
      <w:r w:rsidR="000507D0" w:rsidRPr="00375B80">
        <w:rPr>
          <w:rFonts w:ascii="Garamond" w:hAnsi="Garamond" w:cs="Times New Roman"/>
          <w:sz w:val="24"/>
          <w:szCs w:val="24"/>
        </w:rPr>
        <w:t>.</w:t>
      </w:r>
    </w:p>
    <w:p w14:paraId="6C547960" w14:textId="70811BFC" w:rsidR="000507D0" w:rsidRPr="00375B80" w:rsidRDefault="000507D0"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Se intesa in questa prospettiva, allora, la relazione fra i due ambiti può anche esser ricondotta, con formula di sintesi, alla tesi che il governo del territorio ha incorporato l’urbanistica: l’immagine che lo spazio di potestà concorrente previsto nell’art. 117, terzo comma evoca può esser resa con l’espressione di </w:t>
      </w:r>
      <w:r w:rsidRPr="00375B80">
        <w:rPr>
          <w:rFonts w:ascii="Garamond" w:hAnsi="Garamond" w:cs="Times New Roman"/>
          <w:i/>
          <w:sz w:val="24"/>
          <w:szCs w:val="24"/>
        </w:rPr>
        <w:t>governance</w:t>
      </w:r>
      <w:r w:rsidRPr="00375B80">
        <w:rPr>
          <w:rFonts w:ascii="Garamond" w:hAnsi="Garamond" w:cs="Times New Roman"/>
          <w:sz w:val="24"/>
          <w:szCs w:val="24"/>
        </w:rPr>
        <w:t>, che la dottrina ha a più riprese proposto come «tratto unificante» della «</w:t>
      </w:r>
      <w:r w:rsidRPr="00375B80">
        <w:rPr>
          <w:rFonts w:ascii="Garamond" w:hAnsi="Garamond" w:cs="Times New Roman"/>
          <w:i/>
          <w:sz w:val="24"/>
          <w:szCs w:val="24"/>
        </w:rPr>
        <w:t>organizzazione in sistema</w:t>
      </w:r>
      <w:r w:rsidRPr="00375B80">
        <w:rPr>
          <w:rFonts w:ascii="Garamond" w:hAnsi="Garamond" w:cs="Times New Roman"/>
          <w:sz w:val="24"/>
          <w:szCs w:val="24"/>
        </w:rPr>
        <w:t xml:space="preserve"> dei processi che hanno una incidenza sugli equilibri del territorio […] ed i cui confini sono </w:t>
      </w:r>
      <w:r w:rsidRPr="00375B80">
        <w:rPr>
          <w:rFonts w:ascii="Garamond" w:hAnsi="Garamond" w:cs="Times New Roman"/>
          <w:i/>
          <w:sz w:val="24"/>
          <w:szCs w:val="24"/>
        </w:rPr>
        <w:t>fluidi</w:t>
      </w:r>
      <w:r w:rsidRPr="00375B80">
        <w:rPr>
          <w:rFonts w:ascii="Garamond" w:hAnsi="Garamond" w:cs="Times New Roman"/>
          <w:sz w:val="24"/>
          <w:szCs w:val="24"/>
        </w:rPr>
        <w:t>, per la compresenza di interessi cangianti e multilivelli, che non si lasciano imprigionare in una griglia rigida di competenze»</w:t>
      </w:r>
      <w:r w:rsidR="004E121E" w:rsidRPr="00375B80">
        <w:rPr>
          <w:rStyle w:val="Rimandonotaapidipagina"/>
          <w:rFonts w:ascii="Garamond" w:hAnsi="Garamond" w:cs="Times New Roman"/>
          <w:sz w:val="24"/>
          <w:szCs w:val="24"/>
        </w:rPr>
        <w:footnoteReference w:id="36"/>
      </w:r>
      <w:r w:rsidRPr="00375B80">
        <w:rPr>
          <w:rFonts w:ascii="Garamond" w:hAnsi="Garamond" w:cs="Times New Roman"/>
          <w:sz w:val="24"/>
          <w:szCs w:val="24"/>
        </w:rPr>
        <w:t>.</w:t>
      </w:r>
      <w:r w:rsidR="004E121E" w:rsidRPr="00375B80">
        <w:rPr>
          <w:rFonts w:ascii="Garamond" w:hAnsi="Garamond" w:cs="Times New Roman"/>
          <w:sz w:val="24"/>
          <w:szCs w:val="24"/>
        </w:rPr>
        <w:t xml:space="preserve"> Se leggessimo invece la novella riducendola a un mero aggiornamento terminologico, avremmo una stasi, se non addirittura un ripiegamento, rispetto a un percorso di civiltà e di progresso cui non possiamo rinunciare: un esito davvero paradossale, che gli stessi lavori preparatori – almeno in questo pur degni di qualche considerazione – autorizzano a ritenere affatto estraneo alla tessitura dell’intervento normativo.</w:t>
      </w:r>
    </w:p>
    <w:p w14:paraId="755C76A7" w14:textId="086D422D" w:rsidR="007B2902" w:rsidRPr="00375B80" w:rsidRDefault="004E121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 xml:space="preserve">Immagino invece un assetto che fondi su una diversa dialettica, strutturata </w:t>
      </w:r>
      <w:r w:rsidR="008C10AB" w:rsidRPr="00375B80">
        <w:rPr>
          <w:rFonts w:ascii="Garamond" w:hAnsi="Garamond" w:cs="Times New Roman"/>
          <w:sz w:val="24"/>
          <w:szCs w:val="24"/>
        </w:rPr>
        <w:t xml:space="preserve">– come dicevo – </w:t>
      </w:r>
      <w:r w:rsidRPr="00375B80">
        <w:rPr>
          <w:rFonts w:ascii="Garamond" w:hAnsi="Garamond" w:cs="Times New Roman"/>
          <w:sz w:val="24"/>
          <w:szCs w:val="24"/>
        </w:rPr>
        <w:t xml:space="preserve">intorno al dialogo </w:t>
      </w:r>
      <w:r w:rsidR="007B2902" w:rsidRPr="00375B80">
        <w:rPr>
          <w:rFonts w:ascii="Garamond" w:hAnsi="Garamond" w:cs="Times New Roman"/>
          <w:sz w:val="24"/>
          <w:szCs w:val="24"/>
        </w:rPr>
        <w:t xml:space="preserve">del governo del territorio con i livelli essenziali delle prestazioni concernenti i diritti civili e sociali </w:t>
      </w:r>
      <w:r w:rsidR="007B2902" w:rsidRPr="00375B80">
        <w:rPr>
          <w:rFonts w:ascii="Garamond" w:hAnsi="Garamond" w:cs="Times New Roman"/>
          <w:i/>
          <w:sz w:val="24"/>
          <w:szCs w:val="24"/>
        </w:rPr>
        <w:t>ex</w:t>
      </w:r>
      <w:r w:rsidR="007B2902" w:rsidRPr="00375B80">
        <w:rPr>
          <w:rFonts w:ascii="Garamond" w:hAnsi="Garamond" w:cs="Times New Roman"/>
          <w:sz w:val="24"/>
          <w:szCs w:val="24"/>
        </w:rPr>
        <w:t xml:space="preserve"> art. 117, comma 2, lett. </w:t>
      </w:r>
      <w:r w:rsidR="007B2902" w:rsidRPr="00375B80">
        <w:rPr>
          <w:rFonts w:ascii="Garamond" w:hAnsi="Garamond" w:cs="Times New Roman"/>
          <w:i/>
          <w:sz w:val="24"/>
          <w:szCs w:val="24"/>
        </w:rPr>
        <w:t>m)</w:t>
      </w:r>
      <w:r w:rsidR="007B2902" w:rsidRPr="00375B80">
        <w:rPr>
          <w:rFonts w:ascii="Garamond" w:hAnsi="Garamond" w:cs="Times New Roman"/>
          <w:sz w:val="24"/>
          <w:szCs w:val="24"/>
        </w:rPr>
        <w:t xml:space="preserve">, Cost.: parametri e criteri minimi (nel senso appunto di essenziali) che </w:t>
      </w:r>
      <w:r w:rsidR="00D15FF0" w:rsidRPr="00375B80">
        <w:rPr>
          <w:rFonts w:ascii="Garamond" w:hAnsi="Garamond" w:cs="Times New Roman"/>
          <w:sz w:val="24"/>
          <w:szCs w:val="24"/>
        </w:rPr>
        <w:t xml:space="preserve">– attraverso </w:t>
      </w:r>
      <w:r w:rsidR="00E66303" w:rsidRPr="00375B80">
        <w:rPr>
          <w:rFonts w:ascii="Garamond" w:hAnsi="Garamond" w:cs="Times New Roman"/>
          <w:sz w:val="24"/>
          <w:szCs w:val="24"/>
        </w:rPr>
        <w:t>l</w:t>
      </w:r>
      <w:r w:rsidR="00D15FF0" w:rsidRPr="00375B80">
        <w:rPr>
          <w:rFonts w:ascii="Garamond" w:hAnsi="Garamond" w:cs="Times New Roman"/>
          <w:sz w:val="24"/>
          <w:szCs w:val="24"/>
        </w:rPr>
        <w:t xml:space="preserve">a soggettivazione dei </w:t>
      </w:r>
      <w:r w:rsidR="007B2902" w:rsidRPr="00375B80">
        <w:rPr>
          <w:rFonts w:ascii="Garamond" w:hAnsi="Garamond" w:cs="Times New Roman"/>
          <w:sz w:val="24"/>
          <w:szCs w:val="24"/>
        </w:rPr>
        <w:t>«diritti» riferibili all’inter</w:t>
      </w:r>
      <w:r w:rsidR="00D15FF0" w:rsidRPr="00375B80">
        <w:rPr>
          <w:rFonts w:ascii="Garamond" w:hAnsi="Garamond" w:cs="Times New Roman"/>
          <w:sz w:val="24"/>
          <w:szCs w:val="24"/>
        </w:rPr>
        <w:t xml:space="preserve">a collettività insediata – </w:t>
      </w:r>
      <w:r w:rsidR="007B2902" w:rsidRPr="00375B80">
        <w:rPr>
          <w:rFonts w:ascii="Garamond" w:hAnsi="Garamond" w:cs="Times New Roman"/>
          <w:sz w:val="24"/>
          <w:szCs w:val="24"/>
        </w:rPr>
        <w:t xml:space="preserve">possono </w:t>
      </w:r>
      <w:r w:rsidR="00D15FF0" w:rsidRPr="00375B80">
        <w:rPr>
          <w:rFonts w:ascii="Garamond" w:hAnsi="Garamond" w:cs="Times New Roman"/>
          <w:sz w:val="24"/>
          <w:szCs w:val="24"/>
        </w:rPr>
        <w:t xml:space="preserve">tranquillamente </w:t>
      </w:r>
      <w:r w:rsidR="007B2902" w:rsidRPr="00375B80">
        <w:rPr>
          <w:rFonts w:ascii="Garamond" w:hAnsi="Garamond" w:cs="Times New Roman"/>
          <w:sz w:val="24"/>
          <w:szCs w:val="24"/>
        </w:rPr>
        <w:t xml:space="preserve">declinarsi </w:t>
      </w:r>
      <w:r w:rsidR="00D15FF0" w:rsidRPr="00375B80">
        <w:rPr>
          <w:rFonts w:ascii="Garamond" w:hAnsi="Garamond" w:cs="Times New Roman"/>
          <w:sz w:val="24"/>
          <w:szCs w:val="24"/>
        </w:rPr>
        <w:t xml:space="preserve">lungo un </w:t>
      </w:r>
      <w:r w:rsidR="00D15FF0" w:rsidRPr="00375B80">
        <w:rPr>
          <w:rFonts w:ascii="Garamond" w:hAnsi="Garamond" w:cs="Times New Roman"/>
          <w:i/>
          <w:sz w:val="24"/>
          <w:szCs w:val="24"/>
        </w:rPr>
        <w:t>climax</w:t>
      </w:r>
      <w:r w:rsidR="00D15FF0" w:rsidRPr="00375B80">
        <w:rPr>
          <w:rFonts w:ascii="Garamond" w:hAnsi="Garamond" w:cs="Times New Roman"/>
          <w:sz w:val="24"/>
          <w:szCs w:val="24"/>
        </w:rPr>
        <w:t xml:space="preserve"> </w:t>
      </w:r>
      <w:r w:rsidR="007B2902" w:rsidRPr="00375B80">
        <w:rPr>
          <w:rFonts w:ascii="Garamond" w:hAnsi="Garamond" w:cs="Times New Roman"/>
          <w:sz w:val="24"/>
          <w:szCs w:val="24"/>
        </w:rPr>
        <w:t>c</w:t>
      </w:r>
      <w:r w:rsidR="00D15FF0" w:rsidRPr="00375B80">
        <w:rPr>
          <w:rFonts w:ascii="Garamond" w:hAnsi="Garamond" w:cs="Times New Roman"/>
          <w:sz w:val="24"/>
          <w:szCs w:val="24"/>
        </w:rPr>
        <w:t xml:space="preserve">he muova da valori come </w:t>
      </w:r>
      <w:r w:rsidR="007B2902" w:rsidRPr="00375B80">
        <w:rPr>
          <w:rFonts w:ascii="Garamond" w:hAnsi="Garamond" w:cs="Times New Roman"/>
          <w:sz w:val="24"/>
          <w:szCs w:val="24"/>
        </w:rPr>
        <w:t xml:space="preserve">la dignità abitativa, </w:t>
      </w:r>
      <w:r w:rsidR="00D15FF0" w:rsidRPr="00375B80">
        <w:rPr>
          <w:rFonts w:ascii="Garamond" w:hAnsi="Garamond" w:cs="Times New Roman"/>
          <w:sz w:val="24"/>
          <w:szCs w:val="24"/>
        </w:rPr>
        <w:t>i</w:t>
      </w:r>
      <w:r w:rsidR="007B2902" w:rsidRPr="00375B80">
        <w:rPr>
          <w:rFonts w:ascii="Garamond" w:hAnsi="Garamond" w:cs="Times New Roman"/>
          <w:sz w:val="24"/>
          <w:szCs w:val="24"/>
        </w:rPr>
        <w:t xml:space="preserve">l decoro architettonico, la rivitalizzazione delle zone degradate, la sicurezza, </w:t>
      </w:r>
      <w:r w:rsidR="00D15FF0" w:rsidRPr="00375B80">
        <w:rPr>
          <w:rFonts w:ascii="Garamond" w:hAnsi="Garamond" w:cs="Times New Roman"/>
          <w:sz w:val="24"/>
          <w:szCs w:val="24"/>
        </w:rPr>
        <w:t>i</w:t>
      </w:r>
      <w:r w:rsidR="007B2902" w:rsidRPr="00375B80">
        <w:rPr>
          <w:rFonts w:ascii="Garamond" w:hAnsi="Garamond" w:cs="Times New Roman"/>
          <w:sz w:val="24"/>
          <w:szCs w:val="24"/>
        </w:rPr>
        <w:t xml:space="preserve">l recupero o </w:t>
      </w:r>
      <w:r w:rsidR="00D15FF0" w:rsidRPr="00375B80">
        <w:rPr>
          <w:rFonts w:ascii="Garamond" w:hAnsi="Garamond" w:cs="Times New Roman"/>
          <w:sz w:val="24"/>
          <w:szCs w:val="24"/>
        </w:rPr>
        <w:t>l’</w:t>
      </w:r>
      <w:r w:rsidR="007B2902" w:rsidRPr="00375B80">
        <w:rPr>
          <w:rFonts w:ascii="Garamond" w:hAnsi="Garamond" w:cs="Times New Roman"/>
          <w:sz w:val="24"/>
          <w:szCs w:val="24"/>
        </w:rPr>
        <w:t>attribuzione di un</w:t>
      </w:r>
      <w:r w:rsidR="00D15FF0" w:rsidRPr="00375B80">
        <w:rPr>
          <w:rFonts w:ascii="Garamond" w:hAnsi="Garamond" w:cs="Times New Roman"/>
          <w:sz w:val="24"/>
          <w:szCs w:val="24"/>
        </w:rPr>
        <w:t>’</w:t>
      </w:r>
      <w:r w:rsidR="007B2902" w:rsidRPr="00375B80">
        <w:rPr>
          <w:rFonts w:ascii="Garamond" w:hAnsi="Garamond" w:cs="Times New Roman"/>
          <w:sz w:val="24"/>
          <w:szCs w:val="24"/>
        </w:rPr>
        <w:t xml:space="preserve">identità dei luoghi, </w:t>
      </w:r>
      <w:r w:rsidR="00D15FF0" w:rsidRPr="00375B80">
        <w:rPr>
          <w:rFonts w:ascii="Garamond" w:hAnsi="Garamond" w:cs="Times New Roman"/>
          <w:sz w:val="24"/>
          <w:szCs w:val="24"/>
        </w:rPr>
        <w:t xml:space="preserve">per dirigersi verso mete ultime. Qui il governo del territorio è concetto ormai </w:t>
      </w:r>
      <w:r w:rsidR="00D15FF0" w:rsidRPr="00375B80">
        <w:rPr>
          <w:rFonts w:ascii="Garamond" w:hAnsi="Garamond" w:cs="Times New Roman"/>
          <w:i/>
          <w:sz w:val="24"/>
          <w:szCs w:val="24"/>
        </w:rPr>
        <w:t>trasfigurato</w:t>
      </w:r>
      <w:r w:rsidR="00D15FF0" w:rsidRPr="00375B80">
        <w:rPr>
          <w:rFonts w:ascii="Garamond" w:hAnsi="Garamond" w:cs="Times New Roman"/>
          <w:sz w:val="24"/>
          <w:szCs w:val="24"/>
        </w:rPr>
        <w:t xml:space="preserve">: ha reciso i vincoli che lo circoscrivevano alla dimensione umana e urbana, divenendo </w:t>
      </w:r>
      <w:r w:rsidR="00C04B94" w:rsidRPr="00375B80">
        <w:rPr>
          <w:rFonts w:ascii="Garamond" w:hAnsi="Garamond" w:cs="Times New Roman"/>
          <w:sz w:val="24"/>
          <w:szCs w:val="24"/>
        </w:rPr>
        <w:t>ora vero e proprio stemma</w:t>
      </w:r>
      <w:r w:rsidR="00D15FF0" w:rsidRPr="00375B80">
        <w:rPr>
          <w:rFonts w:ascii="Garamond" w:hAnsi="Garamond" w:cs="Times New Roman"/>
          <w:sz w:val="24"/>
          <w:szCs w:val="24"/>
        </w:rPr>
        <w:t xml:space="preserve"> </w:t>
      </w:r>
      <w:r w:rsidR="00C04B94" w:rsidRPr="00375B80">
        <w:rPr>
          <w:rFonts w:ascii="Garamond" w:hAnsi="Garamond" w:cs="Times New Roman"/>
          <w:sz w:val="24"/>
          <w:szCs w:val="24"/>
        </w:rPr>
        <w:t xml:space="preserve">di una decisiva avventura dello spirito. Inserito pienamente nel modello </w:t>
      </w:r>
      <w:r w:rsidR="00C04B94" w:rsidRPr="00375B80">
        <w:rPr>
          <w:rFonts w:ascii="Garamond" w:hAnsi="Garamond" w:cs="Times New Roman"/>
          <w:i/>
          <w:sz w:val="24"/>
          <w:szCs w:val="24"/>
        </w:rPr>
        <w:t>prestazionale</w:t>
      </w:r>
      <w:r w:rsidR="00C04B94" w:rsidRPr="00375B80">
        <w:rPr>
          <w:rFonts w:ascii="Garamond" w:hAnsi="Garamond" w:cs="Times New Roman"/>
          <w:sz w:val="24"/>
          <w:szCs w:val="24"/>
        </w:rPr>
        <w:t xml:space="preserve"> dei LEP, quel sintagma sprigiona una forza semantica e vettoriale – alla cui genesi non è ovviamente estranea la “materia” ambientale di cui alla lett. </w:t>
      </w:r>
      <w:r w:rsidR="00C04B94" w:rsidRPr="00375B80">
        <w:rPr>
          <w:rFonts w:ascii="Garamond" w:hAnsi="Garamond" w:cs="Times New Roman"/>
          <w:i/>
          <w:sz w:val="24"/>
          <w:szCs w:val="24"/>
        </w:rPr>
        <w:t>s)</w:t>
      </w:r>
      <w:r w:rsidR="00C04B94" w:rsidRPr="00375B80">
        <w:rPr>
          <w:rFonts w:ascii="Garamond" w:hAnsi="Garamond" w:cs="Times New Roman"/>
          <w:sz w:val="24"/>
          <w:szCs w:val="24"/>
        </w:rPr>
        <w:t xml:space="preserve"> del catalogo – che mi appare di rilievo primario.</w:t>
      </w:r>
    </w:p>
    <w:p w14:paraId="7740D2E2" w14:textId="0C20039E" w:rsidR="007B2902" w:rsidRPr="00375B80" w:rsidRDefault="007B2902"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Se la voce governo del territorio è letta come materia-obiettivo, ne deriva una relazione fra due </w:t>
      </w:r>
      <w:r w:rsidRPr="00375B80">
        <w:rPr>
          <w:rFonts w:ascii="Garamond" w:hAnsi="Garamond" w:cs="Times New Roman"/>
          <w:i/>
          <w:sz w:val="24"/>
          <w:szCs w:val="24"/>
        </w:rPr>
        <w:t>nomina</w:t>
      </w:r>
      <w:r w:rsidRPr="00375B80">
        <w:rPr>
          <w:rFonts w:ascii="Garamond" w:hAnsi="Garamond" w:cs="Times New Roman"/>
          <w:sz w:val="24"/>
          <w:szCs w:val="24"/>
        </w:rPr>
        <w:t xml:space="preserve"> entrambi trasversali, l’uno affidato alla competenza esclusiva dello Stato (quello previsto nella lett. </w:t>
      </w:r>
      <w:r w:rsidRPr="00375B80">
        <w:rPr>
          <w:rFonts w:ascii="Garamond" w:hAnsi="Garamond" w:cs="Times New Roman"/>
          <w:i/>
          <w:sz w:val="24"/>
          <w:szCs w:val="24"/>
        </w:rPr>
        <w:t>m)</w:t>
      </w:r>
      <w:r w:rsidRPr="00375B80">
        <w:rPr>
          <w:rFonts w:ascii="Garamond" w:hAnsi="Garamond" w:cs="Times New Roman"/>
          <w:sz w:val="24"/>
          <w:szCs w:val="24"/>
        </w:rPr>
        <w:t>), l’altro attribuito alla potestà concorrente (appunto, il governo del territorio).</w:t>
      </w:r>
    </w:p>
    <w:p w14:paraId="1C217D27" w14:textId="04805B54" w:rsidR="007B2902" w:rsidRPr="00375B80" w:rsidRDefault="007B2902"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Ed è qui, in un contesto tradizionalmente sospeso fra civiltà e giuridicità, che può trovare utile impiego la tecnica dei livelli essenziali, </w:t>
      </w:r>
      <w:r w:rsidR="00E66303" w:rsidRPr="00375B80">
        <w:rPr>
          <w:rFonts w:ascii="Garamond" w:hAnsi="Garamond" w:cs="Times New Roman"/>
          <w:sz w:val="24"/>
          <w:szCs w:val="24"/>
        </w:rPr>
        <w:t>la quale</w:t>
      </w:r>
      <w:r w:rsidRPr="00375B80">
        <w:rPr>
          <w:rFonts w:ascii="Garamond" w:hAnsi="Garamond" w:cs="Times New Roman"/>
          <w:sz w:val="24"/>
          <w:szCs w:val="24"/>
        </w:rPr>
        <w:t xml:space="preserve"> offrire</w:t>
      </w:r>
      <w:r w:rsidR="00E66303" w:rsidRPr="00375B80">
        <w:rPr>
          <w:rFonts w:ascii="Garamond" w:hAnsi="Garamond" w:cs="Times New Roman"/>
          <w:sz w:val="24"/>
          <w:szCs w:val="24"/>
        </w:rPr>
        <w:t>bbe</w:t>
      </w:r>
      <w:r w:rsidRPr="00375B80">
        <w:rPr>
          <w:rFonts w:ascii="Garamond" w:hAnsi="Garamond" w:cs="Times New Roman"/>
          <w:sz w:val="24"/>
          <w:szCs w:val="24"/>
        </w:rPr>
        <w:t xml:space="preserve"> un contributo importante come momento di cerniera e coniugazione fra profili di discontinuità e di continuità certamente presenti nella tessitura complessiva della riforma costituzionale.</w:t>
      </w:r>
    </w:p>
    <w:p w14:paraId="6C03FD23" w14:textId="457EE70B" w:rsidR="00C04B94" w:rsidRPr="00375B80" w:rsidRDefault="007B2902"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Anzi, il ruolo che i livelli essenziali possono rivestire nella struttura complessiva del</w:t>
      </w:r>
      <w:r w:rsidR="00C04B94" w:rsidRPr="00375B80">
        <w:rPr>
          <w:rFonts w:ascii="Garamond" w:hAnsi="Garamond" w:cs="Times New Roman"/>
          <w:sz w:val="24"/>
          <w:szCs w:val="24"/>
        </w:rPr>
        <w:t>l’</w:t>
      </w:r>
      <w:r w:rsidRPr="00375B80">
        <w:rPr>
          <w:rFonts w:ascii="Garamond" w:hAnsi="Garamond" w:cs="Times New Roman"/>
          <w:sz w:val="24"/>
          <w:szCs w:val="24"/>
        </w:rPr>
        <w:t>ordinamento appare ancora più decisivo, poiché su di essi andrebbero a fondare le esigenze – che in un sistema policentrico sono per definizione nevralgiche, e dunque assai avvertite – di racchiudere in un compendio certo e presidiato l’insieme dei valori dei quali una comunità, in essi riconoscendosi e identificandosi, intende assicurarsi la trascrizione immediata e fedele nella dimensione della giuridicità.</w:t>
      </w:r>
    </w:p>
    <w:p w14:paraId="29009EC7" w14:textId="30A6B599" w:rsidR="00C04B94" w:rsidRPr="00375B80" w:rsidRDefault="00C04B94"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Valori che rispecchiano la consapevolezza </w:t>
      </w:r>
      <w:r w:rsidR="008252A7" w:rsidRPr="00375B80">
        <w:rPr>
          <w:rFonts w:ascii="Garamond" w:hAnsi="Garamond" w:cs="Times New Roman"/>
          <w:sz w:val="24"/>
          <w:szCs w:val="24"/>
        </w:rPr>
        <w:t xml:space="preserve">e la necessità </w:t>
      </w:r>
      <w:r w:rsidRPr="00375B80">
        <w:rPr>
          <w:rFonts w:ascii="Garamond" w:hAnsi="Garamond" w:cs="Times New Roman"/>
          <w:sz w:val="24"/>
          <w:szCs w:val="24"/>
        </w:rPr>
        <w:t>di un cambio di paradigma (mi scuso per l’espressione oramai lisa). I</w:t>
      </w:r>
      <w:r w:rsidR="00F92187" w:rsidRPr="00375B80">
        <w:rPr>
          <w:rFonts w:ascii="Garamond" w:hAnsi="Garamond" w:cs="Times New Roman"/>
          <w:sz w:val="24"/>
          <w:szCs w:val="24"/>
        </w:rPr>
        <w:t>l</w:t>
      </w:r>
      <w:r w:rsidRPr="00375B80">
        <w:rPr>
          <w:rFonts w:ascii="Garamond" w:hAnsi="Garamond" w:cs="Times New Roman"/>
          <w:sz w:val="24"/>
          <w:szCs w:val="24"/>
        </w:rPr>
        <w:t xml:space="preserve"> tem</w:t>
      </w:r>
      <w:r w:rsidR="00F92187" w:rsidRPr="00375B80">
        <w:rPr>
          <w:rFonts w:ascii="Garamond" w:hAnsi="Garamond" w:cs="Times New Roman"/>
          <w:sz w:val="24"/>
          <w:szCs w:val="24"/>
        </w:rPr>
        <w:t>a</w:t>
      </w:r>
      <w:r w:rsidRPr="00375B80">
        <w:rPr>
          <w:rFonts w:ascii="Garamond" w:hAnsi="Garamond" w:cs="Times New Roman"/>
          <w:sz w:val="24"/>
          <w:szCs w:val="24"/>
        </w:rPr>
        <w:t xml:space="preserve"> </w:t>
      </w:r>
      <w:r w:rsidR="00F92187" w:rsidRPr="00375B80">
        <w:rPr>
          <w:rFonts w:ascii="Garamond" w:hAnsi="Garamond" w:cs="Times New Roman"/>
          <w:sz w:val="24"/>
          <w:szCs w:val="24"/>
        </w:rPr>
        <w:t xml:space="preserve">generale non può essere </w:t>
      </w:r>
      <w:r w:rsidR="008252A7" w:rsidRPr="00375B80">
        <w:rPr>
          <w:rFonts w:ascii="Garamond" w:hAnsi="Garamond" w:cs="Times New Roman"/>
          <w:sz w:val="24"/>
          <w:szCs w:val="24"/>
        </w:rPr>
        <w:t>impostato ancora sul rapporto – dialogico o conflittuale che sia, non importa – fra il governo del territorio e gli altri interessi, più o meno sensibili.</w:t>
      </w:r>
    </w:p>
    <w:p w14:paraId="3E3051AC" w14:textId="4B3C4D27" w:rsidR="00000FF5" w:rsidRPr="00375B80" w:rsidRDefault="008252A7"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Questa strada si è rivelata infruttuosa. La selezione </w:t>
      </w:r>
      <w:r w:rsidR="00CE35C3" w:rsidRPr="00375B80">
        <w:rPr>
          <w:rFonts w:ascii="Garamond" w:hAnsi="Garamond" w:cs="Times New Roman"/>
          <w:sz w:val="24"/>
          <w:szCs w:val="24"/>
        </w:rPr>
        <w:t xml:space="preserve">normativa </w:t>
      </w:r>
      <w:r w:rsidRPr="00375B80">
        <w:rPr>
          <w:rFonts w:ascii="Garamond" w:hAnsi="Garamond" w:cs="Times New Roman"/>
          <w:sz w:val="24"/>
          <w:szCs w:val="24"/>
        </w:rPr>
        <w:t xml:space="preserve">di interessi </w:t>
      </w:r>
      <w:r w:rsidR="00CE35C3" w:rsidRPr="00375B80">
        <w:rPr>
          <w:rFonts w:ascii="Garamond" w:hAnsi="Garamond" w:cs="Times New Roman"/>
          <w:sz w:val="24"/>
          <w:szCs w:val="24"/>
        </w:rPr>
        <w:t xml:space="preserve">pubblici assunti come </w:t>
      </w:r>
      <w:r w:rsidRPr="00375B80">
        <w:rPr>
          <w:rFonts w:ascii="Garamond" w:hAnsi="Garamond" w:cs="Times New Roman"/>
          <w:sz w:val="24"/>
          <w:szCs w:val="24"/>
        </w:rPr>
        <w:t xml:space="preserve">primaziali – strada battuta per prima dalla l. n. 241/’90 – ha portato col tempo alla </w:t>
      </w:r>
      <w:r w:rsidR="00000FF5" w:rsidRPr="00375B80">
        <w:rPr>
          <w:rFonts w:ascii="Garamond" w:hAnsi="Garamond" w:cs="Times New Roman"/>
          <w:sz w:val="24"/>
          <w:szCs w:val="24"/>
        </w:rPr>
        <w:t>formazione di un confuso e sempre più affollato Olimpo, popolato da dei</w:t>
      </w:r>
      <w:r w:rsidR="0061239E" w:rsidRPr="00375B80">
        <w:rPr>
          <w:rFonts w:ascii="Garamond" w:hAnsi="Garamond" w:cs="Times New Roman"/>
          <w:sz w:val="24"/>
          <w:szCs w:val="24"/>
        </w:rPr>
        <w:t>,</w:t>
      </w:r>
      <w:r w:rsidR="00000FF5" w:rsidRPr="00375B80">
        <w:rPr>
          <w:rFonts w:ascii="Garamond" w:hAnsi="Garamond" w:cs="Times New Roman"/>
          <w:sz w:val="24"/>
          <w:szCs w:val="24"/>
        </w:rPr>
        <w:t xml:space="preserve"> </w:t>
      </w:r>
      <w:r w:rsidR="0061239E" w:rsidRPr="00375B80">
        <w:rPr>
          <w:rFonts w:ascii="Garamond" w:hAnsi="Garamond" w:cs="Times New Roman"/>
          <w:sz w:val="24"/>
          <w:szCs w:val="24"/>
        </w:rPr>
        <w:t>direbbe G</w:t>
      </w:r>
      <w:r w:rsidR="00000FF5" w:rsidRPr="00375B80">
        <w:rPr>
          <w:rFonts w:ascii="Garamond" w:hAnsi="Garamond" w:cs="Times New Roman"/>
          <w:sz w:val="24"/>
          <w:szCs w:val="24"/>
        </w:rPr>
        <w:t>iannini</w:t>
      </w:r>
      <w:r w:rsidR="0061239E" w:rsidRPr="00375B80">
        <w:rPr>
          <w:rFonts w:ascii="Garamond" w:hAnsi="Garamond" w:cs="Times New Roman"/>
          <w:sz w:val="24"/>
          <w:szCs w:val="24"/>
        </w:rPr>
        <w:t>,</w:t>
      </w:r>
      <w:r w:rsidR="00000FF5" w:rsidRPr="00375B80">
        <w:rPr>
          <w:rFonts w:ascii="Garamond" w:hAnsi="Garamond" w:cs="Times New Roman"/>
          <w:sz w:val="24"/>
          <w:szCs w:val="24"/>
        </w:rPr>
        <w:t xml:space="preserve"> ognor</w:t>
      </w:r>
      <w:r w:rsidR="00E66303" w:rsidRPr="00375B80">
        <w:rPr>
          <w:rFonts w:ascii="Garamond" w:hAnsi="Garamond" w:cs="Times New Roman"/>
          <w:sz w:val="24"/>
          <w:szCs w:val="24"/>
        </w:rPr>
        <w:t>a</w:t>
      </w:r>
      <w:r w:rsidR="00000FF5" w:rsidRPr="00375B80">
        <w:rPr>
          <w:rFonts w:ascii="Garamond" w:hAnsi="Garamond" w:cs="Times New Roman"/>
          <w:sz w:val="24"/>
          <w:szCs w:val="24"/>
        </w:rPr>
        <w:t xml:space="preserve"> rissanti.</w:t>
      </w:r>
      <w:r w:rsidR="0061239E" w:rsidRPr="00375B80">
        <w:rPr>
          <w:rFonts w:ascii="Garamond" w:hAnsi="Garamond" w:cs="Times New Roman"/>
          <w:sz w:val="24"/>
          <w:szCs w:val="24"/>
        </w:rPr>
        <w:t xml:space="preserve"> Donde un’</w:t>
      </w:r>
      <w:r w:rsidR="0061239E" w:rsidRPr="00375B80">
        <w:rPr>
          <w:rFonts w:ascii="Garamond" w:hAnsi="Garamond" w:cs="Times New Roman"/>
          <w:i/>
          <w:sz w:val="24"/>
          <w:szCs w:val="24"/>
        </w:rPr>
        <w:t>oscurità assiologica</w:t>
      </w:r>
      <w:r w:rsidR="0061239E" w:rsidRPr="00375B80">
        <w:rPr>
          <w:rFonts w:ascii="Garamond" w:hAnsi="Garamond" w:cs="Times New Roman"/>
          <w:sz w:val="24"/>
          <w:szCs w:val="24"/>
        </w:rPr>
        <w:t xml:space="preserve"> nella quale ogni via di diritto e ogni approdo sono quasi casuali o – peggio – rimessi alla ponderazione soggettiva di opache capacità di pressione sul decisore pubblico.</w:t>
      </w:r>
    </w:p>
    <w:p w14:paraId="18C14A63" w14:textId="7E3A9259" w:rsidR="00E247A1" w:rsidRPr="00375B80" w:rsidRDefault="0061239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 xml:space="preserve">La visione congiunta </w:t>
      </w:r>
      <w:r w:rsidR="00CE35C3" w:rsidRPr="00375B80">
        <w:rPr>
          <w:rFonts w:ascii="Garamond" w:hAnsi="Garamond" w:cs="Times New Roman"/>
          <w:sz w:val="24"/>
          <w:szCs w:val="24"/>
        </w:rPr>
        <w:t xml:space="preserve">dei tre poli di valore evocati dalle norme di cui all’art. 117, comma 2, lett. m), lett. s) e comma 3 consente invece di identificare con precisione il bene giuridico di base. L’omega stemmatico (ancora non perduto…), per usare una terminologia lachmanniana, è la risultante delle tre linee andamentali, la quale </w:t>
      </w:r>
      <w:r w:rsidR="009328BF" w:rsidRPr="00375B80">
        <w:rPr>
          <w:rFonts w:ascii="Garamond" w:hAnsi="Garamond" w:cs="Times New Roman"/>
          <w:sz w:val="24"/>
          <w:szCs w:val="24"/>
        </w:rPr>
        <w:t>ne costituisce sintesi</w:t>
      </w:r>
      <w:r w:rsidR="00D254BF" w:rsidRPr="00375B80">
        <w:rPr>
          <w:rFonts w:ascii="Garamond" w:hAnsi="Garamond" w:cs="Times New Roman"/>
          <w:sz w:val="24"/>
          <w:szCs w:val="24"/>
        </w:rPr>
        <w:t xml:space="preserve"> e compimento</w:t>
      </w:r>
      <w:r w:rsidR="009328BF" w:rsidRPr="00375B80">
        <w:rPr>
          <w:rFonts w:ascii="Garamond" w:hAnsi="Garamond" w:cs="Times New Roman"/>
          <w:sz w:val="24"/>
          <w:szCs w:val="24"/>
        </w:rPr>
        <w:t xml:space="preserve">. Possiamo definirlo – come ha proposto un contributo </w:t>
      </w:r>
      <w:r w:rsidR="00E247A1" w:rsidRPr="00375B80">
        <w:rPr>
          <w:rFonts w:ascii="Garamond" w:hAnsi="Garamond" w:cs="Times New Roman"/>
          <w:sz w:val="24"/>
          <w:szCs w:val="24"/>
        </w:rPr>
        <w:t xml:space="preserve">recente </w:t>
      </w:r>
      <w:r w:rsidR="009328BF" w:rsidRPr="00375B80">
        <w:rPr>
          <w:rFonts w:ascii="Garamond" w:hAnsi="Garamond" w:cs="Times New Roman"/>
          <w:sz w:val="24"/>
          <w:szCs w:val="24"/>
        </w:rPr>
        <w:t>– «interesse alla tutela dell’integrità ecologica»</w:t>
      </w:r>
      <w:r w:rsidR="009328BF" w:rsidRPr="00375B80">
        <w:rPr>
          <w:rStyle w:val="Rimandonotaapidipagina"/>
          <w:rFonts w:ascii="Garamond" w:hAnsi="Garamond" w:cs="Times New Roman"/>
          <w:sz w:val="24"/>
          <w:szCs w:val="24"/>
        </w:rPr>
        <w:footnoteReference w:id="37"/>
      </w:r>
      <w:r w:rsidR="009328BF" w:rsidRPr="00375B80">
        <w:rPr>
          <w:rFonts w:ascii="Garamond" w:hAnsi="Garamond" w:cs="Times New Roman"/>
          <w:sz w:val="24"/>
          <w:szCs w:val="24"/>
        </w:rPr>
        <w:t xml:space="preserve">: </w:t>
      </w:r>
      <w:r w:rsidR="009328BF" w:rsidRPr="00375B80">
        <w:rPr>
          <w:rFonts w:ascii="Garamond" w:hAnsi="Garamond" w:cs="Times New Roman"/>
          <w:i/>
          <w:sz w:val="24"/>
          <w:szCs w:val="24"/>
        </w:rPr>
        <w:t>breviter</w:t>
      </w:r>
      <w:r w:rsidR="009328BF" w:rsidRPr="00375B80">
        <w:rPr>
          <w:rFonts w:ascii="Garamond" w:hAnsi="Garamond" w:cs="Times New Roman"/>
          <w:sz w:val="24"/>
          <w:szCs w:val="24"/>
        </w:rPr>
        <w:t>, interesse ecologico</w:t>
      </w:r>
      <w:r w:rsidR="00E247A1" w:rsidRPr="00375B80">
        <w:rPr>
          <w:rFonts w:ascii="Garamond" w:hAnsi="Garamond" w:cs="Times New Roman"/>
          <w:sz w:val="24"/>
          <w:szCs w:val="24"/>
        </w:rPr>
        <w:t>. Minacciato – ci ricorda questa riflessione – da una dequotazione</w:t>
      </w:r>
      <w:r w:rsidR="001838D2" w:rsidRPr="00375B80">
        <w:rPr>
          <w:rFonts w:ascii="Garamond" w:hAnsi="Garamond" w:cs="Times New Roman"/>
          <w:sz w:val="24"/>
          <w:szCs w:val="24"/>
        </w:rPr>
        <w:t xml:space="preserve"> duplice</w:t>
      </w:r>
      <w:r w:rsidR="00E247A1" w:rsidRPr="00375B80">
        <w:rPr>
          <w:rFonts w:ascii="Garamond" w:hAnsi="Garamond" w:cs="Times New Roman"/>
          <w:sz w:val="24"/>
          <w:szCs w:val="24"/>
        </w:rPr>
        <w:t xml:space="preserve">: per </w:t>
      </w:r>
      <w:r w:rsidR="00E247A1" w:rsidRPr="00375B80">
        <w:rPr>
          <w:rFonts w:ascii="Garamond" w:hAnsi="Garamond" w:cs="Times New Roman"/>
          <w:i/>
          <w:sz w:val="24"/>
          <w:szCs w:val="24"/>
        </w:rPr>
        <w:t>omologazione</w:t>
      </w:r>
      <w:r w:rsidR="00E247A1" w:rsidRPr="00375B80">
        <w:rPr>
          <w:rFonts w:ascii="Garamond" w:hAnsi="Garamond" w:cs="Times New Roman"/>
          <w:sz w:val="24"/>
          <w:szCs w:val="24"/>
        </w:rPr>
        <w:t xml:space="preserve"> alla pletora vociante degli altri interessi </w:t>
      </w:r>
      <w:r w:rsidR="001838D2" w:rsidRPr="00375B80">
        <w:rPr>
          <w:rFonts w:ascii="Garamond" w:hAnsi="Garamond" w:cs="Times New Roman"/>
          <w:sz w:val="24"/>
          <w:szCs w:val="24"/>
        </w:rPr>
        <w:t xml:space="preserve">che reclamano </w:t>
      </w:r>
      <w:r w:rsidR="00D254BF" w:rsidRPr="00375B80">
        <w:rPr>
          <w:rFonts w:ascii="Garamond" w:hAnsi="Garamond" w:cs="Times New Roman"/>
          <w:sz w:val="24"/>
          <w:szCs w:val="24"/>
        </w:rPr>
        <w:t xml:space="preserve">pur comprensibilmente </w:t>
      </w:r>
      <w:r w:rsidR="001838D2" w:rsidRPr="00375B80">
        <w:rPr>
          <w:rFonts w:ascii="Garamond" w:hAnsi="Garamond" w:cs="Times New Roman"/>
          <w:sz w:val="24"/>
          <w:szCs w:val="24"/>
        </w:rPr>
        <w:t xml:space="preserve">il medesimo rango (difesa, sicurezza, salute, paesaggio, etc.); per </w:t>
      </w:r>
      <w:r w:rsidR="001838D2" w:rsidRPr="00375B80">
        <w:rPr>
          <w:rFonts w:ascii="Garamond" w:hAnsi="Garamond" w:cs="Times New Roman"/>
          <w:i/>
          <w:sz w:val="24"/>
          <w:szCs w:val="24"/>
        </w:rPr>
        <w:t>erosione</w:t>
      </w:r>
      <w:r w:rsidR="001838D2" w:rsidRPr="00375B80">
        <w:rPr>
          <w:rFonts w:ascii="Garamond" w:hAnsi="Garamond" w:cs="Times New Roman"/>
          <w:sz w:val="24"/>
          <w:szCs w:val="24"/>
        </w:rPr>
        <w:t xml:space="preserve"> rispetto alla traenza imperiosa dell’interesse economico (col connesso ricatto occupazionale).</w:t>
      </w:r>
      <w:r w:rsidR="00485D5C" w:rsidRPr="00375B80">
        <w:rPr>
          <w:rFonts w:ascii="Garamond" w:hAnsi="Garamond" w:cs="Times New Roman"/>
          <w:sz w:val="24"/>
          <w:szCs w:val="24"/>
        </w:rPr>
        <w:t xml:space="preserve"> </w:t>
      </w:r>
    </w:p>
    <w:p w14:paraId="3AFD29BC" w14:textId="335BA241" w:rsidR="00485D5C" w:rsidRPr="00375B80" w:rsidRDefault="00D254B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Su questa pietra angolare dovrebbe essere pensato «un nuovo diritto amministrativo che si candidi ad essere, innanzitutto, custode della perpetuazione della vita alla scala ecologica»</w:t>
      </w:r>
      <w:r w:rsidRPr="00375B80">
        <w:rPr>
          <w:rStyle w:val="Rimandonotaapidipagina"/>
          <w:rFonts w:ascii="Garamond" w:hAnsi="Garamond" w:cs="Times New Roman"/>
          <w:sz w:val="24"/>
          <w:szCs w:val="24"/>
        </w:rPr>
        <w:footnoteReference w:id="38"/>
      </w:r>
      <w:r w:rsidRPr="00375B80">
        <w:rPr>
          <w:rFonts w:ascii="Garamond" w:hAnsi="Garamond" w:cs="Times New Roman"/>
          <w:sz w:val="24"/>
          <w:szCs w:val="24"/>
        </w:rPr>
        <w:t>.</w:t>
      </w:r>
    </w:p>
    <w:p w14:paraId="4B7DA5B1" w14:textId="62AAF2FF" w:rsidR="00075F4A" w:rsidRPr="00375B80" w:rsidRDefault="00075F4A" w:rsidP="00DE366E">
      <w:pPr>
        <w:spacing w:after="0" w:line="360" w:lineRule="auto"/>
        <w:contextualSpacing/>
        <w:jc w:val="both"/>
        <w:rPr>
          <w:rFonts w:ascii="Garamond" w:hAnsi="Garamond" w:cs="Times New Roman"/>
          <w:sz w:val="24"/>
          <w:szCs w:val="24"/>
        </w:rPr>
      </w:pPr>
    </w:p>
    <w:p w14:paraId="668439BD" w14:textId="79A7F281" w:rsidR="00770D6D" w:rsidRPr="00770D6D" w:rsidRDefault="00CB3FDC" w:rsidP="00DE366E">
      <w:pPr>
        <w:spacing w:after="0" w:line="360" w:lineRule="auto"/>
        <w:contextualSpacing/>
        <w:jc w:val="both"/>
        <w:rPr>
          <w:rFonts w:ascii="Garamond" w:hAnsi="Garamond" w:cs="Times New Roman"/>
          <w:b/>
          <w:sz w:val="24"/>
          <w:szCs w:val="24"/>
        </w:rPr>
      </w:pPr>
      <w:r w:rsidRPr="00770D6D">
        <w:rPr>
          <w:rFonts w:ascii="Garamond" w:hAnsi="Garamond" w:cs="Times New Roman"/>
          <w:b/>
          <w:sz w:val="24"/>
          <w:szCs w:val="24"/>
        </w:rPr>
        <w:t xml:space="preserve">3. Depianificazione </w:t>
      </w:r>
      <w:r w:rsidR="005C0D5B" w:rsidRPr="00770D6D">
        <w:rPr>
          <w:rFonts w:ascii="Garamond" w:hAnsi="Garamond" w:cs="Times New Roman"/>
          <w:b/>
          <w:sz w:val="24"/>
          <w:szCs w:val="24"/>
        </w:rPr>
        <w:t xml:space="preserve">e </w:t>
      </w:r>
      <w:r w:rsidR="006758CB" w:rsidRPr="00770D6D">
        <w:rPr>
          <w:rFonts w:ascii="Garamond" w:hAnsi="Garamond" w:cs="Times New Roman"/>
          <w:b/>
          <w:sz w:val="24"/>
          <w:szCs w:val="24"/>
        </w:rPr>
        <w:t xml:space="preserve">“cultura” </w:t>
      </w:r>
      <w:r w:rsidRPr="00770D6D">
        <w:rPr>
          <w:rFonts w:ascii="Garamond" w:hAnsi="Garamond" w:cs="Times New Roman"/>
          <w:b/>
          <w:sz w:val="24"/>
          <w:szCs w:val="24"/>
        </w:rPr>
        <w:t>del progetto</w:t>
      </w:r>
      <w:r w:rsidR="005C0D5B" w:rsidRPr="00770D6D">
        <w:rPr>
          <w:rFonts w:ascii="Garamond" w:hAnsi="Garamond" w:cs="Times New Roman"/>
          <w:b/>
          <w:sz w:val="24"/>
          <w:szCs w:val="24"/>
        </w:rPr>
        <w:t>:</w:t>
      </w:r>
      <w:r w:rsidRPr="00770D6D">
        <w:rPr>
          <w:rFonts w:ascii="Garamond" w:hAnsi="Garamond" w:cs="Times New Roman"/>
          <w:b/>
          <w:sz w:val="24"/>
          <w:szCs w:val="24"/>
        </w:rPr>
        <w:t xml:space="preserve"> </w:t>
      </w:r>
      <w:r w:rsidR="001945BE" w:rsidRPr="00770D6D">
        <w:rPr>
          <w:rFonts w:ascii="Garamond" w:hAnsi="Garamond" w:cs="Times New Roman"/>
          <w:b/>
          <w:sz w:val="24"/>
          <w:szCs w:val="24"/>
        </w:rPr>
        <w:t xml:space="preserve">coalescenze per </w:t>
      </w:r>
      <w:r w:rsidR="0061239E" w:rsidRPr="00770D6D">
        <w:rPr>
          <w:rFonts w:ascii="Garamond" w:hAnsi="Garamond" w:cs="Times New Roman"/>
          <w:b/>
          <w:sz w:val="24"/>
          <w:szCs w:val="24"/>
        </w:rPr>
        <w:t>una v</w:t>
      </w:r>
      <w:r w:rsidR="00641417" w:rsidRPr="00770D6D">
        <w:rPr>
          <w:rFonts w:ascii="Garamond" w:hAnsi="Garamond" w:cs="Times New Roman"/>
          <w:b/>
          <w:sz w:val="24"/>
          <w:szCs w:val="24"/>
        </w:rPr>
        <w:t>eduta</w:t>
      </w:r>
      <w:r w:rsidR="009B68E3" w:rsidRPr="00770D6D">
        <w:rPr>
          <w:rFonts w:ascii="Garamond" w:hAnsi="Garamond" w:cs="Times New Roman"/>
          <w:b/>
          <w:sz w:val="24"/>
          <w:szCs w:val="24"/>
        </w:rPr>
        <w:t xml:space="preserve"> biocentrica</w:t>
      </w:r>
    </w:p>
    <w:p w14:paraId="37A8047D" w14:textId="45298FF3" w:rsidR="00075F4A" w:rsidRPr="00375B80" w:rsidRDefault="00F37D44"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Giannini ci diceva che gli urbanisti sono spesso avanti a noi</w:t>
      </w:r>
      <w:r w:rsidR="00B239FB" w:rsidRPr="00375B80">
        <w:rPr>
          <w:rFonts w:ascii="Garamond" w:hAnsi="Garamond" w:cs="Times New Roman"/>
          <w:sz w:val="24"/>
          <w:szCs w:val="24"/>
        </w:rPr>
        <w:t xml:space="preserve">. I giuristi rincorrono e offrono </w:t>
      </w:r>
      <w:r w:rsidR="00E66303" w:rsidRPr="00375B80">
        <w:rPr>
          <w:rFonts w:ascii="Garamond" w:hAnsi="Garamond" w:cs="Times New Roman"/>
          <w:sz w:val="24"/>
          <w:szCs w:val="24"/>
        </w:rPr>
        <w:t xml:space="preserve">successive </w:t>
      </w:r>
      <w:r w:rsidR="00B239FB" w:rsidRPr="00375B80">
        <w:rPr>
          <w:rFonts w:ascii="Garamond" w:hAnsi="Garamond" w:cs="Times New Roman"/>
          <w:sz w:val="24"/>
          <w:szCs w:val="24"/>
        </w:rPr>
        <w:t xml:space="preserve">ipotesi di inquadramento </w:t>
      </w:r>
      <w:r w:rsidR="00B239FB" w:rsidRPr="00375B80">
        <w:rPr>
          <w:rFonts w:ascii="Garamond" w:hAnsi="Garamond" w:cs="Times New Roman"/>
          <w:i/>
          <w:sz w:val="24"/>
          <w:szCs w:val="24"/>
        </w:rPr>
        <w:t>sub specie iuris.</w:t>
      </w:r>
    </w:p>
    <w:p w14:paraId="3111D05D" w14:textId="70D72B27" w:rsidR="00B239FB" w:rsidRPr="00375B80" w:rsidRDefault="00B239FB"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A me pare che anche questi ultimi periodi confermino l’affermazione del Maestro.</w:t>
      </w:r>
    </w:p>
    <w:p w14:paraId="099F5C06" w14:textId="50835842" w:rsidR="00B239FB" w:rsidRPr="00375B80" w:rsidRDefault="00B239FB"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Anzi, la divaricazione fra le due visioni scientifiche della regolazione territoriale mi sembra oggi particolarmente accentuata rispetto al passato.</w:t>
      </w:r>
    </w:p>
    <w:p w14:paraId="59DDBFA1" w14:textId="0D6907D3" w:rsidR="00B239FB" w:rsidRPr="00375B80" w:rsidRDefault="00B239FB"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Parto da alcune brevissime constatazioni oggettive.</w:t>
      </w:r>
    </w:p>
    <w:p w14:paraId="6DB49D64" w14:textId="6B72BA6A" w:rsidR="00AA6D12" w:rsidRPr="00375B80" w:rsidRDefault="0018669B"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Il “ponte” della legge del 1967 non ha mai visto l’altra riva (altra amara profezia di Giannini). Né credo la conoscerà. Come la legge del 1942 fu opera di coraggiosi urbanisti osteggiati dal regime (</w:t>
      </w:r>
      <w:r w:rsidR="00AA6D12" w:rsidRPr="00375B80">
        <w:rPr>
          <w:rFonts w:ascii="Garamond" w:hAnsi="Garamond" w:cs="Times New Roman"/>
          <w:sz w:val="24"/>
          <w:szCs w:val="24"/>
        </w:rPr>
        <w:t xml:space="preserve">Giuseppe </w:t>
      </w:r>
      <w:r w:rsidRPr="00375B80">
        <w:rPr>
          <w:rFonts w:ascii="Garamond" w:hAnsi="Garamond" w:cs="Times New Roman"/>
          <w:sz w:val="24"/>
          <w:szCs w:val="24"/>
        </w:rPr>
        <w:t>Gorla</w:t>
      </w:r>
      <w:r w:rsidR="00AA6D12" w:rsidRPr="00375B80">
        <w:rPr>
          <w:rStyle w:val="Rimandonotaapidipagina"/>
          <w:rFonts w:ascii="Garamond" w:hAnsi="Garamond" w:cs="Times New Roman"/>
          <w:sz w:val="24"/>
          <w:szCs w:val="24"/>
        </w:rPr>
        <w:footnoteReference w:id="39"/>
      </w:r>
      <w:r w:rsidR="00AA6D12" w:rsidRPr="00375B80">
        <w:rPr>
          <w:rFonts w:ascii="Garamond" w:hAnsi="Garamond" w:cs="Times New Roman"/>
          <w:sz w:val="24"/>
          <w:szCs w:val="24"/>
        </w:rPr>
        <w:t xml:space="preserve">, anzitutto), così la normazione del 1967-1968 fu assai resistita dal blocco edilizio e comunque – s’è visto – tragicamente bifronte. La pasticciata e timidetta riforma costituzionale del 2001 non s’è spinta oltre un mutamento lessicale, che – s’è pure detto – ha impegnato gli altri due formanti in un gioco esegetico </w:t>
      </w:r>
      <w:r w:rsidR="003751F6" w:rsidRPr="00375B80">
        <w:rPr>
          <w:rFonts w:ascii="Garamond" w:hAnsi="Garamond" w:cs="Times New Roman"/>
          <w:sz w:val="24"/>
          <w:szCs w:val="24"/>
        </w:rPr>
        <w:t xml:space="preserve">con esiti </w:t>
      </w:r>
      <w:r w:rsidR="00AA6D12" w:rsidRPr="00375B80">
        <w:rPr>
          <w:rFonts w:ascii="Garamond" w:hAnsi="Garamond" w:cs="Times New Roman"/>
          <w:sz w:val="24"/>
          <w:szCs w:val="24"/>
        </w:rPr>
        <w:t>alfine di piccolo cabotaggio</w:t>
      </w:r>
      <w:r w:rsidR="00FC18ED" w:rsidRPr="00375B80">
        <w:rPr>
          <w:rStyle w:val="Rimandonotaapidipagina"/>
          <w:rFonts w:ascii="Garamond" w:hAnsi="Garamond" w:cs="Times New Roman"/>
          <w:sz w:val="24"/>
          <w:szCs w:val="24"/>
        </w:rPr>
        <w:footnoteReference w:id="40"/>
      </w:r>
      <w:r w:rsidR="00AA6D12" w:rsidRPr="00375B80">
        <w:rPr>
          <w:rFonts w:ascii="Garamond" w:hAnsi="Garamond" w:cs="Times New Roman"/>
          <w:sz w:val="24"/>
          <w:szCs w:val="24"/>
        </w:rPr>
        <w:t>.</w:t>
      </w:r>
    </w:p>
    <w:p w14:paraId="4B26396B" w14:textId="41EFDF34" w:rsidR="003467DE" w:rsidRPr="00375B80" w:rsidRDefault="00431BD0"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Se m’è consentito, aggiungo un dato: </w:t>
      </w:r>
      <w:r w:rsidR="00354BFE" w:rsidRPr="00375B80">
        <w:rPr>
          <w:rFonts w:ascii="Garamond" w:hAnsi="Garamond" w:cs="Times New Roman"/>
          <w:sz w:val="24"/>
          <w:szCs w:val="24"/>
        </w:rPr>
        <w:t xml:space="preserve">più volte </w:t>
      </w:r>
      <w:r w:rsidRPr="00375B80">
        <w:rPr>
          <w:rFonts w:ascii="Garamond" w:hAnsi="Garamond" w:cs="Times New Roman"/>
          <w:sz w:val="24"/>
          <w:szCs w:val="24"/>
        </w:rPr>
        <w:t>audito innanzi all</w:t>
      </w:r>
      <w:r w:rsidR="00354BFE" w:rsidRPr="00375B80">
        <w:rPr>
          <w:rFonts w:ascii="Garamond" w:hAnsi="Garamond" w:cs="Times New Roman"/>
          <w:sz w:val="24"/>
          <w:szCs w:val="24"/>
        </w:rPr>
        <w:t>e</w:t>
      </w:r>
      <w:r w:rsidRPr="00375B80">
        <w:rPr>
          <w:rFonts w:ascii="Garamond" w:hAnsi="Garamond" w:cs="Times New Roman"/>
          <w:sz w:val="24"/>
          <w:szCs w:val="24"/>
        </w:rPr>
        <w:t xml:space="preserve"> Commission</w:t>
      </w:r>
      <w:r w:rsidR="00354BFE" w:rsidRPr="00375B80">
        <w:rPr>
          <w:rFonts w:ascii="Garamond" w:hAnsi="Garamond" w:cs="Times New Roman"/>
          <w:sz w:val="24"/>
          <w:szCs w:val="24"/>
        </w:rPr>
        <w:t>i</w:t>
      </w:r>
      <w:r w:rsidRPr="00375B80">
        <w:rPr>
          <w:rFonts w:ascii="Garamond" w:hAnsi="Garamond" w:cs="Times New Roman"/>
          <w:sz w:val="24"/>
          <w:szCs w:val="24"/>
        </w:rPr>
        <w:t xml:space="preserve"> affari costituzionali </w:t>
      </w:r>
      <w:r w:rsidR="00354BFE" w:rsidRPr="00375B80">
        <w:rPr>
          <w:rFonts w:ascii="Garamond" w:hAnsi="Garamond" w:cs="Times New Roman"/>
          <w:sz w:val="24"/>
          <w:szCs w:val="24"/>
        </w:rPr>
        <w:t xml:space="preserve">di Camera e Senato </w:t>
      </w:r>
      <w:r w:rsidRPr="00375B80">
        <w:rPr>
          <w:rFonts w:ascii="Garamond" w:hAnsi="Garamond" w:cs="Times New Roman"/>
          <w:sz w:val="24"/>
          <w:szCs w:val="24"/>
        </w:rPr>
        <w:t xml:space="preserve">durante l’iter di approvazione della riforma c.d. Renzi-Boschi, </w:t>
      </w:r>
      <w:r w:rsidR="00E515A6" w:rsidRPr="00375B80">
        <w:rPr>
          <w:rFonts w:ascii="Garamond" w:hAnsi="Garamond" w:cs="Times New Roman"/>
          <w:sz w:val="24"/>
          <w:szCs w:val="24"/>
        </w:rPr>
        <w:t xml:space="preserve">proposi </w:t>
      </w:r>
      <w:r w:rsidR="00354BFE" w:rsidRPr="00375B80">
        <w:rPr>
          <w:rFonts w:ascii="Garamond" w:hAnsi="Garamond" w:cs="Times New Roman"/>
          <w:sz w:val="24"/>
          <w:szCs w:val="24"/>
        </w:rPr>
        <w:t xml:space="preserve">di </w:t>
      </w:r>
      <w:r w:rsidR="00354BFE" w:rsidRPr="00375B80">
        <w:rPr>
          <w:rFonts w:ascii="Garamond" w:hAnsi="Garamond" w:cs="Times New Roman"/>
          <w:sz w:val="24"/>
          <w:szCs w:val="24"/>
        </w:rPr>
        <w:lastRenderedPageBreak/>
        <w:t xml:space="preserve">indicare nell’art. 117 almeno i principali fra gli «oggetti» di cui la </w:t>
      </w:r>
      <w:r w:rsidR="00E515A6" w:rsidRPr="00375B80">
        <w:rPr>
          <w:rFonts w:ascii="Garamond" w:hAnsi="Garamond" w:cs="Times New Roman"/>
          <w:sz w:val="24"/>
          <w:szCs w:val="24"/>
        </w:rPr>
        <w:t xml:space="preserve">(agognata) </w:t>
      </w:r>
      <w:r w:rsidR="00354BFE" w:rsidRPr="00375B80">
        <w:rPr>
          <w:rFonts w:ascii="Garamond" w:hAnsi="Garamond" w:cs="Times New Roman"/>
          <w:sz w:val="24"/>
          <w:szCs w:val="24"/>
        </w:rPr>
        <w:t xml:space="preserve">legge </w:t>
      </w:r>
      <w:r w:rsidR="00E515A6" w:rsidRPr="00375B80">
        <w:rPr>
          <w:rFonts w:ascii="Garamond" w:hAnsi="Garamond" w:cs="Times New Roman"/>
          <w:sz w:val="24"/>
          <w:szCs w:val="24"/>
        </w:rPr>
        <w:t xml:space="preserve">urbanistica </w:t>
      </w:r>
      <w:r w:rsidR="00354BFE" w:rsidRPr="00375B80">
        <w:rPr>
          <w:rFonts w:ascii="Garamond" w:hAnsi="Garamond" w:cs="Times New Roman"/>
          <w:sz w:val="24"/>
          <w:szCs w:val="24"/>
        </w:rPr>
        <w:t xml:space="preserve">statale </w:t>
      </w:r>
      <w:r w:rsidR="00E515A6" w:rsidRPr="00375B80">
        <w:rPr>
          <w:rFonts w:ascii="Garamond" w:hAnsi="Garamond" w:cs="Times New Roman"/>
          <w:sz w:val="24"/>
          <w:szCs w:val="24"/>
        </w:rPr>
        <w:t>avrebbe dovuto</w:t>
      </w:r>
      <w:r w:rsidR="00354BFE" w:rsidRPr="00375B80">
        <w:rPr>
          <w:rFonts w:ascii="Garamond" w:hAnsi="Garamond" w:cs="Times New Roman"/>
          <w:sz w:val="24"/>
          <w:szCs w:val="24"/>
        </w:rPr>
        <w:t xml:space="preserve"> occuparsi. Fra questi, anzitutto la tipologia dei piani, poiché ogni Regione ha coniato una pluralità disomogenea di </w:t>
      </w:r>
      <w:r w:rsidR="00E515A6" w:rsidRPr="00375B80">
        <w:rPr>
          <w:rFonts w:ascii="Garamond" w:hAnsi="Garamond" w:cs="Times New Roman"/>
          <w:sz w:val="24"/>
          <w:szCs w:val="24"/>
        </w:rPr>
        <w:t xml:space="preserve">strumenti; </w:t>
      </w:r>
      <w:r w:rsidR="00354BFE" w:rsidRPr="00375B80">
        <w:rPr>
          <w:rFonts w:ascii="Garamond" w:hAnsi="Garamond" w:cs="Times New Roman"/>
          <w:sz w:val="24"/>
          <w:szCs w:val="24"/>
        </w:rPr>
        <w:t>insieme con il procedimento di formazione</w:t>
      </w:r>
      <w:r w:rsidR="00E515A6" w:rsidRPr="00375B80">
        <w:rPr>
          <w:rFonts w:ascii="Garamond" w:hAnsi="Garamond" w:cs="Times New Roman"/>
          <w:sz w:val="24"/>
          <w:szCs w:val="24"/>
        </w:rPr>
        <w:t xml:space="preserve"> del piano</w:t>
      </w:r>
      <w:r w:rsidR="00354BFE" w:rsidRPr="00375B80">
        <w:rPr>
          <w:rFonts w:ascii="Garamond" w:hAnsi="Garamond" w:cs="Times New Roman"/>
          <w:sz w:val="24"/>
          <w:szCs w:val="24"/>
        </w:rPr>
        <w:t>, il regime dei vincoli e gli effetti conformativi sulla proprietà.</w:t>
      </w:r>
      <w:r w:rsidR="003467DE" w:rsidRPr="00375B80">
        <w:rPr>
          <w:rFonts w:ascii="Garamond" w:hAnsi="Garamond" w:cs="Times New Roman"/>
          <w:sz w:val="24"/>
          <w:szCs w:val="24"/>
        </w:rPr>
        <w:t xml:space="preserve"> </w:t>
      </w:r>
    </w:p>
    <w:p w14:paraId="2B667683" w14:textId="705BDDEA" w:rsidR="00FC18ED" w:rsidRPr="00375B80" w:rsidRDefault="000C2AF8"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In sintesi, la questione urbanistica non è mai stata </w:t>
      </w:r>
      <w:r w:rsidR="00EE1EE2" w:rsidRPr="00375B80">
        <w:rPr>
          <w:rFonts w:ascii="Garamond" w:hAnsi="Garamond" w:cs="Times New Roman"/>
          <w:sz w:val="24"/>
          <w:szCs w:val="24"/>
        </w:rPr>
        <w:t xml:space="preserve">prioritaria </w:t>
      </w:r>
      <w:r w:rsidRPr="00375B80">
        <w:rPr>
          <w:rFonts w:ascii="Garamond" w:hAnsi="Garamond" w:cs="Times New Roman"/>
          <w:sz w:val="24"/>
          <w:szCs w:val="24"/>
        </w:rPr>
        <w:t xml:space="preserve">nell’agenda politica </w:t>
      </w:r>
      <w:r w:rsidR="004B5F6B" w:rsidRPr="00375B80">
        <w:rPr>
          <w:rFonts w:ascii="Garamond" w:hAnsi="Garamond" w:cs="Times New Roman"/>
          <w:sz w:val="24"/>
          <w:szCs w:val="24"/>
        </w:rPr>
        <w:t>nazionale</w:t>
      </w:r>
      <w:r w:rsidR="00232C01" w:rsidRPr="00375B80">
        <w:rPr>
          <w:rFonts w:ascii="Garamond" w:hAnsi="Garamond" w:cs="Times New Roman"/>
          <w:sz w:val="24"/>
          <w:szCs w:val="24"/>
        </w:rPr>
        <w:t>,</w:t>
      </w:r>
      <w:r w:rsidR="004B5F6B" w:rsidRPr="00375B80">
        <w:rPr>
          <w:rFonts w:ascii="Garamond" w:hAnsi="Garamond" w:cs="Times New Roman"/>
          <w:sz w:val="24"/>
          <w:szCs w:val="24"/>
        </w:rPr>
        <w:t xml:space="preserve"> </w:t>
      </w:r>
      <w:r w:rsidRPr="00375B80">
        <w:rPr>
          <w:rFonts w:ascii="Garamond" w:hAnsi="Garamond" w:cs="Times New Roman"/>
          <w:sz w:val="24"/>
          <w:szCs w:val="24"/>
        </w:rPr>
        <w:t>con l’eccezione forse dei ferv</w:t>
      </w:r>
      <w:r w:rsidR="004B5F6B" w:rsidRPr="00375B80">
        <w:rPr>
          <w:rFonts w:ascii="Garamond" w:hAnsi="Garamond" w:cs="Times New Roman"/>
          <w:sz w:val="24"/>
          <w:szCs w:val="24"/>
        </w:rPr>
        <w:t>enti</w:t>
      </w:r>
      <w:r w:rsidRPr="00375B80">
        <w:rPr>
          <w:rFonts w:ascii="Garamond" w:hAnsi="Garamond" w:cs="Times New Roman"/>
          <w:sz w:val="24"/>
          <w:szCs w:val="24"/>
        </w:rPr>
        <w:t xml:space="preserve"> anni ’60, di cui ricordiamo anche l’annessa distruzione delle carriere politiche di chi – come Sullo – troppo aveva osato</w:t>
      </w:r>
      <w:r w:rsidR="00232C01" w:rsidRPr="00375B80">
        <w:rPr>
          <w:rStyle w:val="Rimandonotaapidipagina"/>
          <w:rFonts w:ascii="Garamond" w:hAnsi="Garamond" w:cs="Times New Roman"/>
          <w:sz w:val="24"/>
          <w:szCs w:val="24"/>
        </w:rPr>
        <w:footnoteReference w:id="41"/>
      </w:r>
      <w:r w:rsidRPr="00375B80">
        <w:rPr>
          <w:rFonts w:ascii="Garamond" w:hAnsi="Garamond" w:cs="Times New Roman"/>
          <w:sz w:val="24"/>
          <w:szCs w:val="24"/>
        </w:rPr>
        <w:t>.</w:t>
      </w:r>
    </w:p>
    <w:p w14:paraId="14185BB1" w14:textId="230D0F0A" w:rsidR="004F03A4" w:rsidRPr="00375B80" w:rsidRDefault="004F03A4"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Ma un profilo che il pensiero giuridico ha già evidenziato è la necessità di andare </w:t>
      </w:r>
      <w:r w:rsidRPr="00375B80">
        <w:rPr>
          <w:rFonts w:ascii="Garamond" w:hAnsi="Garamond" w:cs="Times New Roman"/>
          <w:i/>
          <w:sz w:val="24"/>
          <w:szCs w:val="24"/>
        </w:rPr>
        <w:t xml:space="preserve">oltre </w:t>
      </w:r>
      <w:r w:rsidRPr="00375B80">
        <w:rPr>
          <w:rFonts w:ascii="Garamond" w:hAnsi="Garamond" w:cs="Times New Roman"/>
          <w:sz w:val="24"/>
          <w:szCs w:val="24"/>
        </w:rPr>
        <w:t>il governo del territorio, se inteso nel senso classico di disciplina generale della gestione e della trasformazione degli ambiti (più o meno) antropizzati</w:t>
      </w:r>
      <w:r w:rsidRPr="00375B80">
        <w:rPr>
          <w:rStyle w:val="Rimandonotaapidipagina"/>
          <w:rFonts w:ascii="Garamond" w:hAnsi="Garamond" w:cs="Times New Roman"/>
          <w:sz w:val="24"/>
          <w:szCs w:val="24"/>
        </w:rPr>
        <w:footnoteReference w:id="42"/>
      </w:r>
      <w:r w:rsidRPr="00375B80">
        <w:rPr>
          <w:rFonts w:ascii="Garamond" w:hAnsi="Garamond" w:cs="Times New Roman"/>
          <w:sz w:val="24"/>
          <w:szCs w:val="24"/>
        </w:rPr>
        <w:t>.</w:t>
      </w:r>
    </w:p>
    <w:p w14:paraId="116C52EE" w14:textId="5DF17B69" w:rsidR="004B5F6B" w:rsidRPr="00375B80" w:rsidRDefault="004B5F6B"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Due </w:t>
      </w:r>
      <w:r w:rsidR="00852711" w:rsidRPr="00375B80">
        <w:rPr>
          <w:rFonts w:ascii="Garamond" w:hAnsi="Garamond" w:cs="Times New Roman"/>
          <w:sz w:val="24"/>
          <w:szCs w:val="24"/>
        </w:rPr>
        <w:t>sono</w:t>
      </w:r>
      <w:r w:rsidR="00EE1EE2" w:rsidRPr="00375B80">
        <w:rPr>
          <w:rFonts w:ascii="Garamond" w:hAnsi="Garamond" w:cs="Times New Roman"/>
          <w:sz w:val="24"/>
          <w:szCs w:val="24"/>
        </w:rPr>
        <w:t>, allora,</w:t>
      </w:r>
      <w:r w:rsidRPr="00375B80">
        <w:rPr>
          <w:rFonts w:ascii="Garamond" w:hAnsi="Garamond" w:cs="Times New Roman"/>
          <w:sz w:val="24"/>
          <w:szCs w:val="24"/>
        </w:rPr>
        <w:t xml:space="preserve"> </w:t>
      </w:r>
      <w:r w:rsidR="00852711" w:rsidRPr="00375B80">
        <w:rPr>
          <w:rFonts w:ascii="Garamond" w:hAnsi="Garamond" w:cs="Times New Roman"/>
          <w:sz w:val="24"/>
          <w:szCs w:val="24"/>
        </w:rPr>
        <w:t>le linee oggi da seguire, poiché è lungo il loro progredire che si stanno sviluppando le</w:t>
      </w:r>
      <w:r w:rsidR="00EE1EE2" w:rsidRPr="00375B80">
        <w:rPr>
          <w:rFonts w:ascii="Garamond" w:hAnsi="Garamond" w:cs="Times New Roman"/>
          <w:sz w:val="24"/>
          <w:szCs w:val="24"/>
        </w:rPr>
        <w:t xml:space="preserve"> </w:t>
      </w:r>
      <w:r w:rsidR="000526FB" w:rsidRPr="00375B80">
        <w:rPr>
          <w:rFonts w:ascii="Garamond" w:hAnsi="Garamond" w:cs="Times New Roman"/>
          <w:sz w:val="24"/>
          <w:szCs w:val="24"/>
        </w:rPr>
        <w:t>“avventure”</w:t>
      </w:r>
      <w:r w:rsidR="00852711" w:rsidRPr="00375B80">
        <w:rPr>
          <w:rFonts w:ascii="Garamond" w:hAnsi="Garamond" w:cs="Times New Roman"/>
          <w:sz w:val="24"/>
          <w:szCs w:val="24"/>
        </w:rPr>
        <w:t xml:space="preserve"> – teoriche e applicative – di regolazione territoriale.</w:t>
      </w:r>
    </w:p>
    <w:p w14:paraId="5C87BA0C" w14:textId="6C861522" w:rsidR="00852711" w:rsidRPr="00375B80" w:rsidRDefault="0085271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Entrambe assai note, almeno </w:t>
      </w:r>
      <w:r w:rsidRPr="00375B80">
        <w:rPr>
          <w:rFonts w:ascii="Garamond" w:hAnsi="Garamond" w:cs="Times New Roman"/>
          <w:i/>
          <w:sz w:val="24"/>
          <w:szCs w:val="24"/>
        </w:rPr>
        <w:t>in apicibus</w:t>
      </w:r>
      <w:r w:rsidRPr="00375B80">
        <w:rPr>
          <w:rFonts w:ascii="Garamond" w:hAnsi="Garamond" w:cs="Times New Roman"/>
          <w:sz w:val="24"/>
          <w:szCs w:val="24"/>
        </w:rPr>
        <w:t>. Regionalizzazione. Depianificazione.</w:t>
      </w:r>
    </w:p>
    <w:p w14:paraId="3186B712" w14:textId="77777777" w:rsidR="00B24783" w:rsidRPr="00375B80" w:rsidRDefault="0085271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La prima. Il silenzio </w:t>
      </w:r>
      <w:r w:rsidR="000526FB" w:rsidRPr="00375B80">
        <w:rPr>
          <w:rFonts w:ascii="Garamond" w:hAnsi="Garamond" w:cs="Times New Roman"/>
          <w:sz w:val="24"/>
          <w:szCs w:val="24"/>
        </w:rPr>
        <w:t>assoluto</w:t>
      </w:r>
      <w:r w:rsidR="00EE1EE2" w:rsidRPr="00375B80">
        <w:rPr>
          <w:rFonts w:ascii="Garamond" w:hAnsi="Garamond" w:cs="Times New Roman"/>
          <w:sz w:val="24"/>
          <w:szCs w:val="24"/>
        </w:rPr>
        <w:t xml:space="preserve"> del legislatore statale ha incentivato </w:t>
      </w:r>
      <w:r w:rsidR="000526FB" w:rsidRPr="00375B80">
        <w:rPr>
          <w:rFonts w:ascii="Garamond" w:hAnsi="Garamond" w:cs="Times New Roman"/>
          <w:sz w:val="24"/>
          <w:szCs w:val="24"/>
        </w:rPr>
        <w:t>le esperienze di normazione regionale.</w:t>
      </w:r>
      <w:r w:rsidR="004F03A4" w:rsidRPr="00375B80">
        <w:rPr>
          <w:rFonts w:ascii="Garamond" w:hAnsi="Garamond" w:cs="Times New Roman"/>
          <w:sz w:val="24"/>
          <w:szCs w:val="24"/>
        </w:rPr>
        <w:t xml:space="preserve"> Mi limito ovviamente al tema di fondo, cioè </w:t>
      </w:r>
      <w:r w:rsidR="00B24783" w:rsidRPr="00375B80">
        <w:rPr>
          <w:rFonts w:ascii="Garamond" w:hAnsi="Garamond" w:cs="Times New Roman"/>
          <w:sz w:val="24"/>
          <w:szCs w:val="24"/>
        </w:rPr>
        <w:t>all’immagine complessiva che l’«urbanistica regionale» offre.</w:t>
      </w:r>
    </w:p>
    <w:p w14:paraId="6829D3B8" w14:textId="790BFAF6" w:rsidR="004E73D2" w:rsidRPr="00375B80" w:rsidRDefault="00B24783"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Il disallineamento fra le generazioni di leggi (con Regioni che sono ben più avanzate d’altre) preclude un giudizio d’insieme.</w:t>
      </w:r>
    </w:p>
    <w:p w14:paraId="1E194762" w14:textId="77777777" w:rsidR="00B24783" w:rsidRPr="00375B80" w:rsidRDefault="00B24783"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Desidero però sottolineare un aspetto preliminare, restando sempre – di necessità – sul piano dell’analisi degli spazi, e dunque degli oggetti, consentiti alla normazione primaria delle Regioni.</w:t>
      </w:r>
    </w:p>
    <w:p w14:paraId="3D09410A" w14:textId="4225D22F" w:rsidR="002876B7" w:rsidRPr="00375B80" w:rsidRDefault="00B24783"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Devo tornare al d.m. </w:t>
      </w:r>
      <w:r w:rsidR="006F3156" w:rsidRPr="00375B80">
        <w:rPr>
          <w:rFonts w:ascii="Garamond" w:hAnsi="Garamond" w:cs="Times New Roman"/>
          <w:sz w:val="24"/>
          <w:szCs w:val="24"/>
        </w:rPr>
        <w:t xml:space="preserve">n. 1444/’68. Agli standards. Mezzo secolo di applicazione, e di evoluzione delle sensibilità </w:t>
      </w:r>
      <w:r w:rsidR="00785E4B" w:rsidRPr="00375B80">
        <w:rPr>
          <w:rFonts w:ascii="Garamond" w:hAnsi="Garamond" w:cs="Times New Roman"/>
          <w:sz w:val="24"/>
          <w:szCs w:val="24"/>
        </w:rPr>
        <w:t xml:space="preserve">civili </w:t>
      </w:r>
      <w:r w:rsidR="006F3156" w:rsidRPr="00375B80">
        <w:rPr>
          <w:rFonts w:ascii="Garamond" w:hAnsi="Garamond" w:cs="Times New Roman"/>
          <w:sz w:val="24"/>
          <w:szCs w:val="24"/>
        </w:rPr>
        <w:t>nel nostro Paese, ne hanno evidenziato i limiti.</w:t>
      </w:r>
    </w:p>
    <w:p w14:paraId="2A0C8C84" w14:textId="77777777" w:rsidR="00012B60" w:rsidRPr="00375B80" w:rsidRDefault="006907E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In disparte la monofunzionalità dello </w:t>
      </w:r>
      <w:r w:rsidRPr="00375B80">
        <w:rPr>
          <w:rFonts w:ascii="Garamond" w:hAnsi="Garamond" w:cs="Times New Roman"/>
          <w:i/>
          <w:sz w:val="24"/>
          <w:szCs w:val="24"/>
        </w:rPr>
        <w:t>zoning</w:t>
      </w:r>
      <w:r w:rsidRPr="00375B80">
        <w:rPr>
          <w:rFonts w:ascii="Garamond" w:hAnsi="Garamond" w:cs="Times New Roman"/>
          <w:sz w:val="24"/>
          <w:szCs w:val="24"/>
        </w:rPr>
        <w:t xml:space="preserve">, il decreto si mostra invecchiato nel suo stesso punto di forza: la visione integrale della </w:t>
      </w:r>
      <w:r w:rsidRPr="00375B80">
        <w:rPr>
          <w:rFonts w:ascii="Garamond" w:hAnsi="Garamond" w:cs="Times New Roman"/>
          <w:i/>
          <w:sz w:val="24"/>
          <w:szCs w:val="24"/>
        </w:rPr>
        <w:t>città</w:t>
      </w:r>
      <w:r w:rsidRPr="00375B80">
        <w:rPr>
          <w:rFonts w:ascii="Garamond" w:hAnsi="Garamond" w:cs="Times New Roman"/>
          <w:sz w:val="24"/>
          <w:szCs w:val="24"/>
        </w:rPr>
        <w:t xml:space="preserve"> e della </w:t>
      </w:r>
      <w:r w:rsidRPr="00375B80">
        <w:rPr>
          <w:rFonts w:ascii="Garamond" w:hAnsi="Garamond" w:cs="Times New Roman"/>
          <w:i/>
          <w:sz w:val="24"/>
          <w:szCs w:val="24"/>
        </w:rPr>
        <w:t>persona umana</w:t>
      </w:r>
      <w:r w:rsidRPr="00375B80">
        <w:rPr>
          <w:rFonts w:ascii="Garamond" w:hAnsi="Garamond" w:cs="Times New Roman"/>
          <w:sz w:val="24"/>
          <w:szCs w:val="24"/>
        </w:rPr>
        <w:t xml:space="preserve"> insediata.</w:t>
      </w:r>
      <w:r w:rsidR="00012B60" w:rsidRPr="00375B80">
        <w:rPr>
          <w:rFonts w:ascii="Garamond" w:hAnsi="Garamond" w:cs="Times New Roman"/>
          <w:sz w:val="24"/>
          <w:szCs w:val="24"/>
        </w:rPr>
        <w:t xml:space="preserve"> Se, per un verso, la premessa </w:t>
      </w:r>
      <w:r w:rsidR="00012B60" w:rsidRPr="00375B80">
        <w:rPr>
          <w:rFonts w:ascii="Garamond" w:hAnsi="Garamond" w:cs="Times New Roman"/>
          <w:i/>
          <w:sz w:val="24"/>
          <w:szCs w:val="24"/>
        </w:rPr>
        <w:t>metodologica</w:t>
      </w:r>
      <w:r w:rsidR="00012B60" w:rsidRPr="00375B80">
        <w:rPr>
          <w:rFonts w:ascii="Garamond" w:hAnsi="Garamond" w:cs="Times New Roman"/>
          <w:sz w:val="24"/>
          <w:szCs w:val="24"/>
        </w:rPr>
        <w:t xml:space="preserve"> di un approccio «integrale e integrato» conserva ancora tutta la sua validità, il tempo ha invece, dall’altro, segnato l’oggetto, il </w:t>
      </w:r>
      <w:r w:rsidR="00012B60" w:rsidRPr="00375B80">
        <w:rPr>
          <w:rFonts w:ascii="Garamond" w:hAnsi="Garamond" w:cs="Times New Roman"/>
          <w:i/>
          <w:sz w:val="24"/>
          <w:szCs w:val="24"/>
        </w:rPr>
        <w:t>merito</w:t>
      </w:r>
      <w:r w:rsidR="00012B60" w:rsidRPr="00375B80">
        <w:rPr>
          <w:rFonts w:ascii="Garamond" w:hAnsi="Garamond" w:cs="Times New Roman"/>
          <w:sz w:val="24"/>
          <w:szCs w:val="24"/>
        </w:rPr>
        <w:t xml:space="preserve"> del decreto.</w:t>
      </w:r>
    </w:p>
    <w:p w14:paraId="51DD6558" w14:textId="639F954B" w:rsidR="002876B7" w:rsidRPr="00375B80" w:rsidRDefault="003017C2"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lastRenderedPageBreak/>
        <w:t>Riprendo i</w:t>
      </w:r>
      <w:r w:rsidR="00012B60" w:rsidRPr="00375B80">
        <w:rPr>
          <w:rFonts w:ascii="Garamond" w:hAnsi="Garamond" w:cs="Times New Roman"/>
          <w:sz w:val="24"/>
          <w:szCs w:val="24"/>
        </w:rPr>
        <w:t>l tema con cui ho iniziato queste riflessioni</w:t>
      </w:r>
      <w:r w:rsidR="00174143" w:rsidRPr="00375B80">
        <w:rPr>
          <w:rFonts w:ascii="Garamond" w:hAnsi="Garamond" w:cs="Times New Roman"/>
          <w:sz w:val="24"/>
          <w:szCs w:val="24"/>
        </w:rPr>
        <w:t xml:space="preserve">: affermo che le sue rughe siano soprattutto nell’essere una regolazione </w:t>
      </w:r>
      <w:r w:rsidR="00174143" w:rsidRPr="00375B80">
        <w:rPr>
          <w:rFonts w:ascii="Garamond" w:hAnsi="Garamond" w:cs="Times New Roman"/>
          <w:i/>
          <w:sz w:val="24"/>
          <w:szCs w:val="24"/>
        </w:rPr>
        <w:t>antropocentrica</w:t>
      </w:r>
      <w:r w:rsidR="00174143" w:rsidRPr="00375B80">
        <w:rPr>
          <w:rFonts w:ascii="Garamond" w:hAnsi="Garamond" w:cs="Times New Roman"/>
          <w:sz w:val="24"/>
          <w:szCs w:val="24"/>
        </w:rPr>
        <w:t xml:space="preserve"> e </w:t>
      </w:r>
      <w:r w:rsidR="00174143" w:rsidRPr="00375B80">
        <w:rPr>
          <w:rFonts w:ascii="Garamond" w:hAnsi="Garamond" w:cs="Times New Roman"/>
          <w:i/>
          <w:sz w:val="24"/>
          <w:szCs w:val="24"/>
        </w:rPr>
        <w:t>urbanocentrica</w:t>
      </w:r>
      <w:r w:rsidR="00174143" w:rsidRPr="00375B80">
        <w:rPr>
          <w:rFonts w:ascii="Garamond" w:hAnsi="Garamond" w:cs="Times New Roman"/>
          <w:sz w:val="24"/>
          <w:szCs w:val="24"/>
        </w:rPr>
        <w:t>.</w:t>
      </w:r>
    </w:p>
    <w:p w14:paraId="708D327A" w14:textId="5154B0B3" w:rsidR="00174143" w:rsidRPr="00375B80" w:rsidRDefault="00174143"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La frontiera, da quei giorni, si è spostata molto in avanti. Dirò fra poco in quale direzione, almeno a mio avviso.</w:t>
      </w:r>
    </w:p>
    <w:p w14:paraId="390BABED" w14:textId="3FFD259F" w:rsidR="00174143" w:rsidRPr="00375B80" w:rsidRDefault="009A2A6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Prima, però, un’osservazione. Avanguardia normativa e – perché no – dello spirito umano nell’aver recepito la battaglia per il minimo esistenziale, paradossalmente il decreto è via via divenuto una remora per il progresso civile affidato alla cultura delle autonomie e dunque al</w:t>
      </w:r>
      <w:r w:rsidR="0019037F" w:rsidRPr="00375B80">
        <w:rPr>
          <w:rFonts w:ascii="Garamond" w:hAnsi="Garamond" w:cs="Times New Roman"/>
          <w:sz w:val="24"/>
          <w:szCs w:val="24"/>
        </w:rPr>
        <w:t>la trascrizione nel</w:t>
      </w:r>
      <w:r w:rsidRPr="00375B80">
        <w:rPr>
          <w:rFonts w:ascii="Garamond" w:hAnsi="Garamond" w:cs="Times New Roman"/>
          <w:sz w:val="24"/>
          <w:szCs w:val="24"/>
        </w:rPr>
        <w:t xml:space="preserve"> diritto regionale.</w:t>
      </w:r>
    </w:p>
    <w:p w14:paraId="7F3076FA" w14:textId="0055DBB3" w:rsidR="00794B8D" w:rsidRPr="00375B80" w:rsidRDefault="00794B8D"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Costruito con acribia di lessico, così da resistere agli urti corpulenti del blocco edilizio, le sue tante inderogabilità ne hanno </w:t>
      </w:r>
      <w:r w:rsidR="00785E4B" w:rsidRPr="00375B80">
        <w:rPr>
          <w:rFonts w:ascii="Garamond" w:hAnsi="Garamond" w:cs="Times New Roman"/>
          <w:sz w:val="24"/>
          <w:szCs w:val="24"/>
        </w:rPr>
        <w:t>causato</w:t>
      </w:r>
      <w:r w:rsidRPr="00375B80">
        <w:rPr>
          <w:rFonts w:ascii="Garamond" w:hAnsi="Garamond" w:cs="Times New Roman"/>
          <w:sz w:val="24"/>
          <w:szCs w:val="24"/>
        </w:rPr>
        <w:t xml:space="preserve"> anche l’invecchiamento progressivo. Un muro per le avanguardie regionali. Che però – è una novità da non passar sotto silenzio – possono sormontarlo in forza del nuovo, ancorché mal coordinato fra rubrica e testo, art. 2-</w:t>
      </w:r>
      <w:r w:rsidRPr="00375B80">
        <w:rPr>
          <w:rFonts w:ascii="Garamond" w:hAnsi="Garamond" w:cs="Times New Roman"/>
          <w:i/>
          <w:sz w:val="24"/>
          <w:szCs w:val="24"/>
        </w:rPr>
        <w:t>bis</w:t>
      </w:r>
      <w:r w:rsidRPr="00375B80">
        <w:rPr>
          <w:rFonts w:ascii="Garamond" w:hAnsi="Garamond" w:cs="Times New Roman"/>
          <w:sz w:val="24"/>
          <w:szCs w:val="24"/>
        </w:rPr>
        <w:t>, comma 1, t.u. n. 380/’01</w:t>
      </w:r>
      <w:r w:rsidRPr="00375B80">
        <w:rPr>
          <w:rStyle w:val="Rimandonotaapidipagina"/>
          <w:rFonts w:ascii="Garamond" w:hAnsi="Garamond" w:cs="Times New Roman"/>
          <w:sz w:val="24"/>
          <w:szCs w:val="24"/>
        </w:rPr>
        <w:footnoteReference w:id="43"/>
      </w:r>
      <w:r w:rsidRPr="00375B80">
        <w:rPr>
          <w:rFonts w:ascii="Garamond" w:hAnsi="Garamond" w:cs="Times New Roman"/>
          <w:sz w:val="24"/>
          <w:szCs w:val="24"/>
        </w:rPr>
        <w:t xml:space="preserve">: </w:t>
      </w:r>
      <w:r w:rsidR="00786A11" w:rsidRPr="00375B80">
        <w:rPr>
          <w:rFonts w:ascii="Garamond" w:hAnsi="Garamond" w:cs="Times New Roman"/>
          <w:sz w:val="24"/>
          <w:szCs w:val="24"/>
        </w:rPr>
        <w:t xml:space="preserve">gli </w:t>
      </w:r>
      <w:r w:rsidR="00786A11" w:rsidRPr="00375B80">
        <w:rPr>
          <w:rFonts w:ascii="Garamond" w:hAnsi="Garamond" w:cs="Times New Roman"/>
          <w:i/>
          <w:sz w:val="24"/>
          <w:szCs w:val="24"/>
        </w:rPr>
        <w:t>standards</w:t>
      </w:r>
      <w:r w:rsidR="00786A11" w:rsidRPr="00375B80">
        <w:rPr>
          <w:rFonts w:ascii="Garamond" w:hAnsi="Garamond" w:cs="Times New Roman"/>
          <w:sz w:val="24"/>
          <w:szCs w:val="24"/>
        </w:rPr>
        <w:t xml:space="preserve"> nazionali divengono cedevoli rispetto alla normazione regionale, anche di rango secondario.</w:t>
      </w:r>
    </w:p>
    <w:p w14:paraId="61567227" w14:textId="01095E45" w:rsidR="006C3A15" w:rsidRPr="00375B80" w:rsidRDefault="006C3A15"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La potestà legislativa regionale è ora completa, piena nel suo potersi dispiegare delineando un sistema territoriale – non solamente urbano – che registri (</w:t>
      </w:r>
      <w:r w:rsidRPr="00375B80">
        <w:rPr>
          <w:rFonts w:ascii="Garamond" w:hAnsi="Garamond" w:cs="Times New Roman"/>
          <w:i/>
          <w:sz w:val="24"/>
          <w:szCs w:val="24"/>
        </w:rPr>
        <w:t>con juicio</w:t>
      </w:r>
      <w:r w:rsidRPr="00375B80">
        <w:rPr>
          <w:rFonts w:ascii="Garamond" w:hAnsi="Garamond" w:cs="Times New Roman"/>
          <w:sz w:val="24"/>
          <w:szCs w:val="24"/>
        </w:rPr>
        <w:t>…) le innovazioni che ci sono proposte dal fronte del pensiero urbanistico.</w:t>
      </w:r>
    </w:p>
    <w:p w14:paraId="0039ECF6" w14:textId="41AFEDFE" w:rsidR="006C3A15" w:rsidRPr="00375B80" w:rsidRDefault="006C3A15"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Cade qui un dato importante.</w:t>
      </w:r>
    </w:p>
    <w:p w14:paraId="2F5BA218" w14:textId="41593A99" w:rsidR="006A245D" w:rsidRPr="00375B80" w:rsidRDefault="006A245D"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Per scongiurare il rischio di un «regionalismo dell’abbandono» il livello statale ha </w:t>
      </w:r>
      <w:r w:rsidR="0002741C" w:rsidRPr="00375B80">
        <w:rPr>
          <w:rFonts w:ascii="Garamond" w:hAnsi="Garamond" w:cs="Times New Roman"/>
          <w:sz w:val="24"/>
          <w:szCs w:val="24"/>
        </w:rPr>
        <w:t xml:space="preserve">nei mesi scorsi </w:t>
      </w:r>
      <w:r w:rsidRPr="00375B80">
        <w:rPr>
          <w:rFonts w:ascii="Garamond" w:hAnsi="Garamond" w:cs="Times New Roman"/>
          <w:sz w:val="24"/>
          <w:szCs w:val="24"/>
        </w:rPr>
        <w:t>posto mano al decreto, studiandone una possibile, profonda modifica.</w:t>
      </w:r>
    </w:p>
    <w:p w14:paraId="5AFC78F3" w14:textId="1B9A170B" w:rsidR="006A245D" w:rsidRPr="00375B80" w:rsidRDefault="003D1CFC"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Ha poco più di due mesi la proposta di un articolato normativo con relazione di accompagnamento (entrambi ancora inediti), redatto da</w:t>
      </w:r>
      <w:r w:rsidR="00186B2D" w:rsidRPr="00375B80">
        <w:rPr>
          <w:rFonts w:ascii="Garamond" w:hAnsi="Garamond" w:cs="Times New Roman"/>
          <w:sz w:val="24"/>
          <w:szCs w:val="24"/>
        </w:rPr>
        <w:t xml:space="preserve"> un apposito</w:t>
      </w:r>
      <w:r w:rsidRPr="00375B80">
        <w:rPr>
          <w:rFonts w:ascii="Garamond" w:hAnsi="Garamond" w:cs="Times New Roman"/>
          <w:sz w:val="24"/>
          <w:szCs w:val="24"/>
        </w:rPr>
        <w:t xml:space="preserve"> gruppo di lavoro istituito presso il Ministero delle infrastrutture e dei trasporti. Ai nostri fini rileva il taglio generale che se ne desume, di notevole interesse</w:t>
      </w:r>
      <w:r w:rsidR="0002741C" w:rsidRPr="00375B80">
        <w:rPr>
          <w:rFonts w:ascii="Garamond" w:hAnsi="Garamond" w:cs="Times New Roman"/>
          <w:sz w:val="24"/>
          <w:szCs w:val="24"/>
        </w:rPr>
        <w:t xml:space="preserve">. L’accento batte anzitutto sul carattere concretamente </w:t>
      </w:r>
      <w:r w:rsidR="0002741C" w:rsidRPr="00375B80">
        <w:rPr>
          <w:rFonts w:ascii="Garamond" w:hAnsi="Garamond" w:cs="Times New Roman"/>
          <w:i/>
          <w:sz w:val="24"/>
          <w:szCs w:val="24"/>
        </w:rPr>
        <w:t>qualitativo</w:t>
      </w:r>
      <w:r w:rsidR="004C5537" w:rsidRPr="00375B80">
        <w:rPr>
          <w:rFonts w:ascii="Garamond" w:hAnsi="Garamond" w:cs="Times New Roman"/>
          <w:i/>
          <w:sz w:val="24"/>
          <w:szCs w:val="24"/>
        </w:rPr>
        <w:t>,</w:t>
      </w:r>
      <w:r w:rsidR="0002741C" w:rsidRPr="00375B80">
        <w:rPr>
          <w:rFonts w:ascii="Garamond" w:hAnsi="Garamond" w:cs="Times New Roman"/>
          <w:sz w:val="24"/>
          <w:szCs w:val="24"/>
        </w:rPr>
        <w:t xml:space="preserve"> </w:t>
      </w:r>
      <w:r w:rsidR="0002741C" w:rsidRPr="00375B80">
        <w:rPr>
          <w:rFonts w:ascii="Garamond" w:hAnsi="Garamond" w:cs="Times New Roman"/>
          <w:i/>
          <w:sz w:val="24"/>
          <w:szCs w:val="24"/>
        </w:rPr>
        <w:t>prestazionale</w:t>
      </w:r>
      <w:r w:rsidR="004C5537" w:rsidRPr="00375B80">
        <w:rPr>
          <w:rFonts w:ascii="Garamond" w:hAnsi="Garamond" w:cs="Times New Roman"/>
          <w:i/>
          <w:sz w:val="24"/>
          <w:szCs w:val="24"/>
        </w:rPr>
        <w:t xml:space="preserve"> e monitorato</w:t>
      </w:r>
      <w:r w:rsidR="0002741C" w:rsidRPr="00375B80">
        <w:rPr>
          <w:rFonts w:ascii="Garamond" w:hAnsi="Garamond" w:cs="Times New Roman"/>
          <w:sz w:val="24"/>
          <w:szCs w:val="24"/>
        </w:rPr>
        <w:t xml:space="preserve"> che l</w:t>
      </w:r>
      <w:r w:rsidR="001C7E85" w:rsidRPr="00375B80">
        <w:rPr>
          <w:rFonts w:ascii="Garamond" w:hAnsi="Garamond" w:cs="Times New Roman"/>
          <w:sz w:val="24"/>
          <w:szCs w:val="24"/>
        </w:rPr>
        <w:t>a</w:t>
      </w:r>
      <w:r w:rsidR="0002741C" w:rsidRPr="00375B80">
        <w:rPr>
          <w:rFonts w:ascii="Garamond" w:hAnsi="Garamond" w:cs="Times New Roman"/>
          <w:sz w:val="24"/>
          <w:szCs w:val="24"/>
        </w:rPr>
        <w:t xml:space="preserve"> dotazion</w:t>
      </w:r>
      <w:r w:rsidR="001C7E85" w:rsidRPr="00375B80">
        <w:rPr>
          <w:rFonts w:ascii="Garamond" w:hAnsi="Garamond" w:cs="Times New Roman"/>
          <w:sz w:val="24"/>
          <w:szCs w:val="24"/>
        </w:rPr>
        <w:t>e</w:t>
      </w:r>
      <w:r w:rsidR="0002741C" w:rsidRPr="00375B80">
        <w:rPr>
          <w:rFonts w:ascii="Garamond" w:hAnsi="Garamond" w:cs="Times New Roman"/>
          <w:sz w:val="24"/>
          <w:szCs w:val="24"/>
        </w:rPr>
        <w:t xml:space="preserve"> territorial</w:t>
      </w:r>
      <w:r w:rsidR="001C7E85" w:rsidRPr="00375B80">
        <w:rPr>
          <w:rFonts w:ascii="Garamond" w:hAnsi="Garamond" w:cs="Times New Roman"/>
          <w:sz w:val="24"/>
          <w:szCs w:val="24"/>
        </w:rPr>
        <w:t>e</w:t>
      </w:r>
      <w:r w:rsidR="0002741C" w:rsidRPr="00375B80">
        <w:rPr>
          <w:rFonts w:ascii="Garamond" w:hAnsi="Garamond" w:cs="Times New Roman"/>
          <w:sz w:val="24"/>
          <w:szCs w:val="24"/>
        </w:rPr>
        <w:t xml:space="preserve"> dev</w:t>
      </w:r>
      <w:r w:rsidR="001C7E85" w:rsidRPr="00375B80">
        <w:rPr>
          <w:rFonts w:ascii="Garamond" w:hAnsi="Garamond" w:cs="Times New Roman"/>
          <w:sz w:val="24"/>
          <w:szCs w:val="24"/>
        </w:rPr>
        <w:t>e</w:t>
      </w:r>
      <w:r w:rsidR="0002741C" w:rsidRPr="00375B80">
        <w:rPr>
          <w:rFonts w:ascii="Garamond" w:hAnsi="Garamond" w:cs="Times New Roman"/>
          <w:sz w:val="24"/>
          <w:szCs w:val="24"/>
        </w:rPr>
        <w:t xml:space="preserve"> assicurare, «</w:t>
      </w:r>
      <w:r w:rsidR="0002741C" w:rsidRPr="00375B80">
        <w:rPr>
          <w:rFonts w:ascii="Garamond" w:hAnsi="Garamond" w:cs="Times New Roman"/>
          <w:i/>
          <w:sz w:val="24"/>
          <w:szCs w:val="24"/>
        </w:rPr>
        <w:t>nelle sue molte declinazioni: limitazione del consumo di suolo, incremento e difesa della funzionalità ecosistemica delle aree verdi pubbliche e della biodiversità, sicurezza idraulica, geologica e sismica</w:t>
      </w:r>
      <w:r w:rsidR="00956A70" w:rsidRPr="00375B80">
        <w:rPr>
          <w:rFonts w:ascii="Garamond" w:hAnsi="Garamond" w:cs="Times New Roman"/>
          <w:sz w:val="24"/>
          <w:szCs w:val="24"/>
        </w:rPr>
        <w:t xml:space="preserve"> […]</w:t>
      </w:r>
      <w:r w:rsidR="0002741C" w:rsidRPr="00375B80">
        <w:rPr>
          <w:rFonts w:ascii="Garamond" w:hAnsi="Garamond" w:cs="Times New Roman"/>
          <w:sz w:val="24"/>
          <w:szCs w:val="24"/>
        </w:rPr>
        <w:t>»</w:t>
      </w:r>
      <w:r w:rsidR="000827F9" w:rsidRPr="00375B80">
        <w:rPr>
          <w:rFonts w:ascii="Garamond" w:hAnsi="Garamond" w:cs="Times New Roman"/>
          <w:sz w:val="24"/>
          <w:szCs w:val="24"/>
        </w:rPr>
        <w:t xml:space="preserve"> (così la relazione cit.)</w:t>
      </w:r>
      <w:r w:rsidR="0002741C" w:rsidRPr="00375B80">
        <w:rPr>
          <w:rFonts w:ascii="Garamond" w:hAnsi="Garamond" w:cs="Times New Roman"/>
          <w:sz w:val="24"/>
          <w:szCs w:val="24"/>
        </w:rPr>
        <w:t>.</w:t>
      </w:r>
    </w:p>
    <w:p w14:paraId="1CDFC6EE" w14:textId="02FDF639" w:rsidR="001C7E85" w:rsidRPr="00375B80" w:rsidRDefault="001C7E85"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L’ancoraggio costituzionale è ben individuato: la già ricordata norma sui LEP, che consente di superare eventuali situazioni di stallo sulla via privilegiata dell’intesa</w:t>
      </w:r>
      <w:r w:rsidR="002063BD" w:rsidRPr="00375B80">
        <w:rPr>
          <w:rFonts w:ascii="Garamond" w:hAnsi="Garamond" w:cs="Times New Roman"/>
          <w:sz w:val="24"/>
          <w:szCs w:val="24"/>
        </w:rPr>
        <w:t xml:space="preserve">. Così come gli obiettivi indicati nella normazione </w:t>
      </w:r>
      <w:r w:rsidR="000E12A8" w:rsidRPr="00375B80">
        <w:rPr>
          <w:rFonts w:ascii="Garamond" w:hAnsi="Garamond" w:cs="Times New Roman"/>
          <w:sz w:val="24"/>
          <w:szCs w:val="24"/>
        </w:rPr>
        <w:t xml:space="preserve">(«principi di civiltà urbanistica ed edilizia per gli spazi pubblici») </w:t>
      </w:r>
      <w:r w:rsidR="002063BD" w:rsidRPr="00375B80">
        <w:rPr>
          <w:rFonts w:ascii="Garamond" w:hAnsi="Garamond" w:cs="Times New Roman"/>
          <w:sz w:val="24"/>
          <w:szCs w:val="24"/>
        </w:rPr>
        <w:t xml:space="preserve">sembrano </w:t>
      </w:r>
      <w:r w:rsidR="002063BD" w:rsidRPr="00375B80">
        <w:rPr>
          <w:rFonts w:ascii="Garamond" w:hAnsi="Garamond" w:cs="Times New Roman"/>
          <w:sz w:val="24"/>
          <w:szCs w:val="24"/>
        </w:rPr>
        <w:lastRenderedPageBreak/>
        <w:t xml:space="preserve">trascendere la scala urbana: profilo che sembra tanto apprezzabile, quanto </w:t>
      </w:r>
      <w:r w:rsidR="004109D9" w:rsidRPr="00375B80">
        <w:rPr>
          <w:rFonts w:ascii="Garamond" w:hAnsi="Garamond" w:cs="Times New Roman"/>
          <w:sz w:val="24"/>
          <w:szCs w:val="24"/>
        </w:rPr>
        <w:t>ambizioso</w:t>
      </w:r>
      <w:r w:rsidR="002063BD" w:rsidRPr="00375B80">
        <w:rPr>
          <w:rFonts w:ascii="Garamond" w:hAnsi="Garamond" w:cs="Times New Roman"/>
          <w:sz w:val="24"/>
          <w:szCs w:val="24"/>
        </w:rPr>
        <w:t xml:space="preserve">, trattandosi </w:t>
      </w:r>
      <w:r w:rsidR="004109D9" w:rsidRPr="00375B80">
        <w:rPr>
          <w:rFonts w:ascii="Garamond" w:hAnsi="Garamond" w:cs="Times New Roman"/>
          <w:sz w:val="24"/>
          <w:szCs w:val="24"/>
        </w:rPr>
        <w:t xml:space="preserve">– </w:t>
      </w:r>
      <w:r w:rsidR="004109D9" w:rsidRPr="00375B80">
        <w:rPr>
          <w:rFonts w:ascii="Garamond" w:hAnsi="Garamond" w:cs="Times New Roman"/>
          <w:i/>
          <w:sz w:val="24"/>
          <w:szCs w:val="24"/>
        </w:rPr>
        <w:t>inter alia</w:t>
      </w:r>
      <w:r w:rsidR="004109D9" w:rsidRPr="00375B80">
        <w:rPr>
          <w:rFonts w:ascii="Garamond" w:hAnsi="Garamond" w:cs="Times New Roman"/>
          <w:sz w:val="24"/>
          <w:szCs w:val="24"/>
        </w:rPr>
        <w:t xml:space="preserve"> – </w:t>
      </w:r>
      <w:r w:rsidR="002063BD" w:rsidRPr="00375B80">
        <w:rPr>
          <w:rFonts w:ascii="Garamond" w:hAnsi="Garamond" w:cs="Times New Roman"/>
          <w:sz w:val="24"/>
          <w:szCs w:val="24"/>
        </w:rPr>
        <w:t xml:space="preserve">di </w:t>
      </w:r>
      <w:r w:rsidR="004109D9" w:rsidRPr="00375B80">
        <w:rPr>
          <w:rFonts w:ascii="Garamond" w:hAnsi="Garamond" w:cs="Times New Roman"/>
          <w:sz w:val="24"/>
          <w:szCs w:val="24"/>
        </w:rPr>
        <w:t>«</w:t>
      </w:r>
      <w:r w:rsidR="002063BD" w:rsidRPr="00375B80">
        <w:rPr>
          <w:rFonts w:ascii="Garamond" w:hAnsi="Garamond" w:cs="Times New Roman"/>
          <w:sz w:val="24"/>
          <w:szCs w:val="24"/>
        </w:rPr>
        <w:t>minimizzazione dell’utilizzo di suolo, delle impermeabilizzazioni e tendenza all’invarianza idraulica</w:t>
      </w:r>
      <w:r w:rsidR="004109D9" w:rsidRPr="00375B80">
        <w:rPr>
          <w:rFonts w:ascii="Garamond" w:hAnsi="Garamond" w:cs="Times New Roman"/>
          <w:sz w:val="24"/>
          <w:szCs w:val="24"/>
        </w:rPr>
        <w:t>»</w:t>
      </w:r>
      <w:r w:rsidR="002063BD" w:rsidRPr="00375B80">
        <w:rPr>
          <w:rFonts w:ascii="Garamond" w:hAnsi="Garamond" w:cs="Times New Roman"/>
          <w:sz w:val="24"/>
          <w:szCs w:val="24"/>
        </w:rPr>
        <w:t xml:space="preserve">; </w:t>
      </w:r>
      <w:r w:rsidR="004109D9" w:rsidRPr="00375B80">
        <w:rPr>
          <w:rFonts w:ascii="Garamond" w:hAnsi="Garamond" w:cs="Times New Roman"/>
          <w:sz w:val="24"/>
          <w:szCs w:val="24"/>
        </w:rPr>
        <w:t>«</w:t>
      </w:r>
      <w:r w:rsidR="002063BD" w:rsidRPr="00375B80">
        <w:rPr>
          <w:rFonts w:ascii="Garamond" w:hAnsi="Garamond" w:cs="Times New Roman"/>
          <w:sz w:val="24"/>
          <w:szCs w:val="24"/>
        </w:rPr>
        <w:t>sicurezza geologica, idraulica e sismica</w:t>
      </w:r>
      <w:r w:rsidR="004109D9" w:rsidRPr="00375B80">
        <w:rPr>
          <w:rFonts w:ascii="Garamond" w:hAnsi="Garamond" w:cs="Times New Roman"/>
          <w:sz w:val="24"/>
          <w:szCs w:val="24"/>
        </w:rPr>
        <w:t>»</w:t>
      </w:r>
      <w:r w:rsidR="002063BD" w:rsidRPr="00375B80">
        <w:rPr>
          <w:rFonts w:ascii="Garamond" w:hAnsi="Garamond" w:cs="Times New Roman"/>
          <w:sz w:val="24"/>
          <w:szCs w:val="24"/>
        </w:rPr>
        <w:t xml:space="preserve">; </w:t>
      </w:r>
      <w:r w:rsidR="004109D9" w:rsidRPr="00375B80">
        <w:rPr>
          <w:rFonts w:ascii="Garamond" w:hAnsi="Garamond" w:cs="Times New Roman"/>
          <w:sz w:val="24"/>
          <w:szCs w:val="24"/>
        </w:rPr>
        <w:t>«</w:t>
      </w:r>
      <w:r w:rsidR="002063BD" w:rsidRPr="00375B80">
        <w:rPr>
          <w:rFonts w:ascii="Garamond" w:hAnsi="Garamond" w:cs="Times New Roman"/>
          <w:sz w:val="24"/>
          <w:szCs w:val="24"/>
        </w:rPr>
        <w:t>sostenibilità energetica ed ambientale</w:t>
      </w:r>
      <w:r w:rsidR="004109D9" w:rsidRPr="00375B80">
        <w:rPr>
          <w:rFonts w:ascii="Garamond" w:hAnsi="Garamond" w:cs="Times New Roman"/>
          <w:sz w:val="24"/>
          <w:szCs w:val="24"/>
        </w:rPr>
        <w:t>»</w:t>
      </w:r>
      <w:r w:rsidR="002063BD" w:rsidRPr="00375B80">
        <w:rPr>
          <w:rFonts w:ascii="Garamond" w:hAnsi="Garamond" w:cs="Times New Roman"/>
          <w:sz w:val="24"/>
          <w:szCs w:val="24"/>
        </w:rPr>
        <w:t xml:space="preserve">. </w:t>
      </w:r>
      <w:r w:rsidR="00784186" w:rsidRPr="00375B80">
        <w:rPr>
          <w:rFonts w:ascii="Garamond" w:hAnsi="Garamond" w:cs="Times New Roman"/>
          <w:sz w:val="24"/>
          <w:szCs w:val="24"/>
        </w:rPr>
        <w:t>Allo stesso modo, costante è il richiamo alla necessità di assicurare la «funzionalità ecosistemica e del miglioramento della biodiversità anche per la riduzione delle isole di calore», la «connettività ecologica»</w:t>
      </w:r>
      <w:r w:rsidR="005264C2" w:rsidRPr="00375B80">
        <w:rPr>
          <w:rFonts w:ascii="Garamond" w:hAnsi="Garamond" w:cs="Times New Roman"/>
          <w:sz w:val="24"/>
          <w:szCs w:val="24"/>
        </w:rPr>
        <w:t xml:space="preserve">, </w:t>
      </w:r>
      <w:r w:rsidR="005264C2" w:rsidRPr="00375B80">
        <w:rPr>
          <w:rFonts w:ascii="Garamond" w:hAnsi="Garamond" w:cs="Times New Roman"/>
          <w:i/>
          <w:sz w:val="24"/>
          <w:szCs w:val="24"/>
        </w:rPr>
        <w:t>etc</w:t>
      </w:r>
      <w:r w:rsidR="005264C2" w:rsidRPr="00375B80">
        <w:rPr>
          <w:rFonts w:ascii="Garamond" w:hAnsi="Garamond" w:cs="Times New Roman"/>
          <w:sz w:val="24"/>
          <w:szCs w:val="24"/>
        </w:rPr>
        <w:t>.</w:t>
      </w:r>
    </w:p>
    <w:p w14:paraId="44CCB47F" w14:textId="0CCE3319" w:rsidR="00FD0ECA" w:rsidRPr="00375B80" w:rsidRDefault="00BB6182"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Se </w:t>
      </w:r>
      <w:r w:rsidR="00FD0ECA" w:rsidRPr="00375B80">
        <w:rPr>
          <w:rFonts w:ascii="Garamond" w:hAnsi="Garamond" w:cs="Times New Roman"/>
          <w:sz w:val="24"/>
          <w:szCs w:val="24"/>
        </w:rPr>
        <w:t>l’articolato vedrà la luce, le Regioni avranno un buon ancoraggio per proseguire nelle loro sperimentazioni.</w:t>
      </w:r>
      <w:r w:rsidR="00605A57" w:rsidRPr="00375B80">
        <w:rPr>
          <w:rFonts w:ascii="Garamond" w:hAnsi="Garamond" w:cs="Times New Roman"/>
          <w:sz w:val="24"/>
          <w:szCs w:val="24"/>
        </w:rPr>
        <w:t xml:space="preserve"> </w:t>
      </w:r>
      <w:r w:rsidR="00FD0ECA" w:rsidRPr="00375B80">
        <w:rPr>
          <w:rFonts w:ascii="Garamond" w:hAnsi="Garamond" w:cs="Times New Roman"/>
          <w:sz w:val="24"/>
          <w:szCs w:val="24"/>
        </w:rPr>
        <w:t>E se – come ormai sembra acquisito anche dal gruppo di lavoro ministeriale</w:t>
      </w:r>
      <w:r w:rsidR="00605A57" w:rsidRPr="00375B80">
        <w:rPr>
          <w:rFonts w:ascii="Garamond" w:hAnsi="Garamond" w:cs="Times New Roman"/>
          <w:sz w:val="24"/>
          <w:szCs w:val="24"/>
        </w:rPr>
        <w:t xml:space="preserve"> – l’urbanistica (</w:t>
      </w:r>
      <w:r w:rsidR="00605A57" w:rsidRPr="00375B80">
        <w:rPr>
          <w:rFonts w:ascii="Garamond" w:hAnsi="Garamond" w:cs="Times New Roman"/>
          <w:i/>
          <w:sz w:val="24"/>
          <w:szCs w:val="24"/>
        </w:rPr>
        <w:t>lato sensu</w:t>
      </w:r>
      <w:r w:rsidR="00605A57" w:rsidRPr="00375B80">
        <w:rPr>
          <w:rFonts w:ascii="Garamond" w:hAnsi="Garamond" w:cs="Times New Roman"/>
          <w:sz w:val="24"/>
          <w:szCs w:val="24"/>
        </w:rPr>
        <w:t xml:space="preserve"> intesa, ormai) è «irreversibilmente regionalizzata», il secondo tema cui accennavo, quello della depianificazione, le vedrà protagoniste.</w:t>
      </w:r>
    </w:p>
    <w:p w14:paraId="62E4ACFF" w14:textId="3064AD75" w:rsidR="00605A57" w:rsidRPr="00375B80" w:rsidRDefault="00605A57"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È difficile fare una previsione di breve-medio periodo sulle impostazioni generali di tecnica regolatoria cui assisteremo.</w:t>
      </w:r>
    </w:p>
    <w:p w14:paraId="7638396F" w14:textId="3D8DBA0B" w:rsidR="00605A57" w:rsidRPr="00375B80" w:rsidRDefault="00605A57"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Mi sembra tuttavia possibile – seguendo il dibattito fra gli urbanisti – individuare i nodi principali.</w:t>
      </w:r>
    </w:p>
    <w:p w14:paraId="0126FC9E" w14:textId="26FF2886" w:rsidR="00605A57" w:rsidRPr="00375B80" w:rsidRDefault="008F194A"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Si continuerà nella tradizionale – direi invecchiata – dialettica fra piano (comunale) generale e piano tematico/settoriale (alle varie scale), dunque fra interesse urbanistico e interessi differenziati? Oppure si cercherà di integrare </w:t>
      </w:r>
      <w:r w:rsidRPr="00375B80">
        <w:rPr>
          <w:rFonts w:ascii="Garamond" w:hAnsi="Garamond" w:cs="Times New Roman"/>
          <w:i/>
          <w:sz w:val="24"/>
          <w:szCs w:val="24"/>
        </w:rPr>
        <w:t>nel</w:t>
      </w:r>
      <w:r w:rsidRPr="00375B80">
        <w:rPr>
          <w:rFonts w:ascii="Garamond" w:hAnsi="Garamond" w:cs="Times New Roman"/>
          <w:sz w:val="24"/>
          <w:szCs w:val="24"/>
        </w:rPr>
        <w:t xml:space="preserve"> piano l’insieme di questi ultimi interessi? In quest’ultimo caso il rischio è, come noto, duplice: il “sovraccarico” del piano comunale; la difficoltà di gestire </w:t>
      </w:r>
      <w:r w:rsidR="002B4341" w:rsidRPr="00375B80">
        <w:rPr>
          <w:rFonts w:ascii="Garamond" w:hAnsi="Garamond" w:cs="Times New Roman"/>
          <w:sz w:val="24"/>
          <w:szCs w:val="24"/>
        </w:rPr>
        <w:t>a quella</w:t>
      </w:r>
      <w:r w:rsidR="00391616" w:rsidRPr="00375B80">
        <w:rPr>
          <w:rFonts w:ascii="Garamond" w:hAnsi="Garamond" w:cs="Times New Roman"/>
          <w:sz w:val="24"/>
          <w:szCs w:val="24"/>
        </w:rPr>
        <w:t xml:space="preserve"> scala </w:t>
      </w:r>
      <w:r w:rsidRPr="00375B80">
        <w:rPr>
          <w:rFonts w:ascii="Garamond" w:hAnsi="Garamond" w:cs="Times New Roman"/>
          <w:sz w:val="24"/>
          <w:szCs w:val="24"/>
        </w:rPr>
        <w:t xml:space="preserve">interessi </w:t>
      </w:r>
      <w:r w:rsidR="00391616" w:rsidRPr="00375B80">
        <w:rPr>
          <w:rFonts w:ascii="Garamond" w:hAnsi="Garamond" w:cs="Times New Roman"/>
          <w:sz w:val="24"/>
          <w:szCs w:val="24"/>
        </w:rPr>
        <w:t>assai spesso, se non sempre, sovracomunali</w:t>
      </w:r>
      <w:r w:rsidR="00232C01" w:rsidRPr="00375B80">
        <w:rPr>
          <w:rFonts w:ascii="Garamond" w:hAnsi="Garamond" w:cs="Times New Roman"/>
          <w:sz w:val="24"/>
          <w:szCs w:val="24"/>
        </w:rPr>
        <w:t>.</w:t>
      </w:r>
    </w:p>
    <w:p w14:paraId="25C262BD" w14:textId="489CD666" w:rsidR="006F06B9" w:rsidRPr="00375B80" w:rsidRDefault="006F06B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C’è una terza via, che pare oggi la più battuta.</w:t>
      </w:r>
    </w:p>
    <w:p w14:paraId="43D9DF65" w14:textId="7D770484" w:rsidR="006F06B9" w:rsidRPr="00375B80" w:rsidRDefault="006F06B9"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Se per depianificazione s’intende l’abbandono del modello </w:t>
      </w:r>
      <w:r w:rsidR="00330826" w:rsidRPr="00375B80">
        <w:rPr>
          <w:rFonts w:ascii="Garamond" w:hAnsi="Garamond" w:cs="Times New Roman"/>
          <w:i/>
          <w:sz w:val="24"/>
          <w:szCs w:val="24"/>
        </w:rPr>
        <w:t>urbanistico</w:t>
      </w:r>
      <w:r w:rsidR="00330826" w:rsidRPr="00375B80">
        <w:rPr>
          <w:rFonts w:ascii="Garamond" w:hAnsi="Garamond" w:cs="Times New Roman"/>
          <w:sz w:val="24"/>
          <w:szCs w:val="24"/>
        </w:rPr>
        <w:t xml:space="preserve">, </w:t>
      </w:r>
      <w:r w:rsidRPr="00375B80">
        <w:rPr>
          <w:rFonts w:ascii="Garamond" w:hAnsi="Garamond" w:cs="Times New Roman"/>
          <w:i/>
          <w:sz w:val="24"/>
          <w:szCs w:val="24"/>
        </w:rPr>
        <w:t>razional-comprensivo</w:t>
      </w:r>
      <w:r w:rsidRPr="00375B80">
        <w:rPr>
          <w:rFonts w:ascii="Garamond" w:hAnsi="Garamond" w:cs="Times New Roman"/>
          <w:sz w:val="24"/>
          <w:szCs w:val="24"/>
        </w:rPr>
        <w:t xml:space="preserve"> e </w:t>
      </w:r>
      <w:r w:rsidRPr="00375B80">
        <w:rPr>
          <w:rFonts w:ascii="Garamond" w:hAnsi="Garamond" w:cs="Times New Roman"/>
          <w:i/>
          <w:sz w:val="24"/>
          <w:szCs w:val="24"/>
        </w:rPr>
        <w:t>discendente</w:t>
      </w:r>
      <w:r w:rsidRPr="00375B80">
        <w:rPr>
          <w:rFonts w:ascii="Garamond" w:hAnsi="Garamond" w:cs="Times New Roman"/>
          <w:sz w:val="24"/>
          <w:szCs w:val="24"/>
        </w:rPr>
        <w:t xml:space="preserve"> consegnatoci dalla legge </w:t>
      </w:r>
      <w:r w:rsidR="00330826" w:rsidRPr="00375B80">
        <w:rPr>
          <w:rFonts w:ascii="Garamond" w:hAnsi="Garamond" w:cs="Times New Roman"/>
          <w:sz w:val="24"/>
          <w:szCs w:val="24"/>
        </w:rPr>
        <w:t xml:space="preserve">del 1942, è difficile negarne la crisi profonda, acuita dal moltiplicarsi di piani </w:t>
      </w:r>
      <w:r w:rsidR="00F16431" w:rsidRPr="00375B80">
        <w:rPr>
          <w:rFonts w:ascii="Garamond" w:hAnsi="Garamond" w:cs="Times New Roman"/>
          <w:sz w:val="24"/>
          <w:szCs w:val="24"/>
        </w:rPr>
        <w:t xml:space="preserve">tematici </w:t>
      </w:r>
      <w:r w:rsidR="00330826" w:rsidRPr="00375B80">
        <w:rPr>
          <w:rFonts w:ascii="Garamond" w:hAnsi="Garamond" w:cs="Times New Roman"/>
          <w:sz w:val="24"/>
          <w:szCs w:val="24"/>
        </w:rPr>
        <w:t>sopraordinati e anch’essi, talvolta, totalizzanti: il piano paesaggistico ne è un esempio classico.</w:t>
      </w:r>
    </w:p>
    <w:p w14:paraId="712AF5CC" w14:textId="627A7D57" w:rsidR="00330826" w:rsidRPr="00375B80" w:rsidRDefault="0043292E"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Ma il fenomeno in esame può significare altro, e nascondere – dietro la sua negatività </w:t>
      </w:r>
      <w:r w:rsidR="001D6A36" w:rsidRPr="00375B80">
        <w:rPr>
          <w:rFonts w:ascii="Garamond" w:hAnsi="Garamond" w:cs="Times New Roman"/>
          <w:sz w:val="24"/>
          <w:szCs w:val="24"/>
        </w:rPr>
        <w:t xml:space="preserve">apparente </w:t>
      </w:r>
      <w:r w:rsidRPr="00375B80">
        <w:rPr>
          <w:rFonts w:ascii="Garamond" w:hAnsi="Garamond" w:cs="Times New Roman"/>
          <w:sz w:val="24"/>
          <w:szCs w:val="24"/>
        </w:rPr>
        <w:t>–</w:t>
      </w:r>
      <w:r w:rsidR="001D6A36" w:rsidRPr="00375B80">
        <w:rPr>
          <w:rFonts w:ascii="Garamond" w:hAnsi="Garamond" w:cs="Times New Roman"/>
          <w:sz w:val="24"/>
          <w:szCs w:val="24"/>
        </w:rPr>
        <w:t xml:space="preserve"> </w:t>
      </w:r>
      <w:r w:rsidRPr="00375B80">
        <w:rPr>
          <w:rFonts w:ascii="Garamond" w:hAnsi="Garamond" w:cs="Times New Roman"/>
          <w:sz w:val="24"/>
          <w:szCs w:val="24"/>
        </w:rPr>
        <w:t xml:space="preserve">orizzonti </w:t>
      </w:r>
      <w:r w:rsidR="001D6A36" w:rsidRPr="00375B80">
        <w:rPr>
          <w:rFonts w:ascii="Garamond" w:hAnsi="Garamond" w:cs="Times New Roman"/>
          <w:sz w:val="24"/>
          <w:szCs w:val="24"/>
        </w:rPr>
        <w:t xml:space="preserve">nuovi </w:t>
      </w:r>
      <w:r w:rsidRPr="00375B80">
        <w:rPr>
          <w:rFonts w:ascii="Garamond" w:hAnsi="Garamond" w:cs="Times New Roman"/>
          <w:sz w:val="24"/>
          <w:szCs w:val="24"/>
        </w:rPr>
        <w:t>di progresso.</w:t>
      </w:r>
    </w:p>
    <w:p w14:paraId="10275477" w14:textId="3DBE3199" w:rsidR="001460F5" w:rsidRPr="00375B80" w:rsidRDefault="001460F5"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Parto dal profilo </w:t>
      </w:r>
      <w:r w:rsidR="000134C4" w:rsidRPr="00375B80">
        <w:rPr>
          <w:rFonts w:ascii="Garamond" w:hAnsi="Garamond" w:cs="Times New Roman"/>
          <w:sz w:val="24"/>
          <w:szCs w:val="24"/>
        </w:rPr>
        <w:t xml:space="preserve">procedurale. Il </w:t>
      </w:r>
      <w:r w:rsidR="009E2E7B" w:rsidRPr="00375B80">
        <w:rPr>
          <w:rFonts w:ascii="Garamond" w:hAnsi="Garamond" w:cs="Times New Roman"/>
          <w:sz w:val="24"/>
          <w:szCs w:val="24"/>
        </w:rPr>
        <w:t xml:space="preserve">vecchio </w:t>
      </w:r>
      <w:r w:rsidR="000134C4" w:rsidRPr="00375B80">
        <w:rPr>
          <w:rFonts w:ascii="Garamond" w:hAnsi="Garamond" w:cs="Times New Roman"/>
          <w:sz w:val="24"/>
          <w:szCs w:val="24"/>
        </w:rPr>
        <w:t xml:space="preserve">modello kelseniano </w:t>
      </w:r>
      <w:r w:rsidR="009E2E7B" w:rsidRPr="00375B80">
        <w:rPr>
          <w:rFonts w:ascii="Garamond" w:hAnsi="Garamond" w:cs="Times New Roman"/>
          <w:sz w:val="24"/>
          <w:szCs w:val="24"/>
        </w:rPr>
        <w:t xml:space="preserve">del ’42, </w:t>
      </w:r>
      <w:r w:rsidR="000134C4" w:rsidRPr="00375B80">
        <w:rPr>
          <w:rFonts w:ascii="Garamond" w:hAnsi="Garamond" w:cs="Times New Roman"/>
          <w:sz w:val="24"/>
          <w:szCs w:val="24"/>
        </w:rPr>
        <w:t>a cascata</w:t>
      </w:r>
      <w:r w:rsidR="009E2E7B" w:rsidRPr="00375B80">
        <w:rPr>
          <w:rFonts w:ascii="Garamond" w:hAnsi="Garamond" w:cs="Times New Roman"/>
          <w:sz w:val="24"/>
          <w:szCs w:val="24"/>
        </w:rPr>
        <w:t>,</w:t>
      </w:r>
      <w:r w:rsidR="000134C4" w:rsidRPr="00375B80">
        <w:rPr>
          <w:rFonts w:ascii="Garamond" w:hAnsi="Garamond" w:cs="Times New Roman"/>
          <w:sz w:val="24"/>
          <w:szCs w:val="24"/>
        </w:rPr>
        <w:t xml:space="preserve"> s’è consumato</w:t>
      </w:r>
      <w:r w:rsidR="009E2E7B" w:rsidRPr="00375B80">
        <w:rPr>
          <w:rFonts w:ascii="Garamond" w:hAnsi="Garamond" w:cs="Times New Roman"/>
          <w:sz w:val="24"/>
          <w:szCs w:val="24"/>
        </w:rPr>
        <w:t xml:space="preserve"> per l’incapacità di gestire la complessità degli interessi sostanziali progressivamente pubblicizzati.</w:t>
      </w:r>
    </w:p>
    <w:p w14:paraId="42E9C378" w14:textId="60B4C215" w:rsidR="003509CA" w:rsidRPr="00375B80" w:rsidRDefault="00BD68F5"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Ma è la sottesa impostazione semplificante e riduzionistica che non ha retto. Concentrato sul profilo edilizio-urbanistico e dunque antrop</w:t>
      </w:r>
      <w:r w:rsidR="00E14FE7" w:rsidRPr="00375B80">
        <w:rPr>
          <w:rFonts w:ascii="Garamond" w:hAnsi="Garamond" w:cs="Times New Roman"/>
          <w:sz w:val="24"/>
          <w:szCs w:val="24"/>
        </w:rPr>
        <w:t>ocentrico</w:t>
      </w:r>
      <w:r w:rsidRPr="00375B80">
        <w:rPr>
          <w:rFonts w:ascii="Garamond" w:hAnsi="Garamond" w:cs="Times New Roman"/>
          <w:sz w:val="24"/>
          <w:szCs w:val="24"/>
        </w:rPr>
        <w:t>, quel modello ha ignorato per troppo tempo l’urgere</w:t>
      </w:r>
      <w:r w:rsidR="00FB3E11" w:rsidRPr="00375B80">
        <w:rPr>
          <w:rFonts w:ascii="Garamond" w:hAnsi="Garamond" w:cs="Times New Roman"/>
          <w:sz w:val="24"/>
          <w:szCs w:val="24"/>
        </w:rPr>
        <w:t xml:space="preserve"> di una visione integrale e biocentrica del territorio</w:t>
      </w:r>
      <w:r w:rsidR="003509CA" w:rsidRPr="00375B80">
        <w:rPr>
          <w:rFonts w:ascii="Garamond" w:hAnsi="Garamond" w:cs="Times New Roman"/>
          <w:sz w:val="24"/>
          <w:szCs w:val="24"/>
        </w:rPr>
        <w:t xml:space="preserve">, riscoperta adesso anche dalla nostra Consulta nella recente sentenza </w:t>
      </w:r>
      <w:r w:rsidR="00D8681D" w:rsidRPr="00375B80">
        <w:rPr>
          <w:rFonts w:ascii="Garamond" w:hAnsi="Garamond" w:cs="Times New Roman"/>
          <w:sz w:val="24"/>
          <w:szCs w:val="24"/>
        </w:rPr>
        <w:t>16 luglio 2019, n. 179</w:t>
      </w:r>
      <w:r w:rsidR="009E5318" w:rsidRPr="00375B80">
        <w:rPr>
          <w:rFonts w:ascii="Garamond" w:hAnsi="Garamond" w:cs="Times New Roman"/>
          <w:sz w:val="24"/>
          <w:szCs w:val="24"/>
        </w:rPr>
        <w:t xml:space="preserve">, secondo cui l’urbanistica «da un lato, traguarda le più recenti concezioni di territorio, considerato non più solo come uno spazio topografico suscettibile di occupazione edificatoria ma rivalutato come una risorsa complessa che incarna molteplici vocazioni (ambientali, culturali, produttive, storiche) e, dall’altro, è avvertita sul </w:t>
      </w:r>
      <w:r w:rsidR="009E5318" w:rsidRPr="00375B80">
        <w:rPr>
          <w:rFonts w:ascii="Garamond" w:hAnsi="Garamond" w:cs="Times New Roman"/>
          <w:sz w:val="24"/>
          <w:szCs w:val="24"/>
        </w:rPr>
        <w:lastRenderedPageBreak/>
        <w:t>fatto che il consumo di suolo rappresenta una delle variabili più gravi del problema della pressione antropica sulle risorse naturali.»</w:t>
      </w:r>
      <w:r w:rsidR="009E5318" w:rsidRPr="00375B80">
        <w:rPr>
          <w:rStyle w:val="Rimandonotaapidipagina"/>
          <w:rFonts w:ascii="Garamond" w:hAnsi="Garamond" w:cs="Times New Roman"/>
          <w:sz w:val="24"/>
          <w:szCs w:val="24"/>
        </w:rPr>
        <w:footnoteReference w:id="44"/>
      </w:r>
      <w:r w:rsidR="00FB3E11" w:rsidRPr="00375B80">
        <w:rPr>
          <w:rFonts w:ascii="Garamond" w:hAnsi="Garamond" w:cs="Times New Roman"/>
          <w:sz w:val="24"/>
          <w:szCs w:val="24"/>
        </w:rPr>
        <w:t xml:space="preserve">. </w:t>
      </w:r>
    </w:p>
    <w:p w14:paraId="7FD4F619" w14:textId="2A4F6531" w:rsidR="00445AFF" w:rsidRPr="00375B80" w:rsidRDefault="00FB3E11"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Abbiamo dimenticato – </w:t>
      </w:r>
      <w:r w:rsidR="00445AFF" w:rsidRPr="00375B80">
        <w:rPr>
          <w:rFonts w:ascii="Garamond" w:hAnsi="Garamond" w:cs="Times New Roman"/>
          <w:sz w:val="24"/>
          <w:szCs w:val="24"/>
        </w:rPr>
        <w:t>avverte</w:t>
      </w:r>
      <w:r w:rsidRPr="00375B80">
        <w:rPr>
          <w:rFonts w:ascii="Garamond" w:hAnsi="Garamond" w:cs="Times New Roman"/>
          <w:sz w:val="24"/>
          <w:szCs w:val="24"/>
        </w:rPr>
        <w:t xml:space="preserve"> Campos Venuti – che «</w:t>
      </w:r>
      <w:r w:rsidRPr="00375B80">
        <w:rPr>
          <w:rFonts w:ascii="Garamond" w:hAnsi="Garamond" w:cs="Times New Roman"/>
          <w:i/>
          <w:sz w:val="24"/>
          <w:szCs w:val="24"/>
        </w:rPr>
        <w:t>intanto quello che chiamiamo urbanistica, investe tutto il governo delle città e del territorio, il paesaggio, l’ambiente, l’ecologia, il risparmio energetico, l’assetto idrogeologico, la gestione antisismica, insomma una parte decisiva della presenza dell’uomo sulla Terra; e francamente che tutto ciò in Italia non interessi ormai quasi a nessuno, è assai grave e preoccupante</w:t>
      </w:r>
      <w:r w:rsidRPr="00375B80">
        <w:rPr>
          <w:rFonts w:ascii="Garamond" w:hAnsi="Garamond" w:cs="Times New Roman"/>
          <w:sz w:val="24"/>
          <w:szCs w:val="24"/>
        </w:rPr>
        <w:t>»</w:t>
      </w:r>
      <w:r w:rsidRPr="00375B80">
        <w:rPr>
          <w:rStyle w:val="Rimandonotaapidipagina"/>
          <w:rFonts w:ascii="Garamond" w:hAnsi="Garamond" w:cs="Times New Roman"/>
          <w:sz w:val="24"/>
          <w:szCs w:val="24"/>
        </w:rPr>
        <w:footnoteReference w:id="45"/>
      </w:r>
      <w:r w:rsidRPr="00375B80">
        <w:rPr>
          <w:rFonts w:ascii="Garamond" w:hAnsi="Garamond" w:cs="Times New Roman"/>
          <w:sz w:val="24"/>
          <w:szCs w:val="24"/>
        </w:rPr>
        <w:t>.</w:t>
      </w:r>
    </w:p>
    <w:p w14:paraId="1BB749EB" w14:textId="6127B7E7" w:rsidR="00445AFF" w:rsidRPr="00375B80" w:rsidRDefault="00445AFF" w:rsidP="00DE366E">
      <w:pPr>
        <w:spacing w:after="0" w:line="360" w:lineRule="auto"/>
        <w:contextualSpacing/>
        <w:jc w:val="both"/>
        <w:rPr>
          <w:rFonts w:ascii="Garamond" w:hAnsi="Garamond" w:cs="Times New Roman"/>
          <w:sz w:val="24"/>
          <w:szCs w:val="24"/>
        </w:rPr>
      </w:pPr>
      <w:r w:rsidRPr="00375B80">
        <w:rPr>
          <w:rFonts w:ascii="Garamond" w:hAnsi="Garamond" w:cs="Times New Roman"/>
          <w:sz w:val="24"/>
          <w:szCs w:val="24"/>
        </w:rPr>
        <w:t xml:space="preserve">Il territorio, insomma, ha una </w:t>
      </w:r>
      <w:r w:rsidR="00E14FE7" w:rsidRPr="00375B80">
        <w:rPr>
          <w:rFonts w:ascii="Garamond" w:hAnsi="Garamond" w:cs="Times New Roman"/>
          <w:sz w:val="24"/>
          <w:szCs w:val="24"/>
        </w:rPr>
        <w:t xml:space="preserve">sua dimensione a rete: dall’illusione del «mondo-macchina», docilmente ubbidiente ai comandi dell’uomo che può </w:t>
      </w:r>
      <w:r w:rsidR="00E14FE7" w:rsidRPr="00375B80">
        <w:rPr>
          <w:rFonts w:ascii="Garamond" w:hAnsi="Garamond" w:cs="Times New Roman"/>
          <w:i/>
          <w:sz w:val="24"/>
          <w:szCs w:val="24"/>
        </w:rPr>
        <w:t>estrarne</w:t>
      </w:r>
      <w:r w:rsidR="00006FCA" w:rsidRPr="00375B80">
        <w:rPr>
          <w:rStyle w:val="Rimandonotaapidipagina"/>
          <w:rFonts w:ascii="Garamond" w:hAnsi="Garamond" w:cs="Times New Roman"/>
          <w:sz w:val="24"/>
          <w:szCs w:val="24"/>
        </w:rPr>
        <w:footnoteReference w:id="46"/>
      </w:r>
      <w:r w:rsidR="00E14FE7" w:rsidRPr="00375B80">
        <w:rPr>
          <w:rFonts w:ascii="Garamond" w:hAnsi="Garamond" w:cs="Times New Roman"/>
          <w:sz w:val="24"/>
          <w:szCs w:val="24"/>
        </w:rPr>
        <w:t xml:space="preserve"> beni </w:t>
      </w:r>
      <w:r w:rsidR="00E14FE7" w:rsidRPr="00375B80">
        <w:rPr>
          <w:rFonts w:ascii="Garamond" w:hAnsi="Garamond" w:cs="Times New Roman"/>
          <w:i/>
          <w:sz w:val="24"/>
          <w:szCs w:val="24"/>
        </w:rPr>
        <w:t>ad infinitum</w:t>
      </w:r>
      <w:r w:rsidR="00E14FE7" w:rsidRPr="00375B80">
        <w:rPr>
          <w:rFonts w:ascii="Garamond" w:hAnsi="Garamond" w:cs="Times New Roman"/>
          <w:sz w:val="24"/>
          <w:szCs w:val="24"/>
        </w:rPr>
        <w:t>, si sta finalmente passando alla dimensione del «mondo-rete»</w:t>
      </w:r>
      <w:r w:rsidR="00E14FE7" w:rsidRPr="00375B80">
        <w:rPr>
          <w:rStyle w:val="Rimandonotaapidipagina"/>
          <w:rFonts w:ascii="Garamond" w:hAnsi="Garamond" w:cs="Times New Roman"/>
          <w:sz w:val="24"/>
          <w:szCs w:val="24"/>
        </w:rPr>
        <w:footnoteReference w:id="47"/>
      </w:r>
      <w:r w:rsidR="00FD431F" w:rsidRPr="00375B80">
        <w:rPr>
          <w:rFonts w:ascii="Garamond" w:hAnsi="Garamond" w:cs="Times New Roman"/>
          <w:sz w:val="24"/>
          <w:szCs w:val="24"/>
        </w:rPr>
        <w:t>: rete di relazioni materiali inscindibili, funzionali a mantenere stabili i parametri vitali dell’organismo terracqueo</w:t>
      </w:r>
      <w:r w:rsidR="00006FCA" w:rsidRPr="00375B80">
        <w:rPr>
          <w:rFonts w:ascii="Garamond" w:hAnsi="Garamond" w:cs="Times New Roman"/>
          <w:sz w:val="24"/>
          <w:szCs w:val="24"/>
        </w:rPr>
        <w:t>.</w:t>
      </w:r>
    </w:p>
    <w:p w14:paraId="4BC6F2C2" w14:textId="7E6D37AE" w:rsidR="00FD431F" w:rsidRPr="00375B80" w:rsidRDefault="00FD431F" w:rsidP="00DE366E">
      <w:pPr>
        <w:spacing w:after="0" w:line="360" w:lineRule="auto"/>
        <w:contextualSpacing/>
        <w:jc w:val="both"/>
        <w:rPr>
          <w:rFonts w:ascii="Garamond" w:hAnsi="Garamond" w:cs="Times New Roman"/>
          <w:color w:val="000000" w:themeColor="text1"/>
          <w:sz w:val="24"/>
          <w:szCs w:val="24"/>
        </w:rPr>
      </w:pPr>
      <w:r w:rsidRPr="00375B80">
        <w:rPr>
          <w:rFonts w:ascii="Garamond" w:hAnsi="Garamond" w:cs="Times New Roman"/>
          <w:sz w:val="24"/>
          <w:szCs w:val="24"/>
        </w:rPr>
        <w:t xml:space="preserve">Forse è questo il modello che sostituirà l’attuale, e di cui già si vedono </w:t>
      </w:r>
      <w:r w:rsidR="00037DEB" w:rsidRPr="00375B80">
        <w:rPr>
          <w:rFonts w:ascii="Garamond" w:hAnsi="Garamond" w:cs="Times New Roman"/>
          <w:sz w:val="24"/>
          <w:szCs w:val="24"/>
        </w:rPr>
        <w:t>molti esempi</w:t>
      </w:r>
      <w:r w:rsidRPr="00375B80">
        <w:rPr>
          <w:rFonts w:ascii="Garamond" w:hAnsi="Garamond" w:cs="Times New Roman"/>
          <w:sz w:val="24"/>
          <w:szCs w:val="24"/>
        </w:rPr>
        <w:t xml:space="preserve">: </w:t>
      </w:r>
      <w:r w:rsidR="00976443" w:rsidRPr="00375B80">
        <w:rPr>
          <w:rFonts w:ascii="Garamond" w:hAnsi="Garamond" w:cs="Times New Roman"/>
          <w:sz w:val="24"/>
          <w:szCs w:val="24"/>
        </w:rPr>
        <w:t xml:space="preserve">piani tematici e </w:t>
      </w:r>
      <w:r w:rsidRPr="00375B80">
        <w:rPr>
          <w:rFonts w:ascii="Garamond" w:hAnsi="Garamond" w:cs="Times New Roman"/>
          <w:sz w:val="24"/>
          <w:szCs w:val="24"/>
        </w:rPr>
        <w:t>progetti fra loro interconnessi</w:t>
      </w:r>
      <w:r w:rsidR="00D3217E" w:rsidRPr="00375B80">
        <w:rPr>
          <w:rFonts w:ascii="Garamond" w:hAnsi="Garamond" w:cs="Times New Roman"/>
          <w:sz w:val="24"/>
          <w:szCs w:val="24"/>
        </w:rPr>
        <w:t xml:space="preserve"> e </w:t>
      </w:r>
      <w:r w:rsidR="00D3217E" w:rsidRPr="00375B80">
        <w:rPr>
          <w:rFonts w:ascii="Garamond" w:hAnsi="Garamond" w:cs="Times New Roman"/>
          <w:i/>
          <w:sz w:val="24"/>
          <w:szCs w:val="24"/>
        </w:rPr>
        <w:t>coalescenti</w:t>
      </w:r>
      <w:r w:rsidR="00997A8B" w:rsidRPr="00375B80">
        <w:rPr>
          <w:rFonts w:ascii="Garamond" w:hAnsi="Garamond" w:cs="Times New Roman"/>
          <w:sz w:val="24"/>
          <w:szCs w:val="24"/>
        </w:rPr>
        <w:t>,</w:t>
      </w:r>
      <w:r w:rsidR="00683E66" w:rsidRPr="00375B80">
        <w:rPr>
          <w:rFonts w:ascii="Garamond" w:hAnsi="Garamond" w:cs="Times New Roman"/>
          <w:sz w:val="24"/>
          <w:szCs w:val="24"/>
        </w:rPr>
        <w:t xml:space="preserve"> </w:t>
      </w:r>
      <w:r w:rsidR="00976443" w:rsidRPr="00375B80">
        <w:rPr>
          <w:rFonts w:ascii="Garamond" w:hAnsi="Garamond" w:cs="Times New Roman"/>
          <w:sz w:val="24"/>
          <w:szCs w:val="24"/>
        </w:rPr>
        <w:t xml:space="preserve">non privi di una base consensuale </w:t>
      </w:r>
      <w:r w:rsidR="00976443" w:rsidRPr="00375B80">
        <w:rPr>
          <w:rFonts w:ascii="Garamond" w:eastAsiaTheme="minorHAnsi" w:hAnsi="Garamond" w:cs="Times New Roman"/>
          <w:color w:val="000000" w:themeColor="text1"/>
          <w:sz w:val="24"/>
          <w:szCs w:val="24"/>
        </w:rPr>
        <w:t>(si pensi ai “contratti di paesaggio” o i “contratti di fiume”)</w:t>
      </w:r>
      <w:r w:rsidR="00976443" w:rsidRPr="00375B80">
        <w:rPr>
          <w:rStyle w:val="Rimandonotaapidipagina"/>
          <w:rFonts w:ascii="Garamond" w:hAnsi="Garamond" w:cs="Times New Roman"/>
          <w:color w:val="000000" w:themeColor="text1"/>
          <w:sz w:val="24"/>
          <w:szCs w:val="24"/>
        </w:rPr>
        <w:footnoteReference w:id="48"/>
      </w:r>
      <w:r w:rsidR="00976443" w:rsidRPr="00375B80">
        <w:rPr>
          <w:rFonts w:ascii="Garamond" w:hAnsi="Garamond" w:cs="Times New Roman"/>
          <w:color w:val="000000" w:themeColor="text1"/>
          <w:sz w:val="24"/>
          <w:szCs w:val="24"/>
        </w:rPr>
        <w:t>,</w:t>
      </w:r>
      <w:r w:rsidR="00997A8B" w:rsidRPr="00375B80">
        <w:rPr>
          <w:rFonts w:ascii="Garamond" w:hAnsi="Garamond" w:cs="Times New Roman"/>
          <w:color w:val="000000" w:themeColor="text1"/>
          <w:sz w:val="24"/>
          <w:szCs w:val="24"/>
        </w:rPr>
        <w:t xml:space="preserve"> che </w:t>
      </w:r>
      <w:r w:rsidR="00935D17" w:rsidRPr="00375B80">
        <w:rPr>
          <w:rFonts w:ascii="Garamond" w:hAnsi="Garamond" w:cs="Times New Roman"/>
          <w:color w:val="000000" w:themeColor="text1"/>
          <w:sz w:val="24"/>
          <w:szCs w:val="24"/>
        </w:rPr>
        <w:t>dialogheranno con strumenti urbanistici leggeri e orientati nel senso della prestazionalità, cioè della c.d. efficienza insediativa</w:t>
      </w:r>
      <w:r w:rsidR="00D3217E" w:rsidRPr="00375B80">
        <w:rPr>
          <w:rFonts w:ascii="Garamond" w:hAnsi="Garamond" w:cs="Times New Roman"/>
          <w:color w:val="000000" w:themeColor="text1"/>
          <w:sz w:val="24"/>
          <w:szCs w:val="24"/>
        </w:rPr>
        <w:t>.</w:t>
      </w:r>
    </w:p>
    <w:p w14:paraId="04BB15F8" w14:textId="77777777" w:rsidR="00EE753A" w:rsidRPr="00375B80" w:rsidRDefault="00935D17" w:rsidP="00DE366E">
      <w:pPr>
        <w:spacing w:after="0" w:line="360" w:lineRule="auto"/>
        <w:contextualSpacing/>
        <w:jc w:val="both"/>
        <w:rPr>
          <w:rFonts w:ascii="Garamond" w:eastAsiaTheme="minorHAnsi" w:hAnsi="Garamond" w:cs="_ÀRÑ˛"/>
          <w:color w:val="000000"/>
          <w:sz w:val="24"/>
          <w:szCs w:val="24"/>
        </w:rPr>
      </w:pPr>
      <w:r w:rsidRPr="00375B80">
        <w:rPr>
          <w:rFonts w:ascii="Garamond" w:hAnsi="Garamond" w:cs="Times New Roman"/>
          <w:sz w:val="24"/>
          <w:szCs w:val="24"/>
        </w:rPr>
        <w:t>I nuovi paradigmi urbani, cui qui può farsi solo un cenno, saranno</w:t>
      </w:r>
      <w:r w:rsidR="00A03628" w:rsidRPr="00375B80">
        <w:rPr>
          <w:rFonts w:ascii="Garamond" w:hAnsi="Garamond" w:cs="Times New Roman"/>
          <w:sz w:val="24"/>
          <w:szCs w:val="24"/>
        </w:rPr>
        <w:t>, ad esempio,</w:t>
      </w:r>
      <w:r w:rsidRPr="00375B80">
        <w:rPr>
          <w:rFonts w:ascii="Garamond" w:hAnsi="Garamond" w:cs="Times New Roman"/>
          <w:sz w:val="24"/>
          <w:szCs w:val="24"/>
        </w:rPr>
        <w:t xml:space="preserve"> sostenibilità, </w:t>
      </w:r>
      <w:r w:rsidRPr="00375B80">
        <w:rPr>
          <w:rFonts w:ascii="Garamond" w:eastAsiaTheme="minorHAnsi" w:hAnsi="Garamond" w:cs="_ÀRÑ˛"/>
          <w:color w:val="000000"/>
          <w:sz w:val="24"/>
          <w:szCs w:val="24"/>
        </w:rPr>
        <w:t xml:space="preserve">resilienza, livello </w:t>
      </w:r>
      <w:r w:rsidR="00A03628" w:rsidRPr="00375B80">
        <w:rPr>
          <w:rFonts w:ascii="Garamond" w:eastAsiaTheme="minorHAnsi" w:hAnsi="Garamond" w:cs="_ÀRÑ˛"/>
          <w:color w:val="000000"/>
          <w:sz w:val="24"/>
          <w:szCs w:val="24"/>
        </w:rPr>
        <w:t xml:space="preserve">qualitativo </w:t>
      </w:r>
      <w:r w:rsidRPr="00375B80">
        <w:rPr>
          <w:rFonts w:ascii="Garamond" w:eastAsiaTheme="minorHAnsi" w:hAnsi="Garamond" w:cs="_ÀRÑ˛"/>
          <w:color w:val="000000"/>
          <w:sz w:val="24"/>
          <w:szCs w:val="24"/>
        </w:rPr>
        <w:t xml:space="preserve">delle dotazioni urbane e </w:t>
      </w:r>
      <w:r w:rsidR="00A03628" w:rsidRPr="00375B80">
        <w:rPr>
          <w:rFonts w:ascii="Garamond" w:eastAsiaTheme="minorHAnsi" w:hAnsi="Garamond" w:cs="_ÀRÑ˛"/>
          <w:color w:val="000000"/>
          <w:sz w:val="24"/>
          <w:szCs w:val="24"/>
        </w:rPr>
        <w:t xml:space="preserve">raggiungimento </w:t>
      </w:r>
      <w:r w:rsidRPr="00375B80">
        <w:rPr>
          <w:rFonts w:ascii="Garamond" w:eastAsiaTheme="minorHAnsi" w:hAnsi="Garamond" w:cs="_ÀRÑ˛"/>
          <w:color w:val="000000"/>
          <w:sz w:val="24"/>
          <w:szCs w:val="24"/>
        </w:rPr>
        <w:t>dell’autosufficienza energetica.</w:t>
      </w:r>
      <w:r w:rsidR="00A03628" w:rsidRPr="00375B80">
        <w:rPr>
          <w:rFonts w:ascii="Garamond" w:eastAsiaTheme="minorHAnsi" w:hAnsi="Garamond" w:cs="_ÀRÑ˛"/>
          <w:color w:val="000000"/>
          <w:sz w:val="24"/>
          <w:szCs w:val="24"/>
        </w:rPr>
        <w:t xml:space="preserve"> </w:t>
      </w:r>
    </w:p>
    <w:p w14:paraId="3775BE19" w14:textId="50A80A06" w:rsidR="00A03628" w:rsidRPr="00375B80" w:rsidRDefault="00A03628" w:rsidP="00DE366E">
      <w:pPr>
        <w:spacing w:after="0" w:line="360" w:lineRule="auto"/>
        <w:contextualSpacing/>
        <w:jc w:val="both"/>
        <w:rPr>
          <w:rFonts w:ascii="Garamond" w:eastAsiaTheme="minorHAnsi" w:hAnsi="Garamond" w:cs="_ÀRÑ˛"/>
          <w:color w:val="000000"/>
          <w:sz w:val="24"/>
          <w:szCs w:val="24"/>
        </w:rPr>
      </w:pPr>
      <w:r w:rsidRPr="00375B80">
        <w:rPr>
          <w:rFonts w:ascii="Garamond" w:eastAsiaTheme="minorHAnsi" w:hAnsi="Garamond" w:cs="_ÀRÑ˛"/>
          <w:color w:val="000000"/>
          <w:sz w:val="24"/>
          <w:szCs w:val="24"/>
        </w:rPr>
        <w:t xml:space="preserve">Gli </w:t>
      </w:r>
      <w:r w:rsidRPr="00375B80">
        <w:rPr>
          <w:rFonts w:ascii="Garamond" w:eastAsiaTheme="minorHAnsi" w:hAnsi="Garamond" w:cs="_ÀRÑ˛"/>
          <w:i/>
          <w:color w:val="000000"/>
          <w:sz w:val="24"/>
          <w:szCs w:val="24"/>
        </w:rPr>
        <w:t>standards</w:t>
      </w:r>
      <w:r w:rsidRPr="00375B80">
        <w:rPr>
          <w:rFonts w:ascii="Garamond" w:eastAsiaTheme="minorHAnsi" w:hAnsi="Garamond" w:cs="_ÀRÑ˛"/>
          <w:color w:val="000000"/>
          <w:sz w:val="24"/>
          <w:szCs w:val="24"/>
        </w:rPr>
        <w:t xml:space="preserve"> di </w:t>
      </w:r>
      <w:r w:rsidRPr="00375B80">
        <w:rPr>
          <w:rFonts w:ascii="Garamond" w:eastAsiaTheme="minorHAnsi" w:hAnsi="Garamond" w:cs="_ÀRÑ˛"/>
          <w:i/>
          <w:color w:val="000000"/>
          <w:sz w:val="24"/>
          <w:szCs w:val="24"/>
        </w:rPr>
        <w:t>terza</w:t>
      </w:r>
      <w:r w:rsidRPr="00375B80">
        <w:rPr>
          <w:rFonts w:ascii="Garamond" w:eastAsiaTheme="minorHAnsi" w:hAnsi="Garamond" w:cs="_ÀRÑ˛"/>
          <w:color w:val="000000"/>
          <w:sz w:val="24"/>
          <w:szCs w:val="24"/>
        </w:rPr>
        <w:t xml:space="preserve"> generazione, verosimilmente </w:t>
      </w:r>
      <w:r w:rsidR="001C6FD8" w:rsidRPr="00375B80">
        <w:rPr>
          <w:rFonts w:ascii="Garamond" w:eastAsiaTheme="minorHAnsi" w:hAnsi="Garamond" w:cs="_ÀRÑ˛"/>
          <w:color w:val="000000"/>
          <w:sz w:val="24"/>
          <w:szCs w:val="24"/>
        </w:rPr>
        <w:t xml:space="preserve">sperimentati dapprima </w:t>
      </w:r>
      <w:r w:rsidRPr="00375B80">
        <w:rPr>
          <w:rFonts w:ascii="Garamond" w:eastAsiaTheme="minorHAnsi" w:hAnsi="Garamond" w:cs="_ÀRÑ˛"/>
          <w:color w:val="000000"/>
          <w:sz w:val="24"/>
          <w:szCs w:val="24"/>
        </w:rPr>
        <w:t>in sede regionale, si sostanzieranno nell’identificazione di rapporti non più (o non solo) planovolumetrici, ma basati su indicatori di prestazioni complessiv</w:t>
      </w:r>
      <w:r w:rsidR="001C6FD8" w:rsidRPr="00375B80">
        <w:rPr>
          <w:rFonts w:ascii="Garamond" w:eastAsiaTheme="minorHAnsi" w:hAnsi="Garamond" w:cs="_ÀRÑ˛"/>
          <w:color w:val="000000"/>
          <w:sz w:val="24"/>
          <w:szCs w:val="24"/>
        </w:rPr>
        <w:t>e</w:t>
      </w:r>
      <w:r w:rsidRPr="00375B80">
        <w:rPr>
          <w:rFonts w:ascii="Garamond" w:eastAsiaTheme="minorHAnsi" w:hAnsi="Garamond" w:cs="_ÀRÑ˛"/>
          <w:color w:val="000000"/>
          <w:sz w:val="24"/>
          <w:szCs w:val="24"/>
        </w:rPr>
        <w:t xml:space="preserve"> delle reti.</w:t>
      </w:r>
    </w:p>
    <w:p w14:paraId="49C2EF92" w14:textId="77777777" w:rsidR="002D08AC" w:rsidRPr="00375B80" w:rsidRDefault="001C6FD8" w:rsidP="00DE366E">
      <w:pPr>
        <w:spacing w:after="0" w:line="360" w:lineRule="auto"/>
        <w:contextualSpacing/>
        <w:jc w:val="both"/>
        <w:rPr>
          <w:rFonts w:ascii="Garamond" w:eastAsiaTheme="minorHAnsi" w:hAnsi="Garamond" w:cs="_ÀRÑ˛"/>
          <w:color w:val="000000"/>
          <w:sz w:val="24"/>
          <w:szCs w:val="24"/>
        </w:rPr>
      </w:pPr>
      <w:r w:rsidRPr="00375B80">
        <w:rPr>
          <w:rFonts w:ascii="Garamond" w:eastAsiaTheme="minorHAnsi" w:hAnsi="Garamond" w:cs="_ÀRÑ˛"/>
          <w:color w:val="000000"/>
          <w:sz w:val="24"/>
          <w:szCs w:val="24"/>
        </w:rPr>
        <w:lastRenderedPageBreak/>
        <w:t xml:space="preserve">Vi sia o meno la copertura garantita dalla loro qualificabilità in termini di LEP, il carattere prestazionale genererà altrettante situazioni soggettive attive volte a conseguirne l’erogazione. </w:t>
      </w:r>
    </w:p>
    <w:p w14:paraId="2342F5DF" w14:textId="77777777" w:rsidR="002D08AC" w:rsidRPr="00375B80" w:rsidRDefault="001C6FD8" w:rsidP="00DE366E">
      <w:pPr>
        <w:spacing w:after="0" w:line="360" w:lineRule="auto"/>
        <w:contextualSpacing/>
        <w:jc w:val="both"/>
        <w:rPr>
          <w:rFonts w:ascii="Garamond" w:eastAsiaTheme="minorHAnsi" w:hAnsi="Garamond" w:cs="Times New Roman"/>
          <w:color w:val="000000" w:themeColor="text1"/>
          <w:sz w:val="24"/>
          <w:szCs w:val="24"/>
        </w:rPr>
      </w:pPr>
      <w:r w:rsidRPr="00375B80">
        <w:rPr>
          <w:rFonts w:ascii="Garamond" w:eastAsiaTheme="minorHAnsi" w:hAnsi="Garamond" w:cs="_ÀRÑ˛"/>
          <w:color w:val="000000" w:themeColor="text1"/>
          <w:sz w:val="24"/>
          <w:szCs w:val="24"/>
        </w:rPr>
        <w:t xml:space="preserve">Una </w:t>
      </w:r>
      <w:r w:rsidR="00935D17" w:rsidRPr="00375B80">
        <w:rPr>
          <w:rFonts w:ascii="Garamond" w:eastAsiaTheme="minorHAnsi" w:hAnsi="Garamond" w:cs="Times New Roman"/>
          <w:color w:val="000000" w:themeColor="text1"/>
          <w:sz w:val="24"/>
          <w:szCs w:val="24"/>
        </w:rPr>
        <w:t>«</w:t>
      </w:r>
      <w:r w:rsidR="00935D17" w:rsidRPr="00375B80">
        <w:rPr>
          <w:rFonts w:ascii="Garamond" w:eastAsiaTheme="minorHAnsi" w:hAnsi="Garamond" w:cs="Times New Roman"/>
          <w:i/>
          <w:color w:val="000000" w:themeColor="text1"/>
          <w:sz w:val="24"/>
          <w:szCs w:val="24"/>
        </w:rPr>
        <w:t>nuova età dei diritti</w:t>
      </w:r>
      <w:r w:rsidR="00935D17" w:rsidRPr="00375B80">
        <w:rPr>
          <w:rFonts w:ascii="Garamond" w:eastAsiaTheme="minorHAnsi" w:hAnsi="Garamond" w:cs="Times New Roman"/>
          <w:color w:val="000000" w:themeColor="text1"/>
          <w:sz w:val="24"/>
          <w:szCs w:val="24"/>
        </w:rPr>
        <w:t>»</w:t>
      </w:r>
      <w:r w:rsidR="00935D17" w:rsidRPr="00375B80">
        <w:rPr>
          <w:rStyle w:val="Rimandonotaapidipagina"/>
          <w:rFonts w:ascii="Garamond" w:eastAsiaTheme="minorHAnsi" w:hAnsi="Garamond" w:cs="Times New Roman"/>
          <w:color w:val="000000" w:themeColor="text1"/>
          <w:sz w:val="24"/>
          <w:szCs w:val="24"/>
        </w:rPr>
        <w:footnoteReference w:id="49"/>
      </w:r>
      <w:r w:rsidR="002D08AC" w:rsidRPr="00375B80">
        <w:rPr>
          <w:rFonts w:ascii="Garamond" w:eastAsiaTheme="minorHAnsi" w:hAnsi="Garamond" w:cs="Times New Roman"/>
          <w:color w:val="000000" w:themeColor="text1"/>
          <w:sz w:val="24"/>
          <w:szCs w:val="24"/>
        </w:rPr>
        <w:t xml:space="preserve">. </w:t>
      </w:r>
    </w:p>
    <w:p w14:paraId="71C5EE7B" w14:textId="51E7D642" w:rsidR="002D08AC" w:rsidRPr="00375B80" w:rsidRDefault="002D08AC" w:rsidP="00DE366E">
      <w:pPr>
        <w:spacing w:after="0" w:line="360" w:lineRule="auto"/>
        <w:contextualSpacing/>
        <w:jc w:val="both"/>
        <w:rPr>
          <w:rFonts w:ascii="Garamond" w:eastAsiaTheme="minorHAnsi" w:hAnsi="Garamond" w:cs="Times New Roman"/>
          <w:color w:val="000000" w:themeColor="text1"/>
          <w:sz w:val="24"/>
          <w:szCs w:val="24"/>
        </w:rPr>
      </w:pPr>
      <w:r w:rsidRPr="00375B80">
        <w:rPr>
          <w:rFonts w:ascii="Garamond" w:eastAsiaTheme="minorHAnsi" w:hAnsi="Garamond" w:cs="Times New Roman"/>
          <w:color w:val="000000" w:themeColor="text1"/>
          <w:sz w:val="24"/>
          <w:szCs w:val="24"/>
        </w:rPr>
        <w:t>Ne saranno beneficiari solo gli esseri umani? Indulgo, un attimo ancora, al futuribile.</w:t>
      </w:r>
    </w:p>
    <w:p w14:paraId="21441489" w14:textId="6B9C37D9" w:rsidR="00F627BB" w:rsidRPr="00375B80" w:rsidRDefault="002D08AC" w:rsidP="00DE366E">
      <w:pPr>
        <w:spacing w:after="0" w:line="360" w:lineRule="auto"/>
        <w:contextualSpacing/>
        <w:jc w:val="both"/>
        <w:rPr>
          <w:rFonts w:ascii="Garamond" w:eastAsiaTheme="minorHAnsi" w:hAnsi="Garamond" w:cs="Times New Roman"/>
          <w:color w:val="000000" w:themeColor="text1"/>
          <w:sz w:val="24"/>
          <w:szCs w:val="24"/>
        </w:rPr>
      </w:pPr>
      <w:r w:rsidRPr="00375B80">
        <w:rPr>
          <w:rFonts w:ascii="Garamond" w:eastAsiaTheme="minorHAnsi" w:hAnsi="Garamond" w:cs="Times New Roman"/>
          <w:color w:val="000000" w:themeColor="text1"/>
          <w:sz w:val="24"/>
          <w:szCs w:val="24"/>
        </w:rPr>
        <w:t>Apro alla considerazione delle altre creature senzienti, le «persone non umane». Anch’ess</w:t>
      </w:r>
      <w:r w:rsidR="003753A0" w:rsidRPr="00375B80">
        <w:rPr>
          <w:rFonts w:ascii="Garamond" w:eastAsiaTheme="minorHAnsi" w:hAnsi="Garamond" w:cs="Times New Roman"/>
          <w:color w:val="000000" w:themeColor="text1"/>
          <w:sz w:val="24"/>
          <w:szCs w:val="24"/>
        </w:rPr>
        <w:t>e</w:t>
      </w:r>
      <w:r w:rsidRPr="00375B80">
        <w:rPr>
          <w:rFonts w:ascii="Garamond" w:eastAsiaTheme="minorHAnsi" w:hAnsi="Garamond" w:cs="Times New Roman"/>
          <w:color w:val="000000" w:themeColor="text1"/>
          <w:sz w:val="24"/>
          <w:szCs w:val="24"/>
        </w:rPr>
        <w:t xml:space="preserve"> pienamente partecipi dell’ecosistema, e – almeno per le specie superiori – già titolari di diritti in altri ordinamenti.</w:t>
      </w:r>
      <w:r w:rsidR="003753A0" w:rsidRPr="00375B80">
        <w:rPr>
          <w:rFonts w:ascii="Garamond" w:eastAsiaTheme="minorHAnsi" w:hAnsi="Garamond" w:cs="Times New Roman"/>
          <w:color w:val="000000" w:themeColor="text1"/>
          <w:sz w:val="24"/>
          <w:szCs w:val="24"/>
        </w:rPr>
        <w:t xml:space="preserve"> </w:t>
      </w:r>
      <w:r w:rsidR="00142C7E" w:rsidRPr="00375B80">
        <w:rPr>
          <w:rFonts w:ascii="Garamond" w:eastAsiaTheme="minorHAnsi" w:hAnsi="Garamond" w:cs="Times New Roman"/>
          <w:color w:val="000000" w:themeColor="text1"/>
          <w:sz w:val="24"/>
          <w:szCs w:val="24"/>
        </w:rPr>
        <w:t xml:space="preserve">I quali </w:t>
      </w:r>
      <w:r w:rsidR="005C018C" w:rsidRPr="00375B80">
        <w:rPr>
          <w:rFonts w:ascii="Garamond" w:eastAsiaTheme="minorHAnsi" w:hAnsi="Garamond" w:cs="Times New Roman"/>
          <w:color w:val="000000" w:themeColor="text1"/>
          <w:sz w:val="24"/>
          <w:szCs w:val="24"/>
        </w:rPr>
        <w:t xml:space="preserve">possono anche non </w:t>
      </w:r>
      <w:r w:rsidR="003753A0" w:rsidRPr="00375B80">
        <w:rPr>
          <w:rFonts w:ascii="Garamond" w:eastAsiaTheme="minorHAnsi" w:hAnsi="Garamond" w:cs="Times New Roman"/>
          <w:color w:val="000000" w:themeColor="text1"/>
          <w:sz w:val="24"/>
          <w:szCs w:val="24"/>
        </w:rPr>
        <w:t>fonda</w:t>
      </w:r>
      <w:r w:rsidR="005C018C" w:rsidRPr="00375B80">
        <w:rPr>
          <w:rFonts w:ascii="Garamond" w:eastAsiaTheme="minorHAnsi" w:hAnsi="Garamond" w:cs="Times New Roman"/>
          <w:color w:val="000000" w:themeColor="text1"/>
          <w:sz w:val="24"/>
          <w:szCs w:val="24"/>
        </w:rPr>
        <w:t>rsi</w:t>
      </w:r>
      <w:r w:rsidR="003753A0" w:rsidRPr="00375B80">
        <w:rPr>
          <w:rFonts w:ascii="Garamond" w:eastAsiaTheme="minorHAnsi" w:hAnsi="Garamond" w:cs="Times New Roman"/>
          <w:color w:val="000000" w:themeColor="text1"/>
          <w:sz w:val="24"/>
          <w:szCs w:val="24"/>
        </w:rPr>
        <w:t xml:space="preserve"> sul</w:t>
      </w:r>
      <w:r w:rsidR="005C018C" w:rsidRPr="00375B80">
        <w:rPr>
          <w:rFonts w:ascii="Garamond" w:eastAsiaTheme="minorHAnsi" w:hAnsi="Garamond" w:cs="Times New Roman"/>
          <w:color w:val="000000" w:themeColor="text1"/>
          <w:sz w:val="24"/>
          <w:szCs w:val="24"/>
        </w:rPr>
        <w:t xml:space="preserve"> nobile, ma </w:t>
      </w:r>
      <w:r w:rsidR="003753A0" w:rsidRPr="00375B80">
        <w:rPr>
          <w:rFonts w:ascii="Garamond" w:eastAsiaTheme="minorHAnsi" w:hAnsi="Garamond" w:cs="Times New Roman"/>
          <w:color w:val="000000" w:themeColor="text1"/>
          <w:sz w:val="24"/>
          <w:szCs w:val="24"/>
        </w:rPr>
        <w:t>ottriato «</w:t>
      </w:r>
      <w:r w:rsidR="003753A0" w:rsidRPr="00375B80">
        <w:rPr>
          <w:rFonts w:ascii="Garamond" w:eastAsiaTheme="minorHAnsi" w:hAnsi="Garamond" w:cs="Times New Roman"/>
          <w:i/>
          <w:color w:val="000000" w:themeColor="text1"/>
          <w:sz w:val="24"/>
          <w:szCs w:val="24"/>
        </w:rPr>
        <w:t>noblesse oblige</w:t>
      </w:r>
      <w:r w:rsidR="003753A0" w:rsidRPr="00375B80">
        <w:rPr>
          <w:rFonts w:ascii="Garamond" w:eastAsiaTheme="minorHAnsi" w:hAnsi="Garamond" w:cs="Times New Roman"/>
          <w:color w:val="000000" w:themeColor="text1"/>
          <w:sz w:val="24"/>
          <w:szCs w:val="24"/>
        </w:rPr>
        <w:t xml:space="preserve">» di </w:t>
      </w:r>
      <w:r w:rsidR="005C018C" w:rsidRPr="00375B80">
        <w:rPr>
          <w:rFonts w:ascii="Garamond" w:eastAsiaTheme="minorHAnsi" w:hAnsi="Garamond" w:cs="Times New Roman"/>
          <w:color w:val="000000" w:themeColor="text1"/>
          <w:sz w:val="24"/>
          <w:szCs w:val="24"/>
        </w:rPr>
        <w:t>Lombardi Vallauri</w:t>
      </w:r>
      <w:r w:rsidR="005C018C" w:rsidRPr="00375B80">
        <w:rPr>
          <w:rStyle w:val="Rimandonotaapidipagina"/>
          <w:rFonts w:ascii="Garamond" w:eastAsiaTheme="minorHAnsi" w:hAnsi="Garamond" w:cs="Times New Roman"/>
          <w:color w:val="000000" w:themeColor="text1"/>
          <w:sz w:val="24"/>
          <w:szCs w:val="24"/>
        </w:rPr>
        <w:footnoteReference w:id="50"/>
      </w:r>
      <w:r w:rsidR="005C018C" w:rsidRPr="00375B80">
        <w:rPr>
          <w:rFonts w:ascii="Garamond" w:eastAsiaTheme="minorHAnsi" w:hAnsi="Garamond" w:cs="Times New Roman"/>
          <w:color w:val="000000" w:themeColor="text1"/>
          <w:sz w:val="24"/>
          <w:szCs w:val="24"/>
        </w:rPr>
        <w:t>.</w:t>
      </w:r>
      <w:r w:rsidR="00142C7E" w:rsidRPr="00375B80">
        <w:rPr>
          <w:rFonts w:ascii="Garamond" w:eastAsiaTheme="minorHAnsi" w:hAnsi="Garamond" w:cs="Times New Roman"/>
          <w:color w:val="000000" w:themeColor="text1"/>
          <w:sz w:val="24"/>
          <w:szCs w:val="24"/>
        </w:rPr>
        <w:t xml:space="preserve"> </w:t>
      </w:r>
      <w:r w:rsidR="005C018C" w:rsidRPr="00375B80">
        <w:rPr>
          <w:rFonts w:ascii="Garamond" w:eastAsiaTheme="minorHAnsi" w:hAnsi="Garamond" w:cs="Times New Roman"/>
          <w:color w:val="000000" w:themeColor="text1"/>
          <w:sz w:val="24"/>
          <w:szCs w:val="24"/>
        </w:rPr>
        <w:t xml:space="preserve">Dovrebbe essere </w:t>
      </w:r>
      <w:r w:rsidR="0036494F" w:rsidRPr="00375B80">
        <w:rPr>
          <w:rFonts w:ascii="Garamond" w:eastAsiaTheme="minorHAnsi" w:hAnsi="Garamond" w:cs="Times New Roman"/>
          <w:color w:val="000000" w:themeColor="text1"/>
          <w:sz w:val="24"/>
          <w:szCs w:val="24"/>
        </w:rPr>
        <w:t xml:space="preserve">invece </w:t>
      </w:r>
      <w:r w:rsidR="005C018C" w:rsidRPr="00375B80">
        <w:rPr>
          <w:rFonts w:ascii="Garamond" w:eastAsiaTheme="minorHAnsi" w:hAnsi="Garamond" w:cs="Times New Roman"/>
          <w:color w:val="000000" w:themeColor="text1"/>
          <w:sz w:val="24"/>
          <w:szCs w:val="24"/>
        </w:rPr>
        <w:t>sufficiente scommettere</w:t>
      </w:r>
      <w:r w:rsidR="00453B7F" w:rsidRPr="00375B80">
        <w:rPr>
          <w:rFonts w:ascii="Garamond" w:eastAsiaTheme="minorHAnsi" w:hAnsi="Garamond" w:cs="Times New Roman"/>
          <w:color w:val="000000" w:themeColor="text1"/>
          <w:sz w:val="24"/>
          <w:szCs w:val="24"/>
        </w:rPr>
        <w:t>, egoisticamente,</w:t>
      </w:r>
      <w:r w:rsidR="005C018C" w:rsidRPr="00375B80">
        <w:rPr>
          <w:rFonts w:ascii="Garamond" w:eastAsiaTheme="minorHAnsi" w:hAnsi="Garamond" w:cs="Times New Roman"/>
          <w:color w:val="000000" w:themeColor="text1"/>
          <w:sz w:val="24"/>
          <w:szCs w:val="24"/>
        </w:rPr>
        <w:t xml:space="preserve"> sull’istinto di conservazione </w:t>
      </w:r>
      <w:r w:rsidR="00453B7F" w:rsidRPr="00375B80">
        <w:rPr>
          <w:rFonts w:ascii="Garamond" w:eastAsiaTheme="minorHAnsi" w:hAnsi="Garamond" w:cs="Times New Roman"/>
          <w:color w:val="000000" w:themeColor="text1"/>
          <w:sz w:val="24"/>
          <w:szCs w:val="24"/>
        </w:rPr>
        <w:t>della nostra specie</w:t>
      </w:r>
      <w:r w:rsidR="001E6AF7" w:rsidRPr="00375B80">
        <w:rPr>
          <w:rStyle w:val="Rimandonotaapidipagina"/>
          <w:rFonts w:ascii="Garamond" w:eastAsiaTheme="minorHAnsi" w:hAnsi="Garamond" w:cs="Times New Roman"/>
          <w:color w:val="000000" w:themeColor="text1"/>
          <w:sz w:val="24"/>
          <w:szCs w:val="24"/>
        </w:rPr>
        <w:footnoteReference w:id="51"/>
      </w:r>
      <w:r w:rsidR="00FB50EF" w:rsidRPr="00375B80">
        <w:rPr>
          <w:rFonts w:ascii="Garamond" w:eastAsiaTheme="minorHAnsi" w:hAnsi="Garamond" w:cs="Times New Roman"/>
          <w:color w:val="000000" w:themeColor="text1"/>
          <w:sz w:val="24"/>
          <w:szCs w:val="24"/>
        </w:rPr>
        <w:t>: scomparso l’uomo, le questioni di governo del territorio cesser</w:t>
      </w:r>
      <w:r w:rsidR="00AA32B8" w:rsidRPr="00375B80">
        <w:rPr>
          <w:rFonts w:ascii="Garamond" w:eastAsiaTheme="minorHAnsi" w:hAnsi="Garamond" w:cs="Times New Roman"/>
          <w:color w:val="000000" w:themeColor="text1"/>
          <w:sz w:val="24"/>
          <w:szCs w:val="24"/>
        </w:rPr>
        <w:t>ebbero</w:t>
      </w:r>
      <w:r w:rsidR="00FB50EF" w:rsidRPr="00375B80">
        <w:rPr>
          <w:rFonts w:ascii="Garamond" w:eastAsiaTheme="minorHAnsi" w:hAnsi="Garamond" w:cs="Times New Roman"/>
          <w:color w:val="000000" w:themeColor="text1"/>
          <w:sz w:val="24"/>
          <w:szCs w:val="24"/>
        </w:rPr>
        <w:t xml:space="preserve"> di essere questioni.</w:t>
      </w:r>
    </w:p>
    <w:p w14:paraId="59AF9BED" w14:textId="71D18A71" w:rsidR="00980A23" w:rsidRPr="00DE366E" w:rsidRDefault="00980A23" w:rsidP="00980A23">
      <w:pPr>
        <w:spacing w:after="0" w:line="360" w:lineRule="auto"/>
        <w:ind w:right="-30"/>
        <w:contextualSpacing/>
        <w:jc w:val="right"/>
        <w:rPr>
          <w:rFonts w:ascii="Garamond" w:eastAsia="Calibri" w:hAnsi="Garamond" w:cs="Times New Roman"/>
          <w:b/>
          <w:sz w:val="36"/>
          <w:szCs w:val="36"/>
          <w:lang w:eastAsia="it-IT"/>
        </w:rPr>
      </w:pPr>
      <w:r w:rsidRPr="00DE366E">
        <w:rPr>
          <w:rFonts w:ascii="Garamond" w:eastAsia="Calibri" w:hAnsi="Garamond" w:cs="Times New Roman"/>
          <w:b/>
          <w:sz w:val="36"/>
          <w:szCs w:val="36"/>
          <w:lang w:eastAsia="it-IT"/>
        </w:rPr>
        <w:t xml:space="preserve"> Pier Luigi Portaluri</w:t>
      </w:r>
    </w:p>
    <w:p w14:paraId="40FDA658" w14:textId="77777777" w:rsidR="00980A23" w:rsidRPr="00DE366E" w:rsidRDefault="00980A23" w:rsidP="00980A23">
      <w:pPr>
        <w:spacing w:after="0" w:line="360" w:lineRule="auto"/>
        <w:ind w:right="-28"/>
        <w:contextualSpacing/>
        <w:jc w:val="right"/>
        <w:rPr>
          <w:rFonts w:ascii="Garamond" w:eastAsia="Calibri" w:hAnsi="Garamond" w:cs="Times New Roman"/>
          <w:sz w:val="28"/>
          <w:szCs w:val="28"/>
          <w:lang w:eastAsia="it-IT"/>
        </w:rPr>
      </w:pPr>
      <w:r w:rsidRPr="00DE366E">
        <w:rPr>
          <w:rFonts w:ascii="Garamond" w:eastAsia="Calibri" w:hAnsi="Garamond" w:cs="Times New Roman"/>
          <w:sz w:val="28"/>
          <w:szCs w:val="28"/>
          <w:lang w:eastAsia="it-IT"/>
        </w:rPr>
        <w:t>Professore ordinario di Diritto amministrativo</w:t>
      </w:r>
    </w:p>
    <w:p w14:paraId="5DE3503D" w14:textId="77777777" w:rsidR="00980A23" w:rsidRDefault="00980A23" w:rsidP="00980A23">
      <w:pPr>
        <w:spacing w:after="0" w:line="360" w:lineRule="auto"/>
        <w:ind w:right="-28"/>
        <w:contextualSpacing/>
        <w:jc w:val="right"/>
        <w:rPr>
          <w:rFonts w:ascii="Garamond" w:eastAsia="Calibri" w:hAnsi="Garamond" w:cs="Times New Roman"/>
          <w:sz w:val="28"/>
          <w:szCs w:val="28"/>
          <w:lang w:eastAsia="it-IT"/>
        </w:rPr>
      </w:pPr>
      <w:r w:rsidRPr="00DE366E">
        <w:rPr>
          <w:rFonts w:ascii="Garamond" w:eastAsia="Calibri" w:hAnsi="Garamond" w:cs="Times New Roman"/>
          <w:sz w:val="28"/>
          <w:szCs w:val="28"/>
          <w:lang w:eastAsia="it-IT"/>
        </w:rPr>
        <w:t>Università del Salento</w:t>
      </w:r>
    </w:p>
    <w:p w14:paraId="0EB9062B" w14:textId="77777777" w:rsidR="00980A23" w:rsidRDefault="00980A23" w:rsidP="00980A23">
      <w:pPr>
        <w:spacing w:after="0" w:line="360" w:lineRule="auto"/>
        <w:ind w:right="-28"/>
        <w:contextualSpacing/>
        <w:jc w:val="right"/>
        <w:rPr>
          <w:rFonts w:ascii="Garamond" w:eastAsia="Calibri" w:hAnsi="Garamond" w:cs="Times New Roman"/>
          <w:sz w:val="28"/>
          <w:szCs w:val="28"/>
          <w:lang w:eastAsia="it-IT"/>
        </w:rPr>
      </w:pPr>
    </w:p>
    <w:p w14:paraId="6B2E4F7F" w14:textId="5A490537" w:rsidR="00980A23" w:rsidRPr="00DE366E" w:rsidRDefault="00980A23" w:rsidP="00980A23">
      <w:pPr>
        <w:spacing w:after="0" w:line="360" w:lineRule="auto"/>
        <w:ind w:right="-28"/>
        <w:contextualSpacing/>
        <w:jc w:val="right"/>
        <w:rPr>
          <w:rFonts w:ascii="Garamond" w:eastAsia="Calibri" w:hAnsi="Garamond" w:cs="Times New Roman"/>
          <w:sz w:val="28"/>
          <w:szCs w:val="28"/>
          <w:lang w:eastAsia="it-IT"/>
        </w:rPr>
      </w:pPr>
      <w:r>
        <w:rPr>
          <w:rFonts w:ascii="Garamond" w:eastAsia="Calibri" w:hAnsi="Garamond" w:cs="Times New Roman"/>
          <w:sz w:val="28"/>
          <w:szCs w:val="28"/>
          <w:lang w:eastAsia="it-IT"/>
        </w:rPr>
        <w:t>Pubblicato il 5 novembre 2019</w:t>
      </w:r>
    </w:p>
    <w:p w14:paraId="33E5B141" w14:textId="77777777" w:rsidR="00F627BB" w:rsidRPr="00375B80" w:rsidRDefault="00F627BB" w:rsidP="00DE366E">
      <w:pPr>
        <w:spacing w:after="0" w:line="360" w:lineRule="auto"/>
        <w:contextualSpacing/>
        <w:jc w:val="both"/>
        <w:rPr>
          <w:rFonts w:ascii="Garamond" w:eastAsiaTheme="minorHAnsi" w:hAnsi="Garamond" w:cs="Times New Roman"/>
          <w:color w:val="000000" w:themeColor="text1"/>
          <w:sz w:val="24"/>
          <w:szCs w:val="24"/>
        </w:rPr>
      </w:pPr>
    </w:p>
    <w:sectPr w:rsidR="00F627BB" w:rsidRPr="00375B80" w:rsidSect="00662D1F">
      <w:footerReference w:type="even" r:id="rId8"/>
      <w:footerReference w:type="default" r:id="rId9"/>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97EF5" w14:textId="77777777" w:rsidR="0006382D" w:rsidRDefault="0006382D" w:rsidP="00ED5B70">
      <w:pPr>
        <w:spacing w:after="0" w:line="240" w:lineRule="auto"/>
      </w:pPr>
      <w:r>
        <w:separator/>
      </w:r>
    </w:p>
  </w:endnote>
  <w:endnote w:type="continuationSeparator" w:id="0">
    <w:p w14:paraId="2A205B76" w14:textId="77777777" w:rsidR="0006382D" w:rsidRDefault="0006382D" w:rsidP="00ED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Corpo CS)">
    <w:panose1 w:val="00000000000000000000"/>
    <w:charset w:val="00"/>
    <w:family w:val="roman"/>
    <w:notTrueType/>
    <w:pitch w:val="default"/>
  </w:font>
  <w:font w:name="_ÀRÑ˛">
    <w:altName w:val="Calibri"/>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6718216"/>
      <w:docPartObj>
        <w:docPartGallery w:val="Page Numbers (Bottom of Page)"/>
        <w:docPartUnique/>
      </w:docPartObj>
    </w:sdtPr>
    <w:sdtEndPr>
      <w:rPr>
        <w:rStyle w:val="Numeropagina"/>
      </w:rPr>
    </w:sdtEndPr>
    <w:sdtContent>
      <w:p w14:paraId="42140FB2" w14:textId="3801BDBC" w:rsidR="00120D07" w:rsidRDefault="00120D07" w:rsidP="00120D0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CF22F7A" w14:textId="77777777" w:rsidR="00120D07" w:rsidRDefault="00120D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205092949"/>
      <w:docPartObj>
        <w:docPartGallery w:val="Page Numbers (Bottom of Page)"/>
        <w:docPartUnique/>
      </w:docPartObj>
    </w:sdtPr>
    <w:sdtEndPr>
      <w:rPr>
        <w:rStyle w:val="Numeropagina"/>
      </w:rPr>
    </w:sdtEndPr>
    <w:sdtContent>
      <w:p w14:paraId="0F4A1ECC" w14:textId="77777777" w:rsidR="00120D07" w:rsidRDefault="00120D07" w:rsidP="00120D07">
        <w:pPr>
          <w:pStyle w:val="Pidipagina"/>
          <w:framePr w:wrap="none" w:vAnchor="text" w:hAnchor="margin" w:xAlign="center" w:y="1"/>
          <w:rPr>
            <w:rStyle w:val="Numeropagina"/>
          </w:rPr>
        </w:pPr>
      </w:p>
      <w:p w14:paraId="3C40B195" w14:textId="40D8B935" w:rsidR="00120D07" w:rsidRDefault="00120D07" w:rsidP="00E42FBD">
        <w:pPr>
          <w:pStyle w:val="Pidipagina"/>
          <w:framePr w:wrap="none" w:vAnchor="text" w:hAnchor="margin" w:xAlign="center" w:y="1"/>
          <w:jc w:val="center"/>
          <w:rPr>
            <w:rStyle w:val="Numeropagina"/>
          </w:rPr>
        </w:pPr>
        <w:r w:rsidRPr="00F92187">
          <w:rPr>
            <w:rStyle w:val="Numeropagina"/>
            <w:rFonts w:ascii="Century Schoolbook" w:hAnsi="Century Schoolbook"/>
          </w:rPr>
          <w:fldChar w:fldCharType="begin"/>
        </w:r>
        <w:r w:rsidRPr="00F92187">
          <w:rPr>
            <w:rStyle w:val="Numeropagina"/>
            <w:rFonts w:ascii="Century Schoolbook" w:hAnsi="Century Schoolbook"/>
          </w:rPr>
          <w:instrText xml:space="preserve"> PAGE </w:instrText>
        </w:r>
        <w:r w:rsidRPr="00F92187">
          <w:rPr>
            <w:rStyle w:val="Numeropagina"/>
            <w:rFonts w:ascii="Century Schoolbook" w:hAnsi="Century Schoolbook"/>
          </w:rPr>
          <w:fldChar w:fldCharType="separate"/>
        </w:r>
        <w:r w:rsidR="000E1094">
          <w:rPr>
            <w:rStyle w:val="Numeropagina"/>
            <w:rFonts w:ascii="Century Schoolbook" w:hAnsi="Century Schoolbook"/>
            <w:noProof/>
          </w:rPr>
          <w:t>18</w:t>
        </w:r>
        <w:r w:rsidRPr="00F92187">
          <w:rPr>
            <w:rStyle w:val="Numeropagina"/>
            <w:rFonts w:ascii="Century Schoolbook" w:hAnsi="Century Schoolbook"/>
          </w:rPr>
          <w:fldChar w:fldCharType="end"/>
        </w:r>
      </w:p>
    </w:sdtContent>
  </w:sdt>
  <w:p w14:paraId="6DC11C30" w14:textId="77777777" w:rsidR="00120D07" w:rsidRDefault="00120D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A6A3" w14:textId="77777777" w:rsidR="0006382D" w:rsidRDefault="0006382D" w:rsidP="00ED5B70">
      <w:pPr>
        <w:spacing w:after="0" w:line="240" w:lineRule="auto"/>
      </w:pPr>
      <w:r>
        <w:separator/>
      </w:r>
    </w:p>
  </w:footnote>
  <w:footnote w:type="continuationSeparator" w:id="0">
    <w:p w14:paraId="33CC83F1" w14:textId="77777777" w:rsidR="0006382D" w:rsidRDefault="0006382D" w:rsidP="00ED5B70">
      <w:pPr>
        <w:spacing w:after="0" w:line="240" w:lineRule="auto"/>
      </w:pPr>
      <w:r>
        <w:continuationSeparator/>
      </w:r>
    </w:p>
  </w:footnote>
  <w:footnote w:id="1">
    <w:p w14:paraId="48842062" w14:textId="53975990" w:rsidR="0038616F" w:rsidRPr="00DE366E" w:rsidRDefault="0038616F"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t>*</w:t>
      </w:r>
      <w:r w:rsidRPr="00DE366E">
        <w:rPr>
          <w:rFonts w:ascii="Garamond" w:hAnsi="Garamond"/>
          <w:sz w:val="22"/>
          <w:szCs w:val="22"/>
        </w:rPr>
        <w:t xml:space="preserve"> </w:t>
      </w:r>
      <w:r w:rsidR="00C917EB" w:rsidRPr="00DE366E">
        <w:rPr>
          <w:rFonts w:ascii="Garamond" w:hAnsi="Garamond"/>
          <w:sz w:val="22"/>
          <w:szCs w:val="22"/>
        </w:rPr>
        <w:t>R</w:t>
      </w:r>
      <w:r w:rsidRPr="00DE366E">
        <w:rPr>
          <w:rFonts w:ascii="Garamond" w:hAnsi="Garamond"/>
          <w:sz w:val="22"/>
          <w:szCs w:val="22"/>
        </w:rPr>
        <w:t>elazione al 65° Convegno di studi amministrativi svoltosi a Varenna il 19-21 settembre 2019 sul tema «Dall’urbanistica al governo del territorio. Valori culturali, crescita economica, infrastrutture pubbliche e tutela del cittadino»</w:t>
      </w:r>
      <w:r w:rsidR="00296CD6" w:rsidRPr="00DE366E">
        <w:rPr>
          <w:rFonts w:ascii="Garamond" w:hAnsi="Garamond"/>
          <w:sz w:val="22"/>
          <w:szCs w:val="22"/>
        </w:rPr>
        <w:t>.</w:t>
      </w:r>
      <w:r w:rsidRPr="00DE366E">
        <w:rPr>
          <w:rFonts w:ascii="Garamond" w:hAnsi="Garamond"/>
          <w:sz w:val="22"/>
          <w:szCs w:val="22"/>
        </w:rPr>
        <w:t xml:space="preserve"> </w:t>
      </w:r>
      <w:r w:rsidR="00296CD6" w:rsidRPr="00DE366E">
        <w:rPr>
          <w:rFonts w:ascii="Garamond" w:hAnsi="Garamond"/>
          <w:sz w:val="22"/>
          <w:szCs w:val="22"/>
        </w:rPr>
        <w:t>È</w:t>
      </w:r>
      <w:r w:rsidRPr="00DE366E">
        <w:rPr>
          <w:rFonts w:ascii="Garamond" w:hAnsi="Garamond"/>
          <w:sz w:val="22"/>
          <w:szCs w:val="22"/>
        </w:rPr>
        <w:t xml:space="preserve"> destinat</w:t>
      </w:r>
      <w:r w:rsidR="00C917EB" w:rsidRPr="00DE366E">
        <w:rPr>
          <w:rFonts w:ascii="Garamond" w:hAnsi="Garamond"/>
          <w:sz w:val="22"/>
          <w:szCs w:val="22"/>
        </w:rPr>
        <w:t>a</w:t>
      </w:r>
      <w:r w:rsidRPr="00DE366E">
        <w:rPr>
          <w:rFonts w:ascii="Garamond" w:hAnsi="Garamond"/>
          <w:sz w:val="22"/>
          <w:szCs w:val="22"/>
        </w:rPr>
        <w:t xml:space="preserve"> agli Studi in onore di Vincenzo Cerulli Irelli.</w:t>
      </w:r>
    </w:p>
    <w:p w14:paraId="752571E7" w14:textId="3F5CAA13" w:rsidR="0038616F" w:rsidRPr="00DE366E" w:rsidRDefault="00296CD6" w:rsidP="008F04FA">
      <w:pPr>
        <w:pStyle w:val="Testonotaapidipagina"/>
        <w:contextualSpacing/>
        <w:jc w:val="both"/>
        <w:rPr>
          <w:rFonts w:ascii="Garamond" w:hAnsi="Garamond"/>
          <w:sz w:val="22"/>
          <w:szCs w:val="22"/>
        </w:rPr>
      </w:pPr>
      <w:r w:rsidRPr="00DE366E">
        <w:rPr>
          <w:rFonts w:ascii="Garamond" w:hAnsi="Garamond"/>
          <w:sz w:val="22"/>
          <w:szCs w:val="22"/>
        </w:rPr>
        <w:t>Le tesi qui sostenute sono alla base di un</w:t>
      </w:r>
      <w:r w:rsidR="00C10D62" w:rsidRPr="00DE366E">
        <w:rPr>
          <w:rFonts w:ascii="Garamond" w:hAnsi="Garamond"/>
          <w:sz w:val="22"/>
          <w:szCs w:val="22"/>
        </w:rPr>
        <w:t>o</w:t>
      </w:r>
      <w:r w:rsidRPr="00DE366E">
        <w:rPr>
          <w:rFonts w:ascii="Garamond" w:hAnsi="Garamond"/>
          <w:sz w:val="22"/>
          <w:szCs w:val="22"/>
        </w:rPr>
        <w:t xml:space="preserve"> scritto</w:t>
      </w:r>
      <w:r w:rsidR="00C10D62" w:rsidRPr="00DE366E">
        <w:rPr>
          <w:rFonts w:ascii="Garamond" w:hAnsi="Garamond"/>
          <w:sz w:val="22"/>
          <w:szCs w:val="22"/>
        </w:rPr>
        <w:t>, di prossima pubblicazione, che le svilupperà con particolare riguardo alla prospettiva biocentrica delle regolazioni incidenti sugli usi del territorio</w:t>
      </w:r>
      <w:r w:rsidR="0038616F" w:rsidRPr="00DE366E">
        <w:rPr>
          <w:rFonts w:ascii="Garamond" w:hAnsi="Garamond"/>
          <w:sz w:val="22"/>
          <w:szCs w:val="22"/>
        </w:rPr>
        <w:t>.</w:t>
      </w:r>
    </w:p>
  </w:footnote>
  <w:footnote w:id="2">
    <w:p w14:paraId="47D9C179" w14:textId="013E4C59"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w:t>
      </w:r>
      <w:r w:rsidR="00733676" w:rsidRPr="00DE366E">
        <w:rPr>
          <w:rFonts w:ascii="Garamond" w:hAnsi="Garamond" w:cs="Times New Roman"/>
          <w:sz w:val="22"/>
          <w:szCs w:val="22"/>
        </w:rPr>
        <w:t xml:space="preserve">L. </w:t>
      </w:r>
      <w:r w:rsidR="00733676" w:rsidRPr="00DE366E">
        <w:rPr>
          <w:rFonts w:ascii="Garamond" w:hAnsi="Garamond" w:cs="Times New Roman"/>
          <w:smallCaps/>
          <w:sz w:val="22"/>
          <w:szCs w:val="22"/>
        </w:rPr>
        <w:t>MAZZAROLLI</w:t>
      </w:r>
      <w:r w:rsidRPr="00DE366E">
        <w:rPr>
          <w:rFonts w:ascii="Garamond" w:hAnsi="Garamond" w:cs="Times New Roman"/>
          <w:sz w:val="22"/>
          <w:szCs w:val="22"/>
        </w:rPr>
        <w:t xml:space="preserve">, </w:t>
      </w:r>
      <w:r w:rsidRPr="00DE366E">
        <w:rPr>
          <w:rFonts w:ascii="Garamond" w:hAnsi="Garamond" w:cs="Times New Roman"/>
          <w:i/>
          <w:sz w:val="22"/>
          <w:szCs w:val="22"/>
        </w:rPr>
        <w:t>I piani regolatori urbanistici nella teoria giuridica della pianificazione</w:t>
      </w:r>
      <w:r w:rsidRPr="00DE366E">
        <w:rPr>
          <w:rFonts w:ascii="Garamond" w:hAnsi="Garamond" w:cs="Times New Roman"/>
          <w:sz w:val="22"/>
          <w:szCs w:val="22"/>
        </w:rPr>
        <w:t>, Padova, 1962, p. 334, nota 39, sottolinea «la totale mancanza di conoscenza, nel Costituente, quanto al significato possibile da attribuirsi alla materia “urbanistica” e alla disciplina giuridica della medesima».</w:t>
      </w:r>
    </w:p>
    <w:p w14:paraId="07E007CB" w14:textId="2B30AD4F"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Mazzarolli riporta il resoconto sommario della seduta in cui la sottocommissione che si occupava dell’ordinamento regionale risulta aver affrontato per l’unica volta la questione circa l’attribuzione alle Regioni della materia urbanistica: «P</w:t>
      </w:r>
      <w:r w:rsidR="00AB67A2" w:rsidRPr="00DE366E">
        <w:rPr>
          <w:rFonts w:ascii="Garamond" w:hAnsi="Garamond" w:cs="Times New Roman"/>
          <w:sz w:val="22"/>
          <w:szCs w:val="22"/>
        </w:rPr>
        <w:t>residente</w:t>
      </w:r>
      <w:r w:rsidRPr="00DE366E">
        <w:rPr>
          <w:rFonts w:ascii="Garamond" w:hAnsi="Garamond" w:cs="Times New Roman"/>
          <w:sz w:val="22"/>
          <w:szCs w:val="22"/>
        </w:rPr>
        <w:t>…: invita la sottocommissione ad esprimere il suo parere relativamente all’urbanistica. F</w:t>
      </w:r>
      <w:r w:rsidR="00AB67A2" w:rsidRPr="00DE366E">
        <w:rPr>
          <w:rFonts w:ascii="Garamond" w:hAnsi="Garamond" w:cs="Times New Roman"/>
          <w:sz w:val="22"/>
          <w:szCs w:val="22"/>
        </w:rPr>
        <w:t>abbri</w:t>
      </w:r>
      <w:r w:rsidRPr="00DE366E">
        <w:rPr>
          <w:rFonts w:ascii="Garamond" w:hAnsi="Garamond" w:cs="Times New Roman"/>
          <w:sz w:val="22"/>
          <w:szCs w:val="22"/>
        </w:rPr>
        <w:t>: Ha l’impressione che l’urbanistica concerna quasi esclusivamente la competenza degli enti locali. P</w:t>
      </w:r>
      <w:r w:rsidR="00AB67A2" w:rsidRPr="00DE366E">
        <w:rPr>
          <w:rFonts w:ascii="Garamond" w:hAnsi="Garamond" w:cs="Times New Roman"/>
          <w:sz w:val="22"/>
          <w:szCs w:val="22"/>
        </w:rPr>
        <w:t>erassi</w:t>
      </w:r>
      <w:r w:rsidRPr="00DE366E">
        <w:rPr>
          <w:rFonts w:ascii="Garamond" w:hAnsi="Garamond" w:cs="Times New Roman"/>
          <w:sz w:val="22"/>
          <w:szCs w:val="22"/>
        </w:rPr>
        <w:t>: Chiarisce che i piani regolatori debbono essere approvati con legge e quindi è logico affermare la competenza legislativa della Regione. P</w:t>
      </w:r>
      <w:r w:rsidR="00AB67A2" w:rsidRPr="00DE366E">
        <w:rPr>
          <w:rFonts w:ascii="Garamond" w:hAnsi="Garamond" w:cs="Times New Roman"/>
          <w:sz w:val="22"/>
          <w:szCs w:val="22"/>
        </w:rPr>
        <w:t>residente</w:t>
      </w:r>
      <w:r w:rsidRPr="00DE366E">
        <w:rPr>
          <w:rFonts w:ascii="Garamond" w:hAnsi="Garamond" w:cs="Times New Roman"/>
          <w:sz w:val="22"/>
          <w:szCs w:val="22"/>
        </w:rPr>
        <w:t>: Pone ai voti l’inclusione nell’art. 3 di questa materia. È approvata» (</w:t>
      </w:r>
      <w:r w:rsidRPr="00DE366E">
        <w:rPr>
          <w:rFonts w:ascii="Garamond" w:hAnsi="Garamond" w:cs="Times New Roman"/>
          <w:i/>
          <w:sz w:val="22"/>
          <w:szCs w:val="22"/>
        </w:rPr>
        <w:t>ibidem</w:t>
      </w:r>
      <w:r w:rsidRPr="00DE366E">
        <w:rPr>
          <w:rFonts w:ascii="Garamond" w:hAnsi="Garamond" w:cs="Times New Roman"/>
          <w:sz w:val="22"/>
          <w:szCs w:val="22"/>
        </w:rPr>
        <w:t>).</w:t>
      </w:r>
    </w:p>
    <w:p w14:paraId="7535F158" w14:textId="27E783B0"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Due affermazioni, dunque, corrispondono a due errori abbastanza gravi, sottolinea impietosamente Spantigati: «Come è chiaro, esistendo la legge del 1942 non è vero che i piani regolatori erano approvati con legge. In secondo luogo non è vero che la competenza per l’urbanistica riguardi “quasi esclusivamente” gli interessi degli enti locali, perché già nella legge del 1942 era previsto il piano territoriale, che trascende il piano puramente locale, e nel 1947, quando si discutevano questi argomenti, gli urbanisti erano già convinti che i problemi urbanistici hanno dimensione non semplicemente locali, ma regionali o nazionali» (</w:t>
      </w:r>
      <w:r w:rsidR="00733676" w:rsidRPr="00DE366E">
        <w:rPr>
          <w:rFonts w:ascii="Garamond" w:hAnsi="Garamond" w:cs="Times New Roman"/>
          <w:sz w:val="22"/>
          <w:szCs w:val="22"/>
        </w:rPr>
        <w:t>F. S</w:t>
      </w:r>
      <w:r w:rsidR="00733676" w:rsidRPr="00DE366E">
        <w:rPr>
          <w:rFonts w:ascii="Garamond" w:hAnsi="Garamond" w:cs="Times New Roman"/>
          <w:smallCaps/>
          <w:sz w:val="22"/>
          <w:szCs w:val="22"/>
        </w:rPr>
        <w:t>PANTIGATI</w:t>
      </w:r>
      <w:r w:rsidRPr="00DE366E">
        <w:rPr>
          <w:rFonts w:ascii="Garamond" w:hAnsi="Garamond" w:cs="Times New Roman"/>
          <w:sz w:val="22"/>
          <w:szCs w:val="22"/>
        </w:rPr>
        <w:t xml:space="preserve">, </w:t>
      </w:r>
      <w:r w:rsidRPr="00DE366E">
        <w:rPr>
          <w:rFonts w:ascii="Garamond" w:hAnsi="Garamond" w:cs="Times New Roman"/>
          <w:i/>
          <w:sz w:val="22"/>
          <w:szCs w:val="22"/>
        </w:rPr>
        <w:t>Manuale di diritto urbanistico</w:t>
      </w:r>
      <w:r w:rsidRPr="00DE366E">
        <w:rPr>
          <w:rFonts w:ascii="Garamond" w:hAnsi="Garamond" w:cs="Times New Roman"/>
          <w:sz w:val="22"/>
          <w:szCs w:val="22"/>
        </w:rPr>
        <w:t>, Milano, 1969, p. 28).</w:t>
      </w:r>
    </w:p>
  </w:footnote>
  <w:footnote w:id="3">
    <w:p w14:paraId="49279339" w14:textId="4516D3E6" w:rsidR="005264C2" w:rsidRPr="00DE366E" w:rsidRDefault="005264C2"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Sul concetto </w:t>
      </w:r>
      <w:r w:rsidRPr="00DE366E">
        <w:rPr>
          <w:rFonts w:ascii="Garamond" w:hAnsi="Garamond"/>
          <w:i/>
          <w:sz w:val="22"/>
          <w:szCs w:val="22"/>
        </w:rPr>
        <w:t>giuridico</w:t>
      </w:r>
      <w:r w:rsidRPr="00DE366E">
        <w:rPr>
          <w:rFonts w:ascii="Garamond" w:hAnsi="Garamond"/>
          <w:sz w:val="22"/>
          <w:szCs w:val="22"/>
        </w:rPr>
        <w:t xml:space="preserve"> di città si v. il contributo di </w:t>
      </w:r>
      <w:r w:rsidRPr="00733676">
        <w:rPr>
          <w:rFonts w:ascii="Garamond" w:hAnsi="Garamond"/>
          <w:caps/>
          <w:sz w:val="22"/>
          <w:szCs w:val="22"/>
        </w:rPr>
        <w:t xml:space="preserve">G. </w:t>
      </w:r>
      <w:r w:rsidRPr="00733676">
        <w:rPr>
          <w:rFonts w:ascii="Garamond" w:hAnsi="Garamond" w:cs="Times New Roman (Corpo CS)"/>
          <w:caps/>
          <w:sz w:val="22"/>
          <w:szCs w:val="22"/>
        </w:rPr>
        <w:t>Urbano</w:t>
      </w:r>
      <w:r w:rsidRPr="00DE366E">
        <w:rPr>
          <w:rFonts w:ascii="Garamond" w:hAnsi="Garamond"/>
          <w:sz w:val="22"/>
          <w:szCs w:val="22"/>
        </w:rPr>
        <w:t xml:space="preserve">, </w:t>
      </w:r>
      <w:r w:rsidRPr="00DE366E">
        <w:rPr>
          <w:rFonts w:ascii="Garamond" w:hAnsi="Garamond"/>
          <w:i/>
          <w:sz w:val="22"/>
          <w:szCs w:val="22"/>
        </w:rPr>
        <w:t>Le “Città intelligenti” alla luce del principio di sussidiarietà</w:t>
      </w:r>
      <w:r w:rsidRPr="00DE366E">
        <w:rPr>
          <w:rFonts w:ascii="Garamond" w:hAnsi="Garamond"/>
          <w:sz w:val="22"/>
          <w:szCs w:val="22"/>
        </w:rPr>
        <w:t xml:space="preserve">, in </w:t>
      </w:r>
      <w:r w:rsidRPr="00DE366E">
        <w:rPr>
          <w:rFonts w:ascii="Garamond" w:hAnsi="Garamond"/>
          <w:i/>
          <w:sz w:val="22"/>
          <w:szCs w:val="22"/>
        </w:rPr>
        <w:t>Ist. feder.</w:t>
      </w:r>
      <w:r w:rsidRPr="00DE366E">
        <w:rPr>
          <w:rFonts w:ascii="Garamond" w:hAnsi="Garamond"/>
          <w:sz w:val="22"/>
          <w:szCs w:val="22"/>
        </w:rPr>
        <w:t>, 2019, p. 463 ss., che ne articola tre accezioni: «come uno degli elementi umani dello spazio geografico, ossia quale elemento insediativo ed economico; come un elemento politico, in quanto vi si concentrano le attività di governo (locali, nazionali e/o internazionali); e, infine, può assumere l’accezione di elemento culturale, sia in quanto luogo elettivo della produzione di cultura sia in quanto sede di beni culturali accumulatisi nel tempo. Da tale molteplicità di funzioni si evince l’importanza della Città e si comprende come essa risulti uno degli elementi-guida dell’organizzazione dello spazio.».</w:t>
      </w:r>
    </w:p>
  </w:footnote>
  <w:footnote w:id="4">
    <w:p w14:paraId="5DAC9D22" w14:textId="47D61A0B"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Ciò non toglie – come giustamente osserva </w:t>
      </w:r>
      <w:r w:rsidRPr="00733676">
        <w:rPr>
          <w:rFonts w:ascii="Garamond" w:hAnsi="Garamond" w:cs="Times New Roman"/>
          <w:caps/>
          <w:sz w:val="22"/>
          <w:szCs w:val="22"/>
        </w:rPr>
        <w:t>P.L. Cervellati</w:t>
      </w:r>
      <w:r w:rsidRPr="00DE366E">
        <w:rPr>
          <w:rFonts w:ascii="Garamond" w:hAnsi="Garamond" w:cs="Times New Roman"/>
          <w:sz w:val="22"/>
          <w:szCs w:val="22"/>
        </w:rPr>
        <w:t xml:space="preserve">, </w:t>
      </w:r>
      <w:r w:rsidRPr="00DE366E">
        <w:rPr>
          <w:rFonts w:ascii="Garamond" w:hAnsi="Garamond" w:cs="Times New Roman"/>
          <w:i/>
          <w:sz w:val="22"/>
          <w:szCs w:val="22"/>
        </w:rPr>
        <w:t>Rendita urbana e territorio</w:t>
      </w:r>
      <w:r w:rsidRPr="00DE366E">
        <w:rPr>
          <w:rFonts w:ascii="Garamond" w:hAnsi="Garamond" w:cs="Times New Roman"/>
          <w:sz w:val="22"/>
          <w:szCs w:val="22"/>
        </w:rPr>
        <w:t xml:space="preserve">, in </w:t>
      </w:r>
      <w:r w:rsidR="00733676" w:rsidRPr="00DE366E">
        <w:rPr>
          <w:rFonts w:ascii="Garamond" w:hAnsi="Garamond" w:cs="Times New Roman"/>
          <w:sz w:val="22"/>
          <w:szCs w:val="22"/>
        </w:rPr>
        <w:t>V. CASTRONOVO</w:t>
      </w:r>
      <w:r w:rsidRPr="00DE366E">
        <w:rPr>
          <w:rFonts w:ascii="Garamond" w:hAnsi="Garamond" w:cs="Times New Roman"/>
          <w:sz w:val="22"/>
          <w:szCs w:val="22"/>
        </w:rPr>
        <w:t xml:space="preserve"> (a cura di), </w:t>
      </w:r>
      <w:r w:rsidRPr="00DE366E">
        <w:rPr>
          <w:rFonts w:ascii="Garamond" w:hAnsi="Garamond" w:cs="Times New Roman"/>
          <w:i/>
          <w:sz w:val="22"/>
          <w:szCs w:val="22"/>
        </w:rPr>
        <w:t>L’Italia contemporanea 1945-1975</w:t>
      </w:r>
      <w:r w:rsidRPr="00DE366E">
        <w:rPr>
          <w:rFonts w:ascii="Garamond" w:hAnsi="Garamond" w:cs="Times New Roman"/>
          <w:sz w:val="22"/>
          <w:szCs w:val="22"/>
        </w:rPr>
        <w:t xml:space="preserve">, Torino, Einaudi, 1976, p. 358 – che la legge ponte sia «una tipica legge all’italiana, </w:t>
      </w:r>
      <w:r w:rsidRPr="00DE366E">
        <w:rPr>
          <w:rFonts w:ascii="Garamond" w:hAnsi="Garamond" w:cs="Times New Roman"/>
          <w:i/>
          <w:sz w:val="22"/>
          <w:szCs w:val="22"/>
        </w:rPr>
        <w:t>double face</w:t>
      </w:r>
      <w:r w:rsidRPr="00DE366E">
        <w:rPr>
          <w:rFonts w:ascii="Garamond" w:hAnsi="Garamond" w:cs="Times New Roman"/>
          <w:sz w:val="22"/>
          <w:szCs w:val="22"/>
        </w:rPr>
        <w:t>. Innovatrice (propone e impone finalmente gli standard urbanistici) e reazionaria, perché ha consentito in un anno (il 1968, il cosiddetto anno di moratoria), di incrementare di 5 volte le cubature progettate negli anni precedenti, gli anni del boom edilizio».</w:t>
      </w:r>
    </w:p>
    <w:p w14:paraId="4ED0ABAC" w14:textId="0015C71C"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 xml:space="preserve">Che si trattasse di una reazione davvero energica e decisa agli eccessi non più tollerabili nella </w:t>
      </w:r>
      <w:r w:rsidRPr="00DE366E">
        <w:rPr>
          <w:rFonts w:ascii="Garamond" w:hAnsi="Garamond" w:cs="Times New Roman"/>
          <w:i/>
          <w:sz w:val="22"/>
          <w:szCs w:val="22"/>
        </w:rPr>
        <w:t>mala gestio</w:t>
      </w:r>
      <w:r w:rsidRPr="00DE366E">
        <w:rPr>
          <w:rFonts w:ascii="Garamond" w:hAnsi="Garamond" w:cs="Times New Roman"/>
          <w:sz w:val="22"/>
          <w:szCs w:val="22"/>
        </w:rPr>
        <w:t xml:space="preserve"> del territorio italiano lo dimostrano le resistenze che il disegno di legge incontrò nel dibattito parlamentare, all’esito del quale – al dichiarato fine di evitare che dall’impatto immediato della nuova normativa derivasse per l’edilizia un contraccolpo insostenibile – fu inserito nell’art. 18 il famigerato settimo comma: l’applicabilità delle nuove disposizioni </w:t>
      </w:r>
      <w:r w:rsidR="00F70D6E" w:rsidRPr="00DE366E">
        <w:rPr>
          <w:rFonts w:ascii="Garamond" w:hAnsi="Garamond" w:cs="Times New Roman"/>
          <w:sz w:val="22"/>
          <w:szCs w:val="22"/>
        </w:rPr>
        <w:t>er</w:t>
      </w:r>
      <w:r w:rsidRPr="00DE366E">
        <w:rPr>
          <w:rFonts w:ascii="Garamond" w:hAnsi="Garamond" w:cs="Times New Roman"/>
          <w:sz w:val="22"/>
          <w:szCs w:val="22"/>
        </w:rPr>
        <w:t xml:space="preserve">a differita a un anno dall’entrata in vigore della legge (pubblicata in G.u. n. 218 del 31 agosto 1967, e vigente dal giorno successivo ai sensi dell’art. 22 della legge stessa), e cioè </w:t>
      </w:r>
      <w:r w:rsidR="00F70D6E" w:rsidRPr="00DE366E">
        <w:rPr>
          <w:rFonts w:ascii="Garamond" w:hAnsi="Garamond" w:cs="Times New Roman"/>
          <w:sz w:val="22"/>
          <w:szCs w:val="22"/>
        </w:rPr>
        <w:t>d</w:t>
      </w:r>
      <w:r w:rsidRPr="00DE366E">
        <w:rPr>
          <w:rFonts w:ascii="Garamond" w:hAnsi="Garamond" w:cs="Times New Roman"/>
          <w:sz w:val="22"/>
          <w:szCs w:val="22"/>
        </w:rPr>
        <w:t>al 1° settembre 1968.</w:t>
      </w:r>
    </w:p>
    <w:p w14:paraId="7188A0DE" w14:textId="62F428A6"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 xml:space="preserve">Inizia in tal modo il tristemente noto «anno di moratoria», durante il quale «l’Italia è inondata di licenze. […] Sono stati accertati infiniti casi di licenze edilizie che, in data 31 agosto, sono state presentate al comune per l’approvazione, “istruite” dagli uffici tecnici comunali, esaminate e approvate dalla Sovrintendenza ai monumenti e dal Genio civile, discusse in commissione edilizia e firmate dal sindaco!» (così </w:t>
      </w:r>
      <w:r w:rsidR="00733676" w:rsidRPr="00DE366E">
        <w:rPr>
          <w:rFonts w:ascii="Garamond" w:hAnsi="Garamond" w:cs="Times New Roman"/>
          <w:sz w:val="22"/>
          <w:szCs w:val="22"/>
        </w:rPr>
        <w:t xml:space="preserve">E. </w:t>
      </w:r>
      <w:r w:rsidR="00733676" w:rsidRPr="00DE366E">
        <w:rPr>
          <w:rFonts w:ascii="Garamond" w:hAnsi="Garamond" w:cs="Times New Roman"/>
          <w:smallCaps/>
          <w:sz w:val="22"/>
          <w:szCs w:val="22"/>
        </w:rPr>
        <w:t>SALZANO</w:t>
      </w:r>
      <w:r w:rsidRPr="00DE366E">
        <w:rPr>
          <w:rFonts w:ascii="Garamond" w:hAnsi="Garamond" w:cs="Times New Roman"/>
          <w:sz w:val="22"/>
          <w:szCs w:val="22"/>
        </w:rPr>
        <w:t xml:space="preserve">, </w:t>
      </w:r>
      <w:r w:rsidRPr="00DE366E">
        <w:rPr>
          <w:rFonts w:ascii="Garamond" w:hAnsi="Garamond" w:cs="Times New Roman"/>
          <w:i/>
          <w:sz w:val="22"/>
          <w:szCs w:val="22"/>
        </w:rPr>
        <w:t>Fondamenti di urbanistica</w:t>
      </w:r>
      <w:r w:rsidRPr="00DE366E">
        <w:rPr>
          <w:rFonts w:ascii="Garamond" w:hAnsi="Garamond" w:cs="Times New Roman"/>
          <w:sz w:val="22"/>
          <w:szCs w:val="22"/>
        </w:rPr>
        <w:t>, Roma-Bari, Laterza, 2002, p. 128).</w:t>
      </w:r>
    </w:p>
  </w:footnote>
  <w:footnote w:id="5">
    <w:p w14:paraId="6C0F2B48" w14:textId="1E0A0A41"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Cfr. </w:t>
      </w:r>
      <w:r w:rsidR="00733676" w:rsidRPr="00DE366E">
        <w:rPr>
          <w:rFonts w:ascii="Garamond" w:hAnsi="Garamond" w:cs="Times New Roman"/>
          <w:sz w:val="22"/>
          <w:szCs w:val="22"/>
        </w:rPr>
        <w:t xml:space="preserve">S. </w:t>
      </w:r>
      <w:r w:rsidR="00733676" w:rsidRPr="00DE366E">
        <w:rPr>
          <w:rFonts w:ascii="Garamond" w:hAnsi="Garamond" w:cs="Times New Roman"/>
          <w:smallCaps/>
          <w:sz w:val="22"/>
          <w:szCs w:val="22"/>
        </w:rPr>
        <w:t>AMOROSINO</w:t>
      </w:r>
      <w:r w:rsidRPr="00DE366E">
        <w:rPr>
          <w:rFonts w:ascii="Garamond" w:hAnsi="Garamond" w:cs="Times New Roman"/>
          <w:sz w:val="22"/>
          <w:szCs w:val="22"/>
        </w:rPr>
        <w:t xml:space="preserve">, </w:t>
      </w:r>
      <w:r w:rsidRPr="00DE366E">
        <w:rPr>
          <w:rFonts w:ascii="Garamond" w:hAnsi="Garamond" w:cs="Times New Roman"/>
          <w:i/>
          <w:sz w:val="22"/>
          <w:szCs w:val="22"/>
        </w:rPr>
        <w:t>In tema di poteri regionali in sede di approvazione di strumenti urbanistici comunali</w:t>
      </w:r>
      <w:r w:rsidRPr="00DE366E">
        <w:rPr>
          <w:rFonts w:ascii="Garamond" w:hAnsi="Garamond" w:cs="Times New Roman"/>
          <w:sz w:val="22"/>
          <w:szCs w:val="22"/>
        </w:rPr>
        <w:t xml:space="preserve">, in </w:t>
      </w:r>
      <w:r w:rsidRPr="00DE366E">
        <w:rPr>
          <w:rFonts w:ascii="Garamond" w:hAnsi="Garamond" w:cs="Times New Roman"/>
          <w:i/>
          <w:sz w:val="22"/>
          <w:szCs w:val="22"/>
        </w:rPr>
        <w:t>Il diritto della Regione</w:t>
      </w:r>
      <w:r w:rsidRPr="00DE366E">
        <w:rPr>
          <w:rFonts w:ascii="Garamond" w:hAnsi="Garamond" w:cs="Times New Roman"/>
          <w:sz w:val="22"/>
          <w:szCs w:val="22"/>
        </w:rPr>
        <w:t>, 1984, n. 3, ora in</w:t>
      </w:r>
      <w:r w:rsidRPr="00DE366E">
        <w:rPr>
          <w:rFonts w:ascii="Garamond" w:hAnsi="Garamond" w:cs="Times New Roman"/>
          <w:i/>
          <w:sz w:val="22"/>
          <w:szCs w:val="22"/>
        </w:rPr>
        <w:t xml:space="preserve"> L’organizzazione del territorio tra leggi e amministrazione</w:t>
      </w:r>
      <w:r w:rsidRPr="00DE366E">
        <w:rPr>
          <w:rFonts w:ascii="Garamond" w:hAnsi="Garamond" w:cs="Times New Roman"/>
          <w:sz w:val="22"/>
          <w:szCs w:val="22"/>
        </w:rPr>
        <w:t>, Padova, 1984, p. 387 ss., spec. p. 391.</w:t>
      </w:r>
    </w:p>
  </w:footnote>
  <w:footnote w:id="6">
    <w:p w14:paraId="176DF9A9" w14:textId="5AAE04A7"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Cfr. </w:t>
      </w:r>
      <w:r w:rsidR="00733676" w:rsidRPr="00DE366E">
        <w:rPr>
          <w:rFonts w:ascii="Garamond" w:hAnsi="Garamond" w:cs="Times New Roman"/>
          <w:sz w:val="22"/>
          <w:szCs w:val="22"/>
        </w:rPr>
        <w:t xml:space="preserve">S. </w:t>
      </w:r>
      <w:r w:rsidR="00733676" w:rsidRPr="00DE366E">
        <w:rPr>
          <w:rFonts w:ascii="Garamond" w:hAnsi="Garamond" w:cs="Times New Roman"/>
          <w:smallCaps/>
          <w:sz w:val="22"/>
          <w:szCs w:val="22"/>
        </w:rPr>
        <w:t>AMOROSINO</w:t>
      </w:r>
      <w:r w:rsidRPr="00DE366E">
        <w:rPr>
          <w:rFonts w:ascii="Garamond" w:hAnsi="Garamond" w:cs="Times New Roman"/>
          <w:sz w:val="22"/>
          <w:szCs w:val="22"/>
        </w:rPr>
        <w:t xml:space="preserve">, </w:t>
      </w:r>
      <w:r w:rsidRPr="00DE366E">
        <w:rPr>
          <w:rFonts w:ascii="Garamond" w:hAnsi="Garamond" w:cs="Times New Roman"/>
          <w:i/>
          <w:sz w:val="22"/>
          <w:szCs w:val="22"/>
        </w:rPr>
        <w:t>In tema di poteri regionali</w:t>
      </w:r>
      <w:r w:rsidRPr="00DE366E">
        <w:rPr>
          <w:rFonts w:ascii="Garamond" w:hAnsi="Garamond" w:cs="Times New Roman"/>
          <w:sz w:val="22"/>
          <w:szCs w:val="22"/>
        </w:rPr>
        <w:t>, cit., p. 390.</w:t>
      </w:r>
    </w:p>
  </w:footnote>
  <w:footnote w:id="7">
    <w:p w14:paraId="1220185A" w14:textId="3EFAF302"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Cfr. </w:t>
      </w:r>
      <w:r w:rsidR="00733676" w:rsidRPr="00DE366E">
        <w:rPr>
          <w:rFonts w:ascii="Garamond" w:hAnsi="Garamond" w:cs="Times New Roman"/>
          <w:sz w:val="22"/>
          <w:szCs w:val="22"/>
        </w:rPr>
        <w:t xml:space="preserve">S. </w:t>
      </w:r>
      <w:r w:rsidR="00733676" w:rsidRPr="00DE366E">
        <w:rPr>
          <w:rFonts w:ascii="Garamond" w:hAnsi="Garamond" w:cs="Times New Roman"/>
          <w:smallCaps/>
          <w:sz w:val="22"/>
          <w:szCs w:val="22"/>
        </w:rPr>
        <w:t>AMOROSINO</w:t>
      </w:r>
      <w:r w:rsidRPr="00DE366E">
        <w:rPr>
          <w:rFonts w:ascii="Garamond" w:hAnsi="Garamond" w:cs="Times New Roman"/>
          <w:sz w:val="22"/>
          <w:szCs w:val="22"/>
        </w:rPr>
        <w:t xml:space="preserve">, </w:t>
      </w:r>
      <w:r w:rsidRPr="00DE366E">
        <w:rPr>
          <w:rFonts w:ascii="Garamond" w:hAnsi="Garamond" w:cs="Times New Roman"/>
          <w:i/>
          <w:sz w:val="22"/>
          <w:szCs w:val="22"/>
        </w:rPr>
        <w:t>In tema di poteri regionali</w:t>
      </w:r>
      <w:r w:rsidRPr="00DE366E">
        <w:rPr>
          <w:rFonts w:ascii="Garamond" w:hAnsi="Garamond" w:cs="Times New Roman"/>
          <w:sz w:val="22"/>
          <w:szCs w:val="22"/>
        </w:rPr>
        <w:t xml:space="preserve">, cit., </w:t>
      </w:r>
      <w:r w:rsidRPr="00DE366E">
        <w:rPr>
          <w:rFonts w:ascii="Garamond" w:hAnsi="Garamond" w:cs="Times New Roman"/>
          <w:i/>
          <w:sz w:val="22"/>
          <w:szCs w:val="22"/>
        </w:rPr>
        <w:t>ibidem</w:t>
      </w:r>
      <w:r w:rsidRPr="00DE366E">
        <w:rPr>
          <w:rFonts w:ascii="Garamond" w:hAnsi="Garamond" w:cs="Times New Roman"/>
          <w:sz w:val="22"/>
          <w:szCs w:val="22"/>
        </w:rPr>
        <w:t>.</w:t>
      </w:r>
    </w:p>
    <w:p w14:paraId="7452EA7E" w14:textId="652E85AD"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La tesi del p.r.g. quale atto complesso – come ben noto – è stata elaborata da Giannini (</w:t>
      </w:r>
      <w:r w:rsidR="00733676" w:rsidRPr="00DE366E">
        <w:rPr>
          <w:rFonts w:ascii="Garamond" w:hAnsi="Garamond" w:cs="Times New Roman"/>
          <w:smallCaps/>
          <w:sz w:val="22"/>
          <w:szCs w:val="22"/>
        </w:rPr>
        <w:t>M.S. GIANNINI</w:t>
      </w:r>
      <w:r w:rsidRPr="00DE366E">
        <w:rPr>
          <w:rFonts w:ascii="Garamond" w:hAnsi="Garamond" w:cs="Times New Roman"/>
          <w:smallCaps/>
          <w:sz w:val="22"/>
          <w:szCs w:val="22"/>
        </w:rPr>
        <w:t xml:space="preserve">, </w:t>
      </w:r>
      <w:r w:rsidRPr="00DE366E">
        <w:rPr>
          <w:rFonts w:ascii="Garamond" w:hAnsi="Garamond" w:cs="Times New Roman"/>
          <w:i/>
          <w:sz w:val="22"/>
          <w:szCs w:val="22"/>
        </w:rPr>
        <w:t>Sull’imputazione dei piani regolatori</w:t>
      </w:r>
      <w:r w:rsidRPr="00DE366E">
        <w:rPr>
          <w:rFonts w:ascii="Garamond" w:hAnsi="Garamond" w:cs="Times New Roman"/>
          <w:sz w:val="22"/>
          <w:szCs w:val="22"/>
        </w:rPr>
        <w:t xml:space="preserve">, in </w:t>
      </w:r>
      <w:r w:rsidRPr="00DE366E">
        <w:rPr>
          <w:rFonts w:ascii="Garamond" w:hAnsi="Garamond" w:cs="Times New Roman"/>
          <w:i/>
          <w:sz w:val="22"/>
          <w:szCs w:val="22"/>
        </w:rPr>
        <w:t>Giur. compl. Cass. civ</w:t>
      </w:r>
      <w:r w:rsidRPr="00DE366E">
        <w:rPr>
          <w:rFonts w:ascii="Garamond" w:hAnsi="Garamond" w:cs="Times New Roman"/>
          <w:sz w:val="22"/>
          <w:szCs w:val="22"/>
        </w:rPr>
        <w:t>.,</w:t>
      </w:r>
      <w:r w:rsidRPr="00DE366E">
        <w:rPr>
          <w:rFonts w:ascii="Garamond" w:hAnsi="Garamond" w:cs="Times New Roman"/>
          <w:i/>
          <w:sz w:val="22"/>
          <w:szCs w:val="22"/>
        </w:rPr>
        <w:t xml:space="preserve"> </w:t>
      </w:r>
      <w:r w:rsidRPr="00DE366E">
        <w:rPr>
          <w:rFonts w:ascii="Garamond" w:hAnsi="Garamond" w:cs="Times New Roman"/>
          <w:sz w:val="22"/>
          <w:szCs w:val="22"/>
        </w:rPr>
        <w:t xml:space="preserve">1950, p. 882 ss.), il quale ritiene che nella formazione del piano comunale intervengano due atti deliberativi, del Comune e del Ministero dei lavori pubblici. Tuttavia, secondo il Maestro la deliberazione ministeriale ha un ruolo preponderante rispetto a quella comunale, in quanto il Ministero può modificare la deliberazione comunale: da ciò la nozione di atto complesso a posizioni </w:t>
      </w:r>
      <w:r w:rsidRPr="00DE366E">
        <w:rPr>
          <w:rFonts w:ascii="Garamond" w:hAnsi="Garamond" w:cs="Times New Roman"/>
          <w:i/>
          <w:sz w:val="22"/>
          <w:szCs w:val="22"/>
        </w:rPr>
        <w:t>ineguali</w:t>
      </w:r>
      <w:r w:rsidRPr="00DE366E">
        <w:rPr>
          <w:rFonts w:ascii="Garamond" w:hAnsi="Garamond" w:cs="Times New Roman"/>
          <w:sz w:val="22"/>
          <w:szCs w:val="22"/>
        </w:rPr>
        <w:t>.</w:t>
      </w:r>
    </w:p>
    <w:p w14:paraId="2BFACDA6" w14:textId="2F7D89A2"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Altrettanto nota è la contrapposta teoria di Sandulli (</w:t>
      </w:r>
      <w:r w:rsidR="00733676" w:rsidRPr="00DE366E">
        <w:rPr>
          <w:rFonts w:ascii="Garamond" w:hAnsi="Garamond" w:cs="Times New Roman"/>
          <w:sz w:val="22"/>
          <w:szCs w:val="22"/>
        </w:rPr>
        <w:t xml:space="preserve">A.M. </w:t>
      </w:r>
      <w:r w:rsidR="00733676" w:rsidRPr="00DE366E">
        <w:rPr>
          <w:rFonts w:ascii="Garamond" w:hAnsi="Garamond" w:cs="Times New Roman"/>
          <w:smallCaps/>
          <w:sz w:val="22"/>
          <w:szCs w:val="22"/>
        </w:rPr>
        <w:t>SANDULLI</w:t>
      </w:r>
      <w:r w:rsidRPr="00DE366E">
        <w:rPr>
          <w:rFonts w:ascii="Garamond" w:hAnsi="Garamond" w:cs="Times New Roman"/>
          <w:sz w:val="22"/>
          <w:szCs w:val="22"/>
        </w:rPr>
        <w:t xml:space="preserve">, </w:t>
      </w:r>
      <w:r w:rsidRPr="00DE366E">
        <w:rPr>
          <w:rFonts w:ascii="Garamond" w:hAnsi="Garamond" w:cs="Times New Roman"/>
          <w:i/>
          <w:sz w:val="22"/>
          <w:szCs w:val="22"/>
        </w:rPr>
        <w:t>Appunti per uno studio sui piani regolatori</w:t>
      </w:r>
      <w:r w:rsidRPr="00DE366E">
        <w:rPr>
          <w:rFonts w:ascii="Garamond" w:hAnsi="Garamond" w:cs="Times New Roman"/>
          <w:sz w:val="22"/>
          <w:szCs w:val="22"/>
        </w:rPr>
        <w:t xml:space="preserve">, in </w:t>
      </w:r>
      <w:r w:rsidRPr="00DE366E">
        <w:rPr>
          <w:rFonts w:ascii="Garamond" w:hAnsi="Garamond" w:cs="Times New Roman"/>
          <w:i/>
          <w:sz w:val="22"/>
          <w:szCs w:val="22"/>
        </w:rPr>
        <w:t xml:space="preserve">Riv. giur. edil., </w:t>
      </w:r>
      <w:r w:rsidRPr="00DE366E">
        <w:rPr>
          <w:rFonts w:ascii="Garamond" w:hAnsi="Garamond" w:cs="Times New Roman"/>
          <w:sz w:val="22"/>
          <w:szCs w:val="22"/>
        </w:rPr>
        <w:t>1958, II, p. 137 ss.), per il quale il p.r.g. costituisce «atto composto»: l’imputazione formale ricade sul Ministero, ma il potere di decisione sostanziale spetta al Comune.</w:t>
      </w:r>
    </w:p>
    <w:p w14:paraId="4FB0261B"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Più in particolare, l’A. ritiene che il Ministero possa anche apportare talune modifiche al piano inviatogli, ma non unilateralmente (attesa la sussistenza di un potere determinativo comunale), donde la necessità di una navetta di seconda lettura in sede locale.</w:t>
      </w:r>
    </w:p>
    <w:p w14:paraId="33B2BA9E"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Non dissimile la posizione di Mazzarolli, coerente con la sua tesi dell’ordinamento sezionale a primazia comunale.</w:t>
      </w:r>
    </w:p>
    <w:p w14:paraId="6AAE0CF2"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È significativo rilevare, tuttavia, che l’orientamento di Sandulli è mutato nel tempo.</w:t>
      </w:r>
    </w:p>
    <w:p w14:paraId="3233A00B" w14:textId="336317FC"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Infatti, nel suo celebre manuale (</w:t>
      </w:r>
      <w:r w:rsidR="00733676" w:rsidRPr="00DE366E">
        <w:rPr>
          <w:rFonts w:ascii="Garamond" w:hAnsi="Garamond" w:cs="Times New Roman"/>
          <w:sz w:val="22"/>
          <w:szCs w:val="22"/>
        </w:rPr>
        <w:t xml:space="preserve">A.M. </w:t>
      </w:r>
      <w:r w:rsidR="00733676" w:rsidRPr="00DE366E">
        <w:rPr>
          <w:rFonts w:ascii="Garamond" w:hAnsi="Garamond" w:cs="Times New Roman"/>
          <w:smallCaps/>
          <w:sz w:val="22"/>
          <w:szCs w:val="22"/>
        </w:rPr>
        <w:t>SANDULLI</w:t>
      </w:r>
      <w:r w:rsidRPr="00DE366E">
        <w:rPr>
          <w:rFonts w:ascii="Garamond" w:hAnsi="Garamond" w:cs="Times New Roman"/>
          <w:sz w:val="22"/>
          <w:szCs w:val="22"/>
        </w:rPr>
        <w:t xml:space="preserve">, </w:t>
      </w:r>
      <w:r w:rsidRPr="00DE366E">
        <w:rPr>
          <w:rFonts w:ascii="Garamond" w:hAnsi="Garamond" w:cs="Times New Roman"/>
          <w:i/>
          <w:sz w:val="22"/>
          <w:szCs w:val="22"/>
        </w:rPr>
        <w:t>Manuale di diritto amministrativo</w:t>
      </w:r>
      <w:r w:rsidRPr="00DE366E">
        <w:rPr>
          <w:rFonts w:ascii="Garamond" w:hAnsi="Garamond" w:cs="Times New Roman"/>
          <w:sz w:val="22"/>
          <w:szCs w:val="22"/>
        </w:rPr>
        <w:t xml:space="preserve">, Napoli, 1989, p. 743) egli afferma che il p.r.g. viene «approvato dalla Regione […] con un atto il quale non presenta i caratteri della mera approvazione, in quanto la Regione è ammessa a partecipare consistentemente alle scelte urbanistiche, potendo apportare, a quelle effettuate dal Comune, modificazioni, anche di notevole rilievo. […] Il piano – conclude l’A. – è dunque atto di due soggetti e non un atto unisoggettivo»: sul punto, cfr. le osservazioni di </w:t>
      </w:r>
      <w:r w:rsidRPr="00733676">
        <w:rPr>
          <w:rFonts w:ascii="Garamond" w:hAnsi="Garamond" w:cs="Times New Roman"/>
          <w:caps/>
          <w:sz w:val="22"/>
          <w:szCs w:val="22"/>
        </w:rPr>
        <w:t>G. Sciullo</w:t>
      </w:r>
      <w:r w:rsidRPr="00DE366E">
        <w:rPr>
          <w:rFonts w:ascii="Garamond" w:hAnsi="Garamond" w:cs="Times New Roman"/>
          <w:smallCaps/>
          <w:sz w:val="22"/>
          <w:szCs w:val="22"/>
        </w:rPr>
        <w:t xml:space="preserve">, </w:t>
      </w:r>
      <w:r w:rsidRPr="00DE366E">
        <w:rPr>
          <w:rFonts w:ascii="Garamond" w:hAnsi="Garamond" w:cs="Times New Roman"/>
          <w:i/>
          <w:sz w:val="22"/>
          <w:szCs w:val="22"/>
        </w:rPr>
        <w:t xml:space="preserve">Pianificazione amministrativa e partecipazione, </w:t>
      </w:r>
      <w:r w:rsidRPr="00DE366E">
        <w:rPr>
          <w:rFonts w:ascii="Garamond" w:hAnsi="Garamond" w:cs="Times New Roman"/>
          <w:sz w:val="22"/>
          <w:szCs w:val="22"/>
        </w:rPr>
        <w:t>Milano, 1984, p. 204, nota 59, secondo cui in questo modo anche Sandulli finisce con l’aderire, almeno implicitamente, alla teoria dell’atto complesso.</w:t>
      </w:r>
    </w:p>
    <w:p w14:paraId="018F90B4" w14:textId="74A5B29A"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 xml:space="preserve">Completamente spostate sul versante della statualità dell’atto-piano, invece, sono le impostazioni concettuali di </w:t>
      </w:r>
      <w:r w:rsidR="00733676" w:rsidRPr="00DE366E">
        <w:rPr>
          <w:rFonts w:ascii="Garamond" w:hAnsi="Garamond" w:cs="Times New Roman"/>
          <w:sz w:val="22"/>
          <w:szCs w:val="22"/>
        </w:rPr>
        <w:t>F. C</w:t>
      </w:r>
      <w:r w:rsidR="00733676" w:rsidRPr="00DE366E">
        <w:rPr>
          <w:rFonts w:ascii="Garamond" w:hAnsi="Garamond" w:cs="Times New Roman"/>
          <w:smallCaps/>
          <w:sz w:val="22"/>
          <w:szCs w:val="22"/>
        </w:rPr>
        <w:t>UCCIA</w:t>
      </w:r>
      <w:r w:rsidRPr="00DE366E">
        <w:rPr>
          <w:rFonts w:ascii="Garamond" w:hAnsi="Garamond" w:cs="Times New Roman"/>
          <w:sz w:val="22"/>
          <w:szCs w:val="22"/>
        </w:rPr>
        <w:t xml:space="preserve">, </w:t>
      </w:r>
      <w:r w:rsidRPr="00DE366E">
        <w:rPr>
          <w:rFonts w:ascii="Garamond" w:hAnsi="Garamond" w:cs="Times New Roman"/>
          <w:i/>
          <w:sz w:val="22"/>
          <w:szCs w:val="22"/>
        </w:rPr>
        <w:t>In tema di ammissibilità di modifiche d’ufficio ai piani urbanistici in sede di approvazione</w:t>
      </w:r>
      <w:r w:rsidRPr="00DE366E">
        <w:rPr>
          <w:rFonts w:ascii="Garamond" w:hAnsi="Garamond" w:cs="Times New Roman"/>
          <w:sz w:val="22"/>
          <w:szCs w:val="22"/>
        </w:rPr>
        <w:t xml:space="preserve">, in </w:t>
      </w:r>
      <w:r w:rsidRPr="00DE366E">
        <w:rPr>
          <w:rFonts w:ascii="Garamond" w:hAnsi="Garamond" w:cs="Times New Roman"/>
          <w:i/>
          <w:sz w:val="22"/>
          <w:szCs w:val="22"/>
        </w:rPr>
        <w:t>Riv. amm.</w:t>
      </w:r>
      <w:r w:rsidRPr="00DE366E">
        <w:rPr>
          <w:rFonts w:ascii="Garamond" w:hAnsi="Garamond" w:cs="Times New Roman"/>
          <w:sz w:val="22"/>
          <w:szCs w:val="22"/>
        </w:rPr>
        <w:t xml:space="preserve">, 1953, p. 225 ss., e di </w:t>
      </w:r>
      <w:r w:rsidR="00733676" w:rsidRPr="00DE366E">
        <w:rPr>
          <w:rFonts w:ascii="Garamond" w:hAnsi="Garamond" w:cs="Times New Roman"/>
          <w:sz w:val="22"/>
          <w:szCs w:val="22"/>
        </w:rPr>
        <w:t>V. T</w:t>
      </w:r>
      <w:r w:rsidR="00733676" w:rsidRPr="00DE366E">
        <w:rPr>
          <w:rFonts w:ascii="Garamond" w:hAnsi="Garamond" w:cs="Times New Roman"/>
          <w:smallCaps/>
          <w:sz w:val="22"/>
          <w:szCs w:val="22"/>
        </w:rPr>
        <w:t>ESTA</w:t>
      </w:r>
      <w:r w:rsidRPr="00DE366E">
        <w:rPr>
          <w:rFonts w:ascii="Garamond" w:hAnsi="Garamond" w:cs="Times New Roman"/>
          <w:sz w:val="22"/>
          <w:szCs w:val="22"/>
        </w:rPr>
        <w:t xml:space="preserve">, </w:t>
      </w:r>
      <w:r w:rsidRPr="00DE366E">
        <w:rPr>
          <w:rFonts w:ascii="Garamond" w:hAnsi="Garamond" w:cs="Times New Roman"/>
          <w:i/>
          <w:sz w:val="22"/>
          <w:szCs w:val="22"/>
        </w:rPr>
        <w:t>Manuale di legislazione urbanistica</w:t>
      </w:r>
      <w:r w:rsidRPr="00DE366E">
        <w:rPr>
          <w:rFonts w:ascii="Garamond" w:hAnsi="Garamond" w:cs="Times New Roman"/>
          <w:sz w:val="22"/>
          <w:szCs w:val="22"/>
        </w:rPr>
        <w:t xml:space="preserve">, Milano, 1956, p. 73 ss., secondo i quali la delibera comunale ha solo un carattere preparatorio, propositivo e di progetto (e dunque addirittura </w:t>
      </w:r>
      <w:r w:rsidRPr="00DE366E">
        <w:rPr>
          <w:rFonts w:ascii="Garamond" w:hAnsi="Garamond" w:cs="Times New Roman"/>
          <w:i/>
          <w:sz w:val="22"/>
          <w:szCs w:val="22"/>
        </w:rPr>
        <w:t>priva</w:t>
      </w:r>
      <w:r w:rsidRPr="00DE366E">
        <w:rPr>
          <w:rFonts w:ascii="Garamond" w:hAnsi="Garamond" w:cs="Times New Roman"/>
          <w:sz w:val="22"/>
          <w:szCs w:val="22"/>
        </w:rPr>
        <w:t xml:space="preserve"> di rilevanza esterna) rispetto alla decisione del Ministro dei lavori pubblici, cui il piano si imputa: posizioni comprensibili – sottolinea con la consueta arguzia </w:t>
      </w:r>
      <w:r w:rsidR="00733676" w:rsidRPr="00DE366E">
        <w:rPr>
          <w:rFonts w:ascii="Garamond" w:hAnsi="Garamond" w:cs="Times New Roman"/>
          <w:sz w:val="22"/>
          <w:szCs w:val="22"/>
        </w:rPr>
        <w:t xml:space="preserve">F. </w:t>
      </w:r>
      <w:r w:rsidR="00733676" w:rsidRPr="00DE366E">
        <w:rPr>
          <w:rFonts w:ascii="Garamond" w:hAnsi="Garamond" w:cs="Times New Roman"/>
          <w:smallCaps/>
          <w:sz w:val="22"/>
          <w:szCs w:val="22"/>
        </w:rPr>
        <w:t>SPANTIGATI</w:t>
      </w:r>
      <w:r w:rsidRPr="00DE366E">
        <w:rPr>
          <w:rFonts w:ascii="Garamond" w:hAnsi="Garamond" w:cs="Times New Roman"/>
          <w:sz w:val="22"/>
          <w:szCs w:val="22"/>
        </w:rPr>
        <w:t xml:space="preserve">, </w:t>
      </w:r>
      <w:r w:rsidRPr="00DE366E">
        <w:rPr>
          <w:rFonts w:ascii="Garamond" w:hAnsi="Garamond" w:cs="Times New Roman"/>
          <w:i/>
          <w:sz w:val="22"/>
          <w:szCs w:val="22"/>
        </w:rPr>
        <w:t>Manuale</w:t>
      </w:r>
      <w:r w:rsidRPr="00DE366E">
        <w:rPr>
          <w:rFonts w:ascii="Garamond" w:hAnsi="Garamond" w:cs="Times New Roman"/>
          <w:sz w:val="22"/>
          <w:szCs w:val="22"/>
        </w:rPr>
        <w:t xml:space="preserve">, cit., p. 78 – se si considera che i due Consiglieri di Stato appena citati provenivano dall’amministrazione centrale. </w:t>
      </w:r>
    </w:p>
    <w:p w14:paraId="7EFAB34B" w14:textId="7533083F"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 xml:space="preserve">Per ulteriori approfondimenti sul dibattito dottrinale che si è sviluppato attorno all’imputazione del p.r.g., cfr. – oltre alla </w:t>
      </w:r>
      <w:r w:rsidRPr="00DE366E">
        <w:rPr>
          <w:rFonts w:ascii="Garamond" w:hAnsi="Garamond" w:cs="Times New Roman"/>
          <w:i/>
          <w:sz w:val="22"/>
          <w:szCs w:val="22"/>
        </w:rPr>
        <w:t>Ricerca sull’urbanistica,</w:t>
      </w:r>
      <w:r w:rsidRPr="00DE366E">
        <w:rPr>
          <w:rFonts w:ascii="Garamond" w:hAnsi="Garamond" w:cs="Times New Roman"/>
          <w:sz w:val="22"/>
          <w:szCs w:val="22"/>
        </w:rPr>
        <w:t xml:space="preserve"> Camera dei Deputati, Quaderni di Studi e Legislazione, 1965, I, p. 126 ss. – almeno </w:t>
      </w:r>
      <w:r w:rsidR="00733676" w:rsidRPr="00DE366E">
        <w:rPr>
          <w:rFonts w:ascii="Garamond" w:hAnsi="Garamond" w:cs="Times New Roman"/>
          <w:smallCaps/>
          <w:sz w:val="22"/>
          <w:szCs w:val="22"/>
        </w:rPr>
        <w:t>G. CORREALE</w:t>
      </w:r>
      <w:r w:rsidRPr="00DE366E">
        <w:rPr>
          <w:rFonts w:ascii="Garamond" w:hAnsi="Garamond" w:cs="Times New Roman"/>
          <w:smallCaps/>
          <w:sz w:val="22"/>
          <w:szCs w:val="22"/>
        </w:rPr>
        <w:t xml:space="preserve">, </w:t>
      </w:r>
      <w:r w:rsidRPr="00DE366E">
        <w:rPr>
          <w:rFonts w:ascii="Garamond" w:hAnsi="Garamond" w:cs="Times New Roman"/>
          <w:i/>
          <w:sz w:val="22"/>
          <w:szCs w:val="22"/>
        </w:rPr>
        <w:t>L’imputazione dei piani regolatori e la «legge ponte»</w:t>
      </w:r>
      <w:r w:rsidRPr="00DE366E">
        <w:rPr>
          <w:rFonts w:ascii="Garamond" w:hAnsi="Garamond" w:cs="Times New Roman"/>
          <w:sz w:val="22"/>
          <w:szCs w:val="22"/>
        </w:rPr>
        <w:t xml:space="preserve">, in </w:t>
      </w:r>
      <w:r w:rsidRPr="00DE366E">
        <w:rPr>
          <w:rFonts w:ascii="Garamond" w:hAnsi="Garamond" w:cs="Times New Roman"/>
          <w:i/>
          <w:sz w:val="22"/>
          <w:szCs w:val="22"/>
        </w:rPr>
        <w:t>Foro amm.</w:t>
      </w:r>
      <w:r w:rsidRPr="00DE366E">
        <w:rPr>
          <w:rFonts w:ascii="Garamond" w:hAnsi="Garamond" w:cs="Times New Roman"/>
          <w:sz w:val="22"/>
          <w:szCs w:val="22"/>
        </w:rPr>
        <w:t xml:space="preserve">, 1968, p. 527; </w:t>
      </w:r>
      <w:r w:rsidR="00733676" w:rsidRPr="00DE366E">
        <w:rPr>
          <w:rFonts w:ascii="Garamond" w:hAnsi="Garamond" w:cs="Times New Roman"/>
          <w:smallCaps/>
          <w:sz w:val="22"/>
          <w:szCs w:val="22"/>
        </w:rPr>
        <w:t>G. D’ANGELO</w:t>
      </w:r>
      <w:r w:rsidRPr="00DE366E">
        <w:rPr>
          <w:rFonts w:ascii="Garamond" w:hAnsi="Garamond" w:cs="Times New Roman"/>
          <w:smallCaps/>
          <w:sz w:val="22"/>
          <w:szCs w:val="22"/>
        </w:rPr>
        <w:t xml:space="preserve">, </w:t>
      </w:r>
      <w:r w:rsidRPr="00DE366E">
        <w:rPr>
          <w:rFonts w:ascii="Garamond" w:hAnsi="Garamond" w:cs="Times New Roman"/>
          <w:i/>
          <w:sz w:val="22"/>
          <w:szCs w:val="22"/>
        </w:rPr>
        <w:t>Rassegna critica di giurisprudenza sui piani regolatori generali</w:t>
      </w:r>
      <w:r w:rsidRPr="00DE366E">
        <w:rPr>
          <w:rFonts w:ascii="Garamond" w:hAnsi="Garamond" w:cs="Times New Roman"/>
          <w:sz w:val="22"/>
          <w:szCs w:val="22"/>
        </w:rPr>
        <w:t xml:space="preserve">, in </w:t>
      </w:r>
      <w:r w:rsidRPr="00DE366E">
        <w:rPr>
          <w:rFonts w:ascii="Garamond" w:hAnsi="Garamond" w:cs="Times New Roman"/>
          <w:i/>
          <w:sz w:val="22"/>
          <w:szCs w:val="22"/>
        </w:rPr>
        <w:t xml:space="preserve">Riv. giur. edil., </w:t>
      </w:r>
      <w:r w:rsidRPr="00DE366E">
        <w:rPr>
          <w:rFonts w:ascii="Garamond" w:hAnsi="Garamond" w:cs="Times New Roman"/>
          <w:sz w:val="22"/>
          <w:szCs w:val="22"/>
        </w:rPr>
        <w:t xml:space="preserve">1961, II, p. 3 ss.; </w:t>
      </w:r>
      <w:r w:rsidR="00733676" w:rsidRPr="00DE366E">
        <w:rPr>
          <w:rFonts w:ascii="Garamond" w:hAnsi="Garamond" w:cs="Times New Roman"/>
          <w:sz w:val="22"/>
          <w:szCs w:val="22"/>
        </w:rPr>
        <w:t xml:space="preserve">L. </w:t>
      </w:r>
      <w:r w:rsidR="00733676" w:rsidRPr="00DE366E">
        <w:rPr>
          <w:rFonts w:ascii="Garamond" w:hAnsi="Garamond" w:cs="Times New Roman"/>
          <w:smallCaps/>
          <w:sz w:val="22"/>
          <w:szCs w:val="22"/>
        </w:rPr>
        <w:t>MAZZAROLLI</w:t>
      </w:r>
      <w:r w:rsidRPr="00DE366E">
        <w:rPr>
          <w:rFonts w:ascii="Garamond" w:hAnsi="Garamond" w:cs="Times New Roman"/>
          <w:smallCaps/>
          <w:sz w:val="22"/>
          <w:szCs w:val="22"/>
        </w:rPr>
        <w:t>,</w:t>
      </w:r>
      <w:r w:rsidRPr="00DE366E">
        <w:rPr>
          <w:rFonts w:ascii="Garamond" w:hAnsi="Garamond" w:cs="Times New Roman"/>
          <w:sz w:val="22"/>
          <w:szCs w:val="22"/>
        </w:rPr>
        <w:t xml:space="preserve"> </w:t>
      </w:r>
      <w:r w:rsidRPr="00DE366E">
        <w:rPr>
          <w:rFonts w:ascii="Garamond" w:hAnsi="Garamond" w:cs="Times New Roman"/>
          <w:i/>
          <w:sz w:val="22"/>
          <w:szCs w:val="22"/>
        </w:rPr>
        <w:t>I piani regolatori urbanistici nella teoria giuridica della pianificazione</w:t>
      </w:r>
      <w:r w:rsidRPr="00DE366E">
        <w:rPr>
          <w:rFonts w:ascii="Garamond" w:hAnsi="Garamond" w:cs="Times New Roman"/>
          <w:sz w:val="22"/>
          <w:szCs w:val="22"/>
        </w:rPr>
        <w:t xml:space="preserve">, cit., p. 441 ss.; </w:t>
      </w:r>
      <w:r w:rsidR="00733676" w:rsidRPr="00DE366E">
        <w:rPr>
          <w:rFonts w:ascii="Garamond" w:hAnsi="Garamond" w:cs="Times New Roman"/>
          <w:smallCaps/>
          <w:sz w:val="22"/>
          <w:szCs w:val="22"/>
        </w:rPr>
        <w:t>L. MAZZONE</w:t>
      </w:r>
      <w:r w:rsidRPr="00DE366E">
        <w:rPr>
          <w:rFonts w:ascii="Garamond" w:hAnsi="Garamond" w:cs="Times New Roman"/>
          <w:smallCaps/>
          <w:sz w:val="22"/>
          <w:szCs w:val="22"/>
        </w:rPr>
        <w:t xml:space="preserve">, </w:t>
      </w:r>
      <w:r w:rsidRPr="00DE366E">
        <w:rPr>
          <w:rFonts w:ascii="Garamond" w:hAnsi="Garamond" w:cs="Times New Roman"/>
          <w:i/>
          <w:sz w:val="22"/>
          <w:szCs w:val="22"/>
        </w:rPr>
        <w:t>Brevi note sull’imputazione del piano regolatore generale</w:t>
      </w:r>
      <w:r w:rsidRPr="00DE366E">
        <w:rPr>
          <w:rFonts w:ascii="Garamond" w:hAnsi="Garamond" w:cs="Times New Roman"/>
          <w:sz w:val="22"/>
          <w:szCs w:val="22"/>
        </w:rPr>
        <w:t xml:space="preserve">, in </w:t>
      </w:r>
      <w:r w:rsidRPr="00DE366E">
        <w:rPr>
          <w:rFonts w:ascii="Garamond" w:hAnsi="Garamond" w:cs="Times New Roman"/>
          <w:i/>
          <w:sz w:val="22"/>
          <w:szCs w:val="22"/>
        </w:rPr>
        <w:t>Riv. giur. edil.</w:t>
      </w:r>
      <w:r w:rsidRPr="00DE366E">
        <w:rPr>
          <w:rFonts w:ascii="Garamond" w:hAnsi="Garamond" w:cs="Times New Roman"/>
          <w:sz w:val="22"/>
          <w:szCs w:val="22"/>
        </w:rPr>
        <w:t xml:space="preserve">, II, 1985, p. 35 ss.; </w:t>
      </w:r>
      <w:r w:rsidR="00733676" w:rsidRPr="00DE366E">
        <w:rPr>
          <w:rFonts w:ascii="Garamond" w:hAnsi="Garamond" w:cs="Times New Roman"/>
          <w:smallCaps/>
          <w:sz w:val="22"/>
          <w:szCs w:val="22"/>
        </w:rPr>
        <w:t>A. PREDIERI</w:t>
      </w:r>
      <w:r w:rsidRPr="00DE366E">
        <w:rPr>
          <w:rFonts w:ascii="Garamond" w:hAnsi="Garamond" w:cs="Times New Roman"/>
          <w:sz w:val="22"/>
          <w:szCs w:val="22"/>
        </w:rPr>
        <w:t xml:space="preserve">, </w:t>
      </w:r>
      <w:r w:rsidRPr="00DE366E">
        <w:rPr>
          <w:rFonts w:ascii="Garamond" w:hAnsi="Garamond" w:cs="Times New Roman"/>
          <w:i/>
          <w:sz w:val="22"/>
          <w:szCs w:val="22"/>
        </w:rPr>
        <w:t>Profili costituzionali, natura ed effetti dei piani urbanistici nelle opinioni della dottrina e nelle decisioni giurisprudenziali</w:t>
      </w:r>
      <w:r w:rsidRPr="00DE366E">
        <w:rPr>
          <w:rFonts w:ascii="Garamond" w:hAnsi="Garamond" w:cs="Times New Roman"/>
          <w:sz w:val="22"/>
          <w:szCs w:val="22"/>
        </w:rPr>
        <w:t xml:space="preserve">, in </w:t>
      </w:r>
      <w:r w:rsidRPr="00DE366E">
        <w:rPr>
          <w:rFonts w:ascii="Garamond" w:hAnsi="Garamond" w:cs="Times New Roman"/>
          <w:i/>
          <w:sz w:val="22"/>
          <w:szCs w:val="22"/>
        </w:rPr>
        <w:t>Riv. trim. dir. pubbl.,</w:t>
      </w:r>
      <w:r w:rsidRPr="00DE366E">
        <w:rPr>
          <w:rFonts w:ascii="Garamond" w:hAnsi="Garamond" w:cs="Times New Roman"/>
          <w:sz w:val="22"/>
          <w:szCs w:val="22"/>
        </w:rPr>
        <w:t xml:space="preserve"> 1961, p. 224 ss.; </w:t>
      </w:r>
      <w:r w:rsidR="00733676" w:rsidRPr="00DE366E">
        <w:rPr>
          <w:rFonts w:ascii="Garamond" w:hAnsi="Garamond" w:cs="Times New Roman"/>
          <w:sz w:val="22"/>
          <w:szCs w:val="22"/>
        </w:rPr>
        <w:t xml:space="preserve">F. </w:t>
      </w:r>
      <w:r w:rsidR="00733676" w:rsidRPr="00DE366E">
        <w:rPr>
          <w:rFonts w:ascii="Garamond" w:hAnsi="Garamond" w:cs="Times New Roman"/>
          <w:smallCaps/>
          <w:sz w:val="22"/>
          <w:szCs w:val="22"/>
        </w:rPr>
        <w:t>SPANTIGATI</w:t>
      </w:r>
      <w:r w:rsidRPr="00DE366E">
        <w:rPr>
          <w:rFonts w:ascii="Garamond" w:hAnsi="Garamond" w:cs="Times New Roman"/>
          <w:sz w:val="22"/>
          <w:szCs w:val="22"/>
        </w:rPr>
        <w:t xml:space="preserve">, </w:t>
      </w:r>
      <w:r w:rsidRPr="00DE366E">
        <w:rPr>
          <w:rFonts w:ascii="Garamond" w:hAnsi="Garamond" w:cs="Times New Roman"/>
          <w:i/>
          <w:sz w:val="22"/>
          <w:szCs w:val="22"/>
        </w:rPr>
        <w:t>Manuale</w:t>
      </w:r>
      <w:r w:rsidRPr="00DE366E">
        <w:rPr>
          <w:rFonts w:ascii="Garamond" w:hAnsi="Garamond" w:cs="Times New Roman"/>
          <w:sz w:val="22"/>
          <w:szCs w:val="22"/>
        </w:rPr>
        <w:t xml:space="preserve">, cit., p. 77 ss.; </w:t>
      </w:r>
      <w:r w:rsidR="00733676" w:rsidRPr="00DE366E">
        <w:rPr>
          <w:rFonts w:ascii="Garamond" w:hAnsi="Garamond" w:cs="Times New Roman"/>
          <w:smallCaps/>
          <w:sz w:val="22"/>
          <w:szCs w:val="22"/>
        </w:rPr>
        <w:t>G. SCIULLO</w:t>
      </w:r>
      <w:r w:rsidRPr="00DE366E">
        <w:rPr>
          <w:rFonts w:ascii="Garamond" w:hAnsi="Garamond" w:cs="Times New Roman"/>
          <w:smallCaps/>
          <w:sz w:val="22"/>
          <w:szCs w:val="22"/>
        </w:rPr>
        <w:t xml:space="preserve">, </w:t>
      </w:r>
      <w:r w:rsidRPr="00DE366E">
        <w:rPr>
          <w:rFonts w:ascii="Garamond" w:hAnsi="Garamond" w:cs="Times New Roman"/>
          <w:i/>
          <w:sz w:val="22"/>
          <w:szCs w:val="22"/>
        </w:rPr>
        <w:t>Pianificazione amministrativa</w:t>
      </w:r>
      <w:r w:rsidRPr="00DE366E">
        <w:rPr>
          <w:rFonts w:ascii="Garamond" w:hAnsi="Garamond" w:cs="Times New Roman"/>
          <w:sz w:val="22"/>
          <w:szCs w:val="22"/>
        </w:rPr>
        <w:t>, cit., p. 189 ss.</w:t>
      </w:r>
    </w:p>
  </w:footnote>
  <w:footnote w:id="8">
    <w:p w14:paraId="4EAC00FF" w14:textId="0FD8E8A5"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Cfr. Cons. Stato, IV, 7 marzo 1962, n. 225, in </w:t>
      </w:r>
      <w:r w:rsidRPr="00DE366E">
        <w:rPr>
          <w:rFonts w:ascii="Garamond" w:hAnsi="Garamond" w:cs="Times New Roman"/>
          <w:i/>
          <w:sz w:val="22"/>
          <w:szCs w:val="22"/>
        </w:rPr>
        <w:t>Riv. giur. edil.</w:t>
      </w:r>
      <w:r w:rsidRPr="00DE366E">
        <w:rPr>
          <w:rFonts w:ascii="Garamond" w:hAnsi="Garamond" w:cs="Times New Roman"/>
          <w:sz w:val="22"/>
          <w:szCs w:val="22"/>
        </w:rPr>
        <w:t xml:space="preserve">, 1962, I, p. 457 ss. (con nota – ovviamente – critica di A.M. Sandulli, che difenderà le posizioni filomunicipaliste). Cons. Stato, IV, 13 novembre 1963, n. 733, in </w:t>
      </w:r>
      <w:r w:rsidRPr="00DE366E">
        <w:rPr>
          <w:rFonts w:ascii="Garamond" w:hAnsi="Garamond" w:cs="Times New Roman"/>
          <w:i/>
          <w:sz w:val="22"/>
          <w:szCs w:val="22"/>
        </w:rPr>
        <w:t>Riv. giur. edil.</w:t>
      </w:r>
      <w:r w:rsidRPr="00DE366E">
        <w:rPr>
          <w:rFonts w:ascii="Garamond" w:hAnsi="Garamond" w:cs="Times New Roman"/>
          <w:sz w:val="22"/>
          <w:szCs w:val="22"/>
        </w:rPr>
        <w:t xml:space="preserve">, 1964, I, p. 183 ss., con nota critica di </w:t>
      </w:r>
      <w:r w:rsidR="00733676" w:rsidRPr="00DE366E">
        <w:rPr>
          <w:rFonts w:ascii="Garamond" w:hAnsi="Garamond" w:cs="Times New Roman"/>
          <w:sz w:val="22"/>
          <w:szCs w:val="22"/>
        </w:rPr>
        <w:t xml:space="preserve">V. </w:t>
      </w:r>
      <w:r w:rsidR="00733676" w:rsidRPr="00DE366E">
        <w:rPr>
          <w:rFonts w:ascii="Garamond" w:hAnsi="Garamond" w:cs="Times New Roman"/>
          <w:smallCaps/>
          <w:sz w:val="22"/>
          <w:szCs w:val="22"/>
        </w:rPr>
        <w:t>SPAGNUOLO</w:t>
      </w:r>
      <w:r w:rsidR="00733676" w:rsidRPr="00DE366E">
        <w:rPr>
          <w:rFonts w:ascii="Garamond" w:hAnsi="Garamond" w:cs="Times New Roman"/>
          <w:sz w:val="22"/>
          <w:szCs w:val="22"/>
        </w:rPr>
        <w:t xml:space="preserve"> </w:t>
      </w:r>
      <w:r w:rsidR="00733676" w:rsidRPr="00DE366E">
        <w:rPr>
          <w:rFonts w:ascii="Garamond" w:hAnsi="Garamond" w:cs="Times New Roman"/>
          <w:smallCaps/>
          <w:sz w:val="22"/>
          <w:szCs w:val="22"/>
        </w:rPr>
        <w:t>VIGORITA</w:t>
      </w:r>
      <w:r w:rsidRPr="00DE366E">
        <w:rPr>
          <w:rFonts w:ascii="Garamond" w:hAnsi="Garamond" w:cs="Times New Roman"/>
          <w:sz w:val="22"/>
          <w:szCs w:val="22"/>
        </w:rPr>
        <w:t xml:space="preserve">, </w:t>
      </w:r>
      <w:r w:rsidRPr="00DE366E">
        <w:rPr>
          <w:rFonts w:ascii="Garamond" w:hAnsi="Garamond" w:cs="Times New Roman"/>
          <w:i/>
          <w:sz w:val="22"/>
          <w:szCs w:val="22"/>
        </w:rPr>
        <w:t>Autonomia comunale e autorità dello Stato nella adozione dei piani regolatori</w:t>
      </w:r>
      <w:r w:rsidRPr="00DE366E">
        <w:rPr>
          <w:rFonts w:ascii="Garamond" w:hAnsi="Garamond" w:cs="Times New Roman"/>
          <w:sz w:val="22"/>
          <w:szCs w:val="22"/>
        </w:rPr>
        <w:t>. Secondo Spagnuolo Vigorita, la riduzione della partecipazione comunale «al rango di mera consultazione non vincolante» significa spostare interamente sul versante statuale il potere pianificatorio, contrariamente a quanto previsto dagli artt. 8 e 10, l.u., che pur affidano al Comune il compito di formare e adottare il p.r.g., donde l’auspicio dell’A. per un «ritorno alla migliore interpretazione della legge e con essa al rispetto della posizione paritaria tra Stato e Comune».</w:t>
      </w:r>
    </w:p>
  </w:footnote>
  <w:footnote w:id="9">
    <w:p w14:paraId="621E4987" w14:textId="29AA0F0A"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Distanza da non vedere sempre come un male, costituendo non di rado un buon antidoto avverso la cattura del decisore pubblico da parte di interessi privati corpulenti e opachi. </w:t>
      </w:r>
    </w:p>
  </w:footnote>
  <w:footnote w:id="10">
    <w:p w14:paraId="7A11A89A" w14:textId="4D064265"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Si veda, in proposito, l’inedito di </w:t>
      </w:r>
      <w:r w:rsidR="00733676" w:rsidRPr="00DE366E">
        <w:rPr>
          <w:rFonts w:ascii="Garamond" w:hAnsi="Garamond"/>
          <w:sz w:val="22"/>
          <w:szCs w:val="22"/>
        </w:rPr>
        <w:t xml:space="preserve">B. </w:t>
      </w:r>
      <w:r w:rsidR="00733676" w:rsidRPr="00DE366E">
        <w:rPr>
          <w:rFonts w:ascii="Garamond" w:hAnsi="Garamond"/>
          <w:smallCaps/>
          <w:sz w:val="22"/>
          <w:szCs w:val="22"/>
        </w:rPr>
        <w:t>ZEVI</w:t>
      </w:r>
      <w:r w:rsidRPr="00DE366E">
        <w:rPr>
          <w:rFonts w:ascii="Garamond" w:hAnsi="Garamond"/>
          <w:sz w:val="22"/>
          <w:szCs w:val="22"/>
        </w:rPr>
        <w:t xml:space="preserve"> (una relazione redatta per un congresso sul Movimento per l’architettura organica) risalente al 1950 e pubblicato in </w:t>
      </w:r>
      <w:r w:rsidRPr="00DE366E">
        <w:rPr>
          <w:rFonts w:ascii="Garamond" w:hAnsi="Garamond"/>
          <w:i/>
          <w:sz w:val="22"/>
          <w:szCs w:val="22"/>
        </w:rPr>
        <w:t>La Repubblica</w:t>
      </w:r>
      <w:r w:rsidRPr="00DE366E">
        <w:rPr>
          <w:rFonts w:ascii="Garamond" w:hAnsi="Garamond"/>
          <w:sz w:val="22"/>
          <w:szCs w:val="22"/>
        </w:rPr>
        <w:t xml:space="preserve"> del 26 settembre 2002, p. 44.</w:t>
      </w:r>
    </w:p>
    <w:p w14:paraId="5C67A0AD" w14:textId="31BC3911" w:rsidR="00120D07" w:rsidRPr="00DE366E" w:rsidRDefault="00120D07" w:rsidP="008F04FA">
      <w:pPr>
        <w:pStyle w:val="Note"/>
        <w:ind w:firstLine="0"/>
        <w:contextualSpacing/>
        <w:rPr>
          <w:rFonts w:ascii="Garamond" w:hAnsi="Garamond"/>
          <w:sz w:val="22"/>
          <w:szCs w:val="22"/>
        </w:rPr>
      </w:pPr>
      <w:r w:rsidRPr="00DE366E">
        <w:rPr>
          <w:rFonts w:ascii="Garamond" w:hAnsi="Garamond"/>
          <w:sz w:val="22"/>
          <w:szCs w:val="22"/>
        </w:rPr>
        <w:t>Dopo aver ricordato i giorni del ventennio, segnati dalla scomparsa – spesso tragica – delle figure principali del razionalismo architettonico ed urbanistico (egli cita Edoardo Persico, Giuseppe Terragni e soprattutto Giuseppe Pagano, definendo quest’ultimo «il vero capo del movimento moderno»: una figura di rilievo – come si vedrà – nella formazione della legge urbanistica del 1942, quale componente della “Commissione per lo studio del disegno della legge urbanistica”, istituita dal Ministro dei Lavori pubblici Giuseppe Gorla, succeduto a Di Crollalanza), nonché dal «forzoso scioglimento del Movimento italiano per l’Architettura razionale nel 1933», Zevi punta il dito contro la latitanza – sin dall’immediato dopoguerra – delle forze sociali e culturali moralmente più integre, e lancia la propria accusa ad un Paese «in cui – a liberazione avvenuta e a democrazia instaurata – non si riesce a creare un Ministero di Pianificazione urbanistica per l’opposizione degli interessi investiti dal Ministero dei Lavori pubblici».</w:t>
      </w:r>
    </w:p>
  </w:footnote>
  <w:footnote w:id="11">
    <w:p w14:paraId="28F9928E" w14:textId="235109B8"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L. 1° giugno 1939, n. 1089.</w:t>
      </w:r>
    </w:p>
  </w:footnote>
  <w:footnote w:id="12">
    <w:p w14:paraId="5FC561AF" w14:textId="6AE389A9"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L. 29 giugno 1939, n. 1497. </w:t>
      </w:r>
    </w:p>
  </w:footnote>
  <w:footnote w:id="13">
    <w:p w14:paraId="32416DA3" w14:textId="403EA0ED"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r.d.l. 25 marzo 1935, n. 640, conv. dalla l. 23 dicembre 1936, n. 247, poi modificato con r.d.l. 22 novembre 1937, n. 2105, conv. dalla l. 25 aprile 1938, n. 710.</w:t>
      </w:r>
    </w:p>
  </w:footnote>
  <w:footnote w:id="14">
    <w:p w14:paraId="1317D1BF" w14:textId="451CBAB6"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r.d.l. 3 dicembre 1922, n. 1584.</w:t>
      </w:r>
    </w:p>
  </w:footnote>
  <w:footnote w:id="15">
    <w:p w14:paraId="13D64376" w14:textId="0ADDC4BA"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l. 12 luglio 1923, n. 1511.</w:t>
      </w:r>
    </w:p>
  </w:footnote>
  <w:footnote w:id="16">
    <w:p w14:paraId="1DE6CCC0" w14:textId="51FADD9F"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l. 25 gennaio 1934, n. 285.</w:t>
      </w:r>
    </w:p>
  </w:footnote>
  <w:footnote w:id="17">
    <w:p w14:paraId="3A49B525" w14:textId="2BA55B9A"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l. 24 aprile 1935, n. 740.</w:t>
      </w:r>
    </w:p>
  </w:footnote>
  <w:footnote w:id="18">
    <w:p w14:paraId="38B72CA6" w14:textId="43ABA5E2"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l. 1° giugno 1931, n. 886.</w:t>
      </w:r>
    </w:p>
  </w:footnote>
  <w:footnote w:id="19">
    <w:p w14:paraId="6638BED5" w14:textId="44850159"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l. 20 dicembre 1932, n. 1849.</w:t>
      </w:r>
    </w:p>
  </w:footnote>
  <w:footnote w:id="20">
    <w:p w14:paraId="261C127C" w14:textId="4D1D6E5A"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mallCaps/>
          <w:sz w:val="22"/>
          <w:szCs w:val="22"/>
        </w:rPr>
        <w:t>F</w:t>
      </w:r>
      <w:r w:rsidR="00733676" w:rsidRPr="00DE366E">
        <w:rPr>
          <w:rFonts w:ascii="Garamond" w:hAnsi="Garamond"/>
          <w:sz w:val="22"/>
          <w:szCs w:val="22"/>
        </w:rPr>
        <w:t xml:space="preserve">. </w:t>
      </w:r>
      <w:r w:rsidR="00733676" w:rsidRPr="00DE366E">
        <w:rPr>
          <w:rFonts w:ascii="Garamond" w:hAnsi="Garamond"/>
          <w:smallCaps/>
          <w:sz w:val="22"/>
          <w:szCs w:val="22"/>
        </w:rPr>
        <w:t>SPANTIGATI -</w:t>
      </w:r>
      <w:r w:rsidR="00733676" w:rsidRPr="00DE366E">
        <w:rPr>
          <w:rFonts w:ascii="Garamond" w:hAnsi="Garamond"/>
          <w:sz w:val="22"/>
          <w:szCs w:val="22"/>
        </w:rPr>
        <w:t xml:space="preserve"> P. </w:t>
      </w:r>
      <w:r w:rsidR="00733676" w:rsidRPr="00DE366E">
        <w:rPr>
          <w:rFonts w:ascii="Garamond" w:hAnsi="Garamond"/>
          <w:smallCaps/>
          <w:sz w:val="22"/>
          <w:szCs w:val="22"/>
        </w:rPr>
        <w:t>STELLA RICHTER</w:t>
      </w:r>
      <w:r w:rsidRPr="00DE366E">
        <w:rPr>
          <w:rFonts w:ascii="Garamond" w:hAnsi="Garamond"/>
          <w:sz w:val="22"/>
          <w:szCs w:val="22"/>
        </w:rPr>
        <w:t xml:space="preserve">, </w:t>
      </w:r>
      <w:r w:rsidRPr="00DE366E">
        <w:rPr>
          <w:rFonts w:ascii="Garamond" w:hAnsi="Garamond"/>
          <w:i/>
          <w:sz w:val="22"/>
          <w:szCs w:val="22"/>
        </w:rPr>
        <w:t>I rapporti fra regolamenti edilizi e piani urbanistici comunali</w:t>
      </w:r>
      <w:r w:rsidRPr="00DE366E">
        <w:rPr>
          <w:rFonts w:ascii="Garamond" w:hAnsi="Garamond"/>
          <w:sz w:val="22"/>
          <w:szCs w:val="22"/>
        </w:rPr>
        <w:t xml:space="preserve">, in </w:t>
      </w:r>
      <w:r w:rsidR="00733676" w:rsidRPr="00DE366E">
        <w:rPr>
          <w:rFonts w:ascii="Garamond" w:hAnsi="Garamond"/>
          <w:sz w:val="22"/>
          <w:szCs w:val="22"/>
        </w:rPr>
        <w:t xml:space="preserve">F. </w:t>
      </w:r>
      <w:r w:rsidR="00733676" w:rsidRPr="00DE366E">
        <w:rPr>
          <w:rFonts w:ascii="Garamond" w:hAnsi="Garamond"/>
          <w:smallCaps/>
          <w:sz w:val="22"/>
          <w:szCs w:val="22"/>
        </w:rPr>
        <w:t>CUCCIA</w:t>
      </w:r>
      <w:r w:rsidR="00733676" w:rsidRPr="00DE366E">
        <w:rPr>
          <w:rFonts w:ascii="Garamond" w:hAnsi="Garamond"/>
          <w:sz w:val="22"/>
          <w:szCs w:val="22"/>
        </w:rPr>
        <w:t xml:space="preserve"> </w:t>
      </w:r>
      <w:r w:rsidRPr="00DE366E">
        <w:rPr>
          <w:rFonts w:ascii="Garamond" w:hAnsi="Garamond"/>
          <w:sz w:val="22"/>
          <w:szCs w:val="22"/>
        </w:rPr>
        <w:t xml:space="preserve">(a cura di), </w:t>
      </w:r>
      <w:r w:rsidRPr="00DE366E">
        <w:rPr>
          <w:rFonts w:ascii="Garamond" w:hAnsi="Garamond"/>
          <w:i/>
          <w:sz w:val="22"/>
          <w:szCs w:val="22"/>
        </w:rPr>
        <w:t>Studi urbanistici</w:t>
      </w:r>
      <w:r w:rsidRPr="00DE366E">
        <w:rPr>
          <w:rFonts w:ascii="Garamond" w:hAnsi="Garamond"/>
          <w:sz w:val="22"/>
          <w:szCs w:val="22"/>
        </w:rPr>
        <w:t>, vol. V, Roma, 1965, p. 31.</w:t>
      </w:r>
    </w:p>
  </w:footnote>
  <w:footnote w:id="21">
    <w:p w14:paraId="1DFDD3A6" w14:textId="6D2D04BE"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Valga per tutti l’esempio di Mazzarolli, il quale, nell’impostare la sua teoria generale della pianificazione urbanistica come ordinamento sezionale, ritenne di poter prescindere dai piani paesistici: secondo l’A., infatti, essendo «la legge 29 giugno 1939 n. 1497 sulle bellezze naturali [..] rimasta lettera morta per oltre un ventennio», essa non avrebbe avuto «nessun influsso o quasi […] sulla formulazione della legge urbanistica, posteriore di soli tre anni» (</w:t>
      </w:r>
      <w:r w:rsidR="00733676" w:rsidRPr="00DE366E">
        <w:rPr>
          <w:rFonts w:ascii="Garamond" w:hAnsi="Garamond"/>
          <w:sz w:val="22"/>
          <w:szCs w:val="22"/>
        </w:rPr>
        <w:t xml:space="preserve">L. </w:t>
      </w:r>
      <w:r w:rsidR="00733676" w:rsidRPr="00DE366E">
        <w:rPr>
          <w:rFonts w:ascii="Garamond" w:hAnsi="Garamond"/>
          <w:smallCaps/>
          <w:sz w:val="22"/>
          <w:szCs w:val="22"/>
        </w:rPr>
        <w:t>MAZZAROLLI</w:t>
      </w:r>
      <w:r w:rsidRPr="00DE366E">
        <w:rPr>
          <w:rFonts w:ascii="Garamond" w:hAnsi="Garamond"/>
          <w:smallCaps/>
          <w:sz w:val="22"/>
          <w:szCs w:val="22"/>
        </w:rPr>
        <w:t>,</w:t>
      </w:r>
      <w:r w:rsidRPr="00DE366E">
        <w:rPr>
          <w:rFonts w:ascii="Garamond" w:hAnsi="Garamond"/>
          <w:sz w:val="22"/>
          <w:szCs w:val="22"/>
        </w:rPr>
        <w:t xml:space="preserve"> </w:t>
      </w:r>
      <w:r w:rsidRPr="00DE366E">
        <w:rPr>
          <w:rFonts w:ascii="Garamond" w:hAnsi="Garamond"/>
          <w:i/>
          <w:sz w:val="22"/>
          <w:szCs w:val="22"/>
        </w:rPr>
        <w:t>I piani regolatori urbanistici</w:t>
      </w:r>
      <w:r w:rsidRPr="00DE366E">
        <w:rPr>
          <w:rFonts w:ascii="Garamond" w:hAnsi="Garamond"/>
          <w:sz w:val="22"/>
          <w:szCs w:val="22"/>
        </w:rPr>
        <w:t>, cit., p. 266, nota 104).</w:t>
      </w:r>
    </w:p>
  </w:footnote>
  <w:footnote w:id="22">
    <w:p w14:paraId="3C916B89" w14:textId="63D2A265" w:rsidR="00120D07" w:rsidRPr="00DE366E" w:rsidRDefault="00120D07" w:rsidP="008F04FA">
      <w:pPr>
        <w:pStyle w:val="Note"/>
        <w:ind w:firstLine="0"/>
        <w:contextualSpacing/>
        <w:rPr>
          <w:rFonts w:ascii="Garamond" w:hAnsi="Garamond"/>
          <w:color w:val="000000"/>
          <w:sz w:val="22"/>
          <w:szCs w:val="22"/>
        </w:rPr>
      </w:pPr>
      <w:r w:rsidRPr="00DE366E">
        <w:rPr>
          <w:rStyle w:val="Rimandonotaapidipagina"/>
          <w:rFonts w:ascii="Garamond" w:hAnsi="Garamond"/>
          <w:color w:val="000000"/>
          <w:sz w:val="22"/>
          <w:szCs w:val="22"/>
        </w:rPr>
        <w:footnoteRef/>
      </w:r>
      <w:r w:rsidRPr="00DE366E">
        <w:rPr>
          <w:rFonts w:ascii="Garamond" w:hAnsi="Garamond"/>
          <w:color w:val="000000"/>
          <w:sz w:val="22"/>
          <w:szCs w:val="22"/>
        </w:rPr>
        <w:t xml:space="preserve"> E, per loro natura, </w:t>
      </w:r>
      <w:r w:rsidRPr="00DE366E">
        <w:rPr>
          <w:rFonts w:ascii="Garamond" w:hAnsi="Garamond"/>
          <w:i/>
          <w:color w:val="000000"/>
          <w:sz w:val="22"/>
          <w:szCs w:val="22"/>
        </w:rPr>
        <w:t>semper reformandi</w:t>
      </w:r>
      <w:r w:rsidRPr="00DE366E">
        <w:rPr>
          <w:rFonts w:ascii="Garamond" w:hAnsi="Garamond"/>
          <w:color w:val="000000"/>
          <w:sz w:val="22"/>
          <w:szCs w:val="22"/>
        </w:rPr>
        <w:t>:</w:t>
      </w:r>
      <w:r w:rsidRPr="00DE366E">
        <w:rPr>
          <w:rFonts w:ascii="Garamond" w:hAnsi="Garamond"/>
          <w:i/>
          <w:color w:val="000000"/>
          <w:sz w:val="22"/>
          <w:szCs w:val="22"/>
        </w:rPr>
        <w:t xml:space="preserve"> </w:t>
      </w:r>
      <w:r w:rsidRPr="00DE366E">
        <w:rPr>
          <w:rFonts w:ascii="Garamond" w:hAnsi="Garamond"/>
          <w:color w:val="000000"/>
          <w:sz w:val="22"/>
          <w:szCs w:val="22"/>
        </w:rPr>
        <w:t>dunque</w:t>
      </w:r>
      <w:r w:rsidRPr="00DE366E">
        <w:rPr>
          <w:rFonts w:ascii="Garamond" w:hAnsi="Garamond"/>
          <w:i/>
          <w:color w:val="000000"/>
          <w:sz w:val="22"/>
          <w:szCs w:val="22"/>
        </w:rPr>
        <w:t xml:space="preserve"> </w:t>
      </w:r>
      <w:r w:rsidRPr="00DE366E">
        <w:rPr>
          <w:rFonts w:ascii="Garamond" w:hAnsi="Garamond"/>
          <w:color w:val="000000"/>
          <w:sz w:val="22"/>
          <w:szCs w:val="22"/>
        </w:rPr>
        <w:t xml:space="preserve">non «una misura stabilita </w:t>
      </w:r>
      <w:r w:rsidRPr="00DE366E">
        <w:rPr>
          <w:rFonts w:ascii="Garamond" w:hAnsi="Garamond"/>
          <w:i/>
          <w:color w:val="000000"/>
          <w:sz w:val="22"/>
          <w:szCs w:val="22"/>
        </w:rPr>
        <w:t>una tantum</w:t>
      </w:r>
      <w:r w:rsidRPr="00DE366E">
        <w:rPr>
          <w:rFonts w:ascii="Garamond" w:hAnsi="Garamond"/>
          <w:color w:val="000000"/>
          <w:sz w:val="22"/>
          <w:szCs w:val="22"/>
        </w:rPr>
        <w:t>, ugualmente valida oggi come fra dieci anni» (</w:t>
      </w:r>
      <w:r w:rsidR="00733676" w:rsidRPr="00DE366E">
        <w:rPr>
          <w:rFonts w:ascii="Garamond" w:hAnsi="Garamond"/>
          <w:smallCaps/>
          <w:color w:val="000000"/>
          <w:sz w:val="22"/>
          <w:szCs w:val="22"/>
        </w:rPr>
        <w:t>G. CAMPOS</w:t>
      </w:r>
      <w:r w:rsidR="00733676" w:rsidRPr="00DE366E">
        <w:rPr>
          <w:rFonts w:ascii="Garamond" w:hAnsi="Garamond"/>
          <w:color w:val="000000"/>
          <w:sz w:val="22"/>
          <w:szCs w:val="22"/>
        </w:rPr>
        <w:t xml:space="preserve"> </w:t>
      </w:r>
      <w:r w:rsidR="00733676" w:rsidRPr="00DE366E">
        <w:rPr>
          <w:rFonts w:ascii="Garamond" w:hAnsi="Garamond"/>
          <w:smallCaps/>
          <w:color w:val="000000"/>
          <w:sz w:val="22"/>
          <w:szCs w:val="22"/>
        </w:rPr>
        <w:t>VENUTI</w:t>
      </w:r>
      <w:r w:rsidRPr="00DE366E">
        <w:rPr>
          <w:rFonts w:ascii="Garamond" w:hAnsi="Garamond"/>
          <w:smallCaps/>
          <w:color w:val="000000"/>
          <w:sz w:val="22"/>
          <w:szCs w:val="22"/>
        </w:rPr>
        <w:t xml:space="preserve">, </w:t>
      </w:r>
      <w:r w:rsidRPr="00DE366E">
        <w:rPr>
          <w:rFonts w:ascii="Garamond" w:hAnsi="Garamond"/>
          <w:i/>
          <w:smallCaps/>
          <w:color w:val="000000"/>
          <w:sz w:val="22"/>
          <w:szCs w:val="22"/>
        </w:rPr>
        <w:t>a</w:t>
      </w:r>
      <w:r w:rsidRPr="00DE366E">
        <w:rPr>
          <w:rFonts w:ascii="Garamond" w:hAnsi="Garamond"/>
          <w:i/>
          <w:color w:val="000000"/>
          <w:sz w:val="22"/>
          <w:szCs w:val="22"/>
        </w:rPr>
        <w:t>mministrare l’urbanistica</w:t>
      </w:r>
      <w:r w:rsidRPr="00DE366E">
        <w:rPr>
          <w:rFonts w:ascii="Garamond" w:hAnsi="Garamond"/>
          <w:color w:val="000000"/>
          <w:sz w:val="22"/>
          <w:szCs w:val="22"/>
        </w:rPr>
        <w:t>, Torino, 1967, p. 131), ma «una bandiera (uno stendardo, un simbolo) ed una bandiera che ad ogni traguardo va rinnovata perché mantenga il suo valore» (</w:t>
      </w:r>
      <w:r w:rsidRPr="00DE366E">
        <w:rPr>
          <w:rFonts w:ascii="Garamond" w:hAnsi="Garamond"/>
          <w:i/>
          <w:color w:val="000000"/>
          <w:sz w:val="22"/>
          <w:szCs w:val="22"/>
        </w:rPr>
        <w:t>ibidem</w:t>
      </w:r>
      <w:r w:rsidRPr="00DE366E">
        <w:rPr>
          <w:rFonts w:ascii="Garamond" w:hAnsi="Garamond"/>
          <w:color w:val="000000"/>
          <w:sz w:val="22"/>
          <w:szCs w:val="22"/>
        </w:rPr>
        <w:t>).</w:t>
      </w:r>
    </w:p>
    <w:p w14:paraId="43269B36" w14:textId="69BF9C8F" w:rsidR="00120D07" w:rsidRPr="00DE366E" w:rsidRDefault="00120D07" w:rsidP="008F04FA">
      <w:pPr>
        <w:pStyle w:val="Note"/>
        <w:ind w:firstLine="0"/>
        <w:contextualSpacing/>
        <w:rPr>
          <w:rFonts w:ascii="Garamond" w:hAnsi="Garamond"/>
          <w:color w:val="000000"/>
          <w:sz w:val="22"/>
          <w:szCs w:val="22"/>
        </w:rPr>
      </w:pPr>
      <w:r w:rsidRPr="00DE366E">
        <w:rPr>
          <w:rFonts w:ascii="Garamond" w:hAnsi="Garamond"/>
          <w:color w:val="000000"/>
          <w:sz w:val="22"/>
          <w:szCs w:val="22"/>
        </w:rPr>
        <w:t xml:space="preserve">Come vedremo, la riforma degli </w:t>
      </w:r>
      <w:r w:rsidRPr="00DE366E">
        <w:rPr>
          <w:rFonts w:ascii="Garamond" w:hAnsi="Garamond"/>
          <w:i/>
          <w:color w:val="000000"/>
          <w:sz w:val="22"/>
          <w:szCs w:val="22"/>
        </w:rPr>
        <w:t>standards</w:t>
      </w:r>
      <w:r w:rsidRPr="00DE366E">
        <w:rPr>
          <w:rFonts w:ascii="Garamond" w:hAnsi="Garamond"/>
          <w:color w:val="000000"/>
          <w:sz w:val="22"/>
          <w:szCs w:val="22"/>
        </w:rPr>
        <w:t xml:space="preserve"> è oggi allo studio del Ministero delle infrastrutture e dei trasporti, che con d.m. 31 luglio 2018, n. 349 ha costituito un apposito gruppo di lavoro, il quale – dopo una serie di audizioni di portatori d’interessi – ha terminato il suo impegno il 3 luglio 2019 redigendo un’interessante proposta di articolato accompagnata da un’altrettale relazione conclusiva.</w:t>
      </w:r>
    </w:p>
  </w:footnote>
  <w:footnote w:id="23">
    <w:p w14:paraId="31D72B08" w14:textId="46BD3622" w:rsidR="00120D07" w:rsidRPr="00DE366E" w:rsidRDefault="00120D07" w:rsidP="008F04FA">
      <w:pPr>
        <w:pStyle w:val="Testonotaapidipagina"/>
        <w:contextualSpacing/>
        <w:jc w:val="both"/>
        <w:rPr>
          <w:rFonts w:ascii="Garamond" w:hAnsi="Garamond" w:cs="Times New Roman"/>
          <w:i/>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w:t>
      </w:r>
      <w:r w:rsidR="00733676" w:rsidRPr="00DE366E">
        <w:rPr>
          <w:rFonts w:ascii="Garamond" w:hAnsi="Garamond" w:cs="Times New Roman"/>
          <w:sz w:val="22"/>
          <w:szCs w:val="22"/>
        </w:rPr>
        <w:t xml:space="preserve">G. </w:t>
      </w:r>
      <w:r w:rsidR="00733676" w:rsidRPr="00DE366E">
        <w:rPr>
          <w:rFonts w:ascii="Garamond" w:hAnsi="Garamond" w:cs="Times New Roman"/>
          <w:smallCaps/>
          <w:sz w:val="22"/>
          <w:szCs w:val="22"/>
        </w:rPr>
        <w:t>SAMONÀ</w:t>
      </w:r>
      <w:r w:rsidRPr="00DE366E">
        <w:rPr>
          <w:rFonts w:ascii="Garamond" w:hAnsi="Garamond" w:cs="Times New Roman"/>
          <w:sz w:val="22"/>
          <w:szCs w:val="22"/>
        </w:rPr>
        <w:t xml:space="preserve">, </w:t>
      </w:r>
      <w:r w:rsidRPr="00DE366E">
        <w:rPr>
          <w:rFonts w:ascii="Garamond" w:hAnsi="Garamond" w:cs="Times New Roman"/>
          <w:i/>
          <w:sz w:val="22"/>
          <w:szCs w:val="22"/>
        </w:rPr>
        <w:t>L’urbanistica e l’avvenire della città</w:t>
      </w:r>
      <w:r w:rsidRPr="00DE366E">
        <w:rPr>
          <w:rFonts w:ascii="Garamond" w:hAnsi="Garamond" w:cs="Times New Roman"/>
          <w:sz w:val="22"/>
          <w:szCs w:val="22"/>
        </w:rPr>
        <w:t>, Roma-Bari, 1990, p. 57 (corsivazione non originale), il quale rileva subito dopo la difficoltà di penetrazione che nella civiltà europea, e segnatamente di lingua tedesca – culturalmente più evoluta della nostra – le nuove tecniche comunque incontrarono: «in alcuni isolati settori si crearono opere definite, con una rimarchevole coerenza ad un pensiero e ad una cultura fortemente impegnati in principi di metodo e in formulazioni programmatiche di comportamento, mentre in altri settori – e furono i più numerosi – la città venne estendendosi e trasformandosi, in parte con l’imperio di interessi dominanti di carattere lucrativo, in parte secondo la miopia tecnicistica della classe professionale più comune operante nei limiti di un quietismo opportunistico, che seguiva e serviva la formula accademica ufficiale, ben presto convertita in magniloquenza retorica nei paesi soggiogati dalla dittatura» (</w:t>
      </w:r>
      <w:r w:rsidRPr="00DE366E">
        <w:rPr>
          <w:rFonts w:ascii="Garamond" w:hAnsi="Garamond" w:cs="Times New Roman"/>
          <w:i/>
          <w:sz w:val="22"/>
          <w:szCs w:val="22"/>
        </w:rPr>
        <w:t>op. cit.</w:t>
      </w:r>
      <w:r w:rsidRPr="00DE366E">
        <w:rPr>
          <w:rFonts w:ascii="Garamond" w:hAnsi="Garamond" w:cs="Times New Roman"/>
          <w:sz w:val="22"/>
          <w:szCs w:val="22"/>
        </w:rPr>
        <w:t>, p. 58).</w:t>
      </w:r>
    </w:p>
  </w:footnote>
  <w:footnote w:id="24">
    <w:p w14:paraId="6FC2874D"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Si pensi, ad esempio, allo studio della climatologia applicata alla rilevazione del livello d’insolazione e di aerazione degli edifici al fine di migliorarne il posizionamento reciproco, e dunque allo scopo di poterne disciplinare i relativi distacchi in modo giuridicamente consapevole.</w:t>
      </w:r>
    </w:p>
    <w:p w14:paraId="14CD8212"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Fonts w:ascii="Garamond" w:hAnsi="Garamond" w:cs="Times New Roman"/>
          <w:sz w:val="22"/>
          <w:szCs w:val="22"/>
        </w:rPr>
        <w:t>Ancora, si considerino gli studi sulla circolazione stradale, che condussero alla netta e definitiva recisione del nesso fra lotto edilizio e relativo sistema viario, attesa la diversità delle funzioni espresse dai due oggetti (abitare e circolare, secondo lo schema lecorbusiano), donde poi la nascita di una nuova generazione di piani regolatori.</w:t>
      </w:r>
    </w:p>
  </w:footnote>
  <w:footnote w:id="25">
    <w:p w14:paraId="2D19AC58" w14:textId="588C2C5E"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w:t>
      </w:r>
      <w:r w:rsidR="00733676" w:rsidRPr="00DE366E">
        <w:rPr>
          <w:rFonts w:ascii="Garamond" w:hAnsi="Garamond" w:cs="Times New Roman"/>
          <w:sz w:val="22"/>
          <w:szCs w:val="22"/>
        </w:rPr>
        <w:t xml:space="preserve">G. </w:t>
      </w:r>
      <w:r w:rsidR="00733676" w:rsidRPr="00DE366E">
        <w:rPr>
          <w:rFonts w:ascii="Garamond" w:hAnsi="Garamond" w:cs="Times New Roman"/>
          <w:smallCaps/>
          <w:sz w:val="22"/>
          <w:szCs w:val="22"/>
        </w:rPr>
        <w:t>SAMONÀ</w:t>
      </w:r>
      <w:r w:rsidRPr="00DE366E">
        <w:rPr>
          <w:rFonts w:ascii="Garamond" w:hAnsi="Garamond" w:cs="Times New Roman"/>
          <w:sz w:val="22"/>
          <w:szCs w:val="22"/>
        </w:rPr>
        <w:t xml:space="preserve">, </w:t>
      </w:r>
      <w:r w:rsidRPr="00DE366E">
        <w:rPr>
          <w:rFonts w:ascii="Garamond" w:hAnsi="Garamond" w:cs="Times New Roman"/>
          <w:i/>
          <w:sz w:val="22"/>
          <w:szCs w:val="22"/>
        </w:rPr>
        <w:t>L’urbanistica e l’avvenire della città</w:t>
      </w:r>
      <w:r w:rsidRPr="00DE366E">
        <w:rPr>
          <w:rFonts w:ascii="Garamond" w:hAnsi="Garamond" w:cs="Times New Roman"/>
          <w:sz w:val="22"/>
          <w:szCs w:val="22"/>
        </w:rPr>
        <w:t xml:space="preserve">, cit., p. 63, il quale osserva giustamente che in tal modo «il quartiere, così definito, assume una precisa linearità, che giustificò la forma lineare degli edifici e contribuì ad aumentare la loro predisposizione figurativa per i volumi </w:t>
      </w:r>
      <w:r w:rsidRPr="00DE366E">
        <w:rPr>
          <w:rFonts w:ascii="Garamond" w:hAnsi="Garamond" w:cs="Times New Roman"/>
          <w:i/>
          <w:sz w:val="22"/>
          <w:szCs w:val="22"/>
        </w:rPr>
        <w:t>puri</w:t>
      </w:r>
      <w:r w:rsidRPr="00DE366E">
        <w:rPr>
          <w:rFonts w:ascii="Garamond" w:hAnsi="Garamond" w:cs="Times New Roman"/>
          <w:sz w:val="22"/>
          <w:szCs w:val="22"/>
        </w:rPr>
        <w:t>» (</w:t>
      </w:r>
      <w:r w:rsidRPr="00DE366E">
        <w:rPr>
          <w:rFonts w:ascii="Garamond" w:hAnsi="Garamond" w:cs="Times New Roman"/>
          <w:i/>
          <w:sz w:val="22"/>
          <w:szCs w:val="22"/>
        </w:rPr>
        <w:t>ibidem</w:t>
      </w:r>
      <w:r w:rsidRPr="00DE366E">
        <w:rPr>
          <w:rFonts w:ascii="Garamond" w:hAnsi="Garamond" w:cs="Times New Roman"/>
          <w:sz w:val="22"/>
          <w:szCs w:val="22"/>
        </w:rPr>
        <w:t xml:space="preserve"> – corsivo non originale).</w:t>
      </w:r>
    </w:p>
  </w:footnote>
  <w:footnote w:id="26">
    <w:p w14:paraId="76F21492"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L’originario disegno di legge, infatti, non conteneva l’inciso «per zone territoriali omogenee», che fu aggiunto in seguito alle perplessità sorte in seno alla IX Commissione della Camera in ordine alla ragionevolezza e quindi opportunità di una disciplina uniforme degli </w:t>
      </w:r>
      <w:r w:rsidRPr="00DE366E">
        <w:rPr>
          <w:rFonts w:ascii="Garamond" w:hAnsi="Garamond" w:cs="Times New Roman"/>
          <w:i/>
          <w:sz w:val="22"/>
          <w:szCs w:val="22"/>
        </w:rPr>
        <w:t>standards</w:t>
      </w:r>
      <w:r w:rsidRPr="00DE366E">
        <w:rPr>
          <w:rFonts w:ascii="Garamond" w:hAnsi="Garamond" w:cs="Times New Roman"/>
          <w:sz w:val="22"/>
          <w:szCs w:val="22"/>
        </w:rPr>
        <w:t xml:space="preserve"> in tutto il territorio nazionale: proprio in vista del raggiungimento di questo obiettivo di differenziazione dei parametri da adottare, il termine per l’emanazione del decreto ministeriale fu elevato a sei mesi, in luogo dei tre inizialmente previsti.</w:t>
      </w:r>
    </w:p>
  </w:footnote>
  <w:footnote w:id="27">
    <w:p w14:paraId="466D82FE" w14:textId="77777777"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Di un individuo cioè – occorre sottolinearlo per l’esplicita valenza etica di questo assioma egalitario – che è </w:t>
      </w:r>
      <w:r w:rsidRPr="00DE366E">
        <w:rPr>
          <w:rFonts w:ascii="Garamond" w:hAnsi="Garamond" w:cs="Times New Roman"/>
          <w:i/>
          <w:sz w:val="22"/>
          <w:szCs w:val="22"/>
        </w:rPr>
        <w:t xml:space="preserve">bio-psicologicamente </w:t>
      </w:r>
      <w:r w:rsidRPr="00DE366E">
        <w:rPr>
          <w:rFonts w:ascii="Garamond" w:hAnsi="Garamond" w:cs="Times New Roman"/>
          <w:sz w:val="22"/>
          <w:szCs w:val="22"/>
        </w:rPr>
        <w:t>portatore di necessità e bisogni uguali, in modo affatto indipendente dalle contingenze storiche e socio-economiche: le quali, invece, nella loro imperfetta e casuale realizzazione, potrebbero aver purtroppo negato alla persona umana il soddisfacimento di tali esigenze.</w:t>
      </w:r>
    </w:p>
  </w:footnote>
  <w:footnote w:id="28">
    <w:p w14:paraId="724715B9" w14:textId="3B09EC21"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Cfr. </w:t>
      </w:r>
      <w:r w:rsidR="00733676" w:rsidRPr="00DE366E">
        <w:rPr>
          <w:rFonts w:ascii="Garamond" w:hAnsi="Garamond" w:cs="Times New Roman"/>
          <w:sz w:val="22"/>
          <w:szCs w:val="22"/>
        </w:rPr>
        <w:t xml:space="preserve">P. </w:t>
      </w:r>
      <w:r w:rsidR="00733676" w:rsidRPr="00DE366E">
        <w:rPr>
          <w:rFonts w:ascii="Garamond" w:hAnsi="Garamond" w:cs="Times New Roman"/>
          <w:smallCaps/>
          <w:sz w:val="22"/>
          <w:szCs w:val="22"/>
        </w:rPr>
        <w:t>SICA</w:t>
      </w:r>
      <w:r w:rsidRPr="00DE366E">
        <w:rPr>
          <w:rFonts w:ascii="Garamond" w:hAnsi="Garamond" w:cs="Times New Roman"/>
          <w:smallCaps/>
          <w:sz w:val="22"/>
          <w:szCs w:val="22"/>
        </w:rPr>
        <w:t xml:space="preserve">, </w:t>
      </w:r>
      <w:r w:rsidRPr="00DE366E">
        <w:rPr>
          <w:rFonts w:ascii="Garamond" w:hAnsi="Garamond" w:cs="Times New Roman"/>
          <w:i/>
          <w:sz w:val="22"/>
          <w:szCs w:val="22"/>
        </w:rPr>
        <w:t>Storia dell’urbanistica</w:t>
      </w:r>
      <w:r w:rsidRPr="00DE366E">
        <w:rPr>
          <w:rFonts w:ascii="Garamond" w:hAnsi="Garamond" w:cs="Times New Roman"/>
          <w:sz w:val="22"/>
          <w:szCs w:val="22"/>
        </w:rPr>
        <w:t>, III (</w:t>
      </w:r>
      <w:r w:rsidRPr="00DE366E">
        <w:rPr>
          <w:rFonts w:ascii="Garamond" w:hAnsi="Garamond" w:cs="Times New Roman"/>
          <w:i/>
          <w:sz w:val="22"/>
          <w:szCs w:val="22"/>
        </w:rPr>
        <w:t>Il Novecento</w:t>
      </w:r>
      <w:r w:rsidRPr="00DE366E">
        <w:rPr>
          <w:rFonts w:ascii="Garamond" w:hAnsi="Garamond" w:cs="Times New Roman"/>
          <w:sz w:val="22"/>
          <w:szCs w:val="22"/>
        </w:rPr>
        <w:t>), Roma-Bari, 1996, p. 161 ss., sull’idea di città nel Movimento moderno.</w:t>
      </w:r>
    </w:p>
  </w:footnote>
  <w:footnote w:id="29">
    <w:p w14:paraId="6A37A1A1" w14:textId="77777777" w:rsidR="00120D07" w:rsidRPr="00DE366E" w:rsidRDefault="00120D07" w:rsidP="008F04FA">
      <w:pPr>
        <w:spacing w:after="0" w:line="240" w:lineRule="auto"/>
        <w:contextualSpacing/>
        <w:jc w:val="both"/>
        <w:rPr>
          <w:rFonts w:ascii="Garamond" w:hAnsi="Garamond" w:cs="Times New Roman"/>
        </w:rPr>
      </w:pPr>
      <w:r w:rsidRPr="00DE366E">
        <w:rPr>
          <w:rStyle w:val="Rimandonotaapidipagina"/>
          <w:rFonts w:ascii="Garamond" w:hAnsi="Garamond" w:cs="Times New Roman"/>
        </w:rPr>
        <w:footnoteRef/>
      </w:r>
      <w:r w:rsidRPr="00DE366E">
        <w:rPr>
          <w:rFonts w:ascii="Garamond" w:hAnsi="Garamond" w:cs="Times New Roman"/>
        </w:rPr>
        <w:t xml:space="preserve"> I quali si caricano anche di una coloritura fortemente polemica all’interno del «dialogo» istituzionale fra il livello pianificatorio centrale e quello locale.</w:t>
      </w:r>
    </w:p>
    <w:p w14:paraId="0850FAB0" w14:textId="77777777" w:rsidR="00120D07" w:rsidRPr="00DE366E" w:rsidRDefault="00120D07" w:rsidP="008F04FA">
      <w:pPr>
        <w:spacing w:after="0" w:line="240" w:lineRule="auto"/>
        <w:contextualSpacing/>
        <w:jc w:val="both"/>
        <w:rPr>
          <w:rFonts w:ascii="Garamond" w:hAnsi="Garamond" w:cs="Times New Roman"/>
        </w:rPr>
      </w:pPr>
      <w:r w:rsidRPr="00DE366E">
        <w:rPr>
          <w:rFonts w:ascii="Garamond" w:hAnsi="Garamond" w:cs="Times New Roman"/>
        </w:rPr>
        <w:t>Sotto accusa, esplicita e diretta, è la gestione del territorio da parte delle municipalità: o inadempienti rispetto all’obbligo di dotarsi di uno strumento generale; ovvero – nei rari casi di ottemperanza – mosse troppo spesso da un intento elusivo degli scopi reali del processo di piano, perpetrato sia mediante l’indiscriminato assoggettamento del suolo ad insostenibili (ed inutili) carichi urbanistici, sia attraverso la sistematica marginalizzazione – quantitativa e funzionale – delle aree destinate ai servizi per la residenza.</w:t>
      </w:r>
    </w:p>
    <w:p w14:paraId="6478DED1" w14:textId="077F4E02" w:rsidR="00120D07" w:rsidRPr="00DE366E" w:rsidRDefault="00120D07" w:rsidP="008F04FA">
      <w:pPr>
        <w:spacing w:after="0" w:line="240" w:lineRule="auto"/>
        <w:contextualSpacing/>
        <w:jc w:val="both"/>
        <w:rPr>
          <w:rFonts w:ascii="Garamond" w:hAnsi="Garamond" w:cs="Times New Roman"/>
        </w:rPr>
      </w:pPr>
      <w:r w:rsidRPr="00DE366E">
        <w:rPr>
          <w:rFonts w:ascii="Garamond" w:hAnsi="Garamond" w:cs="Times New Roman"/>
        </w:rPr>
        <w:t xml:space="preserve">Secondo </w:t>
      </w:r>
      <w:r w:rsidR="00733676" w:rsidRPr="00DE366E">
        <w:rPr>
          <w:rFonts w:ascii="Garamond" w:hAnsi="Garamond" w:cs="Times New Roman"/>
        </w:rPr>
        <w:t xml:space="preserve">C. </w:t>
      </w:r>
      <w:r w:rsidR="00733676" w:rsidRPr="00DE366E">
        <w:rPr>
          <w:rFonts w:ascii="Garamond" w:hAnsi="Garamond" w:cs="Times New Roman"/>
          <w:smallCaps/>
        </w:rPr>
        <w:t>ODORISIO</w:t>
      </w:r>
      <w:r w:rsidRPr="00DE366E">
        <w:rPr>
          <w:rFonts w:ascii="Garamond" w:hAnsi="Garamond" w:cs="Times New Roman"/>
        </w:rPr>
        <w:t xml:space="preserve">, </w:t>
      </w:r>
      <w:r w:rsidRPr="00DE366E">
        <w:rPr>
          <w:rFonts w:ascii="Garamond" w:hAnsi="Garamond" w:cs="Times New Roman"/>
          <w:i/>
        </w:rPr>
        <w:t>Il dibattito del ’68 ed il bilancio attuale</w:t>
      </w:r>
      <w:r w:rsidRPr="00DE366E">
        <w:rPr>
          <w:rFonts w:ascii="Garamond" w:hAnsi="Garamond" w:cs="Times New Roman"/>
        </w:rPr>
        <w:t xml:space="preserve">, cit., p. 7, «la finalità della “legge ponte” fu quella di far compiere al Paese un vero salto di qualità nella gestione urbanistica attraverso una grande promozione dei Prg, </w:t>
      </w:r>
      <w:r w:rsidRPr="00DE366E">
        <w:rPr>
          <w:rFonts w:ascii="Garamond" w:hAnsi="Garamond" w:cs="Times New Roman"/>
          <w:i/>
        </w:rPr>
        <w:t>ma in un clima di sostanziale sfiducia nei confronti degli Enti locali</w:t>
      </w:r>
      <w:r w:rsidRPr="00DE366E">
        <w:rPr>
          <w:rFonts w:ascii="Garamond" w:hAnsi="Garamond" w:cs="Times New Roman"/>
        </w:rPr>
        <w:t xml:space="preserve">. […] È facile quindi comprendere il significato che ebbe allora il Decreto sugli standard e anche i modi della sua formulazione: uno strumento semplice, con delle regole generalizzate che potessero garantire almeno alcuni elementi di base per una corretta redazione degli strumenti urbanistici, </w:t>
      </w:r>
      <w:r w:rsidRPr="00DE366E">
        <w:rPr>
          <w:rFonts w:ascii="Garamond" w:hAnsi="Garamond" w:cs="Times New Roman"/>
          <w:i/>
        </w:rPr>
        <w:t>nella convinzione che non ci si potesse fidare più di tanto degli Enti locali</w:t>
      </w:r>
      <w:r w:rsidRPr="00DE366E">
        <w:rPr>
          <w:rFonts w:ascii="Garamond" w:hAnsi="Garamond" w:cs="Times New Roman"/>
        </w:rPr>
        <w:t xml:space="preserve">» (corsivazione non originale). </w:t>
      </w:r>
    </w:p>
    <w:p w14:paraId="4B2EA785" w14:textId="14E7C104" w:rsidR="00120D07" w:rsidRPr="00DE366E" w:rsidRDefault="00120D07" w:rsidP="008F04FA">
      <w:pPr>
        <w:spacing w:after="0" w:line="240" w:lineRule="auto"/>
        <w:contextualSpacing/>
        <w:jc w:val="both"/>
        <w:rPr>
          <w:rFonts w:ascii="Garamond" w:hAnsi="Garamond" w:cs="Times New Roman"/>
        </w:rPr>
      </w:pPr>
      <w:r w:rsidRPr="00DE366E">
        <w:rPr>
          <w:rFonts w:ascii="Garamond" w:hAnsi="Garamond" w:cs="Times New Roman"/>
        </w:rPr>
        <w:t xml:space="preserve">Un durissimo giudizio nei confronti della politica urbanistica generalmente perseguita dai Comuni in </w:t>
      </w:r>
      <w:r w:rsidR="00733676" w:rsidRPr="00DE366E">
        <w:rPr>
          <w:rFonts w:ascii="Garamond" w:hAnsi="Garamond" w:cs="Times New Roman"/>
        </w:rPr>
        <w:t xml:space="preserve">A. </w:t>
      </w:r>
      <w:r w:rsidR="00733676" w:rsidRPr="00DE366E">
        <w:rPr>
          <w:rFonts w:ascii="Garamond" w:hAnsi="Garamond" w:cs="Times New Roman"/>
          <w:smallCaps/>
        </w:rPr>
        <w:t>BECCHI</w:t>
      </w:r>
      <w:r w:rsidRPr="00DE366E">
        <w:rPr>
          <w:rFonts w:ascii="Garamond" w:hAnsi="Garamond" w:cs="Times New Roman"/>
        </w:rPr>
        <w:t>,</w:t>
      </w:r>
      <w:r w:rsidRPr="00DE366E">
        <w:rPr>
          <w:rFonts w:ascii="Garamond" w:hAnsi="Garamond" w:cs="Times New Roman"/>
          <w:smallCaps/>
        </w:rPr>
        <w:t xml:space="preserve"> </w:t>
      </w:r>
      <w:r w:rsidRPr="00DE366E">
        <w:rPr>
          <w:rFonts w:ascii="Garamond" w:hAnsi="Garamond" w:cs="Times New Roman"/>
          <w:i/>
          <w:smallCaps/>
        </w:rPr>
        <w:t>L</w:t>
      </w:r>
      <w:r w:rsidRPr="00DE366E">
        <w:rPr>
          <w:rFonts w:ascii="Garamond" w:hAnsi="Garamond" w:cs="Times New Roman"/>
          <w:i/>
        </w:rPr>
        <w:t>a legge Sullo sui suoli</w:t>
      </w:r>
      <w:r w:rsidRPr="00DE366E">
        <w:rPr>
          <w:rFonts w:ascii="Garamond" w:hAnsi="Garamond" w:cs="Times New Roman"/>
        </w:rPr>
        <w:t xml:space="preserve">, in </w:t>
      </w:r>
      <w:r w:rsidRPr="00DE366E">
        <w:rPr>
          <w:rFonts w:ascii="Garamond" w:hAnsi="Garamond" w:cs="Times New Roman"/>
          <w:i/>
        </w:rPr>
        <w:t>Meridiana</w:t>
      </w:r>
      <w:r w:rsidRPr="00DE366E">
        <w:rPr>
          <w:rFonts w:ascii="Garamond" w:hAnsi="Garamond" w:cs="Times New Roman"/>
        </w:rPr>
        <w:t>, 1997, n. 29, p. 107 ss., spec. 121 ss., che ne evidenzia la preferenza per assetti normativi precari come quelli sui piani di ricostruzione, e comunque «per una situazione che consenta di muoversi con discrezionalità», in ossequio ad «uno stile del far politica che privilegia la condizione che tutto sia negoziabile, per facilitare la conservazione del consenso» (p. 123).</w:t>
      </w:r>
    </w:p>
  </w:footnote>
  <w:footnote w:id="30">
    <w:p w14:paraId="064E486B" w14:textId="3B703C88"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La formula «governo del territorio» risulta introdotta per la prima volta alla Camera (in prima deliberazione) nella seduta in Aula del 20 settembre 2000, dove sono messi ai voti due emendamenti: il primo, presentato dalla Commissione, prevede l’introduzione del «</w:t>
      </w:r>
      <w:r w:rsidRPr="00DE366E">
        <w:rPr>
          <w:rFonts w:ascii="Garamond" w:hAnsi="Garamond" w:cs="Times New Roman"/>
          <w:i/>
          <w:sz w:val="22"/>
          <w:szCs w:val="22"/>
        </w:rPr>
        <w:t>governo del territorio</w:t>
      </w:r>
      <w:r w:rsidRPr="00DE366E">
        <w:rPr>
          <w:rFonts w:ascii="Garamond" w:hAnsi="Garamond" w:cs="Times New Roman"/>
          <w:sz w:val="22"/>
          <w:szCs w:val="22"/>
        </w:rPr>
        <w:t>» tra le materie di potestà concorrente; con il secondo si propone l’aggiunta al precedente emendamento dell’inciso «</w:t>
      </w:r>
      <w:r w:rsidRPr="00DE366E">
        <w:rPr>
          <w:rFonts w:ascii="Garamond" w:hAnsi="Garamond" w:cs="Times New Roman"/>
          <w:i/>
          <w:sz w:val="22"/>
          <w:szCs w:val="22"/>
        </w:rPr>
        <w:t>esclusi i profili urbanistici ed edilizi</w:t>
      </w:r>
      <w:r w:rsidRPr="00DE366E">
        <w:rPr>
          <w:rFonts w:ascii="Garamond" w:hAnsi="Garamond" w:cs="Times New Roman"/>
          <w:sz w:val="22"/>
          <w:szCs w:val="22"/>
        </w:rPr>
        <w:t xml:space="preserve">». La seduta si conclude con la sola approvazione dell’emendamento presentato dalla Commissione, ma dall’analisi dei lavori preparatori si desume che l’altro emendamento – volto a espungere l’urbanistica (e l’edilizia) dalla potestà concorrente – è respinto non perché si voleva che queste materie rimanessero incorporate nella formula «governo del territorio»; ma perché – all’opposto – si riteneva </w:t>
      </w:r>
      <w:r w:rsidRPr="00DE366E">
        <w:rPr>
          <w:rFonts w:ascii="Garamond" w:hAnsi="Garamond" w:cs="Times New Roman"/>
          <w:i/>
          <w:sz w:val="22"/>
          <w:szCs w:val="22"/>
        </w:rPr>
        <w:t>superflua</w:t>
      </w:r>
      <w:r w:rsidRPr="00DE366E">
        <w:rPr>
          <w:rFonts w:ascii="Garamond" w:hAnsi="Garamond" w:cs="Times New Roman"/>
          <w:sz w:val="22"/>
          <w:szCs w:val="22"/>
        </w:rPr>
        <w:t xml:space="preserve"> l’aggiunta delle parole sopra citate, </w:t>
      </w:r>
      <w:r w:rsidRPr="00DE366E">
        <w:rPr>
          <w:rFonts w:ascii="Garamond" w:hAnsi="Garamond" w:cs="Times New Roman"/>
          <w:i/>
          <w:sz w:val="22"/>
          <w:szCs w:val="22"/>
        </w:rPr>
        <w:t>attesa la volontà di trasferire urbanistica ed edilizia alla potestà legislativa generale ed esclusiva delle Regioni</w:t>
      </w:r>
      <w:r w:rsidRPr="00DE366E">
        <w:rPr>
          <w:rFonts w:ascii="Garamond" w:hAnsi="Garamond" w:cs="Times New Roman"/>
          <w:sz w:val="22"/>
          <w:szCs w:val="22"/>
        </w:rPr>
        <w:t>. Anche il Servizio Studi del Senato pubblicherà poi, nel settembre 2001, un volume (</w:t>
      </w:r>
      <w:r w:rsidRPr="00DE366E">
        <w:rPr>
          <w:rFonts w:ascii="Garamond" w:hAnsi="Garamond" w:cs="Times New Roman"/>
          <w:i/>
          <w:sz w:val="22"/>
          <w:szCs w:val="22"/>
        </w:rPr>
        <w:t>Il «referendum sul federalismo»</w:t>
      </w:r>
      <w:r w:rsidRPr="00DE366E">
        <w:rPr>
          <w:rFonts w:ascii="Garamond" w:hAnsi="Garamond" w:cs="Times New Roman"/>
          <w:sz w:val="22"/>
          <w:szCs w:val="22"/>
        </w:rPr>
        <w:t>) con alcune schede di lettura della riforma costituzionale: a proposito del «governo del territorio», il Servizio afferma che «dal dibattito parlamentare […] si evince l’intenzione di considerare “edilizia ed urbanistica” materie – si direbbe totalmente – regionali», (pag. 33); ed ancora, occupandosi della competenza residuale delle Regioni, si legge che «gli atti preparatori inducono a ritener(vi) inclus(a) l’urbanistica» (pag. 36).</w:t>
      </w:r>
    </w:p>
  </w:footnote>
  <w:footnote w:id="31">
    <w:p w14:paraId="1052037D" w14:textId="4917001D" w:rsidR="00120D07" w:rsidRPr="00DE366E" w:rsidRDefault="00120D07" w:rsidP="008F04FA">
      <w:pPr>
        <w:pStyle w:val="Testonotaapidipagina"/>
        <w:contextualSpacing/>
        <w:jc w:val="both"/>
        <w:rPr>
          <w:rFonts w:ascii="Garamond" w:hAnsi="Garamond" w:cs="Times New Roman"/>
          <w:color w:val="000000" w:themeColor="text1"/>
          <w:sz w:val="22"/>
          <w:szCs w:val="22"/>
        </w:rPr>
      </w:pPr>
      <w:r w:rsidRPr="00DE366E">
        <w:rPr>
          <w:rStyle w:val="Rimandonotaapidipagina"/>
          <w:rFonts w:ascii="Garamond" w:hAnsi="Garamond" w:cs="Times New Roman"/>
          <w:color w:val="000000" w:themeColor="text1"/>
          <w:sz w:val="22"/>
          <w:szCs w:val="22"/>
        </w:rPr>
        <w:footnoteRef/>
      </w:r>
      <w:r w:rsidRPr="00DE366E">
        <w:rPr>
          <w:rFonts w:ascii="Garamond" w:hAnsi="Garamond" w:cs="Times New Roman"/>
          <w:color w:val="000000" w:themeColor="text1"/>
          <w:sz w:val="22"/>
          <w:szCs w:val="22"/>
        </w:rPr>
        <w:t xml:space="preserve"> Così </w:t>
      </w:r>
      <w:r w:rsidR="00733676" w:rsidRPr="00DE366E">
        <w:rPr>
          <w:rFonts w:ascii="Garamond" w:hAnsi="Garamond" w:cs="Times New Roman"/>
          <w:smallCaps/>
          <w:color w:val="000000" w:themeColor="text1"/>
          <w:sz w:val="22"/>
          <w:szCs w:val="22"/>
        </w:rPr>
        <w:t>P. STELLA RICHTER</w:t>
      </w:r>
      <w:r w:rsidRPr="00DE366E">
        <w:rPr>
          <w:rFonts w:ascii="Garamond" w:hAnsi="Garamond" w:cs="Times New Roman"/>
          <w:color w:val="000000" w:themeColor="text1"/>
          <w:sz w:val="22"/>
          <w:szCs w:val="22"/>
        </w:rPr>
        <w:t xml:space="preserve">, </w:t>
      </w:r>
      <w:r w:rsidRPr="00DE366E">
        <w:rPr>
          <w:rFonts w:ascii="Garamond" w:hAnsi="Garamond" w:cs="Times New Roman"/>
          <w:i/>
          <w:color w:val="000000" w:themeColor="text1"/>
          <w:sz w:val="22"/>
          <w:szCs w:val="22"/>
        </w:rPr>
        <w:t>I principi del diritto urbanistico</w:t>
      </w:r>
      <w:r w:rsidRPr="00DE366E">
        <w:rPr>
          <w:rFonts w:ascii="Garamond" w:hAnsi="Garamond" w:cs="Times New Roman"/>
          <w:color w:val="000000" w:themeColor="text1"/>
          <w:sz w:val="22"/>
          <w:szCs w:val="22"/>
        </w:rPr>
        <w:t xml:space="preserve">, </w:t>
      </w:r>
      <w:r w:rsidRPr="00DE366E">
        <w:rPr>
          <w:rFonts w:ascii="Garamond" w:hAnsi="Garamond" w:cs="Times New Roman"/>
          <w:sz w:val="22"/>
          <w:szCs w:val="22"/>
        </w:rPr>
        <w:t>Milano, 2002,</w:t>
      </w:r>
      <w:r w:rsidRPr="00DE366E">
        <w:rPr>
          <w:rFonts w:ascii="Garamond" w:hAnsi="Garamond" w:cs="Times New Roman"/>
          <w:color w:val="000000" w:themeColor="text1"/>
          <w:sz w:val="22"/>
          <w:szCs w:val="22"/>
        </w:rPr>
        <w:t xml:space="preserve"> p. 4.</w:t>
      </w:r>
    </w:p>
  </w:footnote>
  <w:footnote w:id="32">
    <w:p w14:paraId="355C9193" w14:textId="44E0992B"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G. </w:t>
      </w:r>
      <w:r w:rsidR="00733676" w:rsidRPr="00DE366E">
        <w:rPr>
          <w:rFonts w:ascii="Garamond" w:hAnsi="Garamond"/>
          <w:smallCaps/>
          <w:sz w:val="22"/>
          <w:szCs w:val="22"/>
        </w:rPr>
        <w:t>TORREGROSSA</w:t>
      </w:r>
      <w:r w:rsidRPr="00DE366E">
        <w:rPr>
          <w:rFonts w:ascii="Garamond" w:hAnsi="Garamond"/>
          <w:sz w:val="22"/>
          <w:szCs w:val="22"/>
        </w:rPr>
        <w:t xml:space="preserve">, </w:t>
      </w:r>
      <w:r w:rsidRPr="00DE366E">
        <w:rPr>
          <w:rFonts w:ascii="Garamond" w:hAnsi="Garamond"/>
          <w:i/>
          <w:sz w:val="22"/>
          <w:szCs w:val="22"/>
        </w:rPr>
        <w:t xml:space="preserve">Introduzione al diritto urbanistico </w:t>
      </w:r>
      <w:r w:rsidRPr="00DE366E">
        <w:rPr>
          <w:rFonts w:ascii="Garamond" w:hAnsi="Garamond"/>
          <w:sz w:val="22"/>
          <w:szCs w:val="22"/>
        </w:rPr>
        <w:t>Milano, 1987, p. 54.</w:t>
      </w:r>
    </w:p>
  </w:footnote>
  <w:footnote w:id="33">
    <w:p w14:paraId="3B4992F6" w14:textId="461FEF9A" w:rsidR="00120D07" w:rsidRPr="00DE366E" w:rsidRDefault="00120D07" w:rsidP="008F04FA">
      <w:pPr>
        <w:pStyle w:val="Note"/>
        <w:ind w:firstLine="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A. </w:t>
      </w:r>
      <w:r w:rsidR="00733676" w:rsidRPr="00DE366E">
        <w:rPr>
          <w:rFonts w:ascii="Garamond" w:hAnsi="Garamond"/>
          <w:smallCaps/>
          <w:sz w:val="22"/>
          <w:szCs w:val="22"/>
        </w:rPr>
        <w:t>ROMANO</w:t>
      </w:r>
      <w:r w:rsidR="00733676" w:rsidRPr="00DE366E">
        <w:rPr>
          <w:rFonts w:ascii="Garamond" w:hAnsi="Garamond"/>
          <w:sz w:val="22"/>
          <w:szCs w:val="22"/>
        </w:rPr>
        <w:t xml:space="preserve"> </w:t>
      </w:r>
      <w:r w:rsidR="00733676" w:rsidRPr="00DE366E">
        <w:rPr>
          <w:rFonts w:ascii="Garamond" w:hAnsi="Garamond"/>
          <w:smallCaps/>
          <w:sz w:val="22"/>
          <w:szCs w:val="22"/>
        </w:rPr>
        <w:t>TASSONE</w:t>
      </w:r>
      <w:r w:rsidRPr="00DE366E">
        <w:rPr>
          <w:rFonts w:ascii="Garamond" w:hAnsi="Garamond"/>
          <w:sz w:val="22"/>
          <w:szCs w:val="22"/>
        </w:rPr>
        <w:t xml:space="preserve">, </w:t>
      </w:r>
      <w:r w:rsidRPr="00DE366E">
        <w:rPr>
          <w:rFonts w:ascii="Garamond" w:hAnsi="Garamond"/>
          <w:i/>
          <w:sz w:val="22"/>
          <w:szCs w:val="22"/>
        </w:rPr>
        <w:t>I rapporti tra il piano territoriale di coordinamento provinciale e gli strumenti urbanistici comunali</w:t>
      </w:r>
      <w:r w:rsidRPr="00DE366E">
        <w:rPr>
          <w:rFonts w:ascii="Garamond" w:hAnsi="Garamond"/>
          <w:sz w:val="22"/>
          <w:szCs w:val="22"/>
        </w:rPr>
        <w:t>,</w:t>
      </w:r>
      <w:r w:rsidRPr="00DE366E">
        <w:rPr>
          <w:rFonts w:ascii="Garamond" w:hAnsi="Garamond"/>
          <w:i/>
          <w:sz w:val="22"/>
          <w:szCs w:val="22"/>
        </w:rPr>
        <w:t xml:space="preserve"> </w:t>
      </w:r>
      <w:r w:rsidRPr="00DE366E">
        <w:rPr>
          <w:rFonts w:ascii="Garamond" w:hAnsi="Garamond"/>
          <w:sz w:val="22"/>
          <w:szCs w:val="22"/>
        </w:rPr>
        <w:t xml:space="preserve">relazione al Convegno di Ravenna del 29-30 settembre 2000 su </w:t>
      </w:r>
      <w:r w:rsidRPr="00DE366E">
        <w:rPr>
          <w:rFonts w:ascii="Garamond" w:hAnsi="Garamond"/>
          <w:i/>
          <w:sz w:val="22"/>
          <w:szCs w:val="22"/>
        </w:rPr>
        <w:t>Il piano territoriale di coordinamento provinciale e le pianificazioni di settore</w:t>
      </w:r>
      <w:r w:rsidRPr="00DE366E">
        <w:rPr>
          <w:rFonts w:ascii="Garamond" w:hAnsi="Garamond"/>
          <w:sz w:val="22"/>
          <w:szCs w:val="22"/>
        </w:rPr>
        <w:t>, p. 6.</w:t>
      </w:r>
    </w:p>
  </w:footnote>
  <w:footnote w:id="34">
    <w:p w14:paraId="16DCC709" w14:textId="097BFBFC"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w:t>
      </w:r>
      <w:r w:rsidR="00733676" w:rsidRPr="00DE366E">
        <w:rPr>
          <w:rFonts w:ascii="Garamond" w:hAnsi="Garamond" w:cs="Times New Roman"/>
          <w:smallCaps/>
          <w:sz w:val="22"/>
          <w:szCs w:val="22"/>
        </w:rPr>
        <w:t>E. STICCHI DAMIANI</w:t>
      </w:r>
      <w:r w:rsidRPr="00DE366E">
        <w:rPr>
          <w:rFonts w:ascii="Garamond" w:hAnsi="Garamond" w:cs="Times New Roman"/>
          <w:smallCaps/>
          <w:sz w:val="22"/>
          <w:szCs w:val="22"/>
        </w:rPr>
        <w:t>,</w:t>
      </w:r>
      <w:r w:rsidRPr="00DE366E">
        <w:rPr>
          <w:rFonts w:ascii="Garamond" w:hAnsi="Garamond" w:cs="Times New Roman"/>
          <w:sz w:val="22"/>
          <w:szCs w:val="22"/>
        </w:rPr>
        <w:t xml:space="preserve"> </w:t>
      </w:r>
      <w:r w:rsidRPr="00DE366E">
        <w:rPr>
          <w:rFonts w:ascii="Garamond" w:hAnsi="Garamond" w:cs="Times New Roman"/>
          <w:i/>
          <w:sz w:val="22"/>
          <w:szCs w:val="22"/>
        </w:rPr>
        <w:t>Disciplina del territorio e tutele differenziate: verso un’urbanistica «integrale»</w:t>
      </w:r>
      <w:r w:rsidRPr="00DE366E">
        <w:rPr>
          <w:rFonts w:ascii="Garamond" w:hAnsi="Garamond" w:cs="Times New Roman"/>
          <w:sz w:val="22"/>
          <w:szCs w:val="22"/>
        </w:rPr>
        <w:t>, in E. Ferrari (a cura di)</w:t>
      </w:r>
      <w:r w:rsidRPr="00DE366E">
        <w:rPr>
          <w:rFonts w:ascii="Garamond" w:hAnsi="Garamond" w:cs="Times New Roman"/>
          <w:smallCaps/>
          <w:sz w:val="22"/>
          <w:szCs w:val="22"/>
        </w:rPr>
        <w:t xml:space="preserve">, </w:t>
      </w:r>
      <w:r w:rsidRPr="00DE366E">
        <w:rPr>
          <w:rFonts w:ascii="Garamond" w:hAnsi="Garamond" w:cs="Times New Roman"/>
          <w:i/>
          <w:smallCaps/>
          <w:sz w:val="22"/>
          <w:szCs w:val="22"/>
        </w:rPr>
        <w:t>L’</w:t>
      </w:r>
      <w:r w:rsidRPr="00DE366E">
        <w:rPr>
          <w:rFonts w:ascii="Garamond" w:hAnsi="Garamond" w:cs="Times New Roman"/>
          <w:i/>
          <w:sz w:val="22"/>
          <w:szCs w:val="22"/>
        </w:rPr>
        <w:t>uso delle aree urbane e la qualità dell’abitato</w:t>
      </w:r>
      <w:r w:rsidRPr="00DE366E">
        <w:rPr>
          <w:rFonts w:ascii="Garamond" w:hAnsi="Garamond" w:cs="Times New Roman"/>
          <w:sz w:val="22"/>
          <w:szCs w:val="22"/>
        </w:rPr>
        <w:t xml:space="preserve"> (Atti del III Convegno nazionale A.I.D.U. di Genova del 19-20 novembre 1999), Milano, 2000, p. 145.</w:t>
      </w:r>
    </w:p>
  </w:footnote>
  <w:footnote w:id="35">
    <w:p w14:paraId="6FE790B6" w14:textId="7C028F35" w:rsidR="00120D07" w:rsidRPr="00DE366E" w:rsidRDefault="00120D07" w:rsidP="008F04FA">
      <w:pPr>
        <w:pStyle w:val="Testonotaapidipagina"/>
        <w:contextualSpacing/>
        <w:jc w:val="both"/>
        <w:rPr>
          <w:rFonts w:ascii="Garamond" w:hAnsi="Garamond" w:cs="Times New Roman"/>
          <w:sz w:val="22"/>
          <w:szCs w:val="22"/>
        </w:rPr>
      </w:pPr>
      <w:r w:rsidRPr="00DE366E">
        <w:rPr>
          <w:rStyle w:val="Rimandonotaapidipagina"/>
          <w:rFonts w:ascii="Garamond" w:hAnsi="Garamond" w:cs="Times New Roman"/>
          <w:sz w:val="22"/>
          <w:szCs w:val="22"/>
        </w:rPr>
        <w:footnoteRef/>
      </w:r>
      <w:r w:rsidRPr="00DE366E">
        <w:rPr>
          <w:rFonts w:ascii="Garamond" w:hAnsi="Garamond" w:cs="Times New Roman"/>
          <w:sz w:val="22"/>
          <w:szCs w:val="22"/>
        </w:rPr>
        <w:t xml:space="preserve"> Secondo la celebre definizione di </w:t>
      </w:r>
      <w:r w:rsidR="00733676" w:rsidRPr="00DE366E">
        <w:rPr>
          <w:rFonts w:ascii="Garamond" w:hAnsi="Garamond" w:cs="Times New Roman"/>
          <w:sz w:val="22"/>
          <w:szCs w:val="22"/>
        </w:rPr>
        <w:t xml:space="preserve">V. </w:t>
      </w:r>
      <w:r w:rsidR="00733676" w:rsidRPr="00DE366E">
        <w:rPr>
          <w:rFonts w:ascii="Garamond" w:hAnsi="Garamond" w:cs="Times New Roman"/>
          <w:smallCaps/>
          <w:sz w:val="22"/>
          <w:szCs w:val="22"/>
        </w:rPr>
        <w:t>CERULLI IRELLI</w:t>
      </w:r>
      <w:r w:rsidRPr="00DE366E">
        <w:rPr>
          <w:rFonts w:ascii="Garamond" w:hAnsi="Garamond" w:cs="Times New Roman"/>
          <w:sz w:val="22"/>
          <w:szCs w:val="22"/>
        </w:rPr>
        <w:t xml:space="preserve">, </w:t>
      </w:r>
      <w:r w:rsidRPr="00DE366E">
        <w:rPr>
          <w:rFonts w:ascii="Garamond" w:hAnsi="Garamond" w:cs="Times New Roman"/>
          <w:i/>
          <w:sz w:val="22"/>
          <w:szCs w:val="22"/>
        </w:rPr>
        <w:t>Pianificazione urbanistica e interessi differenziati</w:t>
      </w:r>
      <w:r w:rsidRPr="00DE366E">
        <w:rPr>
          <w:rFonts w:ascii="Garamond" w:hAnsi="Garamond" w:cs="Times New Roman"/>
          <w:sz w:val="22"/>
          <w:szCs w:val="22"/>
        </w:rPr>
        <w:t xml:space="preserve">, in </w:t>
      </w:r>
      <w:r w:rsidRPr="00DE366E">
        <w:rPr>
          <w:rFonts w:ascii="Garamond" w:hAnsi="Garamond" w:cs="Times New Roman"/>
          <w:i/>
          <w:sz w:val="22"/>
          <w:szCs w:val="22"/>
        </w:rPr>
        <w:t>Riv. trim. dir. pubbl.</w:t>
      </w:r>
      <w:r w:rsidRPr="00DE366E">
        <w:rPr>
          <w:rFonts w:ascii="Garamond" w:hAnsi="Garamond" w:cs="Times New Roman"/>
          <w:sz w:val="22"/>
          <w:szCs w:val="22"/>
        </w:rPr>
        <w:t>, 1985, p. 386 ss.</w:t>
      </w:r>
    </w:p>
  </w:footnote>
  <w:footnote w:id="36">
    <w:p w14:paraId="72E66428" w14:textId="5F1F8359" w:rsidR="00120D07" w:rsidRPr="00DE366E" w:rsidRDefault="00120D07" w:rsidP="00733676">
      <w:pPr>
        <w:pStyle w:val="Testodelblocco"/>
        <w:ind w:left="0" w:right="0"/>
        <w:contextualSpacing/>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w:t>
      </w:r>
      <w:r w:rsidR="00733676" w:rsidRPr="00DE366E">
        <w:rPr>
          <w:rFonts w:ascii="Garamond" w:hAnsi="Garamond"/>
          <w:sz w:val="22"/>
          <w:szCs w:val="22"/>
        </w:rPr>
        <w:t xml:space="preserve">S. </w:t>
      </w:r>
      <w:r w:rsidR="00733676" w:rsidRPr="00DE366E">
        <w:rPr>
          <w:rFonts w:ascii="Garamond" w:hAnsi="Garamond"/>
          <w:smallCaps/>
          <w:sz w:val="22"/>
          <w:szCs w:val="22"/>
        </w:rPr>
        <w:t>AMOROSINO</w:t>
      </w:r>
      <w:r w:rsidRPr="00DE366E">
        <w:rPr>
          <w:rFonts w:ascii="Garamond" w:hAnsi="Garamond"/>
          <w:sz w:val="22"/>
          <w:szCs w:val="22"/>
        </w:rPr>
        <w:t xml:space="preserve">, </w:t>
      </w:r>
      <w:r w:rsidRPr="00DE366E">
        <w:rPr>
          <w:rFonts w:ascii="Garamond" w:hAnsi="Garamond"/>
          <w:i/>
          <w:sz w:val="22"/>
          <w:szCs w:val="22"/>
        </w:rPr>
        <w:t>Il “governo del territorio” tra Stato, regioni ed enti locali</w:t>
      </w:r>
      <w:r w:rsidRPr="00DE366E">
        <w:rPr>
          <w:rFonts w:ascii="Garamond" w:hAnsi="Garamond"/>
          <w:sz w:val="22"/>
          <w:szCs w:val="22"/>
        </w:rPr>
        <w:t xml:space="preserve">, relazione al 6° convegno nazionale AIDU, p. 12, cui si devono i passi riportati nel testo (corsivazione originale). L’A. propone il modello della </w:t>
      </w:r>
      <w:r w:rsidRPr="00DE366E">
        <w:rPr>
          <w:rFonts w:ascii="Garamond" w:hAnsi="Garamond"/>
          <w:i/>
          <w:sz w:val="22"/>
          <w:szCs w:val="22"/>
        </w:rPr>
        <w:t xml:space="preserve">multilevel governance </w:t>
      </w:r>
      <w:r w:rsidRPr="00DE366E">
        <w:rPr>
          <w:rFonts w:ascii="Garamond" w:hAnsi="Garamond"/>
          <w:sz w:val="22"/>
          <w:szCs w:val="22"/>
        </w:rPr>
        <w:t xml:space="preserve">proprio in considerazione del «carattere dinamico, </w:t>
      </w:r>
      <w:r w:rsidRPr="00DE366E">
        <w:rPr>
          <w:rFonts w:ascii="Garamond" w:hAnsi="Garamond"/>
          <w:i/>
          <w:sz w:val="22"/>
          <w:szCs w:val="22"/>
        </w:rPr>
        <w:t>aggregativo</w:t>
      </w:r>
      <w:r w:rsidRPr="00DE366E">
        <w:rPr>
          <w:rFonts w:ascii="Garamond" w:hAnsi="Garamond"/>
          <w:sz w:val="22"/>
          <w:szCs w:val="22"/>
        </w:rPr>
        <w:t xml:space="preserve">, aperto, del governo del territorio», che «gli consente di assorbire molto meglio dei tradizionali modelli, gerarchici e per separazione delle competenze, un elemento strutturale essenziale della gestione del territorio: </w:t>
      </w:r>
      <w:r w:rsidRPr="00DE366E">
        <w:rPr>
          <w:rFonts w:ascii="Garamond" w:hAnsi="Garamond"/>
          <w:i/>
          <w:sz w:val="22"/>
          <w:szCs w:val="22"/>
        </w:rPr>
        <w:t>la ineliminabile compresenza di interessi di tipo e livello diverso</w:t>
      </w:r>
      <w:r w:rsidRPr="00DE366E">
        <w:rPr>
          <w:rFonts w:ascii="Garamond" w:hAnsi="Garamond"/>
          <w:sz w:val="22"/>
          <w:szCs w:val="22"/>
        </w:rPr>
        <w:t>, riferibili a molteplici centri di imputazione, che “insistono” su un medesimo ambito o sistema territoriale» (p. 14 – corsivazione originale).</w:t>
      </w:r>
    </w:p>
  </w:footnote>
  <w:footnote w:id="37">
    <w:p w14:paraId="629A6D8E" w14:textId="32D8E743" w:rsidR="00120D07" w:rsidRPr="00DE366E" w:rsidRDefault="00120D0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Pr="00733676">
        <w:rPr>
          <w:rFonts w:ascii="Garamond" w:hAnsi="Garamond"/>
          <w:caps/>
          <w:sz w:val="22"/>
          <w:szCs w:val="22"/>
        </w:rPr>
        <w:t xml:space="preserve">M. </w:t>
      </w:r>
      <w:r w:rsidRPr="00733676">
        <w:rPr>
          <w:rFonts w:ascii="Garamond" w:hAnsi="Garamond" w:cs="Times New Roman (Corpo CS)"/>
          <w:caps/>
          <w:sz w:val="22"/>
          <w:szCs w:val="22"/>
        </w:rPr>
        <w:t>Monteduro</w:t>
      </w:r>
      <w:r w:rsidRPr="00733676">
        <w:rPr>
          <w:rFonts w:ascii="Garamond" w:hAnsi="Garamond"/>
          <w:sz w:val="22"/>
          <w:szCs w:val="22"/>
        </w:rPr>
        <w:t>,</w:t>
      </w:r>
      <w:r w:rsidRPr="00DE366E">
        <w:rPr>
          <w:rFonts w:ascii="Garamond" w:hAnsi="Garamond"/>
          <w:i/>
          <w:sz w:val="22"/>
          <w:szCs w:val="22"/>
        </w:rPr>
        <w:t xml:space="preserve"> Principi del diritto dell’ambiente e conformazione della discrezionalità amministrativa: sviluppo sostenibile e non regressione</w:t>
      </w:r>
      <w:r w:rsidRPr="00DE366E">
        <w:rPr>
          <w:rFonts w:ascii="Garamond" w:hAnsi="Garamond"/>
          <w:sz w:val="22"/>
          <w:szCs w:val="22"/>
        </w:rPr>
        <w:t xml:space="preserve">, in </w:t>
      </w:r>
      <w:r w:rsidR="00733676" w:rsidRPr="00DE366E">
        <w:rPr>
          <w:rFonts w:ascii="Garamond" w:hAnsi="Garamond"/>
          <w:sz w:val="22"/>
          <w:szCs w:val="22"/>
        </w:rPr>
        <w:t xml:space="preserve">F. </w:t>
      </w:r>
      <w:r w:rsidR="00733676" w:rsidRPr="00DE366E">
        <w:rPr>
          <w:rFonts w:ascii="Garamond" w:hAnsi="Garamond" w:cs="Times New Roman (Corpo CS)"/>
          <w:smallCaps/>
          <w:sz w:val="22"/>
          <w:szCs w:val="22"/>
        </w:rPr>
        <w:t>PUBUSA</w:t>
      </w:r>
      <w:r w:rsidR="00733676" w:rsidRPr="00DE366E">
        <w:rPr>
          <w:rFonts w:ascii="Garamond" w:hAnsi="Garamond"/>
          <w:sz w:val="22"/>
          <w:szCs w:val="22"/>
        </w:rPr>
        <w:t xml:space="preserve"> – D. </w:t>
      </w:r>
      <w:r w:rsidR="00733676" w:rsidRPr="00DE366E">
        <w:rPr>
          <w:rFonts w:ascii="Garamond" w:hAnsi="Garamond" w:cs="Times New Roman (Corpo CS)"/>
          <w:smallCaps/>
          <w:sz w:val="22"/>
          <w:szCs w:val="22"/>
        </w:rPr>
        <w:t>MARONGIU</w:t>
      </w:r>
      <w:r w:rsidRPr="00DE366E">
        <w:rPr>
          <w:rFonts w:ascii="Garamond" w:hAnsi="Garamond"/>
          <w:sz w:val="22"/>
          <w:szCs w:val="22"/>
        </w:rPr>
        <w:t xml:space="preserve">, </w:t>
      </w:r>
      <w:r w:rsidRPr="00DE366E">
        <w:rPr>
          <w:rFonts w:ascii="Garamond" w:hAnsi="Garamond"/>
          <w:i/>
          <w:sz w:val="22"/>
          <w:szCs w:val="22"/>
        </w:rPr>
        <w:t>Ambiente, paesaggio, territorio. Principi e vicende</w:t>
      </w:r>
      <w:r w:rsidRPr="00DE366E">
        <w:rPr>
          <w:rFonts w:ascii="Garamond" w:hAnsi="Garamond"/>
          <w:sz w:val="22"/>
          <w:szCs w:val="22"/>
        </w:rPr>
        <w:t xml:space="preserve">, </w:t>
      </w:r>
      <w:r w:rsidR="00733676">
        <w:rPr>
          <w:rFonts w:ascii="Garamond" w:hAnsi="Garamond"/>
          <w:sz w:val="22"/>
          <w:szCs w:val="22"/>
        </w:rPr>
        <w:t>Napoli</w:t>
      </w:r>
      <w:r w:rsidRPr="00DE366E">
        <w:rPr>
          <w:rFonts w:ascii="Garamond" w:hAnsi="Garamond"/>
          <w:sz w:val="22"/>
          <w:szCs w:val="22"/>
        </w:rPr>
        <w:t xml:space="preserve">, 2017, p. 149 ss., spec. p. 178 s. </w:t>
      </w:r>
    </w:p>
  </w:footnote>
  <w:footnote w:id="38">
    <w:p w14:paraId="0A8B5BCA" w14:textId="3B2081F8" w:rsidR="00120D07" w:rsidRPr="00DE366E" w:rsidRDefault="00120D0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M. </w:t>
      </w:r>
      <w:r w:rsidR="00733676" w:rsidRPr="00DE366E">
        <w:rPr>
          <w:rFonts w:ascii="Garamond" w:hAnsi="Garamond" w:cs="Times New Roman (Corpo CS)"/>
          <w:smallCaps/>
          <w:sz w:val="22"/>
          <w:szCs w:val="22"/>
        </w:rPr>
        <w:t>MONTEDURO</w:t>
      </w:r>
      <w:r w:rsidRPr="00733676">
        <w:rPr>
          <w:rFonts w:ascii="Garamond" w:hAnsi="Garamond"/>
          <w:sz w:val="22"/>
          <w:szCs w:val="22"/>
        </w:rPr>
        <w:t>,</w:t>
      </w:r>
      <w:r w:rsidRPr="00DE366E">
        <w:rPr>
          <w:rFonts w:ascii="Garamond" w:hAnsi="Garamond"/>
          <w:i/>
          <w:sz w:val="22"/>
          <w:szCs w:val="22"/>
        </w:rPr>
        <w:t xml:space="preserve"> Principi del diritto dell’ambiente</w:t>
      </w:r>
      <w:r w:rsidRPr="00DE366E">
        <w:rPr>
          <w:rFonts w:ascii="Garamond" w:hAnsi="Garamond"/>
          <w:sz w:val="22"/>
          <w:szCs w:val="22"/>
        </w:rPr>
        <w:t>, cit.</w:t>
      </w:r>
      <w:r w:rsidR="00AB67A2" w:rsidRPr="00DE366E">
        <w:rPr>
          <w:rFonts w:ascii="Garamond" w:hAnsi="Garamond"/>
          <w:sz w:val="22"/>
          <w:szCs w:val="22"/>
        </w:rPr>
        <w:t>,</w:t>
      </w:r>
      <w:r w:rsidRPr="00DE366E">
        <w:rPr>
          <w:rFonts w:ascii="Garamond" w:hAnsi="Garamond"/>
          <w:sz w:val="22"/>
          <w:szCs w:val="22"/>
        </w:rPr>
        <w:t xml:space="preserve"> p. 179.</w:t>
      </w:r>
    </w:p>
  </w:footnote>
  <w:footnote w:id="39">
    <w:p w14:paraId="364B3EEB" w14:textId="6926DBD6" w:rsidR="00120D07" w:rsidRPr="00DE366E" w:rsidRDefault="00120D0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Di Giuseppe Gorla si veda il gustoso, ma anche amaro </w:t>
      </w:r>
      <w:r w:rsidRPr="00DE366E">
        <w:rPr>
          <w:rFonts w:ascii="Garamond" w:hAnsi="Garamond"/>
          <w:i/>
          <w:sz w:val="22"/>
          <w:szCs w:val="22"/>
        </w:rPr>
        <w:t>L’Italia nella Seconda Guerra Mondiale. Diario di un milanese, Ministro del Re nel Governo di Mussolini</w:t>
      </w:r>
      <w:r w:rsidRPr="00DE366E">
        <w:rPr>
          <w:rFonts w:ascii="Garamond" w:hAnsi="Garamond"/>
          <w:sz w:val="22"/>
          <w:szCs w:val="22"/>
        </w:rPr>
        <w:t>, Milano, 1959, dove egli appunta tutti i tentativi di Mussolini di far fallire gli sforzi per l’approvazione della legge urbanistica: incluso l’invio del nostro urbanista a guerreggiare in Albania …</w:t>
      </w:r>
    </w:p>
  </w:footnote>
  <w:footnote w:id="40">
    <w:p w14:paraId="71B096CA" w14:textId="0BFE28B0" w:rsidR="00120D07" w:rsidRPr="00DE366E" w:rsidRDefault="00120D0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Pur generosi e di notevole impegno teorico, come quello di </w:t>
      </w:r>
      <w:r w:rsidR="00733676" w:rsidRPr="00DE366E">
        <w:rPr>
          <w:rFonts w:ascii="Garamond" w:hAnsi="Garamond"/>
          <w:sz w:val="22"/>
          <w:szCs w:val="22"/>
        </w:rPr>
        <w:t xml:space="preserve">P.L. </w:t>
      </w:r>
      <w:r w:rsidR="00733676" w:rsidRPr="00DE366E">
        <w:rPr>
          <w:rFonts w:ascii="Garamond" w:hAnsi="Garamond" w:cs="Times New Roman (Corpo CS)"/>
          <w:smallCaps/>
          <w:sz w:val="22"/>
          <w:szCs w:val="22"/>
        </w:rPr>
        <w:t>MANTINI</w:t>
      </w:r>
      <w:r w:rsidRPr="00DE366E">
        <w:rPr>
          <w:rFonts w:ascii="Garamond" w:hAnsi="Garamond"/>
          <w:sz w:val="22"/>
          <w:szCs w:val="22"/>
        </w:rPr>
        <w:t xml:space="preserve">, </w:t>
      </w:r>
      <w:r w:rsidRPr="00DE366E">
        <w:rPr>
          <w:rFonts w:ascii="Garamond" w:hAnsi="Garamond"/>
          <w:i/>
          <w:sz w:val="22"/>
          <w:szCs w:val="22"/>
        </w:rPr>
        <w:t>Contributo allo studio del governo liberale e nazionale del territorio</w:t>
      </w:r>
      <w:r w:rsidRPr="00DE366E">
        <w:rPr>
          <w:rFonts w:ascii="Garamond" w:hAnsi="Garamond"/>
          <w:sz w:val="22"/>
          <w:szCs w:val="22"/>
        </w:rPr>
        <w:t xml:space="preserve">, in </w:t>
      </w:r>
      <w:r w:rsidRPr="00DE366E">
        <w:rPr>
          <w:rFonts w:ascii="Garamond" w:hAnsi="Garamond"/>
          <w:i/>
          <w:sz w:val="22"/>
          <w:szCs w:val="22"/>
        </w:rPr>
        <w:t>Riv. giur. ed.,</w:t>
      </w:r>
      <w:r w:rsidRPr="00DE366E">
        <w:rPr>
          <w:rFonts w:ascii="Garamond" w:hAnsi="Garamond"/>
          <w:sz w:val="22"/>
          <w:szCs w:val="22"/>
        </w:rPr>
        <w:t xml:space="preserve"> </w:t>
      </w:r>
      <w:r w:rsidRPr="00DE366E">
        <w:rPr>
          <w:rFonts w:ascii="Garamond" w:hAnsi="Garamond"/>
          <w:i/>
          <w:sz w:val="22"/>
          <w:szCs w:val="22"/>
        </w:rPr>
        <w:t>Quaderno</w:t>
      </w:r>
      <w:r w:rsidRPr="00DE366E">
        <w:rPr>
          <w:rFonts w:ascii="Garamond" w:hAnsi="Garamond"/>
          <w:sz w:val="22"/>
          <w:szCs w:val="22"/>
        </w:rPr>
        <w:t xml:space="preserve"> n. 2 (Atti del 16° convegno nazionale dell’Associazione italiana del diritto urbanistico su </w:t>
      </w:r>
      <w:r w:rsidRPr="00DE366E">
        <w:rPr>
          <w:rFonts w:ascii="Garamond" w:hAnsi="Garamond"/>
          <w:i/>
          <w:sz w:val="22"/>
          <w:szCs w:val="22"/>
        </w:rPr>
        <w:t>Pianificazione e depianificazione</w:t>
      </w:r>
      <w:r w:rsidRPr="00DE366E">
        <w:rPr>
          <w:rFonts w:ascii="Garamond" w:hAnsi="Garamond"/>
          <w:sz w:val="22"/>
          <w:szCs w:val="22"/>
        </w:rPr>
        <w:t>), 2014, p. 157 ss.</w:t>
      </w:r>
    </w:p>
  </w:footnote>
  <w:footnote w:id="41">
    <w:p w14:paraId="0E3F048F" w14:textId="7C4C5DFD" w:rsidR="00232C01" w:rsidRPr="00DE366E" w:rsidRDefault="00232C01"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G. </w:t>
      </w:r>
      <w:r w:rsidR="00733676" w:rsidRPr="00DE366E">
        <w:rPr>
          <w:rFonts w:ascii="Garamond" w:hAnsi="Garamond" w:cs="Times New Roman (Corpo CS)"/>
          <w:smallCaps/>
          <w:sz w:val="22"/>
          <w:szCs w:val="22"/>
        </w:rPr>
        <w:t>CAMPOS</w:t>
      </w:r>
      <w:r w:rsidR="00733676" w:rsidRPr="00DE366E">
        <w:rPr>
          <w:rFonts w:ascii="Garamond" w:hAnsi="Garamond"/>
          <w:sz w:val="22"/>
          <w:szCs w:val="22"/>
        </w:rPr>
        <w:t xml:space="preserve"> </w:t>
      </w:r>
      <w:r w:rsidR="00733676" w:rsidRPr="00DE366E">
        <w:rPr>
          <w:rFonts w:ascii="Garamond" w:hAnsi="Garamond" w:cs="Times New Roman (Corpo CS)"/>
          <w:smallCaps/>
          <w:sz w:val="22"/>
          <w:szCs w:val="22"/>
        </w:rPr>
        <w:t>VENUTI</w:t>
      </w:r>
      <w:r w:rsidRPr="00DE366E">
        <w:rPr>
          <w:rFonts w:ascii="Garamond" w:hAnsi="Garamond"/>
          <w:sz w:val="22"/>
          <w:szCs w:val="22"/>
        </w:rPr>
        <w:t xml:space="preserve">, </w:t>
      </w:r>
      <w:r w:rsidRPr="00DE366E">
        <w:rPr>
          <w:rFonts w:ascii="Garamond" w:hAnsi="Garamond"/>
          <w:i/>
          <w:sz w:val="22"/>
          <w:szCs w:val="22"/>
        </w:rPr>
        <w:t>Urbanistica, polemica disciplinare e assenze politiche</w:t>
      </w:r>
      <w:r w:rsidRPr="00DE366E">
        <w:rPr>
          <w:rFonts w:ascii="Garamond" w:hAnsi="Garamond"/>
          <w:sz w:val="22"/>
          <w:szCs w:val="22"/>
        </w:rPr>
        <w:t xml:space="preserve">, in </w:t>
      </w:r>
      <w:r w:rsidRPr="00DE366E">
        <w:rPr>
          <w:rFonts w:ascii="Garamond" w:hAnsi="Garamond"/>
          <w:i/>
          <w:sz w:val="22"/>
          <w:szCs w:val="22"/>
        </w:rPr>
        <w:t>Urbanistica informazioni</w:t>
      </w:r>
      <w:r w:rsidRPr="00DE366E">
        <w:rPr>
          <w:rFonts w:ascii="Garamond" w:hAnsi="Garamond"/>
          <w:sz w:val="22"/>
          <w:szCs w:val="22"/>
        </w:rPr>
        <w:t>, 2013, n. 248, p. 5 ss</w:t>
      </w:r>
      <w:r w:rsidR="0005434D" w:rsidRPr="00DE366E">
        <w:rPr>
          <w:rFonts w:ascii="Garamond" w:hAnsi="Garamond"/>
          <w:sz w:val="22"/>
          <w:szCs w:val="22"/>
        </w:rPr>
        <w:t>.</w:t>
      </w:r>
      <w:r w:rsidRPr="00DE366E">
        <w:rPr>
          <w:rFonts w:ascii="Garamond" w:hAnsi="Garamond"/>
          <w:sz w:val="22"/>
          <w:szCs w:val="22"/>
        </w:rPr>
        <w:t>: «negli anni Sessanta la politica e l’intera società italiana si sono impegnate a fondo sulle scelte urbanistiche del Paese, purtroppo facendo quelle sbagliate; ma da allora, invece di tenere viva la questione e di riproporne le alternative, la politica e l’intera società hanno progressivamente accantonato il tema, che rappresenta oggi uno degli scheletri nell’armadio del nostro Paese. Mentre nel resto dell’Europa il governo del territorio restava all’ordine del giorno con soluzioni più o meno buone, ma che comunque davano una risposta alle richieste della società» (p.</w:t>
      </w:r>
      <w:r w:rsidR="0005434D" w:rsidRPr="00DE366E">
        <w:rPr>
          <w:rFonts w:ascii="Garamond" w:hAnsi="Garamond"/>
          <w:sz w:val="22"/>
          <w:szCs w:val="22"/>
        </w:rPr>
        <w:t xml:space="preserve"> 5)</w:t>
      </w:r>
      <w:r w:rsidRPr="00DE366E">
        <w:rPr>
          <w:rFonts w:ascii="Garamond" w:hAnsi="Garamond"/>
          <w:sz w:val="22"/>
          <w:szCs w:val="22"/>
        </w:rPr>
        <w:t>.</w:t>
      </w:r>
    </w:p>
  </w:footnote>
  <w:footnote w:id="42">
    <w:p w14:paraId="7F78BA11" w14:textId="7EEA03F1" w:rsidR="00120D07" w:rsidRPr="00DE366E" w:rsidRDefault="00120D0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P.L. </w:t>
      </w:r>
      <w:r w:rsidR="00733676" w:rsidRPr="00DE366E">
        <w:rPr>
          <w:rFonts w:ascii="Garamond" w:hAnsi="Garamond" w:cs="Times New Roman (Corpo CS)"/>
          <w:smallCaps/>
          <w:sz w:val="22"/>
          <w:szCs w:val="22"/>
        </w:rPr>
        <w:t>MANTINI</w:t>
      </w:r>
      <w:r w:rsidRPr="00DE366E">
        <w:rPr>
          <w:rFonts w:ascii="Garamond" w:hAnsi="Garamond"/>
          <w:sz w:val="22"/>
          <w:szCs w:val="22"/>
        </w:rPr>
        <w:t xml:space="preserve">, </w:t>
      </w:r>
      <w:r w:rsidRPr="00DE366E">
        <w:rPr>
          <w:rFonts w:ascii="Garamond" w:hAnsi="Garamond"/>
          <w:i/>
          <w:sz w:val="22"/>
          <w:szCs w:val="22"/>
        </w:rPr>
        <w:t>op. cit.</w:t>
      </w:r>
      <w:r w:rsidRPr="00DE366E">
        <w:rPr>
          <w:rFonts w:ascii="Garamond" w:hAnsi="Garamond"/>
          <w:sz w:val="22"/>
          <w:szCs w:val="22"/>
        </w:rPr>
        <w:t>, p. 194 s., secondo cui si deve «spingere oltre il nostro orizzonte per affermare che i tempi sono maturi per ripensare la categoria stessa di “governo del territorio” che è divenuta, nel tempo, troppo ampia e affollata di interessi differenziati, pubblici e privati, fino al punto di configurarsi come un “sottogoverno” che insidia, per dimensioni oggettive e soggettive, il governo a competenza generale (</w:t>
      </w:r>
      <w:r w:rsidRPr="00DE366E">
        <w:rPr>
          <w:rFonts w:ascii="Garamond" w:hAnsi="Garamond"/>
          <w:i/>
          <w:sz w:val="22"/>
          <w:szCs w:val="22"/>
        </w:rPr>
        <w:t>rectius</w:t>
      </w:r>
      <w:r w:rsidRPr="00DE366E">
        <w:rPr>
          <w:rFonts w:ascii="Garamond" w:hAnsi="Garamond"/>
          <w:sz w:val="22"/>
          <w:szCs w:val="22"/>
        </w:rPr>
        <w:t>, i livelli di governo)». Per cui – prosegue Mantini – «è giunto il momento di abbandonare la nozione stessa di “governo del territorio”: di destrutturarla, facendo emergere le materie che la compongono e ritrovando un più appropriato ed efficiente sistema di attribuzioni ad organizzazioni pubbliche e private».</w:t>
      </w:r>
    </w:p>
  </w:footnote>
  <w:footnote w:id="43">
    <w:p w14:paraId="40153F83" w14:textId="72A6228B" w:rsidR="00794B8D" w:rsidRPr="00DE366E" w:rsidRDefault="00794B8D"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Inserito dal d.l. 21 giugno 2013, n. 69, convertito con modificazioni dalla l. 9 agosto 2013, n. 98.</w:t>
      </w:r>
      <w:r w:rsidR="004B6913" w:rsidRPr="00DE366E">
        <w:rPr>
          <w:rFonts w:ascii="Garamond" w:hAnsi="Garamond"/>
          <w:sz w:val="22"/>
          <w:szCs w:val="22"/>
        </w:rPr>
        <w:t xml:space="preserve"> Questo il testo (riporto solo il </w:t>
      </w:r>
      <w:r w:rsidR="00B3485E" w:rsidRPr="00DE366E">
        <w:rPr>
          <w:rFonts w:ascii="Garamond" w:hAnsi="Garamond"/>
          <w:sz w:val="22"/>
          <w:szCs w:val="22"/>
        </w:rPr>
        <w:t xml:space="preserve">primo dei tre </w:t>
      </w:r>
      <w:r w:rsidR="004B6913" w:rsidRPr="00DE366E">
        <w:rPr>
          <w:rFonts w:ascii="Garamond" w:hAnsi="Garamond"/>
          <w:sz w:val="22"/>
          <w:szCs w:val="22"/>
        </w:rPr>
        <w:t>comm</w:t>
      </w:r>
      <w:r w:rsidR="00B3485E" w:rsidRPr="00DE366E">
        <w:rPr>
          <w:rFonts w:ascii="Garamond" w:hAnsi="Garamond"/>
          <w:sz w:val="22"/>
          <w:szCs w:val="22"/>
        </w:rPr>
        <w:t>i</w:t>
      </w:r>
      <w:r w:rsidR="004B6913" w:rsidRPr="00DE366E">
        <w:rPr>
          <w:rFonts w:ascii="Garamond" w:hAnsi="Garamond"/>
          <w:sz w:val="22"/>
          <w:szCs w:val="22"/>
        </w:rPr>
        <w:t xml:space="preserve">). </w:t>
      </w:r>
      <w:r w:rsidR="00E31477" w:rsidRPr="00DE366E">
        <w:rPr>
          <w:rFonts w:ascii="Garamond" w:hAnsi="Garamond"/>
          <w:sz w:val="22"/>
          <w:szCs w:val="22"/>
        </w:rPr>
        <w:t>«</w:t>
      </w:r>
      <w:r w:rsidR="004B6913" w:rsidRPr="00DE366E">
        <w:rPr>
          <w:rFonts w:ascii="Garamond" w:hAnsi="Garamond"/>
          <w:sz w:val="22"/>
          <w:szCs w:val="22"/>
        </w:rPr>
        <w:t>Art. 2-</w:t>
      </w:r>
      <w:r w:rsidR="004B6913" w:rsidRPr="00DE366E">
        <w:rPr>
          <w:rFonts w:ascii="Garamond" w:hAnsi="Garamond"/>
          <w:i/>
          <w:sz w:val="22"/>
          <w:szCs w:val="22"/>
        </w:rPr>
        <w:t>bis</w:t>
      </w:r>
      <w:r w:rsidR="004B6913" w:rsidRPr="00DE366E">
        <w:rPr>
          <w:rFonts w:ascii="Garamond" w:hAnsi="Garamond"/>
          <w:sz w:val="22"/>
          <w:szCs w:val="22"/>
        </w:rPr>
        <w:t>. (</w:t>
      </w:r>
      <w:r w:rsidR="004B6913" w:rsidRPr="00DE366E">
        <w:rPr>
          <w:rFonts w:ascii="Garamond" w:hAnsi="Garamond"/>
          <w:i/>
          <w:sz w:val="22"/>
          <w:szCs w:val="22"/>
        </w:rPr>
        <w:t>Deroghe in materia di limiti di distanza tra fabbricati</w:t>
      </w:r>
      <w:r w:rsidR="004B6913" w:rsidRPr="00DE366E">
        <w:rPr>
          <w:rFonts w:ascii="Garamond" w:hAnsi="Garamond"/>
          <w:sz w:val="22"/>
          <w:szCs w:val="22"/>
        </w:rPr>
        <w:t>) 1. Ferma restando la competenza statale in materia di ordinamento civile con riferimento al diritto di proprietà e alle connesse norme del codice civile e alle disposizioni integrative, le regioni e le province autonome di Trento e di Bolzano possono prevedere, con proprie leggi e regolamenti, disposizioni derogatorie al decreto del Ministro dei lavori pubblici 2 aprile 1968, n. 1444, e possono dettare disposizioni sugli spazi da destinare agli insediamenti residenziali, a quelli produttivi, a quelli riservati alle attività collettive, al verde e ai parcheggi, nell'ambito della definizione o revisione di strumenti urbanistici comunque funzionali a un assetto complessivo e unitario o di specifiche aree territoriali</w:t>
      </w:r>
      <w:r w:rsidR="00E31477" w:rsidRPr="00DE366E">
        <w:rPr>
          <w:rFonts w:ascii="Garamond" w:hAnsi="Garamond"/>
          <w:sz w:val="22"/>
          <w:szCs w:val="22"/>
        </w:rPr>
        <w:t>».</w:t>
      </w:r>
    </w:p>
  </w:footnote>
  <w:footnote w:id="44">
    <w:p w14:paraId="77E2053D" w14:textId="51361986" w:rsidR="009E5318" w:rsidRPr="00DE366E" w:rsidRDefault="009E5318"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La sentenza n. 179/’19 si occupa della l.r. Lombardia 28 novembre 2014, n. 31 (Disposizioni per la riduzione del consumo di suolo e per la riqualificazione del suolo degradato).</w:t>
      </w:r>
    </w:p>
    <w:p w14:paraId="11867BCB" w14:textId="1A6BD4A7" w:rsidR="009E5318" w:rsidRPr="00DE366E" w:rsidRDefault="009E5318" w:rsidP="008F04FA">
      <w:pPr>
        <w:pStyle w:val="Testonotaapidipagina"/>
        <w:contextualSpacing/>
        <w:jc w:val="both"/>
        <w:rPr>
          <w:rFonts w:ascii="Garamond" w:hAnsi="Garamond"/>
          <w:sz w:val="22"/>
          <w:szCs w:val="22"/>
        </w:rPr>
      </w:pPr>
      <w:r w:rsidRPr="00DE366E">
        <w:rPr>
          <w:rFonts w:ascii="Garamond" w:hAnsi="Garamond"/>
          <w:sz w:val="22"/>
          <w:szCs w:val="22"/>
        </w:rPr>
        <w:t xml:space="preserve">La Corte, pur pervenendo a una pronuncia di illegittimità costituzionale di una norma della legge, sottolinea positivamente che essa </w:t>
      </w:r>
      <w:r w:rsidR="002350F2" w:rsidRPr="00DE366E">
        <w:rPr>
          <w:rFonts w:ascii="Garamond" w:hAnsi="Garamond"/>
          <w:sz w:val="22"/>
          <w:szCs w:val="22"/>
        </w:rPr>
        <w:t xml:space="preserve">in generale </w:t>
      </w:r>
      <w:r w:rsidRPr="00DE366E">
        <w:rPr>
          <w:rFonts w:ascii="Garamond" w:hAnsi="Garamond"/>
          <w:sz w:val="22"/>
          <w:szCs w:val="22"/>
        </w:rPr>
        <w:t>«si distingue per aver definito il suolo come “bene comune di fondamentale importanza per l’equilibrio ambientale, la salvaguardia della salute, la produzione agricola finalizzata alla alimentazione umana e/o animale, la tutela degli ecosistemi naturali e la difesa dal dissesto idrogeologico” (art. 1, comma 2). La legge regionale quindi, nelle sue finalità generali, dimostra di inserirsi in un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 Si tratta di una prospettiva che risulta, peraltro, conforme – come correttamente ricorda la difesa della Regione Lombardia – agli indirizzi espressi in sede europea fin dalla comunicazione della Commissione del 22 settembre 2006, “Strategia tematica per la protezione del suolo”, e più recentemente dall’approvazione del cosiddetto Settimo programma di azione per l’ambiente (decisione n. 1386/2013/UE del Parlamento europeo e del Consiglio del 20 novembre 2013).».</w:t>
      </w:r>
    </w:p>
  </w:footnote>
  <w:footnote w:id="45">
    <w:p w14:paraId="7C1EBD1F" w14:textId="56146916" w:rsidR="00FB3E11" w:rsidRPr="00DE366E" w:rsidRDefault="00FB3E11"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G. </w:t>
      </w:r>
      <w:r w:rsidR="00733676" w:rsidRPr="00DE366E">
        <w:rPr>
          <w:rFonts w:ascii="Garamond" w:hAnsi="Garamond" w:cs="Times New Roman (Corpo CS)"/>
          <w:smallCaps/>
          <w:sz w:val="22"/>
          <w:szCs w:val="22"/>
        </w:rPr>
        <w:t>CAMPOS</w:t>
      </w:r>
      <w:r w:rsidR="00733676" w:rsidRPr="00DE366E">
        <w:rPr>
          <w:rFonts w:ascii="Garamond" w:hAnsi="Garamond"/>
          <w:sz w:val="22"/>
          <w:szCs w:val="22"/>
        </w:rPr>
        <w:t xml:space="preserve"> </w:t>
      </w:r>
      <w:r w:rsidR="00733676" w:rsidRPr="00DE366E">
        <w:rPr>
          <w:rFonts w:ascii="Garamond" w:hAnsi="Garamond" w:cs="Times New Roman (Corpo CS)"/>
          <w:smallCaps/>
          <w:sz w:val="22"/>
          <w:szCs w:val="22"/>
        </w:rPr>
        <w:t>VENUTI</w:t>
      </w:r>
      <w:r w:rsidRPr="00DE366E">
        <w:rPr>
          <w:rFonts w:ascii="Garamond" w:hAnsi="Garamond"/>
          <w:sz w:val="22"/>
          <w:szCs w:val="22"/>
        </w:rPr>
        <w:t xml:space="preserve">, </w:t>
      </w:r>
      <w:r w:rsidRPr="00DE366E">
        <w:rPr>
          <w:rFonts w:ascii="Garamond" w:hAnsi="Garamond"/>
          <w:i/>
          <w:sz w:val="22"/>
          <w:szCs w:val="22"/>
        </w:rPr>
        <w:t>Urbanistica, polemica disciplinare</w:t>
      </w:r>
      <w:r w:rsidRPr="00DE366E">
        <w:rPr>
          <w:rFonts w:ascii="Garamond" w:hAnsi="Garamond"/>
          <w:sz w:val="22"/>
          <w:szCs w:val="22"/>
        </w:rPr>
        <w:t>, cit., p. 5.</w:t>
      </w:r>
    </w:p>
  </w:footnote>
  <w:footnote w:id="46">
    <w:p w14:paraId="4E53C3FC" w14:textId="2394D81F" w:rsidR="00006FCA" w:rsidRPr="00DE366E" w:rsidRDefault="00006FCA"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733676" w:rsidRPr="00DE366E">
        <w:rPr>
          <w:rFonts w:ascii="Garamond" w:hAnsi="Garamond"/>
          <w:sz w:val="22"/>
          <w:szCs w:val="22"/>
        </w:rPr>
        <w:t xml:space="preserve">M. </w:t>
      </w:r>
      <w:r w:rsidR="00733676" w:rsidRPr="00DE366E">
        <w:rPr>
          <w:rFonts w:ascii="Garamond" w:hAnsi="Garamond" w:cs="Times New Roman (Corpo CS)"/>
          <w:smallCaps/>
          <w:sz w:val="22"/>
          <w:szCs w:val="22"/>
        </w:rPr>
        <w:t>CARDUCCI</w:t>
      </w:r>
      <w:r w:rsidRPr="00DE366E">
        <w:rPr>
          <w:rFonts w:ascii="Garamond" w:hAnsi="Garamond"/>
          <w:sz w:val="22"/>
          <w:szCs w:val="22"/>
        </w:rPr>
        <w:t xml:space="preserve">, </w:t>
      </w:r>
      <w:r w:rsidRPr="00DE366E">
        <w:rPr>
          <w:rFonts w:ascii="Garamond" w:hAnsi="Garamond"/>
          <w:i/>
          <w:sz w:val="22"/>
          <w:szCs w:val="22"/>
        </w:rPr>
        <w:t>Estrattivismo e nemico nell’era fossile del costituzionalismo</w:t>
      </w:r>
      <w:r w:rsidRPr="00DE366E">
        <w:rPr>
          <w:rFonts w:ascii="Garamond" w:hAnsi="Garamond"/>
          <w:sz w:val="22"/>
          <w:szCs w:val="22"/>
        </w:rPr>
        <w:t xml:space="preserve">, in </w:t>
      </w:r>
      <w:r w:rsidRPr="00DE366E">
        <w:rPr>
          <w:rFonts w:ascii="Garamond" w:hAnsi="Garamond"/>
          <w:i/>
          <w:sz w:val="22"/>
          <w:szCs w:val="22"/>
        </w:rPr>
        <w:t>Dir. pubbl. comp. eur.</w:t>
      </w:r>
      <w:r w:rsidRPr="00DE366E">
        <w:rPr>
          <w:rFonts w:ascii="Garamond" w:hAnsi="Garamond"/>
          <w:sz w:val="22"/>
          <w:szCs w:val="22"/>
        </w:rPr>
        <w:t>, fasc. spec. maggio 2019, delinea le basi costituzionali della predazione di risorse naturali in funzione di interessi economici.</w:t>
      </w:r>
    </w:p>
  </w:footnote>
  <w:footnote w:id="47">
    <w:p w14:paraId="11F43842" w14:textId="391D38B4" w:rsidR="00E14FE7" w:rsidRPr="00DE366E" w:rsidRDefault="00E14FE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Cfr. </w:t>
      </w:r>
      <w:r w:rsidR="00733676" w:rsidRPr="00DE366E">
        <w:rPr>
          <w:rFonts w:ascii="Garamond" w:hAnsi="Garamond"/>
          <w:sz w:val="22"/>
          <w:szCs w:val="22"/>
        </w:rPr>
        <w:t xml:space="preserve">F. </w:t>
      </w:r>
      <w:r w:rsidR="00733676" w:rsidRPr="00DE366E">
        <w:rPr>
          <w:rFonts w:ascii="Garamond" w:hAnsi="Garamond" w:cs="Times New Roman (Corpo CS)"/>
          <w:smallCaps/>
          <w:sz w:val="22"/>
          <w:szCs w:val="22"/>
        </w:rPr>
        <w:t>CAPRA</w:t>
      </w:r>
      <w:r w:rsidR="00733676" w:rsidRPr="00DE366E">
        <w:rPr>
          <w:rFonts w:ascii="Garamond" w:hAnsi="Garamond"/>
          <w:sz w:val="22"/>
          <w:szCs w:val="22"/>
        </w:rPr>
        <w:t xml:space="preserve"> – U. </w:t>
      </w:r>
      <w:r w:rsidR="00733676" w:rsidRPr="00DE366E">
        <w:rPr>
          <w:rFonts w:ascii="Garamond" w:hAnsi="Garamond" w:cs="Times New Roman (Corpo CS)"/>
          <w:smallCaps/>
          <w:sz w:val="22"/>
          <w:szCs w:val="22"/>
        </w:rPr>
        <w:t>MATTEI</w:t>
      </w:r>
      <w:r w:rsidRPr="00DE366E">
        <w:rPr>
          <w:rFonts w:ascii="Garamond" w:hAnsi="Garamond"/>
          <w:sz w:val="22"/>
          <w:szCs w:val="22"/>
        </w:rPr>
        <w:t xml:space="preserve">, </w:t>
      </w:r>
      <w:r w:rsidRPr="00DE366E">
        <w:rPr>
          <w:rFonts w:ascii="Garamond" w:hAnsi="Garamond"/>
          <w:i/>
          <w:sz w:val="22"/>
          <w:szCs w:val="22"/>
        </w:rPr>
        <w:t>Ecologia del diritto. Scienza, politica, beni comuni</w:t>
      </w:r>
      <w:r w:rsidRPr="00DE366E">
        <w:rPr>
          <w:rFonts w:ascii="Garamond" w:hAnsi="Garamond"/>
          <w:sz w:val="22"/>
          <w:szCs w:val="22"/>
        </w:rPr>
        <w:t>, 2017, Sansepolcro, p. 37.</w:t>
      </w:r>
    </w:p>
  </w:footnote>
  <w:footnote w:id="48">
    <w:p w14:paraId="07628952" w14:textId="66ED9E17" w:rsidR="00976443" w:rsidRPr="00DE366E" w:rsidRDefault="00976443"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Una dettagliata analisi in </w:t>
      </w:r>
      <w:r w:rsidR="00733676" w:rsidRPr="00DE366E">
        <w:rPr>
          <w:rFonts w:ascii="Garamond" w:hAnsi="Garamond"/>
          <w:sz w:val="22"/>
          <w:szCs w:val="22"/>
        </w:rPr>
        <w:t xml:space="preserve">F. </w:t>
      </w:r>
      <w:r w:rsidR="00733676" w:rsidRPr="00DE366E">
        <w:rPr>
          <w:rFonts w:ascii="Garamond" w:hAnsi="Garamond" w:cs="Times New Roman (Corpo CS)"/>
          <w:smallCaps/>
          <w:sz w:val="22"/>
          <w:szCs w:val="22"/>
        </w:rPr>
        <w:t>FERRONI</w:t>
      </w:r>
      <w:r w:rsidR="00733676" w:rsidRPr="00DE366E">
        <w:rPr>
          <w:rFonts w:ascii="Garamond" w:hAnsi="Garamond"/>
          <w:sz w:val="22"/>
          <w:szCs w:val="22"/>
        </w:rPr>
        <w:t xml:space="preserve"> – B. </w:t>
      </w:r>
      <w:r w:rsidR="00733676" w:rsidRPr="00DE366E">
        <w:rPr>
          <w:rFonts w:ascii="Garamond" w:hAnsi="Garamond" w:cs="Times New Roman (Corpo CS)"/>
          <w:smallCaps/>
          <w:sz w:val="22"/>
          <w:szCs w:val="22"/>
        </w:rPr>
        <w:t>ROMANO</w:t>
      </w:r>
      <w:r w:rsidRPr="00DE366E">
        <w:rPr>
          <w:rFonts w:ascii="Garamond" w:hAnsi="Garamond"/>
          <w:sz w:val="22"/>
          <w:szCs w:val="22"/>
        </w:rPr>
        <w:t xml:space="preserve"> (a cura di), </w:t>
      </w:r>
      <w:r w:rsidRPr="00DE366E">
        <w:rPr>
          <w:rFonts w:ascii="Garamond" w:hAnsi="Garamond"/>
          <w:i/>
          <w:sz w:val="22"/>
          <w:szCs w:val="22"/>
        </w:rPr>
        <w:t>Biodiversità, consumo di suolo e reti ecologiche. La conservazione della natura nel governo del territorio</w:t>
      </w:r>
      <w:r w:rsidRPr="00DE366E">
        <w:rPr>
          <w:rFonts w:ascii="Garamond" w:hAnsi="Garamond"/>
          <w:sz w:val="22"/>
          <w:szCs w:val="22"/>
        </w:rPr>
        <w:t>, Penne, 2010.</w:t>
      </w:r>
    </w:p>
  </w:footnote>
  <w:footnote w:id="49">
    <w:p w14:paraId="6A32B3E1" w14:textId="07534373" w:rsidR="00935D17" w:rsidRPr="00DE366E" w:rsidRDefault="00935D17" w:rsidP="008F04FA">
      <w:pPr>
        <w:pStyle w:val="Testonotaapidipagina"/>
        <w:contextualSpacing/>
        <w:jc w:val="both"/>
        <w:rPr>
          <w:rFonts w:ascii="Garamond" w:hAnsi="Garamond"/>
          <w:sz w:val="22"/>
          <w:szCs w:val="22"/>
        </w:rPr>
      </w:pPr>
      <w:r w:rsidRPr="00DE366E">
        <w:rPr>
          <w:rFonts w:ascii="Garamond" w:hAnsi="Garamond"/>
          <w:sz w:val="22"/>
          <w:szCs w:val="22"/>
          <w:vertAlign w:val="superscript"/>
        </w:rPr>
        <w:footnoteRef/>
      </w:r>
      <w:r w:rsidRPr="00DE366E">
        <w:rPr>
          <w:rFonts w:ascii="Garamond" w:hAnsi="Garamond"/>
          <w:sz w:val="22"/>
          <w:szCs w:val="22"/>
        </w:rPr>
        <w:t xml:space="preserve"> </w:t>
      </w:r>
      <w:r w:rsidR="00AF45AB" w:rsidRPr="00DE366E">
        <w:rPr>
          <w:rFonts w:ascii="Garamond" w:hAnsi="Garamond" w:cs="Times New Roman (Corpo CS)"/>
          <w:smallCaps/>
          <w:sz w:val="22"/>
          <w:szCs w:val="22"/>
        </w:rPr>
        <w:t>M. CARTABIA</w:t>
      </w:r>
      <w:r w:rsidR="00AF45AB" w:rsidRPr="00DE366E">
        <w:rPr>
          <w:rFonts w:ascii="Garamond" w:hAnsi="Garamond"/>
          <w:sz w:val="22"/>
          <w:szCs w:val="22"/>
        </w:rPr>
        <w:t xml:space="preserve">, </w:t>
      </w:r>
      <w:r w:rsidRPr="00DE366E">
        <w:rPr>
          <w:rFonts w:ascii="Garamond" w:hAnsi="Garamond"/>
          <w:i/>
          <w:sz w:val="22"/>
          <w:szCs w:val="22"/>
        </w:rPr>
        <w:t>La Corte costituzionale nella nuova età dei diritti</w:t>
      </w:r>
      <w:r w:rsidRPr="00DE366E">
        <w:rPr>
          <w:rFonts w:ascii="Garamond" w:hAnsi="Garamond"/>
          <w:sz w:val="22"/>
          <w:szCs w:val="22"/>
        </w:rPr>
        <w:t xml:space="preserve">, in </w:t>
      </w:r>
      <w:r w:rsidRPr="00DE366E">
        <w:rPr>
          <w:rFonts w:ascii="Garamond" w:hAnsi="Garamond"/>
          <w:i/>
          <w:sz w:val="22"/>
          <w:szCs w:val="22"/>
        </w:rPr>
        <w:t>Il Mulino</w:t>
      </w:r>
      <w:r w:rsidRPr="00DE366E">
        <w:rPr>
          <w:rFonts w:ascii="Garamond" w:hAnsi="Garamond"/>
          <w:sz w:val="22"/>
          <w:szCs w:val="22"/>
        </w:rPr>
        <w:t>, 2/2013.</w:t>
      </w:r>
    </w:p>
  </w:footnote>
  <w:footnote w:id="50">
    <w:p w14:paraId="796641C4" w14:textId="6C95706A" w:rsidR="005C018C" w:rsidRPr="00DE366E" w:rsidRDefault="005C018C"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AF45AB" w:rsidRPr="00DE366E">
        <w:rPr>
          <w:rFonts w:ascii="Garamond" w:hAnsi="Garamond"/>
          <w:sz w:val="22"/>
          <w:szCs w:val="22"/>
        </w:rPr>
        <w:t xml:space="preserve">S. </w:t>
      </w:r>
      <w:r w:rsidR="00AF45AB" w:rsidRPr="00DE366E">
        <w:rPr>
          <w:rFonts w:ascii="Garamond" w:hAnsi="Garamond" w:cs="Times New Roman (Corpo CS)"/>
          <w:smallCaps/>
          <w:sz w:val="22"/>
          <w:szCs w:val="22"/>
        </w:rPr>
        <w:t>CASTIGNONE</w:t>
      </w:r>
      <w:r w:rsidR="00AF45AB" w:rsidRPr="00DE366E">
        <w:rPr>
          <w:rFonts w:ascii="Garamond" w:hAnsi="Garamond"/>
          <w:sz w:val="22"/>
          <w:szCs w:val="22"/>
        </w:rPr>
        <w:t xml:space="preserve"> – L. </w:t>
      </w:r>
      <w:r w:rsidR="00AF45AB" w:rsidRPr="00DE366E">
        <w:rPr>
          <w:rFonts w:ascii="Garamond" w:hAnsi="Garamond" w:cs="Times New Roman (Corpo CS)"/>
          <w:smallCaps/>
          <w:sz w:val="22"/>
          <w:szCs w:val="22"/>
        </w:rPr>
        <w:t>LOMBARDI VALLAURI</w:t>
      </w:r>
      <w:r w:rsidRPr="00DE366E">
        <w:rPr>
          <w:rFonts w:ascii="Garamond" w:hAnsi="Garamond"/>
          <w:sz w:val="22"/>
          <w:szCs w:val="22"/>
        </w:rPr>
        <w:t xml:space="preserve">, </w:t>
      </w:r>
      <w:r w:rsidRPr="00DE366E">
        <w:rPr>
          <w:rFonts w:ascii="Garamond" w:hAnsi="Garamond"/>
          <w:i/>
          <w:sz w:val="22"/>
          <w:szCs w:val="22"/>
        </w:rPr>
        <w:t>Introduzione</w:t>
      </w:r>
      <w:r w:rsidRPr="00DE366E">
        <w:rPr>
          <w:rFonts w:ascii="Garamond" w:hAnsi="Garamond"/>
          <w:sz w:val="22"/>
          <w:szCs w:val="22"/>
        </w:rPr>
        <w:t xml:space="preserve"> a </w:t>
      </w:r>
      <w:r w:rsidR="00AF45AB" w:rsidRPr="00DE366E">
        <w:rPr>
          <w:rFonts w:ascii="Garamond" w:hAnsi="Garamond"/>
          <w:sz w:val="22"/>
          <w:szCs w:val="22"/>
        </w:rPr>
        <w:t xml:space="preserve">S. </w:t>
      </w:r>
      <w:r w:rsidR="00AF45AB" w:rsidRPr="00DE366E">
        <w:rPr>
          <w:rFonts w:ascii="Garamond" w:hAnsi="Garamond" w:cs="Times New Roman (Corpo CS)"/>
          <w:smallCaps/>
          <w:sz w:val="22"/>
          <w:szCs w:val="22"/>
        </w:rPr>
        <w:t>CASTIGNONE</w:t>
      </w:r>
      <w:r w:rsidR="00AF45AB" w:rsidRPr="00DE366E">
        <w:rPr>
          <w:rFonts w:ascii="Garamond" w:hAnsi="Garamond"/>
          <w:sz w:val="22"/>
          <w:szCs w:val="22"/>
        </w:rPr>
        <w:t xml:space="preserve"> – L. </w:t>
      </w:r>
      <w:r w:rsidR="00AF45AB" w:rsidRPr="00DE366E">
        <w:rPr>
          <w:rFonts w:ascii="Garamond" w:hAnsi="Garamond" w:cs="Times New Roman (Corpo CS)"/>
          <w:smallCaps/>
          <w:sz w:val="22"/>
          <w:szCs w:val="22"/>
        </w:rPr>
        <w:t>LOMBARDI VALLAURI</w:t>
      </w:r>
      <w:r w:rsidRPr="00DE366E">
        <w:rPr>
          <w:rFonts w:ascii="Garamond" w:hAnsi="Garamond"/>
          <w:sz w:val="22"/>
          <w:szCs w:val="22"/>
        </w:rPr>
        <w:t xml:space="preserve"> (a cura di), </w:t>
      </w:r>
      <w:r w:rsidRPr="00DE366E">
        <w:rPr>
          <w:rFonts w:ascii="Garamond" w:hAnsi="Garamond"/>
          <w:i/>
          <w:sz w:val="22"/>
          <w:szCs w:val="22"/>
        </w:rPr>
        <w:t>La questione animale</w:t>
      </w:r>
      <w:r w:rsidRPr="00DE366E">
        <w:rPr>
          <w:rFonts w:ascii="Garamond" w:hAnsi="Garamond"/>
          <w:sz w:val="22"/>
          <w:szCs w:val="22"/>
        </w:rPr>
        <w:t xml:space="preserve">, Milano, 2012, p. LI: «Nella misura in cui l’uomo si distanzia, per intelletto e cultura, dalle altre specie senzienti, in quella precisa misura si accrescono la sua responsabilità e i suoi doveri. </w:t>
      </w:r>
      <w:r w:rsidRPr="00DE366E">
        <w:rPr>
          <w:rFonts w:ascii="Garamond" w:hAnsi="Garamond"/>
          <w:i/>
          <w:sz w:val="22"/>
          <w:szCs w:val="22"/>
        </w:rPr>
        <w:t>Noblesse oblige</w:t>
      </w:r>
      <w:r w:rsidRPr="00DE366E">
        <w:rPr>
          <w:rFonts w:ascii="Garamond" w:hAnsi="Garamond"/>
          <w:sz w:val="22"/>
          <w:szCs w:val="22"/>
        </w:rPr>
        <w:t xml:space="preserve"> e non </w:t>
      </w:r>
      <w:r w:rsidRPr="00DE366E">
        <w:rPr>
          <w:rFonts w:ascii="Garamond" w:hAnsi="Garamond"/>
          <w:i/>
          <w:sz w:val="22"/>
          <w:szCs w:val="22"/>
        </w:rPr>
        <w:t>noblesse exempte</w:t>
      </w:r>
      <w:r w:rsidRPr="00DE366E">
        <w:rPr>
          <w:rFonts w:ascii="Garamond" w:hAnsi="Garamond"/>
          <w:sz w:val="22"/>
          <w:szCs w:val="22"/>
        </w:rPr>
        <w:t>».</w:t>
      </w:r>
    </w:p>
  </w:footnote>
  <w:footnote w:id="51">
    <w:p w14:paraId="5AD56CB1" w14:textId="3FC40FE0" w:rsidR="001E6AF7" w:rsidRPr="00DE366E" w:rsidRDefault="001E6AF7" w:rsidP="008F04FA">
      <w:pPr>
        <w:pStyle w:val="Testonotaapidipagina"/>
        <w:contextualSpacing/>
        <w:jc w:val="both"/>
        <w:rPr>
          <w:rFonts w:ascii="Garamond" w:hAnsi="Garamond"/>
          <w:sz w:val="22"/>
          <w:szCs w:val="22"/>
        </w:rPr>
      </w:pPr>
      <w:r w:rsidRPr="00DE366E">
        <w:rPr>
          <w:rStyle w:val="Rimandonotaapidipagina"/>
          <w:rFonts w:ascii="Garamond" w:hAnsi="Garamond"/>
          <w:sz w:val="22"/>
          <w:szCs w:val="22"/>
        </w:rPr>
        <w:footnoteRef/>
      </w:r>
      <w:r w:rsidRPr="00DE366E">
        <w:rPr>
          <w:rFonts w:ascii="Garamond" w:hAnsi="Garamond"/>
          <w:sz w:val="22"/>
          <w:szCs w:val="22"/>
        </w:rPr>
        <w:t xml:space="preserve"> </w:t>
      </w:r>
      <w:r w:rsidR="00AF45AB" w:rsidRPr="00DE366E">
        <w:rPr>
          <w:rFonts w:ascii="Garamond" w:hAnsi="Garamond"/>
          <w:sz w:val="22"/>
          <w:szCs w:val="22"/>
        </w:rPr>
        <w:t xml:space="preserve">L. </w:t>
      </w:r>
      <w:r w:rsidR="00AF45AB" w:rsidRPr="00DE366E">
        <w:rPr>
          <w:rFonts w:ascii="Garamond" w:hAnsi="Garamond" w:cs="Times New Roman (Corpo CS)"/>
          <w:smallCaps/>
          <w:sz w:val="22"/>
          <w:szCs w:val="22"/>
        </w:rPr>
        <w:t>CAFFO</w:t>
      </w:r>
      <w:r w:rsidR="00FB50EF" w:rsidRPr="00DE366E">
        <w:rPr>
          <w:rFonts w:ascii="Garamond" w:hAnsi="Garamond"/>
          <w:sz w:val="22"/>
          <w:szCs w:val="22"/>
        </w:rPr>
        <w:t xml:space="preserve">, </w:t>
      </w:r>
      <w:r w:rsidR="00FB50EF" w:rsidRPr="00DE366E">
        <w:rPr>
          <w:rFonts w:ascii="Garamond" w:hAnsi="Garamond"/>
          <w:i/>
          <w:sz w:val="22"/>
          <w:szCs w:val="22"/>
        </w:rPr>
        <w:t>Urbanistica, filosofia e pseudo-problemi ambientali</w:t>
      </w:r>
      <w:r w:rsidR="00FB50EF" w:rsidRPr="00DE366E">
        <w:rPr>
          <w:rFonts w:ascii="Garamond" w:hAnsi="Garamond"/>
          <w:sz w:val="22"/>
          <w:szCs w:val="22"/>
        </w:rPr>
        <w:t xml:space="preserve">, </w:t>
      </w:r>
      <w:r w:rsidR="007A7459" w:rsidRPr="00DE366E">
        <w:rPr>
          <w:rFonts w:ascii="Garamond" w:hAnsi="Garamond"/>
          <w:sz w:val="22"/>
          <w:szCs w:val="22"/>
        </w:rPr>
        <w:t xml:space="preserve">in </w:t>
      </w:r>
      <w:r w:rsidR="007A7459" w:rsidRPr="00DE366E">
        <w:rPr>
          <w:rFonts w:ascii="Garamond" w:hAnsi="Garamond"/>
          <w:i/>
          <w:sz w:val="22"/>
          <w:szCs w:val="22"/>
        </w:rPr>
        <w:t>Urbanistica informazioni</w:t>
      </w:r>
      <w:r w:rsidR="007A7459" w:rsidRPr="00DE366E">
        <w:rPr>
          <w:rFonts w:ascii="Garamond" w:hAnsi="Garamond"/>
          <w:sz w:val="22"/>
          <w:szCs w:val="22"/>
        </w:rPr>
        <w:t>, 2016, p. 47 ss.</w:t>
      </w:r>
      <w:r w:rsidR="00FB50EF" w:rsidRPr="00DE366E">
        <w:rPr>
          <w:rFonts w:ascii="Garamond" w:hAnsi="Garamond"/>
          <w:sz w:val="22"/>
          <w:szCs w:val="22"/>
        </w:rPr>
        <w:t>:</w:t>
      </w:r>
      <w:r w:rsidR="0036494F" w:rsidRPr="00DE366E">
        <w:rPr>
          <w:rFonts w:ascii="Garamond" w:hAnsi="Garamond"/>
          <w:sz w:val="22"/>
          <w:szCs w:val="22"/>
        </w:rPr>
        <w:t xml:space="preserve"> </w:t>
      </w:r>
      <w:r w:rsidR="00FB50EF" w:rsidRPr="00DE366E">
        <w:rPr>
          <w:rFonts w:ascii="Garamond" w:hAnsi="Garamond"/>
          <w:sz w:val="22"/>
          <w:szCs w:val="22"/>
        </w:rPr>
        <w:t>«</w:t>
      </w:r>
      <w:r w:rsidRPr="00DE366E">
        <w:rPr>
          <w:rFonts w:ascii="Garamond" w:hAnsi="Garamond"/>
          <w:sz w:val="22"/>
          <w:szCs w:val="22"/>
        </w:rPr>
        <w:t>La questione ambientale è uno pseudo-problema perché in realtà, anche nelle forme più radicali di ecologie, è sempre della questione umana che stiamo discutendo. L’idea che la nostra preoccupazione derivi anche dalla possibile diminuzione della biodiversità è falsa, se non in relazione al fatto quasi banale secondo cui una consistente perdita di biodiversità significa anche perdita della nostra stessa vita</w:t>
      </w:r>
      <w:r w:rsidR="00FB50EF" w:rsidRPr="00DE366E">
        <w:rPr>
          <w:rFonts w:ascii="Garamond" w:hAnsi="Garamond"/>
          <w:sz w:val="22"/>
          <w:szCs w:val="22"/>
        </w:rPr>
        <w:t>»</w:t>
      </w:r>
      <w:r w:rsidRPr="00DE366E">
        <w:rPr>
          <w:rFonts w:ascii="Garamond" w:hAnsi="Garamond"/>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CCA9E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99C0226"/>
    <w:lvl w:ilvl="0">
      <w:start w:val="1"/>
      <w:numFmt w:val="bullet"/>
      <w:pStyle w:val="Puntoelenco"/>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CB"/>
    <w:rsid w:val="00000FF5"/>
    <w:rsid w:val="00002C78"/>
    <w:rsid w:val="000037F8"/>
    <w:rsid w:val="00003847"/>
    <w:rsid w:val="00004BE8"/>
    <w:rsid w:val="00005583"/>
    <w:rsid w:val="00006FCA"/>
    <w:rsid w:val="0001074B"/>
    <w:rsid w:val="0001213A"/>
    <w:rsid w:val="00012B60"/>
    <w:rsid w:val="000134C4"/>
    <w:rsid w:val="000145B2"/>
    <w:rsid w:val="00014608"/>
    <w:rsid w:val="00014FA6"/>
    <w:rsid w:val="000164C1"/>
    <w:rsid w:val="00017453"/>
    <w:rsid w:val="00017FC1"/>
    <w:rsid w:val="00020034"/>
    <w:rsid w:val="00020D5E"/>
    <w:rsid w:val="00021422"/>
    <w:rsid w:val="00021624"/>
    <w:rsid w:val="00021EE7"/>
    <w:rsid w:val="0002306A"/>
    <w:rsid w:val="00023817"/>
    <w:rsid w:val="00024CBB"/>
    <w:rsid w:val="00024D67"/>
    <w:rsid w:val="0002741C"/>
    <w:rsid w:val="000308EA"/>
    <w:rsid w:val="00031E6C"/>
    <w:rsid w:val="00032D3C"/>
    <w:rsid w:val="00032F47"/>
    <w:rsid w:val="00032FBF"/>
    <w:rsid w:val="00033030"/>
    <w:rsid w:val="00033149"/>
    <w:rsid w:val="00033560"/>
    <w:rsid w:val="0003449E"/>
    <w:rsid w:val="000355C1"/>
    <w:rsid w:val="00037441"/>
    <w:rsid w:val="00037DEB"/>
    <w:rsid w:val="000414FF"/>
    <w:rsid w:val="0004246F"/>
    <w:rsid w:val="00044B28"/>
    <w:rsid w:val="00044C3C"/>
    <w:rsid w:val="00046123"/>
    <w:rsid w:val="0004673E"/>
    <w:rsid w:val="000474E3"/>
    <w:rsid w:val="000507D0"/>
    <w:rsid w:val="0005203B"/>
    <w:rsid w:val="000526FB"/>
    <w:rsid w:val="000530D3"/>
    <w:rsid w:val="000534F8"/>
    <w:rsid w:val="0005434D"/>
    <w:rsid w:val="00054A80"/>
    <w:rsid w:val="0005596C"/>
    <w:rsid w:val="00056201"/>
    <w:rsid w:val="00057E3A"/>
    <w:rsid w:val="00057F1C"/>
    <w:rsid w:val="000605B2"/>
    <w:rsid w:val="00061947"/>
    <w:rsid w:val="0006382D"/>
    <w:rsid w:val="00063BFC"/>
    <w:rsid w:val="00064092"/>
    <w:rsid w:val="000646E3"/>
    <w:rsid w:val="00064E6B"/>
    <w:rsid w:val="000650EC"/>
    <w:rsid w:val="0006514E"/>
    <w:rsid w:val="00070B8E"/>
    <w:rsid w:val="00070C9B"/>
    <w:rsid w:val="000712EA"/>
    <w:rsid w:val="00072967"/>
    <w:rsid w:val="000739CB"/>
    <w:rsid w:val="00073CD1"/>
    <w:rsid w:val="00075C38"/>
    <w:rsid w:val="00075F4A"/>
    <w:rsid w:val="00076D79"/>
    <w:rsid w:val="0007764E"/>
    <w:rsid w:val="00081304"/>
    <w:rsid w:val="00081714"/>
    <w:rsid w:val="00081B0C"/>
    <w:rsid w:val="00081D9D"/>
    <w:rsid w:val="000827F9"/>
    <w:rsid w:val="0008373E"/>
    <w:rsid w:val="00085882"/>
    <w:rsid w:val="00085C19"/>
    <w:rsid w:val="00085E45"/>
    <w:rsid w:val="00092412"/>
    <w:rsid w:val="000940DC"/>
    <w:rsid w:val="00095CF9"/>
    <w:rsid w:val="00095D90"/>
    <w:rsid w:val="0009693C"/>
    <w:rsid w:val="000A174B"/>
    <w:rsid w:val="000A26A7"/>
    <w:rsid w:val="000A28D6"/>
    <w:rsid w:val="000A2983"/>
    <w:rsid w:val="000A3641"/>
    <w:rsid w:val="000A39D5"/>
    <w:rsid w:val="000A590A"/>
    <w:rsid w:val="000A5DE5"/>
    <w:rsid w:val="000A5EAB"/>
    <w:rsid w:val="000B0045"/>
    <w:rsid w:val="000B0B06"/>
    <w:rsid w:val="000B0F6E"/>
    <w:rsid w:val="000B12ED"/>
    <w:rsid w:val="000B61CF"/>
    <w:rsid w:val="000B7864"/>
    <w:rsid w:val="000C1DF8"/>
    <w:rsid w:val="000C2089"/>
    <w:rsid w:val="000C28BC"/>
    <w:rsid w:val="000C2AF8"/>
    <w:rsid w:val="000C3AB0"/>
    <w:rsid w:val="000C4B2A"/>
    <w:rsid w:val="000C50DA"/>
    <w:rsid w:val="000C628E"/>
    <w:rsid w:val="000C62A8"/>
    <w:rsid w:val="000D08BE"/>
    <w:rsid w:val="000D19E0"/>
    <w:rsid w:val="000D36B8"/>
    <w:rsid w:val="000D3F2F"/>
    <w:rsid w:val="000D4A28"/>
    <w:rsid w:val="000D4BE4"/>
    <w:rsid w:val="000D6F3D"/>
    <w:rsid w:val="000E0789"/>
    <w:rsid w:val="000E0C0E"/>
    <w:rsid w:val="000E1094"/>
    <w:rsid w:val="000E12A8"/>
    <w:rsid w:val="000E370D"/>
    <w:rsid w:val="000E3ADE"/>
    <w:rsid w:val="000E69A5"/>
    <w:rsid w:val="000F1397"/>
    <w:rsid w:val="000F34A5"/>
    <w:rsid w:val="000F4968"/>
    <w:rsid w:val="000F5487"/>
    <w:rsid w:val="000F5B69"/>
    <w:rsid w:val="000F5E07"/>
    <w:rsid w:val="000F7230"/>
    <w:rsid w:val="001004DD"/>
    <w:rsid w:val="001019F5"/>
    <w:rsid w:val="001020D6"/>
    <w:rsid w:val="00102571"/>
    <w:rsid w:val="001035B1"/>
    <w:rsid w:val="0010361A"/>
    <w:rsid w:val="00103A03"/>
    <w:rsid w:val="001050DF"/>
    <w:rsid w:val="001057DD"/>
    <w:rsid w:val="00105813"/>
    <w:rsid w:val="001072A8"/>
    <w:rsid w:val="00107892"/>
    <w:rsid w:val="00107B24"/>
    <w:rsid w:val="00110E20"/>
    <w:rsid w:val="0011299A"/>
    <w:rsid w:val="00115F39"/>
    <w:rsid w:val="001167D3"/>
    <w:rsid w:val="00120239"/>
    <w:rsid w:val="001209D8"/>
    <w:rsid w:val="00120D07"/>
    <w:rsid w:val="00121F82"/>
    <w:rsid w:val="00122452"/>
    <w:rsid w:val="00123927"/>
    <w:rsid w:val="00123FFD"/>
    <w:rsid w:val="00124387"/>
    <w:rsid w:val="00124522"/>
    <w:rsid w:val="00127FCB"/>
    <w:rsid w:val="00131590"/>
    <w:rsid w:val="00131E97"/>
    <w:rsid w:val="00133631"/>
    <w:rsid w:val="00135A54"/>
    <w:rsid w:val="0014257C"/>
    <w:rsid w:val="00142C7E"/>
    <w:rsid w:val="00144A9C"/>
    <w:rsid w:val="001456F4"/>
    <w:rsid w:val="001460F5"/>
    <w:rsid w:val="00152158"/>
    <w:rsid w:val="001524E2"/>
    <w:rsid w:val="00153211"/>
    <w:rsid w:val="001535A8"/>
    <w:rsid w:val="001544A0"/>
    <w:rsid w:val="00155718"/>
    <w:rsid w:val="0015645F"/>
    <w:rsid w:val="00160844"/>
    <w:rsid w:val="00160D81"/>
    <w:rsid w:val="00162BB9"/>
    <w:rsid w:val="00163303"/>
    <w:rsid w:val="00163ED4"/>
    <w:rsid w:val="00164DA2"/>
    <w:rsid w:val="00164ED1"/>
    <w:rsid w:val="00165C0D"/>
    <w:rsid w:val="001665C4"/>
    <w:rsid w:val="001666A8"/>
    <w:rsid w:val="00167EAD"/>
    <w:rsid w:val="00172606"/>
    <w:rsid w:val="00172E2C"/>
    <w:rsid w:val="00174143"/>
    <w:rsid w:val="0017540B"/>
    <w:rsid w:val="001764EA"/>
    <w:rsid w:val="00176767"/>
    <w:rsid w:val="00176CDA"/>
    <w:rsid w:val="00181654"/>
    <w:rsid w:val="00183808"/>
    <w:rsid w:val="001838D2"/>
    <w:rsid w:val="0018669B"/>
    <w:rsid w:val="00186B2D"/>
    <w:rsid w:val="00187951"/>
    <w:rsid w:val="0019018B"/>
    <w:rsid w:val="00190315"/>
    <w:rsid w:val="0019037F"/>
    <w:rsid w:val="001909D3"/>
    <w:rsid w:val="0019150A"/>
    <w:rsid w:val="00192534"/>
    <w:rsid w:val="001932D3"/>
    <w:rsid w:val="00193E0C"/>
    <w:rsid w:val="001945BE"/>
    <w:rsid w:val="00196767"/>
    <w:rsid w:val="00196F8C"/>
    <w:rsid w:val="001A0A03"/>
    <w:rsid w:val="001A2C15"/>
    <w:rsid w:val="001A2F9A"/>
    <w:rsid w:val="001A71B2"/>
    <w:rsid w:val="001B0176"/>
    <w:rsid w:val="001B109C"/>
    <w:rsid w:val="001B1114"/>
    <w:rsid w:val="001B198D"/>
    <w:rsid w:val="001B27B4"/>
    <w:rsid w:val="001B4BF3"/>
    <w:rsid w:val="001B6802"/>
    <w:rsid w:val="001B6CF4"/>
    <w:rsid w:val="001B767E"/>
    <w:rsid w:val="001C0AF2"/>
    <w:rsid w:val="001C0DAA"/>
    <w:rsid w:val="001C16D0"/>
    <w:rsid w:val="001C532A"/>
    <w:rsid w:val="001C645A"/>
    <w:rsid w:val="001C6FD8"/>
    <w:rsid w:val="001C7E85"/>
    <w:rsid w:val="001D0BAA"/>
    <w:rsid w:val="001D1038"/>
    <w:rsid w:val="001D14D2"/>
    <w:rsid w:val="001D257F"/>
    <w:rsid w:val="001D2D28"/>
    <w:rsid w:val="001D51E6"/>
    <w:rsid w:val="001D6807"/>
    <w:rsid w:val="001D6A36"/>
    <w:rsid w:val="001D770D"/>
    <w:rsid w:val="001E0E87"/>
    <w:rsid w:val="001E24E5"/>
    <w:rsid w:val="001E3788"/>
    <w:rsid w:val="001E569E"/>
    <w:rsid w:val="001E57F2"/>
    <w:rsid w:val="001E6835"/>
    <w:rsid w:val="001E6AF7"/>
    <w:rsid w:val="001E6E38"/>
    <w:rsid w:val="001E6FCD"/>
    <w:rsid w:val="001E7C30"/>
    <w:rsid w:val="001E7F32"/>
    <w:rsid w:val="001F0A63"/>
    <w:rsid w:val="001F23CC"/>
    <w:rsid w:val="001F2853"/>
    <w:rsid w:val="001F4373"/>
    <w:rsid w:val="001F4B48"/>
    <w:rsid w:val="001F632F"/>
    <w:rsid w:val="00200B56"/>
    <w:rsid w:val="002013B1"/>
    <w:rsid w:val="002021D7"/>
    <w:rsid w:val="002026FF"/>
    <w:rsid w:val="0020365D"/>
    <w:rsid w:val="00203FC0"/>
    <w:rsid w:val="002047E9"/>
    <w:rsid w:val="00204E29"/>
    <w:rsid w:val="00205863"/>
    <w:rsid w:val="002063BD"/>
    <w:rsid w:val="002067F8"/>
    <w:rsid w:val="00206F59"/>
    <w:rsid w:val="00207867"/>
    <w:rsid w:val="002129F3"/>
    <w:rsid w:val="00214DD4"/>
    <w:rsid w:val="00215115"/>
    <w:rsid w:val="00215549"/>
    <w:rsid w:val="00215FC0"/>
    <w:rsid w:val="00216331"/>
    <w:rsid w:val="002212CE"/>
    <w:rsid w:val="00223508"/>
    <w:rsid w:val="00224A45"/>
    <w:rsid w:val="00226DB4"/>
    <w:rsid w:val="00230576"/>
    <w:rsid w:val="00231680"/>
    <w:rsid w:val="00232C01"/>
    <w:rsid w:val="00233779"/>
    <w:rsid w:val="002350F2"/>
    <w:rsid w:val="00235F89"/>
    <w:rsid w:val="002374B6"/>
    <w:rsid w:val="0024030E"/>
    <w:rsid w:val="0024130F"/>
    <w:rsid w:val="0024267E"/>
    <w:rsid w:val="00242C26"/>
    <w:rsid w:val="0024303B"/>
    <w:rsid w:val="002433B9"/>
    <w:rsid w:val="00243DB4"/>
    <w:rsid w:val="00244E8B"/>
    <w:rsid w:val="00244EF4"/>
    <w:rsid w:val="002458D7"/>
    <w:rsid w:val="0024673C"/>
    <w:rsid w:val="00250256"/>
    <w:rsid w:val="002509C5"/>
    <w:rsid w:val="00250C61"/>
    <w:rsid w:val="00251DF6"/>
    <w:rsid w:val="002520E0"/>
    <w:rsid w:val="0025211B"/>
    <w:rsid w:val="0025416A"/>
    <w:rsid w:val="00254788"/>
    <w:rsid w:val="00255A45"/>
    <w:rsid w:val="00255CCA"/>
    <w:rsid w:val="00255CF1"/>
    <w:rsid w:val="0025612B"/>
    <w:rsid w:val="00256823"/>
    <w:rsid w:val="002572CF"/>
    <w:rsid w:val="00262A7E"/>
    <w:rsid w:val="00263790"/>
    <w:rsid w:val="0026546C"/>
    <w:rsid w:val="00266234"/>
    <w:rsid w:val="0026671F"/>
    <w:rsid w:val="00266ED2"/>
    <w:rsid w:val="00267109"/>
    <w:rsid w:val="002708DB"/>
    <w:rsid w:val="00271AF4"/>
    <w:rsid w:val="00272A68"/>
    <w:rsid w:val="00272B9C"/>
    <w:rsid w:val="0027387A"/>
    <w:rsid w:val="002744AA"/>
    <w:rsid w:val="00274F3D"/>
    <w:rsid w:val="002759BF"/>
    <w:rsid w:val="00275B39"/>
    <w:rsid w:val="00277B23"/>
    <w:rsid w:val="0028078D"/>
    <w:rsid w:val="00280E3B"/>
    <w:rsid w:val="0028242F"/>
    <w:rsid w:val="00284ACD"/>
    <w:rsid w:val="0028503B"/>
    <w:rsid w:val="002875C2"/>
    <w:rsid w:val="002876B7"/>
    <w:rsid w:val="002911F8"/>
    <w:rsid w:val="00292EB4"/>
    <w:rsid w:val="0029381E"/>
    <w:rsid w:val="00296C30"/>
    <w:rsid w:val="00296CD6"/>
    <w:rsid w:val="002A063F"/>
    <w:rsid w:val="002A20A2"/>
    <w:rsid w:val="002A2480"/>
    <w:rsid w:val="002A287E"/>
    <w:rsid w:val="002A3974"/>
    <w:rsid w:val="002A709D"/>
    <w:rsid w:val="002B129D"/>
    <w:rsid w:val="002B4300"/>
    <w:rsid w:val="002B4341"/>
    <w:rsid w:val="002B48EC"/>
    <w:rsid w:val="002B7660"/>
    <w:rsid w:val="002C1029"/>
    <w:rsid w:val="002C184F"/>
    <w:rsid w:val="002C1AB2"/>
    <w:rsid w:val="002C2EEC"/>
    <w:rsid w:val="002C6512"/>
    <w:rsid w:val="002C6580"/>
    <w:rsid w:val="002D08AC"/>
    <w:rsid w:val="002D1282"/>
    <w:rsid w:val="002D1FC8"/>
    <w:rsid w:val="002D2C4E"/>
    <w:rsid w:val="002D4538"/>
    <w:rsid w:val="002D52C5"/>
    <w:rsid w:val="002D56EB"/>
    <w:rsid w:val="002D5A0E"/>
    <w:rsid w:val="002D6115"/>
    <w:rsid w:val="002D6966"/>
    <w:rsid w:val="002D6E1F"/>
    <w:rsid w:val="002E10B2"/>
    <w:rsid w:val="002E11A7"/>
    <w:rsid w:val="002E26E9"/>
    <w:rsid w:val="002E7C67"/>
    <w:rsid w:val="002F326A"/>
    <w:rsid w:val="002F3CF7"/>
    <w:rsid w:val="002F4B03"/>
    <w:rsid w:val="003017C2"/>
    <w:rsid w:val="00305525"/>
    <w:rsid w:val="0030615A"/>
    <w:rsid w:val="00306308"/>
    <w:rsid w:val="00306865"/>
    <w:rsid w:val="00306FC2"/>
    <w:rsid w:val="003112AC"/>
    <w:rsid w:val="00311596"/>
    <w:rsid w:val="003115CD"/>
    <w:rsid w:val="00312F8F"/>
    <w:rsid w:val="00313120"/>
    <w:rsid w:val="003133E6"/>
    <w:rsid w:val="003146CD"/>
    <w:rsid w:val="00314724"/>
    <w:rsid w:val="00314B10"/>
    <w:rsid w:val="00316255"/>
    <w:rsid w:val="003167F7"/>
    <w:rsid w:val="00317A43"/>
    <w:rsid w:val="00317C83"/>
    <w:rsid w:val="00322CFC"/>
    <w:rsid w:val="00322DC1"/>
    <w:rsid w:val="003248D5"/>
    <w:rsid w:val="00324C66"/>
    <w:rsid w:val="00324D4E"/>
    <w:rsid w:val="00325903"/>
    <w:rsid w:val="00325DFC"/>
    <w:rsid w:val="00326B26"/>
    <w:rsid w:val="00327B10"/>
    <w:rsid w:val="00327C07"/>
    <w:rsid w:val="00330598"/>
    <w:rsid w:val="00330826"/>
    <w:rsid w:val="00332AA4"/>
    <w:rsid w:val="003362DF"/>
    <w:rsid w:val="003368A0"/>
    <w:rsid w:val="003377C7"/>
    <w:rsid w:val="00337C75"/>
    <w:rsid w:val="00337E4D"/>
    <w:rsid w:val="003400B0"/>
    <w:rsid w:val="00340536"/>
    <w:rsid w:val="0034069B"/>
    <w:rsid w:val="0034151E"/>
    <w:rsid w:val="00341B8E"/>
    <w:rsid w:val="0034209B"/>
    <w:rsid w:val="00342AB8"/>
    <w:rsid w:val="003434E7"/>
    <w:rsid w:val="0034478E"/>
    <w:rsid w:val="00344D64"/>
    <w:rsid w:val="00345956"/>
    <w:rsid w:val="003467DE"/>
    <w:rsid w:val="00347243"/>
    <w:rsid w:val="00347AC9"/>
    <w:rsid w:val="00350147"/>
    <w:rsid w:val="003505B8"/>
    <w:rsid w:val="003509CA"/>
    <w:rsid w:val="0035365F"/>
    <w:rsid w:val="00354BFE"/>
    <w:rsid w:val="00354E96"/>
    <w:rsid w:val="0036200A"/>
    <w:rsid w:val="00363711"/>
    <w:rsid w:val="003643FD"/>
    <w:rsid w:val="003648B7"/>
    <w:rsid w:val="003648DB"/>
    <w:rsid w:val="0036494F"/>
    <w:rsid w:val="00365AEA"/>
    <w:rsid w:val="00372069"/>
    <w:rsid w:val="00372BB1"/>
    <w:rsid w:val="003745AF"/>
    <w:rsid w:val="00374735"/>
    <w:rsid w:val="00374BD3"/>
    <w:rsid w:val="003751F6"/>
    <w:rsid w:val="003753A0"/>
    <w:rsid w:val="00375B80"/>
    <w:rsid w:val="00376560"/>
    <w:rsid w:val="00380908"/>
    <w:rsid w:val="00385DAC"/>
    <w:rsid w:val="0038616F"/>
    <w:rsid w:val="0038628E"/>
    <w:rsid w:val="00386FBB"/>
    <w:rsid w:val="00390302"/>
    <w:rsid w:val="00391616"/>
    <w:rsid w:val="00392BDF"/>
    <w:rsid w:val="00394884"/>
    <w:rsid w:val="00394A92"/>
    <w:rsid w:val="0039520D"/>
    <w:rsid w:val="003A5D39"/>
    <w:rsid w:val="003B2142"/>
    <w:rsid w:val="003B2969"/>
    <w:rsid w:val="003B4322"/>
    <w:rsid w:val="003B4846"/>
    <w:rsid w:val="003B5082"/>
    <w:rsid w:val="003C0A5C"/>
    <w:rsid w:val="003C1396"/>
    <w:rsid w:val="003C2496"/>
    <w:rsid w:val="003C3064"/>
    <w:rsid w:val="003C3224"/>
    <w:rsid w:val="003C371E"/>
    <w:rsid w:val="003C4A9D"/>
    <w:rsid w:val="003C7C3B"/>
    <w:rsid w:val="003D1143"/>
    <w:rsid w:val="003D1CFC"/>
    <w:rsid w:val="003D2294"/>
    <w:rsid w:val="003D22C4"/>
    <w:rsid w:val="003D3278"/>
    <w:rsid w:val="003D43C6"/>
    <w:rsid w:val="003D6020"/>
    <w:rsid w:val="003D6B2D"/>
    <w:rsid w:val="003D790B"/>
    <w:rsid w:val="003E04CC"/>
    <w:rsid w:val="003E5BEF"/>
    <w:rsid w:val="003E678F"/>
    <w:rsid w:val="003E78F4"/>
    <w:rsid w:val="003F0714"/>
    <w:rsid w:val="003F22AD"/>
    <w:rsid w:val="003F242D"/>
    <w:rsid w:val="003F34AB"/>
    <w:rsid w:val="003F447B"/>
    <w:rsid w:val="003F56AC"/>
    <w:rsid w:val="003F71DB"/>
    <w:rsid w:val="003F7A2B"/>
    <w:rsid w:val="004001C2"/>
    <w:rsid w:val="0040097F"/>
    <w:rsid w:val="00400FD3"/>
    <w:rsid w:val="00402159"/>
    <w:rsid w:val="00402519"/>
    <w:rsid w:val="00402A22"/>
    <w:rsid w:val="00402F1D"/>
    <w:rsid w:val="004043F3"/>
    <w:rsid w:val="00404761"/>
    <w:rsid w:val="00405E65"/>
    <w:rsid w:val="004070CA"/>
    <w:rsid w:val="0040717C"/>
    <w:rsid w:val="00407226"/>
    <w:rsid w:val="00407EB8"/>
    <w:rsid w:val="004103A6"/>
    <w:rsid w:val="004109D9"/>
    <w:rsid w:val="00411F9D"/>
    <w:rsid w:val="00412E46"/>
    <w:rsid w:val="004139C2"/>
    <w:rsid w:val="00414143"/>
    <w:rsid w:val="00414741"/>
    <w:rsid w:val="004157F9"/>
    <w:rsid w:val="0041589B"/>
    <w:rsid w:val="00416E83"/>
    <w:rsid w:val="00417918"/>
    <w:rsid w:val="00417FBE"/>
    <w:rsid w:val="00420DC0"/>
    <w:rsid w:val="0042146E"/>
    <w:rsid w:val="0042186C"/>
    <w:rsid w:val="004243AB"/>
    <w:rsid w:val="00424529"/>
    <w:rsid w:val="00426010"/>
    <w:rsid w:val="0042615D"/>
    <w:rsid w:val="00426C8A"/>
    <w:rsid w:val="00431038"/>
    <w:rsid w:val="00431BD0"/>
    <w:rsid w:val="00431D9C"/>
    <w:rsid w:val="0043292E"/>
    <w:rsid w:val="004330FE"/>
    <w:rsid w:val="00433773"/>
    <w:rsid w:val="00433930"/>
    <w:rsid w:val="00433B8B"/>
    <w:rsid w:val="00433BCA"/>
    <w:rsid w:val="004362F2"/>
    <w:rsid w:val="0043667F"/>
    <w:rsid w:val="004400A9"/>
    <w:rsid w:val="0044012F"/>
    <w:rsid w:val="00440253"/>
    <w:rsid w:val="00440561"/>
    <w:rsid w:val="0044294C"/>
    <w:rsid w:val="00442FDA"/>
    <w:rsid w:val="00443147"/>
    <w:rsid w:val="0044412E"/>
    <w:rsid w:val="00445AFF"/>
    <w:rsid w:val="00446188"/>
    <w:rsid w:val="00446532"/>
    <w:rsid w:val="00447910"/>
    <w:rsid w:val="004505CA"/>
    <w:rsid w:val="00450844"/>
    <w:rsid w:val="00453B7F"/>
    <w:rsid w:val="004548D3"/>
    <w:rsid w:val="00455F5A"/>
    <w:rsid w:val="004567A4"/>
    <w:rsid w:val="004604E1"/>
    <w:rsid w:val="004621C8"/>
    <w:rsid w:val="00462261"/>
    <w:rsid w:val="00462403"/>
    <w:rsid w:val="00465F35"/>
    <w:rsid w:val="00467A59"/>
    <w:rsid w:val="0047008E"/>
    <w:rsid w:val="00470569"/>
    <w:rsid w:val="0047092C"/>
    <w:rsid w:val="00471CA6"/>
    <w:rsid w:val="00474E4C"/>
    <w:rsid w:val="00475D85"/>
    <w:rsid w:val="00476B1A"/>
    <w:rsid w:val="0048108A"/>
    <w:rsid w:val="004819E3"/>
    <w:rsid w:val="004837B4"/>
    <w:rsid w:val="00484045"/>
    <w:rsid w:val="00484606"/>
    <w:rsid w:val="00484AB8"/>
    <w:rsid w:val="00485D5C"/>
    <w:rsid w:val="0048771B"/>
    <w:rsid w:val="004902FF"/>
    <w:rsid w:val="00490C55"/>
    <w:rsid w:val="004918BD"/>
    <w:rsid w:val="00492644"/>
    <w:rsid w:val="00493F3F"/>
    <w:rsid w:val="0049538F"/>
    <w:rsid w:val="00497B09"/>
    <w:rsid w:val="00497F84"/>
    <w:rsid w:val="004A1D73"/>
    <w:rsid w:val="004A36B4"/>
    <w:rsid w:val="004A4838"/>
    <w:rsid w:val="004A5636"/>
    <w:rsid w:val="004A6B5E"/>
    <w:rsid w:val="004A72A1"/>
    <w:rsid w:val="004B03BC"/>
    <w:rsid w:val="004B0DC3"/>
    <w:rsid w:val="004B32E9"/>
    <w:rsid w:val="004B36C8"/>
    <w:rsid w:val="004B40B4"/>
    <w:rsid w:val="004B5F6B"/>
    <w:rsid w:val="004B60D9"/>
    <w:rsid w:val="004B6913"/>
    <w:rsid w:val="004C0B5C"/>
    <w:rsid w:val="004C1330"/>
    <w:rsid w:val="004C1D62"/>
    <w:rsid w:val="004C1E9B"/>
    <w:rsid w:val="004C26FC"/>
    <w:rsid w:val="004C437C"/>
    <w:rsid w:val="004C4479"/>
    <w:rsid w:val="004C52AB"/>
    <w:rsid w:val="004C5537"/>
    <w:rsid w:val="004C581E"/>
    <w:rsid w:val="004C79BA"/>
    <w:rsid w:val="004D0BA2"/>
    <w:rsid w:val="004D1DE3"/>
    <w:rsid w:val="004D1F79"/>
    <w:rsid w:val="004D64A2"/>
    <w:rsid w:val="004D694F"/>
    <w:rsid w:val="004E0429"/>
    <w:rsid w:val="004E111E"/>
    <w:rsid w:val="004E121E"/>
    <w:rsid w:val="004E4C69"/>
    <w:rsid w:val="004E4EF6"/>
    <w:rsid w:val="004E73D2"/>
    <w:rsid w:val="004F002A"/>
    <w:rsid w:val="004F009A"/>
    <w:rsid w:val="004F03A4"/>
    <w:rsid w:val="004F0D5A"/>
    <w:rsid w:val="004F3C85"/>
    <w:rsid w:val="004F46B1"/>
    <w:rsid w:val="004F721E"/>
    <w:rsid w:val="004F75A2"/>
    <w:rsid w:val="005014A6"/>
    <w:rsid w:val="00501531"/>
    <w:rsid w:val="00502CD7"/>
    <w:rsid w:val="00502F1F"/>
    <w:rsid w:val="005050A8"/>
    <w:rsid w:val="0050738C"/>
    <w:rsid w:val="0051082D"/>
    <w:rsid w:val="00517826"/>
    <w:rsid w:val="00520067"/>
    <w:rsid w:val="005207F6"/>
    <w:rsid w:val="00521AA5"/>
    <w:rsid w:val="005225DC"/>
    <w:rsid w:val="00522C25"/>
    <w:rsid w:val="005235AC"/>
    <w:rsid w:val="00523FD0"/>
    <w:rsid w:val="00525541"/>
    <w:rsid w:val="005264C2"/>
    <w:rsid w:val="00526BCD"/>
    <w:rsid w:val="0053133C"/>
    <w:rsid w:val="00531BE5"/>
    <w:rsid w:val="00533256"/>
    <w:rsid w:val="005365CB"/>
    <w:rsid w:val="0053685A"/>
    <w:rsid w:val="005372B3"/>
    <w:rsid w:val="00540200"/>
    <w:rsid w:val="005416BB"/>
    <w:rsid w:val="00541B1D"/>
    <w:rsid w:val="00542368"/>
    <w:rsid w:val="0054293F"/>
    <w:rsid w:val="00543E16"/>
    <w:rsid w:val="00544865"/>
    <w:rsid w:val="00545787"/>
    <w:rsid w:val="00547676"/>
    <w:rsid w:val="00551A15"/>
    <w:rsid w:val="005523BD"/>
    <w:rsid w:val="00553B73"/>
    <w:rsid w:val="005541F2"/>
    <w:rsid w:val="00557F39"/>
    <w:rsid w:val="0056023B"/>
    <w:rsid w:val="00560BE4"/>
    <w:rsid w:val="005624ED"/>
    <w:rsid w:val="005627DA"/>
    <w:rsid w:val="00562E8A"/>
    <w:rsid w:val="005636C3"/>
    <w:rsid w:val="00563D66"/>
    <w:rsid w:val="00564A60"/>
    <w:rsid w:val="00565C4F"/>
    <w:rsid w:val="0057046B"/>
    <w:rsid w:val="0057094C"/>
    <w:rsid w:val="00572AE9"/>
    <w:rsid w:val="0057307A"/>
    <w:rsid w:val="00574B52"/>
    <w:rsid w:val="00576A97"/>
    <w:rsid w:val="00576D47"/>
    <w:rsid w:val="005800E9"/>
    <w:rsid w:val="0058108F"/>
    <w:rsid w:val="00581172"/>
    <w:rsid w:val="0058150F"/>
    <w:rsid w:val="005817B6"/>
    <w:rsid w:val="005841DE"/>
    <w:rsid w:val="00584E20"/>
    <w:rsid w:val="0058587F"/>
    <w:rsid w:val="005859DB"/>
    <w:rsid w:val="0058778F"/>
    <w:rsid w:val="00587CFC"/>
    <w:rsid w:val="0059125D"/>
    <w:rsid w:val="00592BD1"/>
    <w:rsid w:val="00592EB6"/>
    <w:rsid w:val="00593DAE"/>
    <w:rsid w:val="0059460F"/>
    <w:rsid w:val="00595909"/>
    <w:rsid w:val="00596848"/>
    <w:rsid w:val="005978E7"/>
    <w:rsid w:val="005A1DD3"/>
    <w:rsid w:val="005A2587"/>
    <w:rsid w:val="005A456C"/>
    <w:rsid w:val="005A557A"/>
    <w:rsid w:val="005A5ABF"/>
    <w:rsid w:val="005A6179"/>
    <w:rsid w:val="005A76FA"/>
    <w:rsid w:val="005A7A7F"/>
    <w:rsid w:val="005B000D"/>
    <w:rsid w:val="005B0AAA"/>
    <w:rsid w:val="005B0C17"/>
    <w:rsid w:val="005B1A68"/>
    <w:rsid w:val="005B1BC0"/>
    <w:rsid w:val="005B26A5"/>
    <w:rsid w:val="005B3048"/>
    <w:rsid w:val="005B34B3"/>
    <w:rsid w:val="005B4635"/>
    <w:rsid w:val="005B57AB"/>
    <w:rsid w:val="005B6004"/>
    <w:rsid w:val="005B6E77"/>
    <w:rsid w:val="005C018C"/>
    <w:rsid w:val="005C0D5B"/>
    <w:rsid w:val="005C21CB"/>
    <w:rsid w:val="005C2A10"/>
    <w:rsid w:val="005C2DD0"/>
    <w:rsid w:val="005C3FED"/>
    <w:rsid w:val="005C43FC"/>
    <w:rsid w:val="005C45F9"/>
    <w:rsid w:val="005C672E"/>
    <w:rsid w:val="005C76D3"/>
    <w:rsid w:val="005C7A6D"/>
    <w:rsid w:val="005D0967"/>
    <w:rsid w:val="005D4420"/>
    <w:rsid w:val="005D45E2"/>
    <w:rsid w:val="005D579E"/>
    <w:rsid w:val="005D6507"/>
    <w:rsid w:val="005D77A7"/>
    <w:rsid w:val="005D7E1C"/>
    <w:rsid w:val="005E0AF3"/>
    <w:rsid w:val="005E0BDD"/>
    <w:rsid w:val="005E1F8C"/>
    <w:rsid w:val="005E217D"/>
    <w:rsid w:val="005E24C0"/>
    <w:rsid w:val="005E2B1A"/>
    <w:rsid w:val="005E38B1"/>
    <w:rsid w:val="005E5A90"/>
    <w:rsid w:val="005E658F"/>
    <w:rsid w:val="005E6BC9"/>
    <w:rsid w:val="005F1DCB"/>
    <w:rsid w:val="005F25FF"/>
    <w:rsid w:val="005F28F0"/>
    <w:rsid w:val="005F2FD1"/>
    <w:rsid w:val="005F3FFF"/>
    <w:rsid w:val="005F4146"/>
    <w:rsid w:val="005F6A2E"/>
    <w:rsid w:val="005F71F5"/>
    <w:rsid w:val="005F7707"/>
    <w:rsid w:val="006034BC"/>
    <w:rsid w:val="00604129"/>
    <w:rsid w:val="00605733"/>
    <w:rsid w:val="00605A57"/>
    <w:rsid w:val="00605C10"/>
    <w:rsid w:val="00607135"/>
    <w:rsid w:val="00607C0F"/>
    <w:rsid w:val="00607C13"/>
    <w:rsid w:val="00610612"/>
    <w:rsid w:val="00610ABD"/>
    <w:rsid w:val="00610E26"/>
    <w:rsid w:val="0061239E"/>
    <w:rsid w:val="00612A45"/>
    <w:rsid w:val="006156D2"/>
    <w:rsid w:val="00615E64"/>
    <w:rsid w:val="00617D5F"/>
    <w:rsid w:val="00621F65"/>
    <w:rsid w:val="0062239C"/>
    <w:rsid w:val="006230C4"/>
    <w:rsid w:val="00623C93"/>
    <w:rsid w:val="00625D49"/>
    <w:rsid w:val="00626F75"/>
    <w:rsid w:val="0062767B"/>
    <w:rsid w:val="00630BA7"/>
    <w:rsid w:val="00631526"/>
    <w:rsid w:val="00631C0B"/>
    <w:rsid w:val="00634324"/>
    <w:rsid w:val="00635EFB"/>
    <w:rsid w:val="0063753D"/>
    <w:rsid w:val="00641275"/>
    <w:rsid w:val="00641417"/>
    <w:rsid w:val="00642B45"/>
    <w:rsid w:val="00642E5E"/>
    <w:rsid w:val="0064397F"/>
    <w:rsid w:val="00643F4D"/>
    <w:rsid w:val="006444F3"/>
    <w:rsid w:val="00644731"/>
    <w:rsid w:val="00645F7C"/>
    <w:rsid w:val="00646BAF"/>
    <w:rsid w:val="00647AD7"/>
    <w:rsid w:val="006500F2"/>
    <w:rsid w:val="006508D0"/>
    <w:rsid w:val="00653288"/>
    <w:rsid w:val="00660964"/>
    <w:rsid w:val="00661D06"/>
    <w:rsid w:val="00662D1F"/>
    <w:rsid w:val="006630FD"/>
    <w:rsid w:val="006636E0"/>
    <w:rsid w:val="00665682"/>
    <w:rsid w:val="006666FE"/>
    <w:rsid w:val="00666D3D"/>
    <w:rsid w:val="006677C5"/>
    <w:rsid w:val="00672746"/>
    <w:rsid w:val="00672DC4"/>
    <w:rsid w:val="00673DD8"/>
    <w:rsid w:val="006758CB"/>
    <w:rsid w:val="006764D3"/>
    <w:rsid w:val="006769A9"/>
    <w:rsid w:val="00680A02"/>
    <w:rsid w:val="00680DF2"/>
    <w:rsid w:val="00681284"/>
    <w:rsid w:val="00681AC2"/>
    <w:rsid w:val="006823F5"/>
    <w:rsid w:val="00682DA8"/>
    <w:rsid w:val="0068325D"/>
    <w:rsid w:val="00683BE8"/>
    <w:rsid w:val="00683E66"/>
    <w:rsid w:val="00683EE5"/>
    <w:rsid w:val="0068700F"/>
    <w:rsid w:val="00687704"/>
    <w:rsid w:val="006879F4"/>
    <w:rsid w:val="006907EF"/>
    <w:rsid w:val="00692CD6"/>
    <w:rsid w:val="0069328A"/>
    <w:rsid w:val="006951D1"/>
    <w:rsid w:val="00695F2D"/>
    <w:rsid w:val="0069646A"/>
    <w:rsid w:val="0069702F"/>
    <w:rsid w:val="006976E1"/>
    <w:rsid w:val="006A0242"/>
    <w:rsid w:val="006A1124"/>
    <w:rsid w:val="006A1656"/>
    <w:rsid w:val="006A228E"/>
    <w:rsid w:val="006A245D"/>
    <w:rsid w:val="006A3057"/>
    <w:rsid w:val="006A309C"/>
    <w:rsid w:val="006A49B5"/>
    <w:rsid w:val="006A61A7"/>
    <w:rsid w:val="006B0D42"/>
    <w:rsid w:val="006B1C46"/>
    <w:rsid w:val="006B26F0"/>
    <w:rsid w:val="006B493C"/>
    <w:rsid w:val="006B4C61"/>
    <w:rsid w:val="006B79BD"/>
    <w:rsid w:val="006C1242"/>
    <w:rsid w:val="006C3A15"/>
    <w:rsid w:val="006C4AF3"/>
    <w:rsid w:val="006C591B"/>
    <w:rsid w:val="006C5CF6"/>
    <w:rsid w:val="006C5F6A"/>
    <w:rsid w:val="006C6BC9"/>
    <w:rsid w:val="006D0598"/>
    <w:rsid w:val="006D21DA"/>
    <w:rsid w:val="006D2539"/>
    <w:rsid w:val="006D31CE"/>
    <w:rsid w:val="006D36D5"/>
    <w:rsid w:val="006D7694"/>
    <w:rsid w:val="006E17FB"/>
    <w:rsid w:val="006E3A5E"/>
    <w:rsid w:val="006E574E"/>
    <w:rsid w:val="006E6392"/>
    <w:rsid w:val="006E6A95"/>
    <w:rsid w:val="006F06B9"/>
    <w:rsid w:val="006F29EF"/>
    <w:rsid w:val="006F3156"/>
    <w:rsid w:val="006F57F4"/>
    <w:rsid w:val="006F66B7"/>
    <w:rsid w:val="006F6A1E"/>
    <w:rsid w:val="00700DA0"/>
    <w:rsid w:val="007024F0"/>
    <w:rsid w:val="00704A77"/>
    <w:rsid w:val="007132A7"/>
    <w:rsid w:val="00714543"/>
    <w:rsid w:val="007148E4"/>
    <w:rsid w:val="0072107E"/>
    <w:rsid w:val="0072163D"/>
    <w:rsid w:val="007217D2"/>
    <w:rsid w:val="00722136"/>
    <w:rsid w:val="007226CF"/>
    <w:rsid w:val="00722993"/>
    <w:rsid w:val="0072452E"/>
    <w:rsid w:val="007266DD"/>
    <w:rsid w:val="0073055A"/>
    <w:rsid w:val="00731921"/>
    <w:rsid w:val="00732270"/>
    <w:rsid w:val="00733676"/>
    <w:rsid w:val="007373FB"/>
    <w:rsid w:val="007378C9"/>
    <w:rsid w:val="00737981"/>
    <w:rsid w:val="007400D9"/>
    <w:rsid w:val="00742BC0"/>
    <w:rsid w:val="0074490B"/>
    <w:rsid w:val="0075026D"/>
    <w:rsid w:val="00750AC5"/>
    <w:rsid w:val="0075151E"/>
    <w:rsid w:val="00751536"/>
    <w:rsid w:val="00751C28"/>
    <w:rsid w:val="00751C49"/>
    <w:rsid w:val="00752A33"/>
    <w:rsid w:val="007531C2"/>
    <w:rsid w:val="00755423"/>
    <w:rsid w:val="00756DAD"/>
    <w:rsid w:val="00760FE9"/>
    <w:rsid w:val="00761D10"/>
    <w:rsid w:val="00762A44"/>
    <w:rsid w:val="007646DA"/>
    <w:rsid w:val="00764782"/>
    <w:rsid w:val="00764816"/>
    <w:rsid w:val="007649B6"/>
    <w:rsid w:val="007667B9"/>
    <w:rsid w:val="007672F5"/>
    <w:rsid w:val="007703F7"/>
    <w:rsid w:val="00770632"/>
    <w:rsid w:val="00770D6D"/>
    <w:rsid w:val="00773159"/>
    <w:rsid w:val="007746C3"/>
    <w:rsid w:val="0077628B"/>
    <w:rsid w:val="0077728A"/>
    <w:rsid w:val="00777C4B"/>
    <w:rsid w:val="0078000B"/>
    <w:rsid w:val="00780102"/>
    <w:rsid w:val="00780FAD"/>
    <w:rsid w:val="00783984"/>
    <w:rsid w:val="00784186"/>
    <w:rsid w:val="00785265"/>
    <w:rsid w:val="00785E4B"/>
    <w:rsid w:val="00785EAC"/>
    <w:rsid w:val="0078695D"/>
    <w:rsid w:val="00786A11"/>
    <w:rsid w:val="0079175C"/>
    <w:rsid w:val="00792478"/>
    <w:rsid w:val="00793016"/>
    <w:rsid w:val="007935A4"/>
    <w:rsid w:val="00793D9E"/>
    <w:rsid w:val="00794644"/>
    <w:rsid w:val="00794B8D"/>
    <w:rsid w:val="007955A8"/>
    <w:rsid w:val="007956D1"/>
    <w:rsid w:val="00796D5B"/>
    <w:rsid w:val="0079766B"/>
    <w:rsid w:val="00797A08"/>
    <w:rsid w:val="007A0B49"/>
    <w:rsid w:val="007A0BBB"/>
    <w:rsid w:val="007A1DF0"/>
    <w:rsid w:val="007A7459"/>
    <w:rsid w:val="007B05A8"/>
    <w:rsid w:val="007B0E56"/>
    <w:rsid w:val="007B2902"/>
    <w:rsid w:val="007B341C"/>
    <w:rsid w:val="007B53A8"/>
    <w:rsid w:val="007B7907"/>
    <w:rsid w:val="007B7AFB"/>
    <w:rsid w:val="007C0BD5"/>
    <w:rsid w:val="007C0EE4"/>
    <w:rsid w:val="007C14CE"/>
    <w:rsid w:val="007C1505"/>
    <w:rsid w:val="007C15AC"/>
    <w:rsid w:val="007C1761"/>
    <w:rsid w:val="007C1B38"/>
    <w:rsid w:val="007C1D4A"/>
    <w:rsid w:val="007C2CC7"/>
    <w:rsid w:val="007C2E27"/>
    <w:rsid w:val="007C3678"/>
    <w:rsid w:val="007C3FEF"/>
    <w:rsid w:val="007C4C9C"/>
    <w:rsid w:val="007C4E0A"/>
    <w:rsid w:val="007C5354"/>
    <w:rsid w:val="007C5C2E"/>
    <w:rsid w:val="007C62CC"/>
    <w:rsid w:val="007D0110"/>
    <w:rsid w:val="007D1920"/>
    <w:rsid w:val="007D1978"/>
    <w:rsid w:val="007D1F47"/>
    <w:rsid w:val="007D222B"/>
    <w:rsid w:val="007D5376"/>
    <w:rsid w:val="007E1024"/>
    <w:rsid w:val="007E11E1"/>
    <w:rsid w:val="007E3008"/>
    <w:rsid w:val="007E30C4"/>
    <w:rsid w:val="007E3318"/>
    <w:rsid w:val="007E3C98"/>
    <w:rsid w:val="007E3D4A"/>
    <w:rsid w:val="007E4CDD"/>
    <w:rsid w:val="007E5CDD"/>
    <w:rsid w:val="007E6D98"/>
    <w:rsid w:val="007E6DA1"/>
    <w:rsid w:val="007F0074"/>
    <w:rsid w:val="007F4000"/>
    <w:rsid w:val="007F5CBF"/>
    <w:rsid w:val="007F5EE4"/>
    <w:rsid w:val="00800B5F"/>
    <w:rsid w:val="0080356D"/>
    <w:rsid w:val="00803DE8"/>
    <w:rsid w:val="00803E0A"/>
    <w:rsid w:val="00804218"/>
    <w:rsid w:val="00804F21"/>
    <w:rsid w:val="00805430"/>
    <w:rsid w:val="00805E42"/>
    <w:rsid w:val="008060F0"/>
    <w:rsid w:val="00811673"/>
    <w:rsid w:val="008126B2"/>
    <w:rsid w:val="00813F62"/>
    <w:rsid w:val="00814467"/>
    <w:rsid w:val="00814CF2"/>
    <w:rsid w:val="0082020A"/>
    <w:rsid w:val="0082037C"/>
    <w:rsid w:val="00820729"/>
    <w:rsid w:val="00820780"/>
    <w:rsid w:val="008219C7"/>
    <w:rsid w:val="00822E90"/>
    <w:rsid w:val="008232BA"/>
    <w:rsid w:val="00824948"/>
    <w:rsid w:val="008252A7"/>
    <w:rsid w:val="0082598A"/>
    <w:rsid w:val="008261E8"/>
    <w:rsid w:val="00826245"/>
    <w:rsid w:val="00827B9B"/>
    <w:rsid w:val="00831080"/>
    <w:rsid w:val="00834A50"/>
    <w:rsid w:val="008364B9"/>
    <w:rsid w:val="00836BFC"/>
    <w:rsid w:val="00837F31"/>
    <w:rsid w:val="00842630"/>
    <w:rsid w:val="00843563"/>
    <w:rsid w:val="008449B6"/>
    <w:rsid w:val="00847A5E"/>
    <w:rsid w:val="00850779"/>
    <w:rsid w:val="008510CC"/>
    <w:rsid w:val="008512B3"/>
    <w:rsid w:val="00851C9B"/>
    <w:rsid w:val="00852711"/>
    <w:rsid w:val="008527CF"/>
    <w:rsid w:val="00854888"/>
    <w:rsid w:val="00856551"/>
    <w:rsid w:val="00857F81"/>
    <w:rsid w:val="00861E47"/>
    <w:rsid w:val="00865201"/>
    <w:rsid w:val="008657E7"/>
    <w:rsid w:val="00865FCE"/>
    <w:rsid w:val="0086620A"/>
    <w:rsid w:val="00866EF3"/>
    <w:rsid w:val="008670ED"/>
    <w:rsid w:val="00870335"/>
    <w:rsid w:val="008708AD"/>
    <w:rsid w:val="00870911"/>
    <w:rsid w:val="008713DD"/>
    <w:rsid w:val="008717EC"/>
    <w:rsid w:val="00871E15"/>
    <w:rsid w:val="00872964"/>
    <w:rsid w:val="00873393"/>
    <w:rsid w:val="00877CBA"/>
    <w:rsid w:val="0088203F"/>
    <w:rsid w:val="00883154"/>
    <w:rsid w:val="00883334"/>
    <w:rsid w:val="00883E94"/>
    <w:rsid w:val="00884903"/>
    <w:rsid w:val="00884D13"/>
    <w:rsid w:val="00884D1B"/>
    <w:rsid w:val="0088586D"/>
    <w:rsid w:val="00887968"/>
    <w:rsid w:val="00887B59"/>
    <w:rsid w:val="00892C13"/>
    <w:rsid w:val="00892F61"/>
    <w:rsid w:val="00893506"/>
    <w:rsid w:val="00893863"/>
    <w:rsid w:val="008942DF"/>
    <w:rsid w:val="00894729"/>
    <w:rsid w:val="0089560F"/>
    <w:rsid w:val="00896D95"/>
    <w:rsid w:val="00897282"/>
    <w:rsid w:val="008A00C0"/>
    <w:rsid w:val="008A0A47"/>
    <w:rsid w:val="008A0D19"/>
    <w:rsid w:val="008A11F6"/>
    <w:rsid w:val="008A1374"/>
    <w:rsid w:val="008A1DB2"/>
    <w:rsid w:val="008A2362"/>
    <w:rsid w:val="008A3676"/>
    <w:rsid w:val="008A3B49"/>
    <w:rsid w:val="008A4457"/>
    <w:rsid w:val="008A49FB"/>
    <w:rsid w:val="008A70DF"/>
    <w:rsid w:val="008B0D93"/>
    <w:rsid w:val="008B13B8"/>
    <w:rsid w:val="008B15AE"/>
    <w:rsid w:val="008B1EC4"/>
    <w:rsid w:val="008B2D51"/>
    <w:rsid w:val="008B3121"/>
    <w:rsid w:val="008B4D32"/>
    <w:rsid w:val="008B4FC4"/>
    <w:rsid w:val="008B50F9"/>
    <w:rsid w:val="008B7776"/>
    <w:rsid w:val="008C0515"/>
    <w:rsid w:val="008C0D0F"/>
    <w:rsid w:val="008C0D55"/>
    <w:rsid w:val="008C10AB"/>
    <w:rsid w:val="008C31EB"/>
    <w:rsid w:val="008C357C"/>
    <w:rsid w:val="008C3993"/>
    <w:rsid w:val="008C4837"/>
    <w:rsid w:val="008C4B06"/>
    <w:rsid w:val="008C65E5"/>
    <w:rsid w:val="008C69AD"/>
    <w:rsid w:val="008C7B3B"/>
    <w:rsid w:val="008D35E8"/>
    <w:rsid w:val="008D3AA0"/>
    <w:rsid w:val="008D534F"/>
    <w:rsid w:val="008D5EFC"/>
    <w:rsid w:val="008D6005"/>
    <w:rsid w:val="008D6F71"/>
    <w:rsid w:val="008D7926"/>
    <w:rsid w:val="008D7E13"/>
    <w:rsid w:val="008E04FF"/>
    <w:rsid w:val="008E08A3"/>
    <w:rsid w:val="008E13F4"/>
    <w:rsid w:val="008E1BB9"/>
    <w:rsid w:val="008E2A8C"/>
    <w:rsid w:val="008E2C6C"/>
    <w:rsid w:val="008E590F"/>
    <w:rsid w:val="008E591C"/>
    <w:rsid w:val="008E59F6"/>
    <w:rsid w:val="008E5D14"/>
    <w:rsid w:val="008E602F"/>
    <w:rsid w:val="008F04FA"/>
    <w:rsid w:val="008F0D15"/>
    <w:rsid w:val="008F0EC5"/>
    <w:rsid w:val="008F194A"/>
    <w:rsid w:val="008F2CA8"/>
    <w:rsid w:val="008F2DCE"/>
    <w:rsid w:val="008F37D1"/>
    <w:rsid w:val="008F5111"/>
    <w:rsid w:val="008F615E"/>
    <w:rsid w:val="008F66CC"/>
    <w:rsid w:val="008F6820"/>
    <w:rsid w:val="008F7830"/>
    <w:rsid w:val="0090028A"/>
    <w:rsid w:val="00900443"/>
    <w:rsid w:val="00900D00"/>
    <w:rsid w:val="00900FE6"/>
    <w:rsid w:val="00902076"/>
    <w:rsid w:val="00903A5D"/>
    <w:rsid w:val="00903C99"/>
    <w:rsid w:val="00903EB4"/>
    <w:rsid w:val="009044CC"/>
    <w:rsid w:val="00906B0A"/>
    <w:rsid w:val="00906BE0"/>
    <w:rsid w:val="00907665"/>
    <w:rsid w:val="00907683"/>
    <w:rsid w:val="00907E0B"/>
    <w:rsid w:val="009118DD"/>
    <w:rsid w:val="009124F1"/>
    <w:rsid w:val="00914A90"/>
    <w:rsid w:val="009156FB"/>
    <w:rsid w:val="00915AB6"/>
    <w:rsid w:val="00916CB3"/>
    <w:rsid w:val="00916E43"/>
    <w:rsid w:val="009200AB"/>
    <w:rsid w:val="00920BB2"/>
    <w:rsid w:val="00922E50"/>
    <w:rsid w:val="00923404"/>
    <w:rsid w:val="009235ED"/>
    <w:rsid w:val="00926E17"/>
    <w:rsid w:val="00927C1E"/>
    <w:rsid w:val="00930ECC"/>
    <w:rsid w:val="009317E0"/>
    <w:rsid w:val="00931CA6"/>
    <w:rsid w:val="009328BF"/>
    <w:rsid w:val="00933311"/>
    <w:rsid w:val="00935D17"/>
    <w:rsid w:val="009362CB"/>
    <w:rsid w:val="00937E26"/>
    <w:rsid w:val="00942287"/>
    <w:rsid w:val="00943984"/>
    <w:rsid w:val="00946D01"/>
    <w:rsid w:val="00947AFC"/>
    <w:rsid w:val="00947C5A"/>
    <w:rsid w:val="0095060B"/>
    <w:rsid w:val="00952F79"/>
    <w:rsid w:val="00955A2D"/>
    <w:rsid w:val="00956A70"/>
    <w:rsid w:val="00957789"/>
    <w:rsid w:val="00957B66"/>
    <w:rsid w:val="0096143A"/>
    <w:rsid w:val="00962CE6"/>
    <w:rsid w:val="0096346D"/>
    <w:rsid w:val="00963E1C"/>
    <w:rsid w:val="009640C4"/>
    <w:rsid w:val="00964901"/>
    <w:rsid w:val="0096551C"/>
    <w:rsid w:val="00965DE6"/>
    <w:rsid w:val="00966563"/>
    <w:rsid w:val="0096790C"/>
    <w:rsid w:val="00970A96"/>
    <w:rsid w:val="009732C3"/>
    <w:rsid w:val="009738AF"/>
    <w:rsid w:val="009754EE"/>
    <w:rsid w:val="009763B9"/>
    <w:rsid w:val="00976443"/>
    <w:rsid w:val="009776CF"/>
    <w:rsid w:val="00977909"/>
    <w:rsid w:val="00980A23"/>
    <w:rsid w:val="0098137D"/>
    <w:rsid w:val="00981464"/>
    <w:rsid w:val="00982728"/>
    <w:rsid w:val="009836ED"/>
    <w:rsid w:val="009877A7"/>
    <w:rsid w:val="00987E39"/>
    <w:rsid w:val="0099037F"/>
    <w:rsid w:val="009911F4"/>
    <w:rsid w:val="00991B21"/>
    <w:rsid w:val="009921C3"/>
    <w:rsid w:val="00992FB5"/>
    <w:rsid w:val="00996A33"/>
    <w:rsid w:val="00997A8B"/>
    <w:rsid w:val="009A069C"/>
    <w:rsid w:val="009A2A69"/>
    <w:rsid w:val="009A2B95"/>
    <w:rsid w:val="009A3411"/>
    <w:rsid w:val="009A360F"/>
    <w:rsid w:val="009A361B"/>
    <w:rsid w:val="009A742F"/>
    <w:rsid w:val="009B1671"/>
    <w:rsid w:val="009B1DE6"/>
    <w:rsid w:val="009B3348"/>
    <w:rsid w:val="009B4210"/>
    <w:rsid w:val="009B5577"/>
    <w:rsid w:val="009B68E3"/>
    <w:rsid w:val="009B6BC6"/>
    <w:rsid w:val="009C56D3"/>
    <w:rsid w:val="009C6510"/>
    <w:rsid w:val="009C703E"/>
    <w:rsid w:val="009D0AEE"/>
    <w:rsid w:val="009D19E6"/>
    <w:rsid w:val="009D1E7A"/>
    <w:rsid w:val="009D3A21"/>
    <w:rsid w:val="009D7D08"/>
    <w:rsid w:val="009E0088"/>
    <w:rsid w:val="009E01F7"/>
    <w:rsid w:val="009E0D48"/>
    <w:rsid w:val="009E0FED"/>
    <w:rsid w:val="009E1960"/>
    <w:rsid w:val="009E2485"/>
    <w:rsid w:val="009E2B4D"/>
    <w:rsid w:val="009E2E7B"/>
    <w:rsid w:val="009E3D6A"/>
    <w:rsid w:val="009E508B"/>
    <w:rsid w:val="009E5318"/>
    <w:rsid w:val="009E652C"/>
    <w:rsid w:val="009E7222"/>
    <w:rsid w:val="009E72F8"/>
    <w:rsid w:val="009F0E90"/>
    <w:rsid w:val="009F103B"/>
    <w:rsid w:val="009F2CB0"/>
    <w:rsid w:val="009F315D"/>
    <w:rsid w:val="009F44C4"/>
    <w:rsid w:val="009F4F35"/>
    <w:rsid w:val="009F5802"/>
    <w:rsid w:val="009F65FC"/>
    <w:rsid w:val="009F7236"/>
    <w:rsid w:val="009F7FE5"/>
    <w:rsid w:val="00A0081D"/>
    <w:rsid w:val="00A03628"/>
    <w:rsid w:val="00A0382F"/>
    <w:rsid w:val="00A0441D"/>
    <w:rsid w:val="00A0626F"/>
    <w:rsid w:val="00A075EE"/>
    <w:rsid w:val="00A11A62"/>
    <w:rsid w:val="00A1668E"/>
    <w:rsid w:val="00A172B5"/>
    <w:rsid w:val="00A2051E"/>
    <w:rsid w:val="00A20F37"/>
    <w:rsid w:val="00A211DC"/>
    <w:rsid w:val="00A2222D"/>
    <w:rsid w:val="00A223D4"/>
    <w:rsid w:val="00A226AA"/>
    <w:rsid w:val="00A22AC4"/>
    <w:rsid w:val="00A23BB7"/>
    <w:rsid w:val="00A25335"/>
    <w:rsid w:val="00A324A4"/>
    <w:rsid w:val="00A338C5"/>
    <w:rsid w:val="00A3458D"/>
    <w:rsid w:val="00A3472D"/>
    <w:rsid w:val="00A3545C"/>
    <w:rsid w:val="00A36C3C"/>
    <w:rsid w:val="00A376A1"/>
    <w:rsid w:val="00A37F10"/>
    <w:rsid w:val="00A4001B"/>
    <w:rsid w:val="00A40923"/>
    <w:rsid w:val="00A41E6E"/>
    <w:rsid w:val="00A426BB"/>
    <w:rsid w:val="00A42F64"/>
    <w:rsid w:val="00A431A3"/>
    <w:rsid w:val="00A50D6F"/>
    <w:rsid w:val="00A52E93"/>
    <w:rsid w:val="00A52FE0"/>
    <w:rsid w:val="00A530D2"/>
    <w:rsid w:val="00A54B14"/>
    <w:rsid w:val="00A629BD"/>
    <w:rsid w:val="00A63539"/>
    <w:rsid w:val="00A651EF"/>
    <w:rsid w:val="00A664C6"/>
    <w:rsid w:val="00A6658F"/>
    <w:rsid w:val="00A666C4"/>
    <w:rsid w:val="00A674CF"/>
    <w:rsid w:val="00A72496"/>
    <w:rsid w:val="00A728A8"/>
    <w:rsid w:val="00A75806"/>
    <w:rsid w:val="00A81CBB"/>
    <w:rsid w:val="00A81F71"/>
    <w:rsid w:val="00A84DA3"/>
    <w:rsid w:val="00A8545B"/>
    <w:rsid w:val="00A8721F"/>
    <w:rsid w:val="00A87F8E"/>
    <w:rsid w:val="00A91076"/>
    <w:rsid w:val="00A91102"/>
    <w:rsid w:val="00A92B0D"/>
    <w:rsid w:val="00A93BF1"/>
    <w:rsid w:val="00A9496B"/>
    <w:rsid w:val="00A95567"/>
    <w:rsid w:val="00A97357"/>
    <w:rsid w:val="00A97818"/>
    <w:rsid w:val="00AA31DD"/>
    <w:rsid w:val="00AA32B8"/>
    <w:rsid w:val="00AA34A6"/>
    <w:rsid w:val="00AA3565"/>
    <w:rsid w:val="00AA3D9F"/>
    <w:rsid w:val="00AA48CC"/>
    <w:rsid w:val="00AA51DF"/>
    <w:rsid w:val="00AA57CA"/>
    <w:rsid w:val="00AA6274"/>
    <w:rsid w:val="00AA6603"/>
    <w:rsid w:val="00AA6703"/>
    <w:rsid w:val="00AA67FE"/>
    <w:rsid w:val="00AA69DD"/>
    <w:rsid w:val="00AA6A7E"/>
    <w:rsid w:val="00AA6D12"/>
    <w:rsid w:val="00AA7213"/>
    <w:rsid w:val="00AA7AA5"/>
    <w:rsid w:val="00AA7DA2"/>
    <w:rsid w:val="00AA7DAD"/>
    <w:rsid w:val="00AB368E"/>
    <w:rsid w:val="00AB3A44"/>
    <w:rsid w:val="00AB4282"/>
    <w:rsid w:val="00AB5FDA"/>
    <w:rsid w:val="00AB67A2"/>
    <w:rsid w:val="00AB711E"/>
    <w:rsid w:val="00AB7F92"/>
    <w:rsid w:val="00AC046A"/>
    <w:rsid w:val="00AC1810"/>
    <w:rsid w:val="00AC5CEE"/>
    <w:rsid w:val="00AC70C0"/>
    <w:rsid w:val="00AD1FBB"/>
    <w:rsid w:val="00AD2964"/>
    <w:rsid w:val="00AD3491"/>
    <w:rsid w:val="00AD5611"/>
    <w:rsid w:val="00AD5B42"/>
    <w:rsid w:val="00AD61E3"/>
    <w:rsid w:val="00AD6B00"/>
    <w:rsid w:val="00AD72DA"/>
    <w:rsid w:val="00AE387E"/>
    <w:rsid w:val="00AE3D17"/>
    <w:rsid w:val="00AE4A8A"/>
    <w:rsid w:val="00AE6527"/>
    <w:rsid w:val="00AF015F"/>
    <w:rsid w:val="00AF2506"/>
    <w:rsid w:val="00AF3B2A"/>
    <w:rsid w:val="00AF45AB"/>
    <w:rsid w:val="00AF5D64"/>
    <w:rsid w:val="00B00F2D"/>
    <w:rsid w:val="00B0167D"/>
    <w:rsid w:val="00B020FD"/>
    <w:rsid w:val="00B038BC"/>
    <w:rsid w:val="00B0424F"/>
    <w:rsid w:val="00B04E98"/>
    <w:rsid w:val="00B06A13"/>
    <w:rsid w:val="00B07037"/>
    <w:rsid w:val="00B07722"/>
    <w:rsid w:val="00B14FFD"/>
    <w:rsid w:val="00B16635"/>
    <w:rsid w:val="00B16DA5"/>
    <w:rsid w:val="00B17258"/>
    <w:rsid w:val="00B203A3"/>
    <w:rsid w:val="00B20439"/>
    <w:rsid w:val="00B21D27"/>
    <w:rsid w:val="00B2312E"/>
    <w:rsid w:val="00B239FB"/>
    <w:rsid w:val="00B24783"/>
    <w:rsid w:val="00B24A71"/>
    <w:rsid w:val="00B26080"/>
    <w:rsid w:val="00B27DE6"/>
    <w:rsid w:val="00B33305"/>
    <w:rsid w:val="00B3485E"/>
    <w:rsid w:val="00B34F6C"/>
    <w:rsid w:val="00B37C37"/>
    <w:rsid w:val="00B37FCB"/>
    <w:rsid w:val="00B4032F"/>
    <w:rsid w:val="00B41518"/>
    <w:rsid w:val="00B418E8"/>
    <w:rsid w:val="00B4260E"/>
    <w:rsid w:val="00B4348F"/>
    <w:rsid w:val="00B4474F"/>
    <w:rsid w:val="00B44880"/>
    <w:rsid w:val="00B4671B"/>
    <w:rsid w:val="00B472EF"/>
    <w:rsid w:val="00B507AB"/>
    <w:rsid w:val="00B5207A"/>
    <w:rsid w:val="00B5283B"/>
    <w:rsid w:val="00B53DA1"/>
    <w:rsid w:val="00B57BC7"/>
    <w:rsid w:val="00B60058"/>
    <w:rsid w:val="00B60945"/>
    <w:rsid w:val="00B60CAE"/>
    <w:rsid w:val="00B61260"/>
    <w:rsid w:val="00B62222"/>
    <w:rsid w:val="00B62999"/>
    <w:rsid w:val="00B64B85"/>
    <w:rsid w:val="00B65C56"/>
    <w:rsid w:val="00B71E2E"/>
    <w:rsid w:val="00B74A77"/>
    <w:rsid w:val="00B74D19"/>
    <w:rsid w:val="00B753D8"/>
    <w:rsid w:val="00B764A4"/>
    <w:rsid w:val="00B773F1"/>
    <w:rsid w:val="00B80962"/>
    <w:rsid w:val="00B8189D"/>
    <w:rsid w:val="00B82180"/>
    <w:rsid w:val="00B8244B"/>
    <w:rsid w:val="00B82506"/>
    <w:rsid w:val="00B82A85"/>
    <w:rsid w:val="00B85EEF"/>
    <w:rsid w:val="00B875F7"/>
    <w:rsid w:val="00B92625"/>
    <w:rsid w:val="00B92846"/>
    <w:rsid w:val="00B92DE1"/>
    <w:rsid w:val="00B93BB8"/>
    <w:rsid w:val="00B93D75"/>
    <w:rsid w:val="00B94A2B"/>
    <w:rsid w:val="00B94A55"/>
    <w:rsid w:val="00B96CC6"/>
    <w:rsid w:val="00B96D98"/>
    <w:rsid w:val="00B9741F"/>
    <w:rsid w:val="00B978DE"/>
    <w:rsid w:val="00B97E73"/>
    <w:rsid w:val="00B97EFE"/>
    <w:rsid w:val="00BA0CF7"/>
    <w:rsid w:val="00BA1BA0"/>
    <w:rsid w:val="00BA2B0E"/>
    <w:rsid w:val="00BA4F54"/>
    <w:rsid w:val="00BA5026"/>
    <w:rsid w:val="00BA6F35"/>
    <w:rsid w:val="00BA7404"/>
    <w:rsid w:val="00BA7AB7"/>
    <w:rsid w:val="00BB114E"/>
    <w:rsid w:val="00BB22D3"/>
    <w:rsid w:val="00BB2810"/>
    <w:rsid w:val="00BB3B42"/>
    <w:rsid w:val="00BB3CC8"/>
    <w:rsid w:val="00BB4B42"/>
    <w:rsid w:val="00BB6182"/>
    <w:rsid w:val="00BC0BEB"/>
    <w:rsid w:val="00BC181A"/>
    <w:rsid w:val="00BC281E"/>
    <w:rsid w:val="00BC3F56"/>
    <w:rsid w:val="00BC7468"/>
    <w:rsid w:val="00BC74EA"/>
    <w:rsid w:val="00BD16A2"/>
    <w:rsid w:val="00BD3919"/>
    <w:rsid w:val="00BD4FCF"/>
    <w:rsid w:val="00BD5CF4"/>
    <w:rsid w:val="00BD5DFF"/>
    <w:rsid w:val="00BD625A"/>
    <w:rsid w:val="00BD67FB"/>
    <w:rsid w:val="00BD68F5"/>
    <w:rsid w:val="00BD7797"/>
    <w:rsid w:val="00BE1DA4"/>
    <w:rsid w:val="00BE299F"/>
    <w:rsid w:val="00BE407A"/>
    <w:rsid w:val="00BE526F"/>
    <w:rsid w:val="00BE6C24"/>
    <w:rsid w:val="00BE6FF8"/>
    <w:rsid w:val="00BE7276"/>
    <w:rsid w:val="00BF02DB"/>
    <w:rsid w:val="00BF09A0"/>
    <w:rsid w:val="00BF258C"/>
    <w:rsid w:val="00BF363C"/>
    <w:rsid w:val="00BF4293"/>
    <w:rsid w:val="00BF4CE1"/>
    <w:rsid w:val="00BF535B"/>
    <w:rsid w:val="00BF5D3D"/>
    <w:rsid w:val="00BF67E0"/>
    <w:rsid w:val="00BF716F"/>
    <w:rsid w:val="00C00401"/>
    <w:rsid w:val="00C00E62"/>
    <w:rsid w:val="00C01F1D"/>
    <w:rsid w:val="00C0391A"/>
    <w:rsid w:val="00C04702"/>
    <w:rsid w:val="00C04B94"/>
    <w:rsid w:val="00C10C7A"/>
    <w:rsid w:val="00C10D3C"/>
    <w:rsid w:val="00C10D62"/>
    <w:rsid w:val="00C111CD"/>
    <w:rsid w:val="00C11808"/>
    <w:rsid w:val="00C14A18"/>
    <w:rsid w:val="00C15B54"/>
    <w:rsid w:val="00C16787"/>
    <w:rsid w:val="00C20237"/>
    <w:rsid w:val="00C218F5"/>
    <w:rsid w:val="00C220EE"/>
    <w:rsid w:val="00C232F0"/>
    <w:rsid w:val="00C23AAD"/>
    <w:rsid w:val="00C2435A"/>
    <w:rsid w:val="00C252FA"/>
    <w:rsid w:val="00C25C22"/>
    <w:rsid w:val="00C2647C"/>
    <w:rsid w:val="00C279A4"/>
    <w:rsid w:val="00C30239"/>
    <w:rsid w:val="00C3314A"/>
    <w:rsid w:val="00C3374C"/>
    <w:rsid w:val="00C356A0"/>
    <w:rsid w:val="00C35902"/>
    <w:rsid w:val="00C35FF3"/>
    <w:rsid w:val="00C369D6"/>
    <w:rsid w:val="00C40662"/>
    <w:rsid w:val="00C40A5C"/>
    <w:rsid w:val="00C40F84"/>
    <w:rsid w:val="00C414CB"/>
    <w:rsid w:val="00C42D27"/>
    <w:rsid w:val="00C436A5"/>
    <w:rsid w:val="00C453D9"/>
    <w:rsid w:val="00C47BBE"/>
    <w:rsid w:val="00C50C02"/>
    <w:rsid w:val="00C51741"/>
    <w:rsid w:val="00C53D5D"/>
    <w:rsid w:val="00C54987"/>
    <w:rsid w:val="00C551E4"/>
    <w:rsid w:val="00C553E1"/>
    <w:rsid w:val="00C55447"/>
    <w:rsid w:val="00C56984"/>
    <w:rsid w:val="00C56C39"/>
    <w:rsid w:val="00C57AE9"/>
    <w:rsid w:val="00C605DC"/>
    <w:rsid w:val="00C62158"/>
    <w:rsid w:val="00C62304"/>
    <w:rsid w:val="00C630C4"/>
    <w:rsid w:val="00C63926"/>
    <w:rsid w:val="00C64028"/>
    <w:rsid w:val="00C64311"/>
    <w:rsid w:val="00C6713C"/>
    <w:rsid w:val="00C72907"/>
    <w:rsid w:val="00C736C7"/>
    <w:rsid w:val="00C73A38"/>
    <w:rsid w:val="00C74FE8"/>
    <w:rsid w:val="00C755F1"/>
    <w:rsid w:val="00C75FFD"/>
    <w:rsid w:val="00C802E0"/>
    <w:rsid w:val="00C807BB"/>
    <w:rsid w:val="00C81853"/>
    <w:rsid w:val="00C82DB3"/>
    <w:rsid w:val="00C844EE"/>
    <w:rsid w:val="00C8721F"/>
    <w:rsid w:val="00C878A5"/>
    <w:rsid w:val="00C90DF7"/>
    <w:rsid w:val="00C90F61"/>
    <w:rsid w:val="00C9144C"/>
    <w:rsid w:val="00C917EB"/>
    <w:rsid w:val="00C926C2"/>
    <w:rsid w:val="00C9412E"/>
    <w:rsid w:val="00C94420"/>
    <w:rsid w:val="00C94427"/>
    <w:rsid w:val="00C9456F"/>
    <w:rsid w:val="00C96146"/>
    <w:rsid w:val="00C966EA"/>
    <w:rsid w:val="00C969C9"/>
    <w:rsid w:val="00C96B37"/>
    <w:rsid w:val="00C96C8D"/>
    <w:rsid w:val="00CA16E5"/>
    <w:rsid w:val="00CA23AD"/>
    <w:rsid w:val="00CA3B54"/>
    <w:rsid w:val="00CA4A3C"/>
    <w:rsid w:val="00CA4DED"/>
    <w:rsid w:val="00CA6209"/>
    <w:rsid w:val="00CA6D1D"/>
    <w:rsid w:val="00CA6FC2"/>
    <w:rsid w:val="00CA7B61"/>
    <w:rsid w:val="00CB1166"/>
    <w:rsid w:val="00CB25D8"/>
    <w:rsid w:val="00CB3655"/>
    <w:rsid w:val="00CB3EAA"/>
    <w:rsid w:val="00CB3FDC"/>
    <w:rsid w:val="00CB433B"/>
    <w:rsid w:val="00CB5142"/>
    <w:rsid w:val="00CB5470"/>
    <w:rsid w:val="00CB54C2"/>
    <w:rsid w:val="00CB7154"/>
    <w:rsid w:val="00CB78F5"/>
    <w:rsid w:val="00CC1A11"/>
    <w:rsid w:val="00CC3E59"/>
    <w:rsid w:val="00CC5C62"/>
    <w:rsid w:val="00CC5E58"/>
    <w:rsid w:val="00CC624F"/>
    <w:rsid w:val="00CC6D1B"/>
    <w:rsid w:val="00CC6D76"/>
    <w:rsid w:val="00CC6FAA"/>
    <w:rsid w:val="00CD05F4"/>
    <w:rsid w:val="00CD1528"/>
    <w:rsid w:val="00CD4FF3"/>
    <w:rsid w:val="00CD5A37"/>
    <w:rsid w:val="00CE0407"/>
    <w:rsid w:val="00CE0478"/>
    <w:rsid w:val="00CE06C2"/>
    <w:rsid w:val="00CE191C"/>
    <w:rsid w:val="00CE1C8E"/>
    <w:rsid w:val="00CE35C3"/>
    <w:rsid w:val="00CE3C19"/>
    <w:rsid w:val="00CE43EC"/>
    <w:rsid w:val="00CE4918"/>
    <w:rsid w:val="00CE4E9D"/>
    <w:rsid w:val="00CE5925"/>
    <w:rsid w:val="00CE63B4"/>
    <w:rsid w:val="00CE65B1"/>
    <w:rsid w:val="00CE6689"/>
    <w:rsid w:val="00CE720A"/>
    <w:rsid w:val="00CF0E0C"/>
    <w:rsid w:val="00CF1CEB"/>
    <w:rsid w:val="00CF29A2"/>
    <w:rsid w:val="00CF33B8"/>
    <w:rsid w:val="00CF376C"/>
    <w:rsid w:val="00CF4EAC"/>
    <w:rsid w:val="00CF61D8"/>
    <w:rsid w:val="00D00951"/>
    <w:rsid w:val="00D01024"/>
    <w:rsid w:val="00D01B00"/>
    <w:rsid w:val="00D03CF8"/>
    <w:rsid w:val="00D04B00"/>
    <w:rsid w:val="00D06816"/>
    <w:rsid w:val="00D06F96"/>
    <w:rsid w:val="00D1106D"/>
    <w:rsid w:val="00D13A34"/>
    <w:rsid w:val="00D15FF0"/>
    <w:rsid w:val="00D17838"/>
    <w:rsid w:val="00D2127F"/>
    <w:rsid w:val="00D21B06"/>
    <w:rsid w:val="00D23BFE"/>
    <w:rsid w:val="00D247F8"/>
    <w:rsid w:val="00D254BF"/>
    <w:rsid w:val="00D25D68"/>
    <w:rsid w:val="00D27FE5"/>
    <w:rsid w:val="00D30836"/>
    <w:rsid w:val="00D3139A"/>
    <w:rsid w:val="00D31C59"/>
    <w:rsid w:val="00D3217E"/>
    <w:rsid w:val="00D322E0"/>
    <w:rsid w:val="00D3239D"/>
    <w:rsid w:val="00D324C2"/>
    <w:rsid w:val="00D33724"/>
    <w:rsid w:val="00D35519"/>
    <w:rsid w:val="00D35D05"/>
    <w:rsid w:val="00D3618F"/>
    <w:rsid w:val="00D36615"/>
    <w:rsid w:val="00D3793F"/>
    <w:rsid w:val="00D40F81"/>
    <w:rsid w:val="00D44891"/>
    <w:rsid w:val="00D44896"/>
    <w:rsid w:val="00D45E88"/>
    <w:rsid w:val="00D4797B"/>
    <w:rsid w:val="00D50553"/>
    <w:rsid w:val="00D50FBC"/>
    <w:rsid w:val="00D510AA"/>
    <w:rsid w:val="00D520E4"/>
    <w:rsid w:val="00D5381D"/>
    <w:rsid w:val="00D54FB2"/>
    <w:rsid w:val="00D56547"/>
    <w:rsid w:val="00D5727D"/>
    <w:rsid w:val="00D579A1"/>
    <w:rsid w:val="00D57CAF"/>
    <w:rsid w:val="00D607BF"/>
    <w:rsid w:val="00D6270F"/>
    <w:rsid w:val="00D636DF"/>
    <w:rsid w:val="00D63967"/>
    <w:rsid w:val="00D72B44"/>
    <w:rsid w:val="00D74854"/>
    <w:rsid w:val="00D80838"/>
    <w:rsid w:val="00D8167F"/>
    <w:rsid w:val="00D83AEE"/>
    <w:rsid w:val="00D84167"/>
    <w:rsid w:val="00D85649"/>
    <w:rsid w:val="00D85948"/>
    <w:rsid w:val="00D85CC8"/>
    <w:rsid w:val="00D864A1"/>
    <w:rsid w:val="00D86502"/>
    <w:rsid w:val="00D8681D"/>
    <w:rsid w:val="00D872A3"/>
    <w:rsid w:val="00D913BF"/>
    <w:rsid w:val="00D922D9"/>
    <w:rsid w:val="00D930CF"/>
    <w:rsid w:val="00D95127"/>
    <w:rsid w:val="00D965D3"/>
    <w:rsid w:val="00D97EE3"/>
    <w:rsid w:val="00DA0720"/>
    <w:rsid w:val="00DA4ADE"/>
    <w:rsid w:val="00DA6271"/>
    <w:rsid w:val="00DA6D70"/>
    <w:rsid w:val="00DA6E2B"/>
    <w:rsid w:val="00DA7385"/>
    <w:rsid w:val="00DB02D8"/>
    <w:rsid w:val="00DB04A0"/>
    <w:rsid w:val="00DB1AD0"/>
    <w:rsid w:val="00DB4FBD"/>
    <w:rsid w:val="00DB6DE5"/>
    <w:rsid w:val="00DB6E21"/>
    <w:rsid w:val="00DB70FD"/>
    <w:rsid w:val="00DB7957"/>
    <w:rsid w:val="00DC0BAF"/>
    <w:rsid w:val="00DC3047"/>
    <w:rsid w:val="00DC3304"/>
    <w:rsid w:val="00DC4737"/>
    <w:rsid w:val="00DC5157"/>
    <w:rsid w:val="00DC5380"/>
    <w:rsid w:val="00DC5B94"/>
    <w:rsid w:val="00DC676D"/>
    <w:rsid w:val="00DC7590"/>
    <w:rsid w:val="00DC773C"/>
    <w:rsid w:val="00DD1F82"/>
    <w:rsid w:val="00DD6EEF"/>
    <w:rsid w:val="00DE0F97"/>
    <w:rsid w:val="00DE366E"/>
    <w:rsid w:val="00DE62B4"/>
    <w:rsid w:val="00DE65DD"/>
    <w:rsid w:val="00DE6A58"/>
    <w:rsid w:val="00DE75BF"/>
    <w:rsid w:val="00DF1E2D"/>
    <w:rsid w:val="00DF2FFB"/>
    <w:rsid w:val="00E00A20"/>
    <w:rsid w:val="00E01074"/>
    <w:rsid w:val="00E01846"/>
    <w:rsid w:val="00E01C57"/>
    <w:rsid w:val="00E03780"/>
    <w:rsid w:val="00E03AA5"/>
    <w:rsid w:val="00E06CB7"/>
    <w:rsid w:val="00E07F07"/>
    <w:rsid w:val="00E10CF1"/>
    <w:rsid w:val="00E12C2B"/>
    <w:rsid w:val="00E14FE7"/>
    <w:rsid w:val="00E1717A"/>
    <w:rsid w:val="00E17241"/>
    <w:rsid w:val="00E17835"/>
    <w:rsid w:val="00E21601"/>
    <w:rsid w:val="00E23059"/>
    <w:rsid w:val="00E245F7"/>
    <w:rsid w:val="00E247A1"/>
    <w:rsid w:val="00E2607A"/>
    <w:rsid w:val="00E267F6"/>
    <w:rsid w:val="00E30AD3"/>
    <w:rsid w:val="00E31477"/>
    <w:rsid w:val="00E356DD"/>
    <w:rsid w:val="00E35B8B"/>
    <w:rsid w:val="00E407B8"/>
    <w:rsid w:val="00E40EA7"/>
    <w:rsid w:val="00E42216"/>
    <w:rsid w:val="00E42FBD"/>
    <w:rsid w:val="00E43031"/>
    <w:rsid w:val="00E44099"/>
    <w:rsid w:val="00E45B61"/>
    <w:rsid w:val="00E45C08"/>
    <w:rsid w:val="00E471C7"/>
    <w:rsid w:val="00E515A6"/>
    <w:rsid w:val="00E52714"/>
    <w:rsid w:val="00E55CF5"/>
    <w:rsid w:val="00E62067"/>
    <w:rsid w:val="00E63C11"/>
    <w:rsid w:val="00E64B66"/>
    <w:rsid w:val="00E6533B"/>
    <w:rsid w:val="00E66303"/>
    <w:rsid w:val="00E6670F"/>
    <w:rsid w:val="00E67132"/>
    <w:rsid w:val="00E71528"/>
    <w:rsid w:val="00E72A5A"/>
    <w:rsid w:val="00E73485"/>
    <w:rsid w:val="00E7362E"/>
    <w:rsid w:val="00E745D7"/>
    <w:rsid w:val="00E75893"/>
    <w:rsid w:val="00E768F6"/>
    <w:rsid w:val="00E76D9B"/>
    <w:rsid w:val="00E7784F"/>
    <w:rsid w:val="00E778C6"/>
    <w:rsid w:val="00E77BBE"/>
    <w:rsid w:val="00E77DF1"/>
    <w:rsid w:val="00E80722"/>
    <w:rsid w:val="00E8095C"/>
    <w:rsid w:val="00E818E6"/>
    <w:rsid w:val="00E81E88"/>
    <w:rsid w:val="00E81EE8"/>
    <w:rsid w:val="00E84C91"/>
    <w:rsid w:val="00E85883"/>
    <w:rsid w:val="00E85BB4"/>
    <w:rsid w:val="00E85C38"/>
    <w:rsid w:val="00E90438"/>
    <w:rsid w:val="00E9051C"/>
    <w:rsid w:val="00E94193"/>
    <w:rsid w:val="00E943A2"/>
    <w:rsid w:val="00E950DC"/>
    <w:rsid w:val="00E96509"/>
    <w:rsid w:val="00EA0B4F"/>
    <w:rsid w:val="00EA0CF9"/>
    <w:rsid w:val="00EA3F73"/>
    <w:rsid w:val="00EA7C14"/>
    <w:rsid w:val="00EA7F64"/>
    <w:rsid w:val="00EB0729"/>
    <w:rsid w:val="00EB0A18"/>
    <w:rsid w:val="00EB2046"/>
    <w:rsid w:val="00EB2A1F"/>
    <w:rsid w:val="00EB4E9B"/>
    <w:rsid w:val="00EB5534"/>
    <w:rsid w:val="00EB5EDF"/>
    <w:rsid w:val="00EB622A"/>
    <w:rsid w:val="00EB6A10"/>
    <w:rsid w:val="00EB79D0"/>
    <w:rsid w:val="00EC0036"/>
    <w:rsid w:val="00EC01C4"/>
    <w:rsid w:val="00EC25FD"/>
    <w:rsid w:val="00EC33A8"/>
    <w:rsid w:val="00EC4461"/>
    <w:rsid w:val="00EC5690"/>
    <w:rsid w:val="00EC66E7"/>
    <w:rsid w:val="00EC6A9B"/>
    <w:rsid w:val="00ED0439"/>
    <w:rsid w:val="00ED062D"/>
    <w:rsid w:val="00ED11F5"/>
    <w:rsid w:val="00ED132C"/>
    <w:rsid w:val="00ED27B1"/>
    <w:rsid w:val="00ED3395"/>
    <w:rsid w:val="00ED33FF"/>
    <w:rsid w:val="00ED3663"/>
    <w:rsid w:val="00ED3C2C"/>
    <w:rsid w:val="00ED5B70"/>
    <w:rsid w:val="00EE080C"/>
    <w:rsid w:val="00EE1DCD"/>
    <w:rsid w:val="00EE1EE2"/>
    <w:rsid w:val="00EE39A3"/>
    <w:rsid w:val="00EE4772"/>
    <w:rsid w:val="00EE753A"/>
    <w:rsid w:val="00EF4CCB"/>
    <w:rsid w:val="00EF4F7B"/>
    <w:rsid w:val="00EF6A27"/>
    <w:rsid w:val="00EF7163"/>
    <w:rsid w:val="00EF7744"/>
    <w:rsid w:val="00F00D38"/>
    <w:rsid w:val="00F026DB"/>
    <w:rsid w:val="00F03590"/>
    <w:rsid w:val="00F04066"/>
    <w:rsid w:val="00F05932"/>
    <w:rsid w:val="00F062BE"/>
    <w:rsid w:val="00F07AA5"/>
    <w:rsid w:val="00F10C7A"/>
    <w:rsid w:val="00F13B61"/>
    <w:rsid w:val="00F16431"/>
    <w:rsid w:val="00F16B03"/>
    <w:rsid w:val="00F177DE"/>
    <w:rsid w:val="00F22F16"/>
    <w:rsid w:val="00F24236"/>
    <w:rsid w:val="00F24A0C"/>
    <w:rsid w:val="00F2529C"/>
    <w:rsid w:val="00F25583"/>
    <w:rsid w:val="00F26380"/>
    <w:rsid w:val="00F26813"/>
    <w:rsid w:val="00F27301"/>
    <w:rsid w:val="00F275B2"/>
    <w:rsid w:val="00F32672"/>
    <w:rsid w:val="00F3280A"/>
    <w:rsid w:val="00F332FF"/>
    <w:rsid w:val="00F33A1D"/>
    <w:rsid w:val="00F365C0"/>
    <w:rsid w:val="00F37D44"/>
    <w:rsid w:val="00F4107E"/>
    <w:rsid w:val="00F41734"/>
    <w:rsid w:val="00F422FF"/>
    <w:rsid w:val="00F423F3"/>
    <w:rsid w:val="00F42609"/>
    <w:rsid w:val="00F43345"/>
    <w:rsid w:val="00F43D88"/>
    <w:rsid w:val="00F45208"/>
    <w:rsid w:val="00F45BF6"/>
    <w:rsid w:val="00F46BFE"/>
    <w:rsid w:val="00F503DE"/>
    <w:rsid w:val="00F54B63"/>
    <w:rsid w:val="00F552DB"/>
    <w:rsid w:val="00F56E80"/>
    <w:rsid w:val="00F6053D"/>
    <w:rsid w:val="00F61D4D"/>
    <w:rsid w:val="00F627BB"/>
    <w:rsid w:val="00F6354C"/>
    <w:rsid w:val="00F63D19"/>
    <w:rsid w:val="00F63F2D"/>
    <w:rsid w:val="00F70D6E"/>
    <w:rsid w:val="00F71657"/>
    <w:rsid w:val="00F73499"/>
    <w:rsid w:val="00F73FF4"/>
    <w:rsid w:val="00F749B6"/>
    <w:rsid w:val="00F764E3"/>
    <w:rsid w:val="00F76FE7"/>
    <w:rsid w:val="00F779B6"/>
    <w:rsid w:val="00F80B35"/>
    <w:rsid w:val="00F80F06"/>
    <w:rsid w:val="00F81289"/>
    <w:rsid w:val="00F822DF"/>
    <w:rsid w:val="00F83243"/>
    <w:rsid w:val="00F8753E"/>
    <w:rsid w:val="00F878D0"/>
    <w:rsid w:val="00F87D7A"/>
    <w:rsid w:val="00F91319"/>
    <w:rsid w:val="00F917EA"/>
    <w:rsid w:val="00F9188A"/>
    <w:rsid w:val="00F92187"/>
    <w:rsid w:val="00F92640"/>
    <w:rsid w:val="00F93477"/>
    <w:rsid w:val="00F93F35"/>
    <w:rsid w:val="00F9421E"/>
    <w:rsid w:val="00F942A9"/>
    <w:rsid w:val="00F94496"/>
    <w:rsid w:val="00F95A9F"/>
    <w:rsid w:val="00FA0A10"/>
    <w:rsid w:val="00FA1DB5"/>
    <w:rsid w:val="00FA22D0"/>
    <w:rsid w:val="00FA3053"/>
    <w:rsid w:val="00FA5415"/>
    <w:rsid w:val="00FA59BB"/>
    <w:rsid w:val="00FA5FA0"/>
    <w:rsid w:val="00FA6574"/>
    <w:rsid w:val="00FB130C"/>
    <w:rsid w:val="00FB2287"/>
    <w:rsid w:val="00FB3E11"/>
    <w:rsid w:val="00FB4478"/>
    <w:rsid w:val="00FB50EF"/>
    <w:rsid w:val="00FB5981"/>
    <w:rsid w:val="00FB66F9"/>
    <w:rsid w:val="00FB7014"/>
    <w:rsid w:val="00FC18ED"/>
    <w:rsid w:val="00FC1AB2"/>
    <w:rsid w:val="00FC2689"/>
    <w:rsid w:val="00FC2C35"/>
    <w:rsid w:val="00FC36C2"/>
    <w:rsid w:val="00FC3D8D"/>
    <w:rsid w:val="00FC4910"/>
    <w:rsid w:val="00FC621F"/>
    <w:rsid w:val="00FC65AA"/>
    <w:rsid w:val="00FC6F3E"/>
    <w:rsid w:val="00FD0193"/>
    <w:rsid w:val="00FD01A0"/>
    <w:rsid w:val="00FD0876"/>
    <w:rsid w:val="00FD0ECA"/>
    <w:rsid w:val="00FD2C59"/>
    <w:rsid w:val="00FD431F"/>
    <w:rsid w:val="00FD67D5"/>
    <w:rsid w:val="00FD78C5"/>
    <w:rsid w:val="00FD7DD6"/>
    <w:rsid w:val="00FE0FA7"/>
    <w:rsid w:val="00FE3480"/>
    <w:rsid w:val="00FE55C0"/>
    <w:rsid w:val="00FE60EA"/>
    <w:rsid w:val="00FE6616"/>
    <w:rsid w:val="00FE7D6F"/>
    <w:rsid w:val="00FE7E6D"/>
    <w:rsid w:val="00FF007E"/>
    <w:rsid w:val="00FF0F48"/>
    <w:rsid w:val="00FF2C54"/>
    <w:rsid w:val="00FF2E1B"/>
    <w:rsid w:val="00FF3654"/>
    <w:rsid w:val="00FF4339"/>
    <w:rsid w:val="00FF5B29"/>
    <w:rsid w:val="00FF5BB9"/>
    <w:rsid w:val="00FF7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720"/>
  <w15:chartTrackingRefBased/>
  <w15:docId w15:val="{93A36B5D-D771-4709-B8C9-D99832A8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7744"/>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5B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5B70"/>
  </w:style>
  <w:style w:type="paragraph" w:styleId="Pidipagina">
    <w:name w:val="footer"/>
    <w:basedOn w:val="Normale"/>
    <w:link w:val="PidipaginaCarattere"/>
    <w:unhideWhenUsed/>
    <w:rsid w:val="00ED5B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5B70"/>
  </w:style>
  <w:style w:type="paragraph" w:styleId="Testonotaapidipagina">
    <w:name w:val="footnote text"/>
    <w:basedOn w:val="Normale"/>
    <w:link w:val="TestonotaapidipaginaCarattere"/>
    <w:unhideWhenUsed/>
    <w:rsid w:val="00332AA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2AA4"/>
    <w:rPr>
      <w:sz w:val="20"/>
      <w:szCs w:val="20"/>
    </w:rPr>
  </w:style>
  <w:style w:type="character" w:styleId="Rimandonotaapidipagina">
    <w:name w:val="footnote reference"/>
    <w:basedOn w:val="Carpredefinitoparagrafo"/>
    <w:semiHidden/>
    <w:unhideWhenUsed/>
    <w:rsid w:val="00332AA4"/>
    <w:rPr>
      <w:vertAlign w:val="superscript"/>
    </w:rPr>
  </w:style>
  <w:style w:type="paragraph" w:styleId="Puntoelenco">
    <w:name w:val="List Bullet"/>
    <w:basedOn w:val="Normale"/>
    <w:uiPriority w:val="99"/>
    <w:unhideWhenUsed/>
    <w:rsid w:val="00271AF4"/>
    <w:pPr>
      <w:numPr>
        <w:numId w:val="1"/>
      </w:numPr>
      <w:contextualSpacing/>
    </w:pPr>
  </w:style>
  <w:style w:type="character" w:styleId="Collegamentoipertestuale">
    <w:name w:val="Hyperlink"/>
    <w:basedOn w:val="Carpredefinitoparagrafo"/>
    <w:uiPriority w:val="99"/>
    <w:unhideWhenUsed/>
    <w:rsid w:val="004A5636"/>
    <w:rPr>
      <w:color w:val="0563C1" w:themeColor="hyperlink"/>
      <w:u w:val="single"/>
    </w:rPr>
  </w:style>
  <w:style w:type="character" w:styleId="Numeropagina">
    <w:name w:val="page number"/>
    <w:basedOn w:val="Carpredefinitoparagrafo"/>
    <w:uiPriority w:val="99"/>
    <w:semiHidden/>
    <w:unhideWhenUsed/>
    <w:rsid w:val="00903EB4"/>
  </w:style>
  <w:style w:type="paragraph" w:customStyle="1" w:styleId="Note">
    <w:name w:val="Note"/>
    <w:basedOn w:val="Testonotaapidipagina"/>
    <w:rsid w:val="00E42FBD"/>
    <w:pPr>
      <w:ind w:firstLine="709"/>
      <w:jc w:val="both"/>
    </w:pPr>
    <w:rPr>
      <w:rFonts w:ascii="Times New Roman" w:eastAsia="Times New Roman" w:hAnsi="Times New Roman" w:cs="Times New Roman"/>
      <w:snapToGrid w:val="0"/>
      <w:lang w:eastAsia="it-IT"/>
    </w:rPr>
  </w:style>
  <w:style w:type="paragraph" w:styleId="Testodelblocco">
    <w:name w:val="Block Text"/>
    <w:basedOn w:val="Normale"/>
    <w:rsid w:val="004E121E"/>
    <w:pPr>
      <w:spacing w:after="0" w:line="240" w:lineRule="auto"/>
      <w:ind w:left="709" w:right="992"/>
      <w:jc w:val="both"/>
    </w:pPr>
    <w:rPr>
      <w:rFonts w:ascii="Times New Roman" w:eastAsia="Times New Roman" w:hAnsi="Times New Roman" w:cs="Times New Roman"/>
      <w:sz w:val="24"/>
      <w:szCs w:val="20"/>
      <w:lang w:eastAsia="it-IT"/>
    </w:rPr>
  </w:style>
  <w:style w:type="paragraph" w:styleId="NormaleWeb">
    <w:name w:val="Normal (Web)"/>
    <w:basedOn w:val="Normale"/>
    <w:uiPriority w:val="99"/>
    <w:semiHidden/>
    <w:unhideWhenUsed/>
    <w:rsid w:val="00F627B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95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1218">
      <w:bodyDiv w:val="1"/>
      <w:marLeft w:val="0"/>
      <w:marRight w:val="0"/>
      <w:marTop w:val="0"/>
      <w:marBottom w:val="0"/>
      <w:divBdr>
        <w:top w:val="none" w:sz="0" w:space="0" w:color="auto"/>
        <w:left w:val="none" w:sz="0" w:space="0" w:color="auto"/>
        <w:bottom w:val="none" w:sz="0" w:space="0" w:color="auto"/>
        <w:right w:val="none" w:sz="0" w:space="0" w:color="auto"/>
      </w:divBdr>
    </w:div>
    <w:div w:id="602617902">
      <w:bodyDiv w:val="1"/>
      <w:marLeft w:val="0"/>
      <w:marRight w:val="0"/>
      <w:marTop w:val="0"/>
      <w:marBottom w:val="0"/>
      <w:divBdr>
        <w:top w:val="none" w:sz="0" w:space="0" w:color="auto"/>
        <w:left w:val="none" w:sz="0" w:space="0" w:color="auto"/>
        <w:bottom w:val="none" w:sz="0" w:space="0" w:color="auto"/>
        <w:right w:val="none" w:sz="0" w:space="0" w:color="auto"/>
      </w:divBdr>
      <w:divsChild>
        <w:div w:id="426005212">
          <w:marLeft w:val="0"/>
          <w:marRight w:val="0"/>
          <w:marTop w:val="0"/>
          <w:marBottom w:val="0"/>
          <w:divBdr>
            <w:top w:val="none" w:sz="0" w:space="0" w:color="auto"/>
            <w:left w:val="none" w:sz="0" w:space="0" w:color="auto"/>
            <w:bottom w:val="none" w:sz="0" w:space="0" w:color="auto"/>
            <w:right w:val="none" w:sz="0" w:space="0" w:color="auto"/>
          </w:divBdr>
        </w:div>
        <w:div w:id="1499228480">
          <w:marLeft w:val="0"/>
          <w:marRight w:val="0"/>
          <w:marTop w:val="0"/>
          <w:marBottom w:val="0"/>
          <w:divBdr>
            <w:top w:val="none" w:sz="0" w:space="0" w:color="auto"/>
            <w:left w:val="none" w:sz="0" w:space="0" w:color="auto"/>
            <w:bottom w:val="none" w:sz="0" w:space="0" w:color="auto"/>
            <w:right w:val="none" w:sz="0" w:space="0" w:color="auto"/>
          </w:divBdr>
        </w:div>
        <w:div w:id="1389958797">
          <w:marLeft w:val="0"/>
          <w:marRight w:val="0"/>
          <w:marTop w:val="0"/>
          <w:marBottom w:val="0"/>
          <w:divBdr>
            <w:top w:val="none" w:sz="0" w:space="0" w:color="auto"/>
            <w:left w:val="none" w:sz="0" w:space="0" w:color="auto"/>
            <w:bottom w:val="none" w:sz="0" w:space="0" w:color="auto"/>
            <w:right w:val="none" w:sz="0" w:space="0" w:color="auto"/>
          </w:divBdr>
        </w:div>
        <w:div w:id="889417595">
          <w:marLeft w:val="0"/>
          <w:marRight w:val="0"/>
          <w:marTop w:val="0"/>
          <w:marBottom w:val="0"/>
          <w:divBdr>
            <w:top w:val="none" w:sz="0" w:space="0" w:color="auto"/>
            <w:left w:val="none" w:sz="0" w:space="0" w:color="auto"/>
            <w:bottom w:val="none" w:sz="0" w:space="0" w:color="auto"/>
            <w:right w:val="none" w:sz="0" w:space="0" w:color="auto"/>
          </w:divBdr>
        </w:div>
        <w:div w:id="1844398805">
          <w:marLeft w:val="0"/>
          <w:marRight w:val="0"/>
          <w:marTop w:val="0"/>
          <w:marBottom w:val="0"/>
          <w:divBdr>
            <w:top w:val="none" w:sz="0" w:space="0" w:color="auto"/>
            <w:left w:val="none" w:sz="0" w:space="0" w:color="auto"/>
            <w:bottom w:val="none" w:sz="0" w:space="0" w:color="auto"/>
            <w:right w:val="none" w:sz="0" w:space="0" w:color="auto"/>
          </w:divBdr>
        </w:div>
        <w:div w:id="1773628912">
          <w:marLeft w:val="0"/>
          <w:marRight w:val="0"/>
          <w:marTop w:val="0"/>
          <w:marBottom w:val="0"/>
          <w:divBdr>
            <w:top w:val="none" w:sz="0" w:space="0" w:color="auto"/>
            <w:left w:val="none" w:sz="0" w:space="0" w:color="auto"/>
            <w:bottom w:val="none" w:sz="0" w:space="0" w:color="auto"/>
            <w:right w:val="none" w:sz="0" w:space="0" w:color="auto"/>
          </w:divBdr>
        </w:div>
        <w:div w:id="929853543">
          <w:marLeft w:val="0"/>
          <w:marRight w:val="0"/>
          <w:marTop w:val="0"/>
          <w:marBottom w:val="0"/>
          <w:divBdr>
            <w:top w:val="none" w:sz="0" w:space="0" w:color="auto"/>
            <w:left w:val="none" w:sz="0" w:space="0" w:color="auto"/>
            <w:bottom w:val="none" w:sz="0" w:space="0" w:color="auto"/>
            <w:right w:val="none" w:sz="0" w:space="0" w:color="auto"/>
          </w:divBdr>
        </w:div>
        <w:div w:id="1330906786">
          <w:marLeft w:val="0"/>
          <w:marRight w:val="0"/>
          <w:marTop w:val="0"/>
          <w:marBottom w:val="0"/>
          <w:divBdr>
            <w:top w:val="none" w:sz="0" w:space="0" w:color="auto"/>
            <w:left w:val="none" w:sz="0" w:space="0" w:color="auto"/>
            <w:bottom w:val="none" w:sz="0" w:space="0" w:color="auto"/>
            <w:right w:val="none" w:sz="0" w:space="0" w:color="auto"/>
          </w:divBdr>
        </w:div>
        <w:div w:id="35276570">
          <w:marLeft w:val="0"/>
          <w:marRight w:val="0"/>
          <w:marTop w:val="0"/>
          <w:marBottom w:val="0"/>
          <w:divBdr>
            <w:top w:val="none" w:sz="0" w:space="0" w:color="auto"/>
            <w:left w:val="none" w:sz="0" w:space="0" w:color="auto"/>
            <w:bottom w:val="none" w:sz="0" w:space="0" w:color="auto"/>
            <w:right w:val="none" w:sz="0" w:space="0" w:color="auto"/>
          </w:divBdr>
        </w:div>
        <w:div w:id="1338769923">
          <w:marLeft w:val="0"/>
          <w:marRight w:val="0"/>
          <w:marTop w:val="0"/>
          <w:marBottom w:val="0"/>
          <w:divBdr>
            <w:top w:val="none" w:sz="0" w:space="0" w:color="auto"/>
            <w:left w:val="none" w:sz="0" w:space="0" w:color="auto"/>
            <w:bottom w:val="none" w:sz="0" w:space="0" w:color="auto"/>
            <w:right w:val="none" w:sz="0" w:space="0" w:color="auto"/>
          </w:divBdr>
        </w:div>
        <w:div w:id="1039015265">
          <w:marLeft w:val="0"/>
          <w:marRight w:val="0"/>
          <w:marTop w:val="0"/>
          <w:marBottom w:val="0"/>
          <w:divBdr>
            <w:top w:val="none" w:sz="0" w:space="0" w:color="auto"/>
            <w:left w:val="none" w:sz="0" w:space="0" w:color="auto"/>
            <w:bottom w:val="none" w:sz="0" w:space="0" w:color="auto"/>
            <w:right w:val="none" w:sz="0" w:space="0" w:color="auto"/>
          </w:divBdr>
        </w:div>
        <w:div w:id="763721841">
          <w:marLeft w:val="0"/>
          <w:marRight w:val="0"/>
          <w:marTop w:val="0"/>
          <w:marBottom w:val="0"/>
          <w:divBdr>
            <w:top w:val="none" w:sz="0" w:space="0" w:color="auto"/>
            <w:left w:val="none" w:sz="0" w:space="0" w:color="auto"/>
            <w:bottom w:val="none" w:sz="0" w:space="0" w:color="auto"/>
            <w:right w:val="none" w:sz="0" w:space="0" w:color="auto"/>
          </w:divBdr>
        </w:div>
        <w:div w:id="1158376592">
          <w:marLeft w:val="0"/>
          <w:marRight w:val="0"/>
          <w:marTop w:val="0"/>
          <w:marBottom w:val="0"/>
          <w:divBdr>
            <w:top w:val="none" w:sz="0" w:space="0" w:color="auto"/>
            <w:left w:val="none" w:sz="0" w:space="0" w:color="auto"/>
            <w:bottom w:val="none" w:sz="0" w:space="0" w:color="auto"/>
            <w:right w:val="none" w:sz="0" w:space="0" w:color="auto"/>
          </w:divBdr>
        </w:div>
        <w:div w:id="1972899155">
          <w:marLeft w:val="0"/>
          <w:marRight w:val="0"/>
          <w:marTop w:val="0"/>
          <w:marBottom w:val="0"/>
          <w:divBdr>
            <w:top w:val="none" w:sz="0" w:space="0" w:color="auto"/>
            <w:left w:val="none" w:sz="0" w:space="0" w:color="auto"/>
            <w:bottom w:val="none" w:sz="0" w:space="0" w:color="auto"/>
            <w:right w:val="none" w:sz="0" w:space="0" w:color="auto"/>
          </w:divBdr>
        </w:div>
        <w:div w:id="1121459725">
          <w:marLeft w:val="0"/>
          <w:marRight w:val="0"/>
          <w:marTop w:val="0"/>
          <w:marBottom w:val="0"/>
          <w:divBdr>
            <w:top w:val="none" w:sz="0" w:space="0" w:color="auto"/>
            <w:left w:val="none" w:sz="0" w:space="0" w:color="auto"/>
            <w:bottom w:val="none" w:sz="0" w:space="0" w:color="auto"/>
            <w:right w:val="none" w:sz="0" w:space="0" w:color="auto"/>
          </w:divBdr>
        </w:div>
        <w:div w:id="1521309158">
          <w:marLeft w:val="0"/>
          <w:marRight w:val="0"/>
          <w:marTop w:val="0"/>
          <w:marBottom w:val="0"/>
          <w:divBdr>
            <w:top w:val="none" w:sz="0" w:space="0" w:color="auto"/>
            <w:left w:val="none" w:sz="0" w:space="0" w:color="auto"/>
            <w:bottom w:val="none" w:sz="0" w:space="0" w:color="auto"/>
            <w:right w:val="none" w:sz="0" w:space="0" w:color="auto"/>
          </w:divBdr>
        </w:div>
        <w:div w:id="192966164">
          <w:marLeft w:val="0"/>
          <w:marRight w:val="0"/>
          <w:marTop w:val="0"/>
          <w:marBottom w:val="0"/>
          <w:divBdr>
            <w:top w:val="none" w:sz="0" w:space="0" w:color="auto"/>
            <w:left w:val="none" w:sz="0" w:space="0" w:color="auto"/>
            <w:bottom w:val="none" w:sz="0" w:space="0" w:color="auto"/>
            <w:right w:val="none" w:sz="0" w:space="0" w:color="auto"/>
          </w:divBdr>
        </w:div>
      </w:divsChild>
    </w:div>
    <w:div w:id="1365012057">
      <w:bodyDiv w:val="1"/>
      <w:marLeft w:val="0"/>
      <w:marRight w:val="0"/>
      <w:marTop w:val="0"/>
      <w:marBottom w:val="0"/>
      <w:divBdr>
        <w:top w:val="none" w:sz="0" w:space="0" w:color="auto"/>
        <w:left w:val="none" w:sz="0" w:space="0" w:color="auto"/>
        <w:bottom w:val="none" w:sz="0" w:space="0" w:color="auto"/>
        <w:right w:val="none" w:sz="0" w:space="0" w:color="auto"/>
      </w:divBdr>
      <w:divsChild>
        <w:div w:id="1307199275">
          <w:marLeft w:val="0"/>
          <w:marRight w:val="0"/>
          <w:marTop w:val="0"/>
          <w:marBottom w:val="0"/>
          <w:divBdr>
            <w:top w:val="none" w:sz="0" w:space="0" w:color="auto"/>
            <w:left w:val="none" w:sz="0" w:space="0" w:color="auto"/>
            <w:bottom w:val="none" w:sz="0" w:space="0" w:color="auto"/>
            <w:right w:val="none" w:sz="0" w:space="0" w:color="auto"/>
          </w:divBdr>
        </w:div>
        <w:div w:id="1757436865">
          <w:marLeft w:val="0"/>
          <w:marRight w:val="0"/>
          <w:marTop w:val="0"/>
          <w:marBottom w:val="0"/>
          <w:divBdr>
            <w:top w:val="none" w:sz="0" w:space="0" w:color="auto"/>
            <w:left w:val="none" w:sz="0" w:space="0" w:color="auto"/>
            <w:bottom w:val="none" w:sz="0" w:space="0" w:color="auto"/>
            <w:right w:val="none" w:sz="0" w:space="0" w:color="auto"/>
          </w:divBdr>
        </w:div>
        <w:div w:id="544875916">
          <w:marLeft w:val="0"/>
          <w:marRight w:val="0"/>
          <w:marTop w:val="0"/>
          <w:marBottom w:val="0"/>
          <w:divBdr>
            <w:top w:val="none" w:sz="0" w:space="0" w:color="auto"/>
            <w:left w:val="none" w:sz="0" w:space="0" w:color="auto"/>
            <w:bottom w:val="none" w:sz="0" w:space="0" w:color="auto"/>
            <w:right w:val="none" w:sz="0" w:space="0" w:color="auto"/>
          </w:divBdr>
        </w:div>
        <w:div w:id="243076996">
          <w:marLeft w:val="0"/>
          <w:marRight w:val="0"/>
          <w:marTop w:val="0"/>
          <w:marBottom w:val="0"/>
          <w:divBdr>
            <w:top w:val="none" w:sz="0" w:space="0" w:color="auto"/>
            <w:left w:val="none" w:sz="0" w:space="0" w:color="auto"/>
            <w:bottom w:val="none" w:sz="0" w:space="0" w:color="auto"/>
            <w:right w:val="none" w:sz="0" w:space="0" w:color="auto"/>
          </w:divBdr>
        </w:div>
        <w:div w:id="1510294900">
          <w:marLeft w:val="0"/>
          <w:marRight w:val="0"/>
          <w:marTop w:val="0"/>
          <w:marBottom w:val="0"/>
          <w:divBdr>
            <w:top w:val="none" w:sz="0" w:space="0" w:color="auto"/>
            <w:left w:val="none" w:sz="0" w:space="0" w:color="auto"/>
            <w:bottom w:val="none" w:sz="0" w:space="0" w:color="auto"/>
            <w:right w:val="none" w:sz="0" w:space="0" w:color="auto"/>
          </w:divBdr>
        </w:div>
        <w:div w:id="234094774">
          <w:marLeft w:val="0"/>
          <w:marRight w:val="0"/>
          <w:marTop w:val="0"/>
          <w:marBottom w:val="0"/>
          <w:divBdr>
            <w:top w:val="none" w:sz="0" w:space="0" w:color="auto"/>
            <w:left w:val="none" w:sz="0" w:space="0" w:color="auto"/>
            <w:bottom w:val="none" w:sz="0" w:space="0" w:color="auto"/>
            <w:right w:val="none" w:sz="0" w:space="0" w:color="auto"/>
          </w:divBdr>
        </w:div>
        <w:div w:id="1397168038">
          <w:marLeft w:val="0"/>
          <w:marRight w:val="0"/>
          <w:marTop w:val="0"/>
          <w:marBottom w:val="0"/>
          <w:divBdr>
            <w:top w:val="none" w:sz="0" w:space="0" w:color="auto"/>
            <w:left w:val="none" w:sz="0" w:space="0" w:color="auto"/>
            <w:bottom w:val="none" w:sz="0" w:space="0" w:color="auto"/>
            <w:right w:val="none" w:sz="0" w:space="0" w:color="auto"/>
          </w:divBdr>
        </w:div>
        <w:div w:id="1295254902">
          <w:marLeft w:val="0"/>
          <w:marRight w:val="0"/>
          <w:marTop w:val="0"/>
          <w:marBottom w:val="0"/>
          <w:divBdr>
            <w:top w:val="none" w:sz="0" w:space="0" w:color="auto"/>
            <w:left w:val="none" w:sz="0" w:space="0" w:color="auto"/>
            <w:bottom w:val="none" w:sz="0" w:space="0" w:color="auto"/>
            <w:right w:val="none" w:sz="0" w:space="0" w:color="auto"/>
          </w:divBdr>
        </w:div>
        <w:div w:id="2124032170">
          <w:marLeft w:val="0"/>
          <w:marRight w:val="0"/>
          <w:marTop w:val="0"/>
          <w:marBottom w:val="0"/>
          <w:divBdr>
            <w:top w:val="none" w:sz="0" w:space="0" w:color="auto"/>
            <w:left w:val="none" w:sz="0" w:space="0" w:color="auto"/>
            <w:bottom w:val="none" w:sz="0" w:space="0" w:color="auto"/>
            <w:right w:val="none" w:sz="0" w:space="0" w:color="auto"/>
          </w:divBdr>
        </w:div>
        <w:div w:id="581989868">
          <w:marLeft w:val="0"/>
          <w:marRight w:val="0"/>
          <w:marTop w:val="0"/>
          <w:marBottom w:val="0"/>
          <w:divBdr>
            <w:top w:val="none" w:sz="0" w:space="0" w:color="auto"/>
            <w:left w:val="none" w:sz="0" w:space="0" w:color="auto"/>
            <w:bottom w:val="none" w:sz="0" w:space="0" w:color="auto"/>
            <w:right w:val="none" w:sz="0" w:space="0" w:color="auto"/>
          </w:divBdr>
        </w:div>
        <w:div w:id="61877226">
          <w:marLeft w:val="0"/>
          <w:marRight w:val="0"/>
          <w:marTop w:val="0"/>
          <w:marBottom w:val="0"/>
          <w:divBdr>
            <w:top w:val="none" w:sz="0" w:space="0" w:color="auto"/>
            <w:left w:val="none" w:sz="0" w:space="0" w:color="auto"/>
            <w:bottom w:val="none" w:sz="0" w:space="0" w:color="auto"/>
            <w:right w:val="none" w:sz="0" w:space="0" w:color="auto"/>
          </w:divBdr>
        </w:div>
        <w:div w:id="968781296">
          <w:marLeft w:val="0"/>
          <w:marRight w:val="0"/>
          <w:marTop w:val="0"/>
          <w:marBottom w:val="0"/>
          <w:divBdr>
            <w:top w:val="none" w:sz="0" w:space="0" w:color="auto"/>
            <w:left w:val="none" w:sz="0" w:space="0" w:color="auto"/>
            <w:bottom w:val="none" w:sz="0" w:space="0" w:color="auto"/>
            <w:right w:val="none" w:sz="0" w:space="0" w:color="auto"/>
          </w:divBdr>
        </w:div>
        <w:div w:id="671690181">
          <w:marLeft w:val="0"/>
          <w:marRight w:val="0"/>
          <w:marTop w:val="0"/>
          <w:marBottom w:val="0"/>
          <w:divBdr>
            <w:top w:val="none" w:sz="0" w:space="0" w:color="auto"/>
            <w:left w:val="none" w:sz="0" w:space="0" w:color="auto"/>
            <w:bottom w:val="none" w:sz="0" w:space="0" w:color="auto"/>
            <w:right w:val="none" w:sz="0" w:space="0" w:color="auto"/>
          </w:divBdr>
        </w:div>
        <w:div w:id="2091346727">
          <w:marLeft w:val="0"/>
          <w:marRight w:val="0"/>
          <w:marTop w:val="0"/>
          <w:marBottom w:val="0"/>
          <w:divBdr>
            <w:top w:val="none" w:sz="0" w:space="0" w:color="auto"/>
            <w:left w:val="none" w:sz="0" w:space="0" w:color="auto"/>
            <w:bottom w:val="none" w:sz="0" w:space="0" w:color="auto"/>
            <w:right w:val="none" w:sz="0" w:space="0" w:color="auto"/>
          </w:divBdr>
        </w:div>
        <w:div w:id="1299265248">
          <w:marLeft w:val="0"/>
          <w:marRight w:val="0"/>
          <w:marTop w:val="0"/>
          <w:marBottom w:val="0"/>
          <w:divBdr>
            <w:top w:val="none" w:sz="0" w:space="0" w:color="auto"/>
            <w:left w:val="none" w:sz="0" w:space="0" w:color="auto"/>
            <w:bottom w:val="none" w:sz="0" w:space="0" w:color="auto"/>
            <w:right w:val="none" w:sz="0" w:space="0" w:color="auto"/>
          </w:divBdr>
        </w:div>
        <w:div w:id="1201086409">
          <w:marLeft w:val="0"/>
          <w:marRight w:val="0"/>
          <w:marTop w:val="0"/>
          <w:marBottom w:val="0"/>
          <w:divBdr>
            <w:top w:val="none" w:sz="0" w:space="0" w:color="auto"/>
            <w:left w:val="none" w:sz="0" w:space="0" w:color="auto"/>
            <w:bottom w:val="none" w:sz="0" w:space="0" w:color="auto"/>
            <w:right w:val="none" w:sz="0" w:space="0" w:color="auto"/>
          </w:divBdr>
        </w:div>
        <w:div w:id="173863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0DE9-6EA5-4303-A928-1996C6BA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5348</Words>
  <Characters>30485</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35762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Luigi Portaluri</dc:creator>
  <cp:keywords/>
  <dc:description/>
  <cp:lastModifiedBy>Gianluca Ricci</cp:lastModifiedBy>
  <cp:revision>2</cp:revision>
  <dcterms:created xsi:type="dcterms:W3CDTF">2019-11-21T09:44:00Z</dcterms:created>
  <dcterms:modified xsi:type="dcterms:W3CDTF">2019-11-21T09:44:00Z</dcterms:modified>
  <cp:category/>
</cp:coreProperties>
</file>