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FD" w:rsidRPr="00BB5DA8" w:rsidRDefault="005D3CFD" w:rsidP="00A66C73">
      <w:pPr>
        <w:spacing w:after="0" w:line="240" w:lineRule="auto"/>
        <w:rPr>
          <w:rFonts w:ascii="Palatino Linotype" w:eastAsia="Calibri" w:hAnsi="Palatino Linotype" w:cs="Times New Roman"/>
          <w:color w:val="1F497D"/>
          <w:sz w:val="24"/>
          <w:szCs w:val="24"/>
        </w:rPr>
      </w:pPr>
    </w:p>
    <w:p w:rsidR="005D3CFD" w:rsidRPr="005D3CFD" w:rsidRDefault="005D3CFD" w:rsidP="00A66C73">
      <w:pPr>
        <w:spacing w:after="0" w:line="360" w:lineRule="atLeast"/>
        <w:jc w:val="center"/>
        <w:rPr>
          <w:rFonts w:ascii="Times New Roman" w:eastAsia="Calibri" w:hAnsi="Times New Roman" w:cs="Times New Roman"/>
          <w:color w:val="212121"/>
          <w:sz w:val="24"/>
          <w:szCs w:val="24"/>
          <w:lang w:eastAsia="it-IT"/>
        </w:rPr>
      </w:pPr>
      <w:r w:rsidRPr="005D3CFD">
        <w:rPr>
          <w:rFonts w:ascii="Palatino Linotype" w:eastAsia="Calibri" w:hAnsi="Palatino Linotype" w:cs="Times New Roman"/>
          <w:noProof/>
          <w:color w:val="2E74B5"/>
          <w:sz w:val="96"/>
          <w:szCs w:val="96"/>
          <w:lang w:eastAsia="it-IT"/>
        </w:rPr>
        <w:drawing>
          <wp:inline distT="0" distB="0" distL="0" distR="0" wp14:anchorId="74E91449" wp14:editId="22627FC0">
            <wp:extent cx="1134745" cy="1297940"/>
            <wp:effectExtent l="0" t="0" r="8255" b="0"/>
            <wp:docPr id="2" name="Immagine 2" descr="cid:image001.jpg@01D46788.BAD3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6788.BAD3C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4745" cy="1297940"/>
                    </a:xfrm>
                    <a:prstGeom prst="rect">
                      <a:avLst/>
                    </a:prstGeom>
                    <a:noFill/>
                    <a:ln>
                      <a:noFill/>
                    </a:ln>
                  </pic:spPr>
                </pic:pic>
              </a:graphicData>
            </a:graphic>
          </wp:inline>
        </w:drawing>
      </w:r>
    </w:p>
    <w:p w:rsidR="00F81615" w:rsidRDefault="00F81615" w:rsidP="00A66C73">
      <w:pPr>
        <w:spacing w:after="0" w:line="240" w:lineRule="auto"/>
        <w:jc w:val="center"/>
        <w:rPr>
          <w:rFonts w:ascii="Palatino Linotype" w:eastAsia="Calibri" w:hAnsi="Palatino Linotype" w:cs="Times New Roman"/>
          <w:b/>
          <w:bCs/>
          <w:color w:val="993300"/>
        </w:rPr>
      </w:pPr>
    </w:p>
    <w:p w:rsidR="00B01F70" w:rsidRDefault="005D3CFD" w:rsidP="00A66C73">
      <w:pPr>
        <w:spacing w:after="0" w:line="240" w:lineRule="auto"/>
        <w:jc w:val="center"/>
        <w:rPr>
          <w:rFonts w:ascii="Palatino Linotype" w:eastAsia="Calibri" w:hAnsi="Palatino Linotype" w:cs="Times New Roman"/>
          <w:b/>
          <w:bCs/>
          <w:color w:val="993300"/>
        </w:rPr>
      </w:pPr>
      <w:r w:rsidRPr="005D3CFD">
        <w:rPr>
          <w:rFonts w:ascii="Palatino Linotype" w:eastAsia="Calibri" w:hAnsi="Palatino Linotype" w:cs="Times New Roman"/>
          <w:b/>
          <w:bCs/>
          <w:color w:val="993300"/>
        </w:rPr>
        <w:t>Normativa e giurisprudenza di interesse per la Giustizia amministrativa</w:t>
      </w:r>
    </w:p>
    <w:p w:rsidR="005D3CFD" w:rsidRPr="005D3CFD" w:rsidRDefault="005D3CFD" w:rsidP="00A66C73">
      <w:pPr>
        <w:spacing w:after="0" w:line="240" w:lineRule="auto"/>
        <w:jc w:val="center"/>
        <w:rPr>
          <w:rFonts w:ascii="Palatino Linotype" w:eastAsia="Calibri" w:hAnsi="Palatino Linotype" w:cs="Times New Roman"/>
          <w:b/>
          <w:bCs/>
          <w:color w:val="993300"/>
        </w:rPr>
      </w:pPr>
      <w:proofErr w:type="gramStart"/>
      <w:r w:rsidRPr="005D3CFD">
        <w:rPr>
          <w:rFonts w:ascii="Palatino Linotype" w:eastAsia="Calibri" w:hAnsi="Palatino Linotype" w:cs="Times New Roman"/>
          <w:b/>
          <w:bCs/>
          <w:color w:val="993300"/>
        </w:rPr>
        <w:t>a</w:t>
      </w:r>
      <w:proofErr w:type="gramEnd"/>
      <w:r w:rsidRPr="005D3CFD">
        <w:rPr>
          <w:rFonts w:ascii="Palatino Linotype" w:eastAsia="Calibri" w:hAnsi="Palatino Linotype" w:cs="Times New Roman"/>
          <w:b/>
          <w:bCs/>
          <w:color w:val="993300"/>
        </w:rPr>
        <w:t xml:space="preserve"> cura dell’Ufficio studi, massimario e formazione.</w:t>
      </w:r>
    </w:p>
    <w:p w:rsidR="005D3CFD" w:rsidRDefault="005D3CFD" w:rsidP="00A66C73">
      <w:pPr>
        <w:spacing w:after="0" w:line="240" w:lineRule="auto"/>
        <w:jc w:val="both"/>
        <w:rPr>
          <w:rFonts w:ascii="Palatino Linotype" w:eastAsia="Calibri" w:hAnsi="Palatino Linotype" w:cs="Times New Roman"/>
          <w:sz w:val="24"/>
          <w:szCs w:val="24"/>
        </w:rPr>
      </w:pPr>
    </w:p>
    <w:p w:rsidR="00FF0AC3" w:rsidRDefault="00FF0AC3" w:rsidP="00A66C73">
      <w:pPr>
        <w:spacing w:after="0" w:line="240" w:lineRule="auto"/>
        <w:jc w:val="both"/>
        <w:rPr>
          <w:rFonts w:ascii="Palatino Linotype" w:eastAsia="Calibri" w:hAnsi="Palatino Linotype"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tblBorders>
        <w:tblCellMar>
          <w:left w:w="85" w:type="dxa"/>
          <w:right w:w="85" w:type="dxa"/>
        </w:tblCellMar>
        <w:tblLook w:val="04A0" w:firstRow="1" w:lastRow="0" w:firstColumn="1" w:lastColumn="0" w:noHBand="0" w:noVBand="1"/>
      </w:tblPr>
      <w:tblGrid>
        <w:gridCol w:w="9639"/>
      </w:tblGrid>
      <w:tr w:rsidR="00857A73" w:rsidRPr="002D62CB" w:rsidTr="00EE41E1">
        <w:trPr>
          <w:jc w:val="center"/>
        </w:trPr>
        <w:tc>
          <w:tcPr>
            <w:tcW w:w="9639" w:type="dxa"/>
            <w:tcMar>
              <w:top w:w="0" w:type="dxa"/>
              <w:left w:w="85" w:type="dxa"/>
              <w:bottom w:w="0" w:type="dxa"/>
              <w:right w:w="85" w:type="dxa"/>
            </w:tcMar>
            <w:vAlign w:val="center"/>
          </w:tcPr>
          <w:p w:rsidR="003074F5" w:rsidRPr="00917DE5" w:rsidRDefault="003074F5" w:rsidP="009633C4">
            <w:pPr>
              <w:spacing w:after="0" w:line="276" w:lineRule="auto"/>
              <w:jc w:val="center"/>
              <w:outlineLvl w:val="0"/>
              <w:rPr>
                <w:rFonts w:ascii="Palatino Linotype" w:eastAsia="Times New Roman" w:hAnsi="Palatino Linotype" w:cs="Times New Roman"/>
                <w:color w:val="2E74B5"/>
                <w:kern w:val="36"/>
                <w:sz w:val="24"/>
                <w:szCs w:val="24"/>
              </w:rPr>
            </w:pPr>
          </w:p>
          <w:p w:rsidR="00857A73" w:rsidRPr="002D62CB" w:rsidRDefault="00857A73" w:rsidP="009633C4">
            <w:pPr>
              <w:spacing w:after="0" w:line="276"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Corte di giustizia dell’Unione europea</w:t>
            </w:r>
          </w:p>
          <w:p w:rsidR="005C7558" w:rsidRPr="00887660" w:rsidRDefault="005C7558" w:rsidP="009633C4">
            <w:pPr>
              <w:spacing w:after="0" w:line="276" w:lineRule="auto"/>
              <w:jc w:val="center"/>
              <w:outlineLvl w:val="0"/>
              <w:rPr>
                <w:rFonts w:ascii="Palatino Linotype" w:eastAsia="Times New Roman" w:hAnsi="Palatino Linotype" w:cs="Times New Roman"/>
                <w:color w:val="2E74B5"/>
                <w:kern w:val="36"/>
                <w:sz w:val="24"/>
                <w:szCs w:val="24"/>
              </w:rPr>
            </w:pPr>
          </w:p>
          <w:p w:rsidR="00857A73" w:rsidRPr="002D62CB" w:rsidRDefault="00857A73" w:rsidP="00EE41E1">
            <w:pPr>
              <w:spacing w:after="0" w:line="276"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w:t>
            </w:r>
            <w:r w:rsidR="008556A7">
              <w:rPr>
                <w:rFonts w:ascii="Palatino Linotype" w:eastAsia="Times New Roman" w:hAnsi="Palatino Linotype" w:cs="Times New Roman"/>
                <w:color w:val="2E74B5"/>
                <w:kern w:val="36"/>
                <w:sz w:val="32"/>
                <w:szCs w:val="32"/>
              </w:rPr>
              <w:t>1</w:t>
            </w:r>
            <w:r w:rsidRPr="002D62CB">
              <w:rPr>
                <w:rFonts w:ascii="Palatino Linotype" w:eastAsia="Times New Roman" w:hAnsi="Palatino Linotype" w:cs="Times New Roman"/>
                <w:color w:val="2E74B5"/>
                <w:kern w:val="36"/>
                <w:sz w:val="32"/>
                <w:szCs w:val="32"/>
              </w:rPr>
              <w:t>)</w:t>
            </w:r>
          </w:p>
          <w:p w:rsidR="00857A73" w:rsidRPr="002D62CB" w:rsidRDefault="00857A73" w:rsidP="009633C4">
            <w:pPr>
              <w:spacing w:after="0" w:line="276" w:lineRule="auto"/>
              <w:jc w:val="both"/>
              <w:rPr>
                <w:rFonts w:ascii="Palatino Linotype" w:hAnsi="Palatino Linotype" w:cs="Calibri"/>
                <w:b/>
                <w:bCs/>
                <w:sz w:val="24"/>
                <w:szCs w:val="24"/>
              </w:rPr>
            </w:pPr>
          </w:p>
          <w:p w:rsidR="00857A73" w:rsidRDefault="00857A73" w:rsidP="009633C4">
            <w:pPr>
              <w:spacing w:after="0" w:line="276" w:lineRule="auto"/>
              <w:jc w:val="both"/>
              <w:rPr>
                <w:rFonts w:ascii="Palatino Linotype" w:hAnsi="Palatino Linotype" w:cs="Calibri"/>
                <w:sz w:val="24"/>
                <w:szCs w:val="24"/>
              </w:rPr>
            </w:pPr>
            <w:r w:rsidRPr="002D62CB">
              <w:rPr>
                <w:rFonts w:ascii="Palatino Linotype" w:hAnsi="Palatino Linotype" w:cs="Calibri"/>
                <w:sz w:val="24"/>
                <w:szCs w:val="24"/>
              </w:rPr>
              <w:t xml:space="preserve">La Corte di giustizia dell’Unione europea </w:t>
            </w:r>
            <w:r w:rsidR="00802629">
              <w:rPr>
                <w:rFonts w:ascii="Palatino Linotype" w:hAnsi="Palatino Linotype" w:cs="Calibri"/>
                <w:sz w:val="24"/>
                <w:szCs w:val="24"/>
              </w:rPr>
              <w:t xml:space="preserve">si pronuncia sulla </w:t>
            </w:r>
            <w:r w:rsidR="00AF3B4D">
              <w:rPr>
                <w:rFonts w:ascii="Palatino Linotype" w:hAnsi="Palatino Linotype" w:cs="Calibri"/>
                <w:sz w:val="24"/>
                <w:szCs w:val="24"/>
              </w:rPr>
              <w:t>domanda di rinvio</w:t>
            </w:r>
            <w:r w:rsidR="008E6683" w:rsidRPr="008E6683">
              <w:rPr>
                <w:rFonts w:ascii="Palatino Linotype" w:hAnsi="Palatino Linotype" w:cs="Calibri"/>
                <w:sz w:val="24"/>
                <w:szCs w:val="24"/>
              </w:rPr>
              <w:t xml:space="preserve"> p</w:t>
            </w:r>
            <w:r w:rsidR="008E6683">
              <w:rPr>
                <w:rFonts w:ascii="Palatino Linotype" w:hAnsi="Palatino Linotype" w:cs="Calibri"/>
                <w:sz w:val="24"/>
                <w:szCs w:val="24"/>
              </w:rPr>
              <w:t>regiudiziale proposta</w:t>
            </w:r>
            <w:r w:rsidR="008E6683" w:rsidRPr="008E6683">
              <w:rPr>
                <w:rFonts w:ascii="Palatino Linotype" w:hAnsi="Palatino Linotype" w:cs="Calibri"/>
                <w:sz w:val="24"/>
                <w:szCs w:val="24"/>
              </w:rPr>
              <w:t xml:space="preserve">, ai sensi dell’articolo 267 TFUE, dal Tribunale amministrativo </w:t>
            </w:r>
            <w:r w:rsidR="008E6683">
              <w:rPr>
                <w:rFonts w:ascii="Palatino Linotype" w:hAnsi="Palatino Linotype" w:cs="Calibri"/>
                <w:sz w:val="24"/>
                <w:szCs w:val="24"/>
              </w:rPr>
              <w:t>regionale per il Veneto</w:t>
            </w:r>
            <w:r w:rsidR="00AF3B4D">
              <w:rPr>
                <w:rFonts w:ascii="Palatino Linotype" w:hAnsi="Palatino Linotype" w:cs="Calibri"/>
                <w:sz w:val="24"/>
                <w:szCs w:val="24"/>
              </w:rPr>
              <w:t xml:space="preserve">, con ordinanza </w:t>
            </w:r>
            <w:r w:rsidR="007D06F5">
              <w:rPr>
                <w:rFonts w:ascii="Palatino Linotype" w:hAnsi="Palatino Linotype" w:cs="Calibri"/>
                <w:sz w:val="24"/>
                <w:szCs w:val="24"/>
              </w:rPr>
              <w:t>3</w:t>
            </w:r>
            <w:r w:rsidR="008E6683" w:rsidRPr="008E6683">
              <w:rPr>
                <w:rFonts w:ascii="Palatino Linotype" w:hAnsi="Palatino Linotype" w:cs="Calibri"/>
                <w:sz w:val="24"/>
                <w:szCs w:val="24"/>
              </w:rPr>
              <w:t>1 maggio 2017</w:t>
            </w:r>
            <w:r w:rsidR="00AF3B4D">
              <w:rPr>
                <w:rFonts w:ascii="Palatino Linotype" w:hAnsi="Palatino Linotype" w:cs="Calibri"/>
                <w:sz w:val="24"/>
                <w:szCs w:val="24"/>
              </w:rPr>
              <w:t xml:space="preserve">, n. </w:t>
            </w:r>
            <w:r w:rsidR="007D06F5">
              <w:rPr>
                <w:rFonts w:ascii="Palatino Linotype" w:hAnsi="Palatino Linotype" w:cs="Calibri"/>
                <w:sz w:val="24"/>
                <w:szCs w:val="24"/>
              </w:rPr>
              <w:t>543</w:t>
            </w:r>
            <w:r w:rsidR="00FF0AC3">
              <w:rPr>
                <w:rFonts w:ascii="Palatino Linotype" w:hAnsi="Palatino Linotype" w:cs="Calibri"/>
                <w:sz w:val="24"/>
                <w:szCs w:val="24"/>
              </w:rPr>
              <w:t>.</w:t>
            </w:r>
          </w:p>
          <w:p w:rsidR="00AF3B4D" w:rsidRPr="008E6683" w:rsidRDefault="00AF3B4D" w:rsidP="009633C4">
            <w:pPr>
              <w:spacing w:after="0" w:line="276" w:lineRule="auto"/>
              <w:jc w:val="both"/>
              <w:rPr>
                <w:rFonts w:ascii="Palatino Linotype" w:hAnsi="Palatino Linotype" w:cs="Calibri"/>
                <w:sz w:val="24"/>
                <w:szCs w:val="24"/>
              </w:rPr>
            </w:pPr>
          </w:p>
          <w:p w:rsidR="0054168F" w:rsidRPr="001948AD" w:rsidRDefault="00B34862" w:rsidP="009633C4">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i/>
              </w:rPr>
            </w:pPr>
            <w:hyperlink r:id="rId8" w:history="1">
              <w:r w:rsidR="00857A73" w:rsidRPr="00E857F5">
                <w:rPr>
                  <w:rStyle w:val="Collegamentoipertestuale"/>
                  <w:rFonts w:ascii="Palatino Linotype" w:hAnsi="Palatino Linotype" w:cs="Calibri"/>
                  <w:bCs/>
                </w:rPr>
                <w:t>Corte di giu</w:t>
              </w:r>
              <w:r w:rsidR="00E46AAF" w:rsidRPr="00E857F5">
                <w:rPr>
                  <w:rStyle w:val="Collegamentoipertestuale"/>
                  <w:rFonts w:ascii="Palatino Linotype" w:hAnsi="Palatino Linotype" w:cs="Calibri"/>
                  <w:bCs/>
                </w:rPr>
                <w:t xml:space="preserve">stizia </w:t>
              </w:r>
              <w:r w:rsidR="008E6683" w:rsidRPr="00E857F5">
                <w:rPr>
                  <w:rStyle w:val="Collegamentoipertestuale"/>
                  <w:rFonts w:ascii="Palatino Linotype" w:hAnsi="Palatino Linotype" w:cs="Calibri"/>
                  <w:bCs/>
                </w:rPr>
                <w:t xml:space="preserve">dell’Unione europea, </w:t>
              </w:r>
              <w:r w:rsidR="0069320C" w:rsidRPr="00E857F5">
                <w:rPr>
                  <w:rStyle w:val="Collegamentoipertestuale"/>
                  <w:rFonts w:ascii="Palatino Linotype" w:hAnsi="Palatino Linotype" w:cs="Calibri"/>
                  <w:bCs/>
                </w:rPr>
                <w:t>s</w:t>
              </w:r>
              <w:r w:rsidR="00B279B8" w:rsidRPr="00E857F5">
                <w:rPr>
                  <w:rStyle w:val="Collegamentoipertestuale"/>
                  <w:rFonts w:ascii="Palatino Linotype" w:hAnsi="Palatino Linotype" w:cs="Calibri"/>
                  <w:bCs/>
                </w:rPr>
                <w:t>ezione</w:t>
              </w:r>
              <w:r w:rsidR="008E6683" w:rsidRPr="00E857F5">
                <w:rPr>
                  <w:rStyle w:val="Collegamentoipertestuale"/>
                  <w:rFonts w:ascii="Palatino Linotype" w:hAnsi="Palatino Linotype" w:cs="Calibri"/>
                  <w:bCs/>
                </w:rPr>
                <w:t xml:space="preserve"> terza, sentenza 14</w:t>
              </w:r>
              <w:r w:rsidR="00B279B8" w:rsidRPr="00E857F5">
                <w:rPr>
                  <w:rStyle w:val="Collegamentoipertestuale"/>
                  <w:rFonts w:ascii="Palatino Linotype" w:hAnsi="Palatino Linotype" w:cs="Calibri"/>
                  <w:bCs/>
                </w:rPr>
                <w:t xml:space="preserve"> novembre</w:t>
              </w:r>
              <w:r w:rsidR="00857A73" w:rsidRPr="00E857F5">
                <w:rPr>
                  <w:rStyle w:val="Collegamentoipertestuale"/>
                  <w:rFonts w:ascii="Palatino Linotype" w:hAnsi="Palatino Linotype" w:cs="Calibri"/>
                  <w:bCs/>
                </w:rPr>
                <w:t xml:space="preserve"> 2018, C</w:t>
              </w:r>
              <w:r w:rsidR="00B279B8" w:rsidRPr="00E857F5">
                <w:rPr>
                  <w:rStyle w:val="Collegamentoipertestuale"/>
                  <w:rFonts w:ascii="Palatino Linotype" w:hAnsi="Palatino Linotype" w:cs="Calibri"/>
                  <w:bCs/>
                </w:rPr>
                <w:t xml:space="preserve"> </w:t>
              </w:r>
              <w:r w:rsidR="008E6683" w:rsidRPr="00E857F5">
                <w:rPr>
                  <w:rStyle w:val="Collegamentoipertestuale"/>
                  <w:rFonts w:ascii="Palatino Linotype" w:hAnsi="Palatino Linotype" w:cs="Calibri"/>
                  <w:bCs/>
                </w:rPr>
                <w:t>– 342/17</w:t>
              </w:r>
              <w:r w:rsidR="00857A73" w:rsidRPr="00E857F5">
                <w:rPr>
                  <w:rStyle w:val="Collegamentoipertestuale"/>
                  <w:rFonts w:ascii="Palatino Linotype" w:hAnsi="Palatino Linotype" w:cs="Calibri"/>
                  <w:bCs/>
                </w:rPr>
                <w:t xml:space="preserve"> </w:t>
              </w:r>
              <w:r w:rsidR="00B279B8" w:rsidRPr="00E857F5">
                <w:rPr>
                  <w:rStyle w:val="Collegamentoipertestuale"/>
                  <w:rFonts w:ascii="Palatino Linotype" w:hAnsi="Palatino Linotype" w:cs="Calibri"/>
                  <w:bCs/>
                </w:rPr>
                <w:t>–</w:t>
              </w:r>
              <w:r w:rsidR="00857A73" w:rsidRPr="00E857F5">
                <w:rPr>
                  <w:rStyle w:val="Collegamentoipertestuale"/>
                  <w:rFonts w:ascii="Palatino Linotype" w:hAnsi="Palatino Linotype" w:cs="Calibri"/>
                  <w:bCs/>
                </w:rPr>
                <w:t xml:space="preserve"> </w:t>
              </w:r>
              <w:r w:rsidR="008E6683" w:rsidRPr="00E857F5">
                <w:rPr>
                  <w:rStyle w:val="Collegamentoipertestuale"/>
                  <w:rFonts w:ascii="Palatino Linotype" w:hAnsi="Palatino Linotype" w:cs="Calibri"/>
                  <w:bCs/>
                  <w:i/>
                </w:rPr>
                <w:t>Memoria S.r.l.</w:t>
              </w:r>
            </w:hyperlink>
          </w:p>
          <w:p w:rsidR="001948AD" w:rsidRPr="001948AD" w:rsidRDefault="001948AD" w:rsidP="009633C4">
            <w:pPr>
              <w:pStyle w:val="c02alineaalta"/>
              <w:shd w:val="clear" w:color="auto" w:fill="FFFFFF"/>
              <w:spacing w:before="0" w:beforeAutospacing="0" w:after="0" w:afterAutospacing="0" w:line="276" w:lineRule="auto"/>
              <w:jc w:val="both"/>
              <w:rPr>
                <w:rFonts w:ascii="Palatino Linotype" w:hAnsi="Palatino Linotype" w:cs="Calibri"/>
                <w:bCs/>
                <w:i/>
                <w:color w:val="0563C1"/>
                <w:u w:val="single"/>
              </w:rPr>
            </w:pPr>
          </w:p>
          <w:p w:rsidR="00AF3B4D" w:rsidRDefault="001948AD" w:rsidP="00636BEE">
            <w:pPr>
              <w:jc w:val="both"/>
              <w:rPr>
                <w:rFonts w:ascii="Palatino Linotype" w:hAnsi="Palatino Linotype" w:cs="Calibri"/>
                <w:bCs/>
                <w:sz w:val="24"/>
                <w:szCs w:val="24"/>
              </w:rPr>
            </w:pPr>
            <w:r>
              <w:rPr>
                <w:rFonts w:ascii="Palatino Linotype" w:hAnsi="Palatino Linotype" w:cs="Calibri"/>
                <w:bCs/>
                <w:sz w:val="24"/>
                <w:szCs w:val="24"/>
              </w:rPr>
              <w:t>L</w:t>
            </w:r>
            <w:r w:rsidR="0069320C">
              <w:rPr>
                <w:rFonts w:ascii="Palatino Linotype" w:hAnsi="Palatino Linotype" w:cs="Calibri"/>
                <w:bCs/>
                <w:sz w:val="24"/>
                <w:szCs w:val="24"/>
              </w:rPr>
              <w:t xml:space="preserve">a Corte </w:t>
            </w:r>
            <w:r w:rsidR="008E6683">
              <w:rPr>
                <w:rFonts w:ascii="Palatino Linotype" w:hAnsi="Palatino Linotype" w:cs="Calibri"/>
                <w:bCs/>
                <w:sz w:val="24"/>
                <w:szCs w:val="24"/>
              </w:rPr>
              <w:t>dichiara che</w:t>
            </w:r>
            <w:r w:rsidR="00AF3B4D">
              <w:rPr>
                <w:rFonts w:ascii="Palatino Linotype" w:hAnsi="Palatino Linotype" w:cs="Calibri"/>
                <w:bCs/>
                <w:sz w:val="24"/>
                <w:szCs w:val="24"/>
              </w:rPr>
              <w:t>:</w:t>
            </w:r>
          </w:p>
          <w:p w:rsidR="00183DB5" w:rsidRPr="00636BEE" w:rsidRDefault="008E6683" w:rsidP="00636BEE">
            <w:pPr>
              <w:jc w:val="both"/>
              <w:rPr>
                <w:rFonts w:ascii="Palatino Linotype" w:hAnsi="Palatino Linotype" w:cs="Calibri"/>
                <w:bCs/>
                <w:sz w:val="24"/>
                <w:szCs w:val="24"/>
              </w:rPr>
            </w:pPr>
            <w:r>
              <w:rPr>
                <w:rFonts w:ascii="Palatino Linotype" w:hAnsi="Palatino Linotype" w:cs="Calibri"/>
                <w:bCs/>
                <w:sz w:val="24"/>
                <w:szCs w:val="24"/>
              </w:rPr>
              <w:t>l</w:t>
            </w:r>
            <w:r w:rsidRPr="008E6683">
              <w:rPr>
                <w:rFonts w:ascii="Palatino Linotype" w:hAnsi="Palatino Linotype" w:cs="Calibri"/>
                <w:bCs/>
                <w:sz w:val="24"/>
                <w:szCs w:val="24"/>
              </w:rPr>
              <w:t>’articolo 49 TFUE deve essere interpretato nel senso che osta ad una normativa nazionale, come quella oggetto del procedimento principale, che vieta, anche contro l’espressa volontà del defunto, all’affidatario di un’urna cineraria di demandarne a terzi la conservazione, che lo obbliga a conservarla presso la propria abitazione, salvo affidarla ad un cimitero comunale e, inoltre, che proibisce ogni attività esercitata con finalità lucrative avente ad oggetto, anche non esclusivo, la conservazione di urne cinerarie a qualsiasi titolo e per qualsiasi durata temporale.</w:t>
            </w:r>
          </w:p>
        </w:tc>
      </w:tr>
      <w:tr w:rsidR="00857A73" w:rsidRPr="002D62CB" w:rsidTr="00EE41E1">
        <w:trPr>
          <w:jc w:val="center"/>
        </w:trPr>
        <w:tc>
          <w:tcPr>
            <w:tcW w:w="9639" w:type="dxa"/>
            <w:tcMar>
              <w:top w:w="0" w:type="dxa"/>
              <w:left w:w="85" w:type="dxa"/>
              <w:bottom w:w="0" w:type="dxa"/>
              <w:right w:w="85" w:type="dxa"/>
            </w:tcMar>
            <w:vAlign w:val="center"/>
          </w:tcPr>
          <w:p w:rsidR="008A3650" w:rsidRDefault="008A3650" w:rsidP="009633C4">
            <w:pPr>
              <w:pStyle w:val="c02alineaalta"/>
              <w:shd w:val="clear" w:color="auto" w:fill="FFFFFF"/>
              <w:spacing w:before="0" w:beforeAutospacing="0" w:after="0" w:afterAutospacing="0" w:line="276" w:lineRule="auto"/>
              <w:jc w:val="both"/>
              <w:rPr>
                <w:rFonts w:ascii="Palatino Linotype" w:hAnsi="Palatino Linotype" w:cs="Calibri"/>
                <w:bCs/>
              </w:rPr>
            </w:pPr>
          </w:p>
          <w:p w:rsidR="00F613BC" w:rsidRPr="006B1656" w:rsidRDefault="00F613BC" w:rsidP="00F613BC">
            <w:pPr>
              <w:shd w:val="clear" w:color="auto" w:fill="FFFFFF"/>
              <w:spacing w:after="0" w:line="276"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la sentenza</w:t>
            </w:r>
            <w:r w:rsidRPr="005D3CFD">
              <w:rPr>
                <w:rFonts w:ascii="Palatino Linotype" w:eastAsia="Calibri" w:hAnsi="Palatino Linotype" w:cs="Times New Roman"/>
                <w:b/>
                <w:bCs/>
                <w:color w:val="993300"/>
                <w:sz w:val="24"/>
                <w:szCs w:val="24"/>
              </w:rPr>
              <w:t xml:space="preserve"> sarà oggetto di trattazione in apposita News a cura dell’Ufficio Studi Massimario e Formazione.</w:t>
            </w:r>
          </w:p>
          <w:p w:rsidR="00F613BC" w:rsidRPr="00341EF7" w:rsidRDefault="00F613BC" w:rsidP="009633C4">
            <w:pPr>
              <w:pStyle w:val="c02alineaalta"/>
              <w:shd w:val="clear" w:color="auto" w:fill="FFFFFF"/>
              <w:spacing w:before="0" w:beforeAutospacing="0" w:after="0" w:afterAutospacing="0" w:line="276" w:lineRule="auto"/>
              <w:jc w:val="both"/>
              <w:rPr>
                <w:rFonts w:ascii="Palatino Linotype" w:hAnsi="Palatino Linotype" w:cs="Calibri"/>
                <w:bCs/>
              </w:rPr>
            </w:pPr>
          </w:p>
        </w:tc>
      </w:tr>
    </w:tbl>
    <w:p w:rsidR="00C46252" w:rsidRDefault="00C46252" w:rsidP="009633C4">
      <w:pPr>
        <w:spacing w:after="0" w:line="276" w:lineRule="auto"/>
        <w:jc w:val="both"/>
        <w:rPr>
          <w:rFonts w:ascii="Palatino Linotype" w:eastAsia="Calibri" w:hAnsi="Palatino Linotype" w:cs="Times New Roman"/>
          <w:sz w:val="24"/>
          <w:szCs w:val="24"/>
        </w:rPr>
      </w:pPr>
    </w:p>
    <w:p w:rsidR="006B3165" w:rsidRDefault="006B3165" w:rsidP="009633C4">
      <w:pPr>
        <w:spacing w:after="0" w:line="276" w:lineRule="auto"/>
        <w:jc w:val="both"/>
        <w:rPr>
          <w:rFonts w:ascii="Palatino Linotype" w:eastAsia="Calibri" w:hAnsi="Palatino Linotype" w:cs="Times New Roman"/>
          <w:sz w:val="24"/>
          <w:szCs w:val="24"/>
        </w:rPr>
      </w:pPr>
    </w:p>
    <w:p w:rsidR="00F613BC" w:rsidRDefault="00F613BC" w:rsidP="009633C4">
      <w:pPr>
        <w:spacing w:after="0" w:line="276" w:lineRule="auto"/>
        <w:jc w:val="both"/>
        <w:rPr>
          <w:rFonts w:ascii="Palatino Linotype" w:eastAsia="Calibri" w:hAnsi="Palatino Linotype" w:cs="Times New Roman"/>
          <w:sz w:val="24"/>
          <w:szCs w:val="24"/>
        </w:rPr>
      </w:pPr>
    </w:p>
    <w:p w:rsidR="00F613BC" w:rsidRDefault="00F613BC" w:rsidP="009633C4">
      <w:pPr>
        <w:spacing w:after="0" w:line="276" w:lineRule="auto"/>
        <w:jc w:val="both"/>
        <w:rPr>
          <w:rFonts w:ascii="Palatino Linotype" w:eastAsia="Calibri" w:hAnsi="Palatino Linotype" w:cs="Times New Roman"/>
          <w:sz w:val="24"/>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F613BC" w:rsidTr="00B34862">
        <w:trPr>
          <w:trHeight w:val="1369"/>
          <w:jc w:val="center"/>
        </w:trPr>
        <w:tc>
          <w:tcPr>
            <w:tcW w:w="0" w:type="auto"/>
          </w:tcPr>
          <w:p w:rsidR="003074F5" w:rsidRPr="003074F5" w:rsidRDefault="003074F5" w:rsidP="00F613BC">
            <w:pPr>
              <w:spacing w:after="0" w:line="276" w:lineRule="auto"/>
              <w:jc w:val="center"/>
              <w:rPr>
                <w:rFonts w:ascii="Palatino Linotype" w:eastAsia="Calibri" w:hAnsi="Palatino Linotype" w:cs="Times New Roman"/>
                <w:color w:val="2E74B5"/>
                <w:sz w:val="24"/>
                <w:szCs w:val="24"/>
              </w:rPr>
            </w:pPr>
          </w:p>
          <w:p w:rsidR="00F613BC" w:rsidRPr="00EF3BB5" w:rsidRDefault="00F613BC" w:rsidP="00F613BC">
            <w:pPr>
              <w:spacing w:after="0" w:line="276"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Corte costituzionale</w:t>
            </w:r>
          </w:p>
          <w:p w:rsidR="00F613BC" w:rsidRDefault="00F613BC" w:rsidP="00F613BC">
            <w:pPr>
              <w:pStyle w:val="Default"/>
            </w:pPr>
          </w:p>
          <w:p w:rsidR="00F613BC" w:rsidRDefault="00F613BC" w:rsidP="00F613BC">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 xml:space="preserve"> (2</w:t>
            </w:r>
            <w:r w:rsidRPr="008A3650">
              <w:rPr>
                <w:rFonts w:ascii="Palatino Linotype" w:eastAsia="Times New Roman" w:hAnsi="Palatino Linotype" w:cs="Times New Roman"/>
                <w:color w:val="2E74B5"/>
                <w:kern w:val="36"/>
                <w:sz w:val="32"/>
                <w:szCs w:val="32"/>
              </w:rPr>
              <w:t>)</w:t>
            </w:r>
          </w:p>
          <w:p w:rsidR="00F613BC" w:rsidRPr="00830503" w:rsidRDefault="00F613BC" w:rsidP="00F613BC">
            <w:pPr>
              <w:spacing w:after="0" w:line="276" w:lineRule="auto"/>
              <w:jc w:val="center"/>
              <w:outlineLvl w:val="0"/>
              <w:rPr>
                <w:rFonts w:ascii="Palatino Linotype" w:eastAsia="Times New Roman" w:hAnsi="Palatino Linotype" w:cs="Times New Roman"/>
                <w:color w:val="2E74B5"/>
                <w:kern w:val="36"/>
                <w:sz w:val="24"/>
                <w:szCs w:val="24"/>
              </w:rPr>
            </w:pP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EF3BB5">
              <w:rPr>
                <w:rFonts w:ascii="Palatino Linotype" w:eastAsiaTheme="minorHAnsi" w:hAnsi="Palatino Linotype" w:cs="Calibri"/>
                <w:bCs/>
                <w:lang w:eastAsia="en-US"/>
              </w:rPr>
              <w:t xml:space="preserve">La Corte costituzionale torna sui limiti del proprio sindacato accentrato di costituzionalità ex art. 134 </w:t>
            </w:r>
            <w:proofErr w:type="gramStart"/>
            <w:r w:rsidRPr="00EF3BB5">
              <w:rPr>
                <w:rFonts w:ascii="Palatino Linotype" w:eastAsiaTheme="minorHAnsi" w:hAnsi="Palatino Linotype" w:cs="Calibri"/>
                <w:bCs/>
                <w:lang w:eastAsia="en-US"/>
              </w:rPr>
              <w:t>Cost.</w:t>
            </w:r>
            <w:r>
              <w:rPr>
                <w:rFonts w:ascii="Palatino Linotype" w:eastAsiaTheme="minorHAnsi" w:hAnsi="Palatino Linotype" w:cs="Calibri"/>
                <w:bCs/>
                <w:lang w:eastAsia="en-US"/>
              </w:rPr>
              <w:t>,</w:t>
            </w:r>
            <w:proofErr w:type="gramEnd"/>
            <w:r w:rsidRPr="00EF3BB5">
              <w:rPr>
                <w:rFonts w:ascii="Palatino Linotype" w:eastAsiaTheme="minorHAnsi" w:hAnsi="Palatino Linotype" w:cs="Calibri"/>
                <w:bCs/>
                <w:lang w:eastAsia="en-US"/>
              </w:rPr>
              <w:t xml:space="preserve"> in relazione alle norme </w:t>
            </w:r>
            <w:proofErr w:type="spellStart"/>
            <w:r w:rsidRPr="00EF3BB5">
              <w:rPr>
                <w:rFonts w:ascii="Palatino Linotype" w:eastAsiaTheme="minorHAnsi" w:hAnsi="Palatino Linotype" w:cs="Calibri"/>
                <w:bCs/>
                <w:lang w:eastAsia="en-US"/>
              </w:rPr>
              <w:t>subprimarie</w:t>
            </w:r>
            <w:proofErr w:type="spellEnd"/>
            <w:r w:rsidRPr="00EF3BB5">
              <w:rPr>
                <w:rFonts w:ascii="Palatino Linotype" w:eastAsiaTheme="minorHAnsi" w:hAnsi="Palatino Linotype" w:cs="Calibri"/>
                <w:bCs/>
                <w:lang w:eastAsia="en-US"/>
              </w:rPr>
              <w:t>.</w:t>
            </w:r>
          </w:p>
          <w:p w:rsidR="00F613BC" w:rsidRDefault="00F613BC"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p>
          <w:p w:rsidR="00F613BC" w:rsidRDefault="00B34862"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9" w:history="1">
              <w:r w:rsidR="00F613BC" w:rsidRPr="00347B9C">
                <w:rPr>
                  <w:rStyle w:val="Collegamentoipertestuale"/>
                  <w:rFonts w:ascii="Palatino Linotype" w:hAnsi="Palatino Linotype" w:cs="Calibri"/>
                  <w:bCs/>
                </w:rPr>
                <w:t xml:space="preserve">Corte </w:t>
              </w:r>
              <w:r w:rsidR="00F613BC">
                <w:rPr>
                  <w:rStyle w:val="Collegamentoipertestuale"/>
                  <w:rFonts w:ascii="Palatino Linotype" w:hAnsi="Palatino Linotype" w:cs="Calibri"/>
                  <w:bCs/>
                </w:rPr>
                <w:t>c</w:t>
              </w:r>
              <w:r w:rsidR="00F613BC" w:rsidRPr="00347B9C">
                <w:rPr>
                  <w:rStyle w:val="Collegamentoipertestuale"/>
                  <w:rFonts w:ascii="Palatino Linotype" w:hAnsi="Palatino Linotype" w:cs="Calibri"/>
                  <w:bCs/>
                </w:rPr>
                <w:t xml:space="preserve">ostituzionale, sentenza 15 novembre 2018, n. 200 – Pres. Lattanzi, </w:t>
              </w:r>
              <w:proofErr w:type="spellStart"/>
              <w:r w:rsidR="00F613BC" w:rsidRPr="00347B9C">
                <w:rPr>
                  <w:rStyle w:val="Collegamentoipertestuale"/>
                  <w:rFonts w:ascii="Palatino Linotype" w:hAnsi="Palatino Linotype" w:cs="Calibri"/>
                  <w:bCs/>
                </w:rPr>
                <w:t>Red</w:t>
              </w:r>
              <w:proofErr w:type="spellEnd"/>
              <w:r w:rsidR="00F613BC" w:rsidRPr="00347B9C">
                <w:rPr>
                  <w:rStyle w:val="Collegamentoipertestuale"/>
                  <w:rFonts w:ascii="Palatino Linotype" w:hAnsi="Palatino Linotype" w:cs="Calibri"/>
                  <w:bCs/>
                </w:rPr>
                <w:t>. Amoroso</w:t>
              </w:r>
            </w:hyperlink>
          </w:p>
          <w:p w:rsidR="00F613BC" w:rsidRDefault="00F613BC"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p>
          <w:p w:rsidR="00F613BC" w:rsidRPr="00EF3BB5" w:rsidRDefault="00F613BC" w:rsidP="00F613BC">
            <w:pPr>
              <w:spacing w:line="252" w:lineRule="auto"/>
              <w:jc w:val="both"/>
              <w:rPr>
                <w:rFonts w:ascii="Palatino Linotype" w:hAnsi="Palatino Linotype" w:cs="Calibri"/>
                <w:bCs/>
                <w:sz w:val="24"/>
                <w:szCs w:val="24"/>
              </w:rPr>
            </w:pPr>
            <w:r w:rsidRPr="00EF3BB5">
              <w:rPr>
                <w:rFonts w:ascii="Palatino Linotype" w:hAnsi="Palatino Linotype" w:cs="Calibri"/>
                <w:bCs/>
                <w:sz w:val="24"/>
                <w:szCs w:val="24"/>
              </w:rPr>
              <w:t>La Corte</w:t>
            </w:r>
            <w:r>
              <w:rPr>
                <w:rFonts w:ascii="Palatino Linotype" w:hAnsi="Palatino Linotype" w:cs="Calibri"/>
                <w:bCs/>
                <w:sz w:val="24"/>
                <w:szCs w:val="24"/>
              </w:rPr>
              <w:t>,</w:t>
            </w:r>
            <w:r w:rsidRPr="00EF3BB5">
              <w:rPr>
                <w:rFonts w:ascii="Palatino Linotype" w:hAnsi="Palatino Linotype" w:cs="Calibri"/>
                <w:bCs/>
                <w:sz w:val="24"/>
                <w:szCs w:val="24"/>
              </w:rPr>
              <w:t xml:space="preserve"> dopo aver ribadito che</w:t>
            </w:r>
            <w:r>
              <w:t xml:space="preserve"> </w:t>
            </w:r>
            <w:r w:rsidRPr="00EF3BB5">
              <w:rPr>
                <w:rFonts w:ascii="Palatino Linotype" w:hAnsi="Palatino Linotype" w:cs="Calibri"/>
                <w:bCs/>
                <w:i/>
                <w:sz w:val="24"/>
                <w:szCs w:val="24"/>
              </w:rPr>
              <w:t>“che la propria giurisdizione è limitata alla cognizione dell’illegittimità costituzionale delle leggi e degli atti aventi forza</w:t>
            </w:r>
            <w:bookmarkStart w:id="0" w:name="_GoBack"/>
            <w:bookmarkEnd w:id="0"/>
            <w:r w:rsidRPr="00EF3BB5">
              <w:rPr>
                <w:rFonts w:ascii="Palatino Linotype" w:hAnsi="Palatino Linotype" w:cs="Calibri"/>
                <w:bCs/>
                <w:i/>
                <w:sz w:val="24"/>
                <w:szCs w:val="24"/>
              </w:rPr>
              <w:t xml:space="preserve"> di legge e non si estende a norme di natura regolamentare, neppure ai regolamenti di delegificazione (sentenza n. 427 del 2000; ordinanze n. 254 del 2016, n. 156 del 2013, n. 37 del 2007, n. 401 e n. 125 del 2006, e n. 389 del 2004). Il sindacato di costituzionalità della normativa </w:t>
            </w:r>
            <w:proofErr w:type="spellStart"/>
            <w:r w:rsidRPr="00EF3BB5">
              <w:rPr>
                <w:rFonts w:ascii="Palatino Linotype" w:hAnsi="Palatino Linotype" w:cs="Calibri"/>
                <w:bCs/>
                <w:i/>
                <w:sz w:val="24"/>
                <w:szCs w:val="24"/>
              </w:rPr>
              <w:t>subprimaria</w:t>
            </w:r>
            <w:proofErr w:type="spellEnd"/>
            <w:r w:rsidRPr="00EF3BB5">
              <w:rPr>
                <w:rFonts w:ascii="Palatino Linotype" w:hAnsi="Palatino Linotype" w:cs="Calibri"/>
                <w:bCs/>
                <w:i/>
                <w:sz w:val="24"/>
                <w:szCs w:val="24"/>
              </w:rPr>
              <w:t xml:space="preserve"> è rimesso alla cognizione del giudice comune: alla giurisdizione di annullamento del giudice amministrativo e al potere di disapplicazione incidentale di ogni altro giudice”</w:t>
            </w:r>
            <w:r>
              <w:t xml:space="preserve">, </w:t>
            </w:r>
            <w:r w:rsidRPr="00EF3BB5">
              <w:rPr>
                <w:rFonts w:ascii="Palatino Linotype" w:hAnsi="Palatino Linotype" w:cs="Calibri"/>
                <w:bCs/>
                <w:sz w:val="24"/>
                <w:szCs w:val="24"/>
              </w:rPr>
              <w:t xml:space="preserve">rammenta di avere affermato, a partire dalla sentenza n. 1104 del 1988 (con indirizzo confermato con le sentenze n. 34 del 2011, n. 242 del 2014 e n. 178 del 2015) che </w:t>
            </w:r>
            <w:r w:rsidRPr="00EF3BB5">
              <w:rPr>
                <w:rFonts w:ascii="Palatino Linotype" w:hAnsi="Palatino Linotype" w:cs="Calibri"/>
                <w:bCs/>
                <w:i/>
                <w:sz w:val="24"/>
                <w:szCs w:val="24"/>
              </w:rPr>
              <w:t xml:space="preserve">“ove la regolamentazione censurata di illegittimità costituzionale sia rappresentata, nella sostanza, dal combinato disposto di una norma primaria e di una </w:t>
            </w:r>
            <w:proofErr w:type="spellStart"/>
            <w:r w:rsidRPr="00EF3BB5">
              <w:rPr>
                <w:rFonts w:ascii="Palatino Linotype" w:hAnsi="Palatino Linotype" w:cs="Calibri"/>
                <w:bCs/>
                <w:i/>
                <w:sz w:val="24"/>
                <w:szCs w:val="24"/>
              </w:rPr>
              <w:t>subprimaria</w:t>
            </w:r>
            <w:proofErr w:type="spellEnd"/>
            <w:r w:rsidRPr="00EF3BB5">
              <w:rPr>
                <w:rFonts w:ascii="Palatino Linotype" w:hAnsi="Palatino Linotype" w:cs="Calibri"/>
                <w:bCs/>
                <w:i/>
                <w:sz w:val="24"/>
                <w:szCs w:val="24"/>
              </w:rPr>
              <w:t xml:space="preserve"> e se la prima «risulta in concreto applicabile attraverso le specificazioni formulate nella fonte secondaria», è possibile il sindacato di costituzionalità sulla norma primaria tenendo conto che quella </w:t>
            </w:r>
            <w:proofErr w:type="spellStart"/>
            <w:r w:rsidRPr="00EF3BB5">
              <w:rPr>
                <w:rFonts w:ascii="Palatino Linotype" w:hAnsi="Palatino Linotype" w:cs="Calibri"/>
                <w:bCs/>
                <w:i/>
                <w:sz w:val="24"/>
                <w:szCs w:val="24"/>
              </w:rPr>
              <w:t>subprimaria</w:t>
            </w:r>
            <w:proofErr w:type="spellEnd"/>
            <w:r w:rsidRPr="00EF3BB5">
              <w:rPr>
                <w:rFonts w:ascii="Palatino Linotype" w:hAnsi="Palatino Linotype" w:cs="Calibri"/>
                <w:bCs/>
                <w:i/>
                <w:sz w:val="24"/>
                <w:szCs w:val="24"/>
              </w:rPr>
              <w:t xml:space="preserve"> ne costituisce un «completamento del contenuto prescrittivo». La citata pronuncia ha ritenuto sussistente questo nesso di specificazione qualificata e, entrando nel merito delle censure, ha dichiarato l’illegittimità costituzionale della norma primaria”.</w:t>
            </w:r>
          </w:p>
          <w:p w:rsidR="00F613BC" w:rsidRDefault="00F613BC" w:rsidP="00F613BC">
            <w:pPr>
              <w:spacing w:after="0" w:line="276" w:lineRule="auto"/>
              <w:jc w:val="center"/>
              <w:outlineLvl w:val="0"/>
              <w:rPr>
                <w:rFonts w:ascii="Palatino Linotype" w:eastAsia="Times New Roman" w:hAnsi="Palatino Linotype" w:cs="Times New Roman"/>
                <w:color w:val="2E74B5"/>
                <w:kern w:val="36"/>
                <w:sz w:val="32"/>
                <w:szCs w:val="32"/>
              </w:rPr>
            </w:pPr>
            <w:r w:rsidRPr="00EF3BB5">
              <w:rPr>
                <w:rFonts w:ascii="Palatino Linotype" w:eastAsia="Times New Roman" w:hAnsi="Palatino Linotype" w:cs="Times New Roman"/>
                <w:color w:val="2E74B5"/>
                <w:kern w:val="36"/>
                <w:sz w:val="32"/>
                <w:szCs w:val="32"/>
              </w:rPr>
              <w:t>(3)</w:t>
            </w:r>
          </w:p>
          <w:p w:rsidR="00F613BC" w:rsidRPr="00EF3BB5" w:rsidRDefault="00F613BC" w:rsidP="00F613BC">
            <w:pPr>
              <w:spacing w:after="0" w:line="276" w:lineRule="auto"/>
              <w:jc w:val="center"/>
              <w:outlineLvl w:val="0"/>
              <w:rPr>
                <w:rFonts w:ascii="Palatino Linotype" w:eastAsia="Times New Roman" w:hAnsi="Palatino Linotype" w:cs="Times New Roman"/>
                <w:color w:val="2E74B5"/>
                <w:kern w:val="36"/>
                <w:sz w:val="32"/>
                <w:szCs w:val="32"/>
              </w:rPr>
            </w:pP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EF3BB5">
              <w:rPr>
                <w:rFonts w:ascii="Palatino Linotype" w:eastAsiaTheme="minorHAnsi" w:hAnsi="Palatino Linotype" w:cs="Calibri"/>
                <w:bCs/>
                <w:lang w:eastAsia="en-US"/>
              </w:rPr>
              <w:t>La Corte costituzionale ribadisce il divieto per le Regioni sottoposte a piano di rientro dal disavanzo del settore sanitario di adottare leggi che interferiscano con i provvedimenti del commissario ad acta nominato per l’attuazione del predetto piano e stigmatizza, al contempo, la durata abnorme del commissariamento della sanità regionale</w:t>
            </w:r>
            <w:r>
              <w:rPr>
                <w:rFonts w:ascii="Palatino Linotype" w:eastAsiaTheme="minorHAnsi" w:hAnsi="Palatino Linotype" w:cs="Calibri"/>
                <w:bCs/>
                <w:lang w:eastAsia="en-US"/>
              </w:rPr>
              <w:t xml:space="preserve"> campana</w:t>
            </w:r>
            <w:r w:rsidRPr="00EF3BB5">
              <w:rPr>
                <w:rFonts w:ascii="Palatino Linotype" w:eastAsiaTheme="minorHAnsi" w:hAnsi="Palatino Linotype" w:cs="Calibri"/>
                <w:bCs/>
                <w:lang w:eastAsia="en-US"/>
              </w:rPr>
              <w:t xml:space="preserve"> durato oltre un decennio.</w:t>
            </w:r>
          </w:p>
          <w:p w:rsidR="00F613BC" w:rsidRDefault="00F613BC"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p>
          <w:p w:rsidR="00F613BC" w:rsidRDefault="00B34862"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10" w:history="1">
              <w:r w:rsidR="00F613BC">
                <w:rPr>
                  <w:rStyle w:val="Collegamentoipertestuale"/>
                  <w:rFonts w:ascii="Palatino Linotype" w:hAnsi="Palatino Linotype" w:cs="Calibri"/>
                  <w:bCs/>
                </w:rPr>
                <w:t>Corte c</w:t>
              </w:r>
              <w:r w:rsidR="00F613BC" w:rsidRPr="00347B9C">
                <w:rPr>
                  <w:rStyle w:val="Collegamentoipertestuale"/>
                  <w:rFonts w:ascii="Palatino Linotype" w:hAnsi="Palatino Linotype" w:cs="Calibri"/>
                  <w:bCs/>
                </w:rPr>
                <w:t xml:space="preserve">ostituzionale, sentenza 15 novembre 2018, n. 199 – Pres. Lattanzi, </w:t>
              </w:r>
              <w:proofErr w:type="spellStart"/>
              <w:r w:rsidR="00F613BC" w:rsidRPr="00347B9C">
                <w:rPr>
                  <w:rStyle w:val="Collegamentoipertestuale"/>
                  <w:rFonts w:ascii="Palatino Linotype" w:hAnsi="Palatino Linotype" w:cs="Calibri"/>
                  <w:bCs/>
                </w:rPr>
                <w:t>Red</w:t>
              </w:r>
              <w:proofErr w:type="spellEnd"/>
              <w:r w:rsidR="00F613BC" w:rsidRPr="00347B9C">
                <w:rPr>
                  <w:rStyle w:val="Collegamentoipertestuale"/>
                  <w:rFonts w:ascii="Palatino Linotype" w:hAnsi="Palatino Linotype" w:cs="Calibri"/>
                  <w:bCs/>
                </w:rPr>
                <w:t>. Cartabia</w:t>
              </w:r>
            </w:hyperlink>
          </w:p>
          <w:p w:rsid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EF3BB5">
              <w:rPr>
                <w:rFonts w:ascii="Palatino Linotype" w:eastAsiaTheme="minorHAnsi" w:hAnsi="Palatino Linotype" w:cs="Calibri"/>
                <w:bCs/>
                <w:lang w:eastAsia="en-US"/>
              </w:rPr>
              <w:t>La Corte rammenta al riguardo che:</w:t>
            </w: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i/>
                <w:lang w:eastAsia="en-US"/>
              </w:rPr>
            </w:pPr>
            <w:r w:rsidRPr="00EF3BB5">
              <w:rPr>
                <w:rFonts w:ascii="Palatino Linotype" w:eastAsiaTheme="minorHAnsi" w:hAnsi="Palatino Linotype" w:cs="Calibri"/>
                <w:bCs/>
                <w:i/>
                <w:lang w:eastAsia="en-US"/>
              </w:rPr>
              <w:t xml:space="preserve">“Quanto alla nomina di un Commissario ad acta per l’attuazione del piano di rientro dal disavanzo sanitario della Regione, la Corte ha affermato che «l’art. 120, secondo comma, Cost., nel consentire l’esercizio del potere sostitutivo straordinario del Governo, assicura contemporaneamente l’unità economica della Repubblica e i livelli essenziali delle prestazioni concernenti il diritto fondamentale alla salute» (così la sentenza n. 117 del 2018, che richiama sul punto la sentenza n. 14 del 2017; ma si vedano anche, identicamente, le sentenze n. 106 del 2017, n. 266 del 2016 e n. 227 del 2015). </w:t>
            </w: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i/>
                <w:lang w:eastAsia="en-US"/>
              </w:rPr>
            </w:pPr>
            <w:r w:rsidRPr="00EF3BB5">
              <w:rPr>
                <w:rFonts w:ascii="Palatino Linotype" w:eastAsiaTheme="minorHAnsi" w:hAnsi="Palatino Linotype" w:cs="Calibri"/>
                <w:bCs/>
                <w:i/>
                <w:lang w:eastAsia="en-US"/>
              </w:rPr>
              <w:t xml:space="preserve">Quanto invece alle funzioni del suddetto Commissario, questa Corte ha più volte ricordato che esse sono «definite nel mandato conferitogli» e «specificate dai programmi operativi» ex art. 2, comma 88, della legge n. 191 del 2009 (sentenze n. 190 del 2017, n. 106 del 2017, n. 14 del 2017, n. 227 del 2015). </w:t>
            </w: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i/>
                <w:lang w:eastAsia="en-US"/>
              </w:rPr>
            </w:pPr>
            <w:r w:rsidRPr="00EF3BB5">
              <w:rPr>
                <w:rFonts w:ascii="Palatino Linotype" w:eastAsiaTheme="minorHAnsi" w:hAnsi="Palatino Linotype" w:cs="Calibri"/>
                <w:bCs/>
                <w:i/>
                <w:lang w:eastAsia="en-US"/>
              </w:rPr>
              <w:t>Ancora, in numerose occasioni questa Corte ha affermato che le funzioni del Commissario «devono restare, fino all’esaurimento dei compiti commissariali, al riparo da ogni interferenza degli organi regionali – anche qualora questi agissero per via legislativa – pena la violazione dell’art. 120, secondo comma, Cost.» (</w:t>
            </w:r>
            <w:proofErr w:type="gramStart"/>
            <w:r w:rsidRPr="00EF3BB5">
              <w:rPr>
                <w:rFonts w:ascii="Palatino Linotype" w:eastAsiaTheme="minorHAnsi" w:hAnsi="Palatino Linotype" w:cs="Calibri"/>
                <w:bCs/>
                <w:i/>
                <w:lang w:eastAsia="en-US"/>
              </w:rPr>
              <w:t>così</w:t>
            </w:r>
            <w:proofErr w:type="gramEnd"/>
            <w:r w:rsidRPr="00EF3BB5">
              <w:rPr>
                <w:rFonts w:ascii="Palatino Linotype" w:eastAsiaTheme="minorHAnsi" w:hAnsi="Palatino Linotype" w:cs="Calibri"/>
                <w:bCs/>
                <w:i/>
                <w:lang w:eastAsia="en-US"/>
              </w:rPr>
              <w:t xml:space="preserve"> la sentenza n. 106 del 2017, che richiama, tra le molte, le sentenze n. 14 del 2017; n. 266 del 2016; n. 278 e n. 110 del 2014; n. 228, n. 219, n. 180 e n. 28 del 2013 e n. 78 del 2011; ma si vedano anche, di nuovo, le sentenze n. 117 del 2018 e n. 190 del 2017). </w:t>
            </w: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i/>
                <w:lang w:eastAsia="en-US"/>
              </w:rPr>
            </w:pPr>
            <w:r w:rsidRPr="00EF3BB5">
              <w:rPr>
                <w:rFonts w:ascii="Palatino Linotype" w:eastAsiaTheme="minorHAnsi" w:hAnsi="Palatino Linotype" w:cs="Calibri"/>
                <w:bCs/>
                <w:i/>
                <w:lang w:eastAsia="en-US"/>
              </w:rPr>
              <w:t>Inoltre, la giurisprudenza costituzionale ha insistentemente precisato che «l’illegittimità costituzionale della legge regionale» per violazione dell’art. 120, secondo comma, Cost. «</w:t>
            </w:r>
            <w:proofErr w:type="gramStart"/>
            <w:r w:rsidRPr="00EF3BB5">
              <w:rPr>
                <w:rFonts w:ascii="Palatino Linotype" w:eastAsiaTheme="minorHAnsi" w:hAnsi="Palatino Linotype" w:cs="Calibri"/>
                <w:bCs/>
                <w:i/>
                <w:lang w:eastAsia="en-US"/>
              </w:rPr>
              <w:t>sussiste</w:t>
            </w:r>
            <w:proofErr w:type="gramEnd"/>
            <w:r w:rsidRPr="00EF3BB5">
              <w:rPr>
                <w:rFonts w:ascii="Palatino Linotype" w:eastAsiaTheme="minorHAnsi" w:hAnsi="Palatino Linotype" w:cs="Calibri"/>
                <w:bCs/>
                <w:i/>
                <w:lang w:eastAsia="en-US"/>
              </w:rPr>
              <w:t xml:space="preserve"> anche quando l’interferenza è meramente potenziale e, dunque, a prescindere dal verificarsi di un contrasto diretto con i poteri del Commissario incaricato di attuare il piano di rientro» (sentenze n. 117 del 2018, n. 190 del 2017, n. 106 del 2017 e n. 14 del 2017, nello stesso senso, anche le sentenze n. 266 del 2016, n. 227 del 2015 e n. 110 del 2014). </w:t>
            </w:r>
          </w:p>
          <w:p w:rsidR="00F613BC" w:rsidRPr="00EF3BB5"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i/>
                <w:lang w:eastAsia="en-US"/>
              </w:rPr>
            </w:pPr>
            <w:r w:rsidRPr="00EF3BB5">
              <w:rPr>
                <w:rFonts w:ascii="Palatino Linotype" w:eastAsiaTheme="minorHAnsi" w:hAnsi="Palatino Linotype" w:cs="Calibri"/>
                <w:bCs/>
                <w:i/>
                <w:lang w:eastAsia="en-US"/>
              </w:rPr>
              <w:t>Infine, proprio con riferimento a una legge della Regione Campania, questa Corte ha ricordato che il ruolo della Regione «non può consistere in una sovrapposizione legislativa e amministrativa alle funzioni commissariali, ma deve limitarsi a compiti di impulso e vigilanza per la garanzia dei LEA e a una trasparente e corretta trasposizione delle entrate e degli oneri finanziari per la sanità nel bilancio regionale» (sempre sentenza n. 117 del 2018)”.</w:t>
            </w:r>
          </w:p>
          <w:p w:rsidR="00F613BC" w:rsidRPr="00EF3BB5" w:rsidRDefault="00F613BC" w:rsidP="00F613BC">
            <w:pPr>
              <w:spacing w:line="252" w:lineRule="auto"/>
              <w:jc w:val="both"/>
              <w:rPr>
                <w:rFonts w:ascii="Palatino Linotype" w:hAnsi="Palatino Linotype" w:cs="Calibri"/>
                <w:bCs/>
                <w:i/>
                <w:sz w:val="24"/>
                <w:szCs w:val="24"/>
              </w:rPr>
            </w:pPr>
            <w:r w:rsidRPr="00EF3BB5">
              <w:rPr>
                <w:rFonts w:ascii="Palatino Linotype" w:hAnsi="Palatino Linotype" w:cs="Calibri"/>
                <w:bCs/>
                <w:sz w:val="24"/>
                <w:szCs w:val="24"/>
              </w:rPr>
              <w:t>Aggiunge la Corte di non potersi esimere</w:t>
            </w:r>
            <w:r>
              <w:t xml:space="preserve"> </w:t>
            </w:r>
            <w:r w:rsidRPr="00EF3BB5">
              <w:rPr>
                <w:rFonts w:ascii="Palatino Linotype" w:hAnsi="Palatino Linotype" w:cs="Calibri"/>
                <w:bCs/>
                <w:i/>
                <w:sz w:val="24"/>
                <w:szCs w:val="24"/>
              </w:rPr>
              <w:t>“dal rilevare l’anomalia di un commissariamento della sanità regionale protratto per oltre un decennio, senza che l’obiettivo del risanamento finanziario sia stato raggiunto, con tutte le ripercussioni che esso determina anche sugli equilibri della forma di governo regionale, a causa del perdurante esautoramento del Consiglio e della stessa Giunta a favore del Commissario ad acta, soprattutto quando è impersonato dal Presidente della Giunta, in un ambito cruciale per il governo della Regione”.</w:t>
            </w:r>
          </w:p>
          <w:p w:rsidR="00F613BC" w:rsidRDefault="00F613BC" w:rsidP="00F613BC">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(4)</w:t>
            </w:r>
          </w:p>
          <w:p w:rsidR="00F613BC" w:rsidRDefault="00F613BC" w:rsidP="00F613BC">
            <w:pPr>
              <w:pStyle w:val="Default"/>
            </w:pP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Pr>
                <w:rFonts w:ascii="Palatino Linotype" w:eastAsiaTheme="minorHAnsi" w:hAnsi="Palatino Linotype" w:cs="Calibri"/>
                <w:bCs/>
                <w:lang w:eastAsia="en-US"/>
              </w:rPr>
              <w:t>La Corte c</w:t>
            </w:r>
            <w:r w:rsidRPr="00E7518A">
              <w:rPr>
                <w:rFonts w:ascii="Palatino Linotype" w:eastAsiaTheme="minorHAnsi" w:hAnsi="Palatino Linotype" w:cs="Calibri"/>
                <w:bCs/>
                <w:lang w:eastAsia="en-US"/>
              </w:rPr>
              <w:t>ostituzionale</w:t>
            </w:r>
            <w:r w:rsidRPr="00100DBA">
              <w:rPr>
                <w:rFonts w:ascii="Palatino Linotype" w:eastAsiaTheme="minorHAnsi" w:hAnsi="Palatino Linotype" w:cs="Calibri"/>
                <w:bCs/>
                <w:lang w:eastAsia="en-US"/>
              </w:rPr>
              <w:t xml:space="preserve"> esamina le questioni di legittimità costituzionale dell’intero decreto legislativo 16 giugno 2017, n. 104  - recante Attuazione della direttiva 2014/52/UE del Parlamento europeo e del Consiglio, del 16 aprile 2014, che modifica la direttiva 2011/92/UE, concernente la valutazione dell’impatto ambientale di determinati progetti pubblici e privati, ai sensi degli artt. 1 e 14 della legge 9 luglio 2015, n. 114 – o di sue singole disposizioni</w:t>
            </w:r>
            <w:r>
              <w:rPr>
                <w:rFonts w:ascii="Palatino Linotype" w:eastAsiaTheme="minorHAnsi" w:hAnsi="Palatino Linotype" w:cs="Calibri"/>
                <w:bCs/>
                <w:lang w:eastAsia="en-US"/>
              </w:rPr>
              <w:t>,</w:t>
            </w:r>
            <w:r w:rsidRPr="00100DBA">
              <w:rPr>
                <w:rFonts w:ascii="Palatino Linotype" w:eastAsiaTheme="minorHAnsi" w:hAnsi="Palatino Linotype" w:cs="Calibri"/>
                <w:bCs/>
                <w:lang w:eastAsia="en-US"/>
              </w:rPr>
              <w:t xml:space="preserve"> sollevate da alcune Regioni a statuto ordinario e speciale e dalle Province autonome di Trento e Bolzano.</w:t>
            </w:r>
          </w:p>
          <w:p w:rsid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p>
          <w:p w:rsidR="00F613BC" w:rsidRDefault="00B34862"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hyperlink r:id="rId11" w:history="1">
              <w:r w:rsidR="00F613BC">
                <w:rPr>
                  <w:rStyle w:val="Collegamentoipertestuale"/>
                  <w:rFonts w:ascii="Palatino Linotype" w:hAnsi="Palatino Linotype" w:cs="Calibri"/>
                  <w:bCs/>
                </w:rPr>
                <w:t>Corte c</w:t>
              </w:r>
              <w:r w:rsidR="00F613BC" w:rsidRPr="00BF245A">
                <w:rPr>
                  <w:rStyle w:val="Collegamentoipertestuale"/>
                  <w:rFonts w:ascii="Palatino Linotype" w:hAnsi="Palatino Linotype" w:cs="Calibri"/>
                  <w:bCs/>
                </w:rPr>
                <w:t xml:space="preserve">ostituzionale, sentenza 14 novembre 2018, n. 198 – Pres. Lattanzi, </w:t>
              </w:r>
              <w:proofErr w:type="spellStart"/>
              <w:r w:rsidR="00F613BC" w:rsidRPr="00BF245A">
                <w:rPr>
                  <w:rStyle w:val="Collegamentoipertestuale"/>
                  <w:rFonts w:ascii="Palatino Linotype" w:hAnsi="Palatino Linotype" w:cs="Calibri"/>
                  <w:bCs/>
                </w:rPr>
                <w:t>Red</w:t>
              </w:r>
              <w:proofErr w:type="spellEnd"/>
              <w:r w:rsidR="00F613BC" w:rsidRPr="00BF245A">
                <w:rPr>
                  <w:rStyle w:val="Collegamentoipertestuale"/>
                  <w:rFonts w:ascii="Palatino Linotype" w:hAnsi="Palatino Linotype" w:cs="Calibri"/>
                  <w:bCs/>
                </w:rPr>
                <w:t>. Modugno – Barbera</w:t>
              </w:r>
            </w:hyperlink>
          </w:p>
          <w:p w:rsid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Pr>
                <w:rFonts w:ascii="Palatino Linotype" w:eastAsiaTheme="minorHAnsi" w:hAnsi="Palatino Linotype" w:cs="Calibri"/>
                <w:bCs/>
                <w:lang w:eastAsia="en-US"/>
              </w:rPr>
              <w:t>La Corte costituzionale</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proofErr w:type="gramStart"/>
            <w:r w:rsidRPr="00100DBA">
              <w:rPr>
                <w:rFonts w:ascii="Palatino Linotype" w:eastAsiaTheme="minorHAnsi" w:hAnsi="Palatino Linotype" w:cs="Calibri"/>
                <w:bCs/>
                <w:lang w:eastAsia="en-US"/>
              </w:rPr>
              <w:t>riuniti</w:t>
            </w:r>
            <w:proofErr w:type="gramEnd"/>
            <w:r w:rsidRPr="00100DBA">
              <w:rPr>
                <w:rFonts w:ascii="Palatino Linotype" w:eastAsiaTheme="minorHAnsi" w:hAnsi="Palatino Linotype" w:cs="Calibri"/>
                <w:bCs/>
                <w:lang w:eastAsia="en-US"/>
              </w:rPr>
              <w:t xml:space="preserve"> i giudizi,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 dichiara l’illegittimità costituzionale dell’art. 23, comma 1, del decreto legislativo 16 giugno 2017, n. 104 (Attuazione della direttiva 2014/52/UE del Parlamento europeo e del Consiglio, del 16 aprile 2014, che modifica la direttiva 2011/92/UE, concernente la valutazione dell’impatto ambientale di determinati progetti pubblici e privati, ai sensi degli artt. 1 e 14 della legge 9 luglio 2015, n. 114), nella parte in cui non contempla una clausola di salvaguardia che consenta alle Province autonome di Trento e di Bolzano di adeguare la propria legislazione alle norme in esso contenute, secondo la procedura di cui all’art. 2 del decreto legislativo 16 marzo 1992, n. 266 (Norme di attuazione dello statuto speciale per il Trentino-Alto Adige concernenti il rapporto tra gli atti legislativi statali e leggi regionali e provinciali, nonché la potestà statale di indirizzo e coordinamento);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 dichiara l’illegittimità costituzionale dell’art. 23, comma 4, del d.lgs. n. 104 del 2017, nella parte in cui prevede che le Province autonome di Trento e di Bolzano adeguino i propri ordinamenti entro il termine di «centoventi giorni» anziché entro quello di sei mesi dall’entrata in vigore del medesimo decreto legislativo;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3) dichiara inammissibile la questione di legittimità costituzionale dell’intero d.lgs. n. 104 del 2017, promossa, in riferimento all’art. 120 della Costituzione, dalla Regione Puglia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4) dichiara inammissibili le questioni di legittimità costituzionale degli artt. 3, 5, 8, 9, 12, 13, 16, 17, 22 e 26 del d.lgs. n. 104 del 2017, promosse, in riferimento al principio di leale collaborazione, dalle Regioni autonome Valle d’Aosta/</w:t>
            </w:r>
            <w:proofErr w:type="spellStart"/>
            <w:r w:rsidRPr="00100DBA">
              <w:rPr>
                <w:rFonts w:ascii="Palatino Linotype" w:eastAsiaTheme="minorHAnsi" w:hAnsi="Palatino Linotype" w:cs="Calibri"/>
                <w:bCs/>
                <w:lang w:eastAsia="en-US"/>
              </w:rPr>
              <w:t>Vallée</w:t>
            </w:r>
            <w:proofErr w:type="spellEnd"/>
            <w:r w:rsidRPr="00100DBA">
              <w:rPr>
                <w:rFonts w:ascii="Palatino Linotype" w:eastAsiaTheme="minorHAnsi" w:hAnsi="Palatino Linotype" w:cs="Calibri"/>
                <w:bCs/>
                <w:lang w:eastAsia="en-US"/>
              </w:rPr>
              <w:t xml:space="preserve"> d’</w:t>
            </w:r>
            <w:proofErr w:type="spellStart"/>
            <w:r w:rsidRPr="00100DBA">
              <w:rPr>
                <w:rFonts w:ascii="Palatino Linotype" w:eastAsiaTheme="minorHAnsi" w:hAnsi="Palatino Linotype" w:cs="Calibri"/>
                <w:bCs/>
                <w:lang w:eastAsia="en-US"/>
              </w:rPr>
              <w:t>Aoste</w:t>
            </w:r>
            <w:proofErr w:type="spellEnd"/>
            <w:r w:rsidRPr="00100DBA">
              <w:rPr>
                <w:rFonts w:ascii="Palatino Linotype" w:eastAsiaTheme="minorHAnsi" w:hAnsi="Palatino Linotype" w:cs="Calibri"/>
                <w:bCs/>
                <w:lang w:eastAsia="en-US"/>
              </w:rPr>
              <w:t xml:space="preserve">, Friuli-Venezia Giulia e Sardegna, dalle Regioni Veneto e Calabria e dalle Province autonome di Trento e di Bolzano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5) dichiara inammissibili le questioni di legittimità costituzionale dell’art. 18, comma 3, in combinato disposto con l’art. 3, comma 1, lettera g), del d.lgs. n. 104 del 2017, promosse, in riferimento agli artt. 3, 9, 24 e 97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Regione Puglia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6) dichiara inammissibili le questioni di legittimità costituzionale dell’art. 16, comma 1, del d.lgs. n. 104 del 2017, promosse, in riferimento agli artt. 5, 76, 117, 118 e 120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Regione Calabria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7) dichiara inammissibili le questioni di legittimità costituzionale dell’art. 27 del d.lgs. n. 104 del 2017, promosse, in riferimento agli artt. 76, 81, 117, terzo comma, e 118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dalle Regioni Lombardia, Abruzzo e Calabria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8) dichiara inammissibili le questioni di legittimità costituzionale degli artt. 5, comma 1, 22, commi 1, 2, 3 e 4, e 26 del d.lgs. n. 104 del 2017, promosse, in riferimento agli artt. 3 e 97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Provincia autonoma di Trento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9) dichiara inammissibili le questioni di legittimità costituzionale degli artt. 5, comma l, 8, 16, commi l e 2, 22, commi l, 2, 3 e 4, 23, commi l e 4, e 24 del d.lgs. n. 104 del 2017, promosse, in riferimento all’art. 76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Provincia autonoma di Bolzano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10) dichiara non fondate le questioni di legittimità costituzionale dell’intero d.lgs. n. 104 del 2017, promosse, in riferimento agli artt. 76, 77 e 117, primo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Regione Puglia e dalle Province autonome di Trento e di Bolzano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11) dichiara non fondate le questioni di legittimità costituzionale degli artt. 3, 4, 5, 8, 12, 13, 14, 16, 17, 22 e 26 del d.lgs. n. 104 del 2017, promosse, in riferimento all’art. 76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dalle Regioni autonome Valle d’Aosta/</w:t>
            </w:r>
            <w:proofErr w:type="spellStart"/>
            <w:r w:rsidRPr="00100DBA">
              <w:rPr>
                <w:rFonts w:ascii="Palatino Linotype" w:eastAsiaTheme="minorHAnsi" w:hAnsi="Palatino Linotype" w:cs="Calibri"/>
                <w:bCs/>
                <w:lang w:eastAsia="en-US"/>
              </w:rPr>
              <w:t>Vallée</w:t>
            </w:r>
            <w:proofErr w:type="spellEnd"/>
            <w:r w:rsidRPr="00100DBA">
              <w:rPr>
                <w:rFonts w:ascii="Palatino Linotype" w:eastAsiaTheme="minorHAnsi" w:hAnsi="Palatino Linotype" w:cs="Calibri"/>
                <w:bCs/>
                <w:lang w:eastAsia="en-US"/>
              </w:rPr>
              <w:t xml:space="preserve"> d’</w:t>
            </w:r>
            <w:proofErr w:type="spellStart"/>
            <w:r w:rsidRPr="00100DBA">
              <w:rPr>
                <w:rFonts w:ascii="Palatino Linotype" w:eastAsiaTheme="minorHAnsi" w:hAnsi="Palatino Linotype" w:cs="Calibri"/>
                <w:bCs/>
                <w:lang w:eastAsia="en-US"/>
              </w:rPr>
              <w:t>Aoste</w:t>
            </w:r>
            <w:proofErr w:type="spellEnd"/>
            <w:r w:rsidRPr="00100DBA">
              <w:rPr>
                <w:rFonts w:ascii="Palatino Linotype" w:eastAsiaTheme="minorHAnsi" w:hAnsi="Palatino Linotype" w:cs="Calibri"/>
                <w:bCs/>
                <w:lang w:eastAsia="en-US"/>
              </w:rPr>
              <w:t xml:space="preserve">, Friuli-Venezia Giulia e Sardegna, dalle Regioni Lombardia, Abruzzo, Puglia, Veneto e Calabria e dalle Province autonome di Trento e di Bolzano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12) dichiara non fondate le questioni di legittimità costituzionale dell’art. 3, comma 1, lettera g), del d.lgs. n. 104 del 2017, promosse, in riferimento agli artt. 3, 5, 32, 97, 117, terzo comma, 118 e 120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nonché al principio di leale collaborazione, dalle Regioni Lombardia, Puglia, Abruzzo, Veneto e Calabria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13) dichiara non fondate le questioni di legittimità costituzionale dell’art. 3, comma 1, lettera h), del d.lgs. n. 104 del 2017, promosse, in riferimento agli artt. 3, 97, 117, terzo comma, e 118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nonché al principio di leale collaborazione, dalla Regione Veneto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14) dichiara non fondate le questioni di legittimità costituzionale degli artt. 5, 22, commi 1, 2, 3 e 4, e 26 del d.lgs. n. 104 del 2017, promosse, in riferimento agli artt. 3, 117, terzo e quarto comma, e 118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nonché al principio di leale collaborazione di cui agli artt. 5 e 120 Cost., dalle Regioni Lombardia, Abruzzo, Calabria e Veneto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15) dichiara non fondata la questione di legittimità costituzionale dell’art. 14 del d.lgs. n. 104 del 2017, promossa, in riferimento al principio di leale collaborazione, dalla Regione Puglia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16) dichiara non fondate le questioni di legittimità costituzionale dell’art. 16, comma 2, del d.lgs. n. 104 del 2017, promosse, in riferimento agli artt. 3, 97 e 117, terzo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nonché del principio di leale collaborazione, dalle Regioni Lombardia, Abruzzo e Calabria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17) dichiara non fondate, nei sensi di cui in motivazione, le questioni di legittimità costituzionale dell’art. 21 del d.lgs. n. 104 del 2017, promosse, in riferimento agli artt. 3, 97, 117, terzo e quarto comma, 118 e 119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nonché al principio di leale collaborazione, dalle Regioni Lombardia, Abruzzo, Veneto e Calabria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18) dichiara non fondate le questioni di legittimità costituzionale degli artt. 5 e 22, commi 1, 2, 3 e 4, del d.lgs. n. 104 del 2017, promosse, in riferimento agli artt. 2, primo comma, lettere a), d), f) e m), 3 e 4 della legge costituzionale 26 febbraio 1948, n. 4 (Statuto speciale per la Valle d’Aosta), nonché agli artt. 3, 97, 117, primo e terzo comma, e 118, Cost., anche in relazione all’art. 10 della legge costituzionale 18 ottobre 2001, n. 3 (Modifiche al titolo V della parte seconda della Costituzione), dalla Regione autonoma Valle d’Aosta/</w:t>
            </w:r>
            <w:proofErr w:type="spellStart"/>
            <w:r w:rsidRPr="00100DBA">
              <w:rPr>
                <w:rFonts w:ascii="Palatino Linotype" w:eastAsiaTheme="minorHAnsi" w:hAnsi="Palatino Linotype" w:cs="Calibri"/>
                <w:bCs/>
                <w:lang w:eastAsia="en-US"/>
              </w:rPr>
              <w:t>Vallée</w:t>
            </w:r>
            <w:proofErr w:type="spellEnd"/>
            <w:r w:rsidRPr="00100DBA">
              <w:rPr>
                <w:rFonts w:ascii="Palatino Linotype" w:eastAsiaTheme="minorHAnsi" w:hAnsi="Palatino Linotype" w:cs="Calibri"/>
                <w:bCs/>
                <w:lang w:eastAsia="en-US"/>
              </w:rPr>
              <w:t xml:space="preserve"> d’</w:t>
            </w:r>
            <w:proofErr w:type="spellStart"/>
            <w:r w:rsidRPr="00100DBA">
              <w:rPr>
                <w:rFonts w:ascii="Palatino Linotype" w:eastAsiaTheme="minorHAnsi" w:hAnsi="Palatino Linotype" w:cs="Calibri"/>
                <w:bCs/>
                <w:lang w:eastAsia="en-US"/>
              </w:rPr>
              <w:t>Aoste</w:t>
            </w:r>
            <w:proofErr w:type="spellEnd"/>
            <w:r w:rsidRPr="00100DBA">
              <w:rPr>
                <w:rFonts w:ascii="Palatino Linotype" w:eastAsiaTheme="minorHAnsi" w:hAnsi="Palatino Linotype" w:cs="Calibri"/>
                <w:bCs/>
                <w:lang w:eastAsia="en-US"/>
              </w:rPr>
              <w:t xml:space="preserve">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19) dichiara non fondate le questioni di legittimità costituzionale degli artt. 5, 22 e 26 del d.lgs. n. 104 del 2017, promosse, in riferimento agli artt. 4 e 5 della legge costituzionale 31 gennaio 1963, n. 1 (Statuto speciale della Regione Friuli-Venezia Giulia), nonché agli artt. 117, secondo e terzo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Regione autonoma Friuli-Venezia Giulia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20) dichiara non fondate le questioni di legittimità costituzionale degli artt. 5, 22 e 26 del d.lgs. n. 104 del 2017, promosse, in riferimento agli artt. 3 e 4 della legge costituzionale 26 febbraio 1948, n. 3 (Statuto speciale per la Sardegna), nonché agli artt. 117, secondo e terzo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Regione autonoma Sardegna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21) dichiara non fondate le questioni di legittimità costituzionale degli artt. 5, 22, commi 1, 2, 3 e 4, e 26, comma 1, lettera a), del d.lgs. n. 104 del 2017, promosse, in riferimento agli artt. 8, numeri 1), 3), 5), 6), 11), 13), 14), 16), 17), 18), 20) e 21), 9, numeri 3), 9) e 10), e 16 del d.P.R. 31 agosto 1972, n. 670 (Approvazione del testo unico delle leggi costituzionali concernenti lo statuto speciale per il Trentino Alto-Adige), all’art. 19-bis del d.P.R. 22 marzo 1974, n. 381 (Norme di attuazione dello statuto speciale per la Regione Trentino Alto-Adige in materia di urbanistica ed opere pubbliche), all’art. 7 del d.P.R. 19 novembre 1987, n. 526 (Estensione alla regione Trentino-Alto Adige ed alle province autonome di Trento e Bolzano delle disposizioni del decreto del Presidente della Repubblica 24 luglio 1977, n. 616), agli artt. 117, terzo, quarto e quinto comma, anche in relazione all’art. 10 della legge cost. n. 3 del 2001, 118 e 120, secondo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Provincia autonoma di Trento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22) dichiara non fondate le questioni di legittimità costituzionale degli artt. 5, comma 1, e 22, commi 1, 2, 3 e 4, del d.lgs. n. 104 del 2017, promosse, in riferimento agli artt. 8, numeri 3), 5), 6), 9), 11), 13), 16), 17), 18), 20), 21) e 24), 9, numeri 3), 9) e 10), e 16 del d.P.R. n. 670 del 1972, all’art. 19-bis del d.P.R. n. 381 del 1974, agli artt. 7 e 8 del d.P.R. n. 526 del 1987, all’art. 4 del d.lgs. n. 266 del 1992, nonché agli artt. 3, 97, 117, primo, terzo, quarto e quinto comma, Cost., anche in relazione all’art. 10 della legge.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n. 3 del 2001, dalla Provincia autonoma di Bolzano,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23) dichiara non fondate le questioni di legittimità costituzionale degli artt. 8, 16, commi 1 e 2, e 24 del d.lgs. n. 104 del 2017, promosse, in riferimento agli artt. 8, numeri 1), 3), 5), 6), 11), 13), 16), 17), 18), 20), 21) e 9, numeri 3), 9) e 10) del d.P.R. n. 670 del 1972, all’art. 19-bis del d.P.R. n. 381 del 1974, all’art. 7 del d.P.R. n. 526 del 1987, all’art. 2 del d.lgs. n. 266 del 1992, agli artt. 3, 97, 117, primo e quinto comma, e 120, secondo comma, Cost., anche in relazione all’art. 10 della legge cost. n. 3 del 2001, dalle Province autonome di Trento e di Bolzano, con i ricorsi indicati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24) dichiara non fondate le questioni di legittimità costituzionale degli artt. 16, comma 2, e 24 del d.lgs. n. 104 del 2017, promosse, in riferimento agli artt. 2, primo comma, lettere a), d), f) e m), 3 e 4 della legge cost. n. 4 del 1948, nonché agli artt. 3, 5, 97, 117, primo e terzo comma, 118 e 120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anche in relazione all’art. 10 della legge cost. n. 3 del 2001, dalla Regione autonoma Valle d’Aosta/</w:t>
            </w:r>
            <w:proofErr w:type="spellStart"/>
            <w:r w:rsidRPr="00100DBA">
              <w:rPr>
                <w:rFonts w:ascii="Palatino Linotype" w:eastAsiaTheme="minorHAnsi" w:hAnsi="Palatino Linotype" w:cs="Calibri"/>
                <w:bCs/>
                <w:lang w:eastAsia="en-US"/>
              </w:rPr>
              <w:t>Vallée</w:t>
            </w:r>
            <w:proofErr w:type="spellEnd"/>
            <w:r w:rsidRPr="00100DBA">
              <w:rPr>
                <w:rFonts w:ascii="Palatino Linotype" w:eastAsiaTheme="minorHAnsi" w:hAnsi="Palatino Linotype" w:cs="Calibri"/>
                <w:bCs/>
                <w:lang w:eastAsia="en-US"/>
              </w:rPr>
              <w:t xml:space="preserve"> d’</w:t>
            </w:r>
            <w:proofErr w:type="spellStart"/>
            <w:r w:rsidRPr="00100DBA">
              <w:rPr>
                <w:rFonts w:ascii="Palatino Linotype" w:eastAsiaTheme="minorHAnsi" w:hAnsi="Palatino Linotype" w:cs="Calibri"/>
                <w:bCs/>
                <w:lang w:eastAsia="en-US"/>
              </w:rPr>
              <w:t>Aoste</w:t>
            </w:r>
            <w:proofErr w:type="spellEnd"/>
            <w:r w:rsidRPr="00100DBA">
              <w:rPr>
                <w:rFonts w:ascii="Palatino Linotype" w:eastAsiaTheme="minorHAnsi" w:hAnsi="Palatino Linotype" w:cs="Calibri"/>
                <w:bCs/>
                <w:lang w:eastAsia="en-US"/>
              </w:rPr>
              <w:t xml:space="preserve">,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25) dichiara non fondate le questioni di legittimità costituzionale dell’art. 23, comma 4, del d.lgs. n. 104 del 2017, promosse – in riferimento all’art. 2, primo comma, lettere a), d), f) e m) della legge cost. n. 4 del 1948, nonché agli artt. 3, 5, 117, primo, terzo e quarto comma, 118 e 120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anche in relazione all’art. 10 della legge cost. n. 3 del 2001 – dalla Regione autonoma Valle d’Aosta/</w:t>
            </w:r>
            <w:proofErr w:type="spellStart"/>
            <w:r w:rsidRPr="00100DBA">
              <w:rPr>
                <w:rFonts w:ascii="Palatino Linotype" w:eastAsiaTheme="minorHAnsi" w:hAnsi="Palatino Linotype" w:cs="Calibri"/>
                <w:bCs/>
                <w:lang w:eastAsia="en-US"/>
              </w:rPr>
              <w:t>Vallée</w:t>
            </w:r>
            <w:proofErr w:type="spellEnd"/>
            <w:r w:rsidRPr="00100DBA">
              <w:rPr>
                <w:rFonts w:ascii="Palatino Linotype" w:eastAsiaTheme="minorHAnsi" w:hAnsi="Palatino Linotype" w:cs="Calibri"/>
                <w:bCs/>
                <w:lang w:eastAsia="en-US"/>
              </w:rPr>
              <w:t xml:space="preserve"> d’</w:t>
            </w:r>
            <w:proofErr w:type="spellStart"/>
            <w:r w:rsidRPr="00100DBA">
              <w:rPr>
                <w:rFonts w:ascii="Palatino Linotype" w:eastAsiaTheme="minorHAnsi" w:hAnsi="Palatino Linotype" w:cs="Calibri"/>
                <w:bCs/>
                <w:lang w:eastAsia="en-US"/>
              </w:rPr>
              <w:t>Aoste</w:t>
            </w:r>
            <w:proofErr w:type="spellEnd"/>
            <w:r w:rsidRPr="00100DBA">
              <w:rPr>
                <w:rFonts w:ascii="Palatino Linotype" w:eastAsiaTheme="minorHAnsi" w:hAnsi="Palatino Linotype" w:cs="Calibri"/>
                <w:bCs/>
                <w:lang w:eastAsia="en-US"/>
              </w:rPr>
              <w:t xml:space="preserve">,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26) dichiara non fondate le questioni di legittimità costituzionale dell’art. 23, comma 4, del d.lgs. n. 104 del 2017, promosse, in riferimento agli artt. 8 e 9 del d.P.R. n. 670 del 1972, all’art. 8 del d.P.R. n. 526 del 1987, nonché agli artt. 117, quinto comma, e 120, secondo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Provincia autonoma di Trento,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27) dichiara non fondate le questioni di legittimità costituzionale degli artt. 12, 13 e 14 del d.lgs. n. 104 del 2017, promosse, in riferimento agli artt. 4, numeri 6), 9), 10), 11), 12), 13), e 5, numeri 7), 10), 12), 14), 16), 20) e 22) della legge cost. n. 1 del 1963, nonché agli artt. 3, 5, 97 e 117, primo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anche in relazione all’art. 1, comma 6, lettera a), della direttiva 2014/52/UE, e agli artt. 117, secondo comma, lettera s), e terzo comma, e 118 Cost., anche in relazione all’art. 10 della legge cost. n. 3 del 2001, promosse dalla Regione autonoma Friuli-Venezia Giulia,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28) dichiara non fondate le questioni di legittimità costituzionale degli artt. 5, 12, 13, 14, 22 e 26 del d.lgs. n. 104 del 2017, promosse, in riferimento agli artt. 4 e 5 della legge cost. n. 1 del 1963, nonché agli artt. 5, 117 e 118 Cost. </w:t>
            </w:r>
            <w:proofErr w:type="gramStart"/>
            <w:r w:rsidRPr="00100DBA">
              <w:rPr>
                <w:rFonts w:ascii="Palatino Linotype" w:eastAsiaTheme="minorHAnsi" w:hAnsi="Palatino Linotype" w:cs="Calibri"/>
                <w:bCs/>
                <w:lang w:eastAsia="en-US"/>
              </w:rPr>
              <w:t>e</w:t>
            </w:r>
            <w:proofErr w:type="gramEnd"/>
            <w:r w:rsidRPr="00100DBA">
              <w:rPr>
                <w:rFonts w:ascii="Palatino Linotype" w:eastAsiaTheme="minorHAnsi" w:hAnsi="Palatino Linotype" w:cs="Calibri"/>
                <w:bCs/>
                <w:lang w:eastAsia="en-US"/>
              </w:rPr>
              <w:t xml:space="preserve"> al principio di leale collaborazione, dalla Regione autonoma Friuli-Venezia Giulia,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29) dichiara non fondate le questioni di legittimità costituzionale degli artt. 12, 13 e 14 del d.lgs. n. 104 del 2017, promosse, in riferimento agli artt. 3 e 4 della legge cost. n. 3 del 1948, nonché agli artt. 5, 97 e 117, primo comma,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anche in relazione all’art. 1, comma 6, lettera a), della direttiva 2014/52/UE, e agli artt. 117, secondo comma, lettera s), e terzo comma, e 118 Cost., anche in relazione all’art. 10 della legge cost. n. 3 del 2001, promosse dalla Regione autonoma Sardegna,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30) dichiara non fondate le questioni di legittimità costituzionale degli artt. 3, 5, 12, 13, 14, 22 e 26 del d.lgs. n. 104 del 2017, promosse, in riferimento agli artt. 3 e 4 della legge cost. n. 3 del 1948, nonché agli artt. 5, 117 e 118 Cost. </w:t>
            </w:r>
            <w:proofErr w:type="gramStart"/>
            <w:r w:rsidRPr="00100DBA">
              <w:rPr>
                <w:rFonts w:ascii="Palatino Linotype" w:eastAsiaTheme="minorHAnsi" w:hAnsi="Palatino Linotype" w:cs="Calibri"/>
                <w:bCs/>
                <w:lang w:eastAsia="en-US"/>
              </w:rPr>
              <w:t>e</w:t>
            </w:r>
            <w:proofErr w:type="gramEnd"/>
            <w:r w:rsidRPr="00100DBA">
              <w:rPr>
                <w:rFonts w:ascii="Palatino Linotype" w:eastAsiaTheme="minorHAnsi" w:hAnsi="Palatino Linotype" w:cs="Calibri"/>
                <w:bCs/>
                <w:lang w:eastAsia="en-US"/>
              </w:rPr>
              <w:t xml:space="preserve"> al principio di leale collaborazione, dalla Regione autonoma Sardegna, con il ricorso indicato in epigrafe; </w:t>
            </w:r>
          </w:p>
          <w:p w:rsid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100DBA">
              <w:rPr>
                <w:rFonts w:ascii="Palatino Linotype" w:eastAsiaTheme="minorHAnsi" w:hAnsi="Palatino Linotype" w:cs="Calibri"/>
                <w:bCs/>
                <w:lang w:eastAsia="en-US"/>
              </w:rPr>
              <w:t xml:space="preserve">31) dichiara non fondate le questioni di legittimità costituzionale degli artt. 3, comma 1, lettere g) e h), 8, 14, 16 e 17 del d.lgs. n. 104 del 2017, promosse, in riferimento all’art. 3 della legge cost. n. 3 del 1948, all’art. 6 del d.P.R. 22 maggio 1975, n. 480 (Nuove norme di attuazione dello statuto speciale della regione autonoma della Sardegna), agli artt. 3, 97 e 117 Cost, anche in riferimento all’art. 10 della legge cost. n. 3 del 2001, nonché al principio di leale collaborazione di cui agli artt. 5, 117 e 118 </w:t>
            </w:r>
            <w:proofErr w:type="gramStart"/>
            <w:r w:rsidRPr="00100DBA">
              <w:rPr>
                <w:rFonts w:ascii="Palatino Linotype" w:eastAsiaTheme="minorHAnsi" w:hAnsi="Palatino Linotype" w:cs="Calibri"/>
                <w:bCs/>
                <w:lang w:eastAsia="en-US"/>
              </w:rPr>
              <w:t>Cost.,</w:t>
            </w:r>
            <w:proofErr w:type="gramEnd"/>
            <w:r w:rsidRPr="00100DBA">
              <w:rPr>
                <w:rFonts w:ascii="Palatino Linotype" w:eastAsiaTheme="minorHAnsi" w:hAnsi="Palatino Linotype" w:cs="Calibri"/>
                <w:bCs/>
                <w:lang w:eastAsia="en-US"/>
              </w:rPr>
              <w:t xml:space="preserve"> dalla Regione autonoma Sardegna, con il ricorso indicato in epigrafe. </w:t>
            </w:r>
          </w:p>
          <w:p w:rsidR="00F613BC" w:rsidRPr="00100DBA"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p>
          <w:p w:rsidR="00F613BC" w:rsidRPr="00EF3BB5" w:rsidRDefault="00F613BC" w:rsidP="00F613BC">
            <w:pPr>
              <w:spacing w:after="0" w:line="276" w:lineRule="auto"/>
              <w:jc w:val="center"/>
              <w:outlineLvl w:val="0"/>
              <w:rPr>
                <w:rFonts w:ascii="Palatino Linotype" w:eastAsia="Times New Roman" w:hAnsi="Palatino Linotype" w:cs="Times New Roman"/>
                <w:color w:val="2E74B5"/>
                <w:kern w:val="36"/>
                <w:sz w:val="32"/>
                <w:szCs w:val="32"/>
              </w:rPr>
            </w:pPr>
            <w:r w:rsidRPr="00EF3BB5">
              <w:rPr>
                <w:rFonts w:eastAsia="Times New Roman" w:cs="Times New Roman"/>
                <w:color w:val="2E74B5"/>
                <w:kern w:val="36"/>
                <w:sz w:val="32"/>
                <w:szCs w:val="32"/>
              </w:rPr>
              <w:t>(</w:t>
            </w:r>
            <w:r>
              <w:rPr>
                <w:rFonts w:ascii="Palatino Linotype" w:eastAsia="Times New Roman" w:hAnsi="Palatino Linotype" w:cs="Times New Roman"/>
                <w:color w:val="2E74B5"/>
                <w:kern w:val="36"/>
                <w:sz w:val="32"/>
                <w:szCs w:val="32"/>
              </w:rPr>
              <w:t>5</w:t>
            </w:r>
            <w:r w:rsidRPr="00EF3BB5">
              <w:rPr>
                <w:rFonts w:ascii="Palatino Linotype" w:eastAsia="Times New Roman" w:hAnsi="Palatino Linotype" w:cs="Times New Roman"/>
                <w:color w:val="2E74B5"/>
                <w:kern w:val="36"/>
                <w:sz w:val="32"/>
                <w:szCs w:val="32"/>
              </w:rPr>
              <w:t>)</w:t>
            </w:r>
          </w:p>
          <w:p w:rsid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p>
          <w:p w:rsidR="00F613BC" w:rsidRPr="00A246FB"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Pr>
                <w:rFonts w:ascii="Palatino Linotype" w:eastAsiaTheme="minorHAnsi" w:hAnsi="Palatino Linotype" w:cs="Calibri"/>
                <w:bCs/>
                <w:lang w:eastAsia="en-US"/>
              </w:rPr>
              <w:t>La Corte c</w:t>
            </w:r>
            <w:r w:rsidRPr="00E7518A">
              <w:rPr>
                <w:rFonts w:ascii="Palatino Linotype" w:eastAsiaTheme="minorHAnsi" w:hAnsi="Palatino Linotype" w:cs="Calibri"/>
                <w:bCs/>
                <w:lang w:eastAsia="en-US"/>
              </w:rPr>
              <w:t>ostituzionale</w:t>
            </w:r>
            <w:r w:rsidR="00301B95">
              <w:rPr>
                <w:rFonts w:ascii="Palatino Linotype" w:eastAsiaTheme="minorHAnsi" w:hAnsi="Palatino Linotype" w:cs="Calibri"/>
                <w:bCs/>
                <w:lang w:eastAsia="en-US"/>
              </w:rPr>
              <w:t xml:space="preserve"> ha ritenuto legittima la norma </w:t>
            </w:r>
            <w:r w:rsidR="00301B95" w:rsidRPr="00301B95">
              <w:rPr>
                <w:rFonts w:ascii="Palatino Linotype" w:eastAsiaTheme="minorHAnsi" w:hAnsi="Palatino Linotype" w:cs="Calibri"/>
                <w:bCs/>
                <w:lang w:eastAsia="en-US"/>
              </w:rPr>
              <w:t>dell’art. 12, comma 5, del d.lgs. n. 109 del 2006</w:t>
            </w:r>
            <w:r w:rsidR="00301B95">
              <w:rPr>
                <w:rFonts w:ascii="Palatino Linotype" w:eastAsiaTheme="minorHAnsi" w:hAnsi="Palatino Linotype" w:cs="Calibri"/>
                <w:bCs/>
                <w:lang w:eastAsia="en-US"/>
              </w:rPr>
              <w:t xml:space="preserve"> che prevede</w:t>
            </w:r>
            <w:r w:rsidR="00D516AA">
              <w:rPr>
                <w:rFonts w:ascii="Palatino Linotype" w:eastAsiaTheme="minorHAnsi" w:hAnsi="Palatino Linotype" w:cs="Calibri"/>
                <w:bCs/>
                <w:lang w:eastAsia="en-US"/>
              </w:rPr>
              <w:t xml:space="preserve"> l’automatica rimozione</w:t>
            </w:r>
            <w:r w:rsidR="00301B95">
              <w:rPr>
                <w:rFonts w:ascii="Palatino Linotype" w:eastAsiaTheme="minorHAnsi" w:hAnsi="Palatino Linotype" w:cs="Calibri"/>
                <w:bCs/>
                <w:lang w:eastAsia="en-US"/>
              </w:rPr>
              <w:t xml:space="preserve"> del</w:t>
            </w:r>
            <w:r w:rsidRPr="00A246FB">
              <w:rPr>
                <w:rFonts w:ascii="Palatino Linotype" w:eastAsiaTheme="minorHAnsi" w:hAnsi="Palatino Linotype" w:cs="Calibri"/>
                <w:bCs/>
                <w:lang w:eastAsia="en-US"/>
              </w:rPr>
              <w:t xml:space="preserve"> magistrato che accetta favori da imputati, in processi pendenti nella propria sede giudiziaria.</w:t>
            </w:r>
          </w:p>
          <w:p w:rsidR="00F613BC" w:rsidRPr="00A246FB" w:rsidRDefault="00F613BC" w:rsidP="00F613BC">
            <w:pPr>
              <w:pStyle w:val="c02alineaalta"/>
              <w:shd w:val="clear" w:color="auto" w:fill="FFFFFF"/>
              <w:spacing w:before="0" w:beforeAutospacing="0" w:after="0" w:afterAutospacing="0" w:line="276" w:lineRule="auto"/>
              <w:jc w:val="both"/>
              <w:rPr>
                <w:rFonts w:eastAsiaTheme="minorHAnsi"/>
                <w:lang w:eastAsia="en-US"/>
              </w:rPr>
            </w:pPr>
          </w:p>
          <w:p w:rsidR="00F613BC" w:rsidRPr="00E857F5" w:rsidRDefault="00F613BC" w:rsidP="00F613BC">
            <w:pPr>
              <w:pStyle w:val="c02alineaalta"/>
              <w:shd w:val="clear" w:color="auto" w:fill="FFFFFF"/>
              <w:spacing w:before="0" w:beforeAutospacing="0" w:after="0" w:afterAutospacing="0" w:line="276" w:lineRule="auto"/>
              <w:jc w:val="both"/>
              <w:rPr>
                <w:rStyle w:val="Collegamentoipertestuale"/>
                <w:rFonts w:ascii="Palatino Linotype" w:hAnsi="Palatino Linotype" w:cs="Calibri"/>
                <w:bCs/>
              </w:rPr>
            </w:pPr>
            <w:r>
              <w:rPr>
                <w:rStyle w:val="Collegamentoipertestuale"/>
                <w:rFonts w:ascii="Palatino Linotype" w:hAnsi="Palatino Linotype" w:cs="Calibri"/>
                <w:bCs/>
              </w:rPr>
              <w:fldChar w:fldCharType="begin"/>
            </w:r>
            <w:r>
              <w:rPr>
                <w:rStyle w:val="Collegamentoipertestuale"/>
                <w:rFonts w:ascii="Palatino Linotype" w:hAnsi="Palatino Linotype" w:cs="Calibri"/>
                <w:bCs/>
              </w:rPr>
              <w:instrText xml:space="preserve"> HYPERLINK "https://www.cortecostituzionale.it/actionPronuncia.do" </w:instrText>
            </w:r>
            <w:r>
              <w:rPr>
                <w:rStyle w:val="Collegamentoipertestuale"/>
                <w:rFonts w:ascii="Palatino Linotype" w:hAnsi="Palatino Linotype" w:cs="Calibri"/>
                <w:bCs/>
              </w:rPr>
              <w:fldChar w:fldCharType="separate"/>
            </w:r>
            <w:r>
              <w:rPr>
                <w:rStyle w:val="Collegamentoipertestuale"/>
                <w:rFonts w:ascii="Palatino Linotype" w:hAnsi="Palatino Linotype" w:cs="Calibri"/>
                <w:bCs/>
              </w:rPr>
              <w:t>Corte c</w:t>
            </w:r>
            <w:r w:rsidRPr="00E857F5">
              <w:rPr>
                <w:rStyle w:val="Collegamentoipertestuale"/>
                <w:rFonts w:ascii="Palatino Linotype" w:hAnsi="Palatino Linotype" w:cs="Calibri"/>
                <w:bCs/>
              </w:rPr>
              <w:t>ostituzionale, sentenza 12 novembre 2018, n.</w:t>
            </w:r>
            <w:r>
              <w:rPr>
                <w:rStyle w:val="Collegamentoipertestuale"/>
                <w:rFonts w:ascii="Palatino Linotype" w:hAnsi="Palatino Linotype" w:cs="Calibri"/>
                <w:bCs/>
              </w:rPr>
              <w:t xml:space="preserve"> 197 – Pres. Lattanzi, </w:t>
            </w:r>
            <w:proofErr w:type="spellStart"/>
            <w:r>
              <w:rPr>
                <w:rStyle w:val="Collegamentoipertestuale"/>
                <w:rFonts w:ascii="Palatino Linotype" w:hAnsi="Palatino Linotype" w:cs="Calibri"/>
                <w:bCs/>
              </w:rPr>
              <w:t>Red</w:t>
            </w:r>
            <w:proofErr w:type="spellEnd"/>
            <w:r>
              <w:rPr>
                <w:rStyle w:val="Collegamentoipertestuale"/>
                <w:rFonts w:ascii="Palatino Linotype" w:hAnsi="Palatino Linotype" w:cs="Calibri"/>
                <w:bCs/>
              </w:rPr>
              <w:t>.</w:t>
            </w:r>
            <w:r w:rsidRPr="00E857F5">
              <w:rPr>
                <w:rStyle w:val="Collegamentoipertestuale"/>
                <w:rFonts w:ascii="Palatino Linotype" w:hAnsi="Palatino Linotype" w:cs="Calibri"/>
                <w:bCs/>
              </w:rPr>
              <w:t xml:space="preserve"> Viganò</w:t>
            </w:r>
          </w:p>
          <w:p w:rsid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Pr>
                <w:rStyle w:val="Collegamentoipertestuale"/>
                <w:rFonts w:ascii="Palatino Linotype" w:hAnsi="Palatino Linotype" w:cs="Calibri"/>
                <w:bCs/>
              </w:rPr>
              <w:fldChar w:fldCharType="end"/>
            </w:r>
          </w:p>
          <w:p w:rsidR="00F613BC" w:rsidRPr="00A246FB"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A246FB">
              <w:rPr>
                <w:rFonts w:ascii="Palatino Linotype" w:eastAsiaTheme="minorHAnsi" w:hAnsi="Palatino Linotype" w:cs="Calibri"/>
                <w:bCs/>
                <w:lang w:eastAsia="en-US"/>
              </w:rPr>
              <w:t>Non è contraria alla Costituzione l’automatica rimozione del magistrato responsabile di aver ottenuto prestiti o agevolazioni da soggetti che egli sa essere parti o indagati in procedimenti penali pendenti presso il proprio ufficio giudiziario o comunque nell’ambito del proprio distretto</w:t>
            </w:r>
            <w:r w:rsidR="00D516AA">
              <w:rPr>
                <w:rFonts w:ascii="Palatino Linotype" w:eastAsiaTheme="minorHAnsi" w:hAnsi="Palatino Linotype" w:cs="Calibri"/>
                <w:bCs/>
                <w:lang w:eastAsia="en-US"/>
              </w:rPr>
              <w:t>, fatti che integrano l’</w:t>
            </w:r>
            <w:r w:rsidR="00D516AA" w:rsidRPr="00D516AA">
              <w:rPr>
                <w:rFonts w:ascii="Palatino Linotype" w:eastAsiaTheme="minorHAnsi" w:hAnsi="Palatino Linotype" w:cs="Calibri"/>
                <w:bCs/>
                <w:lang w:eastAsia="en-US"/>
              </w:rPr>
              <w:t>illecito disciplinare riconducibile alla ipotesi di cui all’art. 3, comma 1, lettera e), del d.lgs. n. 109 del 2006</w:t>
            </w:r>
            <w:r w:rsidRPr="00A246FB">
              <w:rPr>
                <w:rFonts w:ascii="Palatino Linotype" w:eastAsiaTheme="minorHAnsi" w:hAnsi="Palatino Linotype" w:cs="Calibri"/>
                <w:bCs/>
                <w:lang w:eastAsia="en-US"/>
              </w:rPr>
              <w:t xml:space="preserve">. </w:t>
            </w:r>
          </w:p>
          <w:p w:rsidR="00F613BC" w:rsidRPr="00A246FB"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A246FB">
              <w:rPr>
                <w:rFonts w:ascii="Palatino Linotype" w:eastAsiaTheme="minorHAnsi" w:hAnsi="Palatino Linotype" w:cs="Calibri"/>
                <w:bCs/>
                <w:lang w:eastAsia="en-US"/>
              </w:rPr>
              <w:t>Lo ha stabilito la Corte costituzionale con la sen</w:t>
            </w:r>
            <w:r w:rsidR="00D516AA">
              <w:rPr>
                <w:rFonts w:ascii="Palatino Linotype" w:eastAsiaTheme="minorHAnsi" w:hAnsi="Palatino Linotype" w:cs="Calibri"/>
                <w:bCs/>
                <w:lang w:eastAsia="en-US"/>
              </w:rPr>
              <w:t>tenza in rassegna</w:t>
            </w:r>
            <w:r w:rsidRPr="00A246FB">
              <w:rPr>
                <w:rFonts w:ascii="Palatino Linotype" w:eastAsiaTheme="minorHAnsi" w:hAnsi="Palatino Linotype" w:cs="Calibri"/>
                <w:bCs/>
                <w:lang w:eastAsia="en-US"/>
              </w:rPr>
              <w:t xml:space="preserve">, giudicando non fondate le questioni di legittimità costituzionale sollevate dalla Sezione disciplinare del Consiglio superiore della magistratura nell’ambito di due procedimenti concernenti magistrati incolpati di avere ricevuto benefici di varia natura da imputati in procedimenti penali pendenti presso le rispettive sedi giudiziarie. </w:t>
            </w:r>
          </w:p>
          <w:p w:rsidR="00F613BC" w:rsidRPr="00A246FB"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A246FB">
              <w:rPr>
                <w:rFonts w:ascii="Palatino Linotype" w:eastAsiaTheme="minorHAnsi" w:hAnsi="Palatino Linotype" w:cs="Calibri"/>
                <w:bCs/>
                <w:lang w:eastAsia="en-US"/>
              </w:rPr>
              <w:t xml:space="preserve">Secondo la Corte, la norma che prevede la sanzione disciplinare della rimozione non lede il principio di eguaglianza sancito dall’articolo 3 della Costituzione, poiché non determina alcuna irragionevole discriminazione in danno del magistrato autore dell’illecito disciplinare in questione rispetto a chi abbia commesso altri illeciti disciplinari per i quali non è prevista la sanzione dell’automatica rimozione. </w:t>
            </w:r>
          </w:p>
          <w:p w:rsidR="00F613BC" w:rsidRPr="00A246FB"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A246FB">
              <w:rPr>
                <w:rFonts w:ascii="Palatino Linotype" w:eastAsiaTheme="minorHAnsi" w:hAnsi="Palatino Linotype" w:cs="Calibri"/>
                <w:bCs/>
                <w:lang w:eastAsia="en-US"/>
              </w:rPr>
              <w:t xml:space="preserve">La norma non può, d’altra parte, ritenersi intrinsecamente irragionevole in ragione dell’automatismo, da essa previsto, nell’irrogazione della massima sanzione disciplinare prevista dall’ordinamento per i magistrati. </w:t>
            </w:r>
          </w:p>
          <w:p w:rsidR="00F613BC" w:rsidRPr="00A246FB"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A246FB">
              <w:rPr>
                <w:rFonts w:ascii="Palatino Linotype" w:eastAsiaTheme="minorHAnsi" w:hAnsi="Palatino Linotype" w:cs="Calibri"/>
                <w:bCs/>
                <w:lang w:eastAsia="en-US"/>
              </w:rPr>
              <w:t>La Corte ha sottolineato, in proposito, che ai magistrati è “affidata in ultima istanza la tutela dei diritti di ogni consociato” e che proprio per tale ragione essi “sono tenuti – più di ogni altra categoria di funzionari pubblici – non solo a conformare oggettivamente la propria condotta ai più rigo</w:t>
            </w:r>
            <w:r>
              <w:rPr>
                <w:rFonts w:ascii="Palatino Linotype" w:eastAsiaTheme="minorHAnsi" w:hAnsi="Palatino Linotype" w:cs="Calibri"/>
                <w:bCs/>
                <w:lang w:eastAsia="en-US"/>
              </w:rPr>
              <w:t xml:space="preserve">rosi standard di imparzialità, </w:t>
            </w:r>
            <w:r w:rsidRPr="00A246FB">
              <w:rPr>
                <w:rFonts w:ascii="Palatino Linotype" w:eastAsiaTheme="minorHAnsi" w:hAnsi="Palatino Linotype" w:cs="Calibri"/>
                <w:bCs/>
                <w:lang w:eastAsia="en-US"/>
              </w:rPr>
              <w:t xml:space="preserve">correttezza, diligenza, laboriosità, riserbo ed equilibrio nell'esercizio delle funzioni […], ma anche ad apparire indipendenti e imparziali agli occhi della collettività, evitando di esporsi a qualsiasi sospetto di perseguire interessi di parte nell’adempimento delle proprie funzioni. E ciò per evitare di minare, con la propria condotta, la fiducia dei consociati nel sistema giudiziario, che è valore essenziale per il funzionamento dello Stato di diritto”. </w:t>
            </w:r>
          </w:p>
          <w:p w:rsidR="00F613BC" w:rsidRPr="00F613BC" w:rsidRDefault="00F613BC" w:rsidP="00F613BC">
            <w:pPr>
              <w:pStyle w:val="c02alineaalta"/>
              <w:shd w:val="clear" w:color="auto" w:fill="FFFFFF"/>
              <w:spacing w:before="0" w:beforeAutospacing="0" w:after="0" w:afterAutospacing="0" w:line="276" w:lineRule="auto"/>
              <w:jc w:val="both"/>
              <w:rPr>
                <w:rFonts w:ascii="Palatino Linotype" w:eastAsiaTheme="minorHAnsi" w:hAnsi="Palatino Linotype" w:cs="Calibri"/>
                <w:bCs/>
                <w:lang w:eastAsia="en-US"/>
              </w:rPr>
            </w:pPr>
            <w:r w:rsidRPr="00A246FB">
              <w:rPr>
                <w:rFonts w:ascii="Palatino Linotype" w:eastAsiaTheme="minorHAnsi" w:hAnsi="Palatino Linotype" w:cs="Calibri"/>
                <w:bCs/>
                <w:lang w:eastAsia="en-US"/>
              </w:rPr>
              <w:t>Condotte come quelle in considerazione – ha concluso la Corte – creano un oggettivo pericolo di distorsione dell’attività giurisdizionale in favore del soggetto che ha corrisposto prestiti o agevolazioni al magistrato, e comunque scuotono la fiducia della collettività nell’indipendenza e imparzialità dello stesso ordine giudiziario. Sicché non è contraria alla Costituzione la pur rigorosa scelta legislativa di stabilire, per simili condotte, la necessaria rimozione dall’ordine giudiziario del magistrato che ne sia stato autore, dimostrandosi così non più idoneo all’esercizio delle proprie funzioni.</w:t>
            </w:r>
          </w:p>
          <w:p w:rsidR="00F613BC" w:rsidRDefault="00F613BC" w:rsidP="00F613BC">
            <w:pPr>
              <w:spacing w:after="0" w:line="276" w:lineRule="auto"/>
              <w:ind w:left="-22"/>
              <w:jc w:val="both"/>
              <w:rPr>
                <w:rFonts w:ascii="Palatino Linotype" w:eastAsia="Calibri" w:hAnsi="Palatino Linotype" w:cs="Times New Roman"/>
                <w:sz w:val="24"/>
                <w:szCs w:val="24"/>
              </w:rPr>
            </w:pPr>
          </w:p>
        </w:tc>
      </w:tr>
    </w:tbl>
    <w:p w:rsidR="00F613BC" w:rsidRDefault="00F613BC" w:rsidP="009633C4">
      <w:pPr>
        <w:spacing w:after="0" w:line="276" w:lineRule="auto"/>
        <w:jc w:val="both"/>
        <w:rPr>
          <w:rFonts w:ascii="Palatino Linotype" w:eastAsia="Calibri" w:hAnsi="Palatino Linotype" w:cs="Times New Roman"/>
          <w:sz w:val="24"/>
          <w:szCs w:val="24"/>
        </w:rPr>
      </w:pPr>
    </w:p>
    <w:p w:rsidR="00F613BC" w:rsidRDefault="00F613BC" w:rsidP="009633C4">
      <w:pPr>
        <w:spacing w:after="0" w:line="276" w:lineRule="auto"/>
        <w:jc w:val="both"/>
        <w:rPr>
          <w:rFonts w:ascii="Palatino Linotype" w:eastAsia="Calibri" w:hAnsi="Palatino Linotype"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639"/>
      </w:tblGrid>
      <w:tr w:rsidR="006B3165" w:rsidTr="00EE41E1">
        <w:trPr>
          <w:jc w:val="center"/>
        </w:trPr>
        <w:tc>
          <w:tcPr>
            <w:tcW w:w="0" w:type="auto"/>
            <w:vAlign w:val="center"/>
          </w:tcPr>
          <w:p w:rsidR="00F613BC" w:rsidRPr="003074F5" w:rsidRDefault="00F613BC" w:rsidP="009633C4">
            <w:pPr>
              <w:spacing w:after="0" w:line="276" w:lineRule="auto"/>
              <w:jc w:val="center"/>
              <w:rPr>
                <w:rFonts w:ascii="Palatino Linotype" w:eastAsia="Calibri" w:hAnsi="Palatino Linotype" w:cs="Times New Roman"/>
                <w:color w:val="2E74B5"/>
                <w:sz w:val="24"/>
                <w:szCs w:val="24"/>
              </w:rPr>
            </w:pPr>
          </w:p>
          <w:p w:rsidR="006B3165" w:rsidRDefault="0094468B" w:rsidP="009633C4">
            <w:pPr>
              <w:spacing w:after="0" w:line="276"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 xml:space="preserve">Corte </w:t>
            </w:r>
            <w:r w:rsidR="00AA618E">
              <w:rPr>
                <w:rFonts w:ascii="Palatino Linotype" w:eastAsia="Calibri" w:hAnsi="Palatino Linotype" w:cs="Times New Roman"/>
                <w:color w:val="2E74B5"/>
                <w:sz w:val="32"/>
                <w:szCs w:val="32"/>
              </w:rPr>
              <w:t>di c</w:t>
            </w:r>
            <w:r w:rsidR="0069320C">
              <w:rPr>
                <w:rFonts w:ascii="Palatino Linotype" w:eastAsia="Calibri" w:hAnsi="Palatino Linotype" w:cs="Times New Roman"/>
                <w:color w:val="2E74B5"/>
                <w:sz w:val="32"/>
                <w:szCs w:val="32"/>
              </w:rPr>
              <w:t>assazione, sezioni u</w:t>
            </w:r>
            <w:r w:rsidR="006B3165">
              <w:rPr>
                <w:rFonts w:ascii="Palatino Linotype" w:eastAsia="Calibri" w:hAnsi="Palatino Linotype" w:cs="Times New Roman"/>
                <w:color w:val="2E74B5"/>
                <w:sz w:val="32"/>
                <w:szCs w:val="32"/>
              </w:rPr>
              <w:t>nite</w:t>
            </w:r>
            <w:r w:rsidR="0069320C">
              <w:rPr>
                <w:rFonts w:ascii="Palatino Linotype" w:eastAsia="Calibri" w:hAnsi="Palatino Linotype" w:cs="Times New Roman"/>
                <w:color w:val="2E74B5"/>
                <w:sz w:val="32"/>
                <w:szCs w:val="32"/>
              </w:rPr>
              <w:t xml:space="preserve"> civili</w:t>
            </w:r>
          </w:p>
          <w:p w:rsidR="00AA618E" w:rsidRPr="003074F5" w:rsidRDefault="00AA618E" w:rsidP="009633C4">
            <w:pPr>
              <w:spacing w:after="0" w:line="276" w:lineRule="auto"/>
              <w:jc w:val="center"/>
              <w:rPr>
                <w:rFonts w:ascii="Palatino Linotype" w:eastAsia="Calibri" w:hAnsi="Palatino Linotype" w:cs="Times New Roman"/>
                <w:color w:val="2E74B5"/>
                <w:sz w:val="24"/>
                <w:szCs w:val="24"/>
              </w:rPr>
            </w:pPr>
          </w:p>
          <w:p w:rsidR="00DE511A" w:rsidRDefault="008D5CDD" w:rsidP="009633C4">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(6</w:t>
            </w:r>
            <w:r w:rsidR="006B3165" w:rsidRPr="008A3650">
              <w:rPr>
                <w:rFonts w:ascii="Palatino Linotype" w:eastAsia="Times New Roman" w:hAnsi="Palatino Linotype" w:cs="Times New Roman"/>
                <w:color w:val="2E74B5"/>
                <w:kern w:val="36"/>
                <w:sz w:val="32"/>
                <w:szCs w:val="32"/>
              </w:rPr>
              <w:t>)</w:t>
            </w:r>
          </w:p>
          <w:p w:rsidR="00AA618E" w:rsidRDefault="00AA618E" w:rsidP="009633C4">
            <w:pPr>
              <w:spacing w:after="0" w:line="276" w:lineRule="auto"/>
              <w:jc w:val="center"/>
              <w:outlineLvl w:val="0"/>
              <w:rPr>
                <w:rFonts w:ascii="Palatino Linotype" w:eastAsia="Times New Roman" w:hAnsi="Palatino Linotype" w:cs="Times New Roman"/>
                <w:color w:val="2E74B5"/>
                <w:kern w:val="36"/>
                <w:sz w:val="32"/>
                <w:szCs w:val="32"/>
              </w:rPr>
            </w:pPr>
          </w:p>
          <w:p w:rsidR="00801FC1" w:rsidRPr="00182A2C" w:rsidRDefault="00801FC1" w:rsidP="00182A2C">
            <w:pPr>
              <w:autoSpaceDE w:val="0"/>
              <w:autoSpaceDN w:val="0"/>
              <w:adjustRightInd w:val="0"/>
              <w:spacing w:after="0" w:line="240" w:lineRule="auto"/>
              <w:jc w:val="both"/>
              <w:rPr>
                <w:rFonts w:ascii="Palatino Linotype" w:hAnsi="Palatino Linotype" w:cs="Calibri"/>
                <w:bCs/>
                <w:sz w:val="24"/>
                <w:szCs w:val="24"/>
              </w:rPr>
            </w:pPr>
            <w:r w:rsidRPr="00F77217">
              <w:rPr>
                <w:rFonts w:ascii="Palatino Linotype" w:hAnsi="Palatino Linotype" w:cs="Calibri"/>
                <w:bCs/>
                <w:sz w:val="24"/>
                <w:szCs w:val="24"/>
              </w:rPr>
              <w:t>Le Sezioni unite</w:t>
            </w:r>
            <w:r w:rsidR="00B04ECF">
              <w:rPr>
                <w:rFonts w:ascii="Palatino Linotype" w:hAnsi="Palatino Linotype" w:cs="Calibri"/>
                <w:bCs/>
                <w:sz w:val="24"/>
                <w:szCs w:val="24"/>
              </w:rPr>
              <w:t xml:space="preserve"> attribuiscono al</w:t>
            </w:r>
            <w:r w:rsidR="002D6759">
              <w:rPr>
                <w:rFonts w:ascii="Palatino Linotype" w:hAnsi="Palatino Linotype" w:cs="Calibri"/>
                <w:bCs/>
                <w:sz w:val="24"/>
                <w:szCs w:val="24"/>
              </w:rPr>
              <w:t>la cognizione del</w:t>
            </w:r>
            <w:r w:rsidR="00B04ECF">
              <w:rPr>
                <w:rFonts w:ascii="Palatino Linotype" w:hAnsi="Palatino Linotype" w:cs="Calibri"/>
                <w:bCs/>
                <w:sz w:val="24"/>
                <w:szCs w:val="24"/>
              </w:rPr>
              <w:t xml:space="preserve"> giudice amministrativo le controversie relative al conferimento di incarichi dirigenziali</w:t>
            </w:r>
            <w:r w:rsidR="00182A2C">
              <w:rPr>
                <w:rFonts w:ascii="Palatino Linotype" w:hAnsi="Palatino Linotype" w:cs="Calibri"/>
                <w:bCs/>
                <w:sz w:val="24"/>
                <w:szCs w:val="24"/>
              </w:rPr>
              <w:t xml:space="preserve"> quando la </w:t>
            </w:r>
            <w:r w:rsidR="00C14222">
              <w:rPr>
                <w:rFonts w:ascii="Palatino Linotype" w:hAnsi="Palatino Linotype" w:cs="Calibri"/>
                <w:bCs/>
                <w:sz w:val="24"/>
                <w:szCs w:val="24"/>
              </w:rPr>
              <w:t>contestazione investa</w:t>
            </w:r>
            <w:r w:rsidR="00182A2C" w:rsidRPr="00182A2C">
              <w:rPr>
                <w:rFonts w:ascii="Palatino Linotype" w:hAnsi="Palatino Linotype" w:cs="Calibri"/>
                <w:bCs/>
                <w:sz w:val="24"/>
                <w:szCs w:val="24"/>
              </w:rPr>
              <w:t xml:space="preserve"> dir</w:t>
            </w:r>
            <w:r w:rsidR="00182A2C">
              <w:rPr>
                <w:rFonts w:ascii="Palatino Linotype" w:hAnsi="Palatino Linotype" w:cs="Calibri"/>
                <w:bCs/>
                <w:sz w:val="24"/>
                <w:szCs w:val="24"/>
              </w:rPr>
              <w:t xml:space="preserve">ettamente </w:t>
            </w:r>
            <w:r w:rsidR="003420EF">
              <w:rPr>
                <w:rFonts w:ascii="Palatino Linotype" w:hAnsi="Palatino Linotype" w:cs="Calibri"/>
                <w:bCs/>
                <w:sz w:val="24"/>
                <w:szCs w:val="24"/>
              </w:rPr>
              <w:t>la scelta organizzativa sulle modalità di conferimento delle funzioni dirigenziali</w:t>
            </w:r>
            <w:r w:rsidR="00182A2C">
              <w:rPr>
                <w:rFonts w:ascii="Palatino Linotype" w:hAnsi="Palatino Linotype" w:cs="Calibri"/>
                <w:bCs/>
                <w:sz w:val="24"/>
                <w:szCs w:val="24"/>
              </w:rPr>
              <w:t>.</w:t>
            </w:r>
          </w:p>
          <w:p w:rsidR="00801FC1" w:rsidRDefault="00801FC1" w:rsidP="00801FC1">
            <w:pPr>
              <w:spacing w:after="0" w:line="276" w:lineRule="auto"/>
              <w:jc w:val="both"/>
              <w:outlineLvl w:val="0"/>
              <w:rPr>
                <w:rStyle w:val="Collegamentoipertestuale"/>
                <w:rFonts w:ascii="Palatino Linotype" w:eastAsia="Times New Roman" w:hAnsi="Palatino Linotype" w:cs="Calibri"/>
                <w:bCs/>
                <w:sz w:val="24"/>
                <w:szCs w:val="24"/>
                <w:lang w:eastAsia="it-IT"/>
              </w:rPr>
            </w:pPr>
          </w:p>
          <w:p w:rsidR="00801FC1" w:rsidRPr="00DE511A" w:rsidRDefault="00B34862" w:rsidP="00801FC1">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2" w:history="1">
              <w:r w:rsidR="00801FC1" w:rsidRPr="00BF245A">
                <w:rPr>
                  <w:rStyle w:val="Collegamentoipertestuale"/>
                  <w:rFonts w:ascii="Palatino Linotype" w:eastAsia="Times New Roman" w:hAnsi="Palatino Linotype" w:cs="Calibri"/>
                  <w:bCs/>
                  <w:sz w:val="24"/>
                  <w:szCs w:val="24"/>
                  <w:lang w:eastAsia="it-IT"/>
                </w:rPr>
                <w:t xml:space="preserve">Corte di cassazione, sezioni unite civili, sentenza 13 novembre 2018, n. 29080 – Pres. Manna, Est. </w:t>
              </w:r>
              <w:proofErr w:type="spellStart"/>
              <w:r w:rsidR="00801FC1" w:rsidRPr="00BF245A">
                <w:rPr>
                  <w:rStyle w:val="Collegamentoipertestuale"/>
                  <w:rFonts w:ascii="Palatino Linotype" w:eastAsia="Times New Roman" w:hAnsi="Palatino Linotype" w:cs="Calibri"/>
                  <w:bCs/>
                  <w:sz w:val="24"/>
                  <w:szCs w:val="24"/>
                  <w:lang w:eastAsia="it-IT"/>
                </w:rPr>
                <w:t>Doronzo</w:t>
              </w:r>
              <w:proofErr w:type="spellEnd"/>
            </w:hyperlink>
          </w:p>
          <w:p w:rsidR="00801FC1" w:rsidRDefault="00801FC1" w:rsidP="00801FC1">
            <w:pPr>
              <w:spacing w:after="0" w:line="276" w:lineRule="auto"/>
              <w:jc w:val="both"/>
              <w:outlineLvl w:val="0"/>
              <w:rPr>
                <w:rFonts w:ascii="Palatino Linotype" w:hAnsi="Palatino Linotype" w:cs="Calibri"/>
                <w:bCs/>
                <w:sz w:val="24"/>
                <w:szCs w:val="24"/>
              </w:rPr>
            </w:pPr>
          </w:p>
          <w:p w:rsidR="00182A2C" w:rsidRDefault="00AA618E" w:rsidP="00182A2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w:t>
            </w:r>
            <w:r w:rsidR="00182A2C">
              <w:rPr>
                <w:rFonts w:ascii="Palatino Linotype" w:hAnsi="Palatino Linotype" w:cs="Calibri"/>
                <w:bCs/>
                <w:sz w:val="24"/>
                <w:szCs w:val="24"/>
              </w:rPr>
              <w:t xml:space="preserve"> </w:t>
            </w:r>
            <w:r w:rsidR="00182A2C" w:rsidRPr="00182A2C">
              <w:rPr>
                <w:rFonts w:ascii="Palatino Linotype" w:hAnsi="Palatino Linotype" w:cs="Calibri"/>
                <w:bCs/>
                <w:sz w:val="24"/>
                <w:szCs w:val="24"/>
              </w:rPr>
              <w:t>cassa</w:t>
            </w:r>
            <w:r>
              <w:rPr>
                <w:rFonts w:ascii="Palatino Linotype" w:hAnsi="Palatino Linotype" w:cs="Calibri"/>
                <w:bCs/>
                <w:sz w:val="24"/>
                <w:szCs w:val="24"/>
              </w:rPr>
              <w:t>no</w:t>
            </w:r>
            <w:r w:rsidR="00182A2C" w:rsidRPr="00182A2C">
              <w:rPr>
                <w:rFonts w:ascii="Palatino Linotype" w:hAnsi="Palatino Linotype" w:cs="Calibri"/>
                <w:bCs/>
                <w:sz w:val="24"/>
                <w:szCs w:val="24"/>
              </w:rPr>
              <w:t xml:space="preserve"> la s</w:t>
            </w:r>
            <w:r w:rsidR="00C14222">
              <w:rPr>
                <w:rFonts w:ascii="Palatino Linotype" w:hAnsi="Palatino Linotype" w:cs="Calibri"/>
                <w:bCs/>
                <w:sz w:val="24"/>
                <w:szCs w:val="24"/>
              </w:rPr>
              <w:t>entenza del Consiglio di Stato, sez</w:t>
            </w:r>
            <w:r w:rsidR="007D06F5">
              <w:rPr>
                <w:rFonts w:ascii="Palatino Linotype" w:hAnsi="Palatino Linotype" w:cs="Calibri"/>
                <w:bCs/>
                <w:sz w:val="24"/>
                <w:szCs w:val="24"/>
              </w:rPr>
              <w:t>. V</w:t>
            </w:r>
            <w:r w:rsidR="00C14222">
              <w:rPr>
                <w:rFonts w:ascii="Palatino Linotype" w:hAnsi="Palatino Linotype" w:cs="Calibri"/>
                <w:bCs/>
                <w:sz w:val="24"/>
                <w:szCs w:val="24"/>
              </w:rPr>
              <w:t>, 27 marzo 2017, n. 1367</w:t>
            </w:r>
            <w:r w:rsidR="00182A2C">
              <w:rPr>
                <w:rFonts w:ascii="Palatino Linotype" w:hAnsi="Palatino Linotype" w:cs="Calibri"/>
                <w:bCs/>
                <w:sz w:val="24"/>
                <w:szCs w:val="24"/>
              </w:rPr>
              <w:t xml:space="preserve"> che aveva dec</w:t>
            </w:r>
            <w:r w:rsidR="002D6759">
              <w:rPr>
                <w:rFonts w:ascii="Palatino Linotype" w:hAnsi="Palatino Linotype" w:cs="Calibri"/>
                <w:bCs/>
                <w:sz w:val="24"/>
                <w:szCs w:val="24"/>
              </w:rPr>
              <w:t>linato la propria giurisdizione e</w:t>
            </w:r>
            <w:r w:rsidR="00182A2C">
              <w:rPr>
                <w:rFonts w:ascii="Palatino Linotype" w:hAnsi="Palatino Linotype" w:cs="Calibri"/>
                <w:bCs/>
                <w:sz w:val="24"/>
                <w:szCs w:val="24"/>
              </w:rPr>
              <w:t xml:space="preserve"> dichiara</w:t>
            </w:r>
            <w:r w:rsidR="002D6759">
              <w:rPr>
                <w:rFonts w:ascii="Palatino Linotype" w:hAnsi="Palatino Linotype" w:cs="Calibri"/>
                <w:bCs/>
                <w:sz w:val="24"/>
                <w:szCs w:val="24"/>
              </w:rPr>
              <w:t>no</w:t>
            </w:r>
            <w:r w:rsidR="00182A2C">
              <w:rPr>
                <w:rFonts w:ascii="Palatino Linotype" w:hAnsi="Palatino Linotype" w:cs="Calibri"/>
                <w:bCs/>
                <w:sz w:val="24"/>
                <w:szCs w:val="24"/>
              </w:rPr>
              <w:t xml:space="preserve"> la </w:t>
            </w:r>
            <w:r w:rsidR="00182A2C" w:rsidRPr="00182A2C">
              <w:rPr>
                <w:rFonts w:ascii="Palatino Linotype" w:hAnsi="Palatino Linotype" w:cs="Calibri"/>
                <w:bCs/>
                <w:sz w:val="24"/>
                <w:szCs w:val="24"/>
              </w:rPr>
              <w:t>giurisdizi</w:t>
            </w:r>
            <w:r w:rsidR="00182A2C">
              <w:rPr>
                <w:rFonts w:ascii="Palatino Linotype" w:hAnsi="Palatino Linotype" w:cs="Calibri"/>
                <w:bCs/>
                <w:sz w:val="24"/>
                <w:szCs w:val="24"/>
              </w:rPr>
              <w:t xml:space="preserve">one del giudice amministrativo. </w:t>
            </w:r>
          </w:p>
          <w:p w:rsidR="0097541B" w:rsidRDefault="00C14222" w:rsidP="00182A2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Rite</w:t>
            </w:r>
            <w:r w:rsidR="002D6759">
              <w:rPr>
                <w:rFonts w:ascii="Palatino Linotype" w:hAnsi="Palatino Linotype" w:cs="Calibri"/>
                <w:bCs/>
                <w:sz w:val="24"/>
                <w:szCs w:val="24"/>
              </w:rPr>
              <w:t>ngono, infatti,</w:t>
            </w:r>
            <w:r w:rsidR="00182A2C">
              <w:rPr>
                <w:rFonts w:ascii="Palatino Linotype" w:hAnsi="Palatino Linotype" w:cs="Calibri"/>
                <w:bCs/>
                <w:sz w:val="24"/>
                <w:szCs w:val="24"/>
              </w:rPr>
              <w:t xml:space="preserve"> che</w:t>
            </w:r>
            <w:r>
              <w:rPr>
                <w:rFonts w:ascii="Palatino Linotype" w:hAnsi="Palatino Linotype" w:cs="Calibri"/>
                <w:bCs/>
                <w:sz w:val="24"/>
                <w:szCs w:val="24"/>
              </w:rPr>
              <w:t>,</w:t>
            </w:r>
            <w:r w:rsidR="002D6759">
              <w:rPr>
                <w:rFonts w:ascii="Palatino Linotype" w:hAnsi="Palatino Linotype" w:cs="Calibri"/>
                <w:bCs/>
                <w:sz w:val="24"/>
                <w:szCs w:val="24"/>
              </w:rPr>
              <w:t xml:space="preserve"> </w:t>
            </w:r>
            <w:r w:rsidR="0097541B">
              <w:rPr>
                <w:rFonts w:ascii="Palatino Linotype" w:hAnsi="Palatino Linotype" w:cs="Calibri"/>
                <w:bCs/>
                <w:sz w:val="24"/>
                <w:szCs w:val="24"/>
              </w:rPr>
              <w:t xml:space="preserve">quando </w:t>
            </w:r>
            <w:r w:rsidR="0097541B" w:rsidRPr="0097541B">
              <w:rPr>
                <w:rFonts w:ascii="Palatino Linotype" w:hAnsi="Palatino Linotype" w:cs="Calibri"/>
                <w:bCs/>
                <w:sz w:val="24"/>
                <w:szCs w:val="24"/>
              </w:rPr>
              <w:t>la contestazione investe direttamente un atto precedente il conferimento dell'incarico e la stipulazione del contratto, atto la cui asserita illegittimità è posta a base della pretesa di accertamento dell'invalidità del provvedimento di conferiment</w:t>
            </w:r>
            <w:r w:rsidR="0097541B">
              <w:rPr>
                <w:rFonts w:ascii="Palatino Linotype" w:hAnsi="Palatino Linotype" w:cs="Calibri"/>
                <w:bCs/>
                <w:sz w:val="24"/>
                <w:szCs w:val="24"/>
              </w:rPr>
              <w:t>o e del contratto</w:t>
            </w:r>
            <w:r w:rsidR="0097541B" w:rsidRPr="0097541B">
              <w:rPr>
                <w:rFonts w:ascii="Palatino Linotype" w:hAnsi="Palatino Linotype" w:cs="Calibri"/>
                <w:bCs/>
                <w:sz w:val="24"/>
                <w:szCs w:val="24"/>
              </w:rPr>
              <w:t>, si è i</w:t>
            </w:r>
            <w:r w:rsidR="0097541B">
              <w:rPr>
                <w:rFonts w:ascii="Palatino Linotype" w:hAnsi="Palatino Linotype" w:cs="Calibri"/>
                <w:bCs/>
                <w:sz w:val="24"/>
                <w:szCs w:val="24"/>
              </w:rPr>
              <w:t xml:space="preserve">n presenza di un provvedimento </w:t>
            </w:r>
            <w:r w:rsidR="0097541B" w:rsidRPr="0097541B">
              <w:rPr>
                <w:rFonts w:ascii="Palatino Linotype" w:hAnsi="Palatino Linotype" w:cs="Calibri"/>
                <w:bCs/>
                <w:sz w:val="24"/>
                <w:szCs w:val="24"/>
              </w:rPr>
              <w:t>certamente ascrivibile alla categoria degli atti organizzativi, mediante i quali le amministrazioni pubbliche definiscono, secondo i principi generali fissati da disposizioni di legge e, sulla base dei medesimi, le linee fondamentali di organizzazione degli uffici, individuano gli uffici di maggiore rilevanza e i modi di conferimento della titolarità dei medesimi (</w:t>
            </w:r>
            <w:hyperlink r:id="rId13" w:anchor="id=10LX0000145985ART0,__m=document" w:history="1">
              <w:r w:rsidR="0097541B" w:rsidRPr="0097541B">
                <w:rPr>
                  <w:rFonts w:ascii="Palatino Linotype" w:hAnsi="Palatino Linotype" w:cs="Calibri"/>
                  <w:bCs/>
                  <w:sz w:val="24"/>
                  <w:szCs w:val="24"/>
                </w:rPr>
                <w:t>D.</w:t>
              </w:r>
              <w:r w:rsidR="0097541B">
                <w:rPr>
                  <w:rFonts w:ascii="Palatino Linotype" w:hAnsi="Palatino Linotype" w:cs="Calibri"/>
                  <w:bCs/>
                  <w:sz w:val="24"/>
                  <w:szCs w:val="24"/>
                </w:rPr>
                <w:t xml:space="preserve"> </w:t>
              </w:r>
              <w:proofErr w:type="spellStart"/>
              <w:r w:rsidR="0097541B" w:rsidRPr="0097541B">
                <w:rPr>
                  <w:rFonts w:ascii="Palatino Linotype" w:hAnsi="Palatino Linotype" w:cs="Calibri"/>
                  <w:bCs/>
                  <w:sz w:val="24"/>
                  <w:szCs w:val="24"/>
                </w:rPr>
                <w:t>Lgs</w:t>
              </w:r>
              <w:proofErr w:type="spellEnd"/>
              <w:r w:rsidR="0097541B" w:rsidRPr="0097541B">
                <w:rPr>
                  <w:rFonts w:ascii="Palatino Linotype" w:hAnsi="Palatino Linotype" w:cs="Calibri"/>
                  <w:bCs/>
                  <w:sz w:val="24"/>
                  <w:szCs w:val="24"/>
                </w:rPr>
                <w:t>. n. 165 del 2001,</w:t>
              </w:r>
            </w:hyperlink>
            <w:r w:rsidR="0097541B" w:rsidRPr="0097541B">
              <w:rPr>
                <w:rFonts w:ascii="Palatino Linotype" w:hAnsi="Palatino Linotype" w:cs="Calibri"/>
                <w:bCs/>
                <w:sz w:val="24"/>
                <w:szCs w:val="24"/>
              </w:rPr>
              <w:t xml:space="preserve"> art. </w:t>
            </w:r>
            <w:hyperlink r:id="rId14" w:anchor="id=10LX0000145985ART3,__m=document" w:history="1">
              <w:r w:rsidR="0097541B" w:rsidRPr="0097541B">
                <w:rPr>
                  <w:rFonts w:ascii="Palatino Linotype" w:hAnsi="Palatino Linotype" w:cs="Calibri"/>
                  <w:bCs/>
                  <w:sz w:val="24"/>
                  <w:szCs w:val="24"/>
                </w:rPr>
                <w:t>2, comma 1</w:t>
              </w:r>
            </w:hyperlink>
            <w:r w:rsidR="0097541B">
              <w:rPr>
                <w:rFonts w:ascii="Palatino Linotype" w:hAnsi="Palatino Linotype" w:cs="Calibri"/>
                <w:bCs/>
                <w:sz w:val="24"/>
                <w:szCs w:val="24"/>
              </w:rPr>
              <w:t>)</w:t>
            </w:r>
            <w:r w:rsidR="0097541B" w:rsidRPr="0097541B">
              <w:rPr>
                <w:rFonts w:ascii="Palatino Linotype" w:hAnsi="Palatino Linotype" w:cs="Calibri"/>
                <w:bCs/>
                <w:sz w:val="24"/>
                <w:szCs w:val="24"/>
              </w:rPr>
              <w:t>.</w:t>
            </w:r>
          </w:p>
          <w:p w:rsidR="00182A2C" w:rsidRPr="00182A2C" w:rsidRDefault="0097541B" w:rsidP="00182A2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In questi casi</w:t>
            </w:r>
            <w:r w:rsidR="00182A2C" w:rsidRPr="00182A2C">
              <w:rPr>
                <w:rFonts w:ascii="Palatino Linotype" w:hAnsi="Palatino Linotype" w:cs="Calibri"/>
                <w:bCs/>
                <w:sz w:val="24"/>
                <w:szCs w:val="24"/>
              </w:rPr>
              <w:t xml:space="preserve">, la </w:t>
            </w:r>
            <w:r w:rsidR="00182A2C" w:rsidRPr="00182A2C">
              <w:rPr>
                <w:rFonts w:ascii="Palatino Linotype" w:hAnsi="Palatino Linotype" w:cs="Calibri"/>
                <w:bCs/>
                <w:i/>
                <w:sz w:val="24"/>
                <w:szCs w:val="24"/>
              </w:rPr>
              <w:t xml:space="preserve">causa </w:t>
            </w:r>
            <w:proofErr w:type="spellStart"/>
            <w:r w:rsidR="00182A2C" w:rsidRPr="00182A2C">
              <w:rPr>
                <w:rFonts w:ascii="Palatino Linotype" w:hAnsi="Palatino Linotype" w:cs="Calibri"/>
                <w:bCs/>
                <w:i/>
                <w:sz w:val="24"/>
                <w:szCs w:val="24"/>
              </w:rPr>
              <w:t>petendi</w:t>
            </w:r>
            <w:proofErr w:type="spellEnd"/>
            <w:r>
              <w:rPr>
                <w:rFonts w:ascii="Palatino Linotype" w:hAnsi="Palatino Linotype" w:cs="Calibri"/>
                <w:bCs/>
                <w:sz w:val="24"/>
                <w:szCs w:val="24"/>
              </w:rPr>
              <w:t xml:space="preserve"> non è</w:t>
            </w:r>
            <w:r w:rsidR="00182A2C" w:rsidRPr="00182A2C">
              <w:rPr>
                <w:rFonts w:ascii="Palatino Linotype" w:hAnsi="Palatino Linotype" w:cs="Calibri"/>
                <w:bCs/>
                <w:sz w:val="24"/>
                <w:szCs w:val="24"/>
              </w:rPr>
              <w:t xml:space="preserve"> il diritto alla costituzione del</w:t>
            </w:r>
            <w:r w:rsidR="00C14222">
              <w:rPr>
                <w:rFonts w:ascii="Palatino Linotype" w:hAnsi="Palatino Linotype" w:cs="Calibri"/>
                <w:bCs/>
                <w:sz w:val="24"/>
                <w:szCs w:val="24"/>
              </w:rPr>
              <w:t xml:space="preserve"> </w:t>
            </w:r>
            <w:r w:rsidR="00182A2C" w:rsidRPr="00182A2C">
              <w:rPr>
                <w:rFonts w:ascii="Palatino Linotype" w:hAnsi="Palatino Linotype" w:cs="Calibri"/>
                <w:bCs/>
                <w:sz w:val="24"/>
                <w:szCs w:val="24"/>
              </w:rPr>
              <w:t>rapporto di lavoro o l'illegittim</w:t>
            </w:r>
            <w:r w:rsidR="00182A2C">
              <w:rPr>
                <w:rFonts w:ascii="Palatino Linotype" w:hAnsi="Palatino Linotype" w:cs="Calibri"/>
                <w:bCs/>
                <w:sz w:val="24"/>
                <w:szCs w:val="24"/>
              </w:rPr>
              <w:t xml:space="preserve">ità del provvedimento di revoca </w:t>
            </w:r>
            <w:r w:rsidR="00182A2C" w:rsidRPr="00182A2C">
              <w:rPr>
                <w:rFonts w:ascii="Palatino Linotype" w:hAnsi="Palatino Linotype" w:cs="Calibri"/>
                <w:bCs/>
                <w:sz w:val="24"/>
                <w:szCs w:val="24"/>
              </w:rPr>
              <w:t>dell'incarico già conferito, bensì</w:t>
            </w:r>
            <w:r w:rsidR="00182A2C">
              <w:rPr>
                <w:rFonts w:ascii="Palatino Linotype" w:hAnsi="Palatino Linotype" w:cs="Calibri"/>
                <w:bCs/>
                <w:sz w:val="24"/>
                <w:szCs w:val="24"/>
              </w:rPr>
              <w:t xml:space="preserve"> l'accertamento della nullità o </w:t>
            </w:r>
            <w:r w:rsidR="00182A2C" w:rsidRPr="00182A2C">
              <w:rPr>
                <w:rFonts w:ascii="Palatino Linotype" w:hAnsi="Palatino Linotype" w:cs="Calibri"/>
                <w:bCs/>
                <w:sz w:val="24"/>
                <w:szCs w:val="24"/>
              </w:rPr>
              <w:t>illegittimità degli atti in forza dei quali la regione ha escluso, in linea generale e con un atto di macro-organ</w:t>
            </w:r>
            <w:r w:rsidR="00182A2C">
              <w:rPr>
                <w:rFonts w:ascii="Palatino Linotype" w:hAnsi="Palatino Linotype" w:cs="Calibri"/>
                <w:bCs/>
                <w:sz w:val="24"/>
                <w:szCs w:val="24"/>
              </w:rPr>
              <w:t xml:space="preserve">izzazione, la possibilità per i </w:t>
            </w:r>
            <w:r w:rsidR="00182A2C" w:rsidRPr="00182A2C">
              <w:rPr>
                <w:rFonts w:ascii="Palatino Linotype" w:hAnsi="Palatino Linotype" w:cs="Calibri"/>
                <w:bCs/>
                <w:sz w:val="24"/>
                <w:szCs w:val="24"/>
              </w:rPr>
              <w:t>dipendenti interni di partecipare alla sel</w:t>
            </w:r>
            <w:r w:rsidR="00182A2C">
              <w:rPr>
                <w:rFonts w:ascii="Palatino Linotype" w:hAnsi="Palatino Linotype" w:cs="Calibri"/>
                <w:bCs/>
                <w:sz w:val="24"/>
                <w:szCs w:val="24"/>
              </w:rPr>
              <w:t xml:space="preserve">ezione volta all'affidamento di </w:t>
            </w:r>
            <w:r w:rsidR="00182A2C" w:rsidRPr="00182A2C">
              <w:rPr>
                <w:rFonts w:ascii="Palatino Linotype" w:hAnsi="Palatino Linotype" w:cs="Calibri"/>
                <w:bCs/>
                <w:sz w:val="24"/>
                <w:szCs w:val="24"/>
              </w:rPr>
              <w:t>incar</w:t>
            </w:r>
            <w:r w:rsidR="00044654">
              <w:rPr>
                <w:rFonts w:ascii="Palatino Linotype" w:hAnsi="Palatino Linotype" w:cs="Calibri"/>
                <w:bCs/>
                <w:sz w:val="24"/>
                <w:szCs w:val="24"/>
              </w:rPr>
              <w:t xml:space="preserve">ichi dirigenziali, optando per la ricerca all’esterno di professionalità idonee a ricoprire incarichi </w:t>
            </w:r>
            <w:r w:rsidR="00E61273">
              <w:rPr>
                <w:rFonts w:ascii="Palatino Linotype" w:hAnsi="Palatino Linotype" w:cs="Calibri"/>
                <w:bCs/>
                <w:sz w:val="24"/>
                <w:szCs w:val="24"/>
              </w:rPr>
              <w:t xml:space="preserve">di funzioni </w:t>
            </w:r>
            <w:r w:rsidR="00044654">
              <w:rPr>
                <w:rFonts w:ascii="Palatino Linotype" w:hAnsi="Palatino Linotype" w:cs="Calibri"/>
                <w:bCs/>
                <w:sz w:val="24"/>
                <w:szCs w:val="24"/>
              </w:rPr>
              <w:t>dirigenziali</w:t>
            </w:r>
            <w:r w:rsidR="00182A2C" w:rsidRPr="00182A2C">
              <w:rPr>
                <w:rFonts w:ascii="Palatino Linotype" w:hAnsi="Palatino Linotype" w:cs="Calibri"/>
                <w:bCs/>
                <w:sz w:val="24"/>
                <w:szCs w:val="24"/>
              </w:rPr>
              <w:t>.</w:t>
            </w:r>
          </w:p>
          <w:p w:rsidR="00801FC1" w:rsidRDefault="00182A2C" w:rsidP="00182A2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Da ciò la conclusione che </w:t>
            </w:r>
            <w:r w:rsidRPr="00182A2C">
              <w:rPr>
                <w:rFonts w:ascii="Palatino Linotype" w:hAnsi="Palatino Linotype" w:cs="Calibri"/>
                <w:bCs/>
                <w:sz w:val="24"/>
                <w:szCs w:val="24"/>
              </w:rPr>
              <w:t>la situazio</w:t>
            </w:r>
            <w:r>
              <w:rPr>
                <w:rFonts w:ascii="Palatino Linotype" w:hAnsi="Palatino Linotype" w:cs="Calibri"/>
                <w:bCs/>
                <w:sz w:val="24"/>
                <w:szCs w:val="24"/>
              </w:rPr>
              <w:t xml:space="preserve">ne giuridica soggettiva dedotta </w:t>
            </w:r>
            <w:r w:rsidRPr="00182A2C">
              <w:rPr>
                <w:rFonts w:ascii="Palatino Linotype" w:hAnsi="Palatino Linotype" w:cs="Calibri"/>
                <w:bCs/>
                <w:sz w:val="24"/>
                <w:szCs w:val="24"/>
              </w:rPr>
              <w:t>in giudizio, in quanto correlata esclusivamente e dirett</w:t>
            </w:r>
            <w:r>
              <w:rPr>
                <w:rFonts w:ascii="Palatino Linotype" w:hAnsi="Palatino Linotype" w:cs="Calibri"/>
                <w:bCs/>
                <w:sz w:val="24"/>
                <w:szCs w:val="24"/>
              </w:rPr>
              <w:t xml:space="preserve">amente </w:t>
            </w:r>
            <w:r w:rsidRPr="00182A2C">
              <w:rPr>
                <w:rFonts w:ascii="Palatino Linotype" w:hAnsi="Palatino Linotype" w:cs="Calibri"/>
                <w:bCs/>
                <w:sz w:val="24"/>
                <w:szCs w:val="24"/>
              </w:rPr>
              <w:t>all'esercizio del potere organizzat</w:t>
            </w:r>
            <w:r w:rsidR="00C14222">
              <w:rPr>
                <w:rFonts w:ascii="Palatino Linotype" w:hAnsi="Palatino Linotype" w:cs="Calibri"/>
                <w:bCs/>
                <w:sz w:val="24"/>
                <w:szCs w:val="24"/>
              </w:rPr>
              <w:t>ivo dell'amministrazione, trovi</w:t>
            </w:r>
            <w:r>
              <w:rPr>
                <w:rFonts w:ascii="Palatino Linotype" w:hAnsi="Palatino Linotype" w:cs="Calibri"/>
                <w:bCs/>
                <w:sz w:val="24"/>
                <w:szCs w:val="24"/>
              </w:rPr>
              <w:t xml:space="preserve"> </w:t>
            </w:r>
            <w:r w:rsidRPr="00182A2C">
              <w:rPr>
                <w:rFonts w:ascii="Palatino Linotype" w:hAnsi="Palatino Linotype" w:cs="Calibri"/>
                <w:bCs/>
                <w:sz w:val="24"/>
                <w:szCs w:val="24"/>
              </w:rPr>
              <w:t>tutela in sede di giurisdizione amministrativa di legittimità</w:t>
            </w:r>
            <w:r w:rsidR="00044654">
              <w:rPr>
                <w:rFonts w:ascii="Palatino Linotype" w:hAnsi="Palatino Linotype" w:cs="Calibri"/>
                <w:bCs/>
                <w:sz w:val="24"/>
                <w:szCs w:val="24"/>
              </w:rPr>
              <w:t xml:space="preserve"> dovendo essere qualificata in termini di interesse legittimo</w:t>
            </w:r>
            <w:r w:rsidRPr="00182A2C">
              <w:rPr>
                <w:rFonts w:ascii="Palatino Linotype" w:hAnsi="Palatino Linotype" w:cs="Calibri"/>
                <w:bCs/>
                <w:sz w:val="24"/>
                <w:szCs w:val="24"/>
              </w:rPr>
              <w:t>.</w:t>
            </w:r>
          </w:p>
          <w:p w:rsidR="0097541B" w:rsidRDefault="0097541B" w:rsidP="00182A2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Aggiungono le Sezioni unite che in questi casi </w:t>
            </w:r>
            <w:r w:rsidR="0073656B">
              <w:rPr>
                <w:rFonts w:ascii="Palatino Linotype" w:hAnsi="Palatino Linotype" w:cs="Calibri"/>
                <w:bCs/>
                <w:sz w:val="24"/>
                <w:szCs w:val="24"/>
              </w:rPr>
              <w:t>non può configurarsi</w:t>
            </w:r>
            <w:r w:rsidR="0073656B" w:rsidRPr="0073656B">
              <w:rPr>
                <w:rFonts w:ascii="Palatino Linotype" w:hAnsi="Palatino Linotype" w:cs="Calibri"/>
                <w:bCs/>
                <w:sz w:val="24"/>
                <w:szCs w:val="24"/>
              </w:rPr>
              <w:t xml:space="preserve"> </w:t>
            </w:r>
            <w:r w:rsidR="0073656B">
              <w:rPr>
                <w:rFonts w:ascii="Palatino Linotype" w:hAnsi="Palatino Linotype" w:cs="Calibri"/>
                <w:bCs/>
                <w:sz w:val="24"/>
                <w:szCs w:val="24"/>
              </w:rPr>
              <w:t>“</w:t>
            </w:r>
            <w:r w:rsidR="0073656B" w:rsidRPr="00F767C1">
              <w:rPr>
                <w:rFonts w:ascii="Palatino Linotype" w:hAnsi="Palatino Linotype" w:cs="Calibri"/>
                <w:bCs/>
                <w:i/>
                <w:sz w:val="24"/>
                <w:szCs w:val="24"/>
              </w:rPr>
              <w:t xml:space="preserve">in capo al giudice ordinario, un potere di disapplicazione, atteso che tale potere presuppone proprio che la controversia cada sopra un diritto soggettivo sul quale incide un atto amministrativo oggetto di cognizione </w:t>
            </w:r>
            <w:proofErr w:type="spellStart"/>
            <w:r w:rsidR="0073656B" w:rsidRPr="00F767C1">
              <w:rPr>
                <w:rFonts w:ascii="Palatino Linotype" w:hAnsi="Palatino Linotype" w:cs="Calibri"/>
                <w:bCs/>
                <w:i/>
                <w:sz w:val="24"/>
                <w:szCs w:val="24"/>
              </w:rPr>
              <w:t>incidenter</w:t>
            </w:r>
            <w:proofErr w:type="spellEnd"/>
            <w:r w:rsidR="0073656B" w:rsidRPr="00F767C1">
              <w:rPr>
                <w:rFonts w:ascii="Palatino Linotype" w:hAnsi="Palatino Linotype" w:cs="Calibri"/>
                <w:bCs/>
                <w:i/>
                <w:sz w:val="24"/>
                <w:szCs w:val="24"/>
              </w:rPr>
              <w:t xml:space="preserve"> tantum (Cass. Sez. </w:t>
            </w:r>
            <w:proofErr w:type="gramStart"/>
            <w:r w:rsidR="0073656B" w:rsidRPr="00F767C1">
              <w:rPr>
                <w:rFonts w:ascii="Palatino Linotype" w:hAnsi="Palatino Linotype" w:cs="Calibri"/>
                <w:bCs/>
                <w:i/>
                <w:sz w:val="24"/>
                <w:szCs w:val="24"/>
              </w:rPr>
              <w:t>Un.,</w:t>
            </w:r>
            <w:proofErr w:type="gramEnd"/>
            <w:r w:rsidR="0073656B" w:rsidRPr="00F767C1">
              <w:rPr>
                <w:rFonts w:ascii="Palatino Linotype" w:hAnsi="Palatino Linotype" w:cs="Calibri"/>
                <w:bCs/>
                <w:i/>
                <w:sz w:val="24"/>
                <w:szCs w:val="24"/>
              </w:rPr>
              <w:t xml:space="preserve"> n. 24878/2017, cit.), non anche su una situazione giuridica soggettiva suscettibile di assumere la consistenza del diritto soggettivo solo all'esito della rimozione del provvedimento (vedi Cass. n. 4881/2017, cit., che richiama Cass. Sez. Un. 27/5/1999, n. 308; 23/11/1995, n. 12104; 9/11/1992, n. 12073, </w:t>
            </w:r>
            <w:proofErr w:type="spellStart"/>
            <w:r w:rsidR="0073656B" w:rsidRPr="00F767C1">
              <w:rPr>
                <w:rFonts w:ascii="Palatino Linotype" w:hAnsi="Palatino Linotype" w:cs="Calibri"/>
                <w:bCs/>
                <w:i/>
                <w:sz w:val="24"/>
                <w:szCs w:val="24"/>
              </w:rPr>
              <w:t>nonchè</w:t>
            </w:r>
            <w:proofErr w:type="spellEnd"/>
            <w:r w:rsidR="0073656B" w:rsidRPr="00F767C1">
              <w:rPr>
                <w:rFonts w:ascii="Palatino Linotype" w:hAnsi="Palatino Linotype" w:cs="Calibri"/>
                <w:bCs/>
                <w:i/>
                <w:sz w:val="24"/>
                <w:szCs w:val="24"/>
              </w:rPr>
              <w:t>, più di recente, Cass. 7/10/2015, n. 20079)</w:t>
            </w:r>
            <w:r w:rsidR="0073656B">
              <w:rPr>
                <w:rFonts w:ascii="Palatino Linotype" w:hAnsi="Palatino Linotype" w:cs="Calibri"/>
                <w:bCs/>
                <w:sz w:val="24"/>
                <w:szCs w:val="24"/>
              </w:rPr>
              <w:t>”.</w:t>
            </w:r>
          </w:p>
          <w:p w:rsidR="00AA618E" w:rsidRDefault="00AA618E" w:rsidP="00182A2C">
            <w:pPr>
              <w:autoSpaceDE w:val="0"/>
              <w:autoSpaceDN w:val="0"/>
              <w:adjustRightInd w:val="0"/>
              <w:spacing w:after="0" w:line="240" w:lineRule="auto"/>
              <w:jc w:val="both"/>
              <w:rPr>
                <w:rFonts w:ascii="Palatino Linotype" w:hAnsi="Palatino Linotype" w:cs="Calibri"/>
                <w:bCs/>
                <w:sz w:val="24"/>
                <w:szCs w:val="24"/>
              </w:rPr>
            </w:pPr>
          </w:p>
          <w:p w:rsidR="00AA618E" w:rsidRDefault="00AA618E" w:rsidP="00182A2C">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Nello stesso senso si veda Cass. </w:t>
            </w:r>
            <w:proofErr w:type="gramStart"/>
            <w:r>
              <w:rPr>
                <w:rFonts w:ascii="Palatino Linotype" w:hAnsi="Palatino Linotype" w:cs="Calibri"/>
                <w:bCs/>
                <w:sz w:val="24"/>
                <w:szCs w:val="24"/>
              </w:rPr>
              <w:t>civ.,</w:t>
            </w:r>
            <w:proofErr w:type="gramEnd"/>
            <w:r>
              <w:rPr>
                <w:rFonts w:ascii="Palatino Linotype" w:hAnsi="Palatino Linotype" w:cs="Calibri"/>
                <w:bCs/>
                <w:sz w:val="24"/>
                <w:szCs w:val="24"/>
              </w:rPr>
              <w:t xml:space="preserve"> sez. un., 13 novembre 2018, n. 29081.</w:t>
            </w:r>
          </w:p>
          <w:p w:rsidR="00830503" w:rsidRDefault="00830503" w:rsidP="00182A2C">
            <w:pPr>
              <w:autoSpaceDE w:val="0"/>
              <w:autoSpaceDN w:val="0"/>
              <w:adjustRightInd w:val="0"/>
              <w:spacing w:after="0" w:line="240" w:lineRule="auto"/>
              <w:jc w:val="both"/>
              <w:rPr>
                <w:rFonts w:ascii="Palatino Linotype" w:hAnsi="Palatino Linotype" w:cs="Calibri"/>
                <w:bCs/>
                <w:sz w:val="24"/>
                <w:szCs w:val="24"/>
              </w:rPr>
            </w:pPr>
          </w:p>
          <w:p w:rsidR="0027540C" w:rsidRDefault="0027540C" w:rsidP="00182A2C">
            <w:pPr>
              <w:autoSpaceDE w:val="0"/>
              <w:autoSpaceDN w:val="0"/>
              <w:adjustRightInd w:val="0"/>
              <w:spacing w:after="0" w:line="240" w:lineRule="auto"/>
              <w:jc w:val="both"/>
              <w:rPr>
                <w:rFonts w:ascii="Palatino Linotype" w:eastAsia="Calibri" w:hAnsi="Palatino Linotype" w:cs="Times New Roman"/>
                <w:b/>
                <w:bCs/>
                <w:color w:val="993300"/>
                <w:sz w:val="24"/>
                <w:szCs w:val="24"/>
              </w:rPr>
            </w:pPr>
            <w:r w:rsidRPr="003074F5">
              <w:rPr>
                <w:rFonts w:ascii="Palatino Linotype" w:eastAsia="Calibri" w:hAnsi="Palatino Linotype" w:cs="Times New Roman"/>
                <w:b/>
                <w:bCs/>
                <w:color w:val="993300"/>
                <w:sz w:val="24"/>
                <w:szCs w:val="24"/>
              </w:rPr>
              <w:t xml:space="preserve">Sul tema si veda altresì Cass. </w:t>
            </w:r>
            <w:proofErr w:type="gramStart"/>
            <w:r w:rsidRPr="003074F5">
              <w:rPr>
                <w:rFonts w:ascii="Palatino Linotype" w:eastAsia="Calibri" w:hAnsi="Palatino Linotype" w:cs="Times New Roman"/>
                <w:b/>
                <w:bCs/>
                <w:color w:val="993300"/>
                <w:sz w:val="24"/>
                <w:szCs w:val="24"/>
              </w:rPr>
              <w:t>civ.,</w:t>
            </w:r>
            <w:proofErr w:type="gramEnd"/>
            <w:r w:rsidRPr="003074F5">
              <w:rPr>
                <w:rFonts w:ascii="Palatino Linotype" w:eastAsia="Calibri" w:hAnsi="Palatino Linotype" w:cs="Times New Roman"/>
                <w:b/>
                <w:bCs/>
                <w:color w:val="993300"/>
                <w:sz w:val="24"/>
                <w:szCs w:val="24"/>
              </w:rPr>
              <w:t xml:space="preserve"> sez. un., 20 ottobre 2017, n. 24877, citata in motivazione ed oggetto della News US del 28 ottobre 2017</w:t>
            </w:r>
            <w:r w:rsidR="00830503">
              <w:rPr>
                <w:rFonts w:ascii="Palatino Linotype" w:eastAsia="Calibri" w:hAnsi="Palatino Linotype" w:cs="Times New Roman"/>
                <w:b/>
                <w:bCs/>
                <w:color w:val="993300"/>
                <w:sz w:val="24"/>
                <w:szCs w:val="24"/>
              </w:rPr>
              <w:t xml:space="preserve"> ai cui approfondimenti si rinvia</w:t>
            </w:r>
            <w:r w:rsidRPr="003074F5">
              <w:rPr>
                <w:rFonts w:ascii="Palatino Linotype" w:eastAsia="Calibri" w:hAnsi="Palatino Linotype" w:cs="Times New Roman"/>
                <w:b/>
                <w:bCs/>
                <w:color w:val="993300"/>
                <w:sz w:val="24"/>
                <w:szCs w:val="24"/>
              </w:rPr>
              <w:t>.</w:t>
            </w:r>
          </w:p>
          <w:p w:rsidR="00830503" w:rsidRPr="00830503" w:rsidRDefault="00830503" w:rsidP="00830503">
            <w:pPr>
              <w:autoSpaceDE w:val="0"/>
              <w:autoSpaceDN w:val="0"/>
              <w:adjustRightInd w:val="0"/>
              <w:spacing w:after="0" w:line="240" w:lineRule="auto"/>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 xml:space="preserve">Sul potere di disapplicazione di provvedimenti illegittimi da parte del giudice ordinario si veda di recente Cass. </w:t>
            </w:r>
            <w:proofErr w:type="gramStart"/>
            <w:r>
              <w:rPr>
                <w:rFonts w:ascii="Palatino Linotype" w:eastAsia="Calibri" w:hAnsi="Palatino Linotype" w:cs="Times New Roman"/>
                <w:b/>
                <w:bCs/>
                <w:color w:val="993300"/>
                <w:sz w:val="24"/>
                <w:szCs w:val="24"/>
              </w:rPr>
              <w:t>civ.,</w:t>
            </w:r>
            <w:proofErr w:type="gramEnd"/>
            <w:r>
              <w:rPr>
                <w:rFonts w:ascii="Palatino Linotype" w:eastAsia="Calibri" w:hAnsi="Palatino Linotype" w:cs="Times New Roman"/>
                <w:b/>
                <w:bCs/>
                <w:color w:val="993300"/>
                <w:sz w:val="24"/>
                <w:szCs w:val="24"/>
              </w:rPr>
              <w:t xml:space="preserve"> sez. un., 2 novembre 2018, n. 28053, oggetto della News US del 15 novembre 2018 ai cui approfondimenti si rinvia</w:t>
            </w:r>
            <w:r w:rsidRPr="00830503">
              <w:rPr>
                <w:rFonts w:ascii="Palatino Linotype" w:eastAsia="Calibri" w:hAnsi="Palatino Linotype" w:cs="Times New Roman"/>
                <w:b/>
                <w:bCs/>
                <w:color w:val="993300"/>
                <w:sz w:val="24"/>
                <w:szCs w:val="24"/>
              </w:rPr>
              <w:t>.</w:t>
            </w:r>
          </w:p>
          <w:p w:rsidR="00830503" w:rsidRPr="003074F5" w:rsidRDefault="00830503" w:rsidP="00182A2C">
            <w:pPr>
              <w:autoSpaceDE w:val="0"/>
              <w:autoSpaceDN w:val="0"/>
              <w:adjustRightInd w:val="0"/>
              <w:spacing w:after="0" w:line="240" w:lineRule="auto"/>
              <w:jc w:val="both"/>
              <w:rPr>
                <w:rFonts w:ascii="Palatino Linotype" w:eastAsia="Calibri" w:hAnsi="Palatino Linotype" w:cs="Times New Roman"/>
                <w:b/>
                <w:bCs/>
                <w:color w:val="993300"/>
                <w:sz w:val="24"/>
                <w:szCs w:val="24"/>
              </w:rPr>
            </w:pPr>
          </w:p>
          <w:p w:rsidR="00801FC1" w:rsidRPr="000D71C4" w:rsidRDefault="00801FC1" w:rsidP="000D71C4">
            <w:pPr>
              <w:autoSpaceDE w:val="0"/>
              <w:autoSpaceDN w:val="0"/>
              <w:adjustRightInd w:val="0"/>
              <w:spacing w:after="0" w:line="240" w:lineRule="auto"/>
              <w:jc w:val="both"/>
              <w:rPr>
                <w:rFonts w:ascii="Palatino Linotype" w:hAnsi="Palatino Linotype" w:cs="Calibri"/>
                <w:bCs/>
                <w:sz w:val="24"/>
                <w:szCs w:val="24"/>
              </w:rPr>
            </w:pPr>
          </w:p>
          <w:p w:rsidR="003170F2" w:rsidRDefault="00AA618E" w:rsidP="000D71C4">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(7</w:t>
            </w:r>
            <w:r w:rsidR="003170F2">
              <w:rPr>
                <w:rFonts w:ascii="Palatino Linotype" w:eastAsia="Times New Roman" w:hAnsi="Palatino Linotype" w:cs="Times New Roman"/>
                <w:color w:val="2E74B5"/>
                <w:kern w:val="36"/>
                <w:sz w:val="32"/>
                <w:szCs w:val="32"/>
              </w:rPr>
              <w:t>)</w:t>
            </w:r>
          </w:p>
          <w:p w:rsidR="00AA618E" w:rsidRDefault="00AA618E" w:rsidP="00AA618E">
            <w:pPr>
              <w:autoSpaceDE w:val="0"/>
              <w:autoSpaceDN w:val="0"/>
              <w:adjustRightInd w:val="0"/>
              <w:spacing w:after="0" w:line="240" w:lineRule="auto"/>
              <w:jc w:val="both"/>
              <w:rPr>
                <w:rFonts w:ascii="Palatino Linotype" w:eastAsia="Times New Roman" w:hAnsi="Palatino Linotype" w:cs="Times New Roman"/>
                <w:color w:val="2E74B5"/>
                <w:kern w:val="36"/>
                <w:sz w:val="32"/>
                <w:szCs w:val="32"/>
              </w:rPr>
            </w:pPr>
          </w:p>
          <w:p w:rsidR="00AA618E" w:rsidRPr="00AA618E" w:rsidRDefault="00AA618E" w:rsidP="00AA618E">
            <w:pPr>
              <w:autoSpaceDE w:val="0"/>
              <w:autoSpaceDN w:val="0"/>
              <w:adjustRightInd w:val="0"/>
              <w:spacing w:after="0" w:line="240" w:lineRule="auto"/>
              <w:jc w:val="both"/>
              <w:rPr>
                <w:rFonts w:ascii="Palatino Linotype" w:hAnsi="Palatino Linotype" w:cs="Calibri"/>
                <w:bCs/>
                <w:sz w:val="24"/>
                <w:szCs w:val="24"/>
              </w:rPr>
            </w:pPr>
            <w:r w:rsidRPr="00AA618E">
              <w:rPr>
                <w:rFonts w:ascii="Palatino Linotype" w:hAnsi="Palatino Linotype" w:cs="Calibri"/>
                <w:bCs/>
                <w:sz w:val="24"/>
                <w:szCs w:val="24"/>
              </w:rPr>
              <w:t>Le Sezioni unite nel respingere il ricorso avverso la sentenza del Consiglio di Stato, sez</w:t>
            </w:r>
            <w:r w:rsidR="00BE2B85">
              <w:rPr>
                <w:rFonts w:ascii="Palatino Linotype" w:hAnsi="Palatino Linotype" w:cs="Calibri"/>
                <w:bCs/>
                <w:sz w:val="24"/>
                <w:szCs w:val="24"/>
              </w:rPr>
              <w:t>. IV,</w:t>
            </w:r>
            <w:r w:rsidRPr="00AA618E">
              <w:rPr>
                <w:rFonts w:ascii="Palatino Linotype" w:hAnsi="Palatino Linotype" w:cs="Calibri"/>
                <w:bCs/>
                <w:sz w:val="24"/>
                <w:szCs w:val="24"/>
              </w:rPr>
              <w:t xml:space="preserve"> 28 novembre 2016, n. 5011 confermano la giurisdizione del giudice di ordinario in materia di impugnazione del bilancio consuntivo di un consorzio di enti locali da parte di un istituto di credito responsabile del servizio di tesoreria</w:t>
            </w:r>
            <w:r w:rsidR="00917DE5">
              <w:rPr>
                <w:rFonts w:ascii="Palatino Linotype" w:hAnsi="Palatino Linotype" w:cs="Calibri"/>
                <w:bCs/>
                <w:sz w:val="24"/>
                <w:szCs w:val="24"/>
              </w:rPr>
              <w:t xml:space="preserve"> che, vantando un credito per anticipazioni di cassa, ha interesse alla veridicità delle risultanze contabili</w:t>
            </w:r>
            <w:r w:rsidRPr="00AA618E">
              <w:rPr>
                <w:rFonts w:ascii="Palatino Linotype" w:hAnsi="Palatino Linotype" w:cs="Calibri"/>
                <w:bCs/>
                <w:sz w:val="24"/>
                <w:szCs w:val="24"/>
              </w:rPr>
              <w:t>.</w:t>
            </w:r>
          </w:p>
          <w:p w:rsidR="003322BF" w:rsidRDefault="003322BF" w:rsidP="003322BF">
            <w:pPr>
              <w:autoSpaceDE w:val="0"/>
              <w:autoSpaceDN w:val="0"/>
              <w:adjustRightInd w:val="0"/>
              <w:spacing w:after="0" w:line="240" w:lineRule="auto"/>
              <w:jc w:val="both"/>
              <w:rPr>
                <w:rFonts w:ascii="Palatino Linotype" w:hAnsi="Palatino Linotype" w:cs="Calibri"/>
                <w:bCs/>
                <w:sz w:val="24"/>
                <w:szCs w:val="24"/>
              </w:rPr>
            </w:pPr>
          </w:p>
          <w:p w:rsidR="007C1A6E" w:rsidRPr="00DE511A" w:rsidRDefault="00B34862" w:rsidP="007C1A6E">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5" w:history="1">
              <w:r w:rsidR="007C1A6E" w:rsidRPr="002E13F2">
                <w:rPr>
                  <w:rStyle w:val="Collegamentoipertestuale"/>
                  <w:rFonts w:ascii="Palatino Linotype" w:eastAsia="Times New Roman" w:hAnsi="Palatino Linotype" w:cs="Calibri"/>
                  <w:bCs/>
                  <w:sz w:val="24"/>
                  <w:szCs w:val="24"/>
                  <w:lang w:eastAsia="it-IT"/>
                </w:rPr>
                <w:t>Corte di cassazione, sezioni unite civili, se</w:t>
              </w:r>
              <w:r w:rsidR="00793D27" w:rsidRPr="002E13F2">
                <w:rPr>
                  <w:rStyle w:val="Collegamentoipertestuale"/>
                  <w:rFonts w:ascii="Palatino Linotype" w:eastAsia="Times New Roman" w:hAnsi="Palatino Linotype" w:cs="Calibri"/>
                  <w:bCs/>
                  <w:sz w:val="24"/>
                  <w:szCs w:val="24"/>
                  <w:lang w:eastAsia="it-IT"/>
                </w:rPr>
                <w:t>ntenza 9 novembre 2018, n. 28651</w:t>
              </w:r>
              <w:r w:rsidR="007C1A6E" w:rsidRPr="002E13F2">
                <w:rPr>
                  <w:rStyle w:val="Collegamentoipertestuale"/>
                  <w:rFonts w:ascii="Palatino Linotype" w:eastAsia="Times New Roman" w:hAnsi="Palatino Linotype" w:cs="Calibri"/>
                  <w:bCs/>
                  <w:sz w:val="24"/>
                  <w:szCs w:val="24"/>
                  <w:lang w:eastAsia="it-IT"/>
                </w:rPr>
                <w:t xml:space="preserve"> – Pres. Vivaldi, Est. </w:t>
              </w:r>
              <w:proofErr w:type="spellStart"/>
              <w:r w:rsidR="00793D27" w:rsidRPr="002E13F2">
                <w:rPr>
                  <w:rStyle w:val="Collegamentoipertestuale"/>
                  <w:rFonts w:ascii="Palatino Linotype" w:eastAsia="Times New Roman" w:hAnsi="Palatino Linotype" w:cs="Calibri"/>
                  <w:bCs/>
                  <w:sz w:val="24"/>
                  <w:szCs w:val="24"/>
                  <w:lang w:eastAsia="it-IT"/>
                </w:rPr>
                <w:t>Sambito</w:t>
              </w:r>
              <w:proofErr w:type="spellEnd"/>
            </w:hyperlink>
          </w:p>
          <w:p w:rsidR="007C1A6E" w:rsidRDefault="007C1A6E" w:rsidP="007C1A6E">
            <w:pPr>
              <w:spacing w:after="0" w:line="276" w:lineRule="auto"/>
              <w:jc w:val="both"/>
              <w:rPr>
                <w:rFonts w:ascii="Palatino Linotype" w:hAnsi="Palatino Linotype" w:cs="Calibri"/>
                <w:bCs/>
                <w:sz w:val="24"/>
                <w:szCs w:val="24"/>
              </w:rPr>
            </w:pPr>
          </w:p>
          <w:p w:rsidR="00AA618E" w:rsidRPr="00AA618E" w:rsidRDefault="00AA618E" w:rsidP="00AA618E">
            <w:pPr>
              <w:autoSpaceDE w:val="0"/>
              <w:autoSpaceDN w:val="0"/>
              <w:adjustRightInd w:val="0"/>
              <w:spacing w:after="0" w:line="240" w:lineRule="auto"/>
              <w:jc w:val="both"/>
              <w:rPr>
                <w:rFonts w:ascii="Palatino Linotype" w:hAnsi="Palatino Linotype" w:cs="Calibri"/>
                <w:bCs/>
                <w:sz w:val="24"/>
                <w:szCs w:val="24"/>
              </w:rPr>
            </w:pPr>
            <w:r w:rsidRPr="00AA618E">
              <w:rPr>
                <w:rFonts w:ascii="Palatino Linotype" w:hAnsi="Palatino Linotype" w:cs="Calibri"/>
                <w:bCs/>
                <w:sz w:val="24"/>
                <w:szCs w:val="24"/>
              </w:rPr>
              <w:t>Precisano le Sezioni unite che la delibera assembleare di approvazione del bilancio consuntivo costituisce un atto certamente privo di qualsiasi valenza autoritativa, essendo piuttosto un atto espositivo della situazione patrimoniale del Consorzio, in conseguenza della gestione dell'impresa in un determinato esercizio.</w:t>
            </w:r>
          </w:p>
          <w:p w:rsidR="00AA618E" w:rsidRPr="00AA618E" w:rsidRDefault="00AA618E" w:rsidP="00AA618E">
            <w:pPr>
              <w:autoSpaceDE w:val="0"/>
              <w:autoSpaceDN w:val="0"/>
              <w:adjustRightInd w:val="0"/>
              <w:spacing w:after="0" w:line="240" w:lineRule="auto"/>
              <w:jc w:val="both"/>
              <w:rPr>
                <w:rFonts w:ascii="Palatino Linotype" w:hAnsi="Palatino Linotype" w:cs="Calibri"/>
                <w:bCs/>
                <w:sz w:val="24"/>
                <w:szCs w:val="24"/>
              </w:rPr>
            </w:pPr>
            <w:r w:rsidRPr="00AA618E">
              <w:rPr>
                <w:rFonts w:ascii="Palatino Linotype" w:hAnsi="Palatino Linotype" w:cs="Calibri"/>
                <w:bCs/>
                <w:sz w:val="24"/>
                <w:szCs w:val="24"/>
              </w:rPr>
              <w:t xml:space="preserve">Aggiungono che la tesi di parte ricorrente secondo cui l'atto di approvazione del conto assumerebbe valenza autoritativa, per esser previsto che, in sede di sua adozione, il Consiglio di amministrazione debba proporre la destinazione dell'eventuale utile di esercizio e le modalità di copertura delle eventuali perdite (art. 31, </w:t>
            </w:r>
            <w:proofErr w:type="spellStart"/>
            <w:r w:rsidRPr="00AA618E">
              <w:rPr>
                <w:rFonts w:ascii="Palatino Linotype" w:hAnsi="Palatino Linotype" w:cs="Calibri"/>
                <w:bCs/>
                <w:sz w:val="24"/>
                <w:szCs w:val="24"/>
              </w:rPr>
              <w:t>u.c.</w:t>
            </w:r>
            <w:proofErr w:type="spellEnd"/>
            <w:r w:rsidRPr="00AA618E">
              <w:rPr>
                <w:rFonts w:ascii="Palatino Linotype" w:hAnsi="Palatino Linotype" w:cs="Calibri"/>
                <w:bCs/>
                <w:sz w:val="24"/>
                <w:szCs w:val="24"/>
              </w:rPr>
              <w:t>, dello Statuto) deve ritenersi priva di rilevanza “</w:t>
            </w:r>
            <w:r w:rsidRPr="00AA618E">
              <w:rPr>
                <w:rFonts w:ascii="Palatino Linotype" w:hAnsi="Palatino Linotype" w:cs="Calibri"/>
                <w:bCs/>
                <w:i/>
                <w:sz w:val="24"/>
                <w:szCs w:val="24"/>
              </w:rPr>
              <w:t xml:space="preserve">in quanto siffatte disposizioni sono estranee al potere di organizzazione interna dell'ente ed attengono alla potestà, di diritto privato, di gestione dell'attività svolta, che costituisce una prerogativa propria di ciascun soggetto imprenditore, che, quando sia costituito in forma collettiva, deve seguire le regole del suo funzionamento….nella controversia in esame non si fa questione </w:t>
            </w:r>
            <w:proofErr w:type="spellStart"/>
            <w:r w:rsidRPr="00AA618E">
              <w:rPr>
                <w:rFonts w:ascii="Palatino Linotype" w:hAnsi="Palatino Linotype" w:cs="Calibri"/>
                <w:bCs/>
                <w:i/>
                <w:sz w:val="24"/>
                <w:szCs w:val="24"/>
              </w:rPr>
              <w:t>nè</w:t>
            </w:r>
            <w:proofErr w:type="spellEnd"/>
            <w:r w:rsidRPr="00AA618E">
              <w:rPr>
                <w:rFonts w:ascii="Palatino Linotype" w:hAnsi="Palatino Linotype" w:cs="Calibri"/>
                <w:bCs/>
                <w:i/>
                <w:sz w:val="24"/>
                <w:szCs w:val="24"/>
              </w:rPr>
              <w:t xml:space="preserve"> di ripartizione di utili </w:t>
            </w:r>
            <w:proofErr w:type="spellStart"/>
            <w:r w:rsidRPr="00AA618E">
              <w:rPr>
                <w:rFonts w:ascii="Palatino Linotype" w:hAnsi="Palatino Linotype" w:cs="Calibri"/>
                <w:bCs/>
                <w:i/>
                <w:sz w:val="24"/>
                <w:szCs w:val="24"/>
              </w:rPr>
              <w:t>nè</w:t>
            </w:r>
            <w:proofErr w:type="spellEnd"/>
            <w:r w:rsidRPr="00AA618E">
              <w:rPr>
                <w:rFonts w:ascii="Palatino Linotype" w:hAnsi="Palatino Linotype" w:cs="Calibri"/>
                <w:bCs/>
                <w:i/>
                <w:sz w:val="24"/>
                <w:szCs w:val="24"/>
              </w:rPr>
              <w:t xml:space="preserve"> di modalità di ripianamento delle perdite, censurandosi, al contrario, l'avvenuta chiusura in parità del bilancio per asseriti artifici contabili. Si è, dunque, in presenza di un'azione di nullità della delibera di approvazione del bilancio per difetto dei requisiti di verità, chiarezza e precisione, che ne devono improntare la redazione a tutela non solo dell'interesse di ciascun consorziato, ma anche di tutti i soggetti che entrano in rapporto con l'Ente, i quali hanno diritto a conoscerne la reale ed effettiva situazione patrimoniale e finanziaria (cfr. in materia societaria, Cass. SU n. 27 del 2000 e successive conformi)</w:t>
            </w:r>
            <w:r w:rsidRPr="00AA618E">
              <w:rPr>
                <w:rFonts w:ascii="Palatino Linotype" w:hAnsi="Palatino Linotype" w:cs="Calibri"/>
                <w:bCs/>
                <w:sz w:val="24"/>
                <w:szCs w:val="24"/>
              </w:rPr>
              <w:t>”.</w:t>
            </w:r>
          </w:p>
          <w:p w:rsidR="007C1A6E" w:rsidRDefault="00AA618E" w:rsidP="003322BF">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Le Sezioni unite escludono altresì</w:t>
            </w:r>
            <w:r w:rsidR="003322BF" w:rsidRPr="003322BF">
              <w:rPr>
                <w:rFonts w:ascii="Palatino Linotype" w:hAnsi="Palatino Linotype" w:cs="Calibri"/>
                <w:bCs/>
                <w:sz w:val="24"/>
                <w:szCs w:val="24"/>
              </w:rPr>
              <w:t xml:space="preserve"> che, nella specie,</w:t>
            </w:r>
            <w:r w:rsidR="003322BF">
              <w:rPr>
                <w:rFonts w:ascii="Palatino Linotype" w:hAnsi="Palatino Linotype" w:cs="Calibri"/>
                <w:bCs/>
                <w:sz w:val="24"/>
                <w:szCs w:val="24"/>
              </w:rPr>
              <w:t xml:space="preserve"> </w:t>
            </w:r>
            <w:r w:rsidR="003322BF" w:rsidRPr="003322BF">
              <w:rPr>
                <w:rFonts w:ascii="Palatino Linotype" w:hAnsi="Palatino Linotype" w:cs="Calibri"/>
                <w:bCs/>
                <w:sz w:val="24"/>
                <w:szCs w:val="24"/>
              </w:rPr>
              <w:t>ricorra un caso di giurisdizione esclusi</w:t>
            </w:r>
            <w:r w:rsidR="003322BF">
              <w:rPr>
                <w:rFonts w:ascii="Palatino Linotype" w:hAnsi="Palatino Linotype" w:cs="Calibri"/>
                <w:bCs/>
                <w:sz w:val="24"/>
                <w:szCs w:val="24"/>
              </w:rPr>
              <w:t xml:space="preserve">va del giudice amministrativo, non rientrando la questione </w:t>
            </w:r>
            <w:r w:rsidR="003322BF" w:rsidRPr="003322BF">
              <w:rPr>
                <w:rFonts w:ascii="Palatino Linotype" w:hAnsi="Palatino Linotype" w:cs="Calibri"/>
                <w:bCs/>
                <w:sz w:val="24"/>
                <w:szCs w:val="24"/>
              </w:rPr>
              <w:t>dibattuta (impugnazione della delibera</w:t>
            </w:r>
            <w:r w:rsidR="003322BF">
              <w:rPr>
                <w:rFonts w:ascii="Palatino Linotype" w:hAnsi="Palatino Linotype" w:cs="Calibri"/>
                <w:bCs/>
                <w:sz w:val="24"/>
                <w:szCs w:val="24"/>
              </w:rPr>
              <w:t xml:space="preserve"> consortile di approvazione del </w:t>
            </w:r>
            <w:r w:rsidR="003322BF" w:rsidRPr="003322BF">
              <w:rPr>
                <w:rFonts w:ascii="Palatino Linotype" w:hAnsi="Palatino Linotype" w:cs="Calibri"/>
                <w:bCs/>
                <w:sz w:val="24"/>
                <w:szCs w:val="24"/>
              </w:rPr>
              <w:t>bilancio) in nessuna delle tassative ipotesi discipli</w:t>
            </w:r>
            <w:r w:rsidR="003322BF">
              <w:rPr>
                <w:rFonts w:ascii="Palatino Linotype" w:hAnsi="Palatino Linotype" w:cs="Calibri"/>
                <w:bCs/>
                <w:sz w:val="24"/>
                <w:szCs w:val="24"/>
              </w:rPr>
              <w:t xml:space="preserve">nate dall'art. 133 </w:t>
            </w:r>
            <w:proofErr w:type="spellStart"/>
            <w:r w:rsidR="000949C8">
              <w:rPr>
                <w:rFonts w:ascii="Palatino Linotype" w:hAnsi="Palatino Linotype" w:cs="Calibri"/>
                <w:bCs/>
                <w:sz w:val="24"/>
                <w:szCs w:val="24"/>
              </w:rPr>
              <w:t>c</w:t>
            </w:r>
            <w:r w:rsidR="003322BF">
              <w:rPr>
                <w:rFonts w:ascii="Palatino Linotype" w:hAnsi="Palatino Linotype" w:cs="Calibri"/>
                <w:bCs/>
                <w:sz w:val="24"/>
                <w:szCs w:val="24"/>
              </w:rPr>
              <w:t>.</w:t>
            </w:r>
            <w:r w:rsidR="000949C8">
              <w:rPr>
                <w:rFonts w:ascii="Palatino Linotype" w:hAnsi="Palatino Linotype" w:cs="Calibri"/>
                <w:bCs/>
                <w:sz w:val="24"/>
                <w:szCs w:val="24"/>
              </w:rPr>
              <w:t>p</w:t>
            </w:r>
            <w:r w:rsidR="003322BF">
              <w:rPr>
                <w:rFonts w:ascii="Palatino Linotype" w:hAnsi="Palatino Linotype" w:cs="Calibri"/>
                <w:bCs/>
                <w:sz w:val="24"/>
                <w:szCs w:val="24"/>
              </w:rPr>
              <w:t>.</w:t>
            </w:r>
            <w:r w:rsidR="000949C8">
              <w:rPr>
                <w:rFonts w:ascii="Palatino Linotype" w:hAnsi="Palatino Linotype" w:cs="Calibri"/>
                <w:bCs/>
                <w:sz w:val="24"/>
                <w:szCs w:val="24"/>
              </w:rPr>
              <w:t>a</w:t>
            </w:r>
            <w:proofErr w:type="spellEnd"/>
            <w:r w:rsidR="003322BF">
              <w:rPr>
                <w:rFonts w:ascii="Palatino Linotype" w:hAnsi="Palatino Linotype" w:cs="Calibri"/>
                <w:bCs/>
                <w:sz w:val="24"/>
                <w:szCs w:val="24"/>
              </w:rPr>
              <w:t>.</w:t>
            </w:r>
            <w:r w:rsidR="003322BF" w:rsidRPr="003322BF">
              <w:rPr>
                <w:rFonts w:ascii="Palatino Linotype" w:hAnsi="Palatino Linotype" w:cs="Calibri"/>
                <w:bCs/>
                <w:sz w:val="24"/>
                <w:szCs w:val="24"/>
              </w:rPr>
              <w:t>,</w:t>
            </w:r>
            <w:r>
              <w:rPr>
                <w:rFonts w:ascii="Palatino Linotype" w:hAnsi="Palatino Linotype" w:cs="Calibri"/>
                <w:bCs/>
                <w:sz w:val="24"/>
                <w:szCs w:val="24"/>
              </w:rPr>
              <w:t xml:space="preserve"> ed aggiungono</w:t>
            </w:r>
            <w:r w:rsidR="003322BF">
              <w:rPr>
                <w:rFonts w:ascii="Palatino Linotype" w:hAnsi="Palatino Linotype" w:cs="Calibri"/>
                <w:bCs/>
                <w:sz w:val="24"/>
                <w:szCs w:val="24"/>
              </w:rPr>
              <w:t xml:space="preserve"> che</w:t>
            </w:r>
            <w:r w:rsidR="003322BF" w:rsidRPr="003322BF">
              <w:rPr>
                <w:rFonts w:ascii="Palatino Linotype" w:hAnsi="Palatino Linotype" w:cs="Calibri"/>
                <w:bCs/>
                <w:sz w:val="24"/>
                <w:szCs w:val="24"/>
              </w:rPr>
              <w:t xml:space="preserve"> la controversia non rientra neppu</w:t>
            </w:r>
            <w:r w:rsidR="003322BF">
              <w:rPr>
                <w:rFonts w:ascii="Palatino Linotype" w:hAnsi="Palatino Linotype" w:cs="Calibri"/>
                <w:bCs/>
                <w:sz w:val="24"/>
                <w:szCs w:val="24"/>
              </w:rPr>
              <w:t xml:space="preserve">re nella giurisdizione generale </w:t>
            </w:r>
            <w:r w:rsidR="003322BF" w:rsidRPr="003322BF">
              <w:rPr>
                <w:rFonts w:ascii="Palatino Linotype" w:hAnsi="Palatino Linotype" w:cs="Calibri"/>
                <w:bCs/>
                <w:sz w:val="24"/>
                <w:szCs w:val="24"/>
              </w:rPr>
              <w:t>di legittimità del giudice amministrativ</w:t>
            </w:r>
            <w:r w:rsidR="003322BF">
              <w:rPr>
                <w:rFonts w:ascii="Palatino Linotype" w:hAnsi="Palatino Linotype" w:cs="Calibri"/>
                <w:bCs/>
                <w:sz w:val="24"/>
                <w:szCs w:val="24"/>
              </w:rPr>
              <w:t xml:space="preserve">o. Ed, infatti, perché possa </w:t>
            </w:r>
            <w:r w:rsidR="003322BF" w:rsidRPr="003322BF">
              <w:rPr>
                <w:rFonts w:ascii="Palatino Linotype" w:hAnsi="Palatino Linotype" w:cs="Calibri"/>
                <w:bCs/>
                <w:sz w:val="24"/>
                <w:szCs w:val="24"/>
              </w:rPr>
              <w:t>radicarsi la giurisdizione del giudice a</w:t>
            </w:r>
            <w:r w:rsidR="003322BF">
              <w:rPr>
                <w:rFonts w:ascii="Palatino Linotype" w:hAnsi="Palatino Linotype" w:cs="Calibri"/>
                <w:bCs/>
                <w:sz w:val="24"/>
                <w:szCs w:val="24"/>
              </w:rPr>
              <w:t xml:space="preserve">mministrativo non è sufficiente </w:t>
            </w:r>
            <w:r w:rsidR="003322BF" w:rsidRPr="003322BF">
              <w:rPr>
                <w:rFonts w:ascii="Palatino Linotype" w:hAnsi="Palatino Linotype" w:cs="Calibri"/>
                <w:bCs/>
                <w:sz w:val="24"/>
                <w:szCs w:val="24"/>
              </w:rPr>
              <w:t>che il soggetto procedente possa r</w:t>
            </w:r>
            <w:r w:rsidR="003322BF">
              <w:rPr>
                <w:rFonts w:ascii="Palatino Linotype" w:hAnsi="Palatino Linotype" w:cs="Calibri"/>
                <w:bCs/>
                <w:sz w:val="24"/>
                <w:szCs w:val="24"/>
              </w:rPr>
              <w:t xml:space="preserve">icomprendersi nell'ambito delle </w:t>
            </w:r>
            <w:r w:rsidR="003322BF" w:rsidRPr="003322BF">
              <w:rPr>
                <w:rFonts w:ascii="Palatino Linotype" w:hAnsi="Palatino Linotype" w:cs="Calibri"/>
                <w:bCs/>
                <w:sz w:val="24"/>
                <w:szCs w:val="24"/>
              </w:rPr>
              <w:t>"pubbliche amministrazioni" come defin</w:t>
            </w:r>
            <w:r w:rsidR="005A4C42">
              <w:rPr>
                <w:rFonts w:ascii="Palatino Linotype" w:hAnsi="Palatino Linotype" w:cs="Calibri"/>
                <w:bCs/>
                <w:sz w:val="24"/>
                <w:szCs w:val="24"/>
              </w:rPr>
              <w:t>ite dal comma 2 dell’</w:t>
            </w:r>
            <w:r w:rsidR="003322BF">
              <w:rPr>
                <w:rFonts w:ascii="Palatino Linotype" w:hAnsi="Palatino Linotype" w:cs="Calibri"/>
                <w:bCs/>
                <w:sz w:val="24"/>
                <w:szCs w:val="24"/>
              </w:rPr>
              <w:t xml:space="preserve">art. </w:t>
            </w:r>
            <w:r w:rsidR="003322BF" w:rsidRPr="003322BF">
              <w:rPr>
                <w:rFonts w:ascii="Palatino Linotype" w:hAnsi="Palatino Linotype" w:cs="Calibri"/>
                <w:bCs/>
                <w:sz w:val="24"/>
                <w:szCs w:val="24"/>
              </w:rPr>
              <w:t>7</w:t>
            </w:r>
            <w:r w:rsidR="002B1205">
              <w:rPr>
                <w:rFonts w:ascii="Palatino Linotype" w:hAnsi="Palatino Linotype" w:cs="Calibri"/>
                <w:bCs/>
                <w:sz w:val="24"/>
                <w:szCs w:val="24"/>
              </w:rPr>
              <w:t xml:space="preserve"> </w:t>
            </w:r>
            <w:proofErr w:type="spellStart"/>
            <w:r w:rsidR="002B1205">
              <w:rPr>
                <w:rFonts w:ascii="Palatino Linotype" w:hAnsi="Palatino Linotype" w:cs="Calibri"/>
                <w:bCs/>
                <w:sz w:val="24"/>
                <w:szCs w:val="24"/>
              </w:rPr>
              <w:t>c.p.a</w:t>
            </w:r>
            <w:proofErr w:type="spellEnd"/>
            <w:r w:rsidR="002B1205">
              <w:rPr>
                <w:rFonts w:ascii="Palatino Linotype" w:hAnsi="Palatino Linotype" w:cs="Calibri"/>
                <w:bCs/>
                <w:sz w:val="24"/>
                <w:szCs w:val="24"/>
              </w:rPr>
              <w:t>.</w:t>
            </w:r>
            <w:r w:rsidR="003322BF" w:rsidRPr="003322BF">
              <w:rPr>
                <w:rFonts w:ascii="Palatino Linotype" w:hAnsi="Palatino Linotype" w:cs="Calibri"/>
                <w:bCs/>
                <w:sz w:val="24"/>
                <w:szCs w:val="24"/>
              </w:rPr>
              <w:t>, ma è necessario che la contr</w:t>
            </w:r>
            <w:r w:rsidR="003322BF">
              <w:rPr>
                <w:rFonts w:ascii="Palatino Linotype" w:hAnsi="Palatino Linotype" w:cs="Calibri"/>
                <w:bCs/>
                <w:sz w:val="24"/>
                <w:szCs w:val="24"/>
              </w:rPr>
              <w:t xml:space="preserve">oversia abbia ad oggetto atti o </w:t>
            </w:r>
            <w:r w:rsidR="003322BF" w:rsidRPr="003322BF">
              <w:rPr>
                <w:rFonts w:ascii="Palatino Linotype" w:hAnsi="Palatino Linotype" w:cs="Calibri"/>
                <w:bCs/>
                <w:sz w:val="24"/>
                <w:szCs w:val="24"/>
              </w:rPr>
              <w:t>condotte riconducibili all'esercizio del</w:t>
            </w:r>
            <w:r w:rsidR="003322BF">
              <w:rPr>
                <w:rFonts w:ascii="Palatino Linotype" w:hAnsi="Palatino Linotype" w:cs="Calibri"/>
                <w:bCs/>
                <w:sz w:val="24"/>
                <w:szCs w:val="24"/>
              </w:rPr>
              <w:t xml:space="preserve">le funzioni istituzionali delle </w:t>
            </w:r>
            <w:r w:rsidR="003322BF" w:rsidRPr="003322BF">
              <w:rPr>
                <w:rFonts w:ascii="Palatino Linotype" w:hAnsi="Palatino Linotype" w:cs="Calibri"/>
                <w:bCs/>
                <w:sz w:val="24"/>
                <w:szCs w:val="24"/>
              </w:rPr>
              <w:t>stess</w:t>
            </w:r>
            <w:r w:rsidR="003322BF">
              <w:rPr>
                <w:rFonts w:ascii="Palatino Linotype" w:hAnsi="Palatino Linotype" w:cs="Calibri"/>
                <w:bCs/>
                <w:sz w:val="24"/>
                <w:szCs w:val="24"/>
              </w:rPr>
              <w:t>e. C</w:t>
            </w:r>
            <w:r w:rsidR="003322BF" w:rsidRPr="003322BF">
              <w:rPr>
                <w:rFonts w:ascii="Palatino Linotype" w:hAnsi="Palatino Linotype" w:cs="Calibri"/>
                <w:bCs/>
                <w:sz w:val="24"/>
                <w:szCs w:val="24"/>
              </w:rPr>
              <w:t>iò che rileva, ai fini del ri</w:t>
            </w:r>
            <w:r w:rsidR="003322BF">
              <w:rPr>
                <w:rFonts w:ascii="Palatino Linotype" w:hAnsi="Palatino Linotype" w:cs="Calibri"/>
                <w:bCs/>
                <w:sz w:val="24"/>
                <w:szCs w:val="24"/>
              </w:rPr>
              <w:t xml:space="preserve">parto della giurisdizione, è la </w:t>
            </w:r>
            <w:r w:rsidR="003322BF" w:rsidRPr="003322BF">
              <w:rPr>
                <w:rFonts w:ascii="Palatino Linotype" w:hAnsi="Palatino Linotype" w:cs="Calibri"/>
                <w:bCs/>
                <w:sz w:val="24"/>
                <w:szCs w:val="24"/>
              </w:rPr>
              <w:t>riconducibilità dell'atto, del pr</w:t>
            </w:r>
            <w:r w:rsidR="003322BF">
              <w:rPr>
                <w:rFonts w:ascii="Palatino Linotype" w:hAnsi="Palatino Linotype" w:cs="Calibri"/>
                <w:bCs/>
                <w:sz w:val="24"/>
                <w:szCs w:val="24"/>
              </w:rPr>
              <w:t xml:space="preserve">ovvedimento o del comportamento </w:t>
            </w:r>
            <w:r w:rsidR="003322BF" w:rsidRPr="003322BF">
              <w:rPr>
                <w:rFonts w:ascii="Palatino Linotype" w:hAnsi="Palatino Linotype" w:cs="Calibri"/>
                <w:bCs/>
                <w:sz w:val="24"/>
                <w:szCs w:val="24"/>
              </w:rPr>
              <w:t>all'esercizio di un pubblico potere</w:t>
            </w:r>
            <w:r w:rsidR="003322BF">
              <w:rPr>
                <w:rFonts w:ascii="Palatino Linotype" w:hAnsi="Palatino Linotype" w:cs="Calibri"/>
                <w:bCs/>
                <w:sz w:val="24"/>
                <w:szCs w:val="24"/>
              </w:rPr>
              <w:t>.</w:t>
            </w:r>
          </w:p>
          <w:p w:rsidR="00EC1319" w:rsidRPr="003322BF" w:rsidRDefault="00EC1319" w:rsidP="003322BF">
            <w:pPr>
              <w:autoSpaceDE w:val="0"/>
              <w:autoSpaceDN w:val="0"/>
              <w:adjustRightInd w:val="0"/>
              <w:spacing w:after="0" w:line="240" w:lineRule="auto"/>
              <w:jc w:val="both"/>
              <w:rPr>
                <w:rFonts w:ascii="Palatino Linotype" w:hAnsi="Palatino Linotype" w:cs="Calibri"/>
                <w:bCs/>
                <w:sz w:val="24"/>
                <w:szCs w:val="24"/>
              </w:rPr>
            </w:pPr>
          </w:p>
          <w:p w:rsidR="006B3165" w:rsidRDefault="007C1A6E" w:rsidP="009633C4">
            <w:pPr>
              <w:spacing w:after="0" w:line="276"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 xml:space="preserve"> </w:t>
            </w:r>
            <w:r w:rsidR="008D5CDD">
              <w:rPr>
                <w:rFonts w:ascii="Palatino Linotype" w:eastAsia="Times New Roman" w:hAnsi="Palatino Linotype" w:cs="Times New Roman"/>
                <w:color w:val="2E74B5"/>
                <w:kern w:val="36"/>
                <w:sz w:val="32"/>
                <w:szCs w:val="32"/>
              </w:rPr>
              <w:t>(9</w:t>
            </w:r>
            <w:r w:rsidR="006B3165">
              <w:rPr>
                <w:rFonts w:ascii="Palatino Linotype" w:eastAsia="Times New Roman" w:hAnsi="Palatino Linotype" w:cs="Times New Roman"/>
                <w:color w:val="2E74B5"/>
                <w:kern w:val="36"/>
                <w:sz w:val="32"/>
                <w:szCs w:val="32"/>
              </w:rPr>
              <w:t>)</w:t>
            </w:r>
          </w:p>
          <w:p w:rsidR="002B1205" w:rsidRDefault="002B1205" w:rsidP="009633C4">
            <w:pPr>
              <w:spacing w:after="0" w:line="276" w:lineRule="auto"/>
              <w:jc w:val="center"/>
              <w:outlineLvl w:val="0"/>
              <w:rPr>
                <w:rFonts w:ascii="Palatino Linotype" w:eastAsia="Times New Roman" w:hAnsi="Palatino Linotype" w:cs="Times New Roman"/>
                <w:color w:val="2E74B5"/>
                <w:kern w:val="36"/>
                <w:sz w:val="32"/>
                <w:szCs w:val="32"/>
              </w:rPr>
            </w:pPr>
          </w:p>
          <w:p w:rsidR="007C1A6E" w:rsidRDefault="007C1A6E" w:rsidP="007C1A6E">
            <w:pPr>
              <w:autoSpaceDE w:val="0"/>
              <w:autoSpaceDN w:val="0"/>
              <w:adjustRightInd w:val="0"/>
              <w:spacing w:after="0" w:line="240" w:lineRule="auto"/>
              <w:jc w:val="both"/>
              <w:rPr>
                <w:rFonts w:ascii="Palatino Linotype" w:hAnsi="Palatino Linotype" w:cs="Calibri"/>
                <w:bCs/>
                <w:sz w:val="24"/>
                <w:szCs w:val="24"/>
              </w:rPr>
            </w:pPr>
            <w:r w:rsidRPr="00F77217">
              <w:rPr>
                <w:rFonts w:ascii="Palatino Linotype" w:hAnsi="Palatino Linotype" w:cs="Calibri"/>
                <w:bCs/>
                <w:sz w:val="24"/>
                <w:szCs w:val="24"/>
              </w:rPr>
              <w:t>Le Sezioni unite</w:t>
            </w:r>
            <w:r>
              <w:rPr>
                <w:rFonts w:ascii="Palatino Linotype" w:hAnsi="Palatino Linotype" w:cs="Calibri"/>
                <w:bCs/>
                <w:sz w:val="24"/>
                <w:szCs w:val="24"/>
              </w:rPr>
              <w:t xml:space="preserve"> chiariscono i </w:t>
            </w:r>
            <w:r w:rsidRPr="00FD09B6">
              <w:rPr>
                <w:rFonts w:ascii="Palatino Linotype" w:hAnsi="Palatino Linotype" w:cs="Calibri"/>
                <w:bCs/>
                <w:sz w:val="24"/>
                <w:szCs w:val="24"/>
              </w:rPr>
              <w:t>rapporti tra ordinamento sportivo (e giustizia sportiva) e quello</w:t>
            </w:r>
            <w:r>
              <w:rPr>
                <w:rFonts w:ascii="Palatino Linotype" w:hAnsi="Palatino Linotype" w:cs="Calibri"/>
                <w:bCs/>
                <w:sz w:val="24"/>
                <w:szCs w:val="24"/>
              </w:rPr>
              <w:t xml:space="preserve"> </w:t>
            </w:r>
            <w:r w:rsidRPr="00FD09B6">
              <w:rPr>
                <w:rFonts w:ascii="Palatino Linotype" w:hAnsi="Palatino Linotype" w:cs="Calibri"/>
                <w:bCs/>
                <w:sz w:val="24"/>
                <w:szCs w:val="24"/>
              </w:rPr>
              <w:t xml:space="preserve">statale (e giustizia statale) delineati </w:t>
            </w:r>
            <w:r>
              <w:rPr>
                <w:rFonts w:ascii="Palatino Linotype" w:hAnsi="Palatino Linotype" w:cs="Calibri"/>
                <w:bCs/>
                <w:sz w:val="24"/>
                <w:szCs w:val="24"/>
              </w:rPr>
              <w:t xml:space="preserve">dalle norme dell'ordinamento </w:t>
            </w:r>
            <w:r w:rsidRPr="00FD09B6">
              <w:rPr>
                <w:rFonts w:ascii="Palatino Linotype" w:hAnsi="Palatino Linotype" w:cs="Calibri"/>
                <w:bCs/>
                <w:sz w:val="24"/>
                <w:szCs w:val="24"/>
              </w:rPr>
              <w:t>positivo - artt.</w:t>
            </w:r>
            <w:r w:rsidR="002B1205">
              <w:rPr>
                <w:rFonts w:ascii="Palatino Linotype" w:hAnsi="Palatino Linotype" w:cs="Calibri"/>
                <w:bCs/>
                <w:sz w:val="24"/>
                <w:szCs w:val="24"/>
              </w:rPr>
              <w:t xml:space="preserve"> </w:t>
            </w:r>
            <w:r w:rsidRPr="00FD09B6">
              <w:rPr>
                <w:rFonts w:ascii="Palatino Linotype" w:hAnsi="Palatino Linotype" w:cs="Calibri"/>
                <w:bCs/>
                <w:sz w:val="24"/>
                <w:szCs w:val="24"/>
              </w:rPr>
              <w:t xml:space="preserve">1, 2 e 3 </w:t>
            </w:r>
            <w:r w:rsidR="002B1205">
              <w:rPr>
                <w:rFonts w:ascii="Palatino Linotype" w:hAnsi="Palatino Linotype" w:cs="Calibri"/>
                <w:bCs/>
                <w:sz w:val="24"/>
                <w:szCs w:val="24"/>
              </w:rPr>
              <w:t xml:space="preserve">del </w:t>
            </w:r>
            <w:proofErr w:type="spellStart"/>
            <w:r w:rsidRPr="00FD09B6">
              <w:rPr>
                <w:rFonts w:ascii="Palatino Linotype" w:hAnsi="Palatino Linotype" w:cs="Calibri"/>
                <w:bCs/>
                <w:sz w:val="24"/>
                <w:szCs w:val="24"/>
              </w:rPr>
              <w:t>d.l.</w:t>
            </w:r>
            <w:proofErr w:type="spellEnd"/>
            <w:r>
              <w:rPr>
                <w:rFonts w:ascii="Palatino Linotype" w:hAnsi="Palatino Linotype" w:cs="Calibri"/>
                <w:bCs/>
                <w:sz w:val="24"/>
                <w:szCs w:val="24"/>
              </w:rPr>
              <w:t xml:space="preserve"> n. 220/2003, come convertito in l. </w:t>
            </w:r>
            <w:r w:rsidRPr="00FD09B6">
              <w:rPr>
                <w:rFonts w:ascii="Palatino Linotype" w:hAnsi="Palatino Linotype" w:cs="Calibri"/>
                <w:bCs/>
                <w:sz w:val="24"/>
                <w:szCs w:val="24"/>
              </w:rPr>
              <w:t>n.</w:t>
            </w:r>
            <w:r w:rsidR="002B1205">
              <w:rPr>
                <w:rFonts w:ascii="Palatino Linotype" w:hAnsi="Palatino Linotype" w:cs="Calibri"/>
                <w:bCs/>
                <w:sz w:val="24"/>
                <w:szCs w:val="24"/>
              </w:rPr>
              <w:t xml:space="preserve"> </w:t>
            </w:r>
            <w:r w:rsidRPr="00FD09B6">
              <w:rPr>
                <w:rFonts w:ascii="Palatino Linotype" w:hAnsi="Palatino Linotype" w:cs="Calibri"/>
                <w:bCs/>
                <w:sz w:val="24"/>
                <w:szCs w:val="24"/>
              </w:rPr>
              <w:t>280/2003, poi ribadito dall'artic</w:t>
            </w:r>
            <w:r>
              <w:rPr>
                <w:rFonts w:ascii="Palatino Linotype" w:hAnsi="Palatino Linotype" w:cs="Calibri"/>
                <w:bCs/>
                <w:sz w:val="24"/>
                <w:szCs w:val="24"/>
              </w:rPr>
              <w:t>olo 133, comma 1, lett.</w:t>
            </w:r>
            <w:r w:rsidR="002B1205">
              <w:rPr>
                <w:rFonts w:ascii="Palatino Linotype" w:hAnsi="Palatino Linotype" w:cs="Calibri"/>
                <w:bCs/>
                <w:sz w:val="24"/>
                <w:szCs w:val="24"/>
              </w:rPr>
              <w:t xml:space="preserve"> z), c</w:t>
            </w:r>
            <w:r>
              <w:rPr>
                <w:rFonts w:ascii="Palatino Linotype" w:hAnsi="Palatino Linotype" w:cs="Calibri"/>
                <w:bCs/>
                <w:sz w:val="24"/>
                <w:szCs w:val="24"/>
              </w:rPr>
              <w:t xml:space="preserve">. </w:t>
            </w:r>
            <w:r w:rsidR="002B1205">
              <w:rPr>
                <w:rFonts w:ascii="Palatino Linotype" w:hAnsi="Palatino Linotype" w:cs="Calibri"/>
                <w:bCs/>
                <w:sz w:val="24"/>
                <w:szCs w:val="24"/>
              </w:rPr>
              <w:t>p. a</w:t>
            </w:r>
            <w:r>
              <w:rPr>
                <w:rFonts w:ascii="Palatino Linotype" w:hAnsi="Palatino Linotype" w:cs="Calibri"/>
                <w:bCs/>
                <w:sz w:val="24"/>
                <w:szCs w:val="24"/>
              </w:rPr>
              <w:t>.</w:t>
            </w:r>
          </w:p>
          <w:p w:rsidR="007C1A6E" w:rsidRPr="00FD09B6" w:rsidRDefault="007C1A6E" w:rsidP="007C1A6E">
            <w:pPr>
              <w:autoSpaceDE w:val="0"/>
              <w:autoSpaceDN w:val="0"/>
              <w:adjustRightInd w:val="0"/>
              <w:spacing w:after="0" w:line="240" w:lineRule="auto"/>
              <w:jc w:val="both"/>
              <w:rPr>
                <w:rFonts w:ascii="Palatino Linotype" w:hAnsi="Palatino Linotype" w:cs="Calibri"/>
                <w:bCs/>
                <w:sz w:val="24"/>
                <w:szCs w:val="24"/>
              </w:rPr>
            </w:pPr>
          </w:p>
          <w:p w:rsidR="007C1A6E" w:rsidRPr="00DE511A" w:rsidRDefault="00B34862" w:rsidP="007C1A6E">
            <w:pPr>
              <w:spacing w:after="0" w:line="276"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6" w:history="1">
              <w:r w:rsidR="007C1A6E" w:rsidRPr="002E13F2">
                <w:rPr>
                  <w:rStyle w:val="Collegamentoipertestuale"/>
                  <w:rFonts w:ascii="Palatino Linotype" w:eastAsia="Times New Roman" w:hAnsi="Palatino Linotype" w:cs="Calibri"/>
                  <w:bCs/>
                  <w:sz w:val="24"/>
                  <w:szCs w:val="24"/>
                  <w:lang w:eastAsia="it-IT"/>
                </w:rPr>
                <w:t>Corte di cassazione, sezioni unite civili, sentenza 9 novembre 2018, n. 28652 – Pres. Vivaldi, Est. Conti</w:t>
              </w:r>
            </w:hyperlink>
          </w:p>
          <w:p w:rsidR="007C1A6E" w:rsidRDefault="007C1A6E" w:rsidP="007C1A6E">
            <w:pPr>
              <w:spacing w:after="0" w:line="276" w:lineRule="auto"/>
              <w:jc w:val="both"/>
              <w:rPr>
                <w:rFonts w:ascii="Palatino Linotype" w:hAnsi="Palatino Linotype" w:cs="Calibri"/>
                <w:bCs/>
                <w:sz w:val="24"/>
                <w:szCs w:val="24"/>
              </w:rPr>
            </w:pPr>
          </w:p>
          <w:p w:rsidR="007C1A6E" w:rsidRDefault="002B1205" w:rsidP="007C1A6E">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Le Sezioni unite </w:t>
            </w:r>
            <w:r w:rsidR="00D37889">
              <w:rPr>
                <w:rFonts w:ascii="Palatino Linotype" w:hAnsi="Palatino Linotype" w:cs="Calibri"/>
                <w:bCs/>
                <w:sz w:val="24"/>
                <w:szCs w:val="24"/>
              </w:rPr>
              <w:t>confermano l’indirizzo che attribuisce</w:t>
            </w:r>
            <w:r w:rsidR="007C1A6E" w:rsidRPr="0001728E">
              <w:rPr>
                <w:rFonts w:ascii="Palatino Linotype" w:hAnsi="Palatino Linotype" w:cs="Calibri"/>
                <w:bCs/>
                <w:sz w:val="24"/>
                <w:szCs w:val="24"/>
              </w:rPr>
              <w:t xml:space="preserve"> all'ordinamento sportivo ed alla c.d.</w:t>
            </w:r>
            <w:r w:rsidR="007C1A6E">
              <w:rPr>
                <w:rFonts w:ascii="Palatino Linotype" w:hAnsi="Palatino Linotype" w:cs="Calibri"/>
                <w:bCs/>
                <w:sz w:val="24"/>
                <w:szCs w:val="24"/>
              </w:rPr>
              <w:t xml:space="preserve"> </w:t>
            </w:r>
            <w:r w:rsidR="007C1A6E" w:rsidRPr="0001728E">
              <w:rPr>
                <w:rFonts w:ascii="Palatino Linotype" w:hAnsi="Palatino Linotype" w:cs="Calibri"/>
                <w:bCs/>
                <w:sz w:val="24"/>
                <w:szCs w:val="24"/>
              </w:rPr>
              <w:t>giustizia sportiva la cognizio</w:t>
            </w:r>
            <w:r w:rsidR="007C1A6E">
              <w:rPr>
                <w:rFonts w:ascii="Palatino Linotype" w:hAnsi="Palatino Linotype" w:cs="Calibri"/>
                <w:bCs/>
                <w:sz w:val="24"/>
                <w:szCs w:val="24"/>
              </w:rPr>
              <w:t xml:space="preserve">ne sulla materia disciplinare, </w:t>
            </w:r>
            <w:r w:rsidR="007C1A6E" w:rsidRPr="0001728E">
              <w:rPr>
                <w:rFonts w:ascii="Palatino Linotype" w:hAnsi="Palatino Linotype" w:cs="Calibri"/>
                <w:bCs/>
                <w:sz w:val="24"/>
                <w:szCs w:val="24"/>
              </w:rPr>
              <w:t xml:space="preserve">riconoscendo unicamente la tutela c.d. </w:t>
            </w:r>
            <w:r w:rsidR="007C1A6E">
              <w:rPr>
                <w:rFonts w:ascii="Palatino Linotype" w:hAnsi="Palatino Linotype" w:cs="Calibri"/>
                <w:bCs/>
                <w:sz w:val="24"/>
                <w:szCs w:val="24"/>
              </w:rPr>
              <w:t xml:space="preserve">risarcitoria per equivalente </w:t>
            </w:r>
            <w:r w:rsidR="007C1A6E" w:rsidRPr="0001728E">
              <w:rPr>
                <w:rFonts w:ascii="Palatino Linotype" w:hAnsi="Palatino Linotype" w:cs="Calibri"/>
                <w:bCs/>
                <w:sz w:val="24"/>
                <w:szCs w:val="24"/>
              </w:rPr>
              <w:t>al giudice amministrativo, do</w:t>
            </w:r>
            <w:r w:rsidR="007C1A6E">
              <w:rPr>
                <w:rFonts w:ascii="Palatino Linotype" w:hAnsi="Palatino Linotype" w:cs="Calibri"/>
                <w:bCs/>
                <w:sz w:val="24"/>
                <w:szCs w:val="24"/>
              </w:rPr>
              <w:t xml:space="preserve">tato di residuale giurisdizione </w:t>
            </w:r>
            <w:r w:rsidR="007C1A6E" w:rsidRPr="0001728E">
              <w:rPr>
                <w:rFonts w:ascii="Palatino Linotype" w:hAnsi="Palatino Linotype" w:cs="Calibri"/>
                <w:bCs/>
                <w:sz w:val="24"/>
                <w:szCs w:val="24"/>
              </w:rPr>
              <w:t>esclusiva per le ipotesi di sanzi</w:t>
            </w:r>
            <w:r w:rsidR="007C1A6E">
              <w:rPr>
                <w:rFonts w:ascii="Palatino Linotype" w:hAnsi="Palatino Linotype" w:cs="Calibri"/>
                <w:bCs/>
                <w:sz w:val="24"/>
                <w:szCs w:val="24"/>
              </w:rPr>
              <w:t xml:space="preserve">oni che producono effetti anche </w:t>
            </w:r>
            <w:r w:rsidR="007C1A6E" w:rsidRPr="0001728E">
              <w:rPr>
                <w:rFonts w:ascii="Palatino Linotype" w:hAnsi="Palatino Linotype" w:cs="Calibri"/>
                <w:bCs/>
                <w:sz w:val="24"/>
                <w:szCs w:val="24"/>
              </w:rPr>
              <w:t>nell'ordinamento statale</w:t>
            </w:r>
            <w:r w:rsidR="007C1A6E">
              <w:rPr>
                <w:rFonts w:ascii="Palatino Linotype" w:hAnsi="Palatino Linotype" w:cs="Calibri"/>
                <w:bCs/>
                <w:sz w:val="24"/>
                <w:szCs w:val="24"/>
              </w:rPr>
              <w:t>.</w:t>
            </w:r>
            <w:r w:rsidR="007C1A6E" w:rsidRPr="007C1A6E">
              <w:rPr>
                <w:rFonts w:ascii="Palatino Linotype" w:hAnsi="Palatino Linotype" w:cs="Calibri"/>
                <w:bCs/>
                <w:sz w:val="24"/>
                <w:szCs w:val="24"/>
              </w:rPr>
              <w:t xml:space="preserve"> </w:t>
            </w:r>
          </w:p>
          <w:p w:rsidR="007C1A6E" w:rsidRDefault="00842A59" w:rsidP="007C1A6E">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Chiariscono le Sezioni unite</w:t>
            </w:r>
            <w:r w:rsidR="007C1A6E">
              <w:rPr>
                <w:rFonts w:ascii="Palatino Linotype" w:hAnsi="Palatino Linotype" w:cs="Calibri"/>
                <w:bCs/>
                <w:sz w:val="24"/>
                <w:szCs w:val="24"/>
              </w:rPr>
              <w:t xml:space="preserve"> che </w:t>
            </w:r>
            <w:r w:rsidR="007C1A6E" w:rsidRPr="007C1A6E">
              <w:rPr>
                <w:rFonts w:ascii="Palatino Linotype" w:hAnsi="Palatino Linotype" w:cs="Calibri"/>
                <w:bCs/>
                <w:sz w:val="24"/>
                <w:szCs w:val="24"/>
              </w:rPr>
              <w:t>stabilire cosa ed in qual modo sia giustiziabile innanzi</w:t>
            </w:r>
            <w:r w:rsidR="007C1A6E">
              <w:rPr>
                <w:rFonts w:ascii="Palatino Linotype" w:hAnsi="Palatino Linotype" w:cs="Calibri"/>
                <w:bCs/>
                <w:sz w:val="24"/>
                <w:szCs w:val="24"/>
              </w:rPr>
              <w:t xml:space="preserve"> al </w:t>
            </w:r>
            <w:r w:rsidR="007C1A6E" w:rsidRPr="007C1A6E">
              <w:rPr>
                <w:rFonts w:ascii="Palatino Linotype" w:hAnsi="Palatino Linotype" w:cs="Calibri"/>
                <w:bCs/>
                <w:sz w:val="24"/>
                <w:szCs w:val="24"/>
              </w:rPr>
              <w:t>plesso giuri</w:t>
            </w:r>
            <w:r w:rsidR="007C1A6E">
              <w:rPr>
                <w:rFonts w:ascii="Palatino Linotype" w:hAnsi="Palatino Linotype" w:cs="Calibri"/>
                <w:bCs/>
                <w:sz w:val="24"/>
                <w:szCs w:val="24"/>
              </w:rPr>
              <w:t xml:space="preserve">sdizionale amministrativo - dotato di residuale </w:t>
            </w:r>
            <w:r w:rsidR="007C1A6E" w:rsidRPr="007C1A6E">
              <w:rPr>
                <w:rFonts w:ascii="Palatino Linotype" w:hAnsi="Palatino Linotype" w:cs="Calibri"/>
                <w:bCs/>
                <w:sz w:val="24"/>
                <w:szCs w:val="24"/>
              </w:rPr>
              <w:t>giurisdizione esclusiva, alla stregua dell'art.</w:t>
            </w:r>
            <w:r w:rsidR="007C1A6E">
              <w:rPr>
                <w:rFonts w:ascii="Palatino Linotype" w:hAnsi="Palatino Linotype" w:cs="Calibri"/>
                <w:bCs/>
                <w:sz w:val="24"/>
                <w:szCs w:val="24"/>
              </w:rPr>
              <w:t xml:space="preserve"> </w:t>
            </w:r>
            <w:r w:rsidR="007C1A6E" w:rsidRPr="007C1A6E">
              <w:rPr>
                <w:rFonts w:ascii="Palatino Linotype" w:hAnsi="Palatino Linotype" w:cs="Calibri"/>
                <w:bCs/>
                <w:sz w:val="24"/>
                <w:szCs w:val="24"/>
              </w:rPr>
              <w:t xml:space="preserve">3 del </w:t>
            </w:r>
            <w:proofErr w:type="spellStart"/>
            <w:r w:rsidR="007C1A6E" w:rsidRPr="007C1A6E">
              <w:rPr>
                <w:rFonts w:ascii="Palatino Linotype" w:hAnsi="Palatino Linotype" w:cs="Calibri"/>
                <w:bCs/>
                <w:sz w:val="24"/>
                <w:szCs w:val="24"/>
              </w:rPr>
              <w:t>d.l.</w:t>
            </w:r>
            <w:proofErr w:type="spellEnd"/>
            <w:r w:rsidR="007C1A6E" w:rsidRPr="007C1A6E">
              <w:rPr>
                <w:rFonts w:ascii="Palatino Linotype" w:hAnsi="Palatino Linotype" w:cs="Calibri"/>
                <w:bCs/>
                <w:sz w:val="24"/>
                <w:szCs w:val="24"/>
              </w:rPr>
              <w:t xml:space="preserve"> n.</w:t>
            </w:r>
            <w:r w:rsidR="007C1A6E">
              <w:rPr>
                <w:rFonts w:ascii="Palatino Linotype" w:hAnsi="Palatino Linotype" w:cs="Calibri"/>
                <w:bCs/>
                <w:sz w:val="24"/>
                <w:szCs w:val="24"/>
              </w:rPr>
              <w:t xml:space="preserve"> 220/2003 - </w:t>
            </w:r>
            <w:r w:rsidR="007C1A6E" w:rsidRPr="007C1A6E">
              <w:rPr>
                <w:rFonts w:ascii="Palatino Linotype" w:hAnsi="Palatino Linotype" w:cs="Calibri"/>
                <w:bCs/>
                <w:sz w:val="24"/>
                <w:szCs w:val="24"/>
              </w:rPr>
              <w:t>rispetto al contenzioso in materia disci</w:t>
            </w:r>
            <w:r w:rsidR="00D37889">
              <w:rPr>
                <w:rFonts w:ascii="Palatino Linotype" w:hAnsi="Palatino Linotype" w:cs="Calibri"/>
                <w:bCs/>
                <w:sz w:val="24"/>
                <w:szCs w:val="24"/>
              </w:rPr>
              <w:t>plinare sportiva non spetta</w:t>
            </w:r>
            <w:r w:rsidR="007C1A6E">
              <w:rPr>
                <w:rFonts w:ascii="Palatino Linotype" w:hAnsi="Palatino Linotype" w:cs="Calibri"/>
                <w:bCs/>
                <w:sz w:val="24"/>
                <w:szCs w:val="24"/>
              </w:rPr>
              <w:t xml:space="preserve"> </w:t>
            </w:r>
            <w:r w:rsidR="002B1205">
              <w:rPr>
                <w:rFonts w:ascii="Palatino Linotype" w:hAnsi="Palatino Linotype" w:cs="Calibri"/>
                <w:bCs/>
                <w:sz w:val="24"/>
                <w:szCs w:val="24"/>
              </w:rPr>
              <w:t>alle Sezioni u</w:t>
            </w:r>
            <w:r w:rsidR="007C1A6E" w:rsidRPr="007C1A6E">
              <w:rPr>
                <w:rFonts w:ascii="Palatino Linotype" w:hAnsi="Palatino Linotype" w:cs="Calibri"/>
                <w:bCs/>
                <w:sz w:val="24"/>
                <w:szCs w:val="24"/>
              </w:rPr>
              <w:t>nite</w:t>
            </w:r>
            <w:r w:rsidR="002B1205">
              <w:rPr>
                <w:rFonts w:ascii="Palatino Linotype" w:hAnsi="Palatino Linotype" w:cs="Calibri"/>
                <w:bCs/>
                <w:sz w:val="24"/>
                <w:szCs w:val="24"/>
              </w:rPr>
              <w:t>,</w:t>
            </w:r>
            <w:r w:rsidR="007C1A6E" w:rsidRPr="007C1A6E">
              <w:rPr>
                <w:rFonts w:ascii="Palatino Linotype" w:hAnsi="Palatino Linotype" w:cs="Calibri"/>
                <w:bCs/>
                <w:sz w:val="24"/>
                <w:szCs w:val="24"/>
              </w:rPr>
              <w:t xml:space="preserve"> in relazione al mo</w:t>
            </w:r>
            <w:r w:rsidR="002B1205">
              <w:rPr>
                <w:rFonts w:ascii="Palatino Linotype" w:hAnsi="Palatino Linotype" w:cs="Calibri"/>
                <w:bCs/>
                <w:sz w:val="24"/>
                <w:szCs w:val="24"/>
              </w:rPr>
              <w:t xml:space="preserve">tivo di ricorso </w:t>
            </w:r>
            <w:r w:rsidR="007C1A6E">
              <w:rPr>
                <w:rFonts w:ascii="Palatino Linotype" w:hAnsi="Palatino Linotype" w:cs="Calibri"/>
                <w:bCs/>
                <w:sz w:val="24"/>
                <w:szCs w:val="24"/>
              </w:rPr>
              <w:t>di cui all'art.</w:t>
            </w:r>
            <w:r w:rsidR="00C272F3">
              <w:rPr>
                <w:rFonts w:ascii="Palatino Linotype" w:hAnsi="Palatino Linotype" w:cs="Calibri"/>
                <w:bCs/>
                <w:sz w:val="24"/>
                <w:szCs w:val="24"/>
              </w:rPr>
              <w:t xml:space="preserve"> </w:t>
            </w:r>
            <w:r w:rsidR="007C1A6E">
              <w:rPr>
                <w:rFonts w:ascii="Palatino Linotype" w:hAnsi="Palatino Linotype" w:cs="Calibri"/>
                <w:bCs/>
                <w:sz w:val="24"/>
                <w:szCs w:val="24"/>
              </w:rPr>
              <w:t xml:space="preserve">111 comma 8 </w:t>
            </w:r>
            <w:proofErr w:type="gramStart"/>
            <w:r w:rsidR="007C1A6E" w:rsidRPr="007C1A6E">
              <w:rPr>
                <w:rFonts w:ascii="Palatino Linotype" w:hAnsi="Palatino Linotype" w:cs="Calibri"/>
                <w:bCs/>
                <w:sz w:val="24"/>
                <w:szCs w:val="24"/>
              </w:rPr>
              <w:t>Cost.,</w:t>
            </w:r>
            <w:proofErr w:type="gramEnd"/>
            <w:r w:rsidR="007C1A6E" w:rsidRPr="007C1A6E">
              <w:rPr>
                <w:rFonts w:ascii="Palatino Linotype" w:hAnsi="Palatino Linotype" w:cs="Calibri"/>
                <w:bCs/>
                <w:sz w:val="24"/>
                <w:szCs w:val="24"/>
              </w:rPr>
              <w:t xml:space="preserve"> ma è riservato a</w:t>
            </w:r>
            <w:r w:rsidR="00D37889">
              <w:rPr>
                <w:rFonts w:ascii="Palatino Linotype" w:hAnsi="Palatino Linotype" w:cs="Calibri"/>
                <w:bCs/>
                <w:sz w:val="24"/>
                <w:szCs w:val="24"/>
              </w:rPr>
              <w:t xml:space="preserve">lla cognizione del </w:t>
            </w:r>
            <w:r w:rsidR="007C1A6E" w:rsidRPr="007C1A6E">
              <w:rPr>
                <w:rFonts w:ascii="Palatino Linotype" w:hAnsi="Palatino Linotype" w:cs="Calibri"/>
                <w:bCs/>
                <w:sz w:val="24"/>
                <w:szCs w:val="24"/>
              </w:rPr>
              <w:t>giudice</w:t>
            </w:r>
            <w:r w:rsidR="00D37889">
              <w:rPr>
                <w:rFonts w:ascii="Palatino Linotype" w:hAnsi="Palatino Linotype" w:cs="Calibri"/>
                <w:bCs/>
                <w:sz w:val="24"/>
                <w:szCs w:val="24"/>
              </w:rPr>
              <w:t xml:space="preserve"> amministrativo</w:t>
            </w:r>
            <w:r w:rsidR="007C1A6E" w:rsidRPr="007C1A6E">
              <w:rPr>
                <w:rFonts w:ascii="Palatino Linotype" w:hAnsi="Palatino Linotype" w:cs="Calibri"/>
                <w:bCs/>
                <w:sz w:val="24"/>
                <w:szCs w:val="24"/>
              </w:rPr>
              <w:t>.</w:t>
            </w:r>
          </w:p>
          <w:p w:rsidR="002F235F" w:rsidRDefault="00B97694" w:rsidP="007C1A6E">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Alle Sezioni unite non compete</w:t>
            </w:r>
            <w:r w:rsidR="002F235F">
              <w:rPr>
                <w:rFonts w:ascii="Palatino Linotype" w:hAnsi="Palatino Linotype" w:cs="Calibri"/>
                <w:bCs/>
                <w:sz w:val="24"/>
                <w:szCs w:val="24"/>
              </w:rPr>
              <w:t xml:space="preserve"> infatti sindacare il modo di esercizio della funzione giurisdizionale cui attengono gli </w:t>
            </w:r>
            <w:proofErr w:type="spellStart"/>
            <w:r w:rsidR="002F235F" w:rsidRPr="002F235F">
              <w:rPr>
                <w:rFonts w:ascii="Palatino Linotype" w:hAnsi="Palatino Linotype" w:cs="Calibri"/>
                <w:bCs/>
                <w:i/>
                <w:sz w:val="24"/>
                <w:szCs w:val="24"/>
              </w:rPr>
              <w:t>errores</w:t>
            </w:r>
            <w:proofErr w:type="spellEnd"/>
            <w:r w:rsidR="002F235F" w:rsidRPr="002F235F">
              <w:rPr>
                <w:rFonts w:ascii="Palatino Linotype" w:hAnsi="Palatino Linotype" w:cs="Calibri"/>
                <w:bCs/>
                <w:i/>
                <w:sz w:val="24"/>
                <w:szCs w:val="24"/>
              </w:rPr>
              <w:t xml:space="preserve"> in procedendo</w:t>
            </w:r>
            <w:r w:rsidR="002F235F">
              <w:rPr>
                <w:rFonts w:ascii="Palatino Linotype" w:hAnsi="Palatino Linotype" w:cs="Calibri"/>
                <w:bCs/>
                <w:sz w:val="24"/>
                <w:szCs w:val="24"/>
              </w:rPr>
              <w:t xml:space="preserve"> ed </w:t>
            </w:r>
            <w:r w:rsidR="002F235F" w:rsidRPr="002F235F">
              <w:rPr>
                <w:rFonts w:ascii="Palatino Linotype" w:hAnsi="Palatino Linotype" w:cs="Calibri"/>
                <w:bCs/>
                <w:i/>
                <w:sz w:val="24"/>
                <w:szCs w:val="24"/>
              </w:rPr>
              <w:t>in iudicando</w:t>
            </w:r>
            <w:r w:rsidR="002F235F">
              <w:rPr>
                <w:rFonts w:ascii="Palatino Linotype" w:hAnsi="Palatino Linotype" w:cs="Calibri"/>
                <w:bCs/>
                <w:sz w:val="24"/>
                <w:szCs w:val="24"/>
              </w:rPr>
              <w:t xml:space="preserve"> che investono invece la fondatezza o meno della domanda.</w:t>
            </w:r>
          </w:p>
          <w:p w:rsidR="00B10AA7" w:rsidRDefault="00B10AA7" w:rsidP="007C1A6E">
            <w:pPr>
              <w:autoSpaceDE w:val="0"/>
              <w:autoSpaceDN w:val="0"/>
              <w:adjustRightInd w:val="0"/>
              <w:spacing w:after="0" w:line="240" w:lineRule="auto"/>
              <w:jc w:val="both"/>
              <w:rPr>
                <w:rFonts w:ascii="Palatino Linotype" w:hAnsi="Palatino Linotype" w:cs="Calibri"/>
                <w:bCs/>
                <w:sz w:val="24"/>
                <w:szCs w:val="24"/>
              </w:rPr>
            </w:pPr>
          </w:p>
          <w:p w:rsidR="00D37889" w:rsidRPr="00D61F81" w:rsidRDefault="00D37889" w:rsidP="007C1A6E">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Le Sezioni unite prendono dunque atto dell’orientamento interpretativo restrittivo di recente espresso sulla nozione </w:t>
            </w:r>
            <w:r w:rsidR="00BF75C7" w:rsidRPr="00BF75C7">
              <w:rPr>
                <w:rFonts w:ascii="Palatino Linotype" w:hAnsi="Palatino Linotype" w:cs="Calibri"/>
                <w:bCs/>
                <w:sz w:val="24"/>
                <w:szCs w:val="24"/>
              </w:rPr>
              <w:t>di “</w:t>
            </w:r>
            <w:r w:rsidR="00BF75C7" w:rsidRPr="00B10AA7">
              <w:rPr>
                <w:rFonts w:ascii="Palatino Linotype" w:hAnsi="Palatino Linotype" w:cs="Calibri"/>
                <w:bCs/>
                <w:i/>
                <w:sz w:val="24"/>
                <w:szCs w:val="24"/>
              </w:rPr>
              <w:t>motivi inerenti alla giurisdizione</w:t>
            </w:r>
            <w:r w:rsidR="00BF75C7" w:rsidRPr="00BF75C7">
              <w:rPr>
                <w:rFonts w:ascii="Palatino Linotype" w:hAnsi="Palatino Linotype" w:cs="Calibri"/>
                <w:bCs/>
                <w:sz w:val="24"/>
                <w:szCs w:val="24"/>
              </w:rPr>
              <w:t xml:space="preserve">” </w:t>
            </w:r>
            <w:r w:rsidR="00BC18CF">
              <w:rPr>
                <w:rFonts w:ascii="Palatino Linotype" w:hAnsi="Palatino Linotype" w:cs="Calibri"/>
                <w:bCs/>
                <w:sz w:val="24"/>
                <w:szCs w:val="24"/>
              </w:rPr>
              <w:t xml:space="preserve">- </w:t>
            </w:r>
            <w:r w:rsidR="00BF75C7" w:rsidRPr="00BF75C7">
              <w:rPr>
                <w:rFonts w:ascii="Palatino Linotype" w:hAnsi="Palatino Linotype" w:cs="Calibri"/>
                <w:bCs/>
                <w:sz w:val="24"/>
                <w:szCs w:val="24"/>
              </w:rPr>
              <w:t>di cui all’art. 111, comma 8, Cost., quale presupposto per la sindacabilità in Cassazione delle d</w:t>
            </w:r>
            <w:r w:rsidR="00BF75C7">
              <w:rPr>
                <w:rFonts w:ascii="Palatino Linotype" w:hAnsi="Palatino Linotype" w:cs="Calibri"/>
                <w:bCs/>
                <w:sz w:val="24"/>
                <w:szCs w:val="24"/>
              </w:rPr>
              <w:t xml:space="preserve">ecisioni del Consiglio di Stato </w:t>
            </w:r>
            <w:r w:rsidR="00BC18CF">
              <w:rPr>
                <w:rFonts w:ascii="Palatino Linotype" w:hAnsi="Palatino Linotype" w:cs="Calibri"/>
                <w:bCs/>
                <w:sz w:val="24"/>
                <w:szCs w:val="24"/>
              </w:rPr>
              <w:t xml:space="preserve">- </w:t>
            </w:r>
            <w:r w:rsidR="00BF75C7">
              <w:rPr>
                <w:rFonts w:ascii="Palatino Linotype" w:hAnsi="Palatino Linotype" w:cs="Calibri"/>
                <w:bCs/>
                <w:sz w:val="24"/>
                <w:szCs w:val="24"/>
              </w:rPr>
              <w:t>espresso da Corte cost., 18 gennaio 2018, n. 6</w:t>
            </w:r>
            <w:r w:rsidR="00B10AA7">
              <w:rPr>
                <w:rFonts w:ascii="Palatino Linotype" w:hAnsi="Palatino Linotype" w:cs="Calibri"/>
                <w:bCs/>
                <w:sz w:val="24"/>
                <w:szCs w:val="24"/>
              </w:rPr>
              <w:t>,</w:t>
            </w:r>
            <w:r w:rsidR="00BF75C7">
              <w:rPr>
                <w:rFonts w:ascii="Palatino Linotype" w:hAnsi="Palatino Linotype" w:cs="Calibri"/>
                <w:bCs/>
                <w:sz w:val="24"/>
                <w:szCs w:val="24"/>
              </w:rPr>
              <w:t xml:space="preserve"> </w:t>
            </w:r>
            <w:r w:rsidR="00BC18CF" w:rsidRPr="00BC18CF">
              <w:rPr>
                <w:rFonts w:ascii="Palatino Linotype" w:hAnsi="Palatino Linotype" w:cs="Calibri"/>
                <w:bCs/>
                <w:sz w:val="24"/>
                <w:szCs w:val="24"/>
              </w:rPr>
              <w:t xml:space="preserve">(non richiamata dalla sentenza in rassegna) </w:t>
            </w:r>
            <w:r w:rsidR="00BF75C7">
              <w:rPr>
                <w:rFonts w:ascii="Palatino Linotype" w:hAnsi="Palatino Linotype" w:cs="Calibri"/>
                <w:bCs/>
                <w:sz w:val="24"/>
                <w:szCs w:val="24"/>
              </w:rPr>
              <w:t>oggetto della News US 30 gennaio 2018</w:t>
            </w:r>
            <w:r w:rsidR="00B10AA7">
              <w:rPr>
                <w:rFonts w:ascii="Palatino Linotype" w:hAnsi="Palatino Linotype" w:cs="Calibri"/>
                <w:bCs/>
                <w:sz w:val="24"/>
                <w:szCs w:val="24"/>
              </w:rPr>
              <w:t xml:space="preserve"> </w:t>
            </w:r>
            <w:r w:rsidR="00BF75C7">
              <w:rPr>
                <w:rFonts w:ascii="Palatino Linotype" w:hAnsi="Palatino Linotype" w:cs="Calibri"/>
                <w:bCs/>
                <w:sz w:val="24"/>
                <w:szCs w:val="24"/>
              </w:rPr>
              <w:t xml:space="preserve">che </w:t>
            </w:r>
            <w:r w:rsidR="00B10AA7">
              <w:rPr>
                <w:rFonts w:ascii="Palatino Linotype" w:hAnsi="Palatino Linotype" w:cs="Calibri"/>
                <w:bCs/>
                <w:sz w:val="24"/>
                <w:szCs w:val="24"/>
              </w:rPr>
              <w:t xml:space="preserve">ha </w:t>
            </w:r>
            <w:r w:rsidR="00BF75C7">
              <w:rPr>
                <w:rFonts w:ascii="Palatino Linotype" w:hAnsi="Palatino Linotype" w:cs="Calibri"/>
                <w:bCs/>
                <w:sz w:val="24"/>
                <w:szCs w:val="24"/>
              </w:rPr>
              <w:t>segna</w:t>
            </w:r>
            <w:r w:rsidR="00B10AA7">
              <w:rPr>
                <w:rFonts w:ascii="Palatino Linotype" w:hAnsi="Palatino Linotype" w:cs="Calibri"/>
                <w:bCs/>
                <w:sz w:val="24"/>
                <w:szCs w:val="24"/>
              </w:rPr>
              <w:t>to</w:t>
            </w:r>
            <w:r w:rsidR="00BF75C7">
              <w:rPr>
                <w:rFonts w:ascii="Palatino Linotype" w:hAnsi="Palatino Linotype" w:cs="Calibri"/>
                <w:bCs/>
                <w:sz w:val="24"/>
                <w:szCs w:val="24"/>
              </w:rPr>
              <w:t xml:space="preserve"> il superamento dell</w:t>
            </w:r>
            <w:r w:rsidR="00B10AA7">
              <w:rPr>
                <w:rFonts w:ascii="Palatino Linotype" w:hAnsi="Palatino Linotype" w:cs="Calibri"/>
                <w:bCs/>
                <w:sz w:val="24"/>
                <w:szCs w:val="24"/>
              </w:rPr>
              <w:t xml:space="preserve">’orientamento interpretativo estensivo sugellato da Cass. </w:t>
            </w:r>
            <w:proofErr w:type="gramStart"/>
            <w:r w:rsidR="00B10AA7">
              <w:rPr>
                <w:rFonts w:ascii="Palatino Linotype" w:hAnsi="Palatino Linotype" w:cs="Calibri"/>
                <w:bCs/>
                <w:sz w:val="24"/>
                <w:szCs w:val="24"/>
              </w:rPr>
              <w:t>civ.,</w:t>
            </w:r>
            <w:proofErr w:type="gramEnd"/>
            <w:r w:rsidR="00B10AA7">
              <w:rPr>
                <w:rFonts w:ascii="Palatino Linotype" w:hAnsi="Palatino Linotype" w:cs="Calibri"/>
                <w:bCs/>
                <w:sz w:val="24"/>
                <w:szCs w:val="24"/>
              </w:rPr>
              <w:t xml:space="preserve"> sez. un., 29 dicembre 2017, n. 31226</w:t>
            </w:r>
            <w:r w:rsidR="00B10AA7" w:rsidRPr="00B10AA7">
              <w:rPr>
                <w:rFonts w:ascii="Palatino Linotype" w:hAnsi="Palatino Linotype"/>
              </w:rPr>
              <w:t xml:space="preserve"> oggetto della </w:t>
            </w:r>
            <w:hyperlink r:id="rId17" w:history="1">
              <w:r w:rsidR="00B10AA7" w:rsidRPr="00B10AA7">
                <w:rPr>
                  <w:rFonts w:ascii="Palatino Linotype" w:hAnsi="Palatino Linotype"/>
                  <w:color w:val="6666CC"/>
                  <w:u w:val="single"/>
                </w:rPr>
                <w:t>News US in data 11 gennaio 2018</w:t>
              </w:r>
            </w:hyperlink>
            <w:r w:rsidR="00B10AA7" w:rsidRPr="00B10AA7">
              <w:rPr>
                <w:rFonts w:ascii="Palatino Linotype" w:hAnsi="Palatino Linotype"/>
              </w:rPr>
              <w:t xml:space="preserve">, </w:t>
            </w:r>
            <w:r w:rsidR="00B10AA7" w:rsidRPr="00B10AA7">
              <w:rPr>
                <w:rFonts w:ascii="Palatino Linotype" w:hAnsi="Palatino Linotype" w:cs="Calibri"/>
                <w:bCs/>
                <w:sz w:val="24"/>
                <w:szCs w:val="24"/>
              </w:rPr>
              <w:t>cui si rinvia per la completa analisi ivi contenuta circa il percorso sistematico e argomentativo che ha caratterizzato la questione</w:t>
            </w:r>
            <w:r w:rsidR="00B10AA7">
              <w:rPr>
                <w:rFonts w:ascii="Palatino Linotype" w:hAnsi="Palatino Linotype"/>
              </w:rPr>
              <w:t>.</w:t>
            </w:r>
          </w:p>
          <w:p w:rsidR="006B3165" w:rsidRDefault="006B3165" w:rsidP="009633C4">
            <w:pPr>
              <w:spacing w:after="0" w:line="276" w:lineRule="auto"/>
              <w:jc w:val="both"/>
              <w:rPr>
                <w:rFonts w:ascii="Palatino Linotype" w:eastAsia="Calibri" w:hAnsi="Palatino Linotype" w:cs="Times New Roman"/>
                <w:sz w:val="24"/>
                <w:szCs w:val="24"/>
              </w:rPr>
            </w:pPr>
          </w:p>
          <w:p w:rsidR="00DB7EC9" w:rsidRPr="006B1656" w:rsidRDefault="00DB7EC9" w:rsidP="00DB7EC9">
            <w:pPr>
              <w:shd w:val="clear" w:color="auto" w:fill="FFFFFF"/>
              <w:spacing w:after="0" w:line="276"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la sentenza</w:t>
            </w:r>
            <w:r w:rsidRPr="005D3CFD">
              <w:rPr>
                <w:rFonts w:ascii="Palatino Linotype" w:eastAsia="Calibri" w:hAnsi="Palatino Linotype" w:cs="Times New Roman"/>
                <w:b/>
                <w:bCs/>
                <w:color w:val="993300"/>
                <w:sz w:val="24"/>
                <w:szCs w:val="24"/>
              </w:rPr>
              <w:t xml:space="preserve"> sarà oggetto di trattazione in apposita News a cura dell’Ufficio Studi Massimario e Formazione.</w:t>
            </w:r>
          </w:p>
          <w:p w:rsidR="00DB7EC9" w:rsidRDefault="00DB7EC9" w:rsidP="009633C4">
            <w:pPr>
              <w:spacing w:after="0" w:line="276" w:lineRule="auto"/>
              <w:jc w:val="both"/>
              <w:rPr>
                <w:rFonts w:ascii="Palatino Linotype" w:eastAsia="Calibri" w:hAnsi="Palatino Linotype" w:cs="Times New Roman"/>
                <w:sz w:val="24"/>
                <w:szCs w:val="24"/>
              </w:rPr>
            </w:pPr>
          </w:p>
        </w:tc>
      </w:tr>
    </w:tbl>
    <w:p w:rsidR="006B3165" w:rsidRDefault="006B3165" w:rsidP="009633C4">
      <w:pPr>
        <w:spacing w:after="0" w:line="276" w:lineRule="auto"/>
        <w:jc w:val="both"/>
        <w:rPr>
          <w:rFonts w:ascii="Palatino Linotype" w:eastAsia="Calibri" w:hAnsi="Palatino Linotype" w:cs="Times New Roman"/>
          <w:sz w:val="24"/>
          <w:szCs w:val="24"/>
        </w:rPr>
      </w:pPr>
    </w:p>
    <w:p w:rsidR="006B3165" w:rsidRDefault="006B3165" w:rsidP="009633C4">
      <w:pPr>
        <w:spacing w:after="0" w:line="276" w:lineRule="auto"/>
        <w:jc w:val="both"/>
        <w:rPr>
          <w:rFonts w:ascii="Palatino Linotype" w:eastAsia="Calibri" w:hAnsi="Palatino Linotype" w:cs="Times New Roman"/>
          <w:sz w:val="24"/>
          <w:szCs w:val="24"/>
        </w:rPr>
      </w:pPr>
    </w:p>
    <w:tbl>
      <w:tblPr>
        <w:tblW w:w="9639" w:type="dxa"/>
        <w:jc w:val="center"/>
        <w:tblCellMar>
          <w:left w:w="85" w:type="dxa"/>
          <w:right w:w="85" w:type="dxa"/>
        </w:tblCellMar>
        <w:tblLook w:val="04A0" w:firstRow="1" w:lastRow="0" w:firstColumn="1" w:lastColumn="0" w:noHBand="0" w:noVBand="1"/>
      </w:tblPr>
      <w:tblGrid>
        <w:gridCol w:w="9639"/>
      </w:tblGrid>
      <w:tr w:rsidR="005D3CFD" w:rsidRPr="005D3CFD" w:rsidTr="007424F4">
        <w:trPr>
          <w:jc w:val="center"/>
        </w:trPr>
        <w:tc>
          <w:tcPr>
            <w:tcW w:w="963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5D3CFD" w:rsidRPr="005D3CFD" w:rsidRDefault="005D3CFD" w:rsidP="009633C4">
            <w:pPr>
              <w:spacing w:after="0" w:line="276" w:lineRule="auto"/>
              <w:jc w:val="center"/>
              <w:rPr>
                <w:rFonts w:ascii="Calibri Light" w:eastAsia="Calibri" w:hAnsi="Calibri Light" w:cs="Times New Roman"/>
                <w:color w:val="2E74B5"/>
                <w:sz w:val="32"/>
                <w:szCs w:val="32"/>
              </w:rPr>
            </w:pPr>
            <w:r w:rsidRPr="005D3CFD">
              <w:rPr>
                <w:rFonts w:ascii="Palatino Linotype" w:eastAsia="Calibri" w:hAnsi="Palatino Linotype" w:cs="Times New Roman"/>
                <w:color w:val="2E74B5"/>
                <w:sz w:val="32"/>
                <w:szCs w:val="32"/>
              </w:rPr>
              <w:t>Consiglio di Stato, Consiglio di giustizia amministrativa per la Regione siciliana e Tribunali Amministrativi Regionali</w:t>
            </w:r>
          </w:p>
          <w:p w:rsidR="005D3CFD" w:rsidRPr="005D3CFD" w:rsidRDefault="005D3CFD" w:rsidP="009633C4">
            <w:pPr>
              <w:spacing w:after="0" w:line="276" w:lineRule="auto"/>
              <w:rPr>
                <w:rFonts w:ascii="Palatino Linotype" w:eastAsia="Calibri" w:hAnsi="Palatino Linotype" w:cs="Times New Roman"/>
                <w:color w:val="833C0B"/>
              </w:rPr>
            </w:pPr>
          </w:p>
          <w:p w:rsidR="005D3CFD" w:rsidRDefault="005D3CFD" w:rsidP="009633C4">
            <w:pPr>
              <w:spacing w:after="0" w:line="276" w:lineRule="auto"/>
              <w:jc w:val="both"/>
              <w:rPr>
                <w:rFonts w:ascii="Palatino Linotype" w:eastAsia="Calibri" w:hAnsi="Palatino Linotype" w:cs="Times New Roman"/>
                <w:b/>
                <w:bCs/>
                <w:color w:val="833C0B"/>
              </w:rPr>
            </w:pPr>
            <w:r w:rsidRPr="005D3CFD">
              <w:rPr>
                <w:rFonts w:ascii="Palatino Linotype" w:eastAsia="Calibri" w:hAnsi="Palatino Linotype" w:cs="Times New Roman"/>
                <w:b/>
                <w:bCs/>
                <w:color w:val="833C0B"/>
              </w:rPr>
              <w:t>Le massime e le relative appendici, a cura del Cons. Giulia Ferrari, possono consultarsi nella Sezione “</w:t>
            </w:r>
            <w:hyperlink r:id="rId18" w:history="1">
              <w:r w:rsidRPr="005D3CFD">
                <w:rPr>
                  <w:rFonts w:ascii="Palatino Linotype" w:eastAsia="Calibri" w:hAnsi="Palatino Linotype" w:cs="Times New Roman"/>
                  <w:b/>
                  <w:bCs/>
                  <w:color w:val="833C0B"/>
                  <w:u w:val="single"/>
                </w:rPr>
                <w:t>In evidenza</w:t>
              </w:r>
            </w:hyperlink>
            <w:r w:rsidRPr="005D3CFD">
              <w:rPr>
                <w:rFonts w:ascii="Palatino Linotype" w:eastAsia="Calibri" w:hAnsi="Palatino Linotype" w:cs="Times New Roman"/>
                <w:b/>
                <w:bCs/>
                <w:color w:val="833C0B"/>
              </w:rPr>
              <w:t>” della Home page del sito istituzionale</w:t>
            </w:r>
            <w:r w:rsidR="00B80232">
              <w:rPr>
                <w:rFonts w:ascii="Palatino Linotype" w:eastAsia="Calibri" w:hAnsi="Palatino Linotype" w:cs="Times New Roman"/>
                <w:b/>
                <w:bCs/>
                <w:color w:val="833C0B"/>
              </w:rPr>
              <w:t>.</w:t>
            </w:r>
          </w:p>
          <w:p w:rsidR="002B1205" w:rsidRPr="005D3CFD" w:rsidRDefault="002B1205" w:rsidP="009633C4">
            <w:pPr>
              <w:spacing w:after="0" w:line="276" w:lineRule="auto"/>
              <w:jc w:val="both"/>
              <w:rPr>
                <w:rFonts w:ascii="Palatino Linotype" w:eastAsia="Calibri" w:hAnsi="Palatino Linotype" w:cs="Times New Roman"/>
                <w:b/>
                <w:bCs/>
                <w:color w:val="833C0B"/>
              </w:rPr>
            </w:pPr>
          </w:p>
          <w:p w:rsidR="00EF3813" w:rsidRDefault="00636BEE" w:rsidP="009633C4">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w:t>
            </w:r>
            <w:r w:rsidR="008D5CDD">
              <w:rPr>
                <w:rFonts w:ascii="Palatino Linotype" w:eastAsia="Calibri" w:hAnsi="Palatino Linotype" w:cs="Times New Roman"/>
                <w:color w:val="4472C4"/>
                <w:sz w:val="32"/>
                <w:szCs w:val="32"/>
              </w:rPr>
              <w:t>10</w:t>
            </w:r>
            <w:r w:rsidR="00EF3813" w:rsidRPr="00EF3813">
              <w:rPr>
                <w:rFonts w:ascii="Palatino Linotype" w:eastAsia="Calibri" w:hAnsi="Palatino Linotype" w:cs="Times New Roman"/>
                <w:color w:val="4472C4"/>
                <w:sz w:val="32"/>
                <w:szCs w:val="32"/>
              </w:rPr>
              <w:t>)</w:t>
            </w:r>
          </w:p>
          <w:p w:rsidR="002B1205" w:rsidRPr="003074F5" w:rsidRDefault="002B1205" w:rsidP="009633C4">
            <w:pPr>
              <w:autoSpaceDE w:val="0"/>
              <w:autoSpaceDN w:val="0"/>
              <w:spacing w:after="0" w:line="276" w:lineRule="auto"/>
              <w:jc w:val="center"/>
              <w:rPr>
                <w:rFonts w:ascii="Palatino Linotype" w:eastAsia="Calibri" w:hAnsi="Palatino Linotype" w:cs="Times New Roman"/>
                <w:color w:val="4472C4"/>
                <w:sz w:val="24"/>
                <w:szCs w:val="24"/>
              </w:rPr>
            </w:pPr>
          </w:p>
          <w:p w:rsidR="00636BEE" w:rsidRDefault="00DC3473" w:rsidP="00DC3473">
            <w:pPr>
              <w:autoSpaceDE w:val="0"/>
              <w:autoSpaceDN w:val="0"/>
              <w:spacing w:after="0" w:line="276" w:lineRule="auto"/>
              <w:jc w:val="both"/>
              <w:rPr>
                <w:rFonts w:ascii="Palatino Linotype" w:eastAsia="Calibri" w:hAnsi="Palatino Linotype" w:cs="Times New Roman"/>
                <w:color w:val="000000"/>
                <w:sz w:val="24"/>
                <w:szCs w:val="24"/>
                <w:shd w:val="clear" w:color="auto" w:fill="FFFFFF"/>
                <w:lang w:eastAsia="it-IT"/>
              </w:rPr>
            </w:pPr>
            <w:r>
              <w:rPr>
                <w:rFonts w:ascii="Palatino Linotype" w:eastAsia="Calibri" w:hAnsi="Palatino Linotype" w:cs="Times New Roman"/>
                <w:sz w:val="24"/>
                <w:szCs w:val="24"/>
              </w:rPr>
              <w:t xml:space="preserve">Il Consiglio di giustizia </w:t>
            </w:r>
            <w:r w:rsidR="004A7E5A">
              <w:rPr>
                <w:rFonts w:ascii="Palatino Linotype" w:eastAsia="Calibri" w:hAnsi="Palatino Linotype" w:cs="Times New Roman"/>
                <w:sz w:val="24"/>
                <w:szCs w:val="24"/>
              </w:rPr>
              <w:t xml:space="preserve">amministrativa </w:t>
            </w:r>
            <w:r>
              <w:rPr>
                <w:rFonts w:ascii="Palatino Linotype" w:eastAsia="Calibri" w:hAnsi="Palatino Linotype" w:cs="Times New Roman"/>
                <w:sz w:val="24"/>
                <w:szCs w:val="24"/>
              </w:rPr>
              <w:t>per la regione siciliana</w:t>
            </w:r>
            <w:r w:rsidRPr="00532BAD">
              <w:rPr>
                <w:rFonts w:ascii="Palatino Linotype" w:eastAsia="Calibri" w:hAnsi="Palatino Linotype" w:cs="Times New Roman"/>
                <w:color w:val="000000"/>
                <w:sz w:val="24"/>
                <w:szCs w:val="24"/>
                <w:shd w:val="clear" w:color="auto" w:fill="FFFFFF"/>
                <w:lang w:eastAsia="it-IT"/>
              </w:rPr>
              <w:t xml:space="preserve"> rimette all’Adunanza plenaria la questione della</w:t>
            </w:r>
            <w:r>
              <w:rPr>
                <w:rFonts w:ascii="Palatino Linotype" w:eastAsia="Calibri" w:hAnsi="Palatino Linotype" w:cs="Times New Roman"/>
                <w:color w:val="000000"/>
                <w:sz w:val="24"/>
                <w:szCs w:val="24"/>
                <w:shd w:val="clear" w:color="auto" w:fill="FFFFFF"/>
                <w:lang w:eastAsia="it-IT"/>
              </w:rPr>
              <w:t xml:space="preserve"> </w:t>
            </w:r>
            <w:r w:rsidRPr="00DC3473">
              <w:rPr>
                <w:rFonts w:ascii="Palatino Linotype" w:eastAsia="Calibri" w:hAnsi="Palatino Linotype" w:cs="Times New Roman"/>
                <w:color w:val="000000"/>
                <w:sz w:val="24"/>
                <w:szCs w:val="24"/>
                <w:shd w:val="clear" w:color="auto" w:fill="FFFFFF"/>
                <w:lang w:eastAsia="it-IT"/>
              </w:rPr>
              <w:t>composizione</w:t>
            </w:r>
            <w:r w:rsidR="001F78C2">
              <w:rPr>
                <w:rFonts w:ascii="Palatino Linotype" w:eastAsia="Calibri" w:hAnsi="Palatino Linotype" w:cs="Times New Roman"/>
                <w:color w:val="000000"/>
                <w:sz w:val="24"/>
                <w:szCs w:val="24"/>
                <w:shd w:val="clear" w:color="auto" w:fill="FFFFFF"/>
                <w:lang w:eastAsia="it-IT"/>
              </w:rPr>
              <w:t xml:space="preserve"> della commissione di esame di </w:t>
            </w:r>
            <w:r>
              <w:rPr>
                <w:rFonts w:ascii="Palatino Linotype" w:eastAsia="Calibri" w:hAnsi="Palatino Linotype" w:cs="Times New Roman"/>
                <w:color w:val="000000"/>
                <w:sz w:val="24"/>
                <w:szCs w:val="24"/>
                <w:shd w:val="clear" w:color="auto" w:fill="FFFFFF"/>
                <w:lang w:eastAsia="it-IT"/>
              </w:rPr>
              <w:t>avvocato.</w:t>
            </w:r>
          </w:p>
          <w:p w:rsidR="00DC3473" w:rsidRDefault="00DC3473" w:rsidP="00DC3473">
            <w:pPr>
              <w:autoSpaceDE w:val="0"/>
              <w:autoSpaceDN w:val="0"/>
              <w:spacing w:after="0" w:line="276" w:lineRule="auto"/>
              <w:jc w:val="both"/>
              <w:rPr>
                <w:rFonts w:ascii="Palatino Linotype" w:eastAsia="Calibri" w:hAnsi="Palatino Linotype" w:cs="Times New Roman"/>
                <w:color w:val="000000"/>
                <w:sz w:val="24"/>
                <w:szCs w:val="24"/>
                <w:shd w:val="clear" w:color="auto" w:fill="FFFFFF"/>
                <w:lang w:eastAsia="it-IT"/>
              </w:rPr>
            </w:pPr>
          </w:p>
          <w:p w:rsidR="00DC3473" w:rsidRPr="005E5413" w:rsidRDefault="005E5413" w:rsidP="00DC3473">
            <w:pPr>
              <w:autoSpaceDE w:val="0"/>
              <w:autoSpaceDN w:val="0"/>
              <w:spacing w:after="0" w:line="240" w:lineRule="auto"/>
              <w:jc w:val="both"/>
              <w:rPr>
                <w:rStyle w:val="Collegamentoipertestuale"/>
                <w:rFonts w:ascii="Palatino Linotype" w:eastAsia="Calibri" w:hAnsi="Palatino Linotype" w:cs="Times New Roman"/>
                <w:sz w:val="24"/>
                <w:szCs w:val="24"/>
              </w:rPr>
            </w:pPr>
            <w:r>
              <w:rPr>
                <w:rStyle w:val="Collegamentoipertestuale"/>
                <w:rFonts w:ascii="Palatino Linotype" w:eastAsia="Calibri" w:hAnsi="Palatino Linotype" w:cs="Times New Roman"/>
                <w:sz w:val="24"/>
                <w:szCs w:val="24"/>
              </w:rPr>
              <w:fldChar w:fldCharType="begin"/>
            </w:r>
            <w:r>
              <w:rPr>
                <w:rStyle w:val="Collegamentoipertestuale"/>
                <w:rFonts w:ascii="Palatino Linotype" w:eastAsia="Calibri" w:hAnsi="Palatino Linotype" w:cs="Times New Roman"/>
                <w:sz w:val="24"/>
                <w:szCs w:val="24"/>
              </w:rPr>
              <w:instrText xml:space="preserve"> HYPERLINK "https://www.giustizia-amministrativa.it/cdsintra/cdsintra/AmministrazionePortale/DocumentViewer/index.html?ddocname=G3WPNHC2MW6PH2TN7WBM66B5EI&amp;q=" </w:instrText>
            </w:r>
            <w:r>
              <w:rPr>
                <w:rStyle w:val="Collegamentoipertestuale"/>
                <w:rFonts w:ascii="Palatino Linotype" w:eastAsia="Calibri" w:hAnsi="Palatino Linotype" w:cs="Times New Roman"/>
                <w:sz w:val="24"/>
                <w:szCs w:val="24"/>
              </w:rPr>
              <w:fldChar w:fldCharType="separate"/>
            </w:r>
            <w:r w:rsidR="00DC3473" w:rsidRPr="005E5413">
              <w:rPr>
                <w:rStyle w:val="Collegamentoipertestuale"/>
                <w:rFonts w:ascii="Palatino Linotype" w:eastAsia="Calibri" w:hAnsi="Palatino Linotype" w:cs="Times New Roman"/>
                <w:sz w:val="24"/>
                <w:szCs w:val="24"/>
              </w:rPr>
              <w:t xml:space="preserve">Consiglio di giustizia amministrativa per la regione siciliana, ordinanza 14 novembre 2018, n. 717 – Pres. De </w:t>
            </w:r>
            <w:proofErr w:type="spellStart"/>
            <w:r w:rsidR="00DC3473" w:rsidRPr="005E5413">
              <w:rPr>
                <w:rStyle w:val="Collegamentoipertestuale"/>
                <w:rFonts w:ascii="Palatino Linotype" w:eastAsia="Calibri" w:hAnsi="Palatino Linotype" w:cs="Times New Roman"/>
                <w:sz w:val="24"/>
                <w:szCs w:val="24"/>
              </w:rPr>
              <w:t>Nictolis</w:t>
            </w:r>
            <w:proofErr w:type="spellEnd"/>
            <w:r w:rsidR="00DC3473" w:rsidRPr="005E5413">
              <w:rPr>
                <w:rStyle w:val="Collegamentoipertestuale"/>
                <w:rFonts w:ascii="Palatino Linotype" w:eastAsia="Calibri" w:hAnsi="Palatino Linotype" w:cs="Times New Roman"/>
                <w:sz w:val="24"/>
                <w:szCs w:val="24"/>
              </w:rPr>
              <w:t>, Est. Barone</w:t>
            </w:r>
          </w:p>
          <w:p w:rsidR="00DC3473" w:rsidRDefault="005E5413" w:rsidP="00DC3473">
            <w:pPr>
              <w:shd w:val="clear" w:color="auto" w:fill="FFFFFF"/>
              <w:spacing w:after="0" w:line="240" w:lineRule="auto"/>
              <w:jc w:val="both"/>
              <w:rPr>
                <w:rFonts w:ascii="Palatino Linotype" w:eastAsia="Calibri" w:hAnsi="Palatino Linotype" w:cs="Times New Roman"/>
                <w:color w:val="000000"/>
                <w:sz w:val="24"/>
                <w:szCs w:val="24"/>
                <w:shd w:val="clear" w:color="auto" w:fill="FFFFFF"/>
                <w:lang w:eastAsia="it-IT"/>
              </w:rPr>
            </w:pPr>
            <w:r>
              <w:rPr>
                <w:rStyle w:val="Collegamentoipertestuale"/>
                <w:rFonts w:ascii="Palatino Linotype" w:eastAsia="Calibri" w:hAnsi="Palatino Linotype" w:cs="Times New Roman"/>
                <w:sz w:val="24"/>
                <w:szCs w:val="24"/>
              </w:rPr>
              <w:fldChar w:fldCharType="end"/>
            </w:r>
          </w:p>
          <w:p w:rsidR="00DC3473" w:rsidRDefault="00DC3473" w:rsidP="00DC3473">
            <w:pPr>
              <w:shd w:val="clear" w:color="auto" w:fill="FFFFFF"/>
              <w:spacing w:after="0" w:line="240" w:lineRule="auto"/>
              <w:jc w:val="both"/>
              <w:rPr>
                <w:rFonts w:ascii="Palatino Linotype" w:eastAsia="Calibri" w:hAnsi="Palatino Linotype" w:cs="Times New Roman"/>
                <w:iCs/>
                <w:color w:val="000000"/>
                <w:sz w:val="24"/>
                <w:szCs w:val="24"/>
                <w:lang w:eastAsia="it-IT"/>
              </w:rPr>
            </w:pPr>
            <w:r w:rsidRPr="00532BAD">
              <w:rPr>
                <w:rFonts w:ascii="Palatino Linotype" w:eastAsia="Calibri" w:hAnsi="Palatino Linotype" w:cs="Times New Roman"/>
                <w:iCs/>
                <w:color w:val="000000"/>
                <w:sz w:val="24"/>
                <w:szCs w:val="24"/>
                <w:lang w:eastAsia="it-IT"/>
              </w:rPr>
              <w:t>Devono essere rimesse all’Adunanza plenaria del Consiglio di Stato le seguenti questioni:</w:t>
            </w:r>
          </w:p>
          <w:p w:rsidR="001F78C2" w:rsidRDefault="001F78C2" w:rsidP="00DC3473">
            <w:pPr>
              <w:shd w:val="clear" w:color="auto" w:fill="FFFFFF"/>
              <w:spacing w:after="0" w:line="240" w:lineRule="auto"/>
              <w:jc w:val="both"/>
              <w:rPr>
                <w:rFonts w:ascii="Palatino Linotype" w:eastAsia="Calibri" w:hAnsi="Palatino Linotype" w:cs="Times New Roman"/>
                <w:iCs/>
                <w:color w:val="000000"/>
                <w:sz w:val="24"/>
                <w:szCs w:val="24"/>
                <w:lang w:eastAsia="it-IT"/>
              </w:rPr>
            </w:pPr>
            <w:r w:rsidRPr="001F78C2">
              <w:rPr>
                <w:rFonts w:ascii="Palatino Linotype" w:eastAsia="Calibri" w:hAnsi="Palatino Linotype" w:cs="Times New Roman"/>
                <w:iCs/>
                <w:color w:val="000000"/>
                <w:sz w:val="24"/>
                <w:szCs w:val="24"/>
                <w:lang w:eastAsia="it-IT"/>
              </w:rPr>
              <w:t xml:space="preserve">1) se l’art. 47, l. n. 247 del 2012, che disciplina la commissione di esame di avvocato, sia già in vigore, o se la sua entrata in vigore sia stata differita dall’art. 49, l. n. 247 del 2012; </w:t>
            </w:r>
          </w:p>
          <w:p w:rsidR="001F78C2" w:rsidRDefault="001F78C2" w:rsidP="00DC3473">
            <w:pPr>
              <w:shd w:val="clear" w:color="auto" w:fill="FFFFFF"/>
              <w:spacing w:after="0" w:line="240" w:lineRule="auto"/>
              <w:jc w:val="both"/>
              <w:rPr>
                <w:rFonts w:ascii="Palatino Linotype" w:eastAsia="Calibri" w:hAnsi="Palatino Linotype" w:cs="Times New Roman"/>
                <w:iCs/>
                <w:color w:val="000000"/>
                <w:sz w:val="24"/>
                <w:szCs w:val="24"/>
                <w:lang w:eastAsia="it-IT"/>
              </w:rPr>
            </w:pPr>
            <w:r w:rsidRPr="001F78C2">
              <w:rPr>
                <w:rFonts w:ascii="Palatino Linotype" w:eastAsia="Calibri" w:hAnsi="Palatino Linotype" w:cs="Times New Roman"/>
                <w:iCs/>
                <w:color w:val="000000"/>
                <w:sz w:val="24"/>
                <w:szCs w:val="24"/>
                <w:lang w:eastAsia="it-IT"/>
              </w:rPr>
              <w:t xml:space="preserve">2) se si dà risposta negativa al primo quesito, e dunque se si ritiene che l’art. 47, l. n. 247 del 2012 non sia in vigore, se il vizio del decreto di nomina della commissione e delle sottocommissioni, che applica i criteri del citato art. 47, possa avere rilevanza invalidante ex se, o solo in quanto in concreto sia viziata la composizione della sottocommissione che ha corretto gli elaborati del ricorrente; </w:t>
            </w:r>
          </w:p>
          <w:p w:rsidR="001F78C2" w:rsidRDefault="001F78C2" w:rsidP="00DC3473">
            <w:pPr>
              <w:shd w:val="clear" w:color="auto" w:fill="FFFFFF"/>
              <w:spacing w:after="0" w:line="240" w:lineRule="auto"/>
              <w:jc w:val="both"/>
              <w:rPr>
                <w:rFonts w:ascii="Palatino Linotype" w:eastAsia="Calibri" w:hAnsi="Palatino Linotype" w:cs="Times New Roman"/>
                <w:iCs/>
                <w:color w:val="000000"/>
                <w:sz w:val="24"/>
                <w:szCs w:val="24"/>
                <w:lang w:eastAsia="it-IT"/>
              </w:rPr>
            </w:pPr>
            <w:r w:rsidRPr="001F78C2">
              <w:rPr>
                <w:rFonts w:ascii="Palatino Linotype" w:eastAsia="Calibri" w:hAnsi="Palatino Linotype" w:cs="Times New Roman"/>
                <w:iCs/>
                <w:color w:val="000000"/>
                <w:sz w:val="24"/>
                <w:szCs w:val="24"/>
                <w:lang w:eastAsia="it-IT"/>
              </w:rPr>
              <w:t xml:space="preserve">3) se, viceversa, si dà risposta affermativa al primo quesito, e dunque se si ritiene che l’art. 47, l. n. 247 del 2012 sia già in vigore, se sia o meno ancora applicabile l’art. 22, comma 5, </w:t>
            </w:r>
            <w:proofErr w:type="spellStart"/>
            <w:r w:rsidRPr="001F78C2">
              <w:rPr>
                <w:rFonts w:ascii="Palatino Linotype" w:eastAsia="Calibri" w:hAnsi="Palatino Linotype" w:cs="Times New Roman"/>
                <w:iCs/>
                <w:color w:val="000000"/>
                <w:sz w:val="24"/>
                <w:szCs w:val="24"/>
                <w:lang w:eastAsia="it-IT"/>
              </w:rPr>
              <w:t>r.d.l.</w:t>
            </w:r>
            <w:proofErr w:type="spellEnd"/>
            <w:r w:rsidRPr="001F78C2">
              <w:rPr>
                <w:rFonts w:ascii="Palatino Linotype" w:eastAsia="Calibri" w:hAnsi="Palatino Linotype" w:cs="Times New Roman"/>
                <w:iCs/>
                <w:color w:val="000000"/>
                <w:sz w:val="24"/>
                <w:szCs w:val="24"/>
                <w:lang w:eastAsia="it-IT"/>
              </w:rPr>
              <w:t xml:space="preserve"> n. 1578 del 1933, sulla fungibilità dei commissari di gara, e comunque, se sia o meno autonomamente rinvenibile, nel corpo del citato art. 47, una regola o principio di fungibilità dei commissari</w:t>
            </w:r>
            <w:r>
              <w:rPr>
                <w:rFonts w:ascii="Palatino Linotype" w:eastAsia="Calibri" w:hAnsi="Palatino Linotype" w:cs="Times New Roman"/>
                <w:iCs/>
                <w:color w:val="000000"/>
                <w:sz w:val="24"/>
                <w:szCs w:val="24"/>
                <w:lang w:eastAsia="it-IT"/>
              </w:rPr>
              <w:t>.</w:t>
            </w:r>
          </w:p>
          <w:p w:rsidR="00BF0F87" w:rsidRDefault="00BF0F87" w:rsidP="00DC3473">
            <w:pPr>
              <w:shd w:val="clear" w:color="auto" w:fill="FFFFFF"/>
              <w:spacing w:after="0" w:line="240" w:lineRule="auto"/>
              <w:jc w:val="both"/>
              <w:rPr>
                <w:rFonts w:ascii="Palatino Linotype" w:eastAsia="Calibri" w:hAnsi="Palatino Linotype" w:cs="Times New Roman"/>
                <w:iCs/>
                <w:color w:val="000000"/>
                <w:sz w:val="24"/>
                <w:szCs w:val="24"/>
                <w:lang w:eastAsia="it-IT"/>
              </w:rPr>
            </w:pPr>
          </w:p>
          <w:p w:rsidR="00BF0F87" w:rsidRPr="006B1656" w:rsidRDefault="00BF0F87" w:rsidP="00BF0F87">
            <w:pPr>
              <w:shd w:val="clear" w:color="auto" w:fill="FFFFFF"/>
              <w:spacing w:after="0" w:line="276" w:lineRule="auto"/>
              <w:ind w:left="23"/>
              <w:jc w:val="both"/>
              <w:rPr>
                <w:rFonts w:ascii="Palatino Linotype" w:eastAsia="Calibri" w:hAnsi="Palatino Linotype" w:cs="Times New Roman"/>
                <w:b/>
                <w:bCs/>
                <w:color w:val="993300"/>
                <w:sz w:val="24"/>
                <w:szCs w:val="24"/>
              </w:rPr>
            </w:pPr>
            <w:r w:rsidRPr="005D3CFD">
              <w:rPr>
                <w:rFonts w:ascii="Palatino Linotype" w:eastAsia="Calibri" w:hAnsi="Palatino Linotype" w:cs="Times New Roman"/>
                <w:b/>
                <w:bCs/>
                <w:color w:val="993300"/>
                <w:sz w:val="24"/>
                <w:szCs w:val="24"/>
              </w:rPr>
              <w:t>Si segnala che l’ordinanza sarà oggetto di trattazione in apposita News a cura dell’Ufficio Studi Massimario e Formazione.</w:t>
            </w:r>
          </w:p>
          <w:p w:rsidR="00F84BC4" w:rsidRDefault="00F84BC4" w:rsidP="003E2759">
            <w:pPr>
              <w:autoSpaceDE w:val="0"/>
              <w:autoSpaceDN w:val="0"/>
              <w:spacing w:after="0" w:line="276" w:lineRule="auto"/>
              <w:jc w:val="center"/>
              <w:rPr>
                <w:rFonts w:ascii="Palatino Linotype" w:eastAsia="Calibri" w:hAnsi="Palatino Linotype" w:cs="Times New Roman"/>
                <w:color w:val="4472C4"/>
                <w:sz w:val="32"/>
                <w:szCs w:val="32"/>
              </w:rPr>
            </w:pPr>
          </w:p>
          <w:p w:rsidR="003E2759" w:rsidRDefault="008D5CDD" w:rsidP="003E2759">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(11</w:t>
            </w:r>
            <w:r w:rsidR="003E2759" w:rsidRPr="00EF3813">
              <w:rPr>
                <w:rFonts w:ascii="Palatino Linotype" w:eastAsia="Calibri" w:hAnsi="Palatino Linotype" w:cs="Times New Roman"/>
                <w:color w:val="4472C4"/>
                <w:sz w:val="32"/>
                <w:szCs w:val="32"/>
              </w:rPr>
              <w:t>)</w:t>
            </w:r>
          </w:p>
          <w:p w:rsidR="00F84BC4" w:rsidRDefault="00F84BC4" w:rsidP="003E2759">
            <w:pPr>
              <w:autoSpaceDE w:val="0"/>
              <w:autoSpaceDN w:val="0"/>
              <w:spacing w:after="0" w:line="276" w:lineRule="auto"/>
              <w:jc w:val="center"/>
              <w:rPr>
                <w:rFonts w:ascii="Palatino Linotype" w:eastAsia="Calibri" w:hAnsi="Palatino Linotype" w:cs="Times New Roman"/>
                <w:color w:val="4472C4"/>
                <w:sz w:val="32"/>
                <w:szCs w:val="32"/>
              </w:rPr>
            </w:pPr>
          </w:p>
          <w:p w:rsidR="00F84BC4" w:rsidRDefault="00F84BC4" w:rsidP="00F84BC4">
            <w:pPr>
              <w:autoSpaceDE w:val="0"/>
              <w:autoSpaceDN w:val="0"/>
              <w:spacing w:after="0" w:line="276"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Il T.a.r. per il Molise</w:t>
            </w:r>
            <w:r w:rsidRPr="00544140">
              <w:rPr>
                <w:rFonts w:ascii="Palatino Linotype" w:eastAsia="Calibri" w:hAnsi="Palatino Linotype" w:cs="Times New Roman"/>
                <w:sz w:val="24"/>
                <w:szCs w:val="24"/>
              </w:rPr>
              <w:t xml:space="preserve"> fornisce alcuni chiarimenti</w:t>
            </w:r>
            <w:r>
              <w:rPr>
                <w:rFonts w:ascii="Palatino Linotype" w:eastAsia="Calibri" w:hAnsi="Palatino Linotype" w:cs="Times New Roman"/>
                <w:sz w:val="24"/>
                <w:szCs w:val="24"/>
              </w:rPr>
              <w:t xml:space="preserve"> sulla t</w:t>
            </w:r>
            <w:r w:rsidRPr="006C1633">
              <w:rPr>
                <w:rFonts w:ascii="Palatino Linotype" w:eastAsia="Calibri" w:hAnsi="Palatino Linotype" w:cs="Times New Roman"/>
                <w:sz w:val="24"/>
                <w:szCs w:val="24"/>
              </w:rPr>
              <w:t>utela dell’interesse dell’appaltatore ad ottenere la revisione dei prezzi</w:t>
            </w:r>
            <w:r>
              <w:rPr>
                <w:rFonts w:ascii="Palatino Linotype" w:eastAsia="Calibri" w:hAnsi="Palatino Linotype" w:cs="Times New Roman"/>
                <w:sz w:val="24"/>
                <w:szCs w:val="24"/>
              </w:rPr>
              <w:t>.</w:t>
            </w:r>
          </w:p>
          <w:p w:rsidR="00F84BC4" w:rsidRDefault="00F84BC4" w:rsidP="00F84BC4">
            <w:pPr>
              <w:autoSpaceDE w:val="0"/>
              <w:autoSpaceDN w:val="0"/>
              <w:spacing w:after="0" w:line="276" w:lineRule="auto"/>
              <w:jc w:val="both"/>
              <w:rPr>
                <w:rStyle w:val="Collegamentoipertestuale"/>
                <w:rFonts w:ascii="Palatino Linotype" w:eastAsia="Calibri" w:hAnsi="Palatino Linotype" w:cs="Times New Roman"/>
                <w:sz w:val="24"/>
                <w:szCs w:val="24"/>
              </w:rPr>
            </w:pPr>
          </w:p>
          <w:p w:rsidR="00F84BC4" w:rsidRDefault="00B34862" w:rsidP="00F84BC4">
            <w:pPr>
              <w:autoSpaceDE w:val="0"/>
              <w:autoSpaceDN w:val="0"/>
              <w:spacing w:after="0" w:line="276" w:lineRule="auto"/>
              <w:jc w:val="both"/>
              <w:rPr>
                <w:rStyle w:val="Collegamentoipertestuale"/>
                <w:rFonts w:ascii="Palatino Linotype" w:eastAsia="Calibri" w:hAnsi="Palatino Linotype" w:cs="Times New Roman"/>
                <w:sz w:val="24"/>
                <w:szCs w:val="24"/>
              </w:rPr>
            </w:pPr>
            <w:hyperlink r:id="rId19" w:history="1">
              <w:r w:rsidR="00F84BC4" w:rsidRPr="0087177F">
                <w:rPr>
                  <w:rStyle w:val="Collegamentoipertestuale"/>
                  <w:rFonts w:ascii="Palatino Linotype" w:eastAsia="Calibri" w:hAnsi="Palatino Linotype" w:cs="Times New Roman"/>
                  <w:sz w:val="24"/>
                  <w:szCs w:val="24"/>
                </w:rPr>
                <w:t>T.a.r. per il Molise, sezione I, sentenza 13 novembre 2018, n. 657 – Pres. Silvestri, Est. Ciliberti</w:t>
              </w:r>
            </w:hyperlink>
          </w:p>
          <w:p w:rsidR="00F84BC4" w:rsidRDefault="00F84BC4" w:rsidP="00F64961">
            <w:pPr>
              <w:pStyle w:val="NormaleWeb"/>
              <w:spacing w:after="0" w:afterAutospacing="0"/>
              <w:jc w:val="both"/>
              <w:rPr>
                <w:rFonts w:ascii="Palatino Linotype" w:eastAsia="Calibri" w:hAnsi="Palatino Linotype"/>
              </w:rPr>
            </w:pPr>
            <w:r w:rsidRPr="00544140">
              <w:rPr>
                <w:rFonts w:ascii="Palatino Linotype" w:eastAsia="Calibri" w:hAnsi="Palatino Linotype"/>
              </w:rPr>
              <w:t>Il T.a.r chiarisce che</w:t>
            </w:r>
            <w:r w:rsidRPr="006C1633">
              <w:rPr>
                <w:rFonts w:ascii="Palatino Linotype" w:eastAsia="Calibri" w:hAnsi="Palatino Linotype"/>
              </w:rPr>
              <w:t xml:space="preserve"> </w:t>
            </w:r>
            <w:r>
              <w:rPr>
                <w:rFonts w:ascii="Palatino Linotype" w:eastAsia="Calibri" w:hAnsi="Palatino Linotype"/>
              </w:rPr>
              <w:t>s</w:t>
            </w:r>
            <w:r w:rsidRPr="006C1633">
              <w:rPr>
                <w:rFonts w:ascii="Palatino Linotype" w:eastAsia="Calibri" w:hAnsi="Palatino Linotype"/>
              </w:rPr>
              <w:t>e la revisione-prezzi tende a ristabilire il rapporto sinallagmatico tra la prestazione dell’appaltatore e la controprestazione dell’Amministrazione, adeguando il corrispettivo alle variazioni dei prezzi di mercato, qualora questi superino la soglia dell’alea contrattuale come determinata dalla legge, essa può evidentemente operare soltanto dopo che il rapporto contrattuale sia sorto, cioè dopo l’aggiudicazione.</w:t>
            </w:r>
            <w:r>
              <w:rPr>
                <w:rFonts w:ascii="Palatino Linotype" w:eastAsia="Calibri" w:hAnsi="Palatino Linotype"/>
              </w:rPr>
              <w:t xml:space="preserve"> </w:t>
            </w:r>
          </w:p>
          <w:p w:rsidR="00F84BC4" w:rsidRPr="006C1633" w:rsidRDefault="00F84BC4" w:rsidP="00F64961">
            <w:pPr>
              <w:pStyle w:val="NormaleWeb"/>
              <w:spacing w:before="0" w:beforeAutospacing="0"/>
              <w:jc w:val="both"/>
              <w:rPr>
                <w:rFonts w:ascii="Palatino Linotype" w:eastAsia="Calibri" w:hAnsi="Palatino Linotype"/>
              </w:rPr>
            </w:pPr>
            <w:r>
              <w:rPr>
                <w:rFonts w:ascii="Palatino Linotype" w:eastAsia="Calibri" w:hAnsi="Palatino Linotype"/>
              </w:rPr>
              <w:t>Chiarisce ancora il T.a.r. che l</w:t>
            </w:r>
            <w:r w:rsidRPr="006C1633">
              <w:rPr>
                <w:rFonts w:ascii="Palatino Linotype" w:eastAsia="Calibri" w:hAnsi="Palatino Linotype"/>
              </w:rPr>
              <w:t xml:space="preserve">a domanda di risarcimento dei danni subiti a causa del prolungamento dei lavori oltre il termine contrattualmente previsto appartiene alla giurisdizione del giudice ordinario, dal momento che essa non ha ad oggetto </w:t>
            </w:r>
            <w:proofErr w:type="spellStart"/>
            <w:r w:rsidRPr="006C1633">
              <w:rPr>
                <w:rFonts w:ascii="Palatino Linotype" w:eastAsia="Calibri" w:hAnsi="Palatino Linotype"/>
              </w:rPr>
              <w:t>l’an</w:t>
            </w:r>
            <w:proofErr w:type="spellEnd"/>
            <w:r w:rsidRPr="006C1633">
              <w:rPr>
                <w:rFonts w:ascii="Palatino Linotype" w:eastAsia="Calibri" w:hAnsi="Palatino Linotype"/>
              </w:rPr>
              <w:t xml:space="preserve"> del compenso revisionale, ma il risarcimento dei danni subiti dall’appaltatore in conseguenza dell’inadempimento (colpevole) dell’Amministrazione committente. </w:t>
            </w:r>
          </w:p>
          <w:p w:rsidR="00F84BC4" w:rsidRPr="00F84BC4" w:rsidRDefault="00F84BC4" w:rsidP="00F84BC4">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(12</w:t>
            </w:r>
            <w:r w:rsidRPr="00F84BC4">
              <w:rPr>
                <w:rFonts w:ascii="Palatino Linotype" w:eastAsia="Calibri" w:hAnsi="Palatino Linotype" w:cs="Times New Roman"/>
                <w:color w:val="4472C4"/>
                <w:sz w:val="32"/>
                <w:szCs w:val="32"/>
              </w:rPr>
              <w:t>)</w:t>
            </w:r>
          </w:p>
          <w:p w:rsidR="00F84BC4" w:rsidRDefault="00F84BC4" w:rsidP="003E2759">
            <w:pPr>
              <w:autoSpaceDE w:val="0"/>
              <w:autoSpaceDN w:val="0"/>
              <w:spacing w:after="0" w:line="276" w:lineRule="auto"/>
              <w:jc w:val="center"/>
              <w:rPr>
                <w:rFonts w:ascii="Palatino Linotype" w:eastAsia="Calibri" w:hAnsi="Palatino Linotype" w:cs="Times New Roman"/>
                <w:color w:val="4472C4"/>
                <w:sz w:val="32"/>
                <w:szCs w:val="32"/>
              </w:rPr>
            </w:pPr>
          </w:p>
          <w:p w:rsidR="009D3B78" w:rsidRDefault="009D3B78" w:rsidP="009D3B78">
            <w:pPr>
              <w:autoSpaceDE w:val="0"/>
              <w:autoSpaceDN w:val="0"/>
              <w:spacing w:after="0" w:line="276" w:lineRule="auto"/>
              <w:jc w:val="both"/>
              <w:rPr>
                <w:rFonts w:ascii="Palatino Linotype" w:eastAsia="Calibri" w:hAnsi="Palatino Linotype" w:cs="Times New Roman"/>
                <w:sz w:val="24"/>
                <w:szCs w:val="24"/>
              </w:rPr>
            </w:pPr>
            <w:r w:rsidRPr="00E7518A">
              <w:rPr>
                <w:rFonts w:ascii="Palatino Linotype" w:eastAsia="Calibri" w:hAnsi="Palatino Linotype" w:cs="Times New Roman"/>
                <w:iCs/>
                <w:sz w:val="24"/>
                <w:szCs w:val="24"/>
                <w:lang w:eastAsia="it-IT"/>
              </w:rPr>
              <w:t>Il T.a.r</w:t>
            </w:r>
            <w:r>
              <w:rPr>
                <w:rFonts w:ascii="Palatino Linotype" w:eastAsia="Calibri" w:hAnsi="Palatino Linotype" w:cs="Times New Roman"/>
                <w:iCs/>
                <w:sz w:val="24"/>
                <w:szCs w:val="24"/>
                <w:lang w:eastAsia="it-IT"/>
              </w:rPr>
              <w:t>. per il Lazio, sezione III bis</w:t>
            </w:r>
            <w:r w:rsidRPr="00841128">
              <w:rPr>
                <w:rFonts w:ascii="Palatino Linotype" w:eastAsia="Calibri" w:hAnsi="Palatino Linotype" w:cs="Times New Roman"/>
                <w:iCs/>
                <w:sz w:val="24"/>
                <w:szCs w:val="24"/>
                <w:lang w:eastAsia="it-IT"/>
              </w:rPr>
              <w:t>,</w:t>
            </w:r>
            <w:r>
              <w:rPr>
                <w:rFonts w:ascii="Palatino Linotype" w:eastAsia="Calibri" w:hAnsi="Palatino Linotype" w:cs="Times New Roman"/>
                <w:iCs/>
                <w:sz w:val="24"/>
                <w:szCs w:val="24"/>
                <w:lang w:eastAsia="it-IT"/>
              </w:rPr>
              <w:t xml:space="preserve"> </w:t>
            </w:r>
            <w:r>
              <w:rPr>
                <w:rFonts w:ascii="Palatino Linotype" w:eastAsia="Calibri" w:hAnsi="Palatino Linotype" w:cs="Times New Roman"/>
                <w:sz w:val="24"/>
                <w:szCs w:val="24"/>
              </w:rPr>
              <w:t>f</w:t>
            </w:r>
            <w:r w:rsidR="00DB7EC9">
              <w:rPr>
                <w:rFonts w:ascii="Palatino Linotype" w:eastAsia="Calibri" w:hAnsi="Palatino Linotype" w:cs="Times New Roman"/>
                <w:sz w:val="24"/>
                <w:szCs w:val="24"/>
              </w:rPr>
              <w:t xml:space="preserve">ornisce alcuni chiarimenti sulla possibilità per l’amministrazione di </w:t>
            </w:r>
            <w:r w:rsidR="00E7518A">
              <w:rPr>
                <w:rFonts w:ascii="Palatino Linotype" w:eastAsia="Calibri" w:hAnsi="Palatino Linotype" w:cs="Times New Roman"/>
                <w:sz w:val="24"/>
                <w:szCs w:val="24"/>
              </w:rPr>
              <w:t>i</w:t>
            </w:r>
            <w:r w:rsidR="00DB7EC9">
              <w:rPr>
                <w:rFonts w:ascii="Palatino Linotype" w:eastAsia="Calibri" w:hAnsi="Palatino Linotype" w:cs="Times New Roman"/>
                <w:sz w:val="24"/>
                <w:szCs w:val="24"/>
              </w:rPr>
              <w:t>ndire</w:t>
            </w:r>
            <w:r w:rsidRPr="009D3B78">
              <w:rPr>
                <w:rFonts w:ascii="Palatino Linotype" w:eastAsia="Calibri" w:hAnsi="Palatino Linotype" w:cs="Times New Roman"/>
                <w:sz w:val="24"/>
                <w:szCs w:val="24"/>
              </w:rPr>
              <w:t xml:space="preserve"> un nuovo concorso in presenza di una graduatoria ancora valida</w:t>
            </w:r>
            <w:r>
              <w:rPr>
                <w:rFonts w:ascii="Palatino Linotype" w:eastAsia="Calibri" w:hAnsi="Palatino Linotype" w:cs="Times New Roman"/>
                <w:sz w:val="24"/>
                <w:szCs w:val="24"/>
              </w:rPr>
              <w:t>.</w:t>
            </w:r>
          </w:p>
          <w:p w:rsidR="009D3B78" w:rsidRPr="009D3B78" w:rsidRDefault="009D3B78" w:rsidP="009D3B78">
            <w:pPr>
              <w:autoSpaceDE w:val="0"/>
              <w:autoSpaceDN w:val="0"/>
              <w:spacing w:after="0" w:line="276" w:lineRule="auto"/>
              <w:jc w:val="both"/>
              <w:rPr>
                <w:rFonts w:ascii="Palatino Linotype" w:eastAsia="Calibri" w:hAnsi="Palatino Linotype" w:cs="Times New Roman"/>
                <w:sz w:val="24"/>
                <w:szCs w:val="24"/>
              </w:rPr>
            </w:pPr>
          </w:p>
          <w:p w:rsidR="009D3B78" w:rsidRDefault="00B34862" w:rsidP="009D3B78">
            <w:pPr>
              <w:autoSpaceDE w:val="0"/>
              <w:autoSpaceDN w:val="0"/>
              <w:spacing w:after="0" w:line="276" w:lineRule="auto"/>
              <w:jc w:val="both"/>
              <w:rPr>
                <w:rStyle w:val="Collegamentoipertestuale"/>
                <w:rFonts w:ascii="Palatino Linotype" w:eastAsia="Calibri" w:hAnsi="Palatino Linotype" w:cs="Times New Roman"/>
                <w:sz w:val="24"/>
                <w:szCs w:val="24"/>
              </w:rPr>
            </w:pPr>
            <w:hyperlink r:id="rId20" w:history="1">
              <w:r w:rsidR="009D3B78" w:rsidRPr="0083239E">
                <w:rPr>
                  <w:rStyle w:val="Collegamentoipertestuale"/>
                  <w:rFonts w:ascii="Palatino Linotype" w:eastAsia="Calibri" w:hAnsi="Palatino Linotype" w:cs="Times New Roman"/>
                  <w:sz w:val="24"/>
                  <w:szCs w:val="24"/>
                </w:rPr>
                <w:t>T.a.r. per il Lazio, sezione III bis, sentenza 12 novembre 2018, n. 10862 – Pres. Savoia, Est. Graziano</w:t>
              </w:r>
            </w:hyperlink>
          </w:p>
          <w:p w:rsidR="009D3B78" w:rsidRDefault="009D3B78" w:rsidP="009D3B78">
            <w:pPr>
              <w:autoSpaceDE w:val="0"/>
              <w:autoSpaceDN w:val="0"/>
              <w:spacing w:after="0" w:line="276" w:lineRule="auto"/>
              <w:jc w:val="both"/>
              <w:rPr>
                <w:rFonts w:ascii="Palatino Linotype" w:eastAsia="Calibri" w:hAnsi="Palatino Linotype" w:cs="Times New Roman"/>
                <w:iCs/>
                <w:sz w:val="24"/>
                <w:szCs w:val="24"/>
                <w:lang w:eastAsia="it-IT"/>
              </w:rPr>
            </w:pPr>
          </w:p>
          <w:p w:rsidR="009D3B78" w:rsidRDefault="009D3B78" w:rsidP="009D3B78">
            <w:pPr>
              <w:autoSpaceDE w:val="0"/>
              <w:autoSpaceDN w:val="0"/>
              <w:spacing w:after="0" w:line="276" w:lineRule="auto"/>
              <w:jc w:val="both"/>
              <w:rPr>
                <w:rFonts w:ascii="Palatino Linotype" w:eastAsia="Calibri" w:hAnsi="Palatino Linotype" w:cs="Times New Roman"/>
                <w:iCs/>
                <w:sz w:val="24"/>
                <w:szCs w:val="24"/>
                <w:lang w:eastAsia="it-IT"/>
              </w:rPr>
            </w:pPr>
            <w:r>
              <w:rPr>
                <w:rFonts w:ascii="Palatino Linotype" w:eastAsia="Calibri" w:hAnsi="Palatino Linotype" w:cs="Times New Roman"/>
                <w:iCs/>
                <w:sz w:val="24"/>
                <w:szCs w:val="24"/>
                <w:lang w:eastAsia="it-IT"/>
              </w:rPr>
              <w:t xml:space="preserve">Il T.a.r. per il Lazio chiarisce che </w:t>
            </w:r>
            <w:r w:rsidRPr="009D3B78">
              <w:rPr>
                <w:rFonts w:ascii="Palatino Linotype" w:eastAsia="Calibri" w:hAnsi="Palatino Linotype" w:cs="Times New Roman"/>
                <w:iCs/>
                <w:sz w:val="24"/>
                <w:szCs w:val="24"/>
                <w:lang w:eastAsia="it-IT"/>
              </w:rPr>
              <w:t xml:space="preserve">se è </w:t>
            </w:r>
            <w:r>
              <w:rPr>
                <w:rFonts w:ascii="Palatino Linotype" w:eastAsia="Calibri" w:hAnsi="Palatino Linotype" w:cs="Times New Roman"/>
                <w:iCs/>
                <w:sz w:val="24"/>
                <w:szCs w:val="24"/>
                <w:lang w:eastAsia="it-IT"/>
              </w:rPr>
              <w:t xml:space="preserve">pur </w:t>
            </w:r>
            <w:r w:rsidRPr="009D3B78">
              <w:rPr>
                <w:rFonts w:ascii="Palatino Linotype" w:eastAsia="Calibri" w:hAnsi="Palatino Linotype" w:cs="Times New Roman"/>
                <w:iCs/>
                <w:sz w:val="24"/>
                <w:szCs w:val="24"/>
                <w:lang w:eastAsia="it-IT"/>
              </w:rPr>
              <w:t>vero che l’Amministrazione non ha l’obbligo di preferire lo scorrimento rispetto all’indizione di un nuovo concorso, tale scelta</w:t>
            </w:r>
            <w:r>
              <w:rPr>
                <w:rFonts w:ascii="Palatino Linotype" w:eastAsia="Calibri" w:hAnsi="Palatino Linotype" w:cs="Times New Roman"/>
                <w:iCs/>
                <w:sz w:val="24"/>
                <w:szCs w:val="24"/>
                <w:lang w:eastAsia="it-IT"/>
              </w:rPr>
              <w:t xml:space="preserve"> però</w:t>
            </w:r>
            <w:r w:rsidRPr="009D3B78">
              <w:rPr>
                <w:rFonts w:ascii="Palatino Linotype" w:eastAsia="Calibri" w:hAnsi="Palatino Linotype" w:cs="Times New Roman"/>
                <w:iCs/>
                <w:sz w:val="24"/>
                <w:szCs w:val="24"/>
                <w:lang w:eastAsia="it-IT"/>
              </w:rPr>
              <w:t xml:space="preserve"> deve essere adeguatamente motivata, soprattutto quando, come nel caso in esame, il </w:t>
            </w:r>
            <w:proofErr w:type="spellStart"/>
            <w:r w:rsidRPr="009D3B78">
              <w:rPr>
                <w:rFonts w:ascii="Palatino Linotype" w:eastAsia="Calibri" w:hAnsi="Palatino Linotype" w:cs="Times New Roman"/>
                <w:iCs/>
                <w:sz w:val="24"/>
                <w:szCs w:val="24"/>
                <w:lang w:eastAsia="it-IT"/>
              </w:rPr>
              <w:t>d.m.</w:t>
            </w:r>
            <w:proofErr w:type="spellEnd"/>
            <w:r w:rsidRPr="009D3B78">
              <w:rPr>
                <w:rFonts w:ascii="Palatino Linotype" w:eastAsia="Calibri" w:hAnsi="Palatino Linotype" w:cs="Times New Roman"/>
                <w:iCs/>
                <w:sz w:val="24"/>
                <w:szCs w:val="24"/>
                <w:lang w:eastAsia="it-IT"/>
              </w:rPr>
              <w:t xml:space="preserve"> n. 163 del 2018, avente ad oggetto l’assunzione di ricercatori e tecnologi negli enti pubblici di ricerca e posto alla base dei provvedimenti impugnati, ha espressamente previsto la possibilità che le assunzioni in questione “possono essere effettuate, oltre che con le ordinarie procedure di selezione, utilizzando delle graduatorie vigenti …”.</w:t>
            </w:r>
          </w:p>
          <w:p w:rsidR="00A872CC" w:rsidRPr="00084C8C" w:rsidRDefault="00A872CC" w:rsidP="009633C4">
            <w:pPr>
              <w:autoSpaceDE w:val="0"/>
              <w:autoSpaceDN w:val="0"/>
              <w:spacing w:after="0" w:line="276" w:lineRule="auto"/>
              <w:jc w:val="both"/>
              <w:rPr>
                <w:rFonts w:ascii="Palatino Linotype" w:eastAsia="Calibri" w:hAnsi="Palatino Linotype" w:cs="Times New Roman"/>
                <w:sz w:val="24"/>
                <w:szCs w:val="24"/>
              </w:rPr>
            </w:pPr>
          </w:p>
          <w:p w:rsidR="005473AE" w:rsidRDefault="00577479" w:rsidP="009633C4">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w:t>
            </w:r>
            <w:r w:rsidR="008D5CDD">
              <w:rPr>
                <w:rFonts w:ascii="Palatino Linotype" w:eastAsia="Calibri" w:hAnsi="Palatino Linotype" w:cs="Times New Roman"/>
                <w:color w:val="4472C4"/>
                <w:sz w:val="32"/>
                <w:szCs w:val="32"/>
              </w:rPr>
              <w:t>13</w:t>
            </w:r>
            <w:r w:rsidR="005473AE" w:rsidRPr="005D3CFD">
              <w:rPr>
                <w:rFonts w:ascii="Palatino Linotype" w:eastAsia="Calibri" w:hAnsi="Palatino Linotype" w:cs="Times New Roman"/>
                <w:color w:val="4472C4"/>
                <w:sz w:val="32"/>
                <w:szCs w:val="32"/>
              </w:rPr>
              <w:t>)</w:t>
            </w:r>
          </w:p>
          <w:p w:rsidR="00636BEE" w:rsidRDefault="00636BEE" w:rsidP="009633C4">
            <w:pPr>
              <w:autoSpaceDE w:val="0"/>
              <w:autoSpaceDN w:val="0"/>
              <w:spacing w:after="0" w:line="276" w:lineRule="auto"/>
              <w:jc w:val="center"/>
              <w:rPr>
                <w:rFonts w:ascii="Palatino Linotype" w:eastAsia="Calibri" w:hAnsi="Palatino Linotype" w:cs="Times New Roman"/>
                <w:color w:val="4472C4"/>
                <w:sz w:val="32"/>
                <w:szCs w:val="32"/>
              </w:rPr>
            </w:pPr>
          </w:p>
          <w:p w:rsidR="00182119" w:rsidRDefault="00182119" w:rsidP="00182119">
            <w:pPr>
              <w:autoSpaceDE w:val="0"/>
              <w:autoSpaceDN w:val="0"/>
              <w:spacing w:after="0" w:line="276" w:lineRule="auto"/>
              <w:jc w:val="both"/>
              <w:rPr>
                <w:rFonts w:ascii="Palatino Linotype" w:eastAsia="Calibri" w:hAnsi="Palatino Linotype" w:cs="Times New Roman"/>
                <w:sz w:val="24"/>
                <w:szCs w:val="24"/>
              </w:rPr>
            </w:pPr>
            <w:r w:rsidRPr="00E7518A">
              <w:rPr>
                <w:rFonts w:ascii="Palatino Linotype" w:eastAsia="Calibri" w:hAnsi="Palatino Linotype" w:cs="Times New Roman"/>
                <w:sz w:val="24"/>
                <w:szCs w:val="24"/>
              </w:rPr>
              <w:t>Il T.a.r.</w:t>
            </w:r>
            <w:r>
              <w:rPr>
                <w:rFonts w:ascii="Palatino Linotype" w:eastAsia="Calibri" w:hAnsi="Palatino Linotype" w:cs="Times New Roman"/>
                <w:sz w:val="24"/>
                <w:szCs w:val="24"/>
              </w:rPr>
              <w:t xml:space="preserve"> per la Puglia</w:t>
            </w:r>
            <w:r w:rsidR="00526E47">
              <w:rPr>
                <w:rFonts w:ascii="Palatino Linotype" w:eastAsia="Calibri" w:hAnsi="Palatino Linotype" w:cs="Times New Roman"/>
                <w:sz w:val="24"/>
                <w:szCs w:val="24"/>
              </w:rPr>
              <w:t xml:space="preserve"> </w:t>
            </w:r>
            <w:r w:rsidR="00DB7EC9">
              <w:rPr>
                <w:rFonts w:ascii="Palatino Linotype" w:eastAsia="Calibri" w:hAnsi="Palatino Linotype" w:cs="Times New Roman"/>
                <w:sz w:val="24"/>
                <w:szCs w:val="24"/>
              </w:rPr>
              <w:t>ribadisce consolidati principi</w:t>
            </w:r>
            <w:r>
              <w:rPr>
                <w:rFonts w:ascii="Palatino Linotype" w:eastAsia="Calibri" w:hAnsi="Palatino Linotype" w:cs="Times New Roman"/>
                <w:sz w:val="24"/>
                <w:szCs w:val="24"/>
              </w:rPr>
              <w:t xml:space="preserve"> sull’onere di m</w:t>
            </w:r>
            <w:r w:rsidRPr="00182119">
              <w:rPr>
                <w:rFonts w:ascii="Palatino Linotype" w:eastAsia="Calibri" w:hAnsi="Palatino Linotype" w:cs="Times New Roman"/>
                <w:sz w:val="24"/>
                <w:szCs w:val="24"/>
              </w:rPr>
              <w:t>otivazione del rigetto delle osservazioni presentate dal proprietario di un’area incisa da variante urbanistica</w:t>
            </w:r>
            <w:r>
              <w:rPr>
                <w:rFonts w:ascii="Palatino Linotype" w:eastAsia="Calibri" w:hAnsi="Palatino Linotype" w:cs="Times New Roman"/>
                <w:sz w:val="24"/>
                <w:szCs w:val="24"/>
              </w:rPr>
              <w:t>.</w:t>
            </w:r>
          </w:p>
          <w:p w:rsidR="00182119" w:rsidRDefault="00182119" w:rsidP="009633C4">
            <w:pPr>
              <w:autoSpaceDE w:val="0"/>
              <w:autoSpaceDN w:val="0"/>
              <w:spacing w:after="0" w:line="276" w:lineRule="auto"/>
              <w:jc w:val="both"/>
              <w:rPr>
                <w:rStyle w:val="Collegamentoipertestuale"/>
                <w:rFonts w:ascii="Palatino Linotype" w:eastAsia="Calibri" w:hAnsi="Palatino Linotype" w:cs="Times New Roman"/>
                <w:sz w:val="24"/>
                <w:szCs w:val="24"/>
              </w:rPr>
            </w:pPr>
          </w:p>
          <w:p w:rsidR="002D30CE" w:rsidRDefault="00B34862" w:rsidP="009633C4">
            <w:pPr>
              <w:autoSpaceDE w:val="0"/>
              <w:autoSpaceDN w:val="0"/>
              <w:spacing w:after="0" w:line="276" w:lineRule="auto"/>
              <w:jc w:val="both"/>
              <w:rPr>
                <w:rFonts w:ascii="Palatino Linotype" w:eastAsia="Calibri" w:hAnsi="Palatino Linotype" w:cs="Times New Roman"/>
                <w:sz w:val="24"/>
                <w:szCs w:val="24"/>
              </w:rPr>
            </w:pPr>
            <w:hyperlink r:id="rId21" w:history="1">
              <w:r w:rsidR="002D30CE" w:rsidRPr="0083239E">
                <w:rPr>
                  <w:rStyle w:val="Collegamentoipertestuale"/>
                  <w:rFonts w:ascii="Palatino Linotype" w:eastAsia="Calibri" w:hAnsi="Palatino Linotype" w:cs="Times New Roman"/>
                  <w:sz w:val="24"/>
                  <w:szCs w:val="24"/>
                </w:rPr>
                <w:t>T.a.r</w:t>
              </w:r>
              <w:r w:rsidR="007019E1" w:rsidRPr="0083239E">
                <w:rPr>
                  <w:rStyle w:val="Collegamentoipertestuale"/>
                  <w:rFonts w:ascii="Palatino Linotype" w:eastAsia="Calibri" w:hAnsi="Palatino Linotype" w:cs="Times New Roman"/>
                  <w:sz w:val="24"/>
                  <w:szCs w:val="24"/>
                </w:rPr>
                <w:t xml:space="preserve">. </w:t>
              </w:r>
              <w:r w:rsidR="00182119" w:rsidRPr="0083239E">
                <w:rPr>
                  <w:rStyle w:val="Collegamentoipertestuale"/>
                  <w:rFonts w:ascii="Palatino Linotype" w:eastAsia="Calibri" w:hAnsi="Palatino Linotype" w:cs="Times New Roman"/>
                  <w:sz w:val="24"/>
                  <w:szCs w:val="24"/>
                </w:rPr>
                <w:t>per la Puglia</w:t>
              </w:r>
              <w:r w:rsidR="00532BFF" w:rsidRPr="0083239E">
                <w:rPr>
                  <w:rStyle w:val="Collegamentoipertestuale"/>
                  <w:rFonts w:ascii="Palatino Linotype" w:eastAsia="Calibri" w:hAnsi="Palatino Linotype" w:cs="Times New Roman"/>
                  <w:sz w:val="24"/>
                  <w:szCs w:val="24"/>
                </w:rPr>
                <w:t xml:space="preserve"> - Bari</w:t>
              </w:r>
              <w:r w:rsidR="002D30CE" w:rsidRPr="0083239E">
                <w:rPr>
                  <w:rStyle w:val="Collegamentoipertestuale"/>
                  <w:rFonts w:ascii="Palatino Linotype" w:eastAsia="Calibri" w:hAnsi="Palatino Linotype" w:cs="Times New Roman"/>
                  <w:sz w:val="24"/>
                  <w:szCs w:val="24"/>
                </w:rPr>
                <w:t>, sezione I</w:t>
              </w:r>
              <w:r w:rsidR="007019E1" w:rsidRPr="0083239E">
                <w:rPr>
                  <w:rStyle w:val="Collegamentoipertestuale"/>
                  <w:rFonts w:ascii="Palatino Linotype" w:eastAsia="Calibri" w:hAnsi="Palatino Linotype" w:cs="Times New Roman"/>
                  <w:sz w:val="24"/>
                  <w:szCs w:val="24"/>
                </w:rPr>
                <w:t>II</w:t>
              </w:r>
              <w:r w:rsidR="002D30CE" w:rsidRPr="0083239E">
                <w:rPr>
                  <w:rStyle w:val="Collegamentoipertestuale"/>
                  <w:rFonts w:ascii="Palatino Linotype" w:eastAsia="Calibri" w:hAnsi="Palatino Linotype" w:cs="Times New Roman"/>
                  <w:sz w:val="24"/>
                  <w:szCs w:val="24"/>
                </w:rPr>
                <w:t>,</w:t>
              </w:r>
              <w:r w:rsidR="00182119" w:rsidRPr="0083239E">
                <w:rPr>
                  <w:rStyle w:val="Collegamentoipertestuale"/>
                  <w:rFonts w:ascii="Palatino Linotype" w:eastAsia="Calibri" w:hAnsi="Palatino Linotype" w:cs="Times New Roman"/>
                  <w:sz w:val="24"/>
                  <w:szCs w:val="24"/>
                </w:rPr>
                <w:t xml:space="preserve"> sentenza 9 novembre 2018, n. 1</w:t>
              </w:r>
              <w:r w:rsidR="007019E1" w:rsidRPr="0083239E">
                <w:rPr>
                  <w:rStyle w:val="Collegamentoipertestuale"/>
                  <w:rFonts w:ascii="Palatino Linotype" w:eastAsia="Calibri" w:hAnsi="Palatino Linotype" w:cs="Times New Roman"/>
                  <w:sz w:val="24"/>
                  <w:szCs w:val="24"/>
                </w:rPr>
                <w:t>4</w:t>
              </w:r>
              <w:r w:rsidR="00182119" w:rsidRPr="0083239E">
                <w:rPr>
                  <w:rStyle w:val="Collegamentoipertestuale"/>
                  <w:rFonts w:ascii="Palatino Linotype" w:eastAsia="Calibri" w:hAnsi="Palatino Linotype" w:cs="Times New Roman"/>
                  <w:sz w:val="24"/>
                  <w:szCs w:val="24"/>
                </w:rPr>
                <w:t>66</w:t>
              </w:r>
              <w:r w:rsidR="002D30CE" w:rsidRPr="0083239E">
                <w:rPr>
                  <w:rStyle w:val="Collegamentoipertestuale"/>
                  <w:rFonts w:ascii="Palatino Linotype" w:eastAsia="Calibri" w:hAnsi="Palatino Linotype" w:cs="Times New Roman"/>
                  <w:sz w:val="24"/>
                  <w:szCs w:val="24"/>
                </w:rPr>
                <w:t xml:space="preserve"> – Pres. </w:t>
              </w:r>
              <w:proofErr w:type="spellStart"/>
              <w:r w:rsidR="00182119" w:rsidRPr="0083239E">
                <w:rPr>
                  <w:rStyle w:val="Collegamentoipertestuale"/>
                  <w:rFonts w:ascii="Palatino Linotype" w:eastAsia="Calibri" w:hAnsi="Palatino Linotype" w:cs="Times New Roman"/>
                  <w:sz w:val="24"/>
                  <w:szCs w:val="24"/>
                </w:rPr>
                <w:t>Gaudieri</w:t>
              </w:r>
              <w:proofErr w:type="spellEnd"/>
              <w:r w:rsidR="00182119" w:rsidRPr="0083239E">
                <w:rPr>
                  <w:rStyle w:val="Collegamentoipertestuale"/>
                  <w:rFonts w:ascii="Palatino Linotype" w:eastAsia="Calibri" w:hAnsi="Palatino Linotype" w:cs="Times New Roman"/>
                  <w:sz w:val="24"/>
                  <w:szCs w:val="24"/>
                </w:rPr>
                <w:t xml:space="preserve">, Est. </w:t>
              </w:r>
              <w:proofErr w:type="spellStart"/>
              <w:r w:rsidR="00182119" w:rsidRPr="0083239E">
                <w:rPr>
                  <w:rStyle w:val="Collegamentoipertestuale"/>
                  <w:rFonts w:ascii="Palatino Linotype" w:eastAsia="Calibri" w:hAnsi="Palatino Linotype" w:cs="Times New Roman"/>
                  <w:sz w:val="24"/>
                  <w:szCs w:val="24"/>
                </w:rPr>
                <w:t>Cocomile</w:t>
              </w:r>
              <w:proofErr w:type="spellEnd"/>
            </w:hyperlink>
          </w:p>
          <w:p w:rsidR="002D30CE" w:rsidRDefault="002D30CE" w:rsidP="009633C4">
            <w:pPr>
              <w:autoSpaceDE w:val="0"/>
              <w:autoSpaceDN w:val="0"/>
              <w:spacing w:after="0" w:line="276" w:lineRule="auto"/>
              <w:jc w:val="both"/>
              <w:rPr>
                <w:rFonts w:ascii="Palatino Linotype" w:eastAsia="Calibri" w:hAnsi="Palatino Linotype" w:cs="Times New Roman"/>
                <w:sz w:val="24"/>
                <w:szCs w:val="24"/>
              </w:rPr>
            </w:pPr>
          </w:p>
          <w:p w:rsidR="005739FC" w:rsidRDefault="005739FC" w:rsidP="009633C4">
            <w:pPr>
              <w:autoSpaceDE w:val="0"/>
              <w:autoSpaceDN w:val="0"/>
              <w:spacing w:after="0" w:line="276" w:lineRule="auto"/>
              <w:jc w:val="both"/>
              <w:rPr>
                <w:rFonts w:ascii="Palatino Linotype" w:eastAsia="Calibri" w:hAnsi="Palatino Linotype" w:cs="Times New Roman"/>
                <w:sz w:val="24"/>
                <w:szCs w:val="24"/>
              </w:rPr>
            </w:pPr>
            <w:r w:rsidRPr="005739FC">
              <w:rPr>
                <w:rFonts w:ascii="Palatino Linotype" w:eastAsia="Calibri" w:hAnsi="Palatino Linotype" w:cs="Times New Roman"/>
                <w:sz w:val="24"/>
                <w:szCs w:val="24"/>
              </w:rPr>
              <w:t>Ha chiarito il T</w:t>
            </w:r>
            <w:r>
              <w:rPr>
                <w:rFonts w:ascii="Palatino Linotype" w:eastAsia="Calibri" w:hAnsi="Palatino Linotype" w:cs="Times New Roman"/>
                <w:sz w:val="24"/>
                <w:szCs w:val="24"/>
              </w:rPr>
              <w:t>.</w:t>
            </w:r>
            <w:r w:rsidRPr="005739FC">
              <w:rPr>
                <w:rFonts w:ascii="Palatino Linotype" w:eastAsia="Calibri" w:hAnsi="Palatino Linotype" w:cs="Times New Roman"/>
                <w:sz w:val="24"/>
                <w:szCs w:val="24"/>
              </w:rPr>
              <w:t>a</w:t>
            </w:r>
            <w:r>
              <w:rPr>
                <w:rFonts w:ascii="Palatino Linotype" w:eastAsia="Calibri" w:hAnsi="Palatino Linotype" w:cs="Times New Roman"/>
                <w:sz w:val="24"/>
                <w:szCs w:val="24"/>
              </w:rPr>
              <w:t>.</w:t>
            </w:r>
            <w:r w:rsidRPr="005739FC">
              <w:rPr>
                <w:rFonts w:ascii="Palatino Linotype" w:eastAsia="Calibri" w:hAnsi="Palatino Linotype" w:cs="Times New Roman"/>
                <w:sz w:val="24"/>
                <w:szCs w:val="24"/>
              </w:rPr>
              <w:t>r</w:t>
            </w:r>
            <w:r>
              <w:rPr>
                <w:rFonts w:ascii="Palatino Linotype" w:eastAsia="Calibri" w:hAnsi="Palatino Linotype" w:cs="Times New Roman"/>
                <w:sz w:val="24"/>
                <w:szCs w:val="24"/>
              </w:rPr>
              <w:t>.</w:t>
            </w:r>
            <w:r w:rsidRPr="005739FC">
              <w:rPr>
                <w:rFonts w:ascii="Palatino Linotype" w:eastAsia="Calibri" w:hAnsi="Palatino Linotype" w:cs="Times New Roman"/>
                <w:sz w:val="24"/>
                <w:szCs w:val="24"/>
              </w:rPr>
              <w:t xml:space="preserve"> che </w:t>
            </w:r>
            <w:r w:rsidR="00302FB0">
              <w:rPr>
                <w:rFonts w:ascii="Palatino Linotype" w:eastAsia="Calibri" w:hAnsi="Palatino Linotype" w:cs="Times New Roman"/>
                <w:sz w:val="24"/>
                <w:szCs w:val="24"/>
              </w:rPr>
              <w:t>n</w:t>
            </w:r>
            <w:r w:rsidR="00302FB0" w:rsidRPr="00302FB0">
              <w:rPr>
                <w:rFonts w:ascii="Palatino Linotype" w:eastAsia="Calibri" w:hAnsi="Palatino Linotype" w:cs="Times New Roman"/>
                <w:sz w:val="24"/>
                <w:szCs w:val="24"/>
              </w:rPr>
              <w:t>on sussiste un onere di dettagliata motivazione del rigetto delle osservazioni presentate dal proprietario di un’area incisa da variante urbanistica in assenza di situazioni</w:t>
            </w:r>
            <w:r w:rsidR="0008636B">
              <w:rPr>
                <w:rFonts w:ascii="Palatino Linotype" w:eastAsia="Calibri" w:hAnsi="Palatino Linotype" w:cs="Times New Roman"/>
                <w:sz w:val="24"/>
                <w:szCs w:val="24"/>
              </w:rPr>
              <w:t xml:space="preserve"> che</w:t>
            </w:r>
            <w:r w:rsidR="00302FB0" w:rsidRPr="00302FB0">
              <w:rPr>
                <w:rFonts w:ascii="Palatino Linotype" w:eastAsia="Calibri" w:hAnsi="Palatino Linotype" w:cs="Times New Roman"/>
                <w:sz w:val="24"/>
                <w:szCs w:val="24"/>
              </w:rPr>
              <w:t xml:space="preserve"> (fonte di aspettative o affidamenti in favore di soggetti le cui posizioni appaiano meritevoli di specifiche considerazioni) eccezionalmente impongono alla Amministrazione procedente una più incisiva e singolare motivazione degli strumenti urbanistici generali.</w:t>
            </w:r>
          </w:p>
          <w:p w:rsidR="0008636B" w:rsidRPr="00900FF7" w:rsidRDefault="008D5CDD" w:rsidP="0008636B">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(14</w:t>
            </w:r>
            <w:r w:rsidR="0008636B" w:rsidRPr="00900FF7">
              <w:rPr>
                <w:rFonts w:ascii="Palatino Linotype" w:eastAsia="Calibri" w:hAnsi="Palatino Linotype" w:cs="Times New Roman"/>
                <w:color w:val="4472C4"/>
                <w:sz w:val="32"/>
                <w:szCs w:val="32"/>
              </w:rPr>
              <w:t>)</w:t>
            </w:r>
          </w:p>
          <w:p w:rsidR="00B56D54" w:rsidRDefault="00B56D54" w:rsidP="00B56D54">
            <w:pPr>
              <w:autoSpaceDE w:val="0"/>
              <w:autoSpaceDN w:val="0"/>
              <w:spacing w:after="0" w:line="276" w:lineRule="auto"/>
              <w:jc w:val="both"/>
              <w:rPr>
                <w:rFonts w:ascii="Palatino Linotype" w:eastAsia="Calibri" w:hAnsi="Palatino Linotype" w:cs="Times New Roman"/>
                <w:sz w:val="24"/>
                <w:szCs w:val="24"/>
                <w:highlight w:val="yellow"/>
              </w:rPr>
            </w:pPr>
          </w:p>
          <w:p w:rsidR="00B56D54" w:rsidRDefault="00B56D54" w:rsidP="00B56D54">
            <w:pPr>
              <w:autoSpaceDE w:val="0"/>
              <w:autoSpaceDN w:val="0"/>
              <w:spacing w:after="0" w:line="276" w:lineRule="auto"/>
              <w:jc w:val="both"/>
              <w:rPr>
                <w:rFonts w:ascii="Palatino Linotype" w:eastAsia="Calibri" w:hAnsi="Palatino Linotype" w:cs="Times New Roman"/>
                <w:sz w:val="24"/>
                <w:szCs w:val="24"/>
              </w:rPr>
            </w:pPr>
            <w:r w:rsidRPr="00B974A2">
              <w:rPr>
                <w:rFonts w:ascii="Palatino Linotype" w:eastAsia="Calibri" w:hAnsi="Palatino Linotype" w:cs="Times New Roman"/>
                <w:sz w:val="24"/>
                <w:szCs w:val="24"/>
                <w:lang w:eastAsia="it-IT"/>
              </w:rPr>
              <w:t>Il T.a.r.</w:t>
            </w:r>
            <w:r>
              <w:rPr>
                <w:rFonts w:ascii="Palatino Linotype" w:eastAsia="Calibri" w:hAnsi="Palatino Linotype" w:cs="Times New Roman"/>
                <w:sz w:val="24"/>
                <w:szCs w:val="24"/>
              </w:rPr>
              <w:t xml:space="preserve"> </w:t>
            </w:r>
            <w:r w:rsidR="00526E47">
              <w:rPr>
                <w:rFonts w:ascii="Palatino Linotype" w:eastAsia="Calibri" w:hAnsi="Palatino Linotype" w:cs="Times New Roman"/>
                <w:sz w:val="24"/>
                <w:szCs w:val="24"/>
                <w:lang w:eastAsia="it-IT"/>
              </w:rPr>
              <w:t>per la Calabria</w:t>
            </w:r>
            <w:r>
              <w:rPr>
                <w:rFonts w:ascii="Palatino Linotype" w:eastAsia="Calibri" w:hAnsi="Palatino Linotype" w:cs="Times New Roman"/>
                <w:sz w:val="24"/>
                <w:szCs w:val="24"/>
                <w:lang w:eastAsia="it-IT"/>
              </w:rPr>
              <w:t xml:space="preserve"> fornisce alcuni chiarimenti sulla </w:t>
            </w:r>
            <w:r w:rsidRPr="00B56D54">
              <w:rPr>
                <w:rFonts w:ascii="Palatino Linotype" w:eastAsia="Calibri" w:hAnsi="Palatino Linotype" w:cs="Times New Roman"/>
                <w:sz w:val="24"/>
                <w:szCs w:val="24"/>
                <w:lang w:eastAsia="it-IT"/>
              </w:rPr>
              <w:t>disciplina della valutazione ambientale strategica (Vas)</w:t>
            </w:r>
            <w:r>
              <w:rPr>
                <w:rFonts w:ascii="Palatino Linotype" w:eastAsia="Calibri" w:hAnsi="Palatino Linotype" w:cs="Times New Roman"/>
                <w:sz w:val="24"/>
                <w:szCs w:val="24"/>
                <w:lang w:eastAsia="it-IT"/>
              </w:rPr>
              <w:t xml:space="preserve"> la quale</w:t>
            </w:r>
            <w:r w:rsidRPr="00B56D54">
              <w:rPr>
                <w:rFonts w:ascii="Palatino Linotype" w:eastAsia="Calibri" w:hAnsi="Palatino Linotype" w:cs="Times New Roman"/>
                <w:sz w:val="24"/>
                <w:szCs w:val="24"/>
                <w:lang w:eastAsia="it-IT"/>
              </w:rPr>
              <w:t xml:space="preserve"> integra </w:t>
            </w:r>
            <w:r>
              <w:rPr>
                <w:rFonts w:ascii="Palatino Linotype" w:eastAsia="Calibri" w:hAnsi="Palatino Linotype" w:cs="Times New Roman"/>
                <w:sz w:val="24"/>
                <w:szCs w:val="24"/>
                <w:lang w:eastAsia="it-IT"/>
              </w:rPr>
              <w:t>l’</w:t>
            </w:r>
            <w:r w:rsidRPr="00B56D54">
              <w:rPr>
                <w:rFonts w:ascii="Palatino Linotype" w:eastAsia="Calibri" w:hAnsi="Palatino Linotype" w:cs="Times New Roman"/>
                <w:sz w:val="24"/>
                <w:szCs w:val="24"/>
                <w:lang w:eastAsia="it-IT"/>
              </w:rPr>
              <w:t>attuazione della Direttiva 2001/42/CE del Parlamento europeo e del Consiglio, del 27 giugno 2001, concernente la valutazione degli effetti di determinati piani e programmi sull'ambiente.</w:t>
            </w:r>
          </w:p>
          <w:p w:rsidR="00B56D54" w:rsidRPr="00B56D54" w:rsidRDefault="00B56D54" w:rsidP="00B56D54">
            <w:pPr>
              <w:autoSpaceDE w:val="0"/>
              <w:autoSpaceDN w:val="0"/>
              <w:spacing w:after="0" w:line="276" w:lineRule="auto"/>
              <w:jc w:val="both"/>
              <w:rPr>
                <w:rStyle w:val="Collegamentoipertestuale"/>
                <w:rFonts w:ascii="Palatino Linotype" w:eastAsia="Calibri" w:hAnsi="Palatino Linotype" w:cs="Times New Roman"/>
                <w:color w:val="auto"/>
                <w:sz w:val="24"/>
                <w:szCs w:val="24"/>
                <w:u w:val="none"/>
              </w:rPr>
            </w:pPr>
          </w:p>
          <w:p w:rsidR="00B56D54" w:rsidRDefault="00B34862" w:rsidP="00B56D54">
            <w:pPr>
              <w:autoSpaceDE w:val="0"/>
              <w:autoSpaceDN w:val="0"/>
              <w:spacing w:after="0" w:line="276" w:lineRule="auto"/>
              <w:jc w:val="both"/>
              <w:rPr>
                <w:rFonts w:ascii="Palatino Linotype" w:eastAsia="Calibri" w:hAnsi="Palatino Linotype" w:cs="Times New Roman"/>
                <w:sz w:val="24"/>
                <w:szCs w:val="24"/>
              </w:rPr>
            </w:pPr>
            <w:hyperlink r:id="rId22" w:history="1">
              <w:r w:rsidR="00B56D54" w:rsidRPr="0083239E">
                <w:rPr>
                  <w:rStyle w:val="Collegamentoipertestuale"/>
                  <w:rFonts w:ascii="Palatino Linotype" w:eastAsia="Calibri" w:hAnsi="Palatino Linotype" w:cs="Times New Roman"/>
                  <w:sz w:val="24"/>
                  <w:szCs w:val="24"/>
                </w:rPr>
                <w:t xml:space="preserve">T.a.r. per la Calabria - Catanzaro, sezione I, sentenza 9 novembre 2018, n. 1888 – Pres. </w:t>
              </w:r>
              <w:proofErr w:type="spellStart"/>
              <w:r w:rsidR="00B56D54" w:rsidRPr="0083239E">
                <w:rPr>
                  <w:rStyle w:val="Collegamentoipertestuale"/>
                  <w:rFonts w:ascii="Palatino Linotype" w:eastAsia="Calibri" w:hAnsi="Palatino Linotype" w:cs="Times New Roman"/>
                  <w:sz w:val="24"/>
                  <w:szCs w:val="24"/>
                </w:rPr>
                <w:t>Salamone</w:t>
              </w:r>
              <w:proofErr w:type="spellEnd"/>
              <w:r w:rsidR="00B56D54" w:rsidRPr="0083239E">
                <w:rPr>
                  <w:rStyle w:val="Collegamentoipertestuale"/>
                  <w:rFonts w:ascii="Palatino Linotype" w:eastAsia="Calibri" w:hAnsi="Palatino Linotype" w:cs="Times New Roman"/>
                  <w:sz w:val="24"/>
                  <w:szCs w:val="24"/>
                </w:rPr>
                <w:t xml:space="preserve">, Est. </w:t>
              </w:r>
              <w:proofErr w:type="spellStart"/>
              <w:r w:rsidR="00B56D54" w:rsidRPr="0083239E">
                <w:rPr>
                  <w:rStyle w:val="Collegamentoipertestuale"/>
                  <w:rFonts w:ascii="Palatino Linotype" w:eastAsia="Calibri" w:hAnsi="Palatino Linotype" w:cs="Times New Roman"/>
                  <w:sz w:val="24"/>
                  <w:szCs w:val="24"/>
                </w:rPr>
                <w:t>Tallaro</w:t>
              </w:r>
              <w:proofErr w:type="spellEnd"/>
            </w:hyperlink>
          </w:p>
          <w:p w:rsidR="00B56D54" w:rsidRDefault="00B56D54" w:rsidP="00917DE5">
            <w:pPr>
              <w:pStyle w:val="NormaleWeb"/>
              <w:jc w:val="both"/>
              <w:rPr>
                <w:rFonts w:ascii="Palatino Linotype" w:eastAsia="Calibri" w:hAnsi="Palatino Linotype"/>
              </w:rPr>
            </w:pPr>
            <w:r w:rsidRPr="005739FC">
              <w:rPr>
                <w:rFonts w:ascii="Palatino Linotype" w:eastAsia="Calibri" w:hAnsi="Palatino Linotype"/>
              </w:rPr>
              <w:t>Ha chiarito il T</w:t>
            </w:r>
            <w:r>
              <w:rPr>
                <w:rFonts w:ascii="Palatino Linotype" w:eastAsia="Calibri" w:hAnsi="Palatino Linotype"/>
              </w:rPr>
              <w:t>.</w:t>
            </w:r>
            <w:r w:rsidRPr="005739FC">
              <w:rPr>
                <w:rFonts w:ascii="Palatino Linotype" w:eastAsia="Calibri" w:hAnsi="Palatino Linotype"/>
              </w:rPr>
              <w:t>a</w:t>
            </w:r>
            <w:r>
              <w:rPr>
                <w:rFonts w:ascii="Palatino Linotype" w:eastAsia="Calibri" w:hAnsi="Palatino Linotype"/>
              </w:rPr>
              <w:t>.</w:t>
            </w:r>
            <w:r w:rsidRPr="005739FC">
              <w:rPr>
                <w:rFonts w:ascii="Palatino Linotype" w:eastAsia="Calibri" w:hAnsi="Palatino Linotype"/>
              </w:rPr>
              <w:t>r</w:t>
            </w:r>
            <w:r>
              <w:rPr>
                <w:rFonts w:ascii="Palatino Linotype" w:eastAsia="Calibri" w:hAnsi="Palatino Linotype"/>
              </w:rPr>
              <w:t>. che l</w:t>
            </w:r>
            <w:r w:rsidRPr="00B56D54">
              <w:rPr>
                <w:rFonts w:ascii="Palatino Linotype" w:eastAsia="Calibri" w:hAnsi="Palatino Linotype"/>
              </w:rPr>
              <w:t>a valutazione ambientale strategica (Vas) ha la finalità di guidare l'amministrazione nell'effettuazione delle scelte discrezionali da compiersi nei procedimenti volti all'approvazione dei piani e dei programmi, in modo da far sì che tali scelte siano sempre orientate a garantire un elevato livello di protezione dell'ambiente; per assicurare il raggiungimento di questo scopo, si è previsto che la procedura della Vas sia concomitante a quella che ha per oggetto l'approvazione dei piani e dei programmi sì da favorire sin da subito l'emersione e l'evidenziazione dell'interesse ambientale</w:t>
            </w:r>
            <w:r>
              <w:rPr>
                <w:rFonts w:ascii="Palatino Linotype" w:eastAsia="Calibri" w:hAnsi="Palatino Linotype"/>
              </w:rPr>
              <w:t>.</w:t>
            </w:r>
          </w:p>
          <w:p w:rsidR="008310C9" w:rsidRPr="00900FF7" w:rsidRDefault="00F84BC4" w:rsidP="008310C9">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(15</w:t>
            </w:r>
            <w:r w:rsidR="008310C9" w:rsidRPr="00900FF7">
              <w:rPr>
                <w:rFonts w:ascii="Palatino Linotype" w:eastAsia="Calibri" w:hAnsi="Palatino Linotype" w:cs="Times New Roman"/>
                <w:color w:val="4472C4"/>
                <w:sz w:val="32"/>
                <w:szCs w:val="32"/>
              </w:rPr>
              <w:t>)</w:t>
            </w:r>
          </w:p>
          <w:p w:rsidR="008310C9" w:rsidRDefault="008310C9" w:rsidP="008310C9">
            <w:pPr>
              <w:pStyle w:val="NormaleWeb"/>
              <w:spacing w:after="160"/>
              <w:jc w:val="both"/>
              <w:rPr>
                <w:rFonts w:ascii="Palatino Linotype" w:eastAsia="Calibri" w:hAnsi="Palatino Linotype"/>
              </w:rPr>
            </w:pPr>
            <w:r>
              <w:rPr>
                <w:rFonts w:ascii="Palatino Linotype" w:eastAsia="Calibri" w:hAnsi="Palatino Linotype"/>
              </w:rPr>
              <w:t>I</w:t>
            </w:r>
            <w:r w:rsidRPr="00B974A2">
              <w:rPr>
                <w:rFonts w:ascii="Palatino Linotype" w:eastAsia="Calibri" w:hAnsi="Palatino Linotype"/>
              </w:rPr>
              <w:t>l T.a.r.</w:t>
            </w:r>
            <w:r>
              <w:rPr>
                <w:rFonts w:ascii="Palatino Linotype" w:eastAsia="Calibri" w:hAnsi="Palatino Linotype"/>
              </w:rPr>
              <w:t xml:space="preserve"> per la Toscana</w:t>
            </w:r>
            <w:r w:rsidRPr="008310C9">
              <w:rPr>
                <w:rFonts w:ascii="Palatino Linotype" w:eastAsia="Calibri" w:hAnsi="Palatino Linotype"/>
              </w:rPr>
              <w:t xml:space="preserve"> attribuisce al giudice ordinario la giurisdizione sulla decadenza dall'assegnazione di alloggio </w:t>
            </w:r>
            <w:r>
              <w:rPr>
                <w:rFonts w:ascii="Palatino Linotype" w:eastAsia="Calibri" w:hAnsi="Palatino Linotype"/>
              </w:rPr>
              <w:t xml:space="preserve">di </w:t>
            </w:r>
            <w:r w:rsidRPr="008310C9">
              <w:rPr>
                <w:rFonts w:ascii="Palatino Linotype" w:eastAsia="Calibri" w:hAnsi="Palatino Linotype"/>
              </w:rPr>
              <w:t>edilizia residenziale pubblica</w:t>
            </w:r>
            <w:r>
              <w:rPr>
                <w:rFonts w:ascii="Palatino Linotype" w:eastAsia="Calibri" w:hAnsi="Palatino Linotype"/>
              </w:rPr>
              <w:t>.</w:t>
            </w:r>
          </w:p>
          <w:p w:rsidR="008310C9" w:rsidRDefault="00B34862" w:rsidP="008310C9">
            <w:pPr>
              <w:autoSpaceDE w:val="0"/>
              <w:autoSpaceDN w:val="0"/>
              <w:spacing w:after="0" w:line="276" w:lineRule="auto"/>
              <w:jc w:val="both"/>
              <w:rPr>
                <w:rStyle w:val="Collegamentoipertestuale"/>
                <w:rFonts w:ascii="Palatino Linotype" w:eastAsia="Calibri" w:hAnsi="Palatino Linotype" w:cs="Times New Roman"/>
                <w:sz w:val="24"/>
                <w:szCs w:val="24"/>
              </w:rPr>
            </w:pPr>
            <w:hyperlink r:id="rId23" w:history="1">
              <w:r w:rsidR="008310C9" w:rsidRPr="0083239E">
                <w:rPr>
                  <w:rStyle w:val="Collegamentoipertestuale"/>
                  <w:rFonts w:ascii="Palatino Linotype" w:eastAsia="Calibri" w:hAnsi="Palatino Linotype" w:cs="Times New Roman"/>
                  <w:sz w:val="24"/>
                  <w:szCs w:val="24"/>
                </w:rPr>
                <w:t xml:space="preserve">T.a.r. per la Toscana, sezione </w:t>
              </w:r>
              <w:r w:rsidR="00D035C0">
                <w:rPr>
                  <w:rStyle w:val="Collegamentoipertestuale"/>
                  <w:rFonts w:ascii="Palatino Linotype" w:eastAsia="Calibri" w:hAnsi="Palatino Linotype" w:cs="Times New Roman"/>
                  <w:sz w:val="24"/>
                  <w:szCs w:val="24"/>
                </w:rPr>
                <w:t>I</w:t>
              </w:r>
              <w:r w:rsidR="008310C9" w:rsidRPr="0083239E">
                <w:rPr>
                  <w:rStyle w:val="Collegamentoipertestuale"/>
                  <w:rFonts w:ascii="Palatino Linotype" w:eastAsia="Calibri" w:hAnsi="Palatino Linotype" w:cs="Times New Roman"/>
                  <w:sz w:val="24"/>
                  <w:szCs w:val="24"/>
                </w:rPr>
                <w:t>I, sentenza 30 ottobre 2018, n. 1399 – Pres. Romano, Est. Cacciari</w:t>
              </w:r>
            </w:hyperlink>
          </w:p>
          <w:p w:rsidR="00200EF8" w:rsidRDefault="00200EF8" w:rsidP="008310C9">
            <w:pPr>
              <w:autoSpaceDE w:val="0"/>
              <w:autoSpaceDN w:val="0"/>
              <w:spacing w:after="0" w:line="276" w:lineRule="auto"/>
              <w:jc w:val="both"/>
              <w:rPr>
                <w:rStyle w:val="Collegamentoipertestuale"/>
                <w:rFonts w:ascii="Palatino Linotype" w:eastAsia="Calibri" w:hAnsi="Palatino Linotype" w:cs="Times New Roman"/>
                <w:sz w:val="24"/>
                <w:szCs w:val="24"/>
              </w:rPr>
            </w:pPr>
          </w:p>
          <w:p w:rsidR="008310C9" w:rsidRDefault="00916D76" w:rsidP="00916D76">
            <w:pPr>
              <w:autoSpaceDE w:val="0"/>
              <w:autoSpaceDN w:val="0"/>
              <w:spacing w:after="0" w:line="276" w:lineRule="auto"/>
              <w:jc w:val="both"/>
              <w:rPr>
                <w:rFonts w:ascii="Palatino Linotype" w:eastAsia="Calibri" w:hAnsi="Palatino Linotype" w:cs="Times New Roman"/>
                <w:sz w:val="24"/>
                <w:szCs w:val="24"/>
              </w:rPr>
            </w:pPr>
            <w:r>
              <w:rPr>
                <w:rFonts w:ascii="Palatino Linotype" w:eastAsia="Calibri" w:hAnsi="Palatino Linotype"/>
              </w:rPr>
              <w:t>I</w:t>
            </w:r>
            <w:r w:rsidR="008310C9" w:rsidRPr="005739FC">
              <w:rPr>
                <w:rFonts w:ascii="Palatino Linotype" w:eastAsia="Calibri" w:hAnsi="Palatino Linotype"/>
              </w:rPr>
              <w:t>l T</w:t>
            </w:r>
            <w:r w:rsidR="008310C9">
              <w:rPr>
                <w:rFonts w:ascii="Palatino Linotype" w:eastAsia="Calibri" w:hAnsi="Palatino Linotype"/>
              </w:rPr>
              <w:t>.</w:t>
            </w:r>
            <w:r w:rsidR="008310C9" w:rsidRPr="005739FC">
              <w:rPr>
                <w:rFonts w:ascii="Palatino Linotype" w:eastAsia="Calibri" w:hAnsi="Palatino Linotype"/>
              </w:rPr>
              <w:t>a</w:t>
            </w:r>
            <w:r w:rsidR="008310C9">
              <w:rPr>
                <w:rFonts w:ascii="Palatino Linotype" w:eastAsia="Calibri" w:hAnsi="Palatino Linotype"/>
              </w:rPr>
              <w:t>.</w:t>
            </w:r>
            <w:r>
              <w:rPr>
                <w:rFonts w:ascii="Palatino Linotype" w:eastAsia="Calibri" w:hAnsi="Palatino Linotype"/>
              </w:rPr>
              <w:t xml:space="preserve">r., pur dando atto </w:t>
            </w:r>
            <w:r w:rsidRPr="00916D76">
              <w:rPr>
                <w:rFonts w:ascii="Palatino Linotype" w:eastAsia="Calibri" w:hAnsi="Palatino Linotype"/>
              </w:rPr>
              <w:t>di un c</w:t>
            </w:r>
            <w:r w:rsidR="00DB7EC9">
              <w:rPr>
                <w:rFonts w:ascii="Palatino Linotype" w:eastAsia="Calibri" w:hAnsi="Palatino Linotype"/>
              </w:rPr>
              <w:t>ontrario orientamento (Cons. Stato</w:t>
            </w:r>
            <w:r w:rsidRPr="00916D76">
              <w:rPr>
                <w:rFonts w:ascii="Palatino Linotype" w:eastAsia="Calibri" w:hAnsi="Palatino Linotype"/>
              </w:rPr>
              <w:t>, sez. V, 21 agosto 2014, n. 4270)</w:t>
            </w:r>
            <w:r>
              <w:rPr>
                <w:rFonts w:ascii="Palatino Linotype" w:eastAsia="Calibri" w:hAnsi="Palatino Linotype"/>
              </w:rPr>
              <w:t xml:space="preserve">, ritiene </w:t>
            </w:r>
            <w:r w:rsidR="008310C9">
              <w:rPr>
                <w:rFonts w:ascii="Palatino Linotype" w:eastAsia="Calibri" w:hAnsi="Palatino Linotype"/>
              </w:rPr>
              <w:t>che r</w:t>
            </w:r>
            <w:r w:rsidR="008310C9" w:rsidRPr="008310C9">
              <w:rPr>
                <w:rFonts w:ascii="Palatino Linotype" w:eastAsia="Calibri" w:hAnsi="Palatino Linotype" w:cs="Times New Roman"/>
                <w:sz w:val="24"/>
                <w:szCs w:val="24"/>
              </w:rPr>
              <w:t>ientra nella giurisdizione del giudice ordinario la controversia avente ad oggetto la decadenza dall'assegnazione di alloggio di edilizia residenziale pubblica e il contestuale ordine di rilascio. L’assegnaz</w:t>
            </w:r>
            <w:r>
              <w:rPr>
                <w:rFonts w:ascii="Palatino Linotype" w:eastAsia="Calibri" w:hAnsi="Palatino Linotype" w:cs="Times New Roman"/>
                <w:sz w:val="24"/>
                <w:szCs w:val="24"/>
              </w:rPr>
              <w:t xml:space="preserve">ione dell’alloggio non è infatti </w:t>
            </w:r>
            <w:r w:rsidR="008310C9" w:rsidRPr="008310C9">
              <w:rPr>
                <w:rFonts w:ascii="Palatino Linotype" w:eastAsia="Calibri" w:hAnsi="Palatino Linotype" w:cs="Times New Roman"/>
                <w:sz w:val="24"/>
                <w:szCs w:val="24"/>
              </w:rPr>
              <w:t>mero strumen</w:t>
            </w:r>
            <w:r>
              <w:rPr>
                <w:rFonts w:ascii="Palatino Linotype" w:eastAsia="Calibri" w:hAnsi="Palatino Linotype" w:cs="Times New Roman"/>
                <w:sz w:val="24"/>
                <w:szCs w:val="24"/>
              </w:rPr>
              <w:t>to di gestione di bene pubblico, ma è</w:t>
            </w:r>
            <w:r w:rsidR="008310C9" w:rsidRPr="008310C9">
              <w:rPr>
                <w:rFonts w:ascii="Palatino Linotype" w:eastAsia="Calibri" w:hAnsi="Palatino Linotype" w:cs="Times New Roman"/>
                <w:sz w:val="24"/>
                <w:szCs w:val="24"/>
              </w:rPr>
              <w:t xml:space="preserve"> un’attività in cui l’utilizzo del bene pubblico è strumentale alla soddisfazione di un bisogno generale della collettività e, pertanto, essa ap</w:t>
            </w:r>
            <w:r>
              <w:rPr>
                <w:rFonts w:ascii="Palatino Linotype" w:eastAsia="Calibri" w:hAnsi="Palatino Linotype" w:cs="Times New Roman"/>
                <w:sz w:val="24"/>
                <w:szCs w:val="24"/>
              </w:rPr>
              <w:t xml:space="preserve">pare </w:t>
            </w:r>
            <w:r w:rsidR="008310C9" w:rsidRPr="008310C9">
              <w:rPr>
                <w:rFonts w:ascii="Palatino Linotype" w:eastAsia="Calibri" w:hAnsi="Palatino Linotype" w:cs="Times New Roman"/>
                <w:sz w:val="24"/>
                <w:szCs w:val="24"/>
              </w:rPr>
              <w:t>pienamente inquadrabile nella nozione di pubblico servizio. Tale è infatti quella attività che il soggetto pubblico, attraverso l’uso dei poteri di cui dispone, assume tra le proprie finalità istituzionali al fine di migliorare il benessere della comunità di riferimento.</w:t>
            </w:r>
          </w:p>
          <w:p w:rsidR="007424F4" w:rsidRDefault="007424F4" w:rsidP="00916D76">
            <w:pPr>
              <w:autoSpaceDE w:val="0"/>
              <w:autoSpaceDN w:val="0"/>
              <w:spacing w:after="0" w:line="276" w:lineRule="auto"/>
              <w:jc w:val="both"/>
              <w:rPr>
                <w:rFonts w:ascii="Palatino Linotype" w:eastAsia="Calibri" w:hAnsi="Palatino Linotype" w:cs="Times New Roman"/>
                <w:sz w:val="24"/>
                <w:szCs w:val="24"/>
              </w:rPr>
            </w:pPr>
          </w:p>
          <w:p w:rsidR="00F84BC4" w:rsidRPr="00900FF7" w:rsidRDefault="00F84BC4" w:rsidP="00F84BC4">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(16</w:t>
            </w:r>
            <w:r w:rsidRPr="00900FF7">
              <w:rPr>
                <w:rFonts w:ascii="Palatino Linotype" w:eastAsia="Calibri" w:hAnsi="Palatino Linotype" w:cs="Times New Roman"/>
                <w:color w:val="4472C4"/>
                <w:sz w:val="32"/>
                <w:szCs w:val="32"/>
              </w:rPr>
              <w:t>)</w:t>
            </w:r>
          </w:p>
          <w:p w:rsidR="00F84BC4" w:rsidRDefault="00F84BC4" w:rsidP="00F84BC4">
            <w:pPr>
              <w:autoSpaceDE w:val="0"/>
              <w:autoSpaceDN w:val="0"/>
              <w:spacing w:after="0" w:line="276" w:lineRule="auto"/>
              <w:jc w:val="both"/>
              <w:rPr>
                <w:rFonts w:ascii="Palatino Linotype" w:eastAsia="Calibri" w:hAnsi="Palatino Linotype" w:cs="Times New Roman"/>
                <w:sz w:val="24"/>
                <w:szCs w:val="24"/>
              </w:rPr>
            </w:pPr>
          </w:p>
          <w:p w:rsidR="00F84BC4" w:rsidRPr="00900FF7" w:rsidRDefault="00F84BC4" w:rsidP="00F84BC4">
            <w:pPr>
              <w:autoSpaceDE w:val="0"/>
              <w:autoSpaceDN w:val="0"/>
              <w:spacing w:after="0" w:line="276" w:lineRule="auto"/>
              <w:jc w:val="both"/>
            </w:pPr>
            <w:r w:rsidRPr="00E7518A">
              <w:rPr>
                <w:rFonts w:ascii="Palatino Linotype" w:eastAsia="Calibri" w:hAnsi="Palatino Linotype" w:cs="Times New Roman"/>
                <w:sz w:val="24"/>
                <w:szCs w:val="24"/>
              </w:rPr>
              <w:t>Il T.a.r.</w:t>
            </w:r>
            <w:r>
              <w:rPr>
                <w:rFonts w:ascii="Palatino Linotype" w:eastAsia="Calibri" w:hAnsi="Palatino Linotype" w:cs="Times New Roman"/>
                <w:sz w:val="24"/>
                <w:szCs w:val="24"/>
              </w:rPr>
              <w:t xml:space="preserve"> per la Sicilia fornisce alcuni chiarimenti sull’a</w:t>
            </w:r>
            <w:r w:rsidRPr="00900FF7">
              <w:rPr>
                <w:rFonts w:ascii="Palatino Linotype" w:eastAsia="Calibri" w:hAnsi="Palatino Linotype" w:cs="Times New Roman"/>
                <w:sz w:val="24"/>
                <w:szCs w:val="24"/>
              </w:rPr>
              <w:t>ccesso ai documenti relativi allo scioglimento del Consiglio comunale per infiltrazione mafiosa</w:t>
            </w:r>
            <w:r>
              <w:rPr>
                <w:rFonts w:ascii="Palatino Linotype" w:eastAsia="Calibri" w:hAnsi="Palatino Linotype" w:cs="Times New Roman"/>
                <w:sz w:val="24"/>
                <w:szCs w:val="24"/>
              </w:rPr>
              <w:t>, anche relativamente al criterio della competenza.</w:t>
            </w:r>
          </w:p>
          <w:p w:rsidR="00F84BC4" w:rsidRDefault="00F84BC4" w:rsidP="00F84BC4">
            <w:pPr>
              <w:autoSpaceDE w:val="0"/>
              <w:autoSpaceDN w:val="0"/>
              <w:spacing w:after="0" w:line="276" w:lineRule="auto"/>
              <w:jc w:val="both"/>
              <w:rPr>
                <w:rStyle w:val="Collegamentoipertestuale"/>
                <w:rFonts w:ascii="Palatino Linotype" w:eastAsia="Calibri" w:hAnsi="Palatino Linotype" w:cs="Times New Roman"/>
                <w:sz w:val="24"/>
                <w:szCs w:val="24"/>
              </w:rPr>
            </w:pPr>
          </w:p>
          <w:p w:rsidR="00F84BC4" w:rsidRDefault="00B34862" w:rsidP="00F84BC4">
            <w:pPr>
              <w:autoSpaceDE w:val="0"/>
              <w:autoSpaceDN w:val="0"/>
              <w:spacing w:after="0" w:line="276" w:lineRule="auto"/>
              <w:jc w:val="both"/>
              <w:rPr>
                <w:rStyle w:val="Collegamentoipertestuale"/>
                <w:rFonts w:ascii="Palatino Linotype" w:eastAsia="Calibri" w:hAnsi="Palatino Linotype" w:cs="Times New Roman"/>
                <w:sz w:val="24"/>
                <w:szCs w:val="24"/>
              </w:rPr>
            </w:pPr>
            <w:hyperlink r:id="rId24" w:history="1">
              <w:r w:rsidR="00F84BC4" w:rsidRPr="0083239E">
                <w:rPr>
                  <w:rStyle w:val="Collegamentoipertestuale"/>
                  <w:rFonts w:ascii="Palatino Linotype" w:eastAsia="Calibri" w:hAnsi="Palatino Linotype" w:cs="Times New Roman"/>
                  <w:sz w:val="24"/>
                  <w:szCs w:val="24"/>
                </w:rPr>
                <w:t xml:space="preserve">T.a.r. per la Sicilia - Palermo, sezione I, sentenza 19 ottobre 2018, n. 2122 – Pres. </w:t>
              </w:r>
              <w:proofErr w:type="spellStart"/>
              <w:r w:rsidR="00F84BC4" w:rsidRPr="0083239E">
                <w:rPr>
                  <w:rStyle w:val="Collegamentoipertestuale"/>
                  <w:rFonts w:ascii="Palatino Linotype" w:eastAsia="Calibri" w:hAnsi="Palatino Linotype" w:cs="Times New Roman"/>
                  <w:sz w:val="24"/>
                  <w:szCs w:val="24"/>
                </w:rPr>
                <w:t>Ferlisi</w:t>
              </w:r>
              <w:proofErr w:type="spellEnd"/>
              <w:r w:rsidR="00F84BC4" w:rsidRPr="0083239E">
                <w:rPr>
                  <w:rStyle w:val="Collegamentoipertestuale"/>
                  <w:rFonts w:ascii="Palatino Linotype" w:eastAsia="Calibri" w:hAnsi="Palatino Linotype" w:cs="Times New Roman"/>
                  <w:sz w:val="24"/>
                  <w:szCs w:val="24"/>
                </w:rPr>
                <w:t>, Est. Tulumello</w:t>
              </w:r>
            </w:hyperlink>
          </w:p>
          <w:p w:rsidR="00F64961" w:rsidRDefault="00F64961" w:rsidP="00F84BC4">
            <w:pPr>
              <w:autoSpaceDE w:val="0"/>
              <w:autoSpaceDN w:val="0"/>
              <w:spacing w:after="0" w:line="276" w:lineRule="auto"/>
              <w:jc w:val="both"/>
              <w:rPr>
                <w:rFonts w:ascii="Palatino Linotype" w:eastAsia="Calibri" w:hAnsi="Palatino Linotype" w:cs="Times New Roman"/>
                <w:sz w:val="24"/>
                <w:szCs w:val="24"/>
              </w:rPr>
            </w:pPr>
          </w:p>
          <w:p w:rsidR="00F64961" w:rsidRDefault="00F84BC4" w:rsidP="00F64961">
            <w:pPr>
              <w:pStyle w:val="NormaleWeb"/>
              <w:spacing w:before="0" w:beforeAutospacing="0" w:after="0" w:afterAutospacing="0"/>
              <w:jc w:val="both"/>
              <w:rPr>
                <w:rFonts w:ascii="Palatino Linotype" w:eastAsia="Calibri" w:hAnsi="Palatino Linotype"/>
              </w:rPr>
            </w:pPr>
            <w:r w:rsidRPr="005739FC">
              <w:rPr>
                <w:rFonts w:ascii="Palatino Linotype" w:eastAsia="Calibri" w:hAnsi="Palatino Linotype"/>
              </w:rPr>
              <w:t>Ha chiarito il T</w:t>
            </w:r>
            <w:r>
              <w:rPr>
                <w:rFonts w:ascii="Palatino Linotype" w:eastAsia="Calibri" w:hAnsi="Palatino Linotype"/>
              </w:rPr>
              <w:t>.</w:t>
            </w:r>
            <w:r w:rsidRPr="005739FC">
              <w:rPr>
                <w:rFonts w:ascii="Palatino Linotype" w:eastAsia="Calibri" w:hAnsi="Palatino Linotype"/>
              </w:rPr>
              <w:t>a</w:t>
            </w:r>
            <w:r>
              <w:rPr>
                <w:rFonts w:ascii="Palatino Linotype" w:eastAsia="Calibri" w:hAnsi="Palatino Linotype"/>
              </w:rPr>
              <w:t>.</w:t>
            </w:r>
            <w:r w:rsidRPr="005739FC">
              <w:rPr>
                <w:rFonts w:ascii="Palatino Linotype" w:eastAsia="Calibri" w:hAnsi="Palatino Linotype"/>
              </w:rPr>
              <w:t>r</w:t>
            </w:r>
            <w:r>
              <w:rPr>
                <w:rFonts w:ascii="Palatino Linotype" w:eastAsia="Calibri" w:hAnsi="Palatino Linotype"/>
              </w:rPr>
              <w:t>.</w:t>
            </w:r>
            <w:r w:rsidRPr="005739FC">
              <w:rPr>
                <w:rFonts w:ascii="Palatino Linotype" w:eastAsia="Calibri" w:hAnsi="Palatino Linotype"/>
              </w:rPr>
              <w:t xml:space="preserve"> che </w:t>
            </w:r>
            <w:r>
              <w:rPr>
                <w:rFonts w:ascii="Palatino Linotype" w:eastAsia="Calibri" w:hAnsi="Palatino Linotype"/>
              </w:rPr>
              <w:t>r</w:t>
            </w:r>
            <w:r w:rsidRPr="00900FF7">
              <w:rPr>
                <w:rFonts w:ascii="Palatino Linotype" w:eastAsia="Calibri" w:hAnsi="Palatino Linotype"/>
              </w:rPr>
              <w:t>ientra nella competenza del Tar periferico e non in qu</w:t>
            </w:r>
            <w:r>
              <w:rPr>
                <w:rFonts w:ascii="Palatino Linotype" w:eastAsia="Calibri" w:hAnsi="Palatino Linotype"/>
              </w:rPr>
              <w:t>ella del Tar Lazio</w:t>
            </w:r>
            <w:r w:rsidRPr="00900FF7">
              <w:rPr>
                <w:rFonts w:ascii="Palatino Linotype" w:eastAsia="Calibri" w:hAnsi="Palatino Linotype"/>
              </w:rPr>
              <w:t xml:space="preserve">, ex art. 135, comma 1, lett. q), </w:t>
            </w:r>
            <w:proofErr w:type="spellStart"/>
            <w:r w:rsidRPr="00900FF7">
              <w:rPr>
                <w:rFonts w:ascii="Palatino Linotype" w:eastAsia="Calibri" w:hAnsi="Palatino Linotype"/>
              </w:rPr>
              <w:t>c.p.a</w:t>
            </w:r>
            <w:proofErr w:type="spellEnd"/>
            <w:r w:rsidRPr="00900FF7">
              <w:rPr>
                <w:rFonts w:ascii="Palatino Linotype" w:eastAsia="Calibri" w:hAnsi="Palatino Linotype"/>
              </w:rPr>
              <w:t xml:space="preserve">., la controversia avente ad oggetto il diniego di accesso agli atti relativi allo scioglimento di un Consiglio comunale per infiltrazione mafiosa, e ciò in quanto la norma del Codice del processo amministrativo che individua le competenze inderogabili del Tar Lazio sono eccezionali e derogatorie dei principi generali in materia di competenza dettate dagli artt. 13 e ss. </w:t>
            </w:r>
            <w:proofErr w:type="spellStart"/>
            <w:r w:rsidRPr="00900FF7">
              <w:rPr>
                <w:rFonts w:ascii="Palatino Linotype" w:eastAsia="Calibri" w:hAnsi="Palatino Linotype"/>
              </w:rPr>
              <w:t>c.p.a</w:t>
            </w:r>
            <w:proofErr w:type="spellEnd"/>
            <w:r w:rsidRPr="00900FF7">
              <w:rPr>
                <w:rFonts w:ascii="Palatino Linotype" w:eastAsia="Calibri" w:hAnsi="Palatino Linotype"/>
              </w:rPr>
              <w:t>. e quindi non estensibili in via analogica</w:t>
            </w:r>
            <w:r>
              <w:rPr>
                <w:rFonts w:ascii="Palatino Linotype" w:eastAsia="Calibri" w:hAnsi="Palatino Linotype"/>
              </w:rPr>
              <w:t>.</w:t>
            </w:r>
          </w:p>
          <w:p w:rsidR="00F84BC4" w:rsidRDefault="00F84BC4" w:rsidP="00F64961">
            <w:pPr>
              <w:pStyle w:val="NormaleWeb"/>
              <w:spacing w:before="0" w:beforeAutospacing="0" w:after="0" w:afterAutospacing="0"/>
              <w:jc w:val="both"/>
              <w:rPr>
                <w:rFonts w:ascii="Palatino Linotype" w:eastAsia="Calibri" w:hAnsi="Palatino Linotype"/>
              </w:rPr>
            </w:pPr>
            <w:r>
              <w:rPr>
                <w:rFonts w:ascii="Palatino Linotype" w:eastAsia="Calibri" w:hAnsi="Palatino Linotype"/>
              </w:rPr>
              <w:t>Chiarisce, altresì, che è</w:t>
            </w:r>
            <w:r w:rsidRPr="00900FF7">
              <w:rPr>
                <w:rFonts w:ascii="Palatino Linotype" w:eastAsia="Calibri" w:hAnsi="Palatino Linotype"/>
              </w:rPr>
              <w:t xml:space="preserve"> illegittimo il diniego di accesso ai documenti relativi allo scioglimento di un Consiglio co</w:t>
            </w:r>
            <w:r>
              <w:rPr>
                <w:rFonts w:ascii="Palatino Linotype" w:eastAsia="Calibri" w:hAnsi="Palatino Linotype"/>
              </w:rPr>
              <w:t>munale per infiltrazione mafiosa</w:t>
            </w:r>
            <w:r w:rsidRPr="00900FF7">
              <w:rPr>
                <w:rFonts w:ascii="Palatino Linotype" w:eastAsia="Calibri" w:hAnsi="Palatino Linotype"/>
              </w:rPr>
              <w:t xml:space="preserve"> opposto per il carattere della riservatezza degl</w:t>
            </w:r>
            <w:r>
              <w:rPr>
                <w:rFonts w:ascii="Palatino Linotype" w:eastAsia="Calibri" w:hAnsi="Palatino Linotype"/>
              </w:rPr>
              <w:t>i stessi, senza che sia motivata</w:t>
            </w:r>
            <w:r w:rsidRPr="00900FF7">
              <w:rPr>
                <w:rFonts w:ascii="Palatino Linotype" w:eastAsia="Calibri" w:hAnsi="Palatino Linotype"/>
              </w:rPr>
              <w:t>, in modo rigoroso, l’esistenza di eventuali e concrete ragioni di eccezionale prevalenza dell’esigenza di riservatezza su quella della tutela in giudizio dei diritti e degli interessi dell’istante</w:t>
            </w:r>
            <w:r>
              <w:rPr>
                <w:rFonts w:ascii="Palatino Linotype" w:eastAsia="Calibri" w:hAnsi="Palatino Linotype"/>
              </w:rPr>
              <w:t>.</w:t>
            </w:r>
            <w:r w:rsidRPr="00FD5202">
              <w:rPr>
                <w:rFonts w:ascii="Palatino Linotype" w:eastAsia="Calibri" w:hAnsi="Palatino Linotype"/>
              </w:rPr>
              <w:t xml:space="preserve"> </w:t>
            </w:r>
          </w:p>
          <w:p w:rsidR="00DB7EC9" w:rsidRPr="00F84BC4" w:rsidRDefault="00DB7EC9" w:rsidP="00F64961">
            <w:pPr>
              <w:pStyle w:val="NormaleWeb"/>
              <w:spacing w:before="0" w:beforeAutospacing="0" w:after="0" w:afterAutospacing="0"/>
              <w:jc w:val="both"/>
              <w:rPr>
                <w:rFonts w:ascii="Palatino Linotype" w:eastAsia="Calibri" w:hAnsi="Palatino Linotype"/>
              </w:rPr>
            </w:pPr>
          </w:p>
          <w:p w:rsidR="007424F4" w:rsidRPr="00900FF7" w:rsidRDefault="008D5CDD" w:rsidP="007424F4">
            <w:pPr>
              <w:autoSpaceDE w:val="0"/>
              <w:autoSpaceDN w:val="0"/>
              <w:spacing w:after="0" w:line="276"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(17</w:t>
            </w:r>
            <w:r w:rsidR="007424F4" w:rsidRPr="00900FF7">
              <w:rPr>
                <w:rFonts w:ascii="Palatino Linotype" w:eastAsia="Calibri" w:hAnsi="Palatino Linotype" w:cs="Times New Roman"/>
                <w:color w:val="4472C4"/>
                <w:sz w:val="32"/>
                <w:szCs w:val="32"/>
              </w:rPr>
              <w:t>)</w:t>
            </w:r>
          </w:p>
          <w:p w:rsidR="007424F4" w:rsidRDefault="007424F4" w:rsidP="007424F4">
            <w:pPr>
              <w:autoSpaceDE w:val="0"/>
              <w:autoSpaceDN w:val="0"/>
              <w:spacing w:after="0" w:line="276" w:lineRule="auto"/>
              <w:jc w:val="both"/>
              <w:rPr>
                <w:rFonts w:ascii="Palatino Linotype" w:eastAsia="Calibri" w:hAnsi="Palatino Linotype"/>
              </w:rPr>
            </w:pPr>
          </w:p>
          <w:p w:rsidR="007424F4" w:rsidRPr="00544140" w:rsidRDefault="007424F4" w:rsidP="007424F4">
            <w:pPr>
              <w:autoSpaceDE w:val="0"/>
              <w:autoSpaceDN w:val="0"/>
              <w:spacing w:after="0" w:line="276" w:lineRule="auto"/>
              <w:jc w:val="both"/>
              <w:rPr>
                <w:rFonts w:ascii="Palatino Linotype" w:eastAsia="Calibri" w:hAnsi="Palatino Linotype" w:cs="Times New Roman"/>
                <w:sz w:val="24"/>
                <w:szCs w:val="24"/>
              </w:rPr>
            </w:pPr>
            <w:r w:rsidRPr="00544140">
              <w:rPr>
                <w:rFonts w:ascii="Palatino Linotype" w:eastAsia="Calibri" w:hAnsi="Palatino Linotype" w:cs="Times New Roman"/>
                <w:sz w:val="24"/>
                <w:szCs w:val="24"/>
              </w:rPr>
              <w:t>Il T.a.r. per la Sicilia fornisce alcuni c</w:t>
            </w:r>
            <w:r w:rsidR="00DB7EC9">
              <w:rPr>
                <w:rFonts w:ascii="Palatino Linotype" w:eastAsia="Calibri" w:hAnsi="Palatino Linotype" w:cs="Times New Roman"/>
                <w:sz w:val="24"/>
                <w:szCs w:val="24"/>
              </w:rPr>
              <w:t xml:space="preserve">hiarimenti sul trasferimento del </w:t>
            </w:r>
            <w:r w:rsidRPr="00544140">
              <w:rPr>
                <w:rFonts w:ascii="Palatino Linotype" w:eastAsia="Calibri" w:hAnsi="Palatino Linotype" w:cs="Times New Roman"/>
                <w:sz w:val="24"/>
                <w:szCs w:val="24"/>
              </w:rPr>
              <w:t>pubblico dipendente con figli minori fino a tre anni di età.</w:t>
            </w:r>
          </w:p>
          <w:p w:rsidR="007424F4" w:rsidRPr="00544140" w:rsidRDefault="007424F4" w:rsidP="007424F4">
            <w:pPr>
              <w:autoSpaceDE w:val="0"/>
              <w:autoSpaceDN w:val="0"/>
              <w:spacing w:after="0" w:line="276" w:lineRule="auto"/>
              <w:jc w:val="both"/>
            </w:pPr>
          </w:p>
          <w:p w:rsidR="007424F4" w:rsidRDefault="00B34862" w:rsidP="007424F4">
            <w:pPr>
              <w:autoSpaceDE w:val="0"/>
              <w:autoSpaceDN w:val="0"/>
              <w:spacing w:after="0" w:line="276" w:lineRule="auto"/>
              <w:jc w:val="both"/>
              <w:rPr>
                <w:rStyle w:val="Collegamentoipertestuale"/>
                <w:rFonts w:ascii="Palatino Linotype" w:eastAsia="Calibri" w:hAnsi="Palatino Linotype" w:cs="Times New Roman"/>
                <w:sz w:val="24"/>
                <w:szCs w:val="24"/>
              </w:rPr>
            </w:pPr>
            <w:hyperlink r:id="rId25" w:history="1">
              <w:r w:rsidR="007424F4" w:rsidRPr="00306191">
                <w:rPr>
                  <w:rStyle w:val="Collegamentoipertestuale"/>
                  <w:rFonts w:ascii="Palatino Linotype" w:eastAsia="Calibri" w:hAnsi="Palatino Linotype" w:cs="Times New Roman"/>
                  <w:sz w:val="24"/>
                  <w:szCs w:val="24"/>
                </w:rPr>
                <w:t xml:space="preserve">T.a.r. per la Sicilia - Palermo, sezione I, ordinanza cautelare 12 novembre 2018, n. 1048 – Pres. </w:t>
              </w:r>
              <w:proofErr w:type="spellStart"/>
              <w:r w:rsidR="007424F4" w:rsidRPr="00306191">
                <w:rPr>
                  <w:rStyle w:val="Collegamentoipertestuale"/>
                  <w:rFonts w:ascii="Palatino Linotype" w:eastAsia="Calibri" w:hAnsi="Palatino Linotype" w:cs="Times New Roman"/>
                  <w:sz w:val="24"/>
                  <w:szCs w:val="24"/>
                </w:rPr>
                <w:t>Ferlisi</w:t>
              </w:r>
              <w:proofErr w:type="spellEnd"/>
              <w:r w:rsidR="007424F4" w:rsidRPr="00306191">
                <w:rPr>
                  <w:rStyle w:val="Collegamentoipertestuale"/>
                  <w:rFonts w:ascii="Palatino Linotype" w:eastAsia="Calibri" w:hAnsi="Palatino Linotype" w:cs="Times New Roman"/>
                  <w:sz w:val="24"/>
                  <w:szCs w:val="24"/>
                </w:rPr>
                <w:t>, Est. Tulumello</w:t>
              </w:r>
            </w:hyperlink>
          </w:p>
          <w:p w:rsidR="007424F4" w:rsidRDefault="007424F4" w:rsidP="007424F4">
            <w:pPr>
              <w:autoSpaceDE w:val="0"/>
              <w:autoSpaceDN w:val="0"/>
              <w:spacing w:after="0" w:line="276" w:lineRule="auto"/>
              <w:jc w:val="both"/>
              <w:rPr>
                <w:rFonts w:ascii="Palatino Linotype" w:eastAsia="Calibri" w:hAnsi="Palatino Linotype"/>
              </w:rPr>
            </w:pPr>
          </w:p>
          <w:p w:rsidR="007424F4" w:rsidRPr="00544140" w:rsidRDefault="007424F4" w:rsidP="007424F4">
            <w:pPr>
              <w:autoSpaceDE w:val="0"/>
              <w:autoSpaceDN w:val="0"/>
              <w:spacing w:after="0" w:line="276" w:lineRule="auto"/>
              <w:jc w:val="both"/>
              <w:rPr>
                <w:rFonts w:ascii="Palatino Linotype" w:eastAsia="Calibri" w:hAnsi="Palatino Linotype" w:cs="Times New Roman"/>
                <w:sz w:val="24"/>
                <w:szCs w:val="24"/>
              </w:rPr>
            </w:pPr>
            <w:r w:rsidRPr="00544140">
              <w:rPr>
                <w:rFonts w:ascii="Palatino Linotype" w:eastAsia="Calibri" w:hAnsi="Palatino Linotype"/>
                <w:sz w:val="24"/>
                <w:szCs w:val="24"/>
              </w:rPr>
              <w:t>Il T.a.r chiarisce che in materia di trasferimento del dipendente di amministrazioni pubbliche, genitore con figli minori fino a tre anni di età, previsto dall'art. 42 bis, d.lgs. n. 151 del 2001 le esigenze organizzative legate alle deficienze di organico non sono sufficienti ai fini del diniego dell'istanza, ove non siano accompagnate da un'adeguata motivazione che dia conto della peculiare professionalità ovvero specializzazione delle prestazioni rese dal soggetto istante, tali da renderlo difficilmente sostituibile.</w:t>
            </w:r>
          </w:p>
        </w:tc>
      </w:tr>
    </w:tbl>
    <w:p w:rsidR="007A5342" w:rsidRDefault="007A5342" w:rsidP="009633C4">
      <w:pPr>
        <w:spacing w:after="0" w:line="276" w:lineRule="auto"/>
        <w:rPr>
          <w:rFonts w:ascii="Palatino Linotype" w:eastAsia="Calibri" w:hAnsi="Palatino Linotype" w:cs="Times New Roman"/>
          <w:sz w:val="24"/>
          <w:szCs w:val="24"/>
        </w:rPr>
      </w:pPr>
    </w:p>
    <w:p w:rsidR="004F3430" w:rsidRPr="005D3CFD" w:rsidRDefault="004F3430" w:rsidP="009633C4">
      <w:pPr>
        <w:spacing w:after="0" w:line="276" w:lineRule="auto"/>
        <w:rPr>
          <w:rFonts w:ascii="Palatino Linotype" w:eastAsia="Calibri" w:hAnsi="Palatino Linotype"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7A5342" w:rsidTr="00852B3B">
        <w:trPr>
          <w:cantSplit/>
          <w:trHeight w:val="20"/>
          <w:jc w:val="center"/>
        </w:trPr>
        <w:tc>
          <w:tcPr>
            <w:tcW w:w="0" w:type="auto"/>
            <w:tcMar>
              <w:left w:w="85" w:type="dxa"/>
              <w:right w:w="85" w:type="dxa"/>
            </w:tcMar>
            <w:vAlign w:val="center"/>
          </w:tcPr>
          <w:p w:rsidR="00917DE5" w:rsidRPr="00917DE5" w:rsidRDefault="00917DE5" w:rsidP="009633C4">
            <w:pPr>
              <w:spacing w:after="0" w:line="276" w:lineRule="auto"/>
              <w:jc w:val="center"/>
              <w:rPr>
                <w:rFonts w:ascii="Palatino Linotype" w:eastAsia="Calibri" w:hAnsi="Palatino Linotype" w:cs="Times New Roman"/>
                <w:color w:val="2E74B5"/>
                <w:sz w:val="24"/>
                <w:szCs w:val="24"/>
              </w:rPr>
            </w:pPr>
          </w:p>
          <w:p w:rsidR="007A5342" w:rsidRPr="00DE45D0" w:rsidRDefault="007A5342" w:rsidP="009633C4">
            <w:pPr>
              <w:spacing w:after="0" w:line="276" w:lineRule="auto"/>
              <w:jc w:val="center"/>
              <w:rPr>
                <w:rFonts w:ascii="Palatino Linotype" w:eastAsia="Calibri" w:hAnsi="Palatino Linotype" w:cs="Times New Roman"/>
                <w:color w:val="2E74B5"/>
                <w:sz w:val="32"/>
                <w:szCs w:val="32"/>
              </w:rPr>
            </w:pPr>
            <w:r w:rsidRPr="007A5342">
              <w:rPr>
                <w:rFonts w:ascii="Palatino Linotype" w:eastAsia="Calibri" w:hAnsi="Palatino Linotype" w:cs="Times New Roman"/>
                <w:color w:val="2E74B5"/>
                <w:sz w:val="32"/>
                <w:szCs w:val="32"/>
              </w:rPr>
              <w:t>Consiglio di Stato - Pareri</w:t>
            </w:r>
          </w:p>
          <w:p w:rsidR="00917DE5" w:rsidRPr="00917DE5" w:rsidRDefault="00917DE5" w:rsidP="00F728CB">
            <w:pPr>
              <w:spacing w:after="0" w:line="276" w:lineRule="auto"/>
              <w:jc w:val="center"/>
              <w:rPr>
                <w:rFonts w:ascii="Palatino Linotype" w:eastAsia="Calibri" w:hAnsi="Palatino Linotype" w:cs="Times New Roman"/>
                <w:color w:val="2E74B5"/>
                <w:sz w:val="24"/>
                <w:szCs w:val="24"/>
              </w:rPr>
            </w:pPr>
          </w:p>
          <w:p w:rsidR="00F728CB" w:rsidRDefault="005F2ADF" w:rsidP="00F728CB">
            <w:pPr>
              <w:spacing w:after="0" w:line="276"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 xml:space="preserve"> </w:t>
            </w:r>
            <w:r w:rsidR="00F728CB" w:rsidRPr="00A52234">
              <w:rPr>
                <w:rFonts w:ascii="Palatino Linotype" w:eastAsia="Calibri" w:hAnsi="Palatino Linotype" w:cs="Times New Roman"/>
                <w:color w:val="2E74B5"/>
                <w:sz w:val="32"/>
                <w:szCs w:val="32"/>
              </w:rPr>
              <w:t>(</w:t>
            </w:r>
            <w:r w:rsidR="008D5CDD">
              <w:rPr>
                <w:rFonts w:ascii="Palatino Linotype" w:eastAsia="Calibri" w:hAnsi="Palatino Linotype" w:cs="Times New Roman"/>
                <w:color w:val="2E74B5"/>
                <w:sz w:val="32"/>
                <w:szCs w:val="32"/>
              </w:rPr>
              <w:t>18</w:t>
            </w:r>
            <w:r w:rsidR="00F728CB" w:rsidRPr="00A52234">
              <w:rPr>
                <w:rFonts w:ascii="Palatino Linotype" w:eastAsia="Calibri" w:hAnsi="Palatino Linotype" w:cs="Times New Roman"/>
                <w:color w:val="2E74B5"/>
                <w:sz w:val="32"/>
                <w:szCs w:val="32"/>
              </w:rPr>
              <w:t>)</w:t>
            </w:r>
          </w:p>
          <w:p w:rsidR="0077240F" w:rsidRDefault="0077240F" w:rsidP="00F728CB">
            <w:pPr>
              <w:spacing w:after="0" w:line="276" w:lineRule="auto"/>
              <w:jc w:val="center"/>
              <w:rPr>
                <w:rFonts w:ascii="Palatino Linotype" w:eastAsia="Calibri" w:hAnsi="Palatino Linotype" w:cs="Times New Roman"/>
                <w:color w:val="2E74B5"/>
                <w:sz w:val="32"/>
                <w:szCs w:val="32"/>
              </w:rPr>
            </w:pPr>
          </w:p>
          <w:p w:rsidR="00F728CB" w:rsidRPr="00BC105A" w:rsidRDefault="00F728CB" w:rsidP="00F728CB">
            <w:pPr>
              <w:spacing w:after="0" w:line="276" w:lineRule="auto"/>
              <w:jc w:val="both"/>
              <w:rPr>
                <w:rFonts w:ascii="Palatino Linotype" w:eastAsia="Calibri" w:hAnsi="Palatino Linotype" w:cs="Times New Roman"/>
                <w:sz w:val="24"/>
                <w:szCs w:val="24"/>
              </w:rPr>
            </w:pPr>
            <w:r w:rsidRPr="00BC105A">
              <w:rPr>
                <w:rFonts w:ascii="Palatino Linotype" w:eastAsia="Calibri" w:hAnsi="Palatino Linotype" w:cs="Times New Roman"/>
                <w:sz w:val="24"/>
                <w:szCs w:val="24"/>
              </w:rPr>
              <w:t xml:space="preserve">Il Consiglio </w:t>
            </w:r>
            <w:r>
              <w:rPr>
                <w:rFonts w:ascii="Palatino Linotype" w:eastAsia="Calibri" w:hAnsi="Palatino Linotype" w:cs="Times New Roman"/>
                <w:sz w:val="24"/>
                <w:szCs w:val="24"/>
              </w:rPr>
              <w:t>di Stato ha reso il parere sulle</w:t>
            </w:r>
            <w:r w:rsidRPr="00F728CB">
              <w:rPr>
                <w:rFonts w:ascii="Palatino Linotype" w:eastAsia="Calibri" w:hAnsi="Palatino Linotype" w:cs="Times New Roman"/>
                <w:sz w:val="24"/>
                <w:szCs w:val="24"/>
              </w:rPr>
              <w:t xml:space="preserve"> Linee guida</w:t>
            </w:r>
            <w:r w:rsidR="005F2ADF">
              <w:rPr>
                <w:rFonts w:ascii="Palatino Linotype" w:eastAsia="Calibri" w:hAnsi="Palatino Linotype" w:cs="Times New Roman"/>
                <w:sz w:val="24"/>
                <w:szCs w:val="24"/>
              </w:rPr>
              <w:t xml:space="preserve"> </w:t>
            </w:r>
            <w:proofErr w:type="spellStart"/>
            <w:r w:rsidR="005F2ADF">
              <w:rPr>
                <w:rFonts w:ascii="Palatino Linotype" w:eastAsia="Calibri" w:hAnsi="Palatino Linotype" w:cs="Times New Roman"/>
                <w:sz w:val="24"/>
                <w:szCs w:val="24"/>
              </w:rPr>
              <w:t>Anac</w:t>
            </w:r>
            <w:proofErr w:type="spellEnd"/>
            <w:r w:rsidRPr="00F728CB">
              <w:rPr>
                <w:rFonts w:ascii="Palatino Linotype" w:eastAsia="Calibri" w:hAnsi="Palatino Linotype" w:cs="Times New Roman"/>
                <w:sz w:val="24"/>
                <w:szCs w:val="24"/>
              </w:rPr>
              <w:t xml:space="preserve"> n. 6 recanti “</w:t>
            </w:r>
            <w:r w:rsidRPr="00DB7EC9">
              <w:rPr>
                <w:rFonts w:ascii="Palatino Linotype" w:eastAsia="Calibri" w:hAnsi="Palatino Linotype" w:cs="Times New Roman"/>
                <w:i/>
                <w:sz w:val="24"/>
                <w:szCs w:val="24"/>
              </w:rPr>
              <w:t>Indicazione dei mezzi di prova adeguati e carenze esecutive di precedente contratto di appalto significative per l'esclusione di cui all'art. 80, comma 5, lett. c), d.lgs. n. 50 del 2016</w:t>
            </w:r>
            <w:r w:rsidRPr="00F728CB">
              <w:rPr>
                <w:rFonts w:ascii="Palatino Linotype" w:eastAsia="Calibri" w:hAnsi="Palatino Linotype" w:cs="Times New Roman"/>
                <w:sz w:val="24"/>
                <w:szCs w:val="24"/>
              </w:rPr>
              <w:t>”</w:t>
            </w:r>
            <w:r w:rsidR="008752AA">
              <w:rPr>
                <w:rFonts w:ascii="Palatino Linotype" w:eastAsia="Calibri" w:hAnsi="Palatino Linotype" w:cs="Times New Roman"/>
                <w:sz w:val="24"/>
                <w:szCs w:val="24"/>
              </w:rPr>
              <w:t>.</w:t>
            </w:r>
          </w:p>
          <w:p w:rsidR="0077240F" w:rsidRDefault="0077240F" w:rsidP="00F728CB">
            <w:pPr>
              <w:spacing w:after="0" w:line="276" w:lineRule="auto"/>
              <w:jc w:val="both"/>
              <w:rPr>
                <w:rStyle w:val="Collegamentoipertestuale"/>
                <w:rFonts w:ascii="Palatino Linotype" w:eastAsia="Calibri" w:hAnsi="Palatino Linotype" w:cs="Times New Roman"/>
                <w:sz w:val="24"/>
                <w:szCs w:val="24"/>
              </w:rPr>
            </w:pPr>
          </w:p>
          <w:p w:rsidR="00F728CB" w:rsidRDefault="00B34862" w:rsidP="00F728CB">
            <w:pPr>
              <w:spacing w:after="0" w:line="276" w:lineRule="auto"/>
              <w:jc w:val="both"/>
              <w:rPr>
                <w:rStyle w:val="Collegamentoipertestuale"/>
                <w:rFonts w:ascii="Palatino Linotype" w:eastAsia="Calibri" w:hAnsi="Palatino Linotype" w:cs="Times New Roman"/>
                <w:sz w:val="24"/>
                <w:szCs w:val="24"/>
              </w:rPr>
            </w:pPr>
            <w:hyperlink r:id="rId26" w:history="1">
              <w:r w:rsidR="00F728CB" w:rsidRPr="00306191">
                <w:rPr>
                  <w:rStyle w:val="Collegamentoipertestuale"/>
                  <w:rFonts w:ascii="Palatino Linotype" w:eastAsia="Calibri" w:hAnsi="Palatino Linotype" w:cs="Times New Roman"/>
                  <w:sz w:val="24"/>
                  <w:szCs w:val="24"/>
                </w:rPr>
                <w:t>Consiglio di Stato, sezione affari normativi - commissione speciale, 13 novembre 2018, n. 2616 – Pres. Zucchelli, Est. Simonetti e Carpentieri</w:t>
              </w:r>
            </w:hyperlink>
          </w:p>
          <w:p w:rsidR="0077240F" w:rsidRDefault="0077240F" w:rsidP="005F2ADF">
            <w:pPr>
              <w:spacing w:after="0" w:line="276" w:lineRule="auto"/>
              <w:jc w:val="center"/>
              <w:rPr>
                <w:rFonts w:ascii="Palatino Linotype" w:eastAsia="Calibri" w:hAnsi="Palatino Linotype" w:cs="Times New Roman"/>
                <w:color w:val="2E74B5"/>
                <w:sz w:val="32"/>
                <w:szCs w:val="32"/>
              </w:rPr>
            </w:pPr>
          </w:p>
          <w:p w:rsidR="005F2ADF" w:rsidRDefault="005F2ADF" w:rsidP="005F2ADF">
            <w:pPr>
              <w:spacing w:after="0" w:line="276"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w:t>
            </w:r>
            <w:r w:rsidR="00B72EAB">
              <w:rPr>
                <w:rFonts w:ascii="Palatino Linotype" w:eastAsia="Calibri" w:hAnsi="Palatino Linotype" w:cs="Times New Roman"/>
                <w:color w:val="2E74B5"/>
                <w:sz w:val="32"/>
                <w:szCs w:val="32"/>
              </w:rPr>
              <w:t>1</w:t>
            </w:r>
            <w:r w:rsidR="008D5CDD">
              <w:rPr>
                <w:rFonts w:ascii="Palatino Linotype" w:eastAsia="Calibri" w:hAnsi="Palatino Linotype" w:cs="Times New Roman"/>
                <w:color w:val="2E74B5"/>
                <w:sz w:val="32"/>
                <w:szCs w:val="32"/>
              </w:rPr>
              <w:t>9</w:t>
            </w:r>
            <w:r w:rsidRPr="00A52234">
              <w:rPr>
                <w:rFonts w:ascii="Palatino Linotype" w:eastAsia="Calibri" w:hAnsi="Palatino Linotype" w:cs="Times New Roman"/>
                <w:color w:val="2E74B5"/>
                <w:sz w:val="32"/>
                <w:szCs w:val="32"/>
              </w:rPr>
              <w:t>)</w:t>
            </w:r>
          </w:p>
          <w:p w:rsidR="0077240F" w:rsidRDefault="0077240F" w:rsidP="005F2ADF">
            <w:pPr>
              <w:spacing w:after="0" w:line="276" w:lineRule="auto"/>
              <w:jc w:val="center"/>
              <w:rPr>
                <w:rFonts w:ascii="Palatino Linotype" w:eastAsia="Calibri" w:hAnsi="Palatino Linotype" w:cs="Times New Roman"/>
                <w:color w:val="2E74B5"/>
                <w:sz w:val="32"/>
                <w:szCs w:val="32"/>
              </w:rPr>
            </w:pPr>
          </w:p>
          <w:p w:rsidR="005F2ADF" w:rsidRDefault="005F2ADF" w:rsidP="005F2ADF">
            <w:pPr>
              <w:spacing w:after="0" w:line="276" w:lineRule="auto"/>
              <w:jc w:val="both"/>
              <w:rPr>
                <w:rFonts w:ascii="Palatino Linotype" w:eastAsia="Calibri" w:hAnsi="Palatino Linotype" w:cs="Times New Roman"/>
                <w:sz w:val="24"/>
                <w:szCs w:val="24"/>
              </w:rPr>
            </w:pPr>
            <w:r w:rsidRPr="00BC105A">
              <w:rPr>
                <w:rFonts w:ascii="Palatino Linotype" w:eastAsia="Calibri" w:hAnsi="Palatino Linotype" w:cs="Times New Roman"/>
                <w:sz w:val="24"/>
                <w:szCs w:val="24"/>
              </w:rPr>
              <w:t xml:space="preserve">Il Consiglio </w:t>
            </w:r>
            <w:r>
              <w:rPr>
                <w:rFonts w:ascii="Palatino Linotype" w:eastAsia="Calibri" w:hAnsi="Palatino Linotype" w:cs="Times New Roman"/>
                <w:sz w:val="24"/>
                <w:szCs w:val="24"/>
              </w:rPr>
              <w:t>di Stato ha reso il parere sullo</w:t>
            </w:r>
            <w:r w:rsidRPr="00BC105A">
              <w:rPr>
                <w:rFonts w:ascii="Palatino Linotype" w:eastAsia="Calibri" w:hAnsi="Palatino Linotype" w:cs="Times New Roman"/>
                <w:sz w:val="24"/>
                <w:szCs w:val="24"/>
              </w:rPr>
              <w:t xml:space="preserve"> </w:t>
            </w:r>
            <w:r w:rsidRPr="002E67BE">
              <w:rPr>
                <w:rFonts w:ascii="Palatino Linotype" w:eastAsia="Calibri" w:hAnsi="Palatino Linotype" w:cs="Times New Roman"/>
                <w:sz w:val="24"/>
                <w:szCs w:val="24"/>
              </w:rPr>
              <w:t xml:space="preserve">schema di regolamento che modifica il </w:t>
            </w:r>
            <w:proofErr w:type="spellStart"/>
            <w:r w:rsidRPr="002E67BE">
              <w:rPr>
                <w:rFonts w:ascii="Palatino Linotype" w:eastAsia="Calibri" w:hAnsi="Palatino Linotype" w:cs="Times New Roman"/>
                <w:sz w:val="24"/>
                <w:szCs w:val="24"/>
              </w:rPr>
              <w:t>d.m.</w:t>
            </w:r>
            <w:proofErr w:type="spellEnd"/>
            <w:r w:rsidRPr="002E67BE">
              <w:rPr>
                <w:rFonts w:ascii="Palatino Linotype" w:eastAsia="Calibri" w:hAnsi="Palatino Linotype" w:cs="Times New Roman"/>
                <w:sz w:val="24"/>
                <w:szCs w:val="24"/>
              </w:rPr>
              <w:t xml:space="preserve"> n. 507 del 1997 sul pagamento del biglietto d’ingresso ai monumenti e musei</w:t>
            </w:r>
            <w:r>
              <w:rPr>
                <w:rFonts w:ascii="Palatino Linotype" w:eastAsia="Calibri" w:hAnsi="Palatino Linotype" w:cs="Times New Roman"/>
                <w:sz w:val="24"/>
                <w:szCs w:val="24"/>
              </w:rPr>
              <w:t>.</w:t>
            </w:r>
          </w:p>
          <w:p w:rsidR="0077240F" w:rsidRPr="00BC105A" w:rsidRDefault="0077240F" w:rsidP="005F2ADF">
            <w:pPr>
              <w:spacing w:after="0" w:line="276" w:lineRule="auto"/>
              <w:jc w:val="both"/>
              <w:rPr>
                <w:rFonts w:ascii="Palatino Linotype" w:eastAsia="Calibri" w:hAnsi="Palatino Linotype" w:cs="Times New Roman"/>
                <w:sz w:val="24"/>
                <w:szCs w:val="24"/>
              </w:rPr>
            </w:pPr>
          </w:p>
          <w:p w:rsidR="005F2ADF" w:rsidRDefault="00B34862" w:rsidP="005F2ADF">
            <w:pPr>
              <w:spacing w:after="0" w:line="276" w:lineRule="auto"/>
              <w:jc w:val="both"/>
              <w:rPr>
                <w:rStyle w:val="Collegamentoipertestuale"/>
                <w:rFonts w:ascii="Palatino Linotype" w:eastAsia="Calibri" w:hAnsi="Palatino Linotype" w:cs="Times New Roman"/>
                <w:sz w:val="24"/>
                <w:szCs w:val="24"/>
              </w:rPr>
            </w:pPr>
            <w:hyperlink r:id="rId27" w:history="1">
              <w:r w:rsidR="005F2ADF" w:rsidRPr="00306191">
                <w:rPr>
                  <w:rStyle w:val="Collegamentoipertestuale"/>
                  <w:rFonts w:ascii="Palatino Linotype" w:eastAsia="Calibri" w:hAnsi="Palatino Linotype" w:cs="Times New Roman"/>
                  <w:sz w:val="24"/>
                  <w:szCs w:val="24"/>
                </w:rPr>
                <w:t>Consiglio di Stato, sezione consultiva atti normativi, 2 novembre 2018, n. 2482 – Pres. Zucchelli, Est. Prosperi</w:t>
              </w:r>
            </w:hyperlink>
          </w:p>
          <w:p w:rsidR="005F2ADF" w:rsidRPr="00F728CB" w:rsidRDefault="005F2ADF" w:rsidP="00F728CB">
            <w:pPr>
              <w:spacing w:after="0" w:line="276" w:lineRule="auto"/>
              <w:jc w:val="both"/>
              <w:rPr>
                <w:rFonts w:ascii="Palatino Linotype" w:eastAsia="Calibri" w:hAnsi="Palatino Linotype" w:cs="Times New Roman"/>
                <w:color w:val="0563C1" w:themeColor="hyperlink"/>
                <w:sz w:val="24"/>
                <w:szCs w:val="24"/>
                <w:u w:val="single"/>
              </w:rPr>
            </w:pPr>
          </w:p>
        </w:tc>
      </w:tr>
    </w:tbl>
    <w:p w:rsidR="005D3CFD" w:rsidRPr="004F3430" w:rsidRDefault="005D3CFD" w:rsidP="00DC3D4E">
      <w:pPr>
        <w:spacing w:after="0" w:line="240" w:lineRule="auto"/>
        <w:jc w:val="both"/>
        <w:rPr>
          <w:rFonts w:ascii="Palatino Linotype" w:eastAsia="Calibri" w:hAnsi="Palatino Linotype" w:cs="Calibri"/>
          <w:bCs/>
          <w:color w:val="000000"/>
          <w:sz w:val="24"/>
          <w:szCs w:val="24"/>
          <w:lang w:eastAsia="it-IT"/>
        </w:rPr>
      </w:pPr>
    </w:p>
    <w:sectPr w:rsidR="005D3CFD" w:rsidRPr="004F3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4DB4F08"/>
    <w:multiLevelType w:val="multilevel"/>
    <w:tmpl w:val="754C4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85DA5"/>
    <w:multiLevelType w:val="hybridMultilevel"/>
    <w:tmpl w:val="308CC5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9340CB0"/>
    <w:multiLevelType w:val="multilevel"/>
    <w:tmpl w:val="F57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9"/>
    <w:rsid w:val="00004621"/>
    <w:rsid w:val="00005D3A"/>
    <w:rsid w:val="000141E1"/>
    <w:rsid w:val="0001728E"/>
    <w:rsid w:val="00044654"/>
    <w:rsid w:val="00045357"/>
    <w:rsid w:val="000477E9"/>
    <w:rsid w:val="000555AC"/>
    <w:rsid w:val="00055965"/>
    <w:rsid w:val="0006164D"/>
    <w:rsid w:val="00075E7F"/>
    <w:rsid w:val="00084B1B"/>
    <w:rsid w:val="00084C8C"/>
    <w:rsid w:val="0008636B"/>
    <w:rsid w:val="000949C8"/>
    <w:rsid w:val="00097DC7"/>
    <w:rsid w:val="000A7B0C"/>
    <w:rsid w:val="000B2140"/>
    <w:rsid w:val="000C0435"/>
    <w:rsid w:val="000D3CB2"/>
    <w:rsid w:val="000D71C4"/>
    <w:rsid w:val="000F0F14"/>
    <w:rsid w:val="000F266C"/>
    <w:rsid w:val="000F7ED6"/>
    <w:rsid w:val="00100DBA"/>
    <w:rsid w:val="00121C19"/>
    <w:rsid w:val="0012505C"/>
    <w:rsid w:val="00126EFF"/>
    <w:rsid w:val="0013144C"/>
    <w:rsid w:val="00136302"/>
    <w:rsid w:val="00136949"/>
    <w:rsid w:val="00141A15"/>
    <w:rsid w:val="00153CE9"/>
    <w:rsid w:val="00160EAC"/>
    <w:rsid w:val="00161915"/>
    <w:rsid w:val="00162358"/>
    <w:rsid w:val="00170B29"/>
    <w:rsid w:val="00172D0B"/>
    <w:rsid w:val="00173469"/>
    <w:rsid w:val="001767BA"/>
    <w:rsid w:val="00182119"/>
    <w:rsid w:val="00182A2C"/>
    <w:rsid w:val="00183DB5"/>
    <w:rsid w:val="00190F9B"/>
    <w:rsid w:val="001944A7"/>
    <w:rsid w:val="001948AD"/>
    <w:rsid w:val="001964F8"/>
    <w:rsid w:val="001A14F3"/>
    <w:rsid w:val="001A4B5D"/>
    <w:rsid w:val="001B6F86"/>
    <w:rsid w:val="001D7412"/>
    <w:rsid w:val="001E630E"/>
    <w:rsid w:val="001F0C24"/>
    <w:rsid w:val="001F78C2"/>
    <w:rsid w:val="00200EF8"/>
    <w:rsid w:val="00203AF8"/>
    <w:rsid w:val="002059AF"/>
    <w:rsid w:val="00206F6E"/>
    <w:rsid w:val="002122B0"/>
    <w:rsid w:val="00213F14"/>
    <w:rsid w:val="00214DB2"/>
    <w:rsid w:val="00221759"/>
    <w:rsid w:val="00222120"/>
    <w:rsid w:val="002276F1"/>
    <w:rsid w:val="00231A23"/>
    <w:rsid w:val="00231E1A"/>
    <w:rsid w:val="002320EB"/>
    <w:rsid w:val="00243483"/>
    <w:rsid w:val="002556B8"/>
    <w:rsid w:val="00267957"/>
    <w:rsid w:val="00271FC6"/>
    <w:rsid w:val="00273E12"/>
    <w:rsid w:val="0027540C"/>
    <w:rsid w:val="00281211"/>
    <w:rsid w:val="002B1205"/>
    <w:rsid w:val="002B4719"/>
    <w:rsid w:val="002B5128"/>
    <w:rsid w:val="002C11D9"/>
    <w:rsid w:val="002C32B0"/>
    <w:rsid w:val="002C477F"/>
    <w:rsid w:val="002C62F0"/>
    <w:rsid w:val="002D30CE"/>
    <w:rsid w:val="002D62CB"/>
    <w:rsid w:val="002D6759"/>
    <w:rsid w:val="002E13F2"/>
    <w:rsid w:val="002E67BE"/>
    <w:rsid w:val="002F235F"/>
    <w:rsid w:val="002F36AF"/>
    <w:rsid w:val="00301B95"/>
    <w:rsid w:val="00302FB0"/>
    <w:rsid w:val="00303D09"/>
    <w:rsid w:val="00306191"/>
    <w:rsid w:val="003074F5"/>
    <w:rsid w:val="00311622"/>
    <w:rsid w:val="003164EC"/>
    <w:rsid w:val="003170F2"/>
    <w:rsid w:val="003203A9"/>
    <w:rsid w:val="00324598"/>
    <w:rsid w:val="003322BF"/>
    <w:rsid w:val="00341EF7"/>
    <w:rsid w:val="003420EF"/>
    <w:rsid w:val="00346113"/>
    <w:rsid w:val="00346963"/>
    <w:rsid w:val="00347B9C"/>
    <w:rsid w:val="00350D8E"/>
    <w:rsid w:val="0035110B"/>
    <w:rsid w:val="003627C4"/>
    <w:rsid w:val="00363B71"/>
    <w:rsid w:val="00385C23"/>
    <w:rsid w:val="003A0975"/>
    <w:rsid w:val="003A5C8E"/>
    <w:rsid w:val="003B74F7"/>
    <w:rsid w:val="003C1785"/>
    <w:rsid w:val="003C2837"/>
    <w:rsid w:val="003C7E95"/>
    <w:rsid w:val="003D2D8D"/>
    <w:rsid w:val="003D4468"/>
    <w:rsid w:val="003E2759"/>
    <w:rsid w:val="003E3072"/>
    <w:rsid w:val="003E36B6"/>
    <w:rsid w:val="003E7235"/>
    <w:rsid w:val="00412043"/>
    <w:rsid w:val="0041549C"/>
    <w:rsid w:val="004334FD"/>
    <w:rsid w:val="00433BE7"/>
    <w:rsid w:val="00434DBA"/>
    <w:rsid w:val="004352EB"/>
    <w:rsid w:val="00436D2E"/>
    <w:rsid w:val="00441F29"/>
    <w:rsid w:val="00453889"/>
    <w:rsid w:val="00457E71"/>
    <w:rsid w:val="00461E29"/>
    <w:rsid w:val="00466FA7"/>
    <w:rsid w:val="00471099"/>
    <w:rsid w:val="00475310"/>
    <w:rsid w:val="004773B6"/>
    <w:rsid w:val="004823F6"/>
    <w:rsid w:val="004828AA"/>
    <w:rsid w:val="00486F4F"/>
    <w:rsid w:val="00490933"/>
    <w:rsid w:val="00494DD2"/>
    <w:rsid w:val="004A1CEC"/>
    <w:rsid w:val="004A34CE"/>
    <w:rsid w:val="004A548C"/>
    <w:rsid w:val="004A7E5A"/>
    <w:rsid w:val="004C43C5"/>
    <w:rsid w:val="004C46CD"/>
    <w:rsid w:val="004D218E"/>
    <w:rsid w:val="004E1CBA"/>
    <w:rsid w:val="004E5436"/>
    <w:rsid w:val="004E5E9F"/>
    <w:rsid w:val="004F2674"/>
    <w:rsid w:val="004F3430"/>
    <w:rsid w:val="004F4471"/>
    <w:rsid w:val="004F5505"/>
    <w:rsid w:val="00503B37"/>
    <w:rsid w:val="00514147"/>
    <w:rsid w:val="00520746"/>
    <w:rsid w:val="00525A4B"/>
    <w:rsid w:val="00526E47"/>
    <w:rsid w:val="00530ACA"/>
    <w:rsid w:val="00532BAD"/>
    <w:rsid w:val="00532BFF"/>
    <w:rsid w:val="00534072"/>
    <w:rsid w:val="0053413F"/>
    <w:rsid w:val="00535C00"/>
    <w:rsid w:val="00540FAB"/>
    <w:rsid w:val="0054168F"/>
    <w:rsid w:val="00542970"/>
    <w:rsid w:val="005429E2"/>
    <w:rsid w:val="00544140"/>
    <w:rsid w:val="005447B3"/>
    <w:rsid w:val="0054599B"/>
    <w:rsid w:val="005473AE"/>
    <w:rsid w:val="00553BE1"/>
    <w:rsid w:val="00553F83"/>
    <w:rsid w:val="005739FC"/>
    <w:rsid w:val="00577479"/>
    <w:rsid w:val="0058105D"/>
    <w:rsid w:val="00586D87"/>
    <w:rsid w:val="00592D22"/>
    <w:rsid w:val="00594903"/>
    <w:rsid w:val="005A10AB"/>
    <w:rsid w:val="005A1D80"/>
    <w:rsid w:val="005A419D"/>
    <w:rsid w:val="005A4C42"/>
    <w:rsid w:val="005A5238"/>
    <w:rsid w:val="005A6A31"/>
    <w:rsid w:val="005B2533"/>
    <w:rsid w:val="005B2F3A"/>
    <w:rsid w:val="005C7558"/>
    <w:rsid w:val="005D193E"/>
    <w:rsid w:val="005D3CFD"/>
    <w:rsid w:val="005D69F0"/>
    <w:rsid w:val="005E3690"/>
    <w:rsid w:val="005E4930"/>
    <w:rsid w:val="005E5413"/>
    <w:rsid w:val="005F15B3"/>
    <w:rsid w:val="005F2ADF"/>
    <w:rsid w:val="005F75B9"/>
    <w:rsid w:val="00602BD2"/>
    <w:rsid w:val="006159E5"/>
    <w:rsid w:val="00621013"/>
    <w:rsid w:val="00624F8D"/>
    <w:rsid w:val="0062768A"/>
    <w:rsid w:val="00636BEE"/>
    <w:rsid w:val="006407FB"/>
    <w:rsid w:val="00650FA1"/>
    <w:rsid w:val="006572A3"/>
    <w:rsid w:val="00660FB3"/>
    <w:rsid w:val="00661049"/>
    <w:rsid w:val="00663659"/>
    <w:rsid w:val="00666E8F"/>
    <w:rsid w:val="0067096D"/>
    <w:rsid w:val="00670FBF"/>
    <w:rsid w:val="006729A9"/>
    <w:rsid w:val="00673F27"/>
    <w:rsid w:val="00675662"/>
    <w:rsid w:val="00677973"/>
    <w:rsid w:val="006842E6"/>
    <w:rsid w:val="00686275"/>
    <w:rsid w:val="0069320C"/>
    <w:rsid w:val="006A0CC7"/>
    <w:rsid w:val="006B161C"/>
    <w:rsid w:val="006B1656"/>
    <w:rsid w:val="006B3165"/>
    <w:rsid w:val="006B64E7"/>
    <w:rsid w:val="006C7725"/>
    <w:rsid w:val="006D2917"/>
    <w:rsid w:val="006E2A71"/>
    <w:rsid w:val="006F6C3E"/>
    <w:rsid w:val="00700C54"/>
    <w:rsid w:val="007019E1"/>
    <w:rsid w:val="0072078C"/>
    <w:rsid w:val="00723665"/>
    <w:rsid w:val="00731B92"/>
    <w:rsid w:val="0073656B"/>
    <w:rsid w:val="00741FF8"/>
    <w:rsid w:val="0074248E"/>
    <w:rsid w:val="007424F4"/>
    <w:rsid w:val="00746419"/>
    <w:rsid w:val="00750E13"/>
    <w:rsid w:val="007539E9"/>
    <w:rsid w:val="007559A6"/>
    <w:rsid w:val="00762D7D"/>
    <w:rsid w:val="0076408E"/>
    <w:rsid w:val="00765B54"/>
    <w:rsid w:val="00765D17"/>
    <w:rsid w:val="00771E02"/>
    <w:rsid w:val="0077240F"/>
    <w:rsid w:val="0077789A"/>
    <w:rsid w:val="00790655"/>
    <w:rsid w:val="00792394"/>
    <w:rsid w:val="00793D27"/>
    <w:rsid w:val="007A2C48"/>
    <w:rsid w:val="007A5342"/>
    <w:rsid w:val="007B2CCB"/>
    <w:rsid w:val="007B4457"/>
    <w:rsid w:val="007B708F"/>
    <w:rsid w:val="007C1A6E"/>
    <w:rsid w:val="007D06F5"/>
    <w:rsid w:val="007D61E1"/>
    <w:rsid w:val="007E3F33"/>
    <w:rsid w:val="007E7F86"/>
    <w:rsid w:val="007F647F"/>
    <w:rsid w:val="00801FC1"/>
    <w:rsid w:val="00802629"/>
    <w:rsid w:val="0081758E"/>
    <w:rsid w:val="00825C4D"/>
    <w:rsid w:val="00830503"/>
    <w:rsid w:val="008310C9"/>
    <w:rsid w:val="0083239E"/>
    <w:rsid w:val="00832A73"/>
    <w:rsid w:val="00841128"/>
    <w:rsid w:val="00842A59"/>
    <w:rsid w:val="00847F8B"/>
    <w:rsid w:val="008517CD"/>
    <w:rsid w:val="00852B3B"/>
    <w:rsid w:val="008552A5"/>
    <w:rsid w:val="008556A7"/>
    <w:rsid w:val="00857A73"/>
    <w:rsid w:val="00860266"/>
    <w:rsid w:val="008752AA"/>
    <w:rsid w:val="00875555"/>
    <w:rsid w:val="00884655"/>
    <w:rsid w:val="00887660"/>
    <w:rsid w:val="00893C2C"/>
    <w:rsid w:val="0089415D"/>
    <w:rsid w:val="008954C8"/>
    <w:rsid w:val="008A3650"/>
    <w:rsid w:val="008B4846"/>
    <w:rsid w:val="008B66B8"/>
    <w:rsid w:val="008C2DEA"/>
    <w:rsid w:val="008C2E55"/>
    <w:rsid w:val="008C6382"/>
    <w:rsid w:val="008D1DA3"/>
    <w:rsid w:val="008D2DFB"/>
    <w:rsid w:val="008D5CDD"/>
    <w:rsid w:val="008E0FBF"/>
    <w:rsid w:val="008E52C1"/>
    <w:rsid w:val="008E6683"/>
    <w:rsid w:val="008F055A"/>
    <w:rsid w:val="008F23B3"/>
    <w:rsid w:val="00900FF7"/>
    <w:rsid w:val="00903EBB"/>
    <w:rsid w:val="00907C8D"/>
    <w:rsid w:val="009108A9"/>
    <w:rsid w:val="00916D76"/>
    <w:rsid w:val="00917DE5"/>
    <w:rsid w:val="00921D1B"/>
    <w:rsid w:val="009231C2"/>
    <w:rsid w:val="009253FA"/>
    <w:rsid w:val="0093752F"/>
    <w:rsid w:val="00941098"/>
    <w:rsid w:val="0094468B"/>
    <w:rsid w:val="009509F7"/>
    <w:rsid w:val="0095172D"/>
    <w:rsid w:val="00960D80"/>
    <w:rsid w:val="00962803"/>
    <w:rsid w:val="009633C4"/>
    <w:rsid w:val="009712E4"/>
    <w:rsid w:val="009722B9"/>
    <w:rsid w:val="0097541B"/>
    <w:rsid w:val="00990134"/>
    <w:rsid w:val="009919B5"/>
    <w:rsid w:val="00991FA9"/>
    <w:rsid w:val="009A323D"/>
    <w:rsid w:val="009B114B"/>
    <w:rsid w:val="009B207E"/>
    <w:rsid w:val="009B21AE"/>
    <w:rsid w:val="009C1591"/>
    <w:rsid w:val="009C3A2B"/>
    <w:rsid w:val="009C5981"/>
    <w:rsid w:val="009D0F73"/>
    <w:rsid w:val="009D3B78"/>
    <w:rsid w:val="009E6FBC"/>
    <w:rsid w:val="009F3AE7"/>
    <w:rsid w:val="009F5827"/>
    <w:rsid w:val="009F5E59"/>
    <w:rsid w:val="009F6B6E"/>
    <w:rsid w:val="00A06D50"/>
    <w:rsid w:val="00A07B3B"/>
    <w:rsid w:val="00A211B6"/>
    <w:rsid w:val="00A23B30"/>
    <w:rsid w:val="00A246FB"/>
    <w:rsid w:val="00A26752"/>
    <w:rsid w:val="00A316A0"/>
    <w:rsid w:val="00A325FC"/>
    <w:rsid w:val="00A4551B"/>
    <w:rsid w:val="00A4557B"/>
    <w:rsid w:val="00A45ADD"/>
    <w:rsid w:val="00A52234"/>
    <w:rsid w:val="00A53D3A"/>
    <w:rsid w:val="00A60256"/>
    <w:rsid w:val="00A609DB"/>
    <w:rsid w:val="00A65969"/>
    <w:rsid w:val="00A65D19"/>
    <w:rsid w:val="00A66C73"/>
    <w:rsid w:val="00A71821"/>
    <w:rsid w:val="00A73AF7"/>
    <w:rsid w:val="00A83A80"/>
    <w:rsid w:val="00A8656C"/>
    <w:rsid w:val="00A872CC"/>
    <w:rsid w:val="00A92D56"/>
    <w:rsid w:val="00A9623F"/>
    <w:rsid w:val="00AA1567"/>
    <w:rsid w:val="00AA618E"/>
    <w:rsid w:val="00AC082A"/>
    <w:rsid w:val="00AC5534"/>
    <w:rsid w:val="00AD402A"/>
    <w:rsid w:val="00AD4377"/>
    <w:rsid w:val="00AE0099"/>
    <w:rsid w:val="00AE054E"/>
    <w:rsid w:val="00AE4634"/>
    <w:rsid w:val="00AF1010"/>
    <w:rsid w:val="00AF2801"/>
    <w:rsid w:val="00AF3B4D"/>
    <w:rsid w:val="00AF51ED"/>
    <w:rsid w:val="00B01F70"/>
    <w:rsid w:val="00B04ECF"/>
    <w:rsid w:val="00B10AA7"/>
    <w:rsid w:val="00B136F5"/>
    <w:rsid w:val="00B16D0D"/>
    <w:rsid w:val="00B231EB"/>
    <w:rsid w:val="00B2564D"/>
    <w:rsid w:val="00B279B8"/>
    <w:rsid w:val="00B30B61"/>
    <w:rsid w:val="00B31E24"/>
    <w:rsid w:val="00B34862"/>
    <w:rsid w:val="00B36340"/>
    <w:rsid w:val="00B41EDE"/>
    <w:rsid w:val="00B52FF9"/>
    <w:rsid w:val="00B55ED9"/>
    <w:rsid w:val="00B56D54"/>
    <w:rsid w:val="00B653CE"/>
    <w:rsid w:val="00B66711"/>
    <w:rsid w:val="00B72EAB"/>
    <w:rsid w:val="00B779E2"/>
    <w:rsid w:val="00B80232"/>
    <w:rsid w:val="00B84C60"/>
    <w:rsid w:val="00B84FE2"/>
    <w:rsid w:val="00B92AB8"/>
    <w:rsid w:val="00B944C9"/>
    <w:rsid w:val="00B96420"/>
    <w:rsid w:val="00B974A2"/>
    <w:rsid w:val="00B97694"/>
    <w:rsid w:val="00BA17C4"/>
    <w:rsid w:val="00BB4743"/>
    <w:rsid w:val="00BB5DA8"/>
    <w:rsid w:val="00BC0291"/>
    <w:rsid w:val="00BC105A"/>
    <w:rsid w:val="00BC18CF"/>
    <w:rsid w:val="00BC31D1"/>
    <w:rsid w:val="00BC512E"/>
    <w:rsid w:val="00BD4708"/>
    <w:rsid w:val="00BE00E4"/>
    <w:rsid w:val="00BE269C"/>
    <w:rsid w:val="00BE2B85"/>
    <w:rsid w:val="00BE3AB8"/>
    <w:rsid w:val="00BE40DC"/>
    <w:rsid w:val="00BE4BEA"/>
    <w:rsid w:val="00BE69CF"/>
    <w:rsid w:val="00BF0F87"/>
    <w:rsid w:val="00BF245A"/>
    <w:rsid w:val="00BF75C7"/>
    <w:rsid w:val="00C13A75"/>
    <w:rsid w:val="00C14222"/>
    <w:rsid w:val="00C16476"/>
    <w:rsid w:val="00C21F68"/>
    <w:rsid w:val="00C272F3"/>
    <w:rsid w:val="00C404A1"/>
    <w:rsid w:val="00C44784"/>
    <w:rsid w:val="00C46252"/>
    <w:rsid w:val="00C52216"/>
    <w:rsid w:val="00C5348D"/>
    <w:rsid w:val="00C5711B"/>
    <w:rsid w:val="00C576E1"/>
    <w:rsid w:val="00C6630B"/>
    <w:rsid w:val="00C74CB3"/>
    <w:rsid w:val="00C74CC1"/>
    <w:rsid w:val="00C76472"/>
    <w:rsid w:val="00C83EF5"/>
    <w:rsid w:val="00CA30C8"/>
    <w:rsid w:val="00CA49A9"/>
    <w:rsid w:val="00CA5D6D"/>
    <w:rsid w:val="00CA734B"/>
    <w:rsid w:val="00CD0894"/>
    <w:rsid w:val="00CE5351"/>
    <w:rsid w:val="00CF1043"/>
    <w:rsid w:val="00CF764E"/>
    <w:rsid w:val="00D035C0"/>
    <w:rsid w:val="00D06794"/>
    <w:rsid w:val="00D06B25"/>
    <w:rsid w:val="00D120E2"/>
    <w:rsid w:val="00D13349"/>
    <w:rsid w:val="00D14121"/>
    <w:rsid w:val="00D17C50"/>
    <w:rsid w:val="00D210D9"/>
    <w:rsid w:val="00D217C6"/>
    <w:rsid w:val="00D33BBD"/>
    <w:rsid w:val="00D37889"/>
    <w:rsid w:val="00D37F63"/>
    <w:rsid w:val="00D43FBA"/>
    <w:rsid w:val="00D442DF"/>
    <w:rsid w:val="00D45D03"/>
    <w:rsid w:val="00D516AA"/>
    <w:rsid w:val="00D53A6F"/>
    <w:rsid w:val="00D55917"/>
    <w:rsid w:val="00D56524"/>
    <w:rsid w:val="00D61F81"/>
    <w:rsid w:val="00D665F1"/>
    <w:rsid w:val="00D67DAD"/>
    <w:rsid w:val="00D67E6F"/>
    <w:rsid w:val="00D709AC"/>
    <w:rsid w:val="00D72AEB"/>
    <w:rsid w:val="00D75597"/>
    <w:rsid w:val="00D76BD5"/>
    <w:rsid w:val="00D83804"/>
    <w:rsid w:val="00D87CF5"/>
    <w:rsid w:val="00D94736"/>
    <w:rsid w:val="00D954BC"/>
    <w:rsid w:val="00D955D8"/>
    <w:rsid w:val="00DA38F9"/>
    <w:rsid w:val="00DB086D"/>
    <w:rsid w:val="00DB1714"/>
    <w:rsid w:val="00DB2A5D"/>
    <w:rsid w:val="00DB7EC9"/>
    <w:rsid w:val="00DC3473"/>
    <w:rsid w:val="00DC3D4E"/>
    <w:rsid w:val="00DC7FCC"/>
    <w:rsid w:val="00DD73A6"/>
    <w:rsid w:val="00DE45D0"/>
    <w:rsid w:val="00DE511A"/>
    <w:rsid w:val="00DF1438"/>
    <w:rsid w:val="00DF195B"/>
    <w:rsid w:val="00DF4119"/>
    <w:rsid w:val="00DF6EFE"/>
    <w:rsid w:val="00E021EE"/>
    <w:rsid w:val="00E12295"/>
    <w:rsid w:val="00E12EC6"/>
    <w:rsid w:val="00E1514A"/>
    <w:rsid w:val="00E15272"/>
    <w:rsid w:val="00E179B8"/>
    <w:rsid w:val="00E21D3B"/>
    <w:rsid w:val="00E424A6"/>
    <w:rsid w:val="00E42D4C"/>
    <w:rsid w:val="00E43D66"/>
    <w:rsid w:val="00E44EE9"/>
    <w:rsid w:val="00E45368"/>
    <w:rsid w:val="00E4553E"/>
    <w:rsid w:val="00E46AAF"/>
    <w:rsid w:val="00E478C5"/>
    <w:rsid w:val="00E536C1"/>
    <w:rsid w:val="00E61273"/>
    <w:rsid w:val="00E71323"/>
    <w:rsid w:val="00E735D6"/>
    <w:rsid w:val="00E74AD2"/>
    <w:rsid w:val="00E7518A"/>
    <w:rsid w:val="00E81057"/>
    <w:rsid w:val="00E81C12"/>
    <w:rsid w:val="00E8264A"/>
    <w:rsid w:val="00E857F5"/>
    <w:rsid w:val="00E86C88"/>
    <w:rsid w:val="00E92378"/>
    <w:rsid w:val="00EA1663"/>
    <w:rsid w:val="00EA52F8"/>
    <w:rsid w:val="00EB62B7"/>
    <w:rsid w:val="00EC046D"/>
    <w:rsid w:val="00EC1319"/>
    <w:rsid w:val="00EC3269"/>
    <w:rsid w:val="00EC4267"/>
    <w:rsid w:val="00EC5165"/>
    <w:rsid w:val="00EC6EBD"/>
    <w:rsid w:val="00ED436F"/>
    <w:rsid w:val="00ED52DA"/>
    <w:rsid w:val="00EE41E1"/>
    <w:rsid w:val="00EE6276"/>
    <w:rsid w:val="00EE642E"/>
    <w:rsid w:val="00EE67ED"/>
    <w:rsid w:val="00EF3813"/>
    <w:rsid w:val="00EF3BB5"/>
    <w:rsid w:val="00EF51D7"/>
    <w:rsid w:val="00EF7D7D"/>
    <w:rsid w:val="00F00954"/>
    <w:rsid w:val="00F01218"/>
    <w:rsid w:val="00F02F9C"/>
    <w:rsid w:val="00F14132"/>
    <w:rsid w:val="00F20C90"/>
    <w:rsid w:val="00F607FF"/>
    <w:rsid w:val="00F613BC"/>
    <w:rsid w:val="00F63581"/>
    <w:rsid w:val="00F6379B"/>
    <w:rsid w:val="00F64961"/>
    <w:rsid w:val="00F649BE"/>
    <w:rsid w:val="00F65FCD"/>
    <w:rsid w:val="00F67893"/>
    <w:rsid w:val="00F728CB"/>
    <w:rsid w:val="00F75491"/>
    <w:rsid w:val="00F767C1"/>
    <w:rsid w:val="00F77217"/>
    <w:rsid w:val="00F81615"/>
    <w:rsid w:val="00F84BC4"/>
    <w:rsid w:val="00F8769C"/>
    <w:rsid w:val="00F9102E"/>
    <w:rsid w:val="00F918BB"/>
    <w:rsid w:val="00F95A16"/>
    <w:rsid w:val="00FA0E61"/>
    <w:rsid w:val="00FA3E30"/>
    <w:rsid w:val="00FA609F"/>
    <w:rsid w:val="00FA7C19"/>
    <w:rsid w:val="00FA7C26"/>
    <w:rsid w:val="00FB2939"/>
    <w:rsid w:val="00FC1BC6"/>
    <w:rsid w:val="00FD09B6"/>
    <w:rsid w:val="00FD1798"/>
    <w:rsid w:val="00FD5202"/>
    <w:rsid w:val="00FD562D"/>
    <w:rsid w:val="00FF0AC3"/>
    <w:rsid w:val="00FF499D"/>
    <w:rsid w:val="00FF65BC"/>
    <w:rsid w:val="00FF675D"/>
    <w:rsid w:val="00FF7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8CDD-DCBA-4267-820A-AD30A3C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13BC"/>
    <w:pPr>
      <w:spacing w:line="256" w:lineRule="auto"/>
    </w:pPr>
  </w:style>
  <w:style w:type="paragraph" w:styleId="Titolo1">
    <w:name w:val="heading 1"/>
    <w:basedOn w:val="Normale"/>
    <w:link w:val="Titolo1Carattere"/>
    <w:uiPriority w:val="9"/>
    <w:qFormat/>
    <w:rsid w:val="00E45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47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47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62CB"/>
    <w:rPr>
      <w:color w:val="0563C1" w:themeColor="hyperlink"/>
      <w:u w:val="single"/>
    </w:rPr>
  </w:style>
  <w:style w:type="table" w:styleId="Grigliatabella">
    <w:name w:val="Table Grid"/>
    <w:basedOn w:val="Tabellanormale"/>
    <w:uiPriority w:val="39"/>
    <w:rsid w:val="002D6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2">
    <w:name w:val="bold2"/>
    <w:basedOn w:val="Carpredefinitoparagrafo"/>
    <w:rsid w:val="002D62CB"/>
    <w:rPr>
      <w:b/>
      <w:bCs/>
    </w:rPr>
  </w:style>
  <w:style w:type="character" w:styleId="Enfasicorsivo">
    <w:name w:val="Emphasis"/>
    <w:basedOn w:val="Carpredefinitoparagrafo"/>
    <w:uiPriority w:val="20"/>
    <w:qFormat/>
    <w:rsid w:val="00C5711B"/>
    <w:rPr>
      <w:i/>
      <w:iCs/>
    </w:rPr>
  </w:style>
  <w:style w:type="paragraph" w:customStyle="1" w:styleId="c02alineaalta">
    <w:name w:val="c02alineaalta"/>
    <w:basedOn w:val="Normale"/>
    <w:rsid w:val="004A1C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A1CEC"/>
    <w:rPr>
      <w:color w:val="954F72" w:themeColor="followedHyperlink"/>
      <w:u w:val="single"/>
    </w:rPr>
  </w:style>
  <w:style w:type="table" w:customStyle="1" w:styleId="Grigliatabella1">
    <w:name w:val="Griglia tabella1"/>
    <w:basedOn w:val="Tabellanormale"/>
    <w:next w:val="Grigliatabella"/>
    <w:uiPriority w:val="39"/>
    <w:rsid w:val="00E1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021EE"/>
    <w:pPr>
      <w:ind w:left="720"/>
      <w:contextualSpacing/>
    </w:pPr>
  </w:style>
  <w:style w:type="character" w:styleId="Rimandocommento">
    <w:name w:val="annotation reference"/>
    <w:basedOn w:val="Carpredefinitoparagrafo"/>
    <w:uiPriority w:val="99"/>
    <w:semiHidden/>
    <w:unhideWhenUsed/>
    <w:rsid w:val="002556B8"/>
    <w:rPr>
      <w:sz w:val="16"/>
      <w:szCs w:val="16"/>
    </w:rPr>
  </w:style>
  <w:style w:type="paragraph" w:styleId="Testocommento">
    <w:name w:val="annotation text"/>
    <w:basedOn w:val="Normale"/>
    <w:link w:val="TestocommentoCarattere"/>
    <w:uiPriority w:val="99"/>
    <w:semiHidden/>
    <w:unhideWhenUsed/>
    <w:rsid w:val="002556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56B8"/>
    <w:rPr>
      <w:sz w:val="20"/>
      <w:szCs w:val="20"/>
    </w:rPr>
  </w:style>
  <w:style w:type="paragraph" w:styleId="Soggettocommento">
    <w:name w:val="annotation subject"/>
    <w:basedOn w:val="Testocommento"/>
    <w:next w:val="Testocommento"/>
    <w:link w:val="SoggettocommentoCarattere"/>
    <w:uiPriority w:val="99"/>
    <w:semiHidden/>
    <w:unhideWhenUsed/>
    <w:rsid w:val="002556B8"/>
    <w:rPr>
      <w:b/>
      <w:bCs/>
    </w:rPr>
  </w:style>
  <w:style w:type="character" w:customStyle="1" w:styleId="SoggettocommentoCarattere">
    <w:name w:val="Soggetto commento Carattere"/>
    <w:basedOn w:val="TestocommentoCarattere"/>
    <w:link w:val="Soggettocommento"/>
    <w:uiPriority w:val="99"/>
    <w:semiHidden/>
    <w:rsid w:val="002556B8"/>
    <w:rPr>
      <w:b/>
      <w:bCs/>
      <w:sz w:val="20"/>
      <w:szCs w:val="20"/>
    </w:rPr>
  </w:style>
  <w:style w:type="paragraph" w:styleId="Testofumetto">
    <w:name w:val="Balloon Text"/>
    <w:basedOn w:val="Normale"/>
    <w:link w:val="TestofumettoCarattere"/>
    <w:uiPriority w:val="99"/>
    <w:semiHidden/>
    <w:unhideWhenUsed/>
    <w:rsid w:val="002556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56B8"/>
    <w:rPr>
      <w:rFonts w:ascii="Segoe UI" w:hAnsi="Segoe UI" w:cs="Segoe UI"/>
      <w:sz w:val="18"/>
      <w:szCs w:val="18"/>
    </w:rPr>
  </w:style>
  <w:style w:type="character" w:customStyle="1" w:styleId="Titolo1Carattere">
    <w:name w:val="Titolo 1 Carattere"/>
    <w:basedOn w:val="Carpredefinitoparagrafo"/>
    <w:link w:val="Titolo1"/>
    <w:uiPriority w:val="9"/>
    <w:rsid w:val="00E4536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E453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FD17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FD17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
    <w:name w:val="special"/>
    <w:basedOn w:val="Normale"/>
    <w:rsid w:val="00AF28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2801"/>
    <w:rPr>
      <w:b/>
      <w:bCs/>
    </w:rPr>
  </w:style>
  <w:style w:type="character" w:customStyle="1" w:styleId="riferimento">
    <w:name w:val="riferimento"/>
    <w:basedOn w:val="Carpredefinitoparagrafo"/>
    <w:rsid w:val="00AF2801"/>
  </w:style>
  <w:style w:type="paragraph" w:styleId="Testonormale">
    <w:name w:val="Plain Text"/>
    <w:basedOn w:val="Normale"/>
    <w:link w:val="TestonormaleCarattere"/>
    <w:uiPriority w:val="99"/>
    <w:unhideWhenUsed/>
    <w:rsid w:val="00771E0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71E02"/>
    <w:rPr>
      <w:rFonts w:ascii="Calibri" w:hAnsi="Calibri"/>
      <w:szCs w:val="21"/>
    </w:rPr>
  </w:style>
  <w:style w:type="character" w:customStyle="1" w:styleId="Titolo2Carattere">
    <w:name w:val="Titolo 2 Carattere"/>
    <w:basedOn w:val="Carpredefinitoparagrafo"/>
    <w:link w:val="Titolo2"/>
    <w:uiPriority w:val="9"/>
    <w:semiHidden/>
    <w:rsid w:val="00E478C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E478C5"/>
    <w:rPr>
      <w:rFonts w:asciiTheme="majorHAnsi" w:eastAsiaTheme="majorEastAsia" w:hAnsiTheme="majorHAnsi" w:cstheme="majorBidi"/>
      <w:color w:val="1F4D78" w:themeColor="accent1" w:themeShade="7F"/>
      <w:sz w:val="24"/>
      <w:szCs w:val="24"/>
    </w:rPr>
  </w:style>
  <w:style w:type="character" w:customStyle="1" w:styleId="linkgazzetta">
    <w:name w:val="link_gazzetta"/>
    <w:basedOn w:val="Carpredefinitoparagrafo"/>
    <w:rsid w:val="00E478C5"/>
  </w:style>
  <w:style w:type="paragraph" w:customStyle="1" w:styleId="c41dispositifintroduction">
    <w:name w:val="c41dispositifintroduction"/>
    <w:basedOn w:val="Normale"/>
    <w:rsid w:val="00183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183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B279B8"/>
    <w:pPr>
      <w:spacing w:before="100" w:beforeAutospacing="1" w:after="240" w:line="240" w:lineRule="auto"/>
      <w:ind w:left="1134" w:hanging="567"/>
      <w:jc w:val="both"/>
    </w:pPr>
    <w:rPr>
      <w:rFonts w:ascii="Times New Roman" w:eastAsia="Times New Roman" w:hAnsi="Times New Roman" w:cs="Times New Roman"/>
      <w:b/>
      <w:bCs/>
      <w:sz w:val="24"/>
      <w:szCs w:val="24"/>
      <w:lang w:eastAsia="it-IT"/>
    </w:rPr>
  </w:style>
  <w:style w:type="paragraph" w:customStyle="1" w:styleId="Default">
    <w:name w:val="Default"/>
    <w:rsid w:val="0094468B"/>
    <w:pPr>
      <w:autoSpaceDE w:val="0"/>
      <w:autoSpaceDN w:val="0"/>
      <w:adjustRightInd w:val="0"/>
      <w:spacing w:after="0" w:line="240" w:lineRule="auto"/>
    </w:pPr>
    <w:rPr>
      <w:rFonts w:ascii="Perpetua" w:hAnsi="Perpetua" w:cs="Perpetua"/>
      <w:color w:val="000000"/>
      <w:sz w:val="24"/>
      <w:szCs w:val="24"/>
    </w:rPr>
  </w:style>
  <w:style w:type="character" w:customStyle="1" w:styleId="sottotitolo">
    <w:name w:val="sottotitolo"/>
    <w:basedOn w:val="Carpredefinitoparagrafo"/>
    <w:rsid w:val="0057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76">
      <w:bodyDiv w:val="1"/>
      <w:marLeft w:val="0"/>
      <w:marRight w:val="0"/>
      <w:marTop w:val="0"/>
      <w:marBottom w:val="0"/>
      <w:divBdr>
        <w:top w:val="none" w:sz="0" w:space="0" w:color="auto"/>
        <w:left w:val="none" w:sz="0" w:space="0" w:color="auto"/>
        <w:bottom w:val="none" w:sz="0" w:space="0" w:color="auto"/>
        <w:right w:val="none" w:sz="0" w:space="0" w:color="auto"/>
      </w:divBdr>
    </w:div>
    <w:div w:id="11152101">
      <w:bodyDiv w:val="1"/>
      <w:marLeft w:val="0"/>
      <w:marRight w:val="0"/>
      <w:marTop w:val="0"/>
      <w:marBottom w:val="0"/>
      <w:divBdr>
        <w:top w:val="none" w:sz="0" w:space="0" w:color="auto"/>
        <w:left w:val="none" w:sz="0" w:space="0" w:color="auto"/>
        <w:bottom w:val="none" w:sz="0" w:space="0" w:color="auto"/>
        <w:right w:val="none" w:sz="0" w:space="0" w:color="auto"/>
      </w:divBdr>
    </w:div>
    <w:div w:id="13963859">
      <w:bodyDiv w:val="1"/>
      <w:marLeft w:val="0"/>
      <w:marRight w:val="0"/>
      <w:marTop w:val="0"/>
      <w:marBottom w:val="0"/>
      <w:divBdr>
        <w:top w:val="none" w:sz="0" w:space="0" w:color="auto"/>
        <w:left w:val="none" w:sz="0" w:space="0" w:color="auto"/>
        <w:bottom w:val="none" w:sz="0" w:space="0" w:color="auto"/>
        <w:right w:val="none" w:sz="0" w:space="0" w:color="auto"/>
      </w:divBdr>
    </w:div>
    <w:div w:id="22756664">
      <w:bodyDiv w:val="1"/>
      <w:marLeft w:val="0"/>
      <w:marRight w:val="0"/>
      <w:marTop w:val="0"/>
      <w:marBottom w:val="0"/>
      <w:divBdr>
        <w:top w:val="none" w:sz="0" w:space="0" w:color="auto"/>
        <w:left w:val="none" w:sz="0" w:space="0" w:color="auto"/>
        <w:bottom w:val="none" w:sz="0" w:space="0" w:color="auto"/>
        <w:right w:val="none" w:sz="0" w:space="0" w:color="auto"/>
      </w:divBdr>
    </w:div>
    <w:div w:id="35863227">
      <w:bodyDiv w:val="1"/>
      <w:marLeft w:val="0"/>
      <w:marRight w:val="0"/>
      <w:marTop w:val="0"/>
      <w:marBottom w:val="0"/>
      <w:divBdr>
        <w:top w:val="none" w:sz="0" w:space="0" w:color="auto"/>
        <w:left w:val="none" w:sz="0" w:space="0" w:color="auto"/>
        <w:bottom w:val="none" w:sz="0" w:space="0" w:color="auto"/>
        <w:right w:val="none" w:sz="0" w:space="0" w:color="auto"/>
      </w:divBdr>
    </w:div>
    <w:div w:id="47342454">
      <w:bodyDiv w:val="1"/>
      <w:marLeft w:val="0"/>
      <w:marRight w:val="0"/>
      <w:marTop w:val="0"/>
      <w:marBottom w:val="0"/>
      <w:divBdr>
        <w:top w:val="none" w:sz="0" w:space="0" w:color="auto"/>
        <w:left w:val="none" w:sz="0" w:space="0" w:color="auto"/>
        <w:bottom w:val="none" w:sz="0" w:space="0" w:color="auto"/>
        <w:right w:val="none" w:sz="0" w:space="0" w:color="auto"/>
      </w:divBdr>
    </w:div>
    <w:div w:id="56321163">
      <w:bodyDiv w:val="1"/>
      <w:marLeft w:val="0"/>
      <w:marRight w:val="0"/>
      <w:marTop w:val="0"/>
      <w:marBottom w:val="0"/>
      <w:divBdr>
        <w:top w:val="none" w:sz="0" w:space="0" w:color="auto"/>
        <w:left w:val="none" w:sz="0" w:space="0" w:color="auto"/>
        <w:bottom w:val="none" w:sz="0" w:space="0" w:color="auto"/>
        <w:right w:val="none" w:sz="0" w:space="0" w:color="auto"/>
      </w:divBdr>
    </w:div>
    <w:div w:id="106508831">
      <w:bodyDiv w:val="1"/>
      <w:marLeft w:val="0"/>
      <w:marRight w:val="0"/>
      <w:marTop w:val="0"/>
      <w:marBottom w:val="0"/>
      <w:divBdr>
        <w:top w:val="none" w:sz="0" w:space="0" w:color="auto"/>
        <w:left w:val="none" w:sz="0" w:space="0" w:color="auto"/>
        <w:bottom w:val="none" w:sz="0" w:space="0" w:color="auto"/>
        <w:right w:val="none" w:sz="0" w:space="0" w:color="auto"/>
      </w:divBdr>
    </w:div>
    <w:div w:id="130826561">
      <w:bodyDiv w:val="1"/>
      <w:marLeft w:val="0"/>
      <w:marRight w:val="0"/>
      <w:marTop w:val="0"/>
      <w:marBottom w:val="0"/>
      <w:divBdr>
        <w:top w:val="none" w:sz="0" w:space="0" w:color="auto"/>
        <w:left w:val="none" w:sz="0" w:space="0" w:color="auto"/>
        <w:bottom w:val="none" w:sz="0" w:space="0" w:color="auto"/>
        <w:right w:val="none" w:sz="0" w:space="0" w:color="auto"/>
      </w:divBdr>
    </w:div>
    <w:div w:id="145709557">
      <w:bodyDiv w:val="1"/>
      <w:marLeft w:val="0"/>
      <w:marRight w:val="0"/>
      <w:marTop w:val="0"/>
      <w:marBottom w:val="0"/>
      <w:divBdr>
        <w:top w:val="none" w:sz="0" w:space="0" w:color="auto"/>
        <w:left w:val="none" w:sz="0" w:space="0" w:color="auto"/>
        <w:bottom w:val="none" w:sz="0" w:space="0" w:color="auto"/>
        <w:right w:val="none" w:sz="0" w:space="0" w:color="auto"/>
      </w:divBdr>
    </w:div>
    <w:div w:id="150028911">
      <w:bodyDiv w:val="1"/>
      <w:marLeft w:val="0"/>
      <w:marRight w:val="0"/>
      <w:marTop w:val="0"/>
      <w:marBottom w:val="0"/>
      <w:divBdr>
        <w:top w:val="none" w:sz="0" w:space="0" w:color="auto"/>
        <w:left w:val="none" w:sz="0" w:space="0" w:color="auto"/>
        <w:bottom w:val="none" w:sz="0" w:space="0" w:color="auto"/>
        <w:right w:val="none" w:sz="0" w:space="0" w:color="auto"/>
      </w:divBdr>
    </w:div>
    <w:div w:id="158736500">
      <w:bodyDiv w:val="1"/>
      <w:marLeft w:val="0"/>
      <w:marRight w:val="0"/>
      <w:marTop w:val="0"/>
      <w:marBottom w:val="0"/>
      <w:divBdr>
        <w:top w:val="none" w:sz="0" w:space="0" w:color="auto"/>
        <w:left w:val="none" w:sz="0" w:space="0" w:color="auto"/>
        <w:bottom w:val="none" w:sz="0" w:space="0" w:color="auto"/>
        <w:right w:val="none" w:sz="0" w:space="0" w:color="auto"/>
      </w:divBdr>
    </w:div>
    <w:div w:id="161745418">
      <w:bodyDiv w:val="1"/>
      <w:marLeft w:val="0"/>
      <w:marRight w:val="0"/>
      <w:marTop w:val="0"/>
      <w:marBottom w:val="0"/>
      <w:divBdr>
        <w:top w:val="none" w:sz="0" w:space="0" w:color="auto"/>
        <w:left w:val="none" w:sz="0" w:space="0" w:color="auto"/>
        <w:bottom w:val="none" w:sz="0" w:space="0" w:color="auto"/>
        <w:right w:val="none" w:sz="0" w:space="0" w:color="auto"/>
      </w:divBdr>
    </w:div>
    <w:div w:id="168371802">
      <w:bodyDiv w:val="1"/>
      <w:marLeft w:val="0"/>
      <w:marRight w:val="0"/>
      <w:marTop w:val="0"/>
      <w:marBottom w:val="0"/>
      <w:divBdr>
        <w:top w:val="none" w:sz="0" w:space="0" w:color="auto"/>
        <w:left w:val="none" w:sz="0" w:space="0" w:color="auto"/>
        <w:bottom w:val="none" w:sz="0" w:space="0" w:color="auto"/>
        <w:right w:val="none" w:sz="0" w:space="0" w:color="auto"/>
      </w:divBdr>
    </w:div>
    <w:div w:id="190731026">
      <w:bodyDiv w:val="1"/>
      <w:marLeft w:val="0"/>
      <w:marRight w:val="0"/>
      <w:marTop w:val="0"/>
      <w:marBottom w:val="0"/>
      <w:divBdr>
        <w:top w:val="none" w:sz="0" w:space="0" w:color="auto"/>
        <w:left w:val="none" w:sz="0" w:space="0" w:color="auto"/>
        <w:bottom w:val="none" w:sz="0" w:space="0" w:color="auto"/>
        <w:right w:val="none" w:sz="0" w:space="0" w:color="auto"/>
      </w:divBdr>
    </w:div>
    <w:div w:id="211116171">
      <w:bodyDiv w:val="1"/>
      <w:marLeft w:val="0"/>
      <w:marRight w:val="0"/>
      <w:marTop w:val="0"/>
      <w:marBottom w:val="0"/>
      <w:divBdr>
        <w:top w:val="none" w:sz="0" w:space="0" w:color="auto"/>
        <w:left w:val="none" w:sz="0" w:space="0" w:color="auto"/>
        <w:bottom w:val="none" w:sz="0" w:space="0" w:color="auto"/>
        <w:right w:val="none" w:sz="0" w:space="0" w:color="auto"/>
      </w:divBdr>
    </w:div>
    <w:div w:id="212884871">
      <w:bodyDiv w:val="1"/>
      <w:marLeft w:val="0"/>
      <w:marRight w:val="0"/>
      <w:marTop w:val="0"/>
      <w:marBottom w:val="0"/>
      <w:divBdr>
        <w:top w:val="none" w:sz="0" w:space="0" w:color="auto"/>
        <w:left w:val="none" w:sz="0" w:space="0" w:color="auto"/>
        <w:bottom w:val="none" w:sz="0" w:space="0" w:color="auto"/>
        <w:right w:val="none" w:sz="0" w:space="0" w:color="auto"/>
      </w:divBdr>
    </w:div>
    <w:div w:id="229459989">
      <w:bodyDiv w:val="1"/>
      <w:marLeft w:val="0"/>
      <w:marRight w:val="0"/>
      <w:marTop w:val="0"/>
      <w:marBottom w:val="0"/>
      <w:divBdr>
        <w:top w:val="none" w:sz="0" w:space="0" w:color="auto"/>
        <w:left w:val="none" w:sz="0" w:space="0" w:color="auto"/>
        <w:bottom w:val="none" w:sz="0" w:space="0" w:color="auto"/>
        <w:right w:val="none" w:sz="0" w:space="0" w:color="auto"/>
      </w:divBdr>
    </w:div>
    <w:div w:id="235751811">
      <w:bodyDiv w:val="1"/>
      <w:marLeft w:val="0"/>
      <w:marRight w:val="0"/>
      <w:marTop w:val="0"/>
      <w:marBottom w:val="0"/>
      <w:divBdr>
        <w:top w:val="none" w:sz="0" w:space="0" w:color="auto"/>
        <w:left w:val="none" w:sz="0" w:space="0" w:color="auto"/>
        <w:bottom w:val="none" w:sz="0" w:space="0" w:color="auto"/>
        <w:right w:val="none" w:sz="0" w:space="0" w:color="auto"/>
      </w:divBdr>
    </w:div>
    <w:div w:id="238029680">
      <w:bodyDiv w:val="1"/>
      <w:marLeft w:val="0"/>
      <w:marRight w:val="0"/>
      <w:marTop w:val="0"/>
      <w:marBottom w:val="0"/>
      <w:divBdr>
        <w:top w:val="none" w:sz="0" w:space="0" w:color="auto"/>
        <w:left w:val="none" w:sz="0" w:space="0" w:color="auto"/>
        <w:bottom w:val="none" w:sz="0" w:space="0" w:color="auto"/>
        <w:right w:val="none" w:sz="0" w:space="0" w:color="auto"/>
      </w:divBdr>
    </w:div>
    <w:div w:id="241988233">
      <w:bodyDiv w:val="1"/>
      <w:marLeft w:val="0"/>
      <w:marRight w:val="0"/>
      <w:marTop w:val="0"/>
      <w:marBottom w:val="0"/>
      <w:divBdr>
        <w:top w:val="none" w:sz="0" w:space="0" w:color="auto"/>
        <w:left w:val="none" w:sz="0" w:space="0" w:color="auto"/>
        <w:bottom w:val="none" w:sz="0" w:space="0" w:color="auto"/>
        <w:right w:val="none" w:sz="0" w:space="0" w:color="auto"/>
      </w:divBdr>
    </w:div>
    <w:div w:id="255481872">
      <w:bodyDiv w:val="1"/>
      <w:marLeft w:val="0"/>
      <w:marRight w:val="0"/>
      <w:marTop w:val="0"/>
      <w:marBottom w:val="0"/>
      <w:divBdr>
        <w:top w:val="none" w:sz="0" w:space="0" w:color="auto"/>
        <w:left w:val="none" w:sz="0" w:space="0" w:color="auto"/>
        <w:bottom w:val="none" w:sz="0" w:space="0" w:color="auto"/>
        <w:right w:val="none" w:sz="0" w:space="0" w:color="auto"/>
      </w:divBdr>
    </w:div>
    <w:div w:id="289477073">
      <w:bodyDiv w:val="1"/>
      <w:marLeft w:val="0"/>
      <w:marRight w:val="0"/>
      <w:marTop w:val="0"/>
      <w:marBottom w:val="0"/>
      <w:divBdr>
        <w:top w:val="none" w:sz="0" w:space="0" w:color="auto"/>
        <w:left w:val="none" w:sz="0" w:space="0" w:color="auto"/>
        <w:bottom w:val="none" w:sz="0" w:space="0" w:color="auto"/>
        <w:right w:val="none" w:sz="0" w:space="0" w:color="auto"/>
      </w:divBdr>
    </w:div>
    <w:div w:id="295646180">
      <w:bodyDiv w:val="1"/>
      <w:marLeft w:val="0"/>
      <w:marRight w:val="0"/>
      <w:marTop w:val="0"/>
      <w:marBottom w:val="0"/>
      <w:divBdr>
        <w:top w:val="none" w:sz="0" w:space="0" w:color="auto"/>
        <w:left w:val="none" w:sz="0" w:space="0" w:color="auto"/>
        <w:bottom w:val="none" w:sz="0" w:space="0" w:color="auto"/>
        <w:right w:val="none" w:sz="0" w:space="0" w:color="auto"/>
      </w:divBdr>
    </w:div>
    <w:div w:id="306394707">
      <w:bodyDiv w:val="1"/>
      <w:marLeft w:val="0"/>
      <w:marRight w:val="0"/>
      <w:marTop w:val="0"/>
      <w:marBottom w:val="0"/>
      <w:divBdr>
        <w:top w:val="none" w:sz="0" w:space="0" w:color="auto"/>
        <w:left w:val="none" w:sz="0" w:space="0" w:color="auto"/>
        <w:bottom w:val="none" w:sz="0" w:space="0" w:color="auto"/>
        <w:right w:val="none" w:sz="0" w:space="0" w:color="auto"/>
      </w:divBdr>
    </w:div>
    <w:div w:id="318072076">
      <w:bodyDiv w:val="1"/>
      <w:marLeft w:val="0"/>
      <w:marRight w:val="0"/>
      <w:marTop w:val="0"/>
      <w:marBottom w:val="0"/>
      <w:divBdr>
        <w:top w:val="none" w:sz="0" w:space="0" w:color="auto"/>
        <w:left w:val="none" w:sz="0" w:space="0" w:color="auto"/>
        <w:bottom w:val="none" w:sz="0" w:space="0" w:color="auto"/>
        <w:right w:val="none" w:sz="0" w:space="0" w:color="auto"/>
      </w:divBdr>
    </w:div>
    <w:div w:id="319891070">
      <w:bodyDiv w:val="1"/>
      <w:marLeft w:val="0"/>
      <w:marRight w:val="0"/>
      <w:marTop w:val="0"/>
      <w:marBottom w:val="0"/>
      <w:divBdr>
        <w:top w:val="none" w:sz="0" w:space="0" w:color="auto"/>
        <w:left w:val="none" w:sz="0" w:space="0" w:color="auto"/>
        <w:bottom w:val="none" w:sz="0" w:space="0" w:color="auto"/>
        <w:right w:val="none" w:sz="0" w:space="0" w:color="auto"/>
      </w:divBdr>
    </w:div>
    <w:div w:id="326710244">
      <w:bodyDiv w:val="1"/>
      <w:marLeft w:val="0"/>
      <w:marRight w:val="0"/>
      <w:marTop w:val="0"/>
      <w:marBottom w:val="0"/>
      <w:divBdr>
        <w:top w:val="none" w:sz="0" w:space="0" w:color="auto"/>
        <w:left w:val="none" w:sz="0" w:space="0" w:color="auto"/>
        <w:bottom w:val="none" w:sz="0" w:space="0" w:color="auto"/>
        <w:right w:val="none" w:sz="0" w:space="0" w:color="auto"/>
      </w:divBdr>
    </w:div>
    <w:div w:id="366026552">
      <w:bodyDiv w:val="1"/>
      <w:marLeft w:val="0"/>
      <w:marRight w:val="0"/>
      <w:marTop w:val="0"/>
      <w:marBottom w:val="0"/>
      <w:divBdr>
        <w:top w:val="none" w:sz="0" w:space="0" w:color="auto"/>
        <w:left w:val="none" w:sz="0" w:space="0" w:color="auto"/>
        <w:bottom w:val="none" w:sz="0" w:space="0" w:color="auto"/>
        <w:right w:val="none" w:sz="0" w:space="0" w:color="auto"/>
      </w:divBdr>
    </w:div>
    <w:div w:id="423191987">
      <w:bodyDiv w:val="1"/>
      <w:marLeft w:val="0"/>
      <w:marRight w:val="0"/>
      <w:marTop w:val="0"/>
      <w:marBottom w:val="0"/>
      <w:divBdr>
        <w:top w:val="none" w:sz="0" w:space="0" w:color="auto"/>
        <w:left w:val="none" w:sz="0" w:space="0" w:color="auto"/>
        <w:bottom w:val="none" w:sz="0" w:space="0" w:color="auto"/>
        <w:right w:val="none" w:sz="0" w:space="0" w:color="auto"/>
      </w:divBdr>
    </w:div>
    <w:div w:id="452330198">
      <w:bodyDiv w:val="1"/>
      <w:marLeft w:val="0"/>
      <w:marRight w:val="0"/>
      <w:marTop w:val="0"/>
      <w:marBottom w:val="0"/>
      <w:divBdr>
        <w:top w:val="none" w:sz="0" w:space="0" w:color="auto"/>
        <w:left w:val="none" w:sz="0" w:space="0" w:color="auto"/>
        <w:bottom w:val="none" w:sz="0" w:space="0" w:color="auto"/>
        <w:right w:val="none" w:sz="0" w:space="0" w:color="auto"/>
      </w:divBdr>
    </w:div>
    <w:div w:id="487408352">
      <w:bodyDiv w:val="1"/>
      <w:marLeft w:val="0"/>
      <w:marRight w:val="0"/>
      <w:marTop w:val="0"/>
      <w:marBottom w:val="0"/>
      <w:divBdr>
        <w:top w:val="none" w:sz="0" w:space="0" w:color="auto"/>
        <w:left w:val="none" w:sz="0" w:space="0" w:color="auto"/>
        <w:bottom w:val="none" w:sz="0" w:space="0" w:color="auto"/>
        <w:right w:val="none" w:sz="0" w:space="0" w:color="auto"/>
      </w:divBdr>
    </w:div>
    <w:div w:id="505635582">
      <w:bodyDiv w:val="1"/>
      <w:marLeft w:val="0"/>
      <w:marRight w:val="0"/>
      <w:marTop w:val="0"/>
      <w:marBottom w:val="0"/>
      <w:divBdr>
        <w:top w:val="none" w:sz="0" w:space="0" w:color="auto"/>
        <w:left w:val="none" w:sz="0" w:space="0" w:color="auto"/>
        <w:bottom w:val="none" w:sz="0" w:space="0" w:color="auto"/>
        <w:right w:val="none" w:sz="0" w:space="0" w:color="auto"/>
      </w:divBdr>
    </w:div>
    <w:div w:id="507253412">
      <w:bodyDiv w:val="1"/>
      <w:marLeft w:val="0"/>
      <w:marRight w:val="0"/>
      <w:marTop w:val="0"/>
      <w:marBottom w:val="0"/>
      <w:divBdr>
        <w:top w:val="none" w:sz="0" w:space="0" w:color="auto"/>
        <w:left w:val="none" w:sz="0" w:space="0" w:color="auto"/>
        <w:bottom w:val="none" w:sz="0" w:space="0" w:color="auto"/>
        <w:right w:val="none" w:sz="0" w:space="0" w:color="auto"/>
      </w:divBdr>
      <w:divsChild>
        <w:div w:id="498620982">
          <w:marLeft w:val="0"/>
          <w:marRight w:val="0"/>
          <w:marTop w:val="0"/>
          <w:marBottom w:val="600"/>
          <w:divBdr>
            <w:top w:val="none" w:sz="0" w:space="0" w:color="auto"/>
            <w:left w:val="none" w:sz="0" w:space="0" w:color="auto"/>
            <w:bottom w:val="none" w:sz="0" w:space="0" w:color="auto"/>
            <w:right w:val="none" w:sz="0" w:space="0" w:color="auto"/>
          </w:divBdr>
        </w:div>
        <w:div w:id="1707294415">
          <w:marLeft w:val="0"/>
          <w:marRight w:val="0"/>
          <w:marTop w:val="0"/>
          <w:marBottom w:val="600"/>
          <w:divBdr>
            <w:top w:val="none" w:sz="0" w:space="0" w:color="auto"/>
            <w:left w:val="none" w:sz="0" w:space="0" w:color="auto"/>
            <w:bottom w:val="none" w:sz="0" w:space="0" w:color="auto"/>
            <w:right w:val="none" w:sz="0" w:space="0" w:color="auto"/>
          </w:divBdr>
        </w:div>
      </w:divsChild>
    </w:div>
    <w:div w:id="514225566">
      <w:bodyDiv w:val="1"/>
      <w:marLeft w:val="0"/>
      <w:marRight w:val="0"/>
      <w:marTop w:val="0"/>
      <w:marBottom w:val="0"/>
      <w:divBdr>
        <w:top w:val="none" w:sz="0" w:space="0" w:color="auto"/>
        <w:left w:val="none" w:sz="0" w:space="0" w:color="auto"/>
        <w:bottom w:val="none" w:sz="0" w:space="0" w:color="auto"/>
        <w:right w:val="none" w:sz="0" w:space="0" w:color="auto"/>
      </w:divBdr>
    </w:div>
    <w:div w:id="554466973">
      <w:bodyDiv w:val="1"/>
      <w:marLeft w:val="0"/>
      <w:marRight w:val="0"/>
      <w:marTop w:val="0"/>
      <w:marBottom w:val="0"/>
      <w:divBdr>
        <w:top w:val="none" w:sz="0" w:space="0" w:color="auto"/>
        <w:left w:val="none" w:sz="0" w:space="0" w:color="auto"/>
        <w:bottom w:val="none" w:sz="0" w:space="0" w:color="auto"/>
        <w:right w:val="none" w:sz="0" w:space="0" w:color="auto"/>
      </w:divBdr>
    </w:div>
    <w:div w:id="561793065">
      <w:bodyDiv w:val="1"/>
      <w:marLeft w:val="0"/>
      <w:marRight w:val="0"/>
      <w:marTop w:val="0"/>
      <w:marBottom w:val="0"/>
      <w:divBdr>
        <w:top w:val="none" w:sz="0" w:space="0" w:color="auto"/>
        <w:left w:val="none" w:sz="0" w:space="0" w:color="auto"/>
        <w:bottom w:val="none" w:sz="0" w:space="0" w:color="auto"/>
        <w:right w:val="none" w:sz="0" w:space="0" w:color="auto"/>
      </w:divBdr>
    </w:div>
    <w:div w:id="571888814">
      <w:bodyDiv w:val="1"/>
      <w:marLeft w:val="0"/>
      <w:marRight w:val="0"/>
      <w:marTop w:val="0"/>
      <w:marBottom w:val="0"/>
      <w:divBdr>
        <w:top w:val="none" w:sz="0" w:space="0" w:color="auto"/>
        <w:left w:val="none" w:sz="0" w:space="0" w:color="auto"/>
        <w:bottom w:val="none" w:sz="0" w:space="0" w:color="auto"/>
        <w:right w:val="none" w:sz="0" w:space="0" w:color="auto"/>
      </w:divBdr>
    </w:div>
    <w:div w:id="575285372">
      <w:bodyDiv w:val="1"/>
      <w:marLeft w:val="0"/>
      <w:marRight w:val="0"/>
      <w:marTop w:val="0"/>
      <w:marBottom w:val="0"/>
      <w:divBdr>
        <w:top w:val="none" w:sz="0" w:space="0" w:color="auto"/>
        <w:left w:val="none" w:sz="0" w:space="0" w:color="auto"/>
        <w:bottom w:val="none" w:sz="0" w:space="0" w:color="auto"/>
        <w:right w:val="none" w:sz="0" w:space="0" w:color="auto"/>
      </w:divBdr>
    </w:div>
    <w:div w:id="576210437">
      <w:bodyDiv w:val="1"/>
      <w:marLeft w:val="0"/>
      <w:marRight w:val="0"/>
      <w:marTop w:val="0"/>
      <w:marBottom w:val="0"/>
      <w:divBdr>
        <w:top w:val="none" w:sz="0" w:space="0" w:color="auto"/>
        <w:left w:val="none" w:sz="0" w:space="0" w:color="auto"/>
        <w:bottom w:val="none" w:sz="0" w:space="0" w:color="auto"/>
        <w:right w:val="none" w:sz="0" w:space="0" w:color="auto"/>
      </w:divBdr>
    </w:div>
    <w:div w:id="615067247">
      <w:bodyDiv w:val="1"/>
      <w:marLeft w:val="0"/>
      <w:marRight w:val="0"/>
      <w:marTop w:val="0"/>
      <w:marBottom w:val="0"/>
      <w:divBdr>
        <w:top w:val="none" w:sz="0" w:space="0" w:color="auto"/>
        <w:left w:val="none" w:sz="0" w:space="0" w:color="auto"/>
        <w:bottom w:val="none" w:sz="0" w:space="0" w:color="auto"/>
        <w:right w:val="none" w:sz="0" w:space="0" w:color="auto"/>
      </w:divBdr>
    </w:div>
    <w:div w:id="656567696">
      <w:bodyDiv w:val="1"/>
      <w:marLeft w:val="0"/>
      <w:marRight w:val="0"/>
      <w:marTop w:val="0"/>
      <w:marBottom w:val="0"/>
      <w:divBdr>
        <w:top w:val="none" w:sz="0" w:space="0" w:color="auto"/>
        <w:left w:val="none" w:sz="0" w:space="0" w:color="auto"/>
        <w:bottom w:val="none" w:sz="0" w:space="0" w:color="auto"/>
        <w:right w:val="none" w:sz="0" w:space="0" w:color="auto"/>
      </w:divBdr>
    </w:div>
    <w:div w:id="689649209">
      <w:bodyDiv w:val="1"/>
      <w:marLeft w:val="0"/>
      <w:marRight w:val="0"/>
      <w:marTop w:val="0"/>
      <w:marBottom w:val="0"/>
      <w:divBdr>
        <w:top w:val="none" w:sz="0" w:space="0" w:color="auto"/>
        <w:left w:val="none" w:sz="0" w:space="0" w:color="auto"/>
        <w:bottom w:val="none" w:sz="0" w:space="0" w:color="auto"/>
        <w:right w:val="none" w:sz="0" w:space="0" w:color="auto"/>
      </w:divBdr>
      <w:divsChild>
        <w:div w:id="941769078">
          <w:marLeft w:val="0"/>
          <w:marRight w:val="0"/>
          <w:marTop w:val="0"/>
          <w:marBottom w:val="600"/>
          <w:divBdr>
            <w:top w:val="none" w:sz="0" w:space="0" w:color="auto"/>
            <w:left w:val="none" w:sz="0" w:space="0" w:color="auto"/>
            <w:bottom w:val="none" w:sz="0" w:space="0" w:color="auto"/>
            <w:right w:val="none" w:sz="0" w:space="0" w:color="auto"/>
          </w:divBdr>
        </w:div>
        <w:div w:id="1783957102">
          <w:marLeft w:val="0"/>
          <w:marRight w:val="0"/>
          <w:marTop w:val="0"/>
          <w:marBottom w:val="600"/>
          <w:divBdr>
            <w:top w:val="none" w:sz="0" w:space="0" w:color="auto"/>
            <w:left w:val="none" w:sz="0" w:space="0" w:color="auto"/>
            <w:bottom w:val="none" w:sz="0" w:space="0" w:color="auto"/>
            <w:right w:val="none" w:sz="0" w:space="0" w:color="auto"/>
          </w:divBdr>
        </w:div>
        <w:div w:id="814101186">
          <w:marLeft w:val="0"/>
          <w:marRight w:val="0"/>
          <w:marTop w:val="0"/>
          <w:marBottom w:val="600"/>
          <w:divBdr>
            <w:top w:val="none" w:sz="0" w:space="0" w:color="auto"/>
            <w:left w:val="none" w:sz="0" w:space="0" w:color="auto"/>
            <w:bottom w:val="none" w:sz="0" w:space="0" w:color="auto"/>
            <w:right w:val="none" w:sz="0" w:space="0" w:color="auto"/>
          </w:divBdr>
        </w:div>
        <w:div w:id="1292902560">
          <w:marLeft w:val="0"/>
          <w:marRight w:val="0"/>
          <w:marTop w:val="0"/>
          <w:marBottom w:val="600"/>
          <w:divBdr>
            <w:top w:val="none" w:sz="0" w:space="0" w:color="auto"/>
            <w:left w:val="none" w:sz="0" w:space="0" w:color="auto"/>
            <w:bottom w:val="none" w:sz="0" w:space="0" w:color="auto"/>
            <w:right w:val="none" w:sz="0" w:space="0" w:color="auto"/>
          </w:divBdr>
        </w:div>
      </w:divsChild>
    </w:div>
    <w:div w:id="692461312">
      <w:bodyDiv w:val="1"/>
      <w:marLeft w:val="0"/>
      <w:marRight w:val="0"/>
      <w:marTop w:val="0"/>
      <w:marBottom w:val="0"/>
      <w:divBdr>
        <w:top w:val="none" w:sz="0" w:space="0" w:color="auto"/>
        <w:left w:val="none" w:sz="0" w:space="0" w:color="auto"/>
        <w:bottom w:val="none" w:sz="0" w:space="0" w:color="auto"/>
        <w:right w:val="none" w:sz="0" w:space="0" w:color="auto"/>
      </w:divBdr>
    </w:div>
    <w:div w:id="696392227">
      <w:bodyDiv w:val="1"/>
      <w:marLeft w:val="0"/>
      <w:marRight w:val="0"/>
      <w:marTop w:val="0"/>
      <w:marBottom w:val="0"/>
      <w:divBdr>
        <w:top w:val="none" w:sz="0" w:space="0" w:color="auto"/>
        <w:left w:val="none" w:sz="0" w:space="0" w:color="auto"/>
        <w:bottom w:val="none" w:sz="0" w:space="0" w:color="auto"/>
        <w:right w:val="none" w:sz="0" w:space="0" w:color="auto"/>
      </w:divBdr>
    </w:div>
    <w:div w:id="706299335">
      <w:bodyDiv w:val="1"/>
      <w:marLeft w:val="0"/>
      <w:marRight w:val="0"/>
      <w:marTop w:val="0"/>
      <w:marBottom w:val="0"/>
      <w:divBdr>
        <w:top w:val="none" w:sz="0" w:space="0" w:color="auto"/>
        <w:left w:val="none" w:sz="0" w:space="0" w:color="auto"/>
        <w:bottom w:val="none" w:sz="0" w:space="0" w:color="auto"/>
        <w:right w:val="none" w:sz="0" w:space="0" w:color="auto"/>
      </w:divBdr>
    </w:div>
    <w:div w:id="767314731">
      <w:bodyDiv w:val="1"/>
      <w:marLeft w:val="0"/>
      <w:marRight w:val="0"/>
      <w:marTop w:val="0"/>
      <w:marBottom w:val="0"/>
      <w:divBdr>
        <w:top w:val="none" w:sz="0" w:space="0" w:color="auto"/>
        <w:left w:val="none" w:sz="0" w:space="0" w:color="auto"/>
        <w:bottom w:val="none" w:sz="0" w:space="0" w:color="auto"/>
        <w:right w:val="none" w:sz="0" w:space="0" w:color="auto"/>
      </w:divBdr>
      <w:divsChild>
        <w:div w:id="659189752">
          <w:marLeft w:val="0"/>
          <w:marRight w:val="0"/>
          <w:marTop w:val="0"/>
          <w:marBottom w:val="0"/>
          <w:divBdr>
            <w:top w:val="none" w:sz="0" w:space="0" w:color="auto"/>
            <w:left w:val="none" w:sz="0" w:space="0" w:color="auto"/>
            <w:bottom w:val="none" w:sz="0" w:space="0" w:color="auto"/>
            <w:right w:val="none" w:sz="0" w:space="0" w:color="auto"/>
          </w:divBdr>
          <w:divsChild>
            <w:div w:id="470252557">
              <w:marLeft w:val="0"/>
              <w:marRight w:val="0"/>
              <w:marTop w:val="0"/>
              <w:marBottom w:val="0"/>
              <w:divBdr>
                <w:top w:val="none" w:sz="0" w:space="0" w:color="auto"/>
                <w:left w:val="none" w:sz="0" w:space="0" w:color="auto"/>
                <w:bottom w:val="none" w:sz="0" w:space="0" w:color="auto"/>
                <w:right w:val="none" w:sz="0" w:space="0" w:color="auto"/>
              </w:divBdr>
              <w:divsChild>
                <w:div w:id="709958185">
                  <w:marLeft w:val="0"/>
                  <w:marRight w:val="0"/>
                  <w:marTop w:val="0"/>
                  <w:marBottom w:val="0"/>
                  <w:divBdr>
                    <w:top w:val="none" w:sz="0" w:space="0" w:color="auto"/>
                    <w:left w:val="none" w:sz="0" w:space="0" w:color="auto"/>
                    <w:bottom w:val="none" w:sz="0" w:space="0" w:color="auto"/>
                    <w:right w:val="none" w:sz="0" w:space="0" w:color="auto"/>
                  </w:divBdr>
                  <w:divsChild>
                    <w:div w:id="440413568">
                      <w:marLeft w:val="0"/>
                      <w:marRight w:val="0"/>
                      <w:marTop w:val="0"/>
                      <w:marBottom w:val="0"/>
                      <w:divBdr>
                        <w:top w:val="none" w:sz="0" w:space="0" w:color="auto"/>
                        <w:left w:val="none" w:sz="0" w:space="0" w:color="auto"/>
                        <w:bottom w:val="none" w:sz="0" w:space="0" w:color="auto"/>
                        <w:right w:val="none" w:sz="0" w:space="0" w:color="auto"/>
                      </w:divBdr>
                      <w:divsChild>
                        <w:div w:id="1689212948">
                          <w:marLeft w:val="0"/>
                          <w:marRight w:val="0"/>
                          <w:marTop w:val="0"/>
                          <w:marBottom w:val="0"/>
                          <w:divBdr>
                            <w:top w:val="none" w:sz="0" w:space="0" w:color="auto"/>
                            <w:left w:val="none" w:sz="0" w:space="0" w:color="auto"/>
                            <w:bottom w:val="none" w:sz="0" w:space="0" w:color="auto"/>
                            <w:right w:val="none" w:sz="0" w:space="0" w:color="auto"/>
                          </w:divBdr>
                          <w:divsChild>
                            <w:div w:id="1468164269">
                              <w:marLeft w:val="0"/>
                              <w:marRight w:val="0"/>
                              <w:marTop w:val="0"/>
                              <w:marBottom w:val="0"/>
                              <w:divBdr>
                                <w:top w:val="none" w:sz="0" w:space="0" w:color="auto"/>
                                <w:left w:val="none" w:sz="0" w:space="0" w:color="auto"/>
                                <w:bottom w:val="none" w:sz="0" w:space="0" w:color="auto"/>
                                <w:right w:val="none" w:sz="0" w:space="0" w:color="auto"/>
                              </w:divBdr>
                              <w:divsChild>
                                <w:div w:id="2106269123">
                                  <w:marLeft w:val="0"/>
                                  <w:marRight w:val="0"/>
                                  <w:marTop w:val="0"/>
                                  <w:marBottom w:val="0"/>
                                  <w:divBdr>
                                    <w:top w:val="none" w:sz="0" w:space="0" w:color="auto"/>
                                    <w:left w:val="none" w:sz="0" w:space="0" w:color="auto"/>
                                    <w:bottom w:val="none" w:sz="0" w:space="0" w:color="auto"/>
                                    <w:right w:val="none" w:sz="0" w:space="0" w:color="auto"/>
                                  </w:divBdr>
                                  <w:divsChild>
                                    <w:div w:id="910771251">
                                      <w:marLeft w:val="0"/>
                                      <w:marRight w:val="0"/>
                                      <w:marTop w:val="0"/>
                                      <w:marBottom w:val="0"/>
                                      <w:divBdr>
                                        <w:top w:val="none" w:sz="0" w:space="0" w:color="auto"/>
                                        <w:left w:val="none" w:sz="0" w:space="0" w:color="auto"/>
                                        <w:bottom w:val="none" w:sz="0" w:space="0" w:color="auto"/>
                                        <w:right w:val="none" w:sz="0" w:space="0" w:color="auto"/>
                                      </w:divBdr>
                                      <w:divsChild>
                                        <w:div w:id="87775670">
                                          <w:marLeft w:val="0"/>
                                          <w:marRight w:val="0"/>
                                          <w:marTop w:val="0"/>
                                          <w:marBottom w:val="0"/>
                                          <w:divBdr>
                                            <w:top w:val="none" w:sz="0" w:space="0" w:color="auto"/>
                                            <w:left w:val="none" w:sz="0" w:space="0" w:color="auto"/>
                                            <w:bottom w:val="none" w:sz="0" w:space="0" w:color="auto"/>
                                            <w:right w:val="none" w:sz="0" w:space="0" w:color="auto"/>
                                          </w:divBdr>
                                          <w:divsChild>
                                            <w:div w:id="152263863">
                                              <w:marLeft w:val="0"/>
                                              <w:marRight w:val="0"/>
                                              <w:marTop w:val="0"/>
                                              <w:marBottom w:val="0"/>
                                              <w:divBdr>
                                                <w:top w:val="none" w:sz="0" w:space="0" w:color="auto"/>
                                                <w:left w:val="none" w:sz="0" w:space="0" w:color="auto"/>
                                                <w:bottom w:val="none" w:sz="0" w:space="0" w:color="auto"/>
                                                <w:right w:val="none" w:sz="0" w:space="0" w:color="auto"/>
                                              </w:divBdr>
                                              <w:divsChild>
                                                <w:div w:id="1051726990">
                                                  <w:marLeft w:val="0"/>
                                                  <w:marRight w:val="0"/>
                                                  <w:marTop w:val="0"/>
                                                  <w:marBottom w:val="0"/>
                                                  <w:divBdr>
                                                    <w:top w:val="none" w:sz="0" w:space="0" w:color="auto"/>
                                                    <w:left w:val="none" w:sz="0" w:space="0" w:color="auto"/>
                                                    <w:bottom w:val="none" w:sz="0" w:space="0" w:color="auto"/>
                                                    <w:right w:val="none" w:sz="0" w:space="0" w:color="auto"/>
                                                  </w:divBdr>
                                                  <w:divsChild>
                                                    <w:div w:id="1188566923">
                                                      <w:marLeft w:val="0"/>
                                                      <w:marRight w:val="0"/>
                                                      <w:marTop w:val="0"/>
                                                      <w:marBottom w:val="0"/>
                                                      <w:divBdr>
                                                        <w:top w:val="none" w:sz="0" w:space="0" w:color="auto"/>
                                                        <w:left w:val="none" w:sz="0" w:space="0" w:color="auto"/>
                                                        <w:bottom w:val="none" w:sz="0" w:space="0" w:color="auto"/>
                                                        <w:right w:val="none" w:sz="0" w:space="0" w:color="auto"/>
                                                      </w:divBdr>
                                                      <w:divsChild>
                                                        <w:div w:id="278882486">
                                                          <w:marLeft w:val="0"/>
                                                          <w:marRight w:val="0"/>
                                                          <w:marTop w:val="0"/>
                                                          <w:marBottom w:val="0"/>
                                                          <w:divBdr>
                                                            <w:top w:val="none" w:sz="0" w:space="0" w:color="auto"/>
                                                            <w:left w:val="none" w:sz="0" w:space="0" w:color="auto"/>
                                                            <w:bottom w:val="none" w:sz="0" w:space="0" w:color="auto"/>
                                                            <w:right w:val="none" w:sz="0" w:space="0" w:color="auto"/>
                                                          </w:divBdr>
                                                          <w:divsChild>
                                                            <w:div w:id="6956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587381">
      <w:bodyDiv w:val="1"/>
      <w:marLeft w:val="0"/>
      <w:marRight w:val="0"/>
      <w:marTop w:val="0"/>
      <w:marBottom w:val="0"/>
      <w:divBdr>
        <w:top w:val="none" w:sz="0" w:space="0" w:color="auto"/>
        <w:left w:val="none" w:sz="0" w:space="0" w:color="auto"/>
        <w:bottom w:val="none" w:sz="0" w:space="0" w:color="auto"/>
        <w:right w:val="none" w:sz="0" w:space="0" w:color="auto"/>
      </w:divBdr>
    </w:div>
    <w:div w:id="777217429">
      <w:bodyDiv w:val="1"/>
      <w:marLeft w:val="0"/>
      <w:marRight w:val="0"/>
      <w:marTop w:val="0"/>
      <w:marBottom w:val="0"/>
      <w:divBdr>
        <w:top w:val="none" w:sz="0" w:space="0" w:color="auto"/>
        <w:left w:val="none" w:sz="0" w:space="0" w:color="auto"/>
        <w:bottom w:val="none" w:sz="0" w:space="0" w:color="auto"/>
        <w:right w:val="none" w:sz="0" w:space="0" w:color="auto"/>
      </w:divBdr>
    </w:div>
    <w:div w:id="814182005">
      <w:bodyDiv w:val="1"/>
      <w:marLeft w:val="0"/>
      <w:marRight w:val="0"/>
      <w:marTop w:val="0"/>
      <w:marBottom w:val="0"/>
      <w:divBdr>
        <w:top w:val="none" w:sz="0" w:space="0" w:color="auto"/>
        <w:left w:val="none" w:sz="0" w:space="0" w:color="auto"/>
        <w:bottom w:val="none" w:sz="0" w:space="0" w:color="auto"/>
        <w:right w:val="none" w:sz="0" w:space="0" w:color="auto"/>
      </w:divBdr>
    </w:div>
    <w:div w:id="820195271">
      <w:bodyDiv w:val="1"/>
      <w:marLeft w:val="0"/>
      <w:marRight w:val="0"/>
      <w:marTop w:val="0"/>
      <w:marBottom w:val="0"/>
      <w:divBdr>
        <w:top w:val="none" w:sz="0" w:space="0" w:color="auto"/>
        <w:left w:val="none" w:sz="0" w:space="0" w:color="auto"/>
        <w:bottom w:val="none" w:sz="0" w:space="0" w:color="auto"/>
        <w:right w:val="none" w:sz="0" w:space="0" w:color="auto"/>
      </w:divBdr>
    </w:div>
    <w:div w:id="822739050">
      <w:bodyDiv w:val="1"/>
      <w:marLeft w:val="0"/>
      <w:marRight w:val="0"/>
      <w:marTop w:val="0"/>
      <w:marBottom w:val="0"/>
      <w:divBdr>
        <w:top w:val="none" w:sz="0" w:space="0" w:color="auto"/>
        <w:left w:val="none" w:sz="0" w:space="0" w:color="auto"/>
        <w:bottom w:val="none" w:sz="0" w:space="0" w:color="auto"/>
        <w:right w:val="none" w:sz="0" w:space="0" w:color="auto"/>
      </w:divBdr>
    </w:div>
    <w:div w:id="846096452">
      <w:bodyDiv w:val="1"/>
      <w:marLeft w:val="0"/>
      <w:marRight w:val="0"/>
      <w:marTop w:val="0"/>
      <w:marBottom w:val="0"/>
      <w:divBdr>
        <w:top w:val="none" w:sz="0" w:space="0" w:color="auto"/>
        <w:left w:val="none" w:sz="0" w:space="0" w:color="auto"/>
        <w:bottom w:val="none" w:sz="0" w:space="0" w:color="auto"/>
        <w:right w:val="none" w:sz="0" w:space="0" w:color="auto"/>
      </w:divBdr>
    </w:div>
    <w:div w:id="851340073">
      <w:bodyDiv w:val="1"/>
      <w:marLeft w:val="0"/>
      <w:marRight w:val="0"/>
      <w:marTop w:val="0"/>
      <w:marBottom w:val="0"/>
      <w:divBdr>
        <w:top w:val="none" w:sz="0" w:space="0" w:color="auto"/>
        <w:left w:val="none" w:sz="0" w:space="0" w:color="auto"/>
        <w:bottom w:val="none" w:sz="0" w:space="0" w:color="auto"/>
        <w:right w:val="none" w:sz="0" w:space="0" w:color="auto"/>
      </w:divBdr>
    </w:div>
    <w:div w:id="851802486">
      <w:bodyDiv w:val="1"/>
      <w:marLeft w:val="0"/>
      <w:marRight w:val="0"/>
      <w:marTop w:val="0"/>
      <w:marBottom w:val="0"/>
      <w:divBdr>
        <w:top w:val="none" w:sz="0" w:space="0" w:color="auto"/>
        <w:left w:val="none" w:sz="0" w:space="0" w:color="auto"/>
        <w:bottom w:val="none" w:sz="0" w:space="0" w:color="auto"/>
        <w:right w:val="none" w:sz="0" w:space="0" w:color="auto"/>
      </w:divBdr>
    </w:div>
    <w:div w:id="932469087">
      <w:bodyDiv w:val="1"/>
      <w:marLeft w:val="0"/>
      <w:marRight w:val="0"/>
      <w:marTop w:val="0"/>
      <w:marBottom w:val="0"/>
      <w:divBdr>
        <w:top w:val="none" w:sz="0" w:space="0" w:color="auto"/>
        <w:left w:val="none" w:sz="0" w:space="0" w:color="auto"/>
        <w:bottom w:val="none" w:sz="0" w:space="0" w:color="auto"/>
        <w:right w:val="none" w:sz="0" w:space="0" w:color="auto"/>
      </w:divBdr>
    </w:div>
    <w:div w:id="944848796">
      <w:bodyDiv w:val="1"/>
      <w:marLeft w:val="0"/>
      <w:marRight w:val="0"/>
      <w:marTop w:val="0"/>
      <w:marBottom w:val="0"/>
      <w:divBdr>
        <w:top w:val="none" w:sz="0" w:space="0" w:color="auto"/>
        <w:left w:val="none" w:sz="0" w:space="0" w:color="auto"/>
        <w:bottom w:val="none" w:sz="0" w:space="0" w:color="auto"/>
        <w:right w:val="none" w:sz="0" w:space="0" w:color="auto"/>
      </w:divBdr>
    </w:div>
    <w:div w:id="950627033">
      <w:bodyDiv w:val="1"/>
      <w:marLeft w:val="0"/>
      <w:marRight w:val="0"/>
      <w:marTop w:val="0"/>
      <w:marBottom w:val="0"/>
      <w:divBdr>
        <w:top w:val="none" w:sz="0" w:space="0" w:color="auto"/>
        <w:left w:val="none" w:sz="0" w:space="0" w:color="auto"/>
        <w:bottom w:val="none" w:sz="0" w:space="0" w:color="auto"/>
        <w:right w:val="none" w:sz="0" w:space="0" w:color="auto"/>
      </w:divBdr>
    </w:div>
    <w:div w:id="958954692">
      <w:bodyDiv w:val="1"/>
      <w:marLeft w:val="0"/>
      <w:marRight w:val="0"/>
      <w:marTop w:val="0"/>
      <w:marBottom w:val="0"/>
      <w:divBdr>
        <w:top w:val="none" w:sz="0" w:space="0" w:color="auto"/>
        <w:left w:val="none" w:sz="0" w:space="0" w:color="auto"/>
        <w:bottom w:val="none" w:sz="0" w:space="0" w:color="auto"/>
        <w:right w:val="none" w:sz="0" w:space="0" w:color="auto"/>
      </w:divBdr>
      <w:divsChild>
        <w:div w:id="456024839">
          <w:marLeft w:val="0"/>
          <w:marRight w:val="0"/>
          <w:marTop w:val="0"/>
          <w:marBottom w:val="0"/>
          <w:divBdr>
            <w:top w:val="none" w:sz="0" w:space="0" w:color="auto"/>
            <w:left w:val="none" w:sz="0" w:space="0" w:color="auto"/>
            <w:bottom w:val="none" w:sz="0" w:space="0" w:color="auto"/>
            <w:right w:val="none" w:sz="0" w:space="0" w:color="auto"/>
          </w:divBdr>
          <w:divsChild>
            <w:div w:id="813180518">
              <w:marLeft w:val="0"/>
              <w:marRight w:val="0"/>
              <w:marTop w:val="0"/>
              <w:marBottom w:val="0"/>
              <w:divBdr>
                <w:top w:val="none" w:sz="0" w:space="0" w:color="auto"/>
                <w:left w:val="none" w:sz="0" w:space="0" w:color="auto"/>
                <w:bottom w:val="none" w:sz="0" w:space="0" w:color="auto"/>
                <w:right w:val="none" w:sz="0" w:space="0" w:color="auto"/>
              </w:divBdr>
              <w:divsChild>
                <w:div w:id="462772842">
                  <w:marLeft w:val="0"/>
                  <w:marRight w:val="0"/>
                  <w:marTop w:val="0"/>
                  <w:marBottom w:val="0"/>
                  <w:divBdr>
                    <w:top w:val="none" w:sz="0" w:space="0" w:color="auto"/>
                    <w:left w:val="none" w:sz="0" w:space="0" w:color="auto"/>
                    <w:bottom w:val="none" w:sz="0" w:space="0" w:color="auto"/>
                    <w:right w:val="none" w:sz="0" w:space="0" w:color="auto"/>
                  </w:divBdr>
                  <w:divsChild>
                    <w:div w:id="314725566">
                      <w:marLeft w:val="0"/>
                      <w:marRight w:val="0"/>
                      <w:marTop w:val="0"/>
                      <w:marBottom w:val="0"/>
                      <w:divBdr>
                        <w:top w:val="none" w:sz="0" w:space="0" w:color="auto"/>
                        <w:left w:val="none" w:sz="0" w:space="0" w:color="auto"/>
                        <w:bottom w:val="none" w:sz="0" w:space="0" w:color="auto"/>
                        <w:right w:val="none" w:sz="0" w:space="0" w:color="auto"/>
                      </w:divBdr>
                      <w:divsChild>
                        <w:div w:id="1281916610">
                          <w:marLeft w:val="0"/>
                          <w:marRight w:val="0"/>
                          <w:marTop w:val="0"/>
                          <w:marBottom w:val="0"/>
                          <w:divBdr>
                            <w:top w:val="none" w:sz="0" w:space="0" w:color="auto"/>
                            <w:left w:val="none" w:sz="0" w:space="0" w:color="auto"/>
                            <w:bottom w:val="none" w:sz="0" w:space="0" w:color="auto"/>
                            <w:right w:val="none" w:sz="0" w:space="0" w:color="auto"/>
                          </w:divBdr>
                          <w:divsChild>
                            <w:div w:id="1021588676">
                              <w:marLeft w:val="0"/>
                              <w:marRight w:val="0"/>
                              <w:marTop w:val="0"/>
                              <w:marBottom w:val="0"/>
                              <w:divBdr>
                                <w:top w:val="none" w:sz="0" w:space="0" w:color="auto"/>
                                <w:left w:val="none" w:sz="0" w:space="0" w:color="auto"/>
                                <w:bottom w:val="none" w:sz="0" w:space="0" w:color="auto"/>
                                <w:right w:val="none" w:sz="0" w:space="0" w:color="auto"/>
                              </w:divBdr>
                              <w:divsChild>
                                <w:div w:id="713039318">
                                  <w:marLeft w:val="0"/>
                                  <w:marRight w:val="0"/>
                                  <w:marTop w:val="0"/>
                                  <w:marBottom w:val="0"/>
                                  <w:divBdr>
                                    <w:top w:val="none" w:sz="0" w:space="0" w:color="auto"/>
                                    <w:left w:val="none" w:sz="0" w:space="0" w:color="auto"/>
                                    <w:bottom w:val="none" w:sz="0" w:space="0" w:color="auto"/>
                                    <w:right w:val="none" w:sz="0" w:space="0" w:color="auto"/>
                                  </w:divBdr>
                                  <w:divsChild>
                                    <w:div w:id="1081373268">
                                      <w:marLeft w:val="0"/>
                                      <w:marRight w:val="0"/>
                                      <w:marTop w:val="0"/>
                                      <w:marBottom w:val="0"/>
                                      <w:divBdr>
                                        <w:top w:val="none" w:sz="0" w:space="0" w:color="auto"/>
                                        <w:left w:val="none" w:sz="0" w:space="0" w:color="auto"/>
                                        <w:bottom w:val="none" w:sz="0" w:space="0" w:color="auto"/>
                                        <w:right w:val="none" w:sz="0" w:space="0" w:color="auto"/>
                                      </w:divBdr>
                                      <w:divsChild>
                                        <w:div w:id="1321614178">
                                          <w:marLeft w:val="0"/>
                                          <w:marRight w:val="0"/>
                                          <w:marTop w:val="0"/>
                                          <w:marBottom w:val="0"/>
                                          <w:divBdr>
                                            <w:top w:val="none" w:sz="0" w:space="0" w:color="auto"/>
                                            <w:left w:val="none" w:sz="0" w:space="0" w:color="auto"/>
                                            <w:bottom w:val="none" w:sz="0" w:space="0" w:color="auto"/>
                                            <w:right w:val="none" w:sz="0" w:space="0" w:color="auto"/>
                                          </w:divBdr>
                                          <w:divsChild>
                                            <w:div w:id="1597907242">
                                              <w:marLeft w:val="0"/>
                                              <w:marRight w:val="0"/>
                                              <w:marTop w:val="0"/>
                                              <w:marBottom w:val="0"/>
                                              <w:divBdr>
                                                <w:top w:val="none" w:sz="0" w:space="0" w:color="auto"/>
                                                <w:left w:val="none" w:sz="0" w:space="0" w:color="auto"/>
                                                <w:bottom w:val="none" w:sz="0" w:space="0" w:color="auto"/>
                                                <w:right w:val="none" w:sz="0" w:space="0" w:color="auto"/>
                                              </w:divBdr>
                                              <w:divsChild>
                                                <w:div w:id="1545750188">
                                                  <w:marLeft w:val="0"/>
                                                  <w:marRight w:val="0"/>
                                                  <w:marTop w:val="0"/>
                                                  <w:marBottom w:val="0"/>
                                                  <w:divBdr>
                                                    <w:top w:val="none" w:sz="0" w:space="0" w:color="auto"/>
                                                    <w:left w:val="none" w:sz="0" w:space="0" w:color="auto"/>
                                                    <w:bottom w:val="none" w:sz="0" w:space="0" w:color="auto"/>
                                                    <w:right w:val="none" w:sz="0" w:space="0" w:color="auto"/>
                                                  </w:divBdr>
                                                  <w:divsChild>
                                                    <w:div w:id="487749085">
                                                      <w:marLeft w:val="0"/>
                                                      <w:marRight w:val="0"/>
                                                      <w:marTop w:val="0"/>
                                                      <w:marBottom w:val="0"/>
                                                      <w:divBdr>
                                                        <w:top w:val="none" w:sz="0" w:space="0" w:color="auto"/>
                                                        <w:left w:val="none" w:sz="0" w:space="0" w:color="auto"/>
                                                        <w:bottom w:val="none" w:sz="0" w:space="0" w:color="auto"/>
                                                        <w:right w:val="none" w:sz="0" w:space="0" w:color="auto"/>
                                                      </w:divBdr>
                                                      <w:divsChild>
                                                        <w:div w:id="644432931">
                                                          <w:marLeft w:val="0"/>
                                                          <w:marRight w:val="0"/>
                                                          <w:marTop w:val="0"/>
                                                          <w:marBottom w:val="0"/>
                                                          <w:divBdr>
                                                            <w:top w:val="none" w:sz="0" w:space="0" w:color="auto"/>
                                                            <w:left w:val="none" w:sz="0" w:space="0" w:color="auto"/>
                                                            <w:bottom w:val="none" w:sz="0" w:space="0" w:color="auto"/>
                                                            <w:right w:val="none" w:sz="0" w:space="0" w:color="auto"/>
                                                          </w:divBdr>
                                                          <w:divsChild>
                                                            <w:div w:id="7685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142875">
      <w:bodyDiv w:val="1"/>
      <w:marLeft w:val="0"/>
      <w:marRight w:val="0"/>
      <w:marTop w:val="0"/>
      <w:marBottom w:val="0"/>
      <w:divBdr>
        <w:top w:val="none" w:sz="0" w:space="0" w:color="auto"/>
        <w:left w:val="none" w:sz="0" w:space="0" w:color="auto"/>
        <w:bottom w:val="none" w:sz="0" w:space="0" w:color="auto"/>
        <w:right w:val="none" w:sz="0" w:space="0" w:color="auto"/>
      </w:divBdr>
    </w:div>
    <w:div w:id="975333003">
      <w:bodyDiv w:val="1"/>
      <w:marLeft w:val="0"/>
      <w:marRight w:val="0"/>
      <w:marTop w:val="0"/>
      <w:marBottom w:val="0"/>
      <w:divBdr>
        <w:top w:val="none" w:sz="0" w:space="0" w:color="auto"/>
        <w:left w:val="none" w:sz="0" w:space="0" w:color="auto"/>
        <w:bottom w:val="none" w:sz="0" w:space="0" w:color="auto"/>
        <w:right w:val="none" w:sz="0" w:space="0" w:color="auto"/>
      </w:divBdr>
    </w:div>
    <w:div w:id="978191352">
      <w:bodyDiv w:val="1"/>
      <w:marLeft w:val="0"/>
      <w:marRight w:val="0"/>
      <w:marTop w:val="0"/>
      <w:marBottom w:val="0"/>
      <w:divBdr>
        <w:top w:val="none" w:sz="0" w:space="0" w:color="auto"/>
        <w:left w:val="none" w:sz="0" w:space="0" w:color="auto"/>
        <w:bottom w:val="none" w:sz="0" w:space="0" w:color="auto"/>
        <w:right w:val="none" w:sz="0" w:space="0" w:color="auto"/>
      </w:divBdr>
    </w:div>
    <w:div w:id="984165151">
      <w:bodyDiv w:val="1"/>
      <w:marLeft w:val="0"/>
      <w:marRight w:val="0"/>
      <w:marTop w:val="0"/>
      <w:marBottom w:val="0"/>
      <w:divBdr>
        <w:top w:val="none" w:sz="0" w:space="0" w:color="auto"/>
        <w:left w:val="none" w:sz="0" w:space="0" w:color="auto"/>
        <w:bottom w:val="none" w:sz="0" w:space="0" w:color="auto"/>
        <w:right w:val="none" w:sz="0" w:space="0" w:color="auto"/>
      </w:divBdr>
    </w:div>
    <w:div w:id="990717790">
      <w:bodyDiv w:val="1"/>
      <w:marLeft w:val="0"/>
      <w:marRight w:val="0"/>
      <w:marTop w:val="0"/>
      <w:marBottom w:val="0"/>
      <w:divBdr>
        <w:top w:val="none" w:sz="0" w:space="0" w:color="auto"/>
        <w:left w:val="none" w:sz="0" w:space="0" w:color="auto"/>
        <w:bottom w:val="none" w:sz="0" w:space="0" w:color="auto"/>
        <w:right w:val="none" w:sz="0" w:space="0" w:color="auto"/>
      </w:divBdr>
    </w:div>
    <w:div w:id="998533941">
      <w:bodyDiv w:val="1"/>
      <w:marLeft w:val="0"/>
      <w:marRight w:val="0"/>
      <w:marTop w:val="0"/>
      <w:marBottom w:val="0"/>
      <w:divBdr>
        <w:top w:val="none" w:sz="0" w:space="0" w:color="auto"/>
        <w:left w:val="none" w:sz="0" w:space="0" w:color="auto"/>
        <w:bottom w:val="none" w:sz="0" w:space="0" w:color="auto"/>
        <w:right w:val="none" w:sz="0" w:space="0" w:color="auto"/>
      </w:divBdr>
    </w:div>
    <w:div w:id="1038167414">
      <w:bodyDiv w:val="1"/>
      <w:marLeft w:val="0"/>
      <w:marRight w:val="0"/>
      <w:marTop w:val="0"/>
      <w:marBottom w:val="0"/>
      <w:divBdr>
        <w:top w:val="none" w:sz="0" w:space="0" w:color="auto"/>
        <w:left w:val="none" w:sz="0" w:space="0" w:color="auto"/>
        <w:bottom w:val="none" w:sz="0" w:space="0" w:color="auto"/>
        <w:right w:val="none" w:sz="0" w:space="0" w:color="auto"/>
      </w:divBdr>
    </w:div>
    <w:div w:id="1079063251">
      <w:bodyDiv w:val="1"/>
      <w:marLeft w:val="0"/>
      <w:marRight w:val="0"/>
      <w:marTop w:val="0"/>
      <w:marBottom w:val="0"/>
      <w:divBdr>
        <w:top w:val="none" w:sz="0" w:space="0" w:color="auto"/>
        <w:left w:val="none" w:sz="0" w:space="0" w:color="auto"/>
        <w:bottom w:val="none" w:sz="0" w:space="0" w:color="auto"/>
        <w:right w:val="none" w:sz="0" w:space="0" w:color="auto"/>
      </w:divBdr>
    </w:div>
    <w:div w:id="1095588924">
      <w:bodyDiv w:val="1"/>
      <w:marLeft w:val="0"/>
      <w:marRight w:val="0"/>
      <w:marTop w:val="0"/>
      <w:marBottom w:val="0"/>
      <w:divBdr>
        <w:top w:val="none" w:sz="0" w:space="0" w:color="auto"/>
        <w:left w:val="none" w:sz="0" w:space="0" w:color="auto"/>
        <w:bottom w:val="none" w:sz="0" w:space="0" w:color="auto"/>
        <w:right w:val="none" w:sz="0" w:space="0" w:color="auto"/>
      </w:divBdr>
    </w:div>
    <w:div w:id="1118767198">
      <w:bodyDiv w:val="1"/>
      <w:marLeft w:val="0"/>
      <w:marRight w:val="0"/>
      <w:marTop w:val="0"/>
      <w:marBottom w:val="0"/>
      <w:divBdr>
        <w:top w:val="none" w:sz="0" w:space="0" w:color="auto"/>
        <w:left w:val="none" w:sz="0" w:space="0" w:color="auto"/>
        <w:bottom w:val="none" w:sz="0" w:space="0" w:color="auto"/>
        <w:right w:val="none" w:sz="0" w:space="0" w:color="auto"/>
      </w:divBdr>
    </w:div>
    <w:div w:id="1122458797">
      <w:bodyDiv w:val="1"/>
      <w:marLeft w:val="0"/>
      <w:marRight w:val="0"/>
      <w:marTop w:val="0"/>
      <w:marBottom w:val="0"/>
      <w:divBdr>
        <w:top w:val="none" w:sz="0" w:space="0" w:color="auto"/>
        <w:left w:val="none" w:sz="0" w:space="0" w:color="auto"/>
        <w:bottom w:val="none" w:sz="0" w:space="0" w:color="auto"/>
        <w:right w:val="none" w:sz="0" w:space="0" w:color="auto"/>
      </w:divBdr>
    </w:div>
    <w:div w:id="1134101171">
      <w:bodyDiv w:val="1"/>
      <w:marLeft w:val="0"/>
      <w:marRight w:val="0"/>
      <w:marTop w:val="0"/>
      <w:marBottom w:val="0"/>
      <w:divBdr>
        <w:top w:val="none" w:sz="0" w:space="0" w:color="auto"/>
        <w:left w:val="none" w:sz="0" w:space="0" w:color="auto"/>
        <w:bottom w:val="none" w:sz="0" w:space="0" w:color="auto"/>
        <w:right w:val="none" w:sz="0" w:space="0" w:color="auto"/>
      </w:divBdr>
    </w:div>
    <w:div w:id="1161579814">
      <w:bodyDiv w:val="1"/>
      <w:marLeft w:val="0"/>
      <w:marRight w:val="0"/>
      <w:marTop w:val="0"/>
      <w:marBottom w:val="0"/>
      <w:divBdr>
        <w:top w:val="none" w:sz="0" w:space="0" w:color="auto"/>
        <w:left w:val="none" w:sz="0" w:space="0" w:color="auto"/>
        <w:bottom w:val="none" w:sz="0" w:space="0" w:color="auto"/>
        <w:right w:val="none" w:sz="0" w:space="0" w:color="auto"/>
      </w:divBdr>
    </w:div>
    <w:div w:id="1171606437">
      <w:bodyDiv w:val="1"/>
      <w:marLeft w:val="0"/>
      <w:marRight w:val="0"/>
      <w:marTop w:val="0"/>
      <w:marBottom w:val="0"/>
      <w:divBdr>
        <w:top w:val="none" w:sz="0" w:space="0" w:color="auto"/>
        <w:left w:val="none" w:sz="0" w:space="0" w:color="auto"/>
        <w:bottom w:val="none" w:sz="0" w:space="0" w:color="auto"/>
        <w:right w:val="none" w:sz="0" w:space="0" w:color="auto"/>
      </w:divBdr>
    </w:div>
    <w:div w:id="1183667608">
      <w:bodyDiv w:val="1"/>
      <w:marLeft w:val="0"/>
      <w:marRight w:val="0"/>
      <w:marTop w:val="0"/>
      <w:marBottom w:val="0"/>
      <w:divBdr>
        <w:top w:val="none" w:sz="0" w:space="0" w:color="auto"/>
        <w:left w:val="none" w:sz="0" w:space="0" w:color="auto"/>
        <w:bottom w:val="none" w:sz="0" w:space="0" w:color="auto"/>
        <w:right w:val="none" w:sz="0" w:space="0" w:color="auto"/>
      </w:divBdr>
    </w:div>
    <w:div w:id="1192188262">
      <w:bodyDiv w:val="1"/>
      <w:marLeft w:val="0"/>
      <w:marRight w:val="0"/>
      <w:marTop w:val="0"/>
      <w:marBottom w:val="0"/>
      <w:divBdr>
        <w:top w:val="none" w:sz="0" w:space="0" w:color="auto"/>
        <w:left w:val="none" w:sz="0" w:space="0" w:color="auto"/>
        <w:bottom w:val="none" w:sz="0" w:space="0" w:color="auto"/>
        <w:right w:val="none" w:sz="0" w:space="0" w:color="auto"/>
      </w:divBdr>
    </w:div>
    <w:div w:id="1217355550">
      <w:bodyDiv w:val="1"/>
      <w:marLeft w:val="0"/>
      <w:marRight w:val="0"/>
      <w:marTop w:val="0"/>
      <w:marBottom w:val="0"/>
      <w:divBdr>
        <w:top w:val="none" w:sz="0" w:space="0" w:color="auto"/>
        <w:left w:val="none" w:sz="0" w:space="0" w:color="auto"/>
        <w:bottom w:val="none" w:sz="0" w:space="0" w:color="auto"/>
        <w:right w:val="none" w:sz="0" w:space="0" w:color="auto"/>
      </w:divBdr>
    </w:div>
    <w:div w:id="1222055395">
      <w:bodyDiv w:val="1"/>
      <w:marLeft w:val="0"/>
      <w:marRight w:val="0"/>
      <w:marTop w:val="0"/>
      <w:marBottom w:val="0"/>
      <w:divBdr>
        <w:top w:val="none" w:sz="0" w:space="0" w:color="auto"/>
        <w:left w:val="none" w:sz="0" w:space="0" w:color="auto"/>
        <w:bottom w:val="none" w:sz="0" w:space="0" w:color="auto"/>
        <w:right w:val="none" w:sz="0" w:space="0" w:color="auto"/>
      </w:divBdr>
    </w:div>
    <w:div w:id="1240290864">
      <w:bodyDiv w:val="1"/>
      <w:marLeft w:val="0"/>
      <w:marRight w:val="0"/>
      <w:marTop w:val="0"/>
      <w:marBottom w:val="0"/>
      <w:divBdr>
        <w:top w:val="none" w:sz="0" w:space="0" w:color="auto"/>
        <w:left w:val="none" w:sz="0" w:space="0" w:color="auto"/>
        <w:bottom w:val="none" w:sz="0" w:space="0" w:color="auto"/>
        <w:right w:val="none" w:sz="0" w:space="0" w:color="auto"/>
      </w:divBdr>
    </w:div>
    <w:div w:id="1277324734">
      <w:bodyDiv w:val="1"/>
      <w:marLeft w:val="0"/>
      <w:marRight w:val="0"/>
      <w:marTop w:val="0"/>
      <w:marBottom w:val="0"/>
      <w:divBdr>
        <w:top w:val="none" w:sz="0" w:space="0" w:color="auto"/>
        <w:left w:val="none" w:sz="0" w:space="0" w:color="auto"/>
        <w:bottom w:val="none" w:sz="0" w:space="0" w:color="auto"/>
        <w:right w:val="none" w:sz="0" w:space="0" w:color="auto"/>
      </w:divBdr>
    </w:div>
    <w:div w:id="1284072224">
      <w:bodyDiv w:val="1"/>
      <w:marLeft w:val="0"/>
      <w:marRight w:val="0"/>
      <w:marTop w:val="0"/>
      <w:marBottom w:val="0"/>
      <w:divBdr>
        <w:top w:val="none" w:sz="0" w:space="0" w:color="auto"/>
        <w:left w:val="none" w:sz="0" w:space="0" w:color="auto"/>
        <w:bottom w:val="none" w:sz="0" w:space="0" w:color="auto"/>
        <w:right w:val="none" w:sz="0" w:space="0" w:color="auto"/>
      </w:divBdr>
    </w:div>
    <w:div w:id="1292636592">
      <w:bodyDiv w:val="1"/>
      <w:marLeft w:val="0"/>
      <w:marRight w:val="0"/>
      <w:marTop w:val="0"/>
      <w:marBottom w:val="0"/>
      <w:divBdr>
        <w:top w:val="none" w:sz="0" w:space="0" w:color="auto"/>
        <w:left w:val="none" w:sz="0" w:space="0" w:color="auto"/>
        <w:bottom w:val="none" w:sz="0" w:space="0" w:color="auto"/>
        <w:right w:val="none" w:sz="0" w:space="0" w:color="auto"/>
      </w:divBdr>
    </w:div>
    <w:div w:id="1341079871">
      <w:bodyDiv w:val="1"/>
      <w:marLeft w:val="0"/>
      <w:marRight w:val="0"/>
      <w:marTop w:val="0"/>
      <w:marBottom w:val="0"/>
      <w:divBdr>
        <w:top w:val="none" w:sz="0" w:space="0" w:color="auto"/>
        <w:left w:val="none" w:sz="0" w:space="0" w:color="auto"/>
        <w:bottom w:val="none" w:sz="0" w:space="0" w:color="auto"/>
        <w:right w:val="none" w:sz="0" w:space="0" w:color="auto"/>
      </w:divBdr>
    </w:div>
    <w:div w:id="1372343519">
      <w:bodyDiv w:val="1"/>
      <w:marLeft w:val="0"/>
      <w:marRight w:val="0"/>
      <w:marTop w:val="0"/>
      <w:marBottom w:val="0"/>
      <w:divBdr>
        <w:top w:val="none" w:sz="0" w:space="0" w:color="auto"/>
        <w:left w:val="none" w:sz="0" w:space="0" w:color="auto"/>
        <w:bottom w:val="none" w:sz="0" w:space="0" w:color="auto"/>
        <w:right w:val="none" w:sz="0" w:space="0" w:color="auto"/>
      </w:divBdr>
    </w:div>
    <w:div w:id="1384400393">
      <w:bodyDiv w:val="1"/>
      <w:marLeft w:val="0"/>
      <w:marRight w:val="0"/>
      <w:marTop w:val="0"/>
      <w:marBottom w:val="0"/>
      <w:divBdr>
        <w:top w:val="none" w:sz="0" w:space="0" w:color="auto"/>
        <w:left w:val="none" w:sz="0" w:space="0" w:color="auto"/>
        <w:bottom w:val="none" w:sz="0" w:space="0" w:color="auto"/>
        <w:right w:val="none" w:sz="0" w:space="0" w:color="auto"/>
      </w:divBdr>
    </w:div>
    <w:div w:id="1403061876">
      <w:bodyDiv w:val="1"/>
      <w:marLeft w:val="0"/>
      <w:marRight w:val="0"/>
      <w:marTop w:val="0"/>
      <w:marBottom w:val="0"/>
      <w:divBdr>
        <w:top w:val="none" w:sz="0" w:space="0" w:color="auto"/>
        <w:left w:val="none" w:sz="0" w:space="0" w:color="auto"/>
        <w:bottom w:val="none" w:sz="0" w:space="0" w:color="auto"/>
        <w:right w:val="none" w:sz="0" w:space="0" w:color="auto"/>
      </w:divBdr>
    </w:div>
    <w:div w:id="1414203463">
      <w:bodyDiv w:val="1"/>
      <w:marLeft w:val="0"/>
      <w:marRight w:val="0"/>
      <w:marTop w:val="0"/>
      <w:marBottom w:val="0"/>
      <w:divBdr>
        <w:top w:val="none" w:sz="0" w:space="0" w:color="auto"/>
        <w:left w:val="none" w:sz="0" w:space="0" w:color="auto"/>
        <w:bottom w:val="none" w:sz="0" w:space="0" w:color="auto"/>
        <w:right w:val="none" w:sz="0" w:space="0" w:color="auto"/>
      </w:divBdr>
    </w:div>
    <w:div w:id="1418596333">
      <w:bodyDiv w:val="1"/>
      <w:marLeft w:val="0"/>
      <w:marRight w:val="0"/>
      <w:marTop w:val="0"/>
      <w:marBottom w:val="0"/>
      <w:divBdr>
        <w:top w:val="none" w:sz="0" w:space="0" w:color="auto"/>
        <w:left w:val="none" w:sz="0" w:space="0" w:color="auto"/>
        <w:bottom w:val="none" w:sz="0" w:space="0" w:color="auto"/>
        <w:right w:val="none" w:sz="0" w:space="0" w:color="auto"/>
      </w:divBdr>
    </w:div>
    <w:div w:id="1431731345">
      <w:bodyDiv w:val="1"/>
      <w:marLeft w:val="0"/>
      <w:marRight w:val="0"/>
      <w:marTop w:val="0"/>
      <w:marBottom w:val="0"/>
      <w:divBdr>
        <w:top w:val="none" w:sz="0" w:space="0" w:color="auto"/>
        <w:left w:val="none" w:sz="0" w:space="0" w:color="auto"/>
        <w:bottom w:val="none" w:sz="0" w:space="0" w:color="auto"/>
        <w:right w:val="none" w:sz="0" w:space="0" w:color="auto"/>
      </w:divBdr>
      <w:divsChild>
        <w:div w:id="703167452">
          <w:marLeft w:val="0"/>
          <w:marRight w:val="0"/>
          <w:marTop w:val="0"/>
          <w:marBottom w:val="0"/>
          <w:divBdr>
            <w:top w:val="none" w:sz="0" w:space="0" w:color="auto"/>
            <w:left w:val="none" w:sz="0" w:space="0" w:color="auto"/>
            <w:bottom w:val="none" w:sz="0" w:space="0" w:color="auto"/>
            <w:right w:val="none" w:sz="0" w:space="0" w:color="auto"/>
          </w:divBdr>
          <w:divsChild>
            <w:div w:id="1722483039">
              <w:marLeft w:val="0"/>
              <w:marRight w:val="0"/>
              <w:marTop w:val="0"/>
              <w:marBottom w:val="0"/>
              <w:divBdr>
                <w:top w:val="none" w:sz="0" w:space="0" w:color="auto"/>
                <w:left w:val="none" w:sz="0" w:space="0" w:color="auto"/>
                <w:bottom w:val="none" w:sz="0" w:space="0" w:color="auto"/>
                <w:right w:val="none" w:sz="0" w:space="0" w:color="auto"/>
              </w:divBdr>
              <w:divsChild>
                <w:div w:id="286089245">
                  <w:marLeft w:val="0"/>
                  <w:marRight w:val="0"/>
                  <w:marTop w:val="0"/>
                  <w:marBottom w:val="0"/>
                  <w:divBdr>
                    <w:top w:val="none" w:sz="0" w:space="0" w:color="auto"/>
                    <w:left w:val="none" w:sz="0" w:space="0" w:color="auto"/>
                    <w:bottom w:val="none" w:sz="0" w:space="0" w:color="auto"/>
                    <w:right w:val="none" w:sz="0" w:space="0" w:color="auto"/>
                  </w:divBdr>
                  <w:divsChild>
                    <w:div w:id="626425622">
                      <w:marLeft w:val="0"/>
                      <w:marRight w:val="0"/>
                      <w:marTop w:val="0"/>
                      <w:marBottom w:val="0"/>
                      <w:divBdr>
                        <w:top w:val="none" w:sz="0" w:space="0" w:color="auto"/>
                        <w:left w:val="none" w:sz="0" w:space="0" w:color="auto"/>
                        <w:bottom w:val="none" w:sz="0" w:space="0" w:color="auto"/>
                        <w:right w:val="none" w:sz="0" w:space="0" w:color="auto"/>
                      </w:divBdr>
                      <w:divsChild>
                        <w:div w:id="893933565">
                          <w:marLeft w:val="0"/>
                          <w:marRight w:val="0"/>
                          <w:marTop w:val="0"/>
                          <w:marBottom w:val="0"/>
                          <w:divBdr>
                            <w:top w:val="none" w:sz="0" w:space="0" w:color="auto"/>
                            <w:left w:val="none" w:sz="0" w:space="0" w:color="auto"/>
                            <w:bottom w:val="none" w:sz="0" w:space="0" w:color="auto"/>
                            <w:right w:val="none" w:sz="0" w:space="0" w:color="auto"/>
                          </w:divBdr>
                          <w:divsChild>
                            <w:div w:id="262540313">
                              <w:marLeft w:val="0"/>
                              <w:marRight w:val="0"/>
                              <w:marTop w:val="0"/>
                              <w:marBottom w:val="0"/>
                              <w:divBdr>
                                <w:top w:val="none" w:sz="0" w:space="0" w:color="auto"/>
                                <w:left w:val="none" w:sz="0" w:space="0" w:color="auto"/>
                                <w:bottom w:val="none" w:sz="0" w:space="0" w:color="auto"/>
                                <w:right w:val="none" w:sz="0" w:space="0" w:color="auto"/>
                              </w:divBdr>
                              <w:divsChild>
                                <w:div w:id="1010257162">
                                  <w:marLeft w:val="0"/>
                                  <w:marRight w:val="0"/>
                                  <w:marTop w:val="0"/>
                                  <w:marBottom w:val="0"/>
                                  <w:divBdr>
                                    <w:top w:val="none" w:sz="0" w:space="0" w:color="auto"/>
                                    <w:left w:val="none" w:sz="0" w:space="0" w:color="auto"/>
                                    <w:bottom w:val="none" w:sz="0" w:space="0" w:color="auto"/>
                                    <w:right w:val="none" w:sz="0" w:space="0" w:color="auto"/>
                                  </w:divBdr>
                                  <w:divsChild>
                                    <w:div w:id="667757753">
                                      <w:marLeft w:val="0"/>
                                      <w:marRight w:val="0"/>
                                      <w:marTop w:val="0"/>
                                      <w:marBottom w:val="0"/>
                                      <w:divBdr>
                                        <w:top w:val="none" w:sz="0" w:space="0" w:color="auto"/>
                                        <w:left w:val="none" w:sz="0" w:space="0" w:color="auto"/>
                                        <w:bottom w:val="none" w:sz="0" w:space="0" w:color="auto"/>
                                        <w:right w:val="none" w:sz="0" w:space="0" w:color="auto"/>
                                      </w:divBdr>
                                      <w:divsChild>
                                        <w:div w:id="318772817">
                                          <w:marLeft w:val="0"/>
                                          <w:marRight w:val="0"/>
                                          <w:marTop w:val="0"/>
                                          <w:marBottom w:val="0"/>
                                          <w:divBdr>
                                            <w:top w:val="none" w:sz="0" w:space="0" w:color="auto"/>
                                            <w:left w:val="none" w:sz="0" w:space="0" w:color="auto"/>
                                            <w:bottom w:val="none" w:sz="0" w:space="0" w:color="auto"/>
                                            <w:right w:val="none" w:sz="0" w:space="0" w:color="auto"/>
                                          </w:divBdr>
                                          <w:divsChild>
                                            <w:div w:id="515391009">
                                              <w:marLeft w:val="0"/>
                                              <w:marRight w:val="0"/>
                                              <w:marTop w:val="0"/>
                                              <w:marBottom w:val="0"/>
                                              <w:divBdr>
                                                <w:top w:val="none" w:sz="0" w:space="0" w:color="auto"/>
                                                <w:left w:val="none" w:sz="0" w:space="0" w:color="auto"/>
                                                <w:bottom w:val="none" w:sz="0" w:space="0" w:color="auto"/>
                                                <w:right w:val="none" w:sz="0" w:space="0" w:color="auto"/>
                                              </w:divBdr>
                                              <w:divsChild>
                                                <w:div w:id="1760827718">
                                                  <w:marLeft w:val="0"/>
                                                  <w:marRight w:val="0"/>
                                                  <w:marTop w:val="0"/>
                                                  <w:marBottom w:val="0"/>
                                                  <w:divBdr>
                                                    <w:top w:val="none" w:sz="0" w:space="0" w:color="auto"/>
                                                    <w:left w:val="none" w:sz="0" w:space="0" w:color="auto"/>
                                                    <w:bottom w:val="none" w:sz="0" w:space="0" w:color="auto"/>
                                                    <w:right w:val="none" w:sz="0" w:space="0" w:color="auto"/>
                                                  </w:divBdr>
                                                  <w:divsChild>
                                                    <w:div w:id="1498496264">
                                                      <w:marLeft w:val="0"/>
                                                      <w:marRight w:val="0"/>
                                                      <w:marTop w:val="0"/>
                                                      <w:marBottom w:val="0"/>
                                                      <w:divBdr>
                                                        <w:top w:val="none" w:sz="0" w:space="0" w:color="auto"/>
                                                        <w:left w:val="none" w:sz="0" w:space="0" w:color="auto"/>
                                                        <w:bottom w:val="none" w:sz="0" w:space="0" w:color="auto"/>
                                                        <w:right w:val="none" w:sz="0" w:space="0" w:color="auto"/>
                                                      </w:divBdr>
                                                      <w:divsChild>
                                                        <w:div w:id="1419789919">
                                                          <w:marLeft w:val="0"/>
                                                          <w:marRight w:val="0"/>
                                                          <w:marTop w:val="0"/>
                                                          <w:marBottom w:val="0"/>
                                                          <w:divBdr>
                                                            <w:top w:val="none" w:sz="0" w:space="0" w:color="auto"/>
                                                            <w:left w:val="none" w:sz="0" w:space="0" w:color="auto"/>
                                                            <w:bottom w:val="none" w:sz="0" w:space="0" w:color="auto"/>
                                                            <w:right w:val="none" w:sz="0" w:space="0" w:color="auto"/>
                                                          </w:divBdr>
                                                          <w:divsChild>
                                                            <w:div w:id="16942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899754">
      <w:bodyDiv w:val="1"/>
      <w:marLeft w:val="0"/>
      <w:marRight w:val="0"/>
      <w:marTop w:val="0"/>
      <w:marBottom w:val="0"/>
      <w:divBdr>
        <w:top w:val="none" w:sz="0" w:space="0" w:color="auto"/>
        <w:left w:val="none" w:sz="0" w:space="0" w:color="auto"/>
        <w:bottom w:val="none" w:sz="0" w:space="0" w:color="auto"/>
        <w:right w:val="none" w:sz="0" w:space="0" w:color="auto"/>
      </w:divBdr>
    </w:div>
    <w:div w:id="1440367780">
      <w:bodyDiv w:val="1"/>
      <w:marLeft w:val="0"/>
      <w:marRight w:val="0"/>
      <w:marTop w:val="0"/>
      <w:marBottom w:val="0"/>
      <w:divBdr>
        <w:top w:val="none" w:sz="0" w:space="0" w:color="auto"/>
        <w:left w:val="none" w:sz="0" w:space="0" w:color="auto"/>
        <w:bottom w:val="none" w:sz="0" w:space="0" w:color="auto"/>
        <w:right w:val="none" w:sz="0" w:space="0" w:color="auto"/>
      </w:divBdr>
    </w:div>
    <w:div w:id="1447892035">
      <w:bodyDiv w:val="1"/>
      <w:marLeft w:val="0"/>
      <w:marRight w:val="0"/>
      <w:marTop w:val="0"/>
      <w:marBottom w:val="0"/>
      <w:divBdr>
        <w:top w:val="none" w:sz="0" w:space="0" w:color="auto"/>
        <w:left w:val="none" w:sz="0" w:space="0" w:color="auto"/>
        <w:bottom w:val="none" w:sz="0" w:space="0" w:color="auto"/>
        <w:right w:val="none" w:sz="0" w:space="0" w:color="auto"/>
      </w:divBdr>
    </w:div>
    <w:div w:id="1458913887">
      <w:bodyDiv w:val="1"/>
      <w:marLeft w:val="0"/>
      <w:marRight w:val="0"/>
      <w:marTop w:val="0"/>
      <w:marBottom w:val="0"/>
      <w:divBdr>
        <w:top w:val="none" w:sz="0" w:space="0" w:color="auto"/>
        <w:left w:val="none" w:sz="0" w:space="0" w:color="auto"/>
        <w:bottom w:val="none" w:sz="0" w:space="0" w:color="auto"/>
        <w:right w:val="none" w:sz="0" w:space="0" w:color="auto"/>
      </w:divBdr>
    </w:div>
    <w:div w:id="1459834112">
      <w:bodyDiv w:val="1"/>
      <w:marLeft w:val="0"/>
      <w:marRight w:val="0"/>
      <w:marTop w:val="0"/>
      <w:marBottom w:val="0"/>
      <w:divBdr>
        <w:top w:val="none" w:sz="0" w:space="0" w:color="auto"/>
        <w:left w:val="none" w:sz="0" w:space="0" w:color="auto"/>
        <w:bottom w:val="none" w:sz="0" w:space="0" w:color="auto"/>
        <w:right w:val="none" w:sz="0" w:space="0" w:color="auto"/>
      </w:divBdr>
      <w:divsChild>
        <w:div w:id="28845424">
          <w:marLeft w:val="0"/>
          <w:marRight w:val="0"/>
          <w:marTop w:val="0"/>
          <w:marBottom w:val="0"/>
          <w:divBdr>
            <w:top w:val="none" w:sz="0" w:space="0" w:color="auto"/>
            <w:left w:val="none" w:sz="0" w:space="0" w:color="auto"/>
            <w:bottom w:val="none" w:sz="0" w:space="0" w:color="auto"/>
            <w:right w:val="none" w:sz="0" w:space="0" w:color="auto"/>
          </w:divBdr>
          <w:divsChild>
            <w:div w:id="667100072">
              <w:marLeft w:val="0"/>
              <w:marRight w:val="0"/>
              <w:marTop w:val="0"/>
              <w:marBottom w:val="0"/>
              <w:divBdr>
                <w:top w:val="none" w:sz="0" w:space="0" w:color="auto"/>
                <w:left w:val="none" w:sz="0" w:space="0" w:color="auto"/>
                <w:bottom w:val="none" w:sz="0" w:space="0" w:color="auto"/>
                <w:right w:val="none" w:sz="0" w:space="0" w:color="auto"/>
              </w:divBdr>
              <w:divsChild>
                <w:div w:id="49154773">
                  <w:marLeft w:val="0"/>
                  <w:marRight w:val="0"/>
                  <w:marTop w:val="0"/>
                  <w:marBottom w:val="0"/>
                  <w:divBdr>
                    <w:top w:val="none" w:sz="0" w:space="0" w:color="auto"/>
                    <w:left w:val="none" w:sz="0" w:space="0" w:color="auto"/>
                    <w:bottom w:val="none" w:sz="0" w:space="0" w:color="auto"/>
                    <w:right w:val="none" w:sz="0" w:space="0" w:color="auto"/>
                  </w:divBdr>
                  <w:divsChild>
                    <w:div w:id="897017626">
                      <w:marLeft w:val="0"/>
                      <w:marRight w:val="0"/>
                      <w:marTop w:val="0"/>
                      <w:marBottom w:val="0"/>
                      <w:divBdr>
                        <w:top w:val="none" w:sz="0" w:space="0" w:color="auto"/>
                        <w:left w:val="none" w:sz="0" w:space="0" w:color="auto"/>
                        <w:bottom w:val="none" w:sz="0" w:space="0" w:color="auto"/>
                        <w:right w:val="none" w:sz="0" w:space="0" w:color="auto"/>
                      </w:divBdr>
                      <w:divsChild>
                        <w:div w:id="1463697564">
                          <w:marLeft w:val="0"/>
                          <w:marRight w:val="0"/>
                          <w:marTop w:val="0"/>
                          <w:marBottom w:val="0"/>
                          <w:divBdr>
                            <w:top w:val="none" w:sz="0" w:space="0" w:color="auto"/>
                            <w:left w:val="none" w:sz="0" w:space="0" w:color="auto"/>
                            <w:bottom w:val="none" w:sz="0" w:space="0" w:color="auto"/>
                            <w:right w:val="none" w:sz="0" w:space="0" w:color="auto"/>
                          </w:divBdr>
                          <w:divsChild>
                            <w:div w:id="591090569">
                              <w:marLeft w:val="0"/>
                              <w:marRight w:val="0"/>
                              <w:marTop w:val="0"/>
                              <w:marBottom w:val="0"/>
                              <w:divBdr>
                                <w:top w:val="none" w:sz="0" w:space="0" w:color="auto"/>
                                <w:left w:val="none" w:sz="0" w:space="0" w:color="auto"/>
                                <w:bottom w:val="none" w:sz="0" w:space="0" w:color="auto"/>
                                <w:right w:val="none" w:sz="0" w:space="0" w:color="auto"/>
                              </w:divBdr>
                              <w:divsChild>
                                <w:div w:id="2141880236">
                                  <w:marLeft w:val="0"/>
                                  <w:marRight w:val="0"/>
                                  <w:marTop w:val="0"/>
                                  <w:marBottom w:val="0"/>
                                  <w:divBdr>
                                    <w:top w:val="none" w:sz="0" w:space="0" w:color="auto"/>
                                    <w:left w:val="none" w:sz="0" w:space="0" w:color="auto"/>
                                    <w:bottom w:val="none" w:sz="0" w:space="0" w:color="auto"/>
                                    <w:right w:val="none" w:sz="0" w:space="0" w:color="auto"/>
                                  </w:divBdr>
                                  <w:divsChild>
                                    <w:div w:id="1562521630">
                                      <w:marLeft w:val="0"/>
                                      <w:marRight w:val="0"/>
                                      <w:marTop w:val="0"/>
                                      <w:marBottom w:val="0"/>
                                      <w:divBdr>
                                        <w:top w:val="none" w:sz="0" w:space="0" w:color="auto"/>
                                        <w:left w:val="none" w:sz="0" w:space="0" w:color="auto"/>
                                        <w:bottom w:val="none" w:sz="0" w:space="0" w:color="auto"/>
                                        <w:right w:val="none" w:sz="0" w:space="0" w:color="auto"/>
                                      </w:divBdr>
                                      <w:divsChild>
                                        <w:div w:id="863522517">
                                          <w:marLeft w:val="0"/>
                                          <w:marRight w:val="0"/>
                                          <w:marTop w:val="0"/>
                                          <w:marBottom w:val="0"/>
                                          <w:divBdr>
                                            <w:top w:val="none" w:sz="0" w:space="0" w:color="auto"/>
                                            <w:left w:val="none" w:sz="0" w:space="0" w:color="auto"/>
                                            <w:bottom w:val="none" w:sz="0" w:space="0" w:color="auto"/>
                                            <w:right w:val="none" w:sz="0" w:space="0" w:color="auto"/>
                                          </w:divBdr>
                                          <w:divsChild>
                                            <w:div w:id="1363242413">
                                              <w:marLeft w:val="0"/>
                                              <w:marRight w:val="0"/>
                                              <w:marTop w:val="0"/>
                                              <w:marBottom w:val="0"/>
                                              <w:divBdr>
                                                <w:top w:val="none" w:sz="0" w:space="0" w:color="auto"/>
                                                <w:left w:val="none" w:sz="0" w:space="0" w:color="auto"/>
                                                <w:bottom w:val="none" w:sz="0" w:space="0" w:color="auto"/>
                                                <w:right w:val="none" w:sz="0" w:space="0" w:color="auto"/>
                                              </w:divBdr>
                                              <w:divsChild>
                                                <w:div w:id="2113359079">
                                                  <w:marLeft w:val="0"/>
                                                  <w:marRight w:val="0"/>
                                                  <w:marTop w:val="0"/>
                                                  <w:marBottom w:val="0"/>
                                                  <w:divBdr>
                                                    <w:top w:val="none" w:sz="0" w:space="0" w:color="auto"/>
                                                    <w:left w:val="none" w:sz="0" w:space="0" w:color="auto"/>
                                                    <w:bottom w:val="none" w:sz="0" w:space="0" w:color="auto"/>
                                                    <w:right w:val="none" w:sz="0" w:space="0" w:color="auto"/>
                                                  </w:divBdr>
                                                  <w:divsChild>
                                                    <w:div w:id="2016179378">
                                                      <w:marLeft w:val="0"/>
                                                      <w:marRight w:val="0"/>
                                                      <w:marTop w:val="0"/>
                                                      <w:marBottom w:val="0"/>
                                                      <w:divBdr>
                                                        <w:top w:val="none" w:sz="0" w:space="0" w:color="auto"/>
                                                        <w:left w:val="none" w:sz="0" w:space="0" w:color="auto"/>
                                                        <w:bottom w:val="none" w:sz="0" w:space="0" w:color="auto"/>
                                                        <w:right w:val="none" w:sz="0" w:space="0" w:color="auto"/>
                                                      </w:divBdr>
                                                      <w:divsChild>
                                                        <w:div w:id="1686638563">
                                                          <w:marLeft w:val="0"/>
                                                          <w:marRight w:val="0"/>
                                                          <w:marTop w:val="0"/>
                                                          <w:marBottom w:val="0"/>
                                                          <w:divBdr>
                                                            <w:top w:val="none" w:sz="0" w:space="0" w:color="auto"/>
                                                            <w:left w:val="none" w:sz="0" w:space="0" w:color="auto"/>
                                                            <w:bottom w:val="none" w:sz="0" w:space="0" w:color="auto"/>
                                                            <w:right w:val="none" w:sz="0" w:space="0" w:color="auto"/>
                                                          </w:divBdr>
                                                          <w:divsChild>
                                                            <w:div w:id="3996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540441">
      <w:bodyDiv w:val="1"/>
      <w:marLeft w:val="0"/>
      <w:marRight w:val="0"/>
      <w:marTop w:val="0"/>
      <w:marBottom w:val="0"/>
      <w:divBdr>
        <w:top w:val="none" w:sz="0" w:space="0" w:color="auto"/>
        <w:left w:val="none" w:sz="0" w:space="0" w:color="auto"/>
        <w:bottom w:val="none" w:sz="0" w:space="0" w:color="auto"/>
        <w:right w:val="none" w:sz="0" w:space="0" w:color="auto"/>
      </w:divBdr>
    </w:div>
    <w:div w:id="1475753595">
      <w:bodyDiv w:val="1"/>
      <w:marLeft w:val="0"/>
      <w:marRight w:val="0"/>
      <w:marTop w:val="0"/>
      <w:marBottom w:val="0"/>
      <w:divBdr>
        <w:top w:val="none" w:sz="0" w:space="0" w:color="auto"/>
        <w:left w:val="none" w:sz="0" w:space="0" w:color="auto"/>
        <w:bottom w:val="none" w:sz="0" w:space="0" w:color="auto"/>
        <w:right w:val="none" w:sz="0" w:space="0" w:color="auto"/>
      </w:divBdr>
      <w:divsChild>
        <w:div w:id="163059192">
          <w:marLeft w:val="0"/>
          <w:marRight w:val="0"/>
          <w:marTop w:val="0"/>
          <w:marBottom w:val="0"/>
          <w:divBdr>
            <w:top w:val="none" w:sz="0" w:space="0" w:color="auto"/>
            <w:left w:val="none" w:sz="0" w:space="0" w:color="auto"/>
            <w:bottom w:val="none" w:sz="0" w:space="0" w:color="auto"/>
            <w:right w:val="none" w:sz="0" w:space="0" w:color="auto"/>
          </w:divBdr>
          <w:divsChild>
            <w:div w:id="1345280817">
              <w:marLeft w:val="0"/>
              <w:marRight w:val="0"/>
              <w:marTop w:val="0"/>
              <w:marBottom w:val="0"/>
              <w:divBdr>
                <w:top w:val="none" w:sz="0" w:space="0" w:color="auto"/>
                <w:left w:val="none" w:sz="0" w:space="0" w:color="auto"/>
                <w:bottom w:val="none" w:sz="0" w:space="0" w:color="auto"/>
                <w:right w:val="none" w:sz="0" w:space="0" w:color="auto"/>
              </w:divBdr>
              <w:divsChild>
                <w:div w:id="61026967">
                  <w:marLeft w:val="0"/>
                  <w:marRight w:val="0"/>
                  <w:marTop w:val="0"/>
                  <w:marBottom w:val="0"/>
                  <w:divBdr>
                    <w:top w:val="none" w:sz="0" w:space="0" w:color="auto"/>
                    <w:left w:val="none" w:sz="0" w:space="0" w:color="auto"/>
                    <w:bottom w:val="none" w:sz="0" w:space="0" w:color="auto"/>
                    <w:right w:val="none" w:sz="0" w:space="0" w:color="auto"/>
                  </w:divBdr>
                  <w:divsChild>
                    <w:div w:id="2122066934">
                      <w:marLeft w:val="0"/>
                      <w:marRight w:val="0"/>
                      <w:marTop w:val="0"/>
                      <w:marBottom w:val="0"/>
                      <w:divBdr>
                        <w:top w:val="none" w:sz="0" w:space="0" w:color="auto"/>
                        <w:left w:val="none" w:sz="0" w:space="0" w:color="auto"/>
                        <w:bottom w:val="none" w:sz="0" w:space="0" w:color="auto"/>
                        <w:right w:val="none" w:sz="0" w:space="0" w:color="auto"/>
                      </w:divBdr>
                      <w:divsChild>
                        <w:div w:id="1157569568">
                          <w:marLeft w:val="0"/>
                          <w:marRight w:val="0"/>
                          <w:marTop w:val="0"/>
                          <w:marBottom w:val="0"/>
                          <w:divBdr>
                            <w:top w:val="none" w:sz="0" w:space="0" w:color="auto"/>
                            <w:left w:val="none" w:sz="0" w:space="0" w:color="auto"/>
                            <w:bottom w:val="none" w:sz="0" w:space="0" w:color="auto"/>
                            <w:right w:val="none" w:sz="0" w:space="0" w:color="auto"/>
                          </w:divBdr>
                          <w:divsChild>
                            <w:div w:id="1609392523">
                              <w:marLeft w:val="0"/>
                              <w:marRight w:val="0"/>
                              <w:marTop w:val="0"/>
                              <w:marBottom w:val="0"/>
                              <w:divBdr>
                                <w:top w:val="none" w:sz="0" w:space="0" w:color="auto"/>
                                <w:left w:val="none" w:sz="0" w:space="0" w:color="auto"/>
                                <w:bottom w:val="none" w:sz="0" w:space="0" w:color="auto"/>
                                <w:right w:val="none" w:sz="0" w:space="0" w:color="auto"/>
                              </w:divBdr>
                              <w:divsChild>
                                <w:div w:id="406880194">
                                  <w:marLeft w:val="0"/>
                                  <w:marRight w:val="0"/>
                                  <w:marTop w:val="0"/>
                                  <w:marBottom w:val="0"/>
                                  <w:divBdr>
                                    <w:top w:val="none" w:sz="0" w:space="0" w:color="auto"/>
                                    <w:left w:val="none" w:sz="0" w:space="0" w:color="auto"/>
                                    <w:bottom w:val="none" w:sz="0" w:space="0" w:color="auto"/>
                                    <w:right w:val="none" w:sz="0" w:space="0" w:color="auto"/>
                                  </w:divBdr>
                                  <w:divsChild>
                                    <w:div w:id="236014251">
                                      <w:marLeft w:val="0"/>
                                      <w:marRight w:val="0"/>
                                      <w:marTop w:val="0"/>
                                      <w:marBottom w:val="0"/>
                                      <w:divBdr>
                                        <w:top w:val="none" w:sz="0" w:space="0" w:color="auto"/>
                                        <w:left w:val="none" w:sz="0" w:space="0" w:color="auto"/>
                                        <w:bottom w:val="none" w:sz="0" w:space="0" w:color="auto"/>
                                        <w:right w:val="none" w:sz="0" w:space="0" w:color="auto"/>
                                      </w:divBdr>
                                      <w:divsChild>
                                        <w:div w:id="2030832141">
                                          <w:marLeft w:val="0"/>
                                          <w:marRight w:val="0"/>
                                          <w:marTop w:val="0"/>
                                          <w:marBottom w:val="0"/>
                                          <w:divBdr>
                                            <w:top w:val="none" w:sz="0" w:space="0" w:color="auto"/>
                                            <w:left w:val="none" w:sz="0" w:space="0" w:color="auto"/>
                                            <w:bottom w:val="none" w:sz="0" w:space="0" w:color="auto"/>
                                            <w:right w:val="none" w:sz="0" w:space="0" w:color="auto"/>
                                          </w:divBdr>
                                          <w:divsChild>
                                            <w:div w:id="556673504">
                                              <w:marLeft w:val="0"/>
                                              <w:marRight w:val="0"/>
                                              <w:marTop w:val="0"/>
                                              <w:marBottom w:val="0"/>
                                              <w:divBdr>
                                                <w:top w:val="none" w:sz="0" w:space="0" w:color="auto"/>
                                                <w:left w:val="none" w:sz="0" w:space="0" w:color="auto"/>
                                                <w:bottom w:val="none" w:sz="0" w:space="0" w:color="auto"/>
                                                <w:right w:val="none" w:sz="0" w:space="0" w:color="auto"/>
                                              </w:divBdr>
                                              <w:divsChild>
                                                <w:div w:id="507713598">
                                                  <w:marLeft w:val="0"/>
                                                  <w:marRight w:val="0"/>
                                                  <w:marTop w:val="0"/>
                                                  <w:marBottom w:val="0"/>
                                                  <w:divBdr>
                                                    <w:top w:val="none" w:sz="0" w:space="0" w:color="auto"/>
                                                    <w:left w:val="none" w:sz="0" w:space="0" w:color="auto"/>
                                                    <w:bottom w:val="none" w:sz="0" w:space="0" w:color="auto"/>
                                                    <w:right w:val="none" w:sz="0" w:space="0" w:color="auto"/>
                                                  </w:divBdr>
                                                  <w:divsChild>
                                                    <w:div w:id="3630481">
                                                      <w:marLeft w:val="0"/>
                                                      <w:marRight w:val="0"/>
                                                      <w:marTop w:val="0"/>
                                                      <w:marBottom w:val="0"/>
                                                      <w:divBdr>
                                                        <w:top w:val="none" w:sz="0" w:space="0" w:color="auto"/>
                                                        <w:left w:val="none" w:sz="0" w:space="0" w:color="auto"/>
                                                        <w:bottom w:val="none" w:sz="0" w:space="0" w:color="auto"/>
                                                        <w:right w:val="none" w:sz="0" w:space="0" w:color="auto"/>
                                                      </w:divBdr>
                                                      <w:divsChild>
                                                        <w:div w:id="1295678803">
                                                          <w:marLeft w:val="0"/>
                                                          <w:marRight w:val="0"/>
                                                          <w:marTop w:val="0"/>
                                                          <w:marBottom w:val="0"/>
                                                          <w:divBdr>
                                                            <w:top w:val="none" w:sz="0" w:space="0" w:color="auto"/>
                                                            <w:left w:val="none" w:sz="0" w:space="0" w:color="auto"/>
                                                            <w:bottom w:val="none" w:sz="0" w:space="0" w:color="auto"/>
                                                            <w:right w:val="none" w:sz="0" w:space="0" w:color="auto"/>
                                                          </w:divBdr>
                                                          <w:divsChild>
                                                            <w:div w:id="674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599292">
      <w:bodyDiv w:val="1"/>
      <w:marLeft w:val="0"/>
      <w:marRight w:val="0"/>
      <w:marTop w:val="0"/>
      <w:marBottom w:val="0"/>
      <w:divBdr>
        <w:top w:val="none" w:sz="0" w:space="0" w:color="auto"/>
        <w:left w:val="none" w:sz="0" w:space="0" w:color="auto"/>
        <w:bottom w:val="none" w:sz="0" w:space="0" w:color="auto"/>
        <w:right w:val="none" w:sz="0" w:space="0" w:color="auto"/>
      </w:divBdr>
    </w:div>
    <w:div w:id="1521510170">
      <w:bodyDiv w:val="1"/>
      <w:marLeft w:val="0"/>
      <w:marRight w:val="0"/>
      <w:marTop w:val="0"/>
      <w:marBottom w:val="0"/>
      <w:divBdr>
        <w:top w:val="none" w:sz="0" w:space="0" w:color="auto"/>
        <w:left w:val="none" w:sz="0" w:space="0" w:color="auto"/>
        <w:bottom w:val="none" w:sz="0" w:space="0" w:color="auto"/>
        <w:right w:val="none" w:sz="0" w:space="0" w:color="auto"/>
      </w:divBdr>
    </w:div>
    <w:div w:id="1544512104">
      <w:bodyDiv w:val="1"/>
      <w:marLeft w:val="0"/>
      <w:marRight w:val="0"/>
      <w:marTop w:val="0"/>
      <w:marBottom w:val="0"/>
      <w:divBdr>
        <w:top w:val="none" w:sz="0" w:space="0" w:color="auto"/>
        <w:left w:val="none" w:sz="0" w:space="0" w:color="auto"/>
        <w:bottom w:val="none" w:sz="0" w:space="0" w:color="auto"/>
        <w:right w:val="none" w:sz="0" w:space="0" w:color="auto"/>
      </w:divBdr>
    </w:div>
    <w:div w:id="1586109617">
      <w:bodyDiv w:val="1"/>
      <w:marLeft w:val="0"/>
      <w:marRight w:val="0"/>
      <w:marTop w:val="0"/>
      <w:marBottom w:val="0"/>
      <w:divBdr>
        <w:top w:val="none" w:sz="0" w:space="0" w:color="auto"/>
        <w:left w:val="none" w:sz="0" w:space="0" w:color="auto"/>
        <w:bottom w:val="none" w:sz="0" w:space="0" w:color="auto"/>
        <w:right w:val="none" w:sz="0" w:space="0" w:color="auto"/>
      </w:divBdr>
    </w:div>
    <w:div w:id="1612205594">
      <w:bodyDiv w:val="1"/>
      <w:marLeft w:val="0"/>
      <w:marRight w:val="0"/>
      <w:marTop w:val="0"/>
      <w:marBottom w:val="0"/>
      <w:divBdr>
        <w:top w:val="none" w:sz="0" w:space="0" w:color="auto"/>
        <w:left w:val="none" w:sz="0" w:space="0" w:color="auto"/>
        <w:bottom w:val="none" w:sz="0" w:space="0" w:color="auto"/>
        <w:right w:val="none" w:sz="0" w:space="0" w:color="auto"/>
      </w:divBdr>
    </w:div>
    <w:div w:id="1612475237">
      <w:bodyDiv w:val="1"/>
      <w:marLeft w:val="0"/>
      <w:marRight w:val="0"/>
      <w:marTop w:val="0"/>
      <w:marBottom w:val="0"/>
      <w:divBdr>
        <w:top w:val="none" w:sz="0" w:space="0" w:color="auto"/>
        <w:left w:val="none" w:sz="0" w:space="0" w:color="auto"/>
        <w:bottom w:val="none" w:sz="0" w:space="0" w:color="auto"/>
        <w:right w:val="none" w:sz="0" w:space="0" w:color="auto"/>
      </w:divBdr>
    </w:div>
    <w:div w:id="1624312355">
      <w:bodyDiv w:val="1"/>
      <w:marLeft w:val="0"/>
      <w:marRight w:val="0"/>
      <w:marTop w:val="0"/>
      <w:marBottom w:val="0"/>
      <w:divBdr>
        <w:top w:val="none" w:sz="0" w:space="0" w:color="auto"/>
        <w:left w:val="none" w:sz="0" w:space="0" w:color="auto"/>
        <w:bottom w:val="none" w:sz="0" w:space="0" w:color="auto"/>
        <w:right w:val="none" w:sz="0" w:space="0" w:color="auto"/>
      </w:divBdr>
    </w:div>
    <w:div w:id="1642539024">
      <w:bodyDiv w:val="1"/>
      <w:marLeft w:val="0"/>
      <w:marRight w:val="0"/>
      <w:marTop w:val="0"/>
      <w:marBottom w:val="0"/>
      <w:divBdr>
        <w:top w:val="none" w:sz="0" w:space="0" w:color="auto"/>
        <w:left w:val="none" w:sz="0" w:space="0" w:color="auto"/>
        <w:bottom w:val="none" w:sz="0" w:space="0" w:color="auto"/>
        <w:right w:val="none" w:sz="0" w:space="0" w:color="auto"/>
      </w:divBdr>
    </w:div>
    <w:div w:id="1643656170">
      <w:bodyDiv w:val="1"/>
      <w:marLeft w:val="0"/>
      <w:marRight w:val="0"/>
      <w:marTop w:val="0"/>
      <w:marBottom w:val="0"/>
      <w:divBdr>
        <w:top w:val="none" w:sz="0" w:space="0" w:color="auto"/>
        <w:left w:val="none" w:sz="0" w:space="0" w:color="auto"/>
        <w:bottom w:val="none" w:sz="0" w:space="0" w:color="auto"/>
        <w:right w:val="none" w:sz="0" w:space="0" w:color="auto"/>
      </w:divBdr>
    </w:div>
    <w:div w:id="1667005254">
      <w:bodyDiv w:val="1"/>
      <w:marLeft w:val="0"/>
      <w:marRight w:val="0"/>
      <w:marTop w:val="0"/>
      <w:marBottom w:val="0"/>
      <w:divBdr>
        <w:top w:val="none" w:sz="0" w:space="0" w:color="auto"/>
        <w:left w:val="none" w:sz="0" w:space="0" w:color="auto"/>
        <w:bottom w:val="none" w:sz="0" w:space="0" w:color="auto"/>
        <w:right w:val="none" w:sz="0" w:space="0" w:color="auto"/>
      </w:divBdr>
    </w:div>
    <w:div w:id="1679231430">
      <w:bodyDiv w:val="1"/>
      <w:marLeft w:val="0"/>
      <w:marRight w:val="0"/>
      <w:marTop w:val="0"/>
      <w:marBottom w:val="0"/>
      <w:divBdr>
        <w:top w:val="none" w:sz="0" w:space="0" w:color="auto"/>
        <w:left w:val="none" w:sz="0" w:space="0" w:color="auto"/>
        <w:bottom w:val="none" w:sz="0" w:space="0" w:color="auto"/>
        <w:right w:val="none" w:sz="0" w:space="0" w:color="auto"/>
      </w:divBdr>
    </w:div>
    <w:div w:id="1708212416">
      <w:bodyDiv w:val="1"/>
      <w:marLeft w:val="0"/>
      <w:marRight w:val="0"/>
      <w:marTop w:val="0"/>
      <w:marBottom w:val="0"/>
      <w:divBdr>
        <w:top w:val="none" w:sz="0" w:space="0" w:color="auto"/>
        <w:left w:val="none" w:sz="0" w:space="0" w:color="auto"/>
        <w:bottom w:val="none" w:sz="0" w:space="0" w:color="auto"/>
        <w:right w:val="none" w:sz="0" w:space="0" w:color="auto"/>
      </w:divBdr>
    </w:div>
    <w:div w:id="1710177203">
      <w:bodyDiv w:val="1"/>
      <w:marLeft w:val="0"/>
      <w:marRight w:val="0"/>
      <w:marTop w:val="0"/>
      <w:marBottom w:val="0"/>
      <w:divBdr>
        <w:top w:val="none" w:sz="0" w:space="0" w:color="auto"/>
        <w:left w:val="none" w:sz="0" w:space="0" w:color="auto"/>
        <w:bottom w:val="none" w:sz="0" w:space="0" w:color="auto"/>
        <w:right w:val="none" w:sz="0" w:space="0" w:color="auto"/>
      </w:divBdr>
    </w:div>
    <w:div w:id="1718966633">
      <w:bodyDiv w:val="1"/>
      <w:marLeft w:val="0"/>
      <w:marRight w:val="0"/>
      <w:marTop w:val="0"/>
      <w:marBottom w:val="0"/>
      <w:divBdr>
        <w:top w:val="none" w:sz="0" w:space="0" w:color="auto"/>
        <w:left w:val="none" w:sz="0" w:space="0" w:color="auto"/>
        <w:bottom w:val="none" w:sz="0" w:space="0" w:color="auto"/>
        <w:right w:val="none" w:sz="0" w:space="0" w:color="auto"/>
      </w:divBdr>
      <w:divsChild>
        <w:div w:id="1424956821">
          <w:marLeft w:val="0"/>
          <w:marRight w:val="0"/>
          <w:marTop w:val="0"/>
          <w:marBottom w:val="0"/>
          <w:divBdr>
            <w:top w:val="none" w:sz="0" w:space="0" w:color="auto"/>
            <w:left w:val="none" w:sz="0" w:space="0" w:color="auto"/>
            <w:bottom w:val="none" w:sz="0" w:space="0" w:color="auto"/>
            <w:right w:val="none" w:sz="0" w:space="0" w:color="auto"/>
          </w:divBdr>
          <w:divsChild>
            <w:div w:id="1744911396">
              <w:marLeft w:val="0"/>
              <w:marRight w:val="0"/>
              <w:marTop w:val="0"/>
              <w:marBottom w:val="0"/>
              <w:divBdr>
                <w:top w:val="none" w:sz="0" w:space="0" w:color="auto"/>
                <w:left w:val="none" w:sz="0" w:space="0" w:color="auto"/>
                <w:bottom w:val="none" w:sz="0" w:space="0" w:color="auto"/>
                <w:right w:val="none" w:sz="0" w:space="0" w:color="auto"/>
              </w:divBdr>
              <w:divsChild>
                <w:div w:id="1315986141">
                  <w:marLeft w:val="0"/>
                  <w:marRight w:val="0"/>
                  <w:marTop w:val="0"/>
                  <w:marBottom w:val="0"/>
                  <w:divBdr>
                    <w:top w:val="none" w:sz="0" w:space="0" w:color="auto"/>
                    <w:left w:val="none" w:sz="0" w:space="0" w:color="auto"/>
                    <w:bottom w:val="none" w:sz="0" w:space="0" w:color="auto"/>
                    <w:right w:val="none" w:sz="0" w:space="0" w:color="auto"/>
                  </w:divBdr>
                  <w:divsChild>
                    <w:div w:id="15524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9023">
      <w:bodyDiv w:val="1"/>
      <w:marLeft w:val="0"/>
      <w:marRight w:val="0"/>
      <w:marTop w:val="0"/>
      <w:marBottom w:val="0"/>
      <w:divBdr>
        <w:top w:val="none" w:sz="0" w:space="0" w:color="auto"/>
        <w:left w:val="none" w:sz="0" w:space="0" w:color="auto"/>
        <w:bottom w:val="none" w:sz="0" w:space="0" w:color="auto"/>
        <w:right w:val="none" w:sz="0" w:space="0" w:color="auto"/>
      </w:divBdr>
    </w:div>
    <w:div w:id="1733111915">
      <w:bodyDiv w:val="1"/>
      <w:marLeft w:val="0"/>
      <w:marRight w:val="0"/>
      <w:marTop w:val="0"/>
      <w:marBottom w:val="0"/>
      <w:divBdr>
        <w:top w:val="none" w:sz="0" w:space="0" w:color="auto"/>
        <w:left w:val="none" w:sz="0" w:space="0" w:color="auto"/>
        <w:bottom w:val="none" w:sz="0" w:space="0" w:color="auto"/>
        <w:right w:val="none" w:sz="0" w:space="0" w:color="auto"/>
      </w:divBdr>
    </w:div>
    <w:div w:id="1734308050">
      <w:bodyDiv w:val="1"/>
      <w:marLeft w:val="0"/>
      <w:marRight w:val="0"/>
      <w:marTop w:val="0"/>
      <w:marBottom w:val="0"/>
      <w:divBdr>
        <w:top w:val="none" w:sz="0" w:space="0" w:color="auto"/>
        <w:left w:val="none" w:sz="0" w:space="0" w:color="auto"/>
        <w:bottom w:val="none" w:sz="0" w:space="0" w:color="auto"/>
        <w:right w:val="none" w:sz="0" w:space="0" w:color="auto"/>
      </w:divBdr>
    </w:div>
    <w:div w:id="1764835183">
      <w:bodyDiv w:val="1"/>
      <w:marLeft w:val="0"/>
      <w:marRight w:val="0"/>
      <w:marTop w:val="0"/>
      <w:marBottom w:val="0"/>
      <w:divBdr>
        <w:top w:val="none" w:sz="0" w:space="0" w:color="auto"/>
        <w:left w:val="none" w:sz="0" w:space="0" w:color="auto"/>
        <w:bottom w:val="none" w:sz="0" w:space="0" w:color="auto"/>
        <w:right w:val="none" w:sz="0" w:space="0" w:color="auto"/>
      </w:divBdr>
    </w:div>
    <w:div w:id="1790126294">
      <w:bodyDiv w:val="1"/>
      <w:marLeft w:val="0"/>
      <w:marRight w:val="0"/>
      <w:marTop w:val="0"/>
      <w:marBottom w:val="0"/>
      <w:divBdr>
        <w:top w:val="none" w:sz="0" w:space="0" w:color="auto"/>
        <w:left w:val="none" w:sz="0" w:space="0" w:color="auto"/>
        <w:bottom w:val="none" w:sz="0" w:space="0" w:color="auto"/>
        <w:right w:val="none" w:sz="0" w:space="0" w:color="auto"/>
      </w:divBdr>
    </w:div>
    <w:div w:id="1831559429">
      <w:bodyDiv w:val="1"/>
      <w:marLeft w:val="0"/>
      <w:marRight w:val="0"/>
      <w:marTop w:val="0"/>
      <w:marBottom w:val="0"/>
      <w:divBdr>
        <w:top w:val="none" w:sz="0" w:space="0" w:color="auto"/>
        <w:left w:val="none" w:sz="0" w:space="0" w:color="auto"/>
        <w:bottom w:val="none" w:sz="0" w:space="0" w:color="auto"/>
        <w:right w:val="none" w:sz="0" w:space="0" w:color="auto"/>
      </w:divBdr>
    </w:div>
    <w:div w:id="1839614023">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9">
          <w:marLeft w:val="0"/>
          <w:marRight w:val="0"/>
          <w:marTop w:val="0"/>
          <w:marBottom w:val="0"/>
          <w:divBdr>
            <w:top w:val="none" w:sz="0" w:space="0" w:color="auto"/>
            <w:left w:val="none" w:sz="0" w:space="0" w:color="auto"/>
            <w:bottom w:val="none" w:sz="0" w:space="0" w:color="auto"/>
            <w:right w:val="none" w:sz="0" w:space="0" w:color="auto"/>
          </w:divBdr>
          <w:divsChild>
            <w:div w:id="1640453912">
              <w:marLeft w:val="0"/>
              <w:marRight w:val="0"/>
              <w:marTop w:val="0"/>
              <w:marBottom w:val="0"/>
              <w:divBdr>
                <w:top w:val="none" w:sz="0" w:space="0" w:color="auto"/>
                <w:left w:val="none" w:sz="0" w:space="0" w:color="auto"/>
                <w:bottom w:val="none" w:sz="0" w:space="0" w:color="auto"/>
                <w:right w:val="none" w:sz="0" w:space="0" w:color="auto"/>
              </w:divBdr>
              <w:divsChild>
                <w:div w:id="1164082257">
                  <w:marLeft w:val="0"/>
                  <w:marRight w:val="0"/>
                  <w:marTop w:val="0"/>
                  <w:marBottom w:val="0"/>
                  <w:divBdr>
                    <w:top w:val="none" w:sz="0" w:space="0" w:color="auto"/>
                    <w:left w:val="none" w:sz="0" w:space="0" w:color="auto"/>
                    <w:bottom w:val="none" w:sz="0" w:space="0" w:color="auto"/>
                    <w:right w:val="none" w:sz="0" w:space="0" w:color="auto"/>
                  </w:divBdr>
                  <w:divsChild>
                    <w:div w:id="7684015">
                      <w:marLeft w:val="0"/>
                      <w:marRight w:val="0"/>
                      <w:marTop w:val="0"/>
                      <w:marBottom w:val="0"/>
                      <w:divBdr>
                        <w:top w:val="none" w:sz="0" w:space="0" w:color="auto"/>
                        <w:left w:val="none" w:sz="0" w:space="0" w:color="auto"/>
                        <w:bottom w:val="none" w:sz="0" w:space="0" w:color="auto"/>
                        <w:right w:val="none" w:sz="0" w:space="0" w:color="auto"/>
                      </w:divBdr>
                      <w:divsChild>
                        <w:div w:id="1549488464">
                          <w:marLeft w:val="0"/>
                          <w:marRight w:val="0"/>
                          <w:marTop w:val="0"/>
                          <w:marBottom w:val="0"/>
                          <w:divBdr>
                            <w:top w:val="none" w:sz="0" w:space="0" w:color="auto"/>
                            <w:left w:val="none" w:sz="0" w:space="0" w:color="auto"/>
                            <w:bottom w:val="none" w:sz="0" w:space="0" w:color="auto"/>
                            <w:right w:val="none" w:sz="0" w:space="0" w:color="auto"/>
                          </w:divBdr>
                          <w:divsChild>
                            <w:div w:id="131212416">
                              <w:marLeft w:val="0"/>
                              <w:marRight w:val="0"/>
                              <w:marTop w:val="0"/>
                              <w:marBottom w:val="0"/>
                              <w:divBdr>
                                <w:top w:val="none" w:sz="0" w:space="0" w:color="auto"/>
                                <w:left w:val="none" w:sz="0" w:space="0" w:color="auto"/>
                                <w:bottom w:val="none" w:sz="0" w:space="0" w:color="auto"/>
                                <w:right w:val="none" w:sz="0" w:space="0" w:color="auto"/>
                              </w:divBdr>
                              <w:divsChild>
                                <w:div w:id="668097322">
                                  <w:marLeft w:val="0"/>
                                  <w:marRight w:val="0"/>
                                  <w:marTop w:val="0"/>
                                  <w:marBottom w:val="0"/>
                                  <w:divBdr>
                                    <w:top w:val="none" w:sz="0" w:space="0" w:color="auto"/>
                                    <w:left w:val="none" w:sz="0" w:space="0" w:color="auto"/>
                                    <w:bottom w:val="none" w:sz="0" w:space="0" w:color="auto"/>
                                    <w:right w:val="none" w:sz="0" w:space="0" w:color="auto"/>
                                  </w:divBdr>
                                  <w:divsChild>
                                    <w:div w:id="28604102">
                                      <w:marLeft w:val="0"/>
                                      <w:marRight w:val="0"/>
                                      <w:marTop w:val="0"/>
                                      <w:marBottom w:val="0"/>
                                      <w:divBdr>
                                        <w:top w:val="none" w:sz="0" w:space="0" w:color="auto"/>
                                        <w:left w:val="none" w:sz="0" w:space="0" w:color="auto"/>
                                        <w:bottom w:val="none" w:sz="0" w:space="0" w:color="auto"/>
                                        <w:right w:val="none" w:sz="0" w:space="0" w:color="auto"/>
                                      </w:divBdr>
                                      <w:divsChild>
                                        <w:div w:id="537551412">
                                          <w:marLeft w:val="0"/>
                                          <w:marRight w:val="0"/>
                                          <w:marTop w:val="0"/>
                                          <w:marBottom w:val="0"/>
                                          <w:divBdr>
                                            <w:top w:val="none" w:sz="0" w:space="0" w:color="auto"/>
                                            <w:left w:val="none" w:sz="0" w:space="0" w:color="auto"/>
                                            <w:bottom w:val="none" w:sz="0" w:space="0" w:color="auto"/>
                                            <w:right w:val="none" w:sz="0" w:space="0" w:color="auto"/>
                                          </w:divBdr>
                                          <w:divsChild>
                                            <w:div w:id="1252424974">
                                              <w:marLeft w:val="0"/>
                                              <w:marRight w:val="0"/>
                                              <w:marTop w:val="0"/>
                                              <w:marBottom w:val="0"/>
                                              <w:divBdr>
                                                <w:top w:val="none" w:sz="0" w:space="0" w:color="auto"/>
                                                <w:left w:val="none" w:sz="0" w:space="0" w:color="auto"/>
                                                <w:bottom w:val="none" w:sz="0" w:space="0" w:color="auto"/>
                                                <w:right w:val="none" w:sz="0" w:space="0" w:color="auto"/>
                                              </w:divBdr>
                                              <w:divsChild>
                                                <w:div w:id="418866895">
                                                  <w:marLeft w:val="0"/>
                                                  <w:marRight w:val="0"/>
                                                  <w:marTop w:val="0"/>
                                                  <w:marBottom w:val="0"/>
                                                  <w:divBdr>
                                                    <w:top w:val="none" w:sz="0" w:space="0" w:color="auto"/>
                                                    <w:left w:val="none" w:sz="0" w:space="0" w:color="auto"/>
                                                    <w:bottom w:val="none" w:sz="0" w:space="0" w:color="auto"/>
                                                    <w:right w:val="none" w:sz="0" w:space="0" w:color="auto"/>
                                                  </w:divBdr>
                                                  <w:divsChild>
                                                    <w:div w:id="192620083">
                                                      <w:marLeft w:val="0"/>
                                                      <w:marRight w:val="0"/>
                                                      <w:marTop w:val="0"/>
                                                      <w:marBottom w:val="0"/>
                                                      <w:divBdr>
                                                        <w:top w:val="none" w:sz="0" w:space="0" w:color="auto"/>
                                                        <w:left w:val="none" w:sz="0" w:space="0" w:color="auto"/>
                                                        <w:bottom w:val="none" w:sz="0" w:space="0" w:color="auto"/>
                                                        <w:right w:val="none" w:sz="0" w:space="0" w:color="auto"/>
                                                      </w:divBdr>
                                                      <w:divsChild>
                                                        <w:div w:id="198006757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951903">
      <w:bodyDiv w:val="1"/>
      <w:marLeft w:val="0"/>
      <w:marRight w:val="0"/>
      <w:marTop w:val="0"/>
      <w:marBottom w:val="0"/>
      <w:divBdr>
        <w:top w:val="none" w:sz="0" w:space="0" w:color="auto"/>
        <w:left w:val="none" w:sz="0" w:space="0" w:color="auto"/>
        <w:bottom w:val="none" w:sz="0" w:space="0" w:color="auto"/>
        <w:right w:val="none" w:sz="0" w:space="0" w:color="auto"/>
      </w:divBdr>
    </w:div>
    <w:div w:id="1908757773">
      <w:bodyDiv w:val="1"/>
      <w:marLeft w:val="0"/>
      <w:marRight w:val="0"/>
      <w:marTop w:val="0"/>
      <w:marBottom w:val="0"/>
      <w:divBdr>
        <w:top w:val="none" w:sz="0" w:space="0" w:color="auto"/>
        <w:left w:val="none" w:sz="0" w:space="0" w:color="auto"/>
        <w:bottom w:val="none" w:sz="0" w:space="0" w:color="auto"/>
        <w:right w:val="none" w:sz="0" w:space="0" w:color="auto"/>
      </w:divBdr>
      <w:divsChild>
        <w:div w:id="832183360">
          <w:marLeft w:val="0"/>
          <w:marRight w:val="0"/>
          <w:marTop w:val="0"/>
          <w:marBottom w:val="600"/>
          <w:divBdr>
            <w:top w:val="none" w:sz="0" w:space="0" w:color="auto"/>
            <w:left w:val="none" w:sz="0" w:space="0" w:color="auto"/>
            <w:bottom w:val="none" w:sz="0" w:space="0" w:color="auto"/>
            <w:right w:val="none" w:sz="0" w:space="0" w:color="auto"/>
          </w:divBdr>
        </w:div>
        <w:div w:id="1613785659">
          <w:marLeft w:val="0"/>
          <w:marRight w:val="0"/>
          <w:marTop w:val="0"/>
          <w:marBottom w:val="600"/>
          <w:divBdr>
            <w:top w:val="none" w:sz="0" w:space="0" w:color="auto"/>
            <w:left w:val="none" w:sz="0" w:space="0" w:color="auto"/>
            <w:bottom w:val="none" w:sz="0" w:space="0" w:color="auto"/>
            <w:right w:val="none" w:sz="0" w:space="0" w:color="auto"/>
          </w:divBdr>
        </w:div>
      </w:divsChild>
    </w:div>
    <w:div w:id="1915434177">
      <w:bodyDiv w:val="1"/>
      <w:marLeft w:val="0"/>
      <w:marRight w:val="0"/>
      <w:marTop w:val="0"/>
      <w:marBottom w:val="0"/>
      <w:divBdr>
        <w:top w:val="none" w:sz="0" w:space="0" w:color="auto"/>
        <w:left w:val="none" w:sz="0" w:space="0" w:color="auto"/>
        <w:bottom w:val="none" w:sz="0" w:space="0" w:color="auto"/>
        <w:right w:val="none" w:sz="0" w:space="0" w:color="auto"/>
      </w:divBdr>
    </w:div>
    <w:div w:id="1919631230">
      <w:bodyDiv w:val="1"/>
      <w:marLeft w:val="0"/>
      <w:marRight w:val="0"/>
      <w:marTop w:val="0"/>
      <w:marBottom w:val="0"/>
      <w:divBdr>
        <w:top w:val="none" w:sz="0" w:space="0" w:color="auto"/>
        <w:left w:val="none" w:sz="0" w:space="0" w:color="auto"/>
        <w:bottom w:val="none" w:sz="0" w:space="0" w:color="auto"/>
        <w:right w:val="none" w:sz="0" w:space="0" w:color="auto"/>
      </w:divBdr>
    </w:div>
    <w:div w:id="1921668551">
      <w:bodyDiv w:val="1"/>
      <w:marLeft w:val="0"/>
      <w:marRight w:val="0"/>
      <w:marTop w:val="0"/>
      <w:marBottom w:val="0"/>
      <w:divBdr>
        <w:top w:val="none" w:sz="0" w:space="0" w:color="auto"/>
        <w:left w:val="none" w:sz="0" w:space="0" w:color="auto"/>
        <w:bottom w:val="none" w:sz="0" w:space="0" w:color="auto"/>
        <w:right w:val="none" w:sz="0" w:space="0" w:color="auto"/>
      </w:divBdr>
    </w:div>
    <w:div w:id="1933080404">
      <w:bodyDiv w:val="1"/>
      <w:marLeft w:val="0"/>
      <w:marRight w:val="0"/>
      <w:marTop w:val="0"/>
      <w:marBottom w:val="0"/>
      <w:divBdr>
        <w:top w:val="none" w:sz="0" w:space="0" w:color="auto"/>
        <w:left w:val="none" w:sz="0" w:space="0" w:color="auto"/>
        <w:bottom w:val="none" w:sz="0" w:space="0" w:color="auto"/>
        <w:right w:val="none" w:sz="0" w:space="0" w:color="auto"/>
      </w:divBdr>
    </w:div>
    <w:div w:id="1935242030">
      <w:bodyDiv w:val="1"/>
      <w:marLeft w:val="0"/>
      <w:marRight w:val="0"/>
      <w:marTop w:val="0"/>
      <w:marBottom w:val="0"/>
      <w:divBdr>
        <w:top w:val="none" w:sz="0" w:space="0" w:color="auto"/>
        <w:left w:val="none" w:sz="0" w:space="0" w:color="auto"/>
        <w:bottom w:val="none" w:sz="0" w:space="0" w:color="auto"/>
        <w:right w:val="none" w:sz="0" w:space="0" w:color="auto"/>
      </w:divBdr>
    </w:div>
    <w:div w:id="1938512299">
      <w:bodyDiv w:val="1"/>
      <w:marLeft w:val="0"/>
      <w:marRight w:val="0"/>
      <w:marTop w:val="0"/>
      <w:marBottom w:val="0"/>
      <w:divBdr>
        <w:top w:val="none" w:sz="0" w:space="0" w:color="auto"/>
        <w:left w:val="none" w:sz="0" w:space="0" w:color="auto"/>
        <w:bottom w:val="none" w:sz="0" w:space="0" w:color="auto"/>
        <w:right w:val="none" w:sz="0" w:space="0" w:color="auto"/>
      </w:divBdr>
    </w:div>
    <w:div w:id="1990088619">
      <w:bodyDiv w:val="1"/>
      <w:marLeft w:val="0"/>
      <w:marRight w:val="0"/>
      <w:marTop w:val="0"/>
      <w:marBottom w:val="0"/>
      <w:divBdr>
        <w:top w:val="none" w:sz="0" w:space="0" w:color="auto"/>
        <w:left w:val="none" w:sz="0" w:space="0" w:color="auto"/>
        <w:bottom w:val="none" w:sz="0" w:space="0" w:color="auto"/>
        <w:right w:val="none" w:sz="0" w:space="0" w:color="auto"/>
      </w:divBdr>
    </w:div>
    <w:div w:id="2003192326">
      <w:bodyDiv w:val="1"/>
      <w:marLeft w:val="0"/>
      <w:marRight w:val="0"/>
      <w:marTop w:val="0"/>
      <w:marBottom w:val="0"/>
      <w:divBdr>
        <w:top w:val="none" w:sz="0" w:space="0" w:color="auto"/>
        <w:left w:val="none" w:sz="0" w:space="0" w:color="auto"/>
        <w:bottom w:val="none" w:sz="0" w:space="0" w:color="auto"/>
        <w:right w:val="none" w:sz="0" w:space="0" w:color="auto"/>
      </w:divBdr>
    </w:div>
    <w:div w:id="2008633976">
      <w:bodyDiv w:val="1"/>
      <w:marLeft w:val="0"/>
      <w:marRight w:val="0"/>
      <w:marTop w:val="0"/>
      <w:marBottom w:val="0"/>
      <w:divBdr>
        <w:top w:val="none" w:sz="0" w:space="0" w:color="auto"/>
        <w:left w:val="none" w:sz="0" w:space="0" w:color="auto"/>
        <w:bottom w:val="none" w:sz="0" w:space="0" w:color="auto"/>
        <w:right w:val="none" w:sz="0" w:space="0" w:color="auto"/>
      </w:divBdr>
    </w:div>
    <w:div w:id="2017295379">
      <w:bodyDiv w:val="1"/>
      <w:marLeft w:val="0"/>
      <w:marRight w:val="0"/>
      <w:marTop w:val="0"/>
      <w:marBottom w:val="0"/>
      <w:divBdr>
        <w:top w:val="none" w:sz="0" w:space="0" w:color="auto"/>
        <w:left w:val="none" w:sz="0" w:space="0" w:color="auto"/>
        <w:bottom w:val="none" w:sz="0" w:space="0" w:color="auto"/>
        <w:right w:val="none" w:sz="0" w:space="0" w:color="auto"/>
      </w:divBdr>
    </w:div>
    <w:div w:id="2031178619">
      <w:bodyDiv w:val="1"/>
      <w:marLeft w:val="0"/>
      <w:marRight w:val="0"/>
      <w:marTop w:val="0"/>
      <w:marBottom w:val="0"/>
      <w:divBdr>
        <w:top w:val="none" w:sz="0" w:space="0" w:color="auto"/>
        <w:left w:val="none" w:sz="0" w:space="0" w:color="auto"/>
        <w:bottom w:val="none" w:sz="0" w:space="0" w:color="auto"/>
        <w:right w:val="none" w:sz="0" w:space="0" w:color="auto"/>
      </w:divBdr>
    </w:div>
    <w:div w:id="20648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128340">
          <w:marLeft w:val="0"/>
          <w:marRight w:val="0"/>
          <w:marTop w:val="0"/>
          <w:marBottom w:val="0"/>
          <w:divBdr>
            <w:top w:val="none" w:sz="0" w:space="0" w:color="auto"/>
            <w:left w:val="none" w:sz="0" w:space="0" w:color="auto"/>
            <w:bottom w:val="none" w:sz="0" w:space="0" w:color="auto"/>
            <w:right w:val="none" w:sz="0" w:space="0" w:color="auto"/>
          </w:divBdr>
          <w:divsChild>
            <w:div w:id="428550492">
              <w:marLeft w:val="0"/>
              <w:marRight w:val="0"/>
              <w:marTop w:val="0"/>
              <w:marBottom w:val="0"/>
              <w:divBdr>
                <w:top w:val="none" w:sz="0" w:space="0" w:color="auto"/>
                <w:left w:val="none" w:sz="0" w:space="0" w:color="auto"/>
                <w:bottom w:val="none" w:sz="0" w:space="0" w:color="auto"/>
                <w:right w:val="none" w:sz="0" w:space="0" w:color="auto"/>
              </w:divBdr>
              <w:divsChild>
                <w:div w:id="1611937313">
                  <w:marLeft w:val="0"/>
                  <w:marRight w:val="0"/>
                  <w:marTop w:val="0"/>
                  <w:marBottom w:val="0"/>
                  <w:divBdr>
                    <w:top w:val="none" w:sz="0" w:space="0" w:color="auto"/>
                    <w:left w:val="none" w:sz="0" w:space="0" w:color="auto"/>
                    <w:bottom w:val="none" w:sz="0" w:space="0" w:color="auto"/>
                    <w:right w:val="none" w:sz="0" w:space="0" w:color="auto"/>
                  </w:divBdr>
                  <w:divsChild>
                    <w:div w:id="29308601">
                      <w:marLeft w:val="0"/>
                      <w:marRight w:val="0"/>
                      <w:marTop w:val="0"/>
                      <w:marBottom w:val="0"/>
                      <w:divBdr>
                        <w:top w:val="none" w:sz="0" w:space="0" w:color="auto"/>
                        <w:left w:val="none" w:sz="0" w:space="0" w:color="auto"/>
                        <w:bottom w:val="none" w:sz="0" w:space="0" w:color="auto"/>
                        <w:right w:val="none" w:sz="0" w:space="0" w:color="auto"/>
                      </w:divBdr>
                      <w:divsChild>
                        <w:div w:id="1941638812">
                          <w:marLeft w:val="0"/>
                          <w:marRight w:val="0"/>
                          <w:marTop w:val="0"/>
                          <w:marBottom w:val="0"/>
                          <w:divBdr>
                            <w:top w:val="none" w:sz="0" w:space="0" w:color="auto"/>
                            <w:left w:val="none" w:sz="0" w:space="0" w:color="auto"/>
                            <w:bottom w:val="none" w:sz="0" w:space="0" w:color="auto"/>
                            <w:right w:val="none" w:sz="0" w:space="0" w:color="auto"/>
                          </w:divBdr>
                          <w:divsChild>
                            <w:div w:id="363792417">
                              <w:marLeft w:val="0"/>
                              <w:marRight w:val="0"/>
                              <w:marTop w:val="0"/>
                              <w:marBottom w:val="0"/>
                              <w:divBdr>
                                <w:top w:val="none" w:sz="0" w:space="0" w:color="auto"/>
                                <w:left w:val="none" w:sz="0" w:space="0" w:color="auto"/>
                                <w:bottom w:val="none" w:sz="0" w:space="0" w:color="auto"/>
                                <w:right w:val="none" w:sz="0" w:space="0" w:color="auto"/>
                              </w:divBdr>
                              <w:divsChild>
                                <w:div w:id="910888881">
                                  <w:marLeft w:val="0"/>
                                  <w:marRight w:val="0"/>
                                  <w:marTop w:val="0"/>
                                  <w:marBottom w:val="0"/>
                                  <w:divBdr>
                                    <w:top w:val="none" w:sz="0" w:space="0" w:color="auto"/>
                                    <w:left w:val="none" w:sz="0" w:space="0" w:color="auto"/>
                                    <w:bottom w:val="none" w:sz="0" w:space="0" w:color="auto"/>
                                    <w:right w:val="none" w:sz="0" w:space="0" w:color="auto"/>
                                  </w:divBdr>
                                  <w:divsChild>
                                    <w:div w:id="1095903596">
                                      <w:marLeft w:val="0"/>
                                      <w:marRight w:val="0"/>
                                      <w:marTop w:val="0"/>
                                      <w:marBottom w:val="0"/>
                                      <w:divBdr>
                                        <w:top w:val="none" w:sz="0" w:space="0" w:color="auto"/>
                                        <w:left w:val="none" w:sz="0" w:space="0" w:color="auto"/>
                                        <w:bottom w:val="none" w:sz="0" w:space="0" w:color="auto"/>
                                        <w:right w:val="none" w:sz="0" w:space="0" w:color="auto"/>
                                      </w:divBdr>
                                      <w:divsChild>
                                        <w:div w:id="242107615">
                                          <w:marLeft w:val="0"/>
                                          <w:marRight w:val="0"/>
                                          <w:marTop w:val="0"/>
                                          <w:marBottom w:val="0"/>
                                          <w:divBdr>
                                            <w:top w:val="none" w:sz="0" w:space="0" w:color="auto"/>
                                            <w:left w:val="none" w:sz="0" w:space="0" w:color="auto"/>
                                            <w:bottom w:val="none" w:sz="0" w:space="0" w:color="auto"/>
                                            <w:right w:val="none" w:sz="0" w:space="0" w:color="auto"/>
                                          </w:divBdr>
                                          <w:divsChild>
                                            <w:div w:id="1884513908">
                                              <w:marLeft w:val="0"/>
                                              <w:marRight w:val="0"/>
                                              <w:marTop w:val="0"/>
                                              <w:marBottom w:val="0"/>
                                              <w:divBdr>
                                                <w:top w:val="none" w:sz="0" w:space="0" w:color="auto"/>
                                                <w:left w:val="none" w:sz="0" w:space="0" w:color="auto"/>
                                                <w:bottom w:val="none" w:sz="0" w:space="0" w:color="auto"/>
                                                <w:right w:val="none" w:sz="0" w:space="0" w:color="auto"/>
                                              </w:divBdr>
                                              <w:divsChild>
                                                <w:div w:id="917442707">
                                                  <w:marLeft w:val="0"/>
                                                  <w:marRight w:val="0"/>
                                                  <w:marTop w:val="0"/>
                                                  <w:marBottom w:val="0"/>
                                                  <w:divBdr>
                                                    <w:top w:val="none" w:sz="0" w:space="0" w:color="auto"/>
                                                    <w:left w:val="none" w:sz="0" w:space="0" w:color="auto"/>
                                                    <w:bottom w:val="none" w:sz="0" w:space="0" w:color="auto"/>
                                                    <w:right w:val="none" w:sz="0" w:space="0" w:color="auto"/>
                                                  </w:divBdr>
                                                  <w:divsChild>
                                                    <w:div w:id="1896427465">
                                                      <w:marLeft w:val="0"/>
                                                      <w:marRight w:val="0"/>
                                                      <w:marTop w:val="0"/>
                                                      <w:marBottom w:val="0"/>
                                                      <w:divBdr>
                                                        <w:top w:val="none" w:sz="0" w:space="0" w:color="auto"/>
                                                        <w:left w:val="none" w:sz="0" w:space="0" w:color="auto"/>
                                                        <w:bottom w:val="none" w:sz="0" w:space="0" w:color="auto"/>
                                                        <w:right w:val="none" w:sz="0" w:space="0" w:color="auto"/>
                                                      </w:divBdr>
                                                      <w:divsChild>
                                                        <w:div w:id="1519201680">
                                                          <w:marLeft w:val="0"/>
                                                          <w:marRight w:val="0"/>
                                                          <w:marTop w:val="0"/>
                                                          <w:marBottom w:val="0"/>
                                                          <w:divBdr>
                                                            <w:top w:val="none" w:sz="0" w:space="0" w:color="auto"/>
                                                            <w:left w:val="none" w:sz="0" w:space="0" w:color="auto"/>
                                                            <w:bottom w:val="none" w:sz="0" w:space="0" w:color="auto"/>
                                                            <w:right w:val="none" w:sz="0" w:space="0" w:color="auto"/>
                                                          </w:divBdr>
                                                          <w:divsChild>
                                                            <w:div w:id="17186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041948">
      <w:bodyDiv w:val="1"/>
      <w:marLeft w:val="0"/>
      <w:marRight w:val="0"/>
      <w:marTop w:val="0"/>
      <w:marBottom w:val="0"/>
      <w:divBdr>
        <w:top w:val="none" w:sz="0" w:space="0" w:color="auto"/>
        <w:left w:val="none" w:sz="0" w:space="0" w:color="auto"/>
        <w:bottom w:val="none" w:sz="0" w:space="0" w:color="auto"/>
        <w:right w:val="none" w:sz="0" w:space="0" w:color="auto"/>
      </w:divBdr>
    </w:div>
    <w:div w:id="2113744382">
      <w:bodyDiv w:val="1"/>
      <w:marLeft w:val="0"/>
      <w:marRight w:val="0"/>
      <w:marTop w:val="0"/>
      <w:marBottom w:val="0"/>
      <w:divBdr>
        <w:top w:val="none" w:sz="0" w:space="0" w:color="auto"/>
        <w:left w:val="none" w:sz="0" w:space="0" w:color="auto"/>
        <w:bottom w:val="none" w:sz="0" w:space="0" w:color="auto"/>
        <w:right w:val="none" w:sz="0" w:space="0" w:color="auto"/>
      </w:divBdr>
    </w:div>
    <w:div w:id="2114594745">
      <w:bodyDiv w:val="1"/>
      <w:marLeft w:val="0"/>
      <w:marRight w:val="0"/>
      <w:marTop w:val="0"/>
      <w:marBottom w:val="0"/>
      <w:divBdr>
        <w:top w:val="none" w:sz="0" w:space="0" w:color="auto"/>
        <w:left w:val="none" w:sz="0" w:space="0" w:color="auto"/>
        <w:bottom w:val="none" w:sz="0" w:space="0" w:color="auto"/>
        <w:right w:val="none" w:sz="0" w:space="0" w:color="auto"/>
      </w:divBdr>
      <w:divsChild>
        <w:div w:id="552010832">
          <w:marLeft w:val="0"/>
          <w:marRight w:val="0"/>
          <w:marTop w:val="0"/>
          <w:marBottom w:val="0"/>
          <w:divBdr>
            <w:top w:val="none" w:sz="0" w:space="0" w:color="auto"/>
            <w:left w:val="none" w:sz="0" w:space="0" w:color="auto"/>
            <w:bottom w:val="none" w:sz="0" w:space="0" w:color="auto"/>
            <w:right w:val="none" w:sz="0" w:space="0" w:color="auto"/>
          </w:divBdr>
          <w:divsChild>
            <w:div w:id="747195058">
              <w:marLeft w:val="0"/>
              <w:marRight w:val="0"/>
              <w:marTop w:val="0"/>
              <w:marBottom w:val="0"/>
              <w:divBdr>
                <w:top w:val="none" w:sz="0" w:space="0" w:color="auto"/>
                <w:left w:val="none" w:sz="0" w:space="0" w:color="auto"/>
                <w:bottom w:val="none" w:sz="0" w:space="0" w:color="auto"/>
                <w:right w:val="none" w:sz="0" w:space="0" w:color="auto"/>
              </w:divBdr>
              <w:divsChild>
                <w:div w:id="554394505">
                  <w:marLeft w:val="0"/>
                  <w:marRight w:val="0"/>
                  <w:marTop w:val="0"/>
                  <w:marBottom w:val="0"/>
                  <w:divBdr>
                    <w:top w:val="none" w:sz="0" w:space="0" w:color="auto"/>
                    <w:left w:val="none" w:sz="0" w:space="0" w:color="auto"/>
                    <w:bottom w:val="none" w:sz="0" w:space="0" w:color="auto"/>
                    <w:right w:val="none" w:sz="0" w:space="0" w:color="auto"/>
                  </w:divBdr>
                  <w:divsChild>
                    <w:div w:id="400717393">
                      <w:marLeft w:val="0"/>
                      <w:marRight w:val="0"/>
                      <w:marTop w:val="0"/>
                      <w:marBottom w:val="0"/>
                      <w:divBdr>
                        <w:top w:val="none" w:sz="0" w:space="0" w:color="auto"/>
                        <w:left w:val="none" w:sz="0" w:space="0" w:color="auto"/>
                        <w:bottom w:val="none" w:sz="0" w:space="0" w:color="auto"/>
                        <w:right w:val="none" w:sz="0" w:space="0" w:color="auto"/>
                      </w:divBdr>
                      <w:divsChild>
                        <w:div w:id="783428888">
                          <w:marLeft w:val="0"/>
                          <w:marRight w:val="0"/>
                          <w:marTop w:val="0"/>
                          <w:marBottom w:val="0"/>
                          <w:divBdr>
                            <w:top w:val="none" w:sz="0" w:space="0" w:color="auto"/>
                            <w:left w:val="none" w:sz="0" w:space="0" w:color="auto"/>
                            <w:bottom w:val="none" w:sz="0" w:space="0" w:color="auto"/>
                            <w:right w:val="none" w:sz="0" w:space="0" w:color="auto"/>
                          </w:divBdr>
                          <w:divsChild>
                            <w:div w:id="688066489">
                              <w:marLeft w:val="0"/>
                              <w:marRight w:val="0"/>
                              <w:marTop w:val="0"/>
                              <w:marBottom w:val="0"/>
                              <w:divBdr>
                                <w:top w:val="none" w:sz="0" w:space="0" w:color="auto"/>
                                <w:left w:val="none" w:sz="0" w:space="0" w:color="auto"/>
                                <w:bottom w:val="none" w:sz="0" w:space="0" w:color="auto"/>
                                <w:right w:val="none" w:sz="0" w:space="0" w:color="auto"/>
                              </w:divBdr>
                              <w:divsChild>
                                <w:div w:id="1651129900">
                                  <w:marLeft w:val="0"/>
                                  <w:marRight w:val="0"/>
                                  <w:marTop w:val="0"/>
                                  <w:marBottom w:val="0"/>
                                  <w:divBdr>
                                    <w:top w:val="none" w:sz="0" w:space="0" w:color="auto"/>
                                    <w:left w:val="none" w:sz="0" w:space="0" w:color="auto"/>
                                    <w:bottom w:val="none" w:sz="0" w:space="0" w:color="auto"/>
                                    <w:right w:val="none" w:sz="0" w:space="0" w:color="auto"/>
                                  </w:divBdr>
                                  <w:divsChild>
                                    <w:div w:id="1457065644">
                                      <w:marLeft w:val="0"/>
                                      <w:marRight w:val="0"/>
                                      <w:marTop w:val="0"/>
                                      <w:marBottom w:val="0"/>
                                      <w:divBdr>
                                        <w:top w:val="none" w:sz="0" w:space="0" w:color="auto"/>
                                        <w:left w:val="none" w:sz="0" w:space="0" w:color="auto"/>
                                        <w:bottom w:val="none" w:sz="0" w:space="0" w:color="auto"/>
                                        <w:right w:val="none" w:sz="0" w:space="0" w:color="auto"/>
                                      </w:divBdr>
                                      <w:divsChild>
                                        <w:div w:id="35547743">
                                          <w:marLeft w:val="1"/>
                                          <w:marRight w:val="1"/>
                                          <w:marTop w:val="0"/>
                                          <w:marBottom w:val="600"/>
                                          <w:divBdr>
                                            <w:top w:val="none" w:sz="0" w:space="0" w:color="auto"/>
                                            <w:left w:val="none" w:sz="0" w:space="0" w:color="auto"/>
                                            <w:bottom w:val="none" w:sz="0" w:space="0" w:color="auto"/>
                                            <w:right w:val="none" w:sz="0" w:space="0" w:color="auto"/>
                                          </w:divBdr>
                                          <w:divsChild>
                                            <w:div w:id="575093043">
                                              <w:marLeft w:val="0"/>
                                              <w:marRight w:val="0"/>
                                              <w:marTop w:val="0"/>
                                              <w:marBottom w:val="0"/>
                                              <w:divBdr>
                                                <w:top w:val="none" w:sz="0" w:space="0" w:color="auto"/>
                                                <w:left w:val="none" w:sz="0" w:space="0" w:color="auto"/>
                                                <w:bottom w:val="none" w:sz="0" w:space="0" w:color="auto"/>
                                                <w:right w:val="none" w:sz="0" w:space="0" w:color="auto"/>
                                              </w:divBdr>
                                              <w:divsChild>
                                                <w:div w:id="1523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905990">
      <w:bodyDiv w:val="1"/>
      <w:marLeft w:val="0"/>
      <w:marRight w:val="0"/>
      <w:marTop w:val="0"/>
      <w:marBottom w:val="0"/>
      <w:divBdr>
        <w:top w:val="none" w:sz="0" w:space="0" w:color="auto"/>
        <w:left w:val="none" w:sz="0" w:space="0" w:color="auto"/>
        <w:bottom w:val="none" w:sz="0" w:space="0" w:color="auto"/>
        <w:right w:val="none" w:sz="0" w:space="0" w:color="auto"/>
      </w:divBdr>
    </w:div>
    <w:div w:id="2141216624">
      <w:bodyDiv w:val="1"/>
      <w:marLeft w:val="0"/>
      <w:marRight w:val="0"/>
      <w:marTop w:val="0"/>
      <w:marBottom w:val="0"/>
      <w:divBdr>
        <w:top w:val="none" w:sz="0" w:space="0" w:color="auto"/>
        <w:left w:val="none" w:sz="0" w:space="0" w:color="auto"/>
        <w:bottom w:val="none" w:sz="0" w:space="0" w:color="auto"/>
        <w:right w:val="none" w:sz="0" w:space="0" w:color="auto"/>
      </w:divBdr>
    </w:div>
    <w:div w:id="21413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07745&amp;pageIndex=0&amp;doclang=IT&amp;mode=lst&amp;dir=&amp;occ=first&amp;part=1&amp;cid=1411835" TargetMode="External"/><Relationship Id="rId13" Type="http://schemas.openxmlformats.org/officeDocument/2006/relationships/hyperlink" Target="http://pa.leggiditalia.it/" TargetMode="External"/><Relationship Id="rId18" Type="http://schemas.openxmlformats.org/officeDocument/2006/relationships/hyperlink" Target="https://www.giustizia-amministrativa.it/web/guest/archivio-in-evidenza" TargetMode="External"/><Relationship Id="rId26" Type="http://schemas.openxmlformats.org/officeDocument/2006/relationships/hyperlink" Target="https://www.giustizia-amministrativa.it/cdsintra/cdsintra/AmministrazionePortale/DocumentViewer/index.html?ddocname=OPWESRY53INZH7AU2EMRLAJFXE&amp;q=" TargetMode="External"/><Relationship Id="rId3" Type="http://schemas.openxmlformats.org/officeDocument/2006/relationships/styles" Target="styles.xml"/><Relationship Id="rId21" Type="http://schemas.openxmlformats.org/officeDocument/2006/relationships/hyperlink" Target="https://www.giustizia-amministrativa.it/cdsintra/cdsintra/AmministrazionePortale/DocumentViewer/index.html?ddocname=XCCRZHNRCCHAVAB2T7ZSRQJ2JQ&amp;q=" TargetMode="External"/><Relationship Id="rId7" Type="http://schemas.openxmlformats.org/officeDocument/2006/relationships/image" Target="cid:image001.jpg@01D46788.BAD3C180" TargetMode="External"/><Relationship Id="rId12" Type="http://schemas.openxmlformats.org/officeDocument/2006/relationships/hyperlink" Target="http://www.italgiure.giustizia.it/xway/application/nif/clean/hc.dll?verbo=attach&amp;db=snciv&amp;id=./20181113/snciv@sU0@a2018@n29080@tS.clean.pdf" TargetMode="External"/><Relationship Id="rId17" Type="http://schemas.openxmlformats.org/officeDocument/2006/relationships/hyperlink" Target="https://www.giustizia-amministrativa.it/cdsintra/wcm/idc/groups/public/documents/document/mday/nju5/~edisp/nsiga_4547139.pdf" TargetMode="External"/><Relationship Id="rId25" Type="http://schemas.openxmlformats.org/officeDocument/2006/relationships/hyperlink" Target="https://www.giustizia-amministrativa.it/cdsintra/cdsintra/AmministrazionePortale/DocumentViewer/index.html?ddocname=NNHM5XEQ3XZG6ZH7HZMNMUSAWQ&amp;q=" TargetMode="External"/><Relationship Id="rId2" Type="http://schemas.openxmlformats.org/officeDocument/2006/relationships/numbering" Target="numbering.xml"/><Relationship Id="rId16" Type="http://schemas.openxmlformats.org/officeDocument/2006/relationships/hyperlink" Target="http://www.italgiure.giustizia.it/xway/application/nif/clean/hc.dll?verbo=attach&amp;db=snciv&amp;id=./20181109/snciv@sU0@a2018@n28652@tS.clean.pdf" TargetMode="External"/><Relationship Id="rId20" Type="http://schemas.openxmlformats.org/officeDocument/2006/relationships/hyperlink" Target="https://www.giustizia-amministrativa.it/cdsintra/cdsintra/AmministrazionePortale/DocumentViewer/index.html?ddocname=NGPTS7N7FMIKWIZLR4FCMJ6ZWE&amp;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rtecostituzionale.it/actionPronuncia.do" TargetMode="External"/><Relationship Id="rId24" Type="http://schemas.openxmlformats.org/officeDocument/2006/relationships/hyperlink" Target="https://www.giustizia-amministrativa.it/cdsintra/cdsintra/AmministrazionePortale/DocumentViewer/index.html?ddocname=SOEVCYPEVIT2FESJQ55I27SAFA&amp;q=" TargetMode="External"/><Relationship Id="rId5" Type="http://schemas.openxmlformats.org/officeDocument/2006/relationships/webSettings" Target="webSettings.xml"/><Relationship Id="rId15" Type="http://schemas.openxmlformats.org/officeDocument/2006/relationships/hyperlink" Target="http://www.italgiure.giustizia.it/xway/application/nif/clean/hc.dll?verbo=attach&amp;db=snciv&amp;id=./20181109/snciv@sU0@a2018@n28651@tS.clean.pdf" TargetMode="External"/><Relationship Id="rId23" Type="http://schemas.openxmlformats.org/officeDocument/2006/relationships/hyperlink" Target="https://www.giustizia-amministrativa.it/cdsintra/cdsintra/AmministrazionePortale/DocumentViewer/index.html?ddocname=Q7JSCUZJQIE33URHRW2K63TYIQ&amp;q=" TargetMode="External"/><Relationship Id="rId28" Type="http://schemas.openxmlformats.org/officeDocument/2006/relationships/fontTable" Target="fontTable.xml"/><Relationship Id="rId10" Type="http://schemas.openxmlformats.org/officeDocument/2006/relationships/hyperlink" Target="https://www.cortecostituzionale.it/actionPronuncia.do" TargetMode="External"/><Relationship Id="rId19" Type="http://schemas.openxmlformats.org/officeDocument/2006/relationships/hyperlink" Target="https://www.giustizia-amministrativa.it/cdsintra/cdsintra/AmministrazionePortale/DocumentViewer/index.html?ddocname=DH5MUYFITASFHIFXTELT4HCJ4Y&amp;q=" TargetMode="External"/><Relationship Id="rId4" Type="http://schemas.openxmlformats.org/officeDocument/2006/relationships/settings" Target="settings.xml"/><Relationship Id="rId9" Type="http://schemas.openxmlformats.org/officeDocument/2006/relationships/hyperlink" Target="https://www.cortecostituzionale.it/actionPronuncia.do" TargetMode="External"/><Relationship Id="rId14" Type="http://schemas.openxmlformats.org/officeDocument/2006/relationships/hyperlink" Target="http://pa.leggiditalia.it/" TargetMode="External"/><Relationship Id="rId22" Type="http://schemas.openxmlformats.org/officeDocument/2006/relationships/hyperlink" Target="https://www.giustizia-amministrativa.it/cdsintra/cdsintra/AmministrazionePortale/DocumentViewer/index.html?ddocname=RHF3JNIPHADUOTJGKGCL5HMNDQ&amp;q=" TargetMode="External"/><Relationship Id="rId27" Type="http://schemas.openxmlformats.org/officeDocument/2006/relationships/hyperlink" Target="https://www.giustizia-amministrativa.it/cdsintra/cdsintra/AmministrazionePortale/DocumentViewer/index.html?ddocname=AG3SGXKD2PLC6KEFC4VGR3YDMY&amp;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4096-A92C-4D34-97F4-FF926EF9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17</Pages>
  <Words>6771</Words>
  <Characters>38600</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Torretta</dc:creator>
  <cp:keywords/>
  <dc:description/>
  <cp:lastModifiedBy>CERRA Federico</cp:lastModifiedBy>
  <cp:revision>40</cp:revision>
  <dcterms:created xsi:type="dcterms:W3CDTF">2018-11-16T11:07:00Z</dcterms:created>
  <dcterms:modified xsi:type="dcterms:W3CDTF">2018-11-19T09:46:00Z</dcterms:modified>
</cp:coreProperties>
</file>