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2CB" w:rsidRDefault="002D62CB" w:rsidP="002D62CB">
      <w:pPr>
        <w:spacing w:after="0" w:line="240" w:lineRule="auto"/>
        <w:jc w:val="both"/>
        <w:rPr>
          <w:rFonts w:ascii="Calibri" w:eastAsia="Calibri" w:hAnsi="Calibri" w:cs="Calibri"/>
          <w:b/>
          <w:bCs/>
          <w:color w:val="000000"/>
          <w:sz w:val="24"/>
          <w:szCs w:val="24"/>
          <w:lang w:eastAsia="it-IT"/>
        </w:rPr>
      </w:pPr>
    </w:p>
    <w:p w:rsidR="005D3CFD" w:rsidRPr="005D3CFD" w:rsidRDefault="005D3CFD" w:rsidP="005D3CFD">
      <w:pPr>
        <w:spacing w:after="0" w:line="240" w:lineRule="auto"/>
        <w:rPr>
          <w:rFonts w:ascii="Calibri" w:eastAsia="Calibri" w:hAnsi="Calibri" w:cs="Times New Roman"/>
          <w:color w:val="1F497D"/>
        </w:rPr>
      </w:pPr>
    </w:p>
    <w:p w:rsidR="005D3CFD" w:rsidRPr="005D3CFD" w:rsidRDefault="005D3CFD" w:rsidP="005D3CFD">
      <w:pPr>
        <w:spacing w:after="270" w:line="360" w:lineRule="atLeast"/>
        <w:jc w:val="center"/>
        <w:rPr>
          <w:rFonts w:ascii="Times New Roman" w:eastAsia="Calibri" w:hAnsi="Times New Roman" w:cs="Times New Roman"/>
          <w:color w:val="212121"/>
          <w:sz w:val="24"/>
          <w:szCs w:val="24"/>
          <w:lang w:eastAsia="it-IT"/>
        </w:rPr>
      </w:pPr>
      <w:r w:rsidRPr="005D3CFD">
        <w:rPr>
          <w:rFonts w:ascii="Palatino Linotype" w:eastAsia="Calibri" w:hAnsi="Palatino Linotype" w:cs="Times New Roman"/>
          <w:noProof/>
          <w:color w:val="2E74B5"/>
          <w:sz w:val="96"/>
          <w:szCs w:val="96"/>
          <w:lang w:eastAsia="it-IT"/>
        </w:rPr>
        <w:drawing>
          <wp:inline distT="0" distB="0" distL="0" distR="0" wp14:anchorId="74E91449" wp14:editId="22627FC0">
            <wp:extent cx="1134745" cy="1297940"/>
            <wp:effectExtent l="0" t="0" r="8255" b="0"/>
            <wp:docPr id="2" name="Immagine 2" descr="cid:image001.jpg@01D46788.BAD3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6788.BAD3C1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34745" cy="1297940"/>
                    </a:xfrm>
                    <a:prstGeom prst="rect">
                      <a:avLst/>
                    </a:prstGeom>
                    <a:noFill/>
                    <a:ln>
                      <a:noFill/>
                    </a:ln>
                  </pic:spPr>
                </pic:pic>
              </a:graphicData>
            </a:graphic>
          </wp:inline>
        </w:drawing>
      </w:r>
    </w:p>
    <w:p w:rsidR="00B01F70" w:rsidRDefault="005D3CFD" w:rsidP="005D3CFD">
      <w:pPr>
        <w:spacing w:after="0" w:line="240" w:lineRule="auto"/>
        <w:jc w:val="center"/>
        <w:rPr>
          <w:rFonts w:ascii="Palatino Linotype" w:eastAsia="Calibri" w:hAnsi="Palatino Linotype" w:cs="Times New Roman"/>
          <w:b/>
          <w:bCs/>
          <w:color w:val="993300"/>
        </w:rPr>
      </w:pPr>
      <w:r w:rsidRPr="005D3CFD">
        <w:rPr>
          <w:rFonts w:ascii="Palatino Linotype" w:eastAsia="Calibri" w:hAnsi="Palatino Linotype" w:cs="Times New Roman"/>
          <w:b/>
          <w:bCs/>
          <w:color w:val="993300"/>
        </w:rPr>
        <w:t>Normativa e giurisprudenza di interesse per la Giustizia amministrativa</w:t>
      </w:r>
    </w:p>
    <w:p w:rsidR="005D3CFD" w:rsidRPr="005D3CFD" w:rsidRDefault="005D3CFD" w:rsidP="005D3CFD">
      <w:pPr>
        <w:spacing w:after="0" w:line="240" w:lineRule="auto"/>
        <w:jc w:val="center"/>
        <w:rPr>
          <w:rFonts w:ascii="Palatino Linotype" w:eastAsia="Calibri" w:hAnsi="Palatino Linotype" w:cs="Times New Roman"/>
          <w:b/>
          <w:bCs/>
          <w:color w:val="993300"/>
        </w:rPr>
      </w:pPr>
      <w:proofErr w:type="gramStart"/>
      <w:r w:rsidRPr="005D3CFD">
        <w:rPr>
          <w:rFonts w:ascii="Palatino Linotype" w:eastAsia="Calibri" w:hAnsi="Palatino Linotype" w:cs="Times New Roman"/>
          <w:b/>
          <w:bCs/>
          <w:color w:val="993300"/>
        </w:rPr>
        <w:t>a</w:t>
      </w:r>
      <w:proofErr w:type="gramEnd"/>
      <w:r w:rsidRPr="005D3CFD">
        <w:rPr>
          <w:rFonts w:ascii="Palatino Linotype" w:eastAsia="Calibri" w:hAnsi="Palatino Linotype" w:cs="Times New Roman"/>
          <w:b/>
          <w:bCs/>
          <w:color w:val="993300"/>
        </w:rPr>
        <w:t xml:space="preserve"> cura dell’Ufficio studi, massimario e formazione.</w:t>
      </w:r>
    </w:p>
    <w:p w:rsidR="005D3CFD" w:rsidRDefault="005D3CFD" w:rsidP="005D3CFD">
      <w:pPr>
        <w:spacing w:after="0" w:line="240" w:lineRule="auto"/>
        <w:jc w:val="both"/>
        <w:rPr>
          <w:rFonts w:ascii="Palatino Linotype" w:eastAsia="Calibri" w:hAnsi="Palatino Linotype"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28"/>
      </w:tblGrid>
      <w:tr w:rsidR="00857A73" w:rsidRPr="002D62CB" w:rsidTr="00B944C9">
        <w:tc>
          <w:tcPr>
            <w:tcW w:w="9628" w:type="dxa"/>
            <w:tcMar>
              <w:top w:w="0" w:type="dxa"/>
              <w:left w:w="108" w:type="dxa"/>
              <w:bottom w:w="0" w:type="dxa"/>
              <w:right w:w="108" w:type="dxa"/>
            </w:tcMar>
          </w:tcPr>
          <w:p w:rsidR="00857A73" w:rsidRPr="002D62CB" w:rsidRDefault="00857A73" w:rsidP="001E2D52">
            <w:pPr>
              <w:spacing w:before="240" w:after="0" w:line="240" w:lineRule="auto"/>
              <w:jc w:val="center"/>
              <w:outlineLvl w:val="0"/>
              <w:rPr>
                <w:rFonts w:ascii="Palatino Linotype" w:eastAsia="Times New Roman" w:hAnsi="Palatino Linotype" w:cs="Times New Roman"/>
                <w:color w:val="2E74B5"/>
                <w:kern w:val="36"/>
                <w:sz w:val="32"/>
                <w:szCs w:val="32"/>
              </w:rPr>
            </w:pPr>
            <w:r w:rsidRPr="002D62CB">
              <w:rPr>
                <w:rFonts w:ascii="Palatino Linotype" w:eastAsia="Times New Roman" w:hAnsi="Palatino Linotype" w:cs="Times New Roman"/>
                <w:color w:val="2E74B5"/>
                <w:kern w:val="36"/>
                <w:sz w:val="32"/>
                <w:szCs w:val="32"/>
              </w:rPr>
              <w:t>Corte di giustizia dell’Unione europea</w:t>
            </w:r>
          </w:p>
          <w:p w:rsidR="00857A73" w:rsidRPr="002D62CB" w:rsidRDefault="00857A73" w:rsidP="001E2D52">
            <w:pPr>
              <w:spacing w:before="240" w:after="0" w:line="240" w:lineRule="auto"/>
              <w:jc w:val="center"/>
              <w:outlineLvl w:val="0"/>
              <w:rPr>
                <w:rFonts w:ascii="Palatino Linotype" w:eastAsia="Times New Roman" w:hAnsi="Palatino Linotype" w:cs="Times New Roman"/>
                <w:color w:val="2E74B5"/>
                <w:kern w:val="36"/>
                <w:sz w:val="32"/>
                <w:szCs w:val="32"/>
              </w:rPr>
            </w:pPr>
            <w:r w:rsidRPr="002D62CB">
              <w:rPr>
                <w:rFonts w:ascii="Palatino Linotype" w:eastAsia="Times New Roman" w:hAnsi="Palatino Linotype" w:cs="Times New Roman"/>
                <w:color w:val="2E74B5"/>
                <w:kern w:val="36"/>
                <w:sz w:val="32"/>
                <w:szCs w:val="32"/>
              </w:rPr>
              <w:t>(</w:t>
            </w:r>
            <w:r w:rsidR="008556A7">
              <w:rPr>
                <w:rFonts w:ascii="Palatino Linotype" w:eastAsia="Times New Roman" w:hAnsi="Palatino Linotype" w:cs="Times New Roman"/>
                <w:color w:val="2E74B5"/>
                <w:kern w:val="36"/>
                <w:sz w:val="32"/>
                <w:szCs w:val="32"/>
              </w:rPr>
              <w:t>1</w:t>
            </w:r>
            <w:r w:rsidRPr="002D62CB">
              <w:rPr>
                <w:rFonts w:ascii="Palatino Linotype" w:eastAsia="Times New Roman" w:hAnsi="Palatino Linotype" w:cs="Times New Roman"/>
                <w:color w:val="2E74B5"/>
                <w:kern w:val="36"/>
                <w:sz w:val="32"/>
                <w:szCs w:val="32"/>
              </w:rPr>
              <w:t>)</w:t>
            </w:r>
          </w:p>
          <w:p w:rsidR="00857A73" w:rsidRPr="002D62CB" w:rsidRDefault="00857A73" w:rsidP="001E2D52">
            <w:pPr>
              <w:spacing w:after="0" w:line="240" w:lineRule="auto"/>
              <w:jc w:val="both"/>
              <w:rPr>
                <w:rFonts w:ascii="Palatino Linotype" w:hAnsi="Palatino Linotype" w:cs="Calibri"/>
                <w:b/>
                <w:bCs/>
                <w:sz w:val="24"/>
                <w:szCs w:val="24"/>
              </w:rPr>
            </w:pPr>
          </w:p>
          <w:p w:rsidR="00857A73" w:rsidRPr="002D62CB" w:rsidRDefault="00857A73" w:rsidP="001E2D52">
            <w:pPr>
              <w:spacing w:after="0" w:line="240" w:lineRule="auto"/>
              <w:jc w:val="both"/>
              <w:rPr>
                <w:rFonts w:ascii="Palatino Linotype" w:hAnsi="Palatino Linotype" w:cs="Calibri"/>
                <w:color w:val="000000"/>
                <w:sz w:val="24"/>
                <w:szCs w:val="24"/>
                <w:shd w:val="clear" w:color="auto" w:fill="FFFFFF"/>
              </w:rPr>
            </w:pPr>
            <w:r w:rsidRPr="002D62CB">
              <w:rPr>
                <w:rFonts w:ascii="Palatino Linotype" w:hAnsi="Palatino Linotype" w:cs="Calibri"/>
                <w:sz w:val="24"/>
                <w:szCs w:val="24"/>
              </w:rPr>
              <w:t xml:space="preserve">La Corte di giustizia dell’Unione europea </w:t>
            </w:r>
            <w:r w:rsidR="00802629">
              <w:rPr>
                <w:rFonts w:ascii="Palatino Linotype" w:hAnsi="Palatino Linotype" w:cs="Calibri"/>
                <w:sz w:val="24"/>
                <w:szCs w:val="24"/>
              </w:rPr>
              <w:t xml:space="preserve">si pronuncia sulla trasmissibilità </w:t>
            </w:r>
            <w:r w:rsidR="00802629" w:rsidRPr="00802629">
              <w:rPr>
                <w:rFonts w:ascii="Palatino Linotype" w:hAnsi="Palatino Linotype" w:cs="Calibri"/>
                <w:i/>
                <w:sz w:val="24"/>
                <w:szCs w:val="24"/>
              </w:rPr>
              <w:t xml:space="preserve">iure </w:t>
            </w:r>
            <w:proofErr w:type="spellStart"/>
            <w:r w:rsidR="00802629" w:rsidRPr="00802629">
              <w:rPr>
                <w:rFonts w:ascii="Palatino Linotype" w:hAnsi="Palatino Linotype" w:cs="Calibri"/>
                <w:i/>
                <w:sz w:val="24"/>
                <w:szCs w:val="24"/>
              </w:rPr>
              <w:t>hereditario</w:t>
            </w:r>
            <w:proofErr w:type="spellEnd"/>
            <w:r w:rsidR="00802629">
              <w:rPr>
                <w:rFonts w:ascii="Palatino Linotype" w:hAnsi="Palatino Linotype" w:cs="Calibri"/>
                <w:sz w:val="24"/>
                <w:szCs w:val="24"/>
              </w:rPr>
              <w:t xml:space="preserve"> del diritto alla indennità sostitutiva delle ferie non godute dal dipendente deceduto</w:t>
            </w:r>
            <w:r w:rsidR="00990134">
              <w:rPr>
                <w:rFonts w:ascii="Palatino Linotype" w:hAnsi="Palatino Linotype" w:cs="Calibri"/>
                <w:sz w:val="24"/>
                <w:szCs w:val="24"/>
              </w:rPr>
              <w:t>.</w:t>
            </w:r>
          </w:p>
          <w:p w:rsidR="00857A73" w:rsidRPr="002D62CB" w:rsidRDefault="00857A73" w:rsidP="00A45ADD">
            <w:pPr>
              <w:spacing w:after="0" w:line="240" w:lineRule="auto"/>
              <w:jc w:val="both"/>
              <w:rPr>
                <w:rFonts w:ascii="Palatino Linotype" w:hAnsi="Palatino Linotype" w:cs="Calibri"/>
                <w:bCs/>
                <w:color w:val="0563C1"/>
                <w:u w:val="single"/>
              </w:rPr>
            </w:pPr>
          </w:p>
          <w:p w:rsidR="0054168F" w:rsidRPr="001948AD" w:rsidRDefault="00E424A6" w:rsidP="001948AD">
            <w:pPr>
              <w:pStyle w:val="c02alineaalta"/>
              <w:shd w:val="clear" w:color="auto" w:fill="FFFFFF"/>
              <w:spacing w:before="0" w:beforeAutospacing="0" w:after="0" w:afterAutospacing="0"/>
              <w:jc w:val="both"/>
              <w:rPr>
                <w:rStyle w:val="Collegamentoipertestuale"/>
                <w:rFonts w:ascii="Palatino Linotype" w:hAnsi="Palatino Linotype" w:cs="Calibri"/>
                <w:bCs/>
                <w:i/>
              </w:rPr>
            </w:pPr>
            <w:hyperlink r:id="rId8" w:history="1">
              <w:r w:rsidR="00857A73" w:rsidRPr="0067096D">
                <w:rPr>
                  <w:rStyle w:val="Collegamentoipertestuale"/>
                  <w:rFonts w:ascii="Palatino Linotype" w:hAnsi="Palatino Linotype" w:cs="Calibri"/>
                  <w:bCs/>
                </w:rPr>
                <w:t>Corte di giu</w:t>
              </w:r>
              <w:r w:rsidR="00E46AAF" w:rsidRPr="0067096D">
                <w:rPr>
                  <w:rStyle w:val="Collegamentoipertestuale"/>
                  <w:rFonts w:ascii="Palatino Linotype" w:hAnsi="Palatino Linotype" w:cs="Calibri"/>
                  <w:bCs/>
                </w:rPr>
                <w:t xml:space="preserve">stizia </w:t>
              </w:r>
              <w:r w:rsidR="0069320C">
                <w:rPr>
                  <w:rStyle w:val="Collegamentoipertestuale"/>
                  <w:rFonts w:ascii="Palatino Linotype" w:hAnsi="Palatino Linotype" w:cs="Calibri"/>
                  <w:bCs/>
                </w:rPr>
                <w:t>dell’Unione europea, grande s</w:t>
              </w:r>
              <w:r w:rsidR="00B279B8" w:rsidRPr="0067096D">
                <w:rPr>
                  <w:rStyle w:val="Collegamentoipertestuale"/>
                  <w:rFonts w:ascii="Palatino Linotype" w:hAnsi="Palatino Linotype" w:cs="Calibri"/>
                  <w:bCs/>
                </w:rPr>
                <w:t>ezione, sentenza 6 novembre</w:t>
              </w:r>
              <w:r w:rsidR="00857A73" w:rsidRPr="0067096D">
                <w:rPr>
                  <w:rStyle w:val="Collegamentoipertestuale"/>
                  <w:rFonts w:ascii="Palatino Linotype" w:hAnsi="Palatino Linotype" w:cs="Calibri"/>
                  <w:bCs/>
                </w:rPr>
                <w:t xml:space="preserve"> 2018, C</w:t>
              </w:r>
              <w:r w:rsidR="00B279B8" w:rsidRPr="0067096D">
                <w:rPr>
                  <w:rStyle w:val="Collegamentoipertestuale"/>
                  <w:rFonts w:ascii="Palatino Linotype" w:hAnsi="Palatino Linotype" w:cs="Calibri"/>
                  <w:bCs/>
                </w:rPr>
                <w:t xml:space="preserve"> </w:t>
              </w:r>
              <w:r w:rsidR="00857A73" w:rsidRPr="0067096D">
                <w:rPr>
                  <w:rStyle w:val="Collegamentoipertestuale"/>
                  <w:rFonts w:ascii="Palatino Linotype" w:hAnsi="Palatino Linotype" w:cs="Calibri"/>
                  <w:bCs/>
                </w:rPr>
                <w:t>-</w:t>
              </w:r>
              <w:r w:rsidR="00B279B8" w:rsidRPr="0067096D">
                <w:rPr>
                  <w:rStyle w:val="Collegamentoipertestuale"/>
                  <w:rFonts w:ascii="Palatino Linotype" w:hAnsi="Palatino Linotype" w:cs="Calibri"/>
                  <w:bCs/>
                </w:rPr>
                <w:t>569</w:t>
              </w:r>
              <w:r w:rsidR="00857A73" w:rsidRPr="0067096D">
                <w:rPr>
                  <w:rStyle w:val="Collegamentoipertestuale"/>
                  <w:rFonts w:ascii="Palatino Linotype" w:hAnsi="Palatino Linotype" w:cs="Calibri"/>
                  <w:bCs/>
                </w:rPr>
                <w:t>/1</w:t>
              </w:r>
              <w:r w:rsidR="00B279B8" w:rsidRPr="0067096D">
                <w:rPr>
                  <w:rStyle w:val="Collegamentoipertestuale"/>
                  <w:rFonts w:ascii="Palatino Linotype" w:hAnsi="Palatino Linotype" w:cs="Calibri"/>
                  <w:bCs/>
                </w:rPr>
                <w:t>6 e C – 570/16</w:t>
              </w:r>
              <w:r w:rsidR="00857A73" w:rsidRPr="0067096D">
                <w:rPr>
                  <w:rStyle w:val="Collegamentoipertestuale"/>
                  <w:rFonts w:ascii="Palatino Linotype" w:hAnsi="Palatino Linotype" w:cs="Calibri"/>
                  <w:bCs/>
                </w:rPr>
                <w:t xml:space="preserve"> </w:t>
              </w:r>
              <w:r w:rsidR="00B279B8" w:rsidRPr="0067096D">
                <w:rPr>
                  <w:rStyle w:val="Collegamentoipertestuale"/>
                  <w:rFonts w:ascii="Palatino Linotype" w:hAnsi="Palatino Linotype" w:cs="Calibri"/>
                  <w:bCs/>
                </w:rPr>
                <w:t>–</w:t>
              </w:r>
              <w:r w:rsidR="00857A73" w:rsidRPr="0067096D">
                <w:rPr>
                  <w:rStyle w:val="Collegamentoipertestuale"/>
                  <w:rFonts w:ascii="Palatino Linotype" w:hAnsi="Palatino Linotype" w:cs="Calibri"/>
                  <w:bCs/>
                </w:rPr>
                <w:t xml:space="preserve"> </w:t>
              </w:r>
              <w:proofErr w:type="spellStart"/>
              <w:r w:rsidR="00B279B8" w:rsidRPr="0067096D">
                <w:rPr>
                  <w:rStyle w:val="Collegamentoipertestuale"/>
                  <w:rFonts w:ascii="Palatino Linotype" w:hAnsi="Palatino Linotype" w:cs="Calibri"/>
                  <w:bCs/>
                  <w:i/>
                </w:rPr>
                <w:t>Stadt</w:t>
              </w:r>
              <w:proofErr w:type="spellEnd"/>
              <w:r w:rsidR="00B279B8" w:rsidRPr="0067096D">
                <w:rPr>
                  <w:rStyle w:val="Collegamentoipertestuale"/>
                  <w:rFonts w:ascii="Palatino Linotype" w:hAnsi="Palatino Linotype" w:cs="Calibri"/>
                  <w:bCs/>
                  <w:i/>
                </w:rPr>
                <w:t xml:space="preserve"> Wuppertal</w:t>
              </w:r>
            </w:hyperlink>
            <w:r w:rsidR="00190F9B">
              <w:rPr>
                <w:rFonts w:ascii="Palatino Linotype" w:hAnsi="Palatino Linotype" w:cs="Calibri"/>
                <w:bCs/>
                <w:i/>
                <w:color w:val="0563C1" w:themeColor="hyperlink"/>
                <w:u w:val="single"/>
              </w:rPr>
              <w:t xml:space="preserve"> </w:t>
            </w:r>
          </w:p>
          <w:p w:rsidR="001948AD" w:rsidRPr="001948AD" w:rsidRDefault="001948AD" w:rsidP="001948AD">
            <w:pPr>
              <w:pStyle w:val="c02alineaalta"/>
              <w:shd w:val="clear" w:color="auto" w:fill="FFFFFF"/>
              <w:spacing w:before="0" w:beforeAutospacing="0" w:after="0" w:afterAutospacing="0"/>
              <w:jc w:val="both"/>
              <w:rPr>
                <w:rFonts w:ascii="Palatino Linotype" w:hAnsi="Palatino Linotype" w:cs="Calibri"/>
                <w:bCs/>
                <w:i/>
                <w:color w:val="0563C1"/>
                <w:u w:val="single"/>
              </w:rPr>
            </w:pPr>
          </w:p>
          <w:p w:rsidR="001948AD" w:rsidRDefault="001948AD" w:rsidP="001948AD">
            <w:pPr>
              <w:spacing w:after="0" w:line="240" w:lineRule="auto"/>
              <w:jc w:val="both"/>
              <w:rPr>
                <w:rFonts w:ascii="Palatino Linotype" w:hAnsi="Palatino Linotype" w:cs="Calibri"/>
                <w:bCs/>
                <w:sz w:val="24"/>
                <w:szCs w:val="24"/>
              </w:rPr>
            </w:pPr>
            <w:r>
              <w:rPr>
                <w:rFonts w:ascii="Palatino Linotype" w:hAnsi="Palatino Linotype" w:cs="Calibri"/>
                <w:bCs/>
                <w:sz w:val="24"/>
                <w:szCs w:val="24"/>
              </w:rPr>
              <w:t>L</w:t>
            </w:r>
            <w:r w:rsidR="0069320C">
              <w:rPr>
                <w:rFonts w:ascii="Palatino Linotype" w:hAnsi="Palatino Linotype" w:cs="Calibri"/>
                <w:bCs/>
                <w:sz w:val="24"/>
                <w:szCs w:val="24"/>
              </w:rPr>
              <w:t xml:space="preserve">a Corte </w:t>
            </w:r>
            <w:r w:rsidRPr="001948AD">
              <w:rPr>
                <w:rFonts w:ascii="Palatino Linotype" w:hAnsi="Palatino Linotype" w:cs="Calibri"/>
                <w:bCs/>
                <w:sz w:val="24"/>
                <w:szCs w:val="24"/>
              </w:rPr>
              <w:t>dichiara:</w:t>
            </w:r>
          </w:p>
          <w:p w:rsidR="00802629" w:rsidRPr="001948AD" w:rsidRDefault="00802629" w:rsidP="001948AD">
            <w:pPr>
              <w:spacing w:after="0" w:line="240" w:lineRule="auto"/>
              <w:jc w:val="both"/>
              <w:rPr>
                <w:rFonts w:ascii="Palatino Linotype" w:hAnsi="Palatino Linotype" w:cs="Calibri"/>
                <w:bCs/>
                <w:sz w:val="24"/>
                <w:szCs w:val="24"/>
              </w:rPr>
            </w:pPr>
          </w:p>
          <w:p w:rsidR="00B279B8" w:rsidRPr="00B279B8" w:rsidRDefault="00B279B8" w:rsidP="00B279B8">
            <w:pPr>
              <w:spacing w:after="0" w:line="240" w:lineRule="auto"/>
              <w:jc w:val="both"/>
              <w:rPr>
                <w:rFonts w:ascii="Palatino Linotype" w:hAnsi="Palatino Linotype" w:cs="Calibri"/>
                <w:bCs/>
                <w:sz w:val="24"/>
                <w:szCs w:val="24"/>
              </w:rPr>
            </w:pPr>
            <w:r>
              <w:rPr>
                <w:rFonts w:ascii="Palatino Linotype" w:hAnsi="Palatino Linotype" w:cs="Calibri"/>
                <w:bCs/>
                <w:sz w:val="24"/>
                <w:szCs w:val="24"/>
              </w:rPr>
              <w:t xml:space="preserve">1) </w:t>
            </w:r>
            <w:r w:rsidRPr="00B279B8">
              <w:rPr>
                <w:rFonts w:ascii="Palatino Linotype" w:hAnsi="Palatino Linotype" w:cs="Calibri"/>
                <w:bCs/>
                <w:sz w:val="24"/>
                <w:szCs w:val="24"/>
              </w:rPr>
              <w:t>L’articolo 7 della direttiva 2003/88/CE del Parlamento europeo e del Consiglio, del 4 novembre 2003, concernente taluni aspetti dell’organizzazione dell’orario di lavoro, e l’articolo 31, paragrafo 2, della Carta dei diritti fondamentali dell’Unione europea devono essere interpretati nel senso che ostano a una normativa nazionale, come quella discussa nei procedimenti principali, ai sensi della quale, in caso di cessazione del rapporto di lavoro a causa del decesso del lavoratore, il diritto alle ferie annuali retribuite maturate ai sensi di tali disposizioni e non godute dal lavoratore prima del suo decesso si estingue, senza poter far sorgere un diritto a un’indennità finanziaria per dette ferie che sia trasmissibile agli aventi causa del lavoratore in via successoria.</w:t>
            </w:r>
          </w:p>
          <w:p w:rsidR="001948AD" w:rsidRPr="001948AD" w:rsidRDefault="00B279B8" w:rsidP="001948AD">
            <w:pPr>
              <w:spacing w:after="0" w:line="240" w:lineRule="auto"/>
              <w:jc w:val="both"/>
              <w:rPr>
                <w:rFonts w:ascii="Palatino Linotype" w:hAnsi="Palatino Linotype" w:cs="Calibri"/>
                <w:bCs/>
                <w:sz w:val="24"/>
                <w:szCs w:val="24"/>
              </w:rPr>
            </w:pPr>
            <w:r w:rsidRPr="00B279B8">
              <w:rPr>
                <w:rFonts w:ascii="Palatino Linotype" w:hAnsi="Palatino Linotype" w:cs="Calibri"/>
                <w:bCs/>
                <w:sz w:val="24"/>
                <w:szCs w:val="24"/>
              </w:rPr>
              <w:t xml:space="preserve">2)      Nel caso in cui sia impossibile interpretare una normativa nazionale come quella discussa nei procedimenti principali in modo da garantirne la conformità all’articolo 7 della direttiva 2003/88 e all’articolo 31, paragrafo 2, della Carta dei diritti fondamentali, il giudice nazionale, investito di una controversia tra il successore di un lavoratore deceduto e l’ex datore di lavoro di detto lavoratore, deve disapplicare tale normativa nazionale e assicurarsi che al menzionato successore venga concesso, a carico del suddetto datore di lavoro, il beneficio di un’indennità finanziaria per le ferie annuali retribuite maturate ai sensi delle citate disposizioni e non godute da tale lavoratore prima del suo decesso. Questo obbligo grava sul giudice nazionale sulla base dell’articolo 7 della direttiva 2003/88 e dell’articolo 31, paragrafo 2, della Carta dei diritti fondamentali se detta </w:t>
            </w:r>
            <w:proofErr w:type="gramStart"/>
            <w:r w:rsidRPr="00B279B8">
              <w:rPr>
                <w:rFonts w:ascii="Palatino Linotype" w:hAnsi="Palatino Linotype" w:cs="Calibri"/>
                <w:bCs/>
                <w:sz w:val="24"/>
                <w:szCs w:val="24"/>
              </w:rPr>
              <w:lastRenderedPageBreak/>
              <w:t>controversia</w:t>
            </w:r>
            <w:proofErr w:type="gramEnd"/>
            <w:r w:rsidRPr="00B279B8">
              <w:rPr>
                <w:rFonts w:ascii="Palatino Linotype" w:hAnsi="Palatino Linotype" w:cs="Calibri"/>
                <w:bCs/>
                <w:sz w:val="24"/>
                <w:szCs w:val="24"/>
              </w:rPr>
              <w:t xml:space="preserve"> intercorre tra un tale successore e un datore di lavoro che riveste la qualità di autorità pubblica, e sulla base della seconda di queste disposizioni se la controversia ha luogo tra il successore e un datore di lavoro che ha la qualità di privato.</w:t>
            </w:r>
          </w:p>
          <w:p w:rsidR="00183DB5" w:rsidRPr="002D62CB" w:rsidRDefault="00B279B8" w:rsidP="00183DB5">
            <w:pPr>
              <w:spacing w:before="240" w:after="0" w:line="240" w:lineRule="auto"/>
              <w:jc w:val="center"/>
              <w:outlineLvl w:val="0"/>
              <w:rPr>
                <w:rFonts w:ascii="Palatino Linotype" w:eastAsia="Times New Roman" w:hAnsi="Palatino Linotype" w:cs="Times New Roman"/>
                <w:color w:val="2E74B5"/>
                <w:kern w:val="36"/>
                <w:sz w:val="32"/>
                <w:szCs w:val="32"/>
              </w:rPr>
            </w:pPr>
            <w:r w:rsidRPr="002D62CB">
              <w:rPr>
                <w:rFonts w:ascii="Palatino Linotype" w:eastAsia="Times New Roman" w:hAnsi="Palatino Linotype" w:cs="Times New Roman"/>
                <w:color w:val="2E74B5"/>
                <w:kern w:val="36"/>
                <w:sz w:val="32"/>
                <w:szCs w:val="32"/>
              </w:rPr>
              <w:t xml:space="preserve"> </w:t>
            </w:r>
            <w:r w:rsidR="00183DB5" w:rsidRPr="002D62CB">
              <w:rPr>
                <w:rFonts w:ascii="Palatino Linotype" w:eastAsia="Times New Roman" w:hAnsi="Palatino Linotype" w:cs="Times New Roman"/>
                <w:color w:val="2E74B5"/>
                <w:kern w:val="36"/>
                <w:sz w:val="32"/>
                <w:szCs w:val="32"/>
              </w:rPr>
              <w:t>(</w:t>
            </w:r>
            <w:r w:rsidR="00183DB5">
              <w:rPr>
                <w:rFonts w:ascii="Palatino Linotype" w:eastAsia="Times New Roman" w:hAnsi="Palatino Linotype" w:cs="Times New Roman"/>
                <w:color w:val="2E74B5"/>
                <w:kern w:val="36"/>
                <w:sz w:val="32"/>
                <w:szCs w:val="32"/>
              </w:rPr>
              <w:t>2</w:t>
            </w:r>
            <w:r w:rsidR="00183DB5" w:rsidRPr="002D62CB">
              <w:rPr>
                <w:rFonts w:ascii="Palatino Linotype" w:eastAsia="Times New Roman" w:hAnsi="Palatino Linotype" w:cs="Times New Roman"/>
                <w:color w:val="2E74B5"/>
                <w:kern w:val="36"/>
                <w:sz w:val="32"/>
                <w:szCs w:val="32"/>
              </w:rPr>
              <w:t>)</w:t>
            </w:r>
          </w:p>
          <w:p w:rsidR="00183DB5" w:rsidRDefault="00183DB5" w:rsidP="001E2D52">
            <w:pPr>
              <w:spacing w:after="0" w:line="240" w:lineRule="auto"/>
              <w:jc w:val="both"/>
              <w:rPr>
                <w:rFonts w:ascii="Palatino Linotype" w:hAnsi="Palatino Linotype" w:cs="Calibri"/>
                <w:bCs/>
                <w:sz w:val="24"/>
                <w:szCs w:val="24"/>
              </w:rPr>
            </w:pPr>
          </w:p>
          <w:p w:rsidR="00183DB5" w:rsidRDefault="00884655" w:rsidP="001E2D52">
            <w:pPr>
              <w:spacing w:after="0" w:line="240" w:lineRule="auto"/>
              <w:jc w:val="both"/>
              <w:rPr>
                <w:rFonts w:ascii="Palatino Linotype" w:hAnsi="Palatino Linotype" w:cs="Calibri"/>
                <w:bCs/>
                <w:sz w:val="24"/>
                <w:szCs w:val="24"/>
              </w:rPr>
            </w:pPr>
            <w:r>
              <w:rPr>
                <w:rFonts w:ascii="Palatino Linotype" w:hAnsi="Palatino Linotype" w:cs="Calibri"/>
                <w:bCs/>
                <w:sz w:val="24"/>
                <w:szCs w:val="24"/>
              </w:rPr>
              <w:t>In materia di direttiva “habitat” l</w:t>
            </w:r>
            <w:r w:rsidR="007559A6">
              <w:rPr>
                <w:rFonts w:ascii="Palatino Linotype" w:hAnsi="Palatino Linotype" w:cs="Calibri"/>
                <w:bCs/>
                <w:sz w:val="24"/>
                <w:szCs w:val="24"/>
              </w:rPr>
              <w:t>a Corte di g</w:t>
            </w:r>
            <w:r>
              <w:rPr>
                <w:rFonts w:ascii="Palatino Linotype" w:hAnsi="Palatino Linotype" w:cs="Calibri"/>
                <w:bCs/>
                <w:sz w:val="24"/>
                <w:szCs w:val="24"/>
              </w:rPr>
              <w:t xml:space="preserve">iustizia </w:t>
            </w:r>
            <w:r w:rsidR="00F00954">
              <w:rPr>
                <w:rFonts w:ascii="Palatino Linotype" w:hAnsi="Palatino Linotype" w:cs="Calibri"/>
                <w:bCs/>
                <w:sz w:val="24"/>
                <w:szCs w:val="24"/>
              </w:rPr>
              <w:t xml:space="preserve">UE </w:t>
            </w:r>
            <w:r>
              <w:rPr>
                <w:rFonts w:ascii="Palatino Linotype" w:hAnsi="Palatino Linotype" w:cs="Calibri"/>
                <w:bCs/>
                <w:sz w:val="24"/>
                <w:szCs w:val="24"/>
              </w:rPr>
              <w:t>fornisce talune precisazioni sulla ampiezza della valutazione di incidenza</w:t>
            </w:r>
            <w:r w:rsidR="00990134">
              <w:rPr>
                <w:rFonts w:ascii="Palatino Linotype" w:hAnsi="Palatino Linotype" w:cs="Calibri"/>
                <w:bCs/>
                <w:sz w:val="24"/>
                <w:szCs w:val="24"/>
              </w:rPr>
              <w:t xml:space="preserve"> in relazione ai siti ed alle specie protette</w:t>
            </w:r>
            <w:r>
              <w:rPr>
                <w:rFonts w:ascii="Palatino Linotype" w:hAnsi="Palatino Linotype" w:cs="Calibri"/>
                <w:bCs/>
                <w:sz w:val="24"/>
                <w:szCs w:val="24"/>
              </w:rPr>
              <w:t xml:space="preserve"> e precisa le condizioni che consentono di lasciare il committente libero di determinare</w:t>
            </w:r>
            <w:r w:rsidRPr="00884655">
              <w:rPr>
                <w:rFonts w:ascii="Palatino Linotype" w:hAnsi="Palatino Linotype" w:cs="Calibri"/>
                <w:bCs/>
                <w:sz w:val="24"/>
                <w:szCs w:val="24"/>
              </w:rPr>
              <w:t xml:space="preserve"> successivamente taluni parametri relativi alla fase di costruzione</w:t>
            </w:r>
            <w:r>
              <w:rPr>
                <w:rFonts w:ascii="Palatino Linotype" w:hAnsi="Palatino Linotype" w:cs="Calibri"/>
                <w:bCs/>
                <w:sz w:val="24"/>
                <w:szCs w:val="24"/>
              </w:rPr>
              <w:t xml:space="preserve"> nonché la portata dell’obbligo di motivazione in presenza di risultanze istruttorie critiche.</w:t>
            </w:r>
            <w:r w:rsidR="004A548C">
              <w:rPr>
                <w:rFonts w:ascii="Palatino Linotype" w:hAnsi="Palatino Linotype" w:cs="Calibri"/>
                <w:bCs/>
                <w:sz w:val="24"/>
                <w:szCs w:val="24"/>
              </w:rPr>
              <w:t xml:space="preserve"> Chiarisce altresì, in materia di direttiva VIA, la portata dell’obbligo del committente di </w:t>
            </w:r>
            <w:r w:rsidR="004A548C" w:rsidRPr="004A548C">
              <w:rPr>
                <w:rFonts w:ascii="Palatino Linotype" w:hAnsi="Palatino Linotype" w:cs="Calibri"/>
                <w:bCs/>
                <w:sz w:val="24"/>
                <w:szCs w:val="24"/>
              </w:rPr>
              <w:t>fornire informazioni relative all’impatto ambientale tanto della soluzione prescelta quanto di ciascuna delle principali alternative da lui prese in esame, nonché le ragioni della sua scelta, sotto il profilo, perlomeno, del loro impatto sull’ambiente</w:t>
            </w:r>
            <w:r w:rsidR="004A548C">
              <w:rPr>
                <w:rFonts w:ascii="Palatino Linotype" w:hAnsi="Palatino Linotype" w:cs="Calibri"/>
                <w:bCs/>
                <w:sz w:val="24"/>
                <w:szCs w:val="24"/>
              </w:rPr>
              <w:t>.</w:t>
            </w:r>
          </w:p>
          <w:p w:rsidR="00884655" w:rsidRDefault="00884655" w:rsidP="001E2D52">
            <w:pPr>
              <w:spacing w:after="0" w:line="240" w:lineRule="auto"/>
              <w:jc w:val="both"/>
              <w:rPr>
                <w:rFonts w:ascii="Palatino Linotype" w:hAnsi="Palatino Linotype" w:cs="Calibri"/>
                <w:bCs/>
                <w:sz w:val="24"/>
                <w:szCs w:val="24"/>
              </w:rPr>
            </w:pPr>
          </w:p>
          <w:p w:rsidR="00884655" w:rsidRDefault="00E424A6" w:rsidP="00884655">
            <w:pPr>
              <w:pStyle w:val="c02alineaalta"/>
              <w:shd w:val="clear" w:color="auto" w:fill="FFFFFF"/>
              <w:spacing w:before="0" w:beforeAutospacing="0" w:after="0" w:afterAutospacing="0"/>
              <w:jc w:val="both"/>
              <w:rPr>
                <w:rStyle w:val="Collegamentoipertestuale"/>
                <w:rFonts w:ascii="Palatino Linotype" w:hAnsi="Palatino Linotype" w:cs="Calibri"/>
                <w:bCs/>
              </w:rPr>
            </w:pPr>
            <w:hyperlink r:id="rId9" w:history="1">
              <w:r w:rsidR="00884655" w:rsidRPr="00D17C50">
                <w:rPr>
                  <w:rStyle w:val="Collegamentoipertestuale"/>
                  <w:rFonts w:ascii="Palatino Linotype" w:hAnsi="Palatino Linotype" w:cs="Calibri"/>
                  <w:bCs/>
                </w:rPr>
                <w:t xml:space="preserve">Corte di giustizia dell’Unione Europea, sezione II, sentenza 7 novembre 2018, C- 461/17 – </w:t>
              </w:r>
              <w:r w:rsidR="00884655" w:rsidRPr="00802629">
                <w:rPr>
                  <w:rStyle w:val="Collegamentoipertestuale"/>
                  <w:rFonts w:ascii="Palatino Linotype" w:hAnsi="Palatino Linotype" w:cs="Calibri"/>
                  <w:bCs/>
                  <w:i/>
                </w:rPr>
                <w:t xml:space="preserve">Brian </w:t>
              </w:r>
              <w:proofErr w:type="spellStart"/>
              <w:r w:rsidR="00884655" w:rsidRPr="00802629">
                <w:rPr>
                  <w:rStyle w:val="Collegamentoipertestuale"/>
                  <w:rFonts w:ascii="Palatino Linotype" w:hAnsi="Palatino Linotype" w:cs="Calibri"/>
                  <w:bCs/>
                  <w:i/>
                </w:rPr>
                <w:t>Holohan</w:t>
              </w:r>
              <w:proofErr w:type="spellEnd"/>
            </w:hyperlink>
          </w:p>
          <w:p w:rsidR="00884655" w:rsidRDefault="00884655" w:rsidP="00884655">
            <w:pPr>
              <w:pStyle w:val="c02alineaalta"/>
              <w:shd w:val="clear" w:color="auto" w:fill="FFFFFF"/>
              <w:spacing w:before="0" w:beforeAutospacing="0" w:after="0" w:afterAutospacing="0"/>
              <w:jc w:val="both"/>
              <w:rPr>
                <w:rStyle w:val="Collegamentoipertestuale"/>
                <w:rFonts w:ascii="Palatino Linotype" w:hAnsi="Palatino Linotype" w:cs="Calibri"/>
                <w:bCs/>
              </w:rPr>
            </w:pPr>
          </w:p>
          <w:p w:rsidR="00884655" w:rsidRDefault="0069320C"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La Corte</w:t>
            </w:r>
            <w:r w:rsidR="00884655" w:rsidRPr="00183DB5">
              <w:rPr>
                <w:rFonts w:ascii="Palatino Linotype" w:eastAsiaTheme="minorHAnsi" w:hAnsi="Palatino Linotype" w:cs="Calibri"/>
                <w:bCs/>
                <w:lang w:eastAsia="en-US"/>
              </w:rPr>
              <w:t xml:space="preserve"> dichiara:</w:t>
            </w:r>
          </w:p>
          <w:p w:rsidR="00D954BC" w:rsidRPr="00183DB5" w:rsidRDefault="00D954BC"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p>
          <w:p w:rsidR="00884655" w:rsidRPr="002C11D9"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 xml:space="preserve">1) </w:t>
            </w:r>
            <w:r w:rsidRPr="002C11D9">
              <w:rPr>
                <w:rFonts w:ascii="Palatino Linotype" w:eastAsiaTheme="minorHAnsi" w:hAnsi="Palatino Linotype" w:cs="Calibri"/>
                <w:bCs/>
                <w:lang w:eastAsia="en-US"/>
              </w:rPr>
              <w:t xml:space="preserve">L’articolo 6, paragrafo 3, della direttiva 92/43/CEE del Consiglio, del 21 maggio 1992, relativa alla conservazione degli habitat naturali e </w:t>
            </w:r>
            <w:proofErr w:type="spellStart"/>
            <w:r w:rsidRPr="002C11D9">
              <w:rPr>
                <w:rFonts w:ascii="Palatino Linotype" w:eastAsiaTheme="minorHAnsi" w:hAnsi="Palatino Linotype" w:cs="Calibri"/>
                <w:bCs/>
                <w:lang w:eastAsia="en-US"/>
              </w:rPr>
              <w:t>seminaturali</w:t>
            </w:r>
            <w:proofErr w:type="spellEnd"/>
            <w:r w:rsidRPr="002C11D9">
              <w:rPr>
                <w:rFonts w:ascii="Palatino Linotype" w:eastAsiaTheme="minorHAnsi" w:hAnsi="Palatino Linotype" w:cs="Calibri"/>
                <w:bCs/>
                <w:lang w:eastAsia="en-US"/>
              </w:rPr>
              <w:t xml:space="preserve"> e della flora e della fauna selvatiche, deve essere interpretato nel senso che un’«opportuna valutazione» deve, da un lato, censire la totalità dei tipi di habitat e delle specie per i quali un sito è protetto, nonché, dall’altro, individuare ed esaminare tanto l’impatto del progetto proposto sulle specie presenti su detto sito, e per le quali quest’ultimo non è stato registrato, quanto quello sui tipi di habitat e le specie situati al di fuori dei confini del suddetto sito, laddove tale impatto possa pregiudicare gli obiettivi di conservazione del sito.</w:t>
            </w:r>
          </w:p>
          <w:p w:rsidR="00884655" w:rsidRPr="002C11D9"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2) </w:t>
            </w:r>
            <w:r w:rsidRPr="002C11D9">
              <w:rPr>
                <w:rFonts w:ascii="Palatino Linotype" w:eastAsiaTheme="minorHAnsi" w:hAnsi="Palatino Linotype" w:cs="Calibri"/>
                <w:bCs/>
                <w:lang w:eastAsia="en-US"/>
              </w:rPr>
              <w:t xml:space="preserve">L’articolo 6, paragrafo 3, della direttiva 92/43 deve essere interpretato nel senso che esso consente all’autorità competente di autorizzare un piano o un progetto che lascia il committente libero di determinare successivamente taluni parametri relativi alla fase di costruzione, quali l’ubicazione dei cantieri e le vie di trasporto, solo se è certo che l’autorizzazione stabilisce condizioni sufficientemente rigorose che garantiscano che tali parametri non pregiudicheranno l’integrità del sito. </w:t>
            </w:r>
          </w:p>
          <w:p w:rsidR="00884655" w:rsidRPr="002C11D9"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3) </w:t>
            </w:r>
            <w:r w:rsidRPr="002C11D9">
              <w:rPr>
                <w:rFonts w:ascii="Palatino Linotype" w:eastAsiaTheme="minorHAnsi" w:hAnsi="Palatino Linotype" w:cs="Calibri"/>
                <w:bCs/>
                <w:lang w:eastAsia="en-US"/>
              </w:rPr>
              <w:t>L’articolo 6, paragrafo 3, della direttiva 92/43 deve essere interpretato nel senso che, quando l’autorità competente respinge le conclusioni di una perizia scientifica che raccomanda l’acquisizione di informazioni supplementari, l</w:t>
            </w:r>
            <w:proofErr w:type="gramStart"/>
            <w:r w:rsidRPr="002C11D9">
              <w:rPr>
                <w:rFonts w:ascii="Palatino Linotype" w:eastAsiaTheme="minorHAnsi" w:hAnsi="Palatino Linotype" w:cs="Calibri"/>
                <w:bCs/>
                <w:lang w:eastAsia="en-US"/>
              </w:rPr>
              <w:t>’«</w:t>
            </w:r>
            <w:proofErr w:type="gramEnd"/>
            <w:r w:rsidRPr="002C11D9">
              <w:rPr>
                <w:rFonts w:ascii="Palatino Linotype" w:eastAsiaTheme="minorHAnsi" w:hAnsi="Palatino Linotype" w:cs="Calibri"/>
                <w:bCs/>
                <w:lang w:eastAsia="en-US"/>
              </w:rPr>
              <w:t xml:space="preserve">opportuna valutazione» deve contenere una motivazione esplicita e dettagliata, atta a dissipare ogni ragionevole dubbio scientifico in ordine agli effetti dei lavori previsti sul sito interessato. </w:t>
            </w:r>
          </w:p>
          <w:p w:rsidR="00884655" w:rsidRPr="002C11D9"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4) </w:t>
            </w:r>
            <w:r w:rsidRPr="002C11D9">
              <w:rPr>
                <w:rFonts w:ascii="Palatino Linotype" w:eastAsiaTheme="minorHAnsi" w:hAnsi="Palatino Linotype" w:cs="Calibri"/>
                <w:bCs/>
                <w:lang w:eastAsia="en-US"/>
              </w:rPr>
              <w:t xml:space="preserve">L’articolo 5, paragrafi 1 e 3, nonché l’allegato IV della direttiva 2011/92/UE del Parlamento europeo e del Consiglio, del 13 dicembre 2011, concernente la valutazione dell’impatto ambientale di determinati progetti pubblici e privati devono essere </w:t>
            </w:r>
            <w:r w:rsidRPr="002C11D9">
              <w:rPr>
                <w:rFonts w:ascii="Palatino Linotype" w:eastAsiaTheme="minorHAnsi" w:hAnsi="Palatino Linotype" w:cs="Calibri"/>
                <w:bCs/>
                <w:lang w:eastAsia="en-US"/>
              </w:rPr>
              <w:lastRenderedPageBreak/>
              <w:t xml:space="preserve">interpretati nel senso che impongono al committente di fornire informazioni che esaminino esplicitamente l’impatto significativo del suo progetto su tutte le specie individuate nella dichiarazione fornita in applicazione di tali disposizioni. </w:t>
            </w:r>
          </w:p>
          <w:p w:rsidR="00884655" w:rsidRPr="002C11D9"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5) </w:t>
            </w:r>
            <w:r w:rsidRPr="002C11D9">
              <w:rPr>
                <w:rFonts w:ascii="Palatino Linotype" w:eastAsiaTheme="minorHAnsi" w:hAnsi="Palatino Linotype" w:cs="Calibri"/>
                <w:bCs/>
                <w:lang w:eastAsia="en-US"/>
              </w:rPr>
              <w:t xml:space="preserve">L’articolo 5, paragrafo 3, lettera d), della direttiva 2011/92 deve essere interpretato nel senso che il committente deve fornire informazioni relative all’impatto ambientale tanto della soluzione prescelta quanto di ciascuna delle principali alternative da lui prese in esame, nonché le ragioni della sua scelta, sotto il profilo, perlomeno, del loro impatto sull’ambiente, anche in caso di rigetto, in una fase iniziale, di tale alternativa. </w:t>
            </w:r>
          </w:p>
          <w:p w:rsidR="004D218E" w:rsidRDefault="00884655" w:rsidP="004D218E">
            <w:pPr>
              <w:spacing w:before="240" w:after="0" w:line="240" w:lineRule="auto"/>
              <w:jc w:val="center"/>
              <w:outlineLvl w:val="0"/>
              <w:rPr>
                <w:rFonts w:ascii="Palatino Linotype" w:eastAsia="Times New Roman" w:hAnsi="Palatino Linotype" w:cs="Times New Roman"/>
                <w:color w:val="2E74B5"/>
                <w:kern w:val="36"/>
                <w:sz w:val="32"/>
                <w:szCs w:val="32"/>
              </w:rPr>
            </w:pPr>
            <w:r>
              <w:rPr>
                <w:rFonts w:ascii="Palatino Linotype" w:eastAsia="Times New Roman" w:hAnsi="Palatino Linotype" w:cs="Times New Roman"/>
                <w:color w:val="2E74B5"/>
                <w:kern w:val="36"/>
                <w:sz w:val="32"/>
                <w:szCs w:val="32"/>
              </w:rPr>
              <w:t>(</w:t>
            </w:r>
            <w:r w:rsidR="004D218E">
              <w:rPr>
                <w:rFonts w:ascii="Palatino Linotype" w:eastAsia="Times New Roman" w:hAnsi="Palatino Linotype" w:cs="Times New Roman"/>
                <w:color w:val="2E74B5"/>
                <w:kern w:val="36"/>
                <w:sz w:val="32"/>
                <w:szCs w:val="32"/>
              </w:rPr>
              <w:t>3)</w:t>
            </w:r>
          </w:p>
          <w:p w:rsidR="004D218E" w:rsidRDefault="004D218E" w:rsidP="00884655">
            <w:pPr>
              <w:spacing w:after="0" w:line="240" w:lineRule="auto"/>
              <w:jc w:val="both"/>
              <w:rPr>
                <w:rFonts w:ascii="Palatino Linotype" w:hAnsi="Palatino Linotype" w:cs="Calibri"/>
                <w:bCs/>
                <w:sz w:val="24"/>
                <w:szCs w:val="24"/>
              </w:rPr>
            </w:pPr>
          </w:p>
          <w:p w:rsidR="00884655" w:rsidRDefault="00884655" w:rsidP="00884655">
            <w:pPr>
              <w:spacing w:after="0" w:line="240" w:lineRule="auto"/>
              <w:jc w:val="both"/>
              <w:rPr>
                <w:rFonts w:ascii="Palatino Linotype" w:hAnsi="Palatino Linotype" w:cs="Calibri"/>
                <w:bCs/>
                <w:sz w:val="24"/>
                <w:szCs w:val="24"/>
              </w:rPr>
            </w:pPr>
            <w:r>
              <w:rPr>
                <w:rFonts w:ascii="Palatino Linotype" w:hAnsi="Palatino Linotype" w:cs="Calibri"/>
                <w:bCs/>
                <w:sz w:val="24"/>
                <w:szCs w:val="24"/>
              </w:rPr>
              <w:t xml:space="preserve">La Corte di </w:t>
            </w:r>
            <w:r w:rsidR="00466FA7">
              <w:rPr>
                <w:rFonts w:ascii="Palatino Linotype" w:hAnsi="Palatino Linotype" w:cs="Calibri"/>
                <w:bCs/>
                <w:sz w:val="24"/>
                <w:szCs w:val="24"/>
              </w:rPr>
              <w:t xml:space="preserve">giustizia </w:t>
            </w:r>
            <w:r w:rsidR="00F00954">
              <w:rPr>
                <w:rFonts w:ascii="Palatino Linotype" w:hAnsi="Palatino Linotype" w:cs="Calibri"/>
                <w:bCs/>
                <w:sz w:val="24"/>
                <w:szCs w:val="24"/>
              </w:rPr>
              <w:t xml:space="preserve">UE </w:t>
            </w:r>
            <w:r w:rsidR="00466FA7">
              <w:rPr>
                <w:rFonts w:ascii="Palatino Linotype" w:hAnsi="Palatino Linotype" w:cs="Calibri"/>
                <w:bCs/>
                <w:sz w:val="24"/>
                <w:szCs w:val="24"/>
              </w:rPr>
              <w:t xml:space="preserve">fornisce importanti precisazioni sulla nozione di “progetto” </w:t>
            </w:r>
            <w:r w:rsidR="00D954BC">
              <w:rPr>
                <w:rFonts w:ascii="Palatino Linotype" w:hAnsi="Palatino Linotype" w:cs="Calibri"/>
                <w:bCs/>
                <w:sz w:val="24"/>
                <w:szCs w:val="24"/>
              </w:rPr>
              <w:t xml:space="preserve">(nella specie attività agricole che causano depositi di azoto in zone protette) </w:t>
            </w:r>
            <w:r w:rsidR="00466FA7">
              <w:rPr>
                <w:rFonts w:ascii="Palatino Linotype" w:hAnsi="Palatino Linotype" w:cs="Calibri"/>
                <w:bCs/>
                <w:sz w:val="24"/>
                <w:szCs w:val="24"/>
              </w:rPr>
              <w:t xml:space="preserve">sottoponibile a valutazione di </w:t>
            </w:r>
            <w:r w:rsidR="00D954BC">
              <w:rPr>
                <w:rFonts w:ascii="Palatino Linotype" w:hAnsi="Palatino Linotype" w:cs="Calibri"/>
                <w:bCs/>
                <w:sz w:val="24"/>
                <w:szCs w:val="24"/>
              </w:rPr>
              <w:t>incidenza e chiarisce</w:t>
            </w:r>
            <w:r w:rsidR="00466FA7">
              <w:rPr>
                <w:rFonts w:ascii="Palatino Linotype" w:hAnsi="Palatino Linotype" w:cs="Calibri"/>
                <w:bCs/>
                <w:sz w:val="24"/>
                <w:szCs w:val="24"/>
              </w:rPr>
              <w:t xml:space="preserve"> che può essere assoggettato a VINCA anche un progetto già autorizzato prima della entrata in vigore della direttiva habitat.</w:t>
            </w:r>
          </w:p>
          <w:p w:rsidR="00884655" w:rsidRDefault="00884655" w:rsidP="00884655">
            <w:pPr>
              <w:spacing w:after="0" w:line="240" w:lineRule="auto"/>
              <w:jc w:val="both"/>
              <w:rPr>
                <w:rFonts w:ascii="Palatino Linotype" w:hAnsi="Palatino Linotype" w:cs="Calibri"/>
                <w:bCs/>
                <w:sz w:val="24"/>
                <w:szCs w:val="24"/>
              </w:rPr>
            </w:pPr>
          </w:p>
          <w:p w:rsidR="00884655" w:rsidRDefault="00E424A6" w:rsidP="00884655">
            <w:pPr>
              <w:pStyle w:val="c02alineaalta"/>
              <w:shd w:val="clear" w:color="auto" w:fill="FFFFFF"/>
              <w:spacing w:before="0" w:beforeAutospacing="0" w:after="0" w:afterAutospacing="0"/>
              <w:jc w:val="both"/>
              <w:rPr>
                <w:rStyle w:val="Collegamentoipertestuale"/>
                <w:rFonts w:ascii="Palatino Linotype" w:hAnsi="Palatino Linotype" w:cs="Calibri"/>
                <w:bCs/>
              </w:rPr>
            </w:pPr>
            <w:hyperlink r:id="rId10" w:history="1">
              <w:r w:rsidR="00884655" w:rsidRPr="00D87CF5">
                <w:rPr>
                  <w:rStyle w:val="Collegamentoipertestuale"/>
                  <w:rFonts w:ascii="Palatino Linotype" w:hAnsi="Palatino Linotype" w:cs="Calibri"/>
                  <w:bCs/>
                </w:rPr>
                <w:t xml:space="preserve">Corte di giustizia dell’Unione Europea, sezione II, sentenza 7 novembre 2018, C - 293/17 e C – 294/17 – </w:t>
              </w:r>
              <w:proofErr w:type="spellStart"/>
              <w:r w:rsidR="00884655" w:rsidRPr="00990134">
                <w:rPr>
                  <w:rStyle w:val="Collegamentoipertestuale"/>
                  <w:rFonts w:ascii="Palatino Linotype" w:hAnsi="Palatino Linotype" w:cs="Calibri"/>
                  <w:i/>
                </w:rPr>
                <w:t>Coöperatie</w:t>
              </w:r>
              <w:proofErr w:type="spellEnd"/>
              <w:r w:rsidR="00884655" w:rsidRPr="00990134">
                <w:rPr>
                  <w:rStyle w:val="Collegamentoipertestuale"/>
                  <w:rFonts w:ascii="Palatino Linotype" w:hAnsi="Palatino Linotype" w:cs="Calibri"/>
                  <w:i/>
                </w:rPr>
                <w:t xml:space="preserve"> </w:t>
              </w:r>
              <w:proofErr w:type="spellStart"/>
              <w:r w:rsidR="00884655" w:rsidRPr="00990134">
                <w:rPr>
                  <w:rStyle w:val="Collegamentoipertestuale"/>
                  <w:rFonts w:ascii="Palatino Linotype" w:hAnsi="Palatino Linotype" w:cs="Calibri"/>
                  <w:i/>
                </w:rPr>
                <w:t>Mobilisation</w:t>
              </w:r>
              <w:proofErr w:type="spellEnd"/>
              <w:r w:rsidR="00884655" w:rsidRPr="00990134">
                <w:rPr>
                  <w:rStyle w:val="Collegamentoipertestuale"/>
                  <w:rFonts w:ascii="Palatino Linotype" w:hAnsi="Palatino Linotype" w:cs="Calibri"/>
                  <w:i/>
                </w:rPr>
                <w:t xml:space="preserve"> for the Environment UA</w:t>
              </w:r>
            </w:hyperlink>
          </w:p>
          <w:p w:rsidR="00884655" w:rsidRDefault="00884655" w:rsidP="00884655">
            <w:pPr>
              <w:pStyle w:val="c02alineaalta"/>
              <w:shd w:val="clear" w:color="auto" w:fill="FFFFFF"/>
              <w:spacing w:before="0" w:beforeAutospacing="0" w:after="0" w:afterAutospacing="0"/>
              <w:jc w:val="both"/>
              <w:rPr>
                <w:rStyle w:val="Collegamentoipertestuale"/>
                <w:rFonts w:ascii="Palatino Linotype" w:hAnsi="Palatino Linotype" w:cs="Calibri"/>
                <w:bCs/>
              </w:rPr>
            </w:pPr>
          </w:p>
          <w:p w:rsidR="00884655" w:rsidRDefault="0069320C"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La Corte</w:t>
            </w:r>
            <w:r w:rsidR="00884655" w:rsidRPr="00183DB5">
              <w:rPr>
                <w:rFonts w:ascii="Palatino Linotype" w:eastAsiaTheme="minorHAnsi" w:hAnsi="Palatino Linotype" w:cs="Calibri"/>
                <w:bCs/>
                <w:lang w:eastAsia="en-US"/>
              </w:rPr>
              <w:t xml:space="preserve"> dichiara:</w:t>
            </w:r>
          </w:p>
          <w:p w:rsidR="00D954BC" w:rsidRPr="00183DB5" w:rsidRDefault="00D954BC"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p>
          <w:p w:rsidR="00884655" w:rsidRPr="008A3650"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t>1</w:t>
            </w:r>
            <w:r>
              <w:rPr>
                <w:rFonts w:ascii="Palatino Linotype" w:eastAsiaTheme="minorHAnsi" w:hAnsi="Palatino Linotype" w:cs="Calibri"/>
                <w:bCs/>
                <w:lang w:eastAsia="en-US"/>
              </w:rPr>
              <w:t>) </w:t>
            </w:r>
            <w:r w:rsidRPr="008A3650">
              <w:rPr>
                <w:rFonts w:ascii="Palatino Linotype" w:eastAsiaTheme="minorHAnsi" w:hAnsi="Palatino Linotype" w:cs="Calibri"/>
                <w:bCs/>
                <w:lang w:eastAsia="en-US"/>
              </w:rPr>
              <w:t xml:space="preserve">L’articolo 6, paragrafo 3, della direttiva 92/43/CEE del Consiglio, del 21 maggio 1992, relativa alla conservazione degli habitat naturali e </w:t>
            </w:r>
            <w:proofErr w:type="spellStart"/>
            <w:r w:rsidRPr="008A3650">
              <w:rPr>
                <w:rFonts w:ascii="Palatino Linotype" w:eastAsiaTheme="minorHAnsi" w:hAnsi="Palatino Linotype" w:cs="Calibri"/>
                <w:bCs/>
                <w:lang w:eastAsia="en-US"/>
              </w:rPr>
              <w:t>seminaturali</w:t>
            </w:r>
            <w:proofErr w:type="spellEnd"/>
            <w:r w:rsidRPr="008A3650">
              <w:rPr>
                <w:rFonts w:ascii="Palatino Linotype" w:eastAsiaTheme="minorHAnsi" w:hAnsi="Palatino Linotype" w:cs="Calibri"/>
                <w:bCs/>
                <w:lang w:eastAsia="en-US"/>
              </w:rPr>
              <w:t xml:space="preserve"> e della flora e della fauna selvatiche, deve essere interpretato nel senso che le attività di pascolo del bestiame e di applicazione di fertilizzanti al terreno in prossimità di zone Natura 2000 possono essere qualificate come «progetto», ai sensi di tale disposizione, anche nell’ipotesi in cui tali attività, nei limiti in cui non rappresentano un intervento fisico sull’ambiente naturale, non costituiscano un «progetto», ai sensi dell’articolo 1, paragrafo 2, lettera a), della direttiva 2011/92/UE del Parlamento europeo e del Consiglio, del 13 dicembre 2011, concernente la valutazione dell’impatto ambientale di determinati progetti pubblici e privati.</w:t>
            </w:r>
          </w:p>
          <w:p w:rsidR="00884655" w:rsidRPr="008A3650"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2) </w:t>
            </w:r>
            <w:r w:rsidRPr="008A3650">
              <w:rPr>
                <w:rFonts w:ascii="Palatino Linotype" w:eastAsiaTheme="minorHAnsi" w:hAnsi="Palatino Linotype" w:cs="Calibri"/>
                <w:bCs/>
                <w:lang w:eastAsia="en-US"/>
              </w:rPr>
              <w:t>L’articolo 6, paragrafo 3, della direttiva 92/43 deve essere interpretato nel senso che un’attività periodica, come l’applicazione di fertilizzanti al terreno, autorizzata in virtù del diritto nazionale prima dell’entrata in vigore di tale direttiva, può essere considerata un unico e solo progetto, ai sensi della suddetta disposizione, esente da una nuova procedura di autorizzazione, purché essa costituisca un’operazione unica, caratterizzata da un obiettivo comune, una continuità e un’identità, segnatamente per quanto riguarda i luoghi e le condizioni di esecuzione. Qualora un progetto unico sia stato autorizzato prima che il regime di tutela previsto da tale disposizione sia divenuto applicabile al sito in questione, l’esecuzione di detto progetto può ciononostante rientrare nell’ambito di applicazione dell’articolo 6, paragrafo 2, di tale direttiva.</w:t>
            </w:r>
          </w:p>
          <w:p w:rsidR="00884655" w:rsidRPr="008A3650"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3) </w:t>
            </w:r>
            <w:r w:rsidRPr="008A3650">
              <w:rPr>
                <w:rFonts w:ascii="Palatino Linotype" w:eastAsiaTheme="minorHAnsi" w:hAnsi="Palatino Linotype" w:cs="Calibri"/>
                <w:bCs/>
                <w:lang w:eastAsia="en-US"/>
              </w:rPr>
              <w:t xml:space="preserve">L’articolo 6, paragrafo 3, della direttiva 92/43 deve essere interpretato nel senso che esso non osta a una normativa programmatica nazionale che consente alle autorità competenti </w:t>
            </w:r>
            <w:r w:rsidRPr="008A3650">
              <w:rPr>
                <w:rFonts w:ascii="Palatino Linotype" w:eastAsiaTheme="minorHAnsi" w:hAnsi="Palatino Linotype" w:cs="Calibri"/>
                <w:bCs/>
                <w:lang w:eastAsia="en-US"/>
              </w:rPr>
              <w:lastRenderedPageBreak/>
              <w:t>di autorizzare progetti basandosi su «un’opportuna valutazione», ai sensi di tale disposizione, effettuata a monte e nella quale un determinato quantitativo globale di depositi di azoto è stato ritenuto compatibile con gli obiettivi di tutela della suddetta normativa. Tuttavia, ciò vale soltanto nei limiti in cui un esame approfondito e completo della validità scientifica di tale valutazione permetta di sincerarsi che non sussista alcun ragionevole dubbio dal punto di vista scientifico in ordine all’assenza di effetti pregiudizievoli di ciascun piano o progetto per l’integrità del sito considerato, circostanza che spetta al giudice nazionale verificare.</w:t>
            </w:r>
          </w:p>
          <w:p w:rsidR="00884655" w:rsidRPr="008A3650"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4) </w:t>
            </w:r>
            <w:r w:rsidRPr="008A3650">
              <w:rPr>
                <w:rFonts w:ascii="Palatino Linotype" w:eastAsiaTheme="minorHAnsi" w:hAnsi="Palatino Linotype" w:cs="Calibri"/>
                <w:bCs/>
                <w:lang w:eastAsia="en-US"/>
              </w:rPr>
              <w:t>L’articolo 6, paragrafo 3, della direttiva 92/43 deve essere interpretato nel senso che esso non osta a una normativa programmatica nazionale, come quella di cui trattasi nel procedimento principale, che esenta taluni progetti che, in termini di depositi di azoto, non raggiungono una determinata soglia o non superano un determinato limite massimo, dalla necessità di ottenere un’autorizzazione individuale, qualora il giudice nazionale abbia la certezza che l’«opportuna valutazione», ai sensi di tale disposizione, effettuata a monte, soddisfa il criterio dell’insussistenza di dubbi scientifici ragionevoli in merito all’assenza di effetti pregiudizievoli di tali piani o progetti per l’integrità dei siti interessati.</w:t>
            </w:r>
          </w:p>
          <w:p w:rsidR="00884655" w:rsidRPr="008A3650"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5) </w:t>
            </w:r>
            <w:r w:rsidRPr="008A3650">
              <w:rPr>
                <w:rFonts w:ascii="Palatino Linotype" w:eastAsiaTheme="minorHAnsi" w:hAnsi="Palatino Linotype" w:cs="Calibri"/>
                <w:bCs/>
                <w:lang w:eastAsia="en-US"/>
              </w:rPr>
              <w:t>L’articolo 6, paragrafo 3, della direttiva 92/43 deve essere interpretato nel senso che esso osta a una normativa programmatica nazionale, come quella di cui trattasi nel procedimento principale, che consente che una determinata categoria di progetti, nel caso di specie l’applicazione di fertilizzanti al terreno e il pascolo del bestiame, venga attuata senza essere soggetta a un obbligo di autorizzazione e, pertanto, a un’opportuna valutazione individuale delle sue incidenze sui siti considerati, a meno che circostanze oggettive non consentano di escludere con certezza qualsiasi possibilità che detti progetti, individualmente o in combinazione con altri progetti, possano incidere su tali siti in maniera significativa, circostanza che spetta al giudice del rinvio verificare.</w:t>
            </w:r>
          </w:p>
          <w:p w:rsidR="00884655" w:rsidRPr="008A3650" w:rsidRDefault="00884655" w:rsidP="00884655">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6) </w:t>
            </w:r>
            <w:r w:rsidRPr="008A3650">
              <w:rPr>
                <w:rFonts w:ascii="Palatino Linotype" w:eastAsiaTheme="minorHAnsi" w:hAnsi="Palatino Linotype" w:cs="Calibri"/>
                <w:bCs/>
                <w:lang w:eastAsia="en-US"/>
              </w:rPr>
              <w:t>L’articolo 6, paragrafo 3, della direttiva 92/43 deve essere interpretato nel senso che un’«opportuna valutazione», ai sensi di tale disposizione, non può prendere in considerazione l’esistenza di «misure di conservazione», ai sensi del paragrafo 1 di tale articolo, di «misure di prevenzione», ai sensi del paragrafo 2 di detto articolo, di misure specificamente adottate per un programma come quello di cui trattasi nel procedimento principale o ancora delle misure dette «autonome», in quanto tali misure sono esterne a detto programma, qualora i benefici previsti da tali misure non siano certi al momento di detta valutazione.</w:t>
            </w:r>
          </w:p>
          <w:p w:rsidR="00183DB5" w:rsidRPr="00E15272" w:rsidRDefault="00884655" w:rsidP="00E15272">
            <w:pPr>
              <w:pStyle w:val="c02alineaalta"/>
              <w:shd w:val="clear" w:color="auto" w:fill="FFFFFF"/>
              <w:spacing w:before="0" w:beforeAutospacing="0" w:after="0" w:afterAutospacing="0"/>
              <w:jc w:val="both"/>
              <w:rPr>
                <w:rFonts w:ascii="Palatino Linotype" w:eastAsiaTheme="minorHAnsi" w:hAnsi="Palatino Linotype" w:cs="Calibri"/>
                <w:bCs/>
                <w:lang w:eastAsia="en-US"/>
              </w:rPr>
            </w:pPr>
            <w:r>
              <w:rPr>
                <w:rFonts w:ascii="Palatino Linotype" w:eastAsiaTheme="minorHAnsi" w:hAnsi="Palatino Linotype" w:cs="Calibri"/>
                <w:bCs/>
                <w:lang w:eastAsia="en-US"/>
              </w:rPr>
              <w:t>7) </w:t>
            </w:r>
            <w:r w:rsidRPr="008A3650">
              <w:rPr>
                <w:rFonts w:ascii="Palatino Linotype" w:eastAsiaTheme="minorHAnsi" w:hAnsi="Palatino Linotype" w:cs="Calibri"/>
                <w:bCs/>
                <w:lang w:eastAsia="en-US"/>
              </w:rPr>
              <w:t>L’articolo 6, paragrafo 2, della direttiva 92/43 deve essere interpretato nel senso che le misure istituite da una normativa nazionale, come quella di cui trattasi nel procedimento principale, che prevedono modalità di monitoraggio e di controllo di aziende agricole le cui attività generano depositi di azoto, nonché la possibilità di infliggere sanzioni che possono comportare finanche la chiusura di dette aziende, sono sufficienti per il rispetto di tale disposizione.</w:t>
            </w:r>
          </w:p>
        </w:tc>
      </w:tr>
      <w:tr w:rsidR="00857A73" w:rsidRPr="002D62CB" w:rsidTr="00E15272">
        <w:trPr>
          <w:trHeight w:val="68"/>
        </w:trPr>
        <w:tc>
          <w:tcPr>
            <w:tcW w:w="9628" w:type="dxa"/>
            <w:tcMar>
              <w:top w:w="0" w:type="dxa"/>
              <w:left w:w="108" w:type="dxa"/>
              <w:bottom w:w="0" w:type="dxa"/>
              <w:right w:w="108" w:type="dxa"/>
            </w:tcMar>
          </w:tcPr>
          <w:p w:rsidR="008A3650" w:rsidRPr="00341EF7" w:rsidRDefault="008A3650" w:rsidP="00884655">
            <w:pPr>
              <w:pStyle w:val="c02alineaalta"/>
              <w:shd w:val="clear" w:color="auto" w:fill="FFFFFF"/>
              <w:spacing w:before="0" w:beforeAutospacing="0" w:after="0" w:afterAutospacing="0"/>
              <w:jc w:val="both"/>
              <w:rPr>
                <w:rFonts w:ascii="Palatino Linotype" w:hAnsi="Palatino Linotype" w:cs="Calibri"/>
                <w:bCs/>
              </w:rPr>
            </w:pPr>
          </w:p>
        </w:tc>
      </w:tr>
    </w:tbl>
    <w:p w:rsidR="00C46252" w:rsidRDefault="00C46252" w:rsidP="005D3CFD">
      <w:pPr>
        <w:spacing w:after="0" w:line="240" w:lineRule="auto"/>
        <w:jc w:val="both"/>
        <w:rPr>
          <w:rFonts w:ascii="Palatino Linotype" w:eastAsia="Calibri" w:hAnsi="Palatino Linotype" w:cs="Times New Roman"/>
          <w:sz w:val="24"/>
          <w:szCs w:val="24"/>
        </w:rPr>
      </w:pPr>
    </w:p>
    <w:p w:rsidR="006B3165" w:rsidRDefault="006B3165" w:rsidP="005D3CFD">
      <w:pPr>
        <w:spacing w:after="0" w:line="240" w:lineRule="auto"/>
        <w:jc w:val="both"/>
        <w:rPr>
          <w:rFonts w:ascii="Palatino Linotype" w:eastAsia="Calibri" w:hAnsi="Palatino Linotype" w:cs="Times New Roman"/>
          <w:sz w:val="24"/>
          <w:szCs w:val="24"/>
        </w:rPr>
      </w:pPr>
    </w:p>
    <w:p w:rsidR="006B3165" w:rsidRDefault="006B3165" w:rsidP="005D3CFD">
      <w:pPr>
        <w:spacing w:after="0" w:line="240" w:lineRule="auto"/>
        <w:jc w:val="both"/>
        <w:rPr>
          <w:rFonts w:ascii="Palatino Linotype" w:eastAsia="Calibri" w:hAnsi="Palatino Linotype" w:cs="Times New Roman"/>
          <w:sz w:val="24"/>
          <w:szCs w:val="24"/>
        </w:rPr>
      </w:pPr>
    </w:p>
    <w:tbl>
      <w:tblPr>
        <w:tblW w:w="963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6"/>
      </w:tblGrid>
      <w:tr w:rsidR="006B3165" w:rsidTr="006B3165">
        <w:trPr>
          <w:trHeight w:val="818"/>
        </w:trPr>
        <w:tc>
          <w:tcPr>
            <w:tcW w:w="9636" w:type="dxa"/>
          </w:tcPr>
          <w:p w:rsidR="00DE511A" w:rsidRPr="00DE511A" w:rsidRDefault="00DE511A" w:rsidP="006B3165">
            <w:pPr>
              <w:spacing w:after="0" w:line="252" w:lineRule="auto"/>
              <w:jc w:val="center"/>
              <w:rPr>
                <w:rFonts w:ascii="Palatino Linotype" w:eastAsia="Calibri" w:hAnsi="Palatino Linotype" w:cs="Times New Roman"/>
                <w:color w:val="2E74B5"/>
                <w:sz w:val="24"/>
                <w:szCs w:val="24"/>
              </w:rPr>
            </w:pPr>
          </w:p>
          <w:p w:rsidR="006B3165" w:rsidRDefault="0069320C" w:rsidP="006B3165">
            <w:pPr>
              <w:spacing w:after="0" w:line="252" w:lineRule="auto"/>
              <w:jc w:val="center"/>
              <w:rPr>
                <w:rFonts w:ascii="Palatino Linotype" w:eastAsia="Calibri" w:hAnsi="Palatino Linotype" w:cs="Times New Roman"/>
                <w:color w:val="2E74B5"/>
                <w:sz w:val="32"/>
                <w:szCs w:val="32"/>
              </w:rPr>
            </w:pPr>
            <w:r>
              <w:rPr>
                <w:rFonts w:ascii="Palatino Linotype" w:eastAsia="Calibri" w:hAnsi="Palatino Linotype" w:cs="Times New Roman"/>
                <w:color w:val="2E74B5"/>
                <w:sz w:val="32"/>
                <w:szCs w:val="32"/>
              </w:rPr>
              <w:t>Corte di Cassazione, sezioni u</w:t>
            </w:r>
            <w:r w:rsidR="006B3165">
              <w:rPr>
                <w:rFonts w:ascii="Palatino Linotype" w:eastAsia="Calibri" w:hAnsi="Palatino Linotype" w:cs="Times New Roman"/>
                <w:color w:val="2E74B5"/>
                <w:sz w:val="32"/>
                <w:szCs w:val="32"/>
              </w:rPr>
              <w:t>nite</w:t>
            </w:r>
            <w:r>
              <w:rPr>
                <w:rFonts w:ascii="Palatino Linotype" w:eastAsia="Calibri" w:hAnsi="Palatino Linotype" w:cs="Times New Roman"/>
                <w:color w:val="2E74B5"/>
                <w:sz w:val="32"/>
                <w:szCs w:val="32"/>
              </w:rPr>
              <w:t xml:space="preserve"> civili</w:t>
            </w:r>
          </w:p>
          <w:p w:rsidR="00DE511A" w:rsidRDefault="006B3165" w:rsidP="00DE511A">
            <w:pPr>
              <w:spacing w:before="240" w:after="0" w:line="240" w:lineRule="auto"/>
              <w:jc w:val="center"/>
              <w:outlineLvl w:val="0"/>
              <w:rPr>
                <w:rFonts w:ascii="Palatino Linotype" w:eastAsia="Times New Roman" w:hAnsi="Palatino Linotype" w:cs="Times New Roman"/>
                <w:color w:val="2E74B5"/>
                <w:kern w:val="36"/>
                <w:sz w:val="32"/>
                <w:szCs w:val="32"/>
              </w:rPr>
            </w:pPr>
            <w:r>
              <w:rPr>
                <w:rFonts w:ascii="Palatino Linotype" w:eastAsia="Times New Roman" w:hAnsi="Palatino Linotype" w:cs="Times New Roman"/>
                <w:color w:val="2E74B5"/>
                <w:kern w:val="36"/>
                <w:sz w:val="32"/>
                <w:szCs w:val="32"/>
              </w:rPr>
              <w:t>(4</w:t>
            </w:r>
            <w:r w:rsidRPr="008A3650">
              <w:rPr>
                <w:rFonts w:ascii="Palatino Linotype" w:eastAsia="Times New Roman" w:hAnsi="Palatino Linotype" w:cs="Times New Roman"/>
                <w:color w:val="2E74B5"/>
                <w:kern w:val="36"/>
                <w:sz w:val="32"/>
                <w:szCs w:val="32"/>
              </w:rPr>
              <w:t>)</w:t>
            </w:r>
          </w:p>
          <w:p w:rsidR="00DE511A" w:rsidRDefault="006B3165" w:rsidP="006B3165">
            <w:pPr>
              <w:spacing w:before="240" w:after="0" w:line="240" w:lineRule="auto"/>
              <w:jc w:val="both"/>
              <w:outlineLvl w:val="0"/>
              <w:rPr>
                <w:rFonts w:ascii="Palatino Linotype" w:eastAsia="Times New Roman" w:hAnsi="Palatino Linotype" w:cs="Times New Roman"/>
                <w:color w:val="2E74B5"/>
                <w:kern w:val="36"/>
                <w:sz w:val="32"/>
                <w:szCs w:val="32"/>
              </w:rPr>
            </w:pPr>
            <w:r w:rsidRPr="00F77217">
              <w:rPr>
                <w:rFonts w:ascii="Palatino Linotype" w:hAnsi="Palatino Linotype" w:cs="Calibri"/>
                <w:bCs/>
                <w:sz w:val="24"/>
                <w:szCs w:val="24"/>
              </w:rPr>
              <w:t>Le Sezioni unite</w:t>
            </w:r>
            <w:r>
              <w:rPr>
                <w:rFonts w:ascii="Palatino Linotype" w:hAnsi="Palatino Linotype" w:cs="Calibri"/>
                <w:bCs/>
                <w:sz w:val="24"/>
                <w:szCs w:val="24"/>
              </w:rPr>
              <w:t xml:space="preserve"> confermano l’attribuzione al giudice ordinario delle controversie </w:t>
            </w:r>
            <w:r w:rsidRPr="00D61F81">
              <w:rPr>
                <w:rFonts w:ascii="Palatino Linotype" w:hAnsi="Palatino Linotype" w:cs="Calibri"/>
                <w:bCs/>
                <w:sz w:val="24"/>
                <w:szCs w:val="24"/>
              </w:rPr>
              <w:t xml:space="preserve">aventi ad oggetto </w:t>
            </w:r>
            <w:r w:rsidR="00DE511A">
              <w:rPr>
                <w:rFonts w:ascii="Palatino Linotype" w:hAnsi="Palatino Linotype" w:cs="Calibri"/>
                <w:bCs/>
                <w:sz w:val="24"/>
                <w:szCs w:val="24"/>
              </w:rPr>
              <w:t xml:space="preserve">i </w:t>
            </w:r>
            <w:r w:rsidRPr="00D61F81">
              <w:rPr>
                <w:rFonts w:ascii="Palatino Linotype" w:hAnsi="Palatino Linotype" w:cs="Calibri"/>
                <w:bCs/>
                <w:sz w:val="24"/>
                <w:szCs w:val="24"/>
              </w:rPr>
              <w:t>provvedimenti assunti da un'azienda sanitaria per</w:t>
            </w:r>
            <w:r>
              <w:rPr>
                <w:rFonts w:ascii="Palatino Linotype" w:hAnsi="Palatino Linotype" w:cs="Calibri"/>
                <w:bCs/>
                <w:sz w:val="24"/>
                <w:szCs w:val="24"/>
              </w:rPr>
              <w:t xml:space="preserve"> </w:t>
            </w:r>
            <w:r w:rsidRPr="00D61F81">
              <w:rPr>
                <w:rFonts w:ascii="Palatino Linotype" w:hAnsi="Palatino Linotype" w:cs="Calibri"/>
                <w:bCs/>
                <w:sz w:val="24"/>
                <w:szCs w:val="24"/>
              </w:rPr>
              <w:t>la copertura di posti vacanti di dirigente di struttura complessa</w:t>
            </w:r>
            <w:r>
              <w:rPr>
                <w:rFonts w:ascii="Palatino Linotype" w:hAnsi="Palatino Linotype" w:cs="Calibri"/>
                <w:bCs/>
                <w:sz w:val="24"/>
                <w:szCs w:val="24"/>
              </w:rPr>
              <w:t>.</w:t>
            </w:r>
          </w:p>
          <w:p w:rsidR="006B3165" w:rsidRPr="00DE511A" w:rsidRDefault="00E424A6" w:rsidP="006B3165">
            <w:pPr>
              <w:spacing w:before="240" w:after="0" w:line="240" w:lineRule="auto"/>
              <w:jc w:val="both"/>
              <w:outlineLvl w:val="0"/>
              <w:rPr>
                <w:rStyle w:val="Collegamentoipertestuale"/>
                <w:rFonts w:ascii="Palatino Linotype" w:eastAsia="Times New Roman" w:hAnsi="Palatino Linotype" w:cs="Times New Roman"/>
                <w:color w:val="2E74B5"/>
                <w:kern w:val="36"/>
                <w:sz w:val="32"/>
                <w:szCs w:val="32"/>
                <w:u w:val="none"/>
              </w:rPr>
            </w:pPr>
            <w:hyperlink r:id="rId11" w:history="1">
              <w:r w:rsidR="006B3165">
                <w:rPr>
                  <w:rStyle w:val="Collegamentoipertestuale"/>
                  <w:rFonts w:ascii="Palatino Linotype" w:eastAsia="Times New Roman" w:hAnsi="Palatino Linotype" w:cs="Calibri"/>
                  <w:bCs/>
                  <w:sz w:val="24"/>
                  <w:szCs w:val="24"/>
                  <w:lang w:eastAsia="it-IT"/>
                </w:rPr>
                <w:t>Corte di cassazione, sezioni u</w:t>
              </w:r>
              <w:r w:rsidR="006B3165" w:rsidRPr="00FD5202">
                <w:rPr>
                  <w:rStyle w:val="Collegamentoipertestuale"/>
                  <w:rFonts w:ascii="Palatino Linotype" w:eastAsia="Times New Roman" w:hAnsi="Palatino Linotype" w:cs="Calibri"/>
                  <w:bCs/>
                  <w:sz w:val="24"/>
                  <w:szCs w:val="24"/>
                  <w:lang w:eastAsia="it-IT"/>
                </w:rPr>
                <w:t>nite</w:t>
              </w:r>
              <w:r w:rsidR="00D442DF">
                <w:rPr>
                  <w:rStyle w:val="Collegamentoipertestuale"/>
                  <w:rFonts w:ascii="Palatino Linotype" w:eastAsia="Times New Roman" w:hAnsi="Palatino Linotype" w:cs="Calibri"/>
                  <w:bCs/>
                  <w:sz w:val="24"/>
                  <w:szCs w:val="24"/>
                  <w:lang w:eastAsia="it-IT"/>
                </w:rPr>
                <w:t xml:space="preserve"> civili</w:t>
              </w:r>
              <w:r w:rsidR="006B3165" w:rsidRPr="00FD5202">
                <w:rPr>
                  <w:rStyle w:val="Collegamentoipertestuale"/>
                  <w:rFonts w:ascii="Palatino Linotype" w:eastAsia="Times New Roman" w:hAnsi="Palatino Linotype" w:cs="Calibri"/>
                  <w:bCs/>
                  <w:sz w:val="24"/>
                  <w:szCs w:val="24"/>
                  <w:lang w:eastAsia="it-IT"/>
                </w:rPr>
                <w:t xml:space="preserve">, ordinanza 6 novembre 2018, n. 28222 – </w:t>
              </w:r>
              <w:proofErr w:type="spellStart"/>
              <w:r w:rsidR="006B3165" w:rsidRPr="00FD5202">
                <w:rPr>
                  <w:rStyle w:val="Collegamentoipertestuale"/>
                  <w:rFonts w:ascii="Palatino Linotype" w:eastAsia="Times New Roman" w:hAnsi="Palatino Linotype" w:cs="Calibri"/>
                  <w:bCs/>
                  <w:sz w:val="24"/>
                  <w:szCs w:val="24"/>
                  <w:lang w:eastAsia="it-IT"/>
                </w:rPr>
                <w:t>Pres</w:t>
              </w:r>
              <w:proofErr w:type="spellEnd"/>
              <w:r w:rsidR="006B3165" w:rsidRPr="00FD5202">
                <w:rPr>
                  <w:rStyle w:val="Collegamentoipertestuale"/>
                  <w:rFonts w:ascii="Palatino Linotype" w:eastAsia="Times New Roman" w:hAnsi="Palatino Linotype" w:cs="Calibri"/>
                  <w:bCs/>
                  <w:sz w:val="24"/>
                  <w:szCs w:val="24"/>
                  <w:lang w:eastAsia="it-IT"/>
                </w:rPr>
                <w:t xml:space="preserve">. Manna, Est. </w:t>
              </w:r>
              <w:proofErr w:type="spellStart"/>
              <w:r w:rsidR="006B3165" w:rsidRPr="00FD5202">
                <w:rPr>
                  <w:rStyle w:val="Collegamentoipertestuale"/>
                  <w:rFonts w:ascii="Palatino Linotype" w:eastAsia="Times New Roman" w:hAnsi="Palatino Linotype" w:cs="Calibri"/>
                  <w:bCs/>
                  <w:sz w:val="24"/>
                  <w:szCs w:val="24"/>
                  <w:lang w:eastAsia="it-IT"/>
                </w:rPr>
                <w:t>Doronzo</w:t>
              </w:r>
              <w:proofErr w:type="spellEnd"/>
            </w:hyperlink>
          </w:p>
          <w:p w:rsidR="006B3165" w:rsidRDefault="006B3165" w:rsidP="006B3165">
            <w:pPr>
              <w:spacing w:after="0" w:line="240" w:lineRule="auto"/>
              <w:jc w:val="both"/>
              <w:rPr>
                <w:rFonts w:ascii="Palatino Linotype" w:hAnsi="Palatino Linotype" w:cs="Calibri"/>
                <w:bCs/>
                <w:sz w:val="24"/>
                <w:szCs w:val="24"/>
              </w:rPr>
            </w:pPr>
          </w:p>
          <w:p w:rsidR="006B3165" w:rsidRPr="00D61F81" w:rsidRDefault="006B3165" w:rsidP="006B3165">
            <w:pPr>
              <w:autoSpaceDE w:val="0"/>
              <w:autoSpaceDN w:val="0"/>
              <w:adjustRightInd w:val="0"/>
              <w:spacing w:after="0" w:line="240" w:lineRule="auto"/>
              <w:jc w:val="both"/>
              <w:rPr>
                <w:rFonts w:ascii="Palatino Linotype" w:hAnsi="Palatino Linotype" w:cs="Calibri"/>
                <w:bCs/>
                <w:sz w:val="24"/>
                <w:szCs w:val="24"/>
              </w:rPr>
            </w:pPr>
            <w:r>
              <w:rPr>
                <w:rFonts w:ascii="Palatino Linotype" w:hAnsi="Palatino Linotype" w:cs="Calibri"/>
                <w:bCs/>
                <w:sz w:val="24"/>
                <w:szCs w:val="24"/>
              </w:rPr>
              <w:t xml:space="preserve">Ritiene la Corte che il giudizio rientra nella giurisdizione del giudice ordinario, </w:t>
            </w:r>
            <w:r w:rsidRPr="00D61F81">
              <w:rPr>
                <w:rFonts w:ascii="Palatino Linotype" w:hAnsi="Palatino Linotype" w:cs="Calibri"/>
                <w:bCs/>
                <w:sz w:val="24"/>
                <w:szCs w:val="24"/>
              </w:rPr>
              <w:t>ai sensi dell'art. 63, c</w:t>
            </w:r>
            <w:r>
              <w:rPr>
                <w:rFonts w:ascii="Palatino Linotype" w:hAnsi="Palatino Linotype" w:cs="Calibri"/>
                <w:bCs/>
                <w:sz w:val="24"/>
                <w:szCs w:val="24"/>
              </w:rPr>
              <w:t xml:space="preserve">omma 1, d. </w:t>
            </w:r>
            <w:proofErr w:type="spellStart"/>
            <w:r>
              <w:rPr>
                <w:rFonts w:ascii="Palatino Linotype" w:hAnsi="Palatino Linotype" w:cs="Calibri"/>
                <w:bCs/>
                <w:sz w:val="24"/>
                <w:szCs w:val="24"/>
              </w:rPr>
              <w:t>lgs</w:t>
            </w:r>
            <w:proofErr w:type="spellEnd"/>
            <w:r>
              <w:rPr>
                <w:rFonts w:ascii="Palatino Linotype" w:hAnsi="Palatino Linotype" w:cs="Calibri"/>
                <w:bCs/>
                <w:sz w:val="24"/>
                <w:szCs w:val="24"/>
              </w:rPr>
              <w:t xml:space="preserve">. n. 165 del 2001, in quanto </w:t>
            </w:r>
            <w:r w:rsidRPr="002C477F">
              <w:rPr>
                <w:rFonts w:ascii="Palatino Linotype" w:hAnsi="Palatino Linotype" w:cs="Calibri"/>
                <w:bCs/>
                <w:sz w:val="24"/>
                <w:szCs w:val="24"/>
              </w:rPr>
              <w:t>in tema d'impiego pubblico privatizzato, sono</w:t>
            </w:r>
            <w:r>
              <w:rPr>
                <w:rFonts w:ascii="Palatino Linotype" w:hAnsi="Palatino Linotype" w:cs="Calibri"/>
                <w:bCs/>
                <w:sz w:val="24"/>
                <w:szCs w:val="24"/>
              </w:rPr>
              <w:t xml:space="preserve"> </w:t>
            </w:r>
            <w:r w:rsidRPr="002C477F">
              <w:rPr>
                <w:rFonts w:ascii="Palatino Linotype" w:hAnsi="Palatino Linotype" w:cs="Calibri"/>
                <w:bCs/>
                <w:sz w:val="24"/>
                <w:szCs w:val="24"/>
              </w:rPr>
              <w:t>attribuite alla giurisdizione del giudice ordinario tutte le controversie</w:t>
            </w:r>
            <w:r w:rsidR="000F7ED6">
              <w:rPr>
                <w:rFonts w:ascii="Palatino Linotype" w:hAnsi="Palatino Linotype" w:cs="Calibri"/>
                <w:bCs/>
                <w:sz w:val="24"/>
                <w:szCs w:val="24"/>
              </w:rPr>
              <w:t xml:space="preserve"> </w:t>
            </w:r>
            <w:r w:rsidRPr="002C477F">
              <w:rPr>
                <w:rFonts w:ascii="Palatino Linotype" w:hAnsi="Palatino Linotype" w:cs="Calibri"/>
                <w:bCs/>
                <w:sz w:val="24"/>
                <w:szCs w:val="24"/>
              </w:rPr>
              <w:t>inerenti ad ogni fase del rapporto</w:t>
            </w:r>
            <w:r>
              <w:rPr>
                <w:rFonts w:ascii="Palatino Linotype" w:hAnsi="Palatino Linotype" w:cs="Calibri"/>
                <w:bCs/>
                <w:sz w:val="24"/>
                <w:szCs w:val="24"/>
              </w:rPr>
              <w:t xml:space="preserve"> di lavoro, ivi comprese quelle </w:t>
            </w:r>
            <w:r w:rsidRPr="002C477F">
              <w:rPr>
                <w:rFonts w:ascii="Palatino Linotype" w:hAnsi="Palatino Linotype" w:cs="Calibri"/>
                <w:bCs/>
                <w:sz w:val="24"/>
                <w:szCs w:val="24"/>
              </w:rPr>
              <w:t xml:space="preserve">relative al conferimento d'incarichi </w:t>
            </w:r>
            <w:r>
              <w:rPr>
                <w:rFonts w:ascii="Palatino Linotype" w:hAnsi="Palatino Linotype" w:cs="Calibri"/>
                <w:bCs/>
                <w:sz w:val="24"/>
                <w:szCs w:val="24"/>
              </w:rPr>
              <w:t xml:space="preserve">dirigenziali, perché la riserva </w:t>
            </w:r>
            <w:r w:rsidRPr="002C477F">
              <w:rPr>
                <w:rFonts w:ascii="Palatino Linotype" w:hAnsi="Palatino Linotype" w:cs="Calibri"/>
                <w:bCs/>
                <w:sz w:val="24"/>
                <w:szCs w:val="24"/>
              </w:rPr>
              <w:t>stabilita in favore del giudice ammi</w:t>
            </w:r>
            <w:r>
              <w:rPr>
                <w:rFonts w:ascii="Palatino Linotype" w:hAnsi="Palatino Linotype" w:cs="Calibri"/>
                <w:bCs/>
                <w:sz w:val="24"/>
                <w:szCs w:val="24"/>
              </w:rPr>
              <w:t xml:space="preserve">nistrativo concerne soltanto le </w:t>
            </w:r>
            <w:r w:rsidRPr="002C477F">
              <w:rPr>
                <w:rFonts w:ascii="Palatino Linotype" w:hAnsi="Palatino Linotype" w:cs="Calibri"/>
                <w:bCs/>
                <w:sz w:val="24"/>
                <w:szCs w:val="24"/>
              </w:rPr>
              <w:t>procedure concorsuali strumentali all'</w:t>
            </w:r>
            <w:r>
              <w:rPr>
                <w:rFonts w:ascii="Palatino Linotype" w:hAnsi="Palatino Linotype" w:cs="Calibri"/>
                <w:bCs/>
                <w:sz w:val="24"/>
                <w:szCs w:val="24"/>
              </w:rPr>
              <w:t xml:space="preserve">assunzione od alla progressione </w:t>
            </w:r>
            <w:r w:rsidRPr="002C477F">
              <w:rPr>
                <w:rFonts w:ascii="Palatino Linotype" w:hAnsi="Palatino Linotype" w:cs="Calibri"/>
                <w:bCs/>
                <w:sz w:val="24"/>
                <w:szCs w:val="24"/>
              </w:rPr>
              <w:t>in un'area o fascia superiore a quella di</w:t>
            </w:r>
            <w:r>
              <w:rPr>
                <w:rFonts w:ascii="Palatino Linotype" w:hAnsi="Palatino Linotype" w:cs="Calibri"/>
                <w:bCs/>
                <w:sz w:val="24"/>
                <w:szCs w:val="24"/>
              </w:rPr>
              <w:t xml:space="preserve"> appartenenza, laddove gli atti </w:t>
            </w:r>
            <w:r w:rsidRPr="002C477F">
              <w:rPr>
                <w:rFonts w:ascii="Palatino Linotype" w:hAnsi="Palatino Linotype" w:cs="Calibri"/>
                <w:bCs/>
                <w:sz w:val="24"/>
                <w:szCs w:val="24"/>
              </w:rPr>
              <w:t>di conferimento d'incarichi dirigenziali - i quali non concr</w:t>
            </w:r>
            <w:r>
              <w:rPr>
                <w:rFonts w:ascii="Palatino Linotype" w:hAnsi="Palatino Linotype" w:cs="Calibri"/>
                <w:bCs/>
                <w:sz w:val="24"/>
                <w:szCs w:val="24"/>
              </w:rPr>
              <w:t xml:space="preserve">etano </w:t>
            </w:r>
            <w:r w:rsidRPr="002C477F">
              <w:rPr>
                <w:rFonts w:ascii="Palatino Linotype" w:hAnsi="Palatino Linotype" w:cs="Calibri"/>
                <w:bCs/>
                <w:sz w:val="24"/>
                <w:szCs w:val="24"/>
              </w:rPr>
              <w:t xml:space="preserve">procedure concorsuali e hanno </w:t>
            </w:r>
            <w:r>
              <w:rPr>
                <w:rFonts w:ascii="Palatino Linotype" w:hAnsi="Palatino Linotype" w:cs="Calibri"/>
                <w:bCs/>
                <w:sz w:val="24"/>
                <w:szCs w:val="24"/>
              </w:rPr>
              <w:t xml:space="preserve">come destinatari persone già in </w:t>
            </w:r>
            <w:r w:rsidRPr="002C477F">
              <w:rPr>
                <w:rFonts w:ascii="Palatino Linotype" w:hAnsi="Palatino Linotype" w:cs="Calibri"/>
                <w:bCs/>
                <w:sz w:val="24"/>
                <w:szCs w:val="24"/>
              </w:rPr>
              <w:t xml:space="preserve">servizio nonché in possesso della </w:t>
            </w:r>
            <w:r>
              <w:rPr>
                <w:rFonts w:ascii="Palatino Linotype" w:hAnsi="Palatino Linotype" w:cs="Calibri"/>
                <w:bCs/>
                <w:sz w:val="24"/>
                <w:szCs w:val="24"/>
              </w:rPr>
              <w:t xml:space="preserve">relativa qualifica – conservano </w:t>
            </w:r>
            <w:r w:rsidRPr="002C477F">
              <w:rPr>
                <w:rFonts w:ascii="Palatino Linotype" w:hAnsi="Palatino Linotype" w:cs="Calibri"/>
                <w:bCs/>
                <w:sz w:val="24"/>
                <w:szCs w:val="24"/>
              </w:rPr>
              <w:t>natura privata in quanto rivestono</w:t>
            </w:r>
            <w:r>
              <w:rPr>
                <w:rFonts w:ascii="Palatino Linotype" w:hAnsi="Palatino Linotype" w:cs="Calibri"/>
                <w:bCs/>
                <w:sz w:val="24"/>
                <w:szCs w:val="24"/>
              </w:rPr>
              <w:t xml:space="preserve"> il carattere di determinazioni </w:t>
            </w:r>
            <w:r w:rsidRPr="002C477F">
              <w:rPr>
                <w:rFonts w:ascii="Palatino Linotype" w:hAnsi="Palatino Linotype" w:cs="Calibri"/>
                <w:bCs/>
                <w:sz w:val="24"/>
                <w:szCs w:val="24"/>
              </w:rPr>
              <w:t>negoziali assunte dall'Amministrazione con i poteri e le capacità del</w:t>
            </w:r>
            <w:r>
              <w:rPr>
                <w:rFonts w:ascii="Palatino Linotype" w:hAnsi="Palatino Linotype" w:cs="Calibri"/>
                <w:bCs/>
                <w:sz w:val="24"/>
                <w:szCs w:val="24"/>
              </w:rPr>
              <w:t xml:space="preserve"> comune datore di lavoro.</w:t>
            </w:r>
          </w:p>
          <w:p w:rsidR="006B3165" w:rsidRDefault="006B3165" w:rsidP="006B3165">
            <w:pPr>
              <w:spacing w:before="240" w:after="0" w:line="240" w:lineRule="auto"/>
              <w:jc w:val="center"/>
              <w:outlineLvl w:val="0"/>
              <w:rPr>
                <w:rFonts w:ascii="Palatino Linotype" w:eastAsia="Times New Roman" w:hAnsi="Palatino Linotype" w:cs="Times New Roman"/>
                <w:color w:val="2E74B5"/>
                <w:kern w:val="36"/>
                <w:sz w:val="32"/>
                <w:szCs w:val="32"/>
              </w:rPr>
            </w:pPr>
            <w:r>
              <w:rPr>
                <w:rFonts w:ascii="Palatino Linotype" w:eastAsia="Times New Roman" w:hAnsi="Palatino Linotype" w:cs="Times New Roman"/>
                <w:color w:val="2E74B5"/>
                <w:kern w:val="36"/>
                <w:sz w:val="32"/>
                <w:szCs w:val="32"/>
              </w:rPr>
              <w:t>(5)</w:t>
            </w:r>
          </w:p>
          <w:p w:rsidR="006B3165" w:rsidRPr="00990134" w:rsidRDefault="006B3165" w:rsidP="006B3165">
            <w:pPr>
              <w:spacing w:before="240" w:after="0" w:line="240" w:lineRule="auto"/>
              <w:jc w:val="both"/>
              <w:outlineLvl w:val="0"/>
              <w:rPr>
                <w:rFonts w:ascii="Palatino Linotype" w:eastAsia="Times New Roman" w:hAnsi="Palatino Linotype" w:cs="Times New Roman"/>
                <w:color w:val="2E74B5"/>
                <w:kern w:val="36"/>
                <w:sz w:val="32"/>
                <w:szCs w:val="32"/>
              </w:rPr>
            </w:pPr>
            <w:r w:rsidRPr="00F77217">
              <w:rPr>
                <w:rFonts w:ascii="Palatino Linotype" w:hAnsi="Palatino Linotype" w:cs="Calibri"/>
                <w:bCs/>
                <w:sz w:val="24"/>
                <w:szCs w:val="24"/>
              </w:rPr>
              <w:t>Le Sezioni unite attribuiscono al giudice amministrativo le controversie relative alla pretesa risarcitoria azionata nei confronti del Gest</w:t>
            </w:r>
            <w:r w:rsidR="00DE511A">
              <w:rPr>
                <w:rFonts w:ascii="Palatino Linotype" w:hAnsi="Palatino Linotype" w:cs="Calibri"/>
                <w:bCs/>
                <w:sz w:val="24"/>
                <w:szCs w:val="24"/>
              </w:rPr>
              <w:t xml:space="preserve">ore dei servizi energetici per </w:t>
            </w:r>
            <w:r>
              <w:rPr>
                <w:rFonts w:ascii="Palatino Linotype" w:hAnsi="Palatino Linotype" w:cs="Calibri"/>
                <w:bCs/>
                <w:sz w:val="24"/>
                <w:szCs w:val="24"/>
              </w:rPr>
              <w:t xml:space="preserve">l’importo </w:t>
            </w:r>
            <w:r w:rsidRPr="00F77217">
              <w:rPr>
                <w:rFonts w:ascii="Palatino Linotype" w:hAnsi="Palatino Linotype" w:cs="Calibri"/>
                <w:bCs/>
                <w:sz w:val="24"/>
                <w:szCs w:val="24"/>
              </w:rPr>
              <w:t xml:space="preserve">complessivo delle tariffe incentivanti non erogate </w:t>
            </w:r>
            <w:r w:rsidR="00DE511A">
              <w:rPr>
                <w:rFonts w:ascii="Palatino Linotype" w:hAnsi="Palatino Linotype" w:cs="Calibri"/>
                <w:bCs/>
                <w:sz w:val="24"/>
                <w:szCs w:val="24"/>
              </w:rPr>
              <w:t>a causa della tardiva</w:t>
            </w:r>
            <w:r w:rsidRPr="00F77217">
              <w:rPr>
                <w:rFonts w:ascii="Palatino Linotype" w:hAnsi="Palatino Linotype" w:cs="Calibri"/>
                <w:bCs/>
                <w:sz w:val="24"/>
                <w:szCs w:val="24"/>
              </w:rPr>
              <w:t xml:space="preserve"> trasmissione della relativa domanda di concessione</w:t>
            </w:r>
            <w:r w:rsidR="000F7ED6">
              <w:rPr>
                <w:rFonts w:ascii="Palatino Linotype" w:hAnsi="Palatino Linotype" w:cs="Calibri"/>
                <w:bCs/>
                <w:sz w:val="24"/>
                <w:szCs w:val="24"/>
              </w:rPr>
              <w:t xml:space="preserve"> dovuto al malfunzionamento del portale telematico del Gestore</w:t>
            </w:r>
            <w:r w:rsidRPr="00F77217">
              <w:rPr>
                <w:rFonts w:ascii="Palatino Linotype" w:hAnsi="Palatino Linotype" w:cs="Calibri"/>
                <w:bCs/>
                <w:sz w:val="24"/>
                <w:szCs w:val="24"/>
              </w:rPr>
              <w:t>.</w:t>
            </w:r>
          </w:p>
          <w:p w:rsidR="006B3165" w:rsidRDefault="006B3165" w:rsidP="006B3165">
            <w:pPr>
              <w:spacing w:after="0" w:line="240" w:lineRule="auto"/>
              <w:jc w:val="both"/>
            </w:pPr>
          </w:p>
          <w:p w:rsidR="006B3165" w:rsidRPr="00990134" w:rsidRDefault="00E424A6" w:rsidP="006B3165">
            <w:pPr>
              <w:spacing w:after="0" w:line="240" w:lineRule="auto"/>
              <w:jc w:val="both"/>
              <w:rPr>
                <w:rStyle w:val="Collegamentoipertestuale"/>
                <w:rFonts w:ascii="Palatino Linotype" w:hAnsi="Palatino Linotype" w:cs="Calibri"/>
                <w:bCs/>
                <w:color w:val="auto"/>
                <w:sz w:val="24"/>
                <w:szCs w:val="24"/>
                <w:u w:val="none"/>
              </w:rPr>
            </w:pPr>
            <w:hyperlink r:id="rId12" w:history="1">
              <w:r w:rsidR="006B3165">
                <w:rPr>
                  <w:rStyle w:val="Collegamentoipertestuale"/>
                  <w:rFonts w:ascii="Palatino Linotype" w:eastAsia="Times New Roman" w:hAnsi="Palatino Linotype" w:cs="Calibri"/>
                  <w:bCs/>
                  <w:sz w:val="24"/>
                  <w:szCs w:val="24"/>
                  <w:lang w:eastAsia="it-IT"/>
                </w:rPr>
                <w:t>Corte di cassazione, sezioni u</w:t>
              </w:r>
              <w:r w:rsidR="006B3165" w:rsidRPr="00FD5202">
                <w:rPr>
                  <w:rStyle w:val="Collegamentoipertestuale"/>
                  <w:rFonts w:ascii="Palatino Linotype" w:eastAsia="Times New Roman" w:hAnsi="Palatino Linotype" w:cs="Calibri"/>
                  <w:bCs/>
                  <w:sz w:val="24"/>
                  <w:szCs w:val="24"/>
                  <w:lang w:eastAsia="it-IT"/>
                </w:rPr>
                <w:t>nite</w:t>
              </w:r>
              <w:r w:rsidR="00D442DF">
                <w:rPr>
                  <w:rStyle w:val="Collegamentoipertestuale"/>
                  <w:rFonts w:ascii="Palatino Linotype" w:eastAsia="Times New Roman" w:hAnsi="Palatino Linotype" w:cs="Calibri"/>
                  <w:bCs/>
                  <w:sz w:val="24"/>
                  <w:szCs w:val="24"/>
                  <w:lang w:eastAsia="it-IT"/>
                </w:rPr>
                <w:t xml:space="preserve"> civili</w:t>
              </w:r>
              <w:r w:rsidR="006B3165" w:rsidRPr="00FD5202">
                <w:rPr>
                  <w:rStyle w:val="Collegamentoipertestuale"/>
                  <w:rFonts w:ascii="Palatino Linotype" w:eastAsia="Times New Roman" w:hAnsi="Palatino Linotype" w:cs="Calibri"/>
                  <w:bCs/>
                  <w:sz w:val="24"/>
                  <w:szCs w:val="24"/>
                  <w:lang w:eastAsia="it-IT"/>
                </w:rPr>
                <w:t xml:space="preserve">, ordinanza 2 novembre 2018, n. 28057 – </w:t>
              </w:r>
              <w:proofErr w:type="spellStart"/>
              <w:r w:rsidR="006B3165" w:rsidRPr="00FD5202">
                <w:rPr>
                  <w:rStyle w:val="Collegamentoipertestuale"/>
                  <w:rFonts w:ascii="Palatino Linotype" w:eastAsia="Times New Roman" w:hAnsi="Palatino Linotype" w:cs="Calibri"/>
                  <w:bCs/>
                  <w:sz w:val="24"/>
                  <w:szCs w:val="24"/>
                  <w:lang w:eastAsia="it-IT"/>
                </w:rPr>
                <w:t>Pres</w:t>
              </w:r>
              <w:proofErr w:type="spellEnd"/>
              <w:r w:rsidR="006B3165" w:rsidRPr="00FD5202">
                <w:rPr>
                  <w:rStyle w:val="Collegamentoipertestuale"/>
                  <w:rFonts w:ascii="Palatino Linotype" w:eastAsia="Times New Roman" w:hAnsi="Palatino Linotype" w:cs="Calibri"/>
                  <w:bCs/>
                  <w:sz w:val="24"/>
                  <w:szCs w:val="24"/>
                  <w:lang w:eastAsia="it-IT"/>
                </w:rPr>
                <w:t>. Manna, Est. Perrino</w:t>
              </w:r>
            </w:hyperlink>
          </w:p>
          <w:p w:rsidR="00D33BBD" w:rsidRDefault="006B3165" w:rsidP="006B3165">
            <w:pPr>
              <w:spacing w:before="240" w:after="0" w:line="240" w:lineRule="auto"/>
              <w:jc w:val="both"/>
              <w:outlineLvl w:val="0"/>
              <w:rPr>
                <w:rFonts w:ascii="Palatino Linotype" w:hAnsi="Palatino Linotype" w:cs="Calibri"/>
                <w:bCs/>
                <w:sz w:val="24"/>
                <w:szCs w:val="24"/>
              </w:rPr>
            </w:pPr>
            <w:r>
              <w:rPr>
                <w:rFonts w:ascii="Palatino Linotype" w:hAnsi="Palatino Linotype" w:cs="Calibri"/>
                <w:bCs/>
                <w:sz w:val="24"/>
                <w:szCs w:val="24"/>
              </w:rPr>
              <w:t>Ritiene la Corte che i</w:t>
            </w:r>
            <w:r w:rsidRPr="00B653CE">
              <w:rPr>
                <w:rFonts w:ascii="Palatino Linotype" w:hAnsi="Palatino Linotype" w:cs="Calibri"/>
                <w:bCs/>
                <w:sz w:val="24"/>
                <w:szCs w:val="24"/>
              </w:rPr>
              <w:t>l giudizio rientra nella giur</w:t>
            </w:r>
            <w:r>
              <w:rPr>
                <w:rFonts w:ascii="Palatino Linotype" w:hAnsi="Palatino Linotype" w:cs="Calibri"/>
                <w:bCs/>
                <w:sz w:val="24"/>
                <w:szCs w:val="24"/>
              </w:rPr>
              <w:t xml:space="preserve">isdizione esclusiva del giudice </w:t>
            </w:r>
            <w:r w:rsidRPr="00B653CE">
              <w:rPr>
                <w:rFonts w:ascii="Palatino Linotype" w:hAnsi="Palatino Linotype" w:cs="Calibri"/>
                <w:bCs/>
                <w:sz w:val="24"/>
                <w:szCs w:val="24"/>
              </w:rPr>
              <w:t>amministrativo, ai sensi dell'art. 133</w:t>
            </w:r>
            <w:r>
              <w:rPr>
                <w:rFonts w:ascii="Palatino Linotype" w:hAnsi="Palatino Linotype" w:cs="Calibri"/>
                <w:bCs/>
                <w:sz w:val="24"/>
                <w:szCs w:val="24"/>
              </w:rPr>
              <w:t xml:space="preserve">, primo comma, lettera o), cod. </w:t>
            </w:r>
            <w:proofErr w:type="spellStart"/>
            <w:r>
              <w:rPr>
                <w:rFonts w:ascii="Palatino Linotype" w:hAnsi="Palatino Linotype" w:cs="Calibri"/>
                <w:bCs/>
                <w:sz w:val="24"/>
                <w:szCs w:val="24"/>
              </w:rPr>
              <w:t>proc</w:t>
            </w:r>
            <w:proofErr w:type="spellEnd"/>
            <w:r>
              <w:rPr>
                <w:rFonts w:ascii="Palatino Linotype" w:hAnsi="Palatino Linotype" w:cs="Calibri"/>
                <w:bCs/>
                <w:sz w:val="24"/>
                <w:szCs w:val="24"/>
              </w:rPr>
              <w:t xml:space="preserve">. </w:t>
            </w:r>
            <w:proofErr w:type="spellStart"/>
            <w:r>
              <w:rPr>
                <w:rFonts w:ascii="Palatino Linotype" w:hAnsi="Palatino Linotype" w:cs="Calibri"/>
                <w:bCs/>
                <w:sz w:val="24"/>
                <w:szCs w:val="24"/>
              </w:rPr>
              <w:t>amm</w:t>
            </w:r>
            <w:proofErr w:type="spellEnd"/>
            <w:r>
              <w:rPr>
                <w:rFonts w:ascii="Palatino Linotype" w:hAnsi="Palatino Linotype" w:cs="Calibri"/>
                <w:bCs/>
                <w:sz w:val="24"/>
                <w:szCs w:val="24"/>
              </w:rPr>
              <w:t xml:space="preserve">.; infatti il </w:t>
            </w:r>
            <w:r w:rsidRPr="00B653CE">
              <w:rPr>
                <w:rFonts w:ascii="Palatino Linotype" w:hAnsi="Palatino Linotype" w:cs="Calibri"/>
                <w:bCs/>
                <w:sz w:val="24"/>
                <w:szCs w:val="24"/>
              </w:rPr>
              <w:t>Gestore dei servizi energetici, nell'ambito dell</w:t>
            </w:r>
            <w:r>
              <w:rPr>
                <w:rFonts w:ascii="Palatino Linotype" w:hAnsi="Palatino Linotype" w:cs="Calibri"/>
                <w:bCs/>
                <w:sz w:val="24"/>
                <w:szCs w:val="24"/>
              </w:rPr>
              <w:t xml:space="preserve">a gestione del sistema pubblico </w:t>
            </w:r>
            <w:r w:rsidRPr="00B653CE">
              <w:rPr>
                <w:rFonts w:ascii="Palatino Linotype" w:hAnsi="Palatino Linotype" w:cs="Calibri"/>
                <w:bCs/>
                <w:sz w:val="24"/>
                <w:szCs w:val="24"/>
              </w:rPr>
              <w:t>d'incentivazione dell'energia elettrica da fonte rinnovabile e nell'esercizio dei poteri di</w:t>
            </w:r>
            <w:r>
              <w:rPr>
                <w:rFonts w:ascii="Palatino Linotype" w:hAnsi="Palatino Linotype" w:cs="Calibri"/>
                <w:bCs/>
                <w:sz w:val="24"/>
                <w:szCs w:val="24"/>
              </w:rPr>
              <w:t xml:space="preserve"> </w:t>
            </w:r>
            <w:r w:rsidRPr="00B653CE">
              <w:rPr>
                <w:rFonts w:ascii="Palatino Linotype" w:hAnsi="Palatino Linotype" w:cs="Calibri"/>
                <w:bCs/>
                <w:sz w:val="24"/>
                <w:szCs w:val="24"/>
              </w:rPr>
              <w:t>competenza, ha accertato la tar</w:t>
            </w:r>
            <w:r>
              <w:rPr>
                <w:rFonts w:ascii="Palatino Linotype" w:hAnsi="Palatino Linotype" w:cs="Calibri"/>
                <w:bCs/>
                <w:sz w:val="24"/>
                <w:szCs w:val="24"/>
              </w:rPr>
              <w:t xml:space="preserve">dività della richiesta e quindi </w:t>
            </w:r>
            <w:r w:rsidRPr="00B653CE">
              <w:rPr>
                <w:rFonts w:ascii="Palatino Linotype" w:hAnsi="Palatino Linotype" w:cs="Calibri"/>
                <w:bCs/>
                <w:sz w:val="24"/>
                <w:szCs w:val="24"/>
              </w:rPr>
              <w:t>l'inidoneità di essa a consentire l</w:t>
            </w:r>
            <w:r>
              <w:rPr>
                <w:rFonts w:ascii="Palatino Linotype" w:hAnsi="Palatino Linotype" w:cs="Calibri"/>
                <w:bCs/>
                <w:sz w:val="24"/>
                <w:szCs w:val="24"/>
              </w:rPr>
              <w:t>'accesso ai benefici richiesti. L</w:t>
            </w:r>
            <w:r w:rsidRPr="00B653CE">
              <w:rPr>
                <w:rFonts w:ascii="Palatino Linotype" w:hAnsi="Palatino Linotype" w:cs="Calibri"/>
                <w:bCs/>
                <w:sz w:val="24"/>
                <w:szCs w:val="24"/>
              </w:rPr>
              <w:t>'esclusione dei benefici</w:t>
            </w:r>
            <w:r>
              <w:rPr>
                <w:rFonts w:ascii="Palatino Linotype" w:hAnsi="Palatino Linotype" w:cs="Calibri"/>
                <w:bCs/>
                <w:sz w:val="24"/>
                <w:szCs w:val="24"/>
              </w:rPr>
              <w:t xml:space="preserve"> concerne, comunque, </w:t>
            </w:r>
            <w:r w:rsidRPr="00B653CE">
              <w:rPr>
                <w:rFonts w:ascii="Palatino Linotype" w:hAnsi="Palatino Linotype" w:cs="Calibri"/>
                <w:bCs/>
                <w:sz w:val="24"/>
                <w:szCs w:val="24"/>
              </w:rPr>
              <w:t>un provvedimento relativo all'incen</w:t>
            </w:r>
            <w:r>
              <w:rPr>
                <w:rFonts w:ascii="Palatino Linotype" w:hAnsi="Palatino Linotype" w:cs="Calibri"/>
                <w:bCs/>
                <w:sz w:val="24"/>
                <w:szCs w:val="24"/>
              </w:rPr>
              <w:t xml:space="preserve">tivazione della </w:t>
            </w:r>
            <w:r w:rsidRPr="00B653CE">
              <w:rPr>
                <w:rFonts w:ascii="Palatino Linotype" w:hAnsi="Palatino Linotype" w:cs="Calibri"/>
                <w:bCs/>
                <w:sz w:val="24"/>
                <w:szCs w:val="24"/>
              </w:rPr>
              <w:t>produzione di energia elettrica dalla font</w:t>
            </w:r>
            <w:r>
              <w:rPr>
                <w:rFonts w:ascii="Palatino Linotype" w:hAnsi="Palatino Linotype" w:cs="Calibri"/>
                <w:bCs/>
                <w:sz w:val="24"/>
                <w:szCs w:val="24"/>
              </w:rPr>
              <w:t xml:space="preserve">e solare e attiene, quindi, alla </w:t>
            </w:r>
            <w:r w:rsidRPr="00B653CE">
              <w:rPr>
                <w:rFonts w:ascii="Palatino Linotype" w:hAnsi="Palatino Linotype" w:cs="Calibri"/>
                <w:bCs/>
                <w:sz w:val="24"/>
                <w:szCs w:val="24"/>
              </w:rPr>
              <w:t xml:space="preserve">«produzione di energia», considerato </w:t>
            </w:r>
            <w:r>
              <w:rPr>
                <w:rFonts w:ascii="Palatino Linotype" w:hAnsi="Palatino Linotype" w:cs="Calibri"/>
                <w:bCs/>
                <w:sz w:val="24"/>
                <w:szCs w:val="24"/>
              </w:rPr>
              <w:t xml:space="preserve">che la previsione di </w:t>
            </w:r>
            <w:r>
              <w:rPr>
                <w:rFonts w:ascii="Palatino Linotype" w:hAnsi="Palatino Linotype" w:cs="Calibri"/>
                <w:bCs/>
                <w:sz w:val="24"/>
                <w:szCs w:val="24"/>
              </w:rPr>
              <w:lastRenderedPageBreak/>
              <w:t xml:space="preserve">contributi </w:t>
            </w:r>
            <w:r w:rsidRPr="00B653CE">
              <w:rPr>
                <w:rFonts w:ascii="Palatino Linotype" w:hAnsi="Palatino Linotype" w:cs="Calibri"/>
                <w:bCs/>
                <w:sz w:val="24"/>
                <w:szCs w:val="24"/>
              </w:rPr>
              <w:t>tariffari è un efficace strumen</w:t>
            </w:r>
            <w:r>
              <w:rPr>
                <w:rFonts w:ascii="Palatino Linotype" w:hAnsi="Palatino Linotype" w:cs="Calibri"/>
                <w:bCs/>
                <w:sz w:val="24"/>
                <w:szCs w:val="24"/>
              </w:rPr>
              <w:t xml:space="preserve">to d'indirizzo della produzione </w:t>
            </w:r>
            <w:r w:rsidRPr="00B653CE">
              <w:rPr>
                <w:rFonts w:ascii="Palatino Linotype" w:hAnsi="Palatino Linotype" w:cs="Calibri"/>
                <w:bCs/>
                <w:sz w:val="24"/>
                <w:szCs w:val="24"/>
              </w:rPr>
              <w:t>energetica nazionale</w:t>
            </w:r>
            <w:r>
              <w:rPr>
                <w:rFonts w:ascii="Palatino Linotype" w:hAnsi="Palatino Linotype" w:cs="Calibri"/>
                <w:bCs/>
                <w:sz w:val="24"/>
                <w:szCs w:val="24"/>
              </w:rPr>
              <w:t xml:space="preserve"> e, pertanto, di competenza del giudice amministrativo.</w:t>
            </w:r>
            <w:r w:rsidR="00D33BBD">
              <w:rPr>
                <w:rFonts w:ascii="Palatino Linotype" w:hAnsi="Palatino Linotype" w:cs="Calibri"/>
                <w:bCs/>
                <w:sz w:val="24"/>
                <w:szCs w:val="24"/>
              </w:rPr>
              <w:t xml:space="preserve"> </w:t>
            </w:r>
          </w:p>
          <w:p w:rsidR="000F7ED6" w:rsidRPr="00DB1714" w:rsidRDefault="000F7ED6" w:rsidP="006B3165">
            <w:pPr>
              <w:spacing w:before="240" w:after="0" w:line="240" w:lineRule="auto"/>
              <w:jc w:val="both"/>
              <w:outlineLvl w:val="0"/>
              <w:rPr>
                <w:rFonts w:ascii="Palatino Linotype" w:hAnsi="Palatino Linotype" w:cs="Calibri"/>
                <w:bCs/>
                <w:sz w:val="24"/>
                <w:szCs w:val="24"/>
              </w:rPr>
            </w:pPr>
            <w:r w:rsidRPr="00DB1714">
              <w:rPr>
                <w:rFonts w:ascii="Palatino Linotype" w:hAnsi="Palatino Linotype" w:cs="Calibri"/>
                <w:bCs/>
                <w:sz w:val="24"/>
                <w:szCs w:val="24"/>
              </w:rPr>
              <w:t>Si evidenzia che nel caso di specie la domanda risarcitoria era stata proposta in via principale nei confronti della società privata intermediaria incaricata della domanda di incentivazione, domanda solo successivamente estesa</w:t>
            </w:r>
            <w:r w:rsidR="00097DC7" w:rsidRPr="00DB1714">
              <w:rPr>
                <w:rFonts w:ascii="Palatino Linotype" w:hAnsi="Palatino Linotype" w:cs="Calibri"/>
                <w:bCs/>
                <w:sz w:val="24"/>
                <w:szCs w:val="24"/>
              </w:rPr>
              <w:t xml:space="preserve"> – in via subordinata - dalla ricorrente</w:t>
            </w:r>
            <w:r w:rsidRPr="00DB1714">
              <w:rPr>
                <w:rFonts w:ascii="Palatino Linotype" w:hAnsi="Palatino Linotype" w:cs="Calibri"/>
                <w:bCs/>
                <w:sz w:val="24"/>
                <w:szCs w:val="24"/>
              </w:rPr>
              <w:t xml:space="preserve"> nei confronti del Gestore cui la convenuta aveva imputato il tardivo inoltro della domanda a causa del malfunzionamento del sistema</w:t>
            </w:r>
            <w:r w:rsidR="0072078C" w:rsidRPr="00DB1714">
              <w:rPr>
                <w:rFonts w:ascii="Palatino Linotype" w:hAnsi="Palatino Linotype" w:cs="Calibri"/>
                <w:bCs/>
                <w:sz w:val="24"/>
                <w:szCs w:val="24"/>
              </w:rPr>
              <w:t xml:space="preserve"> informatico</w:t>
            </w:r>
            <w:r w:rsidRPr="00DB1714">
              <w:rPr>
                <w:rFonts w:ascii="Palatino Linotype" w:hAnsi="Palatino Linotype" w:cs="Calibri"/>
                <w:bCs/>
                <w:sz w:val="24"/>
                <w:szCs w:val="24"/>
              </w:rPr>
              <w:t xml:space="preserve">. </w:t>
            </w:r>
            <w:r w:rsidR="001F0C24" w:rsidRPr="00DB1714">
              <w:rPr>
                <w:rFonts w:ascii="Palatino Linotype" w:hAnsi="Palatino Linotype" w:cs="Calibri"/>
                <w:bCs/>
                <w:sz w:val="24"/>
                <w:szCs w:val="24"/>
              </w:rPr>
              <w:t>Non potendosi derogare alla giurisdizione per motivi di connessione la medesima domanda risarcitoria sarà dunque trattata nel caso di specie dal giudice ordinario</w:t>
            </w:r>
            <w:r w:rsidR="009108A9" w:rsidRPr="00DB1714">
              <w:rPr>
                <w:rFonts w:ascii="Palatino Linotype" w:hAnsi="Palatino Linotype" w:cs="Calibri"/>
                <w:bCs/>
                <w:sz w:val="24"/>
                <w:szCs w:val="24"/>
              </w:rPr>
              <w:t>,</w:t>
            </w:r>
            <w:r w:rsidR="001F0C24" w:rsidRPr="00DB1714">
              <w:rPr>
                <w:rFonts w:ascii="Palatino Linotype" w:hAnsi="Palatino Linotype" w:cs="Calibri"/>
                <w:bCs/>
                <w:sz w:val="24"/>
                <w:szCs w:val="24"/>
              </w:rPr>
              <w:t xml:space="preserve"> quanto alla pretesa azionata nei confronti della società privata responsabile della domanda di incentivazione</w:t>
            </w:r>
            <w:r w:rsidR="009108A9" w:rsidRPr="00DB1714">
              <w:rPr>
                <w:rFonts w:ascii="Palatino Linotype" w:hAnsi="Palatino Linotype" w:cs="Calibri"/>
                <w:bCs/>
                <w:sz w:val="24"/>
                <w:szCs w:val="24"/>
              </w:rPr>
              <w:t>,</w:t>
            </w:r>
            <w:r w:rsidR="001F0C24" w:rsidRPr="00DB1714">
              <w:rPr>
                <w:rFonts w:ascii="Palatino Linotype" w:hAnsi="Palatino Linotype" w:cs="Calibri"/>
                <w:bCs/>
                <w:sz w:val="24"/>
                <w:szCs w:val="24"/>
              </w:rPr>
              <w:t xml:space="preserve"> e dal giudice amministrativo</w:t>
            </w:r>
            <w:r w:rsidR="009108A9" w:rsidRPr="00DB1714">
              <w:rPr>
                <w:rFonts w:ascii="Palatino Linotype" w:hAnsi="Palatino Linotype" w:cs="Calibri"/>
                <w:bCs/>
                <w:sz w:val="24"/>
                <w:szCs w:val="24"/>
              </w:rPr>
              <w:t>,</w:t>
            </w:r>
            <w:r w:rsidR="001F0C24" w:rsidRPr="00DB1714">
              <w:rPr>
                <w:rFonts w:ascii="Palatino Linotype" w:hAnsi="Palatino Linotype" w:cs="Calibri"/>
                <w:bCs/>
                <w:sz w:val="24"/>
                <w:szCs w:val="24"/>
              </w:rPr>
              <w:t xml:space="preserve"> quanto alla domanda rivolta nei confronti del Gestore, con il rischio di pronunce contrastanti.</w:t>
            </w:r>
          </w:p>
          <w:p w:rsidR="00E21D3B" w:rsidRDefault="006B3165" w:rsidP="00E21D3B">
            <w:pPr>
              <w:spacing w:before="240" w:after="0" w:line="240" w:lineRule="auto"/>
              <w:jc w:val="center"/>
              <w:outlineLvl w:val="0"/>
              <w:rPr>
                <w:rFonts w:ascii="Palatino Linotype" w:eastAsia="Times New Roman" w:hAnsi="Palatino Linotype" w:cs="Times New Roman"/>
                <w:color w:val="2E74B5"/>
                <w:kern w:val="36"/>
                <w:sz w:val="32"/>
                <w:szCs w:val="32"/>
              </w:rPr>
            </w:pPr>
            <w:r>
              <w:rPr>
                <w:rFonts w:ascii="Palatino Linotype" w:eastAsia="Times New Roman" w:hAnsi="Palatino Linotype" w:cs="Times New Roman"/>
                <w:color w:val="2E74B5"/>
                <w:kern w:val="36"/>
                <w:sz w:val="32"/>
                <w:szCs w:val="32"/>
              </w:rPr>
              <w:t>(6</w:t>
            </w:r>
            <w:r w:rsidRPr="008A3650">
              <w:rPr>
                <w:rFonts w:ascii="Palatino Linotype" w:eastAsia="Times New Roman" w:hAnsi="Palatino Linotype" w:cs="Times New Roman"/>
                <w:color w:val="2E74B5"/>
                <w:kern w:val="36"/>
                <w:sz w:val="32"/>
                <w:szCs w:val="32"/>
              </w:rPr>
              <w:t>)</w:t>
            </w:r>
          </w:p>
          <w:p w:rsidR="00E21D3B" w:rsidRDefault="00E21D3B" w:rsidP="006B3165">
            <w:pPr>
              <w:spacing w:after="0" w:line="240" w:lineRule="auto"/>
              <w:jc w:val="both"/>
              <w:rPr>
                <w:rFonts w:ascii="Palatino Linotype" w:hAnsi="Palatino Linotype" w:cs="Calibri"/>
                <w:bCs/>
                <w:sz w:val="24"/>
                <w:szCs w:val="24"/>
              </w:rPr>
            </w:pPr>
          </w:p>
          <w:p w:rsidR="006B3165" w:rsidRPr="00F77217" w:rsidRDefault="002C62F0" w:rsidP="006B3165">
            <w:pPr>
              <w:spacing w:after="0" w:line="240" w:lineRule="auto"/>
              <w:jc w:val="both"/>
              <w:rPr>
                <w:rFonts w:ascii="Palatino Linotype" w:hAnsi="Palatino Linotype" w:cs="Calibri"/>
                <w:bCs/>
                <w:sz w:val="24"/>
                <w:szCs w:val="24"/>
              </w:rPr>
            </w:pPr>
            <w:r>
              <w:rPr>
                <w:rFonts w:ascii="Palatino Linotype" w:hAnsi="Palatino Linotype" w:cs="Calibri"/>
                <w:bCs/>
                <w:sz w:val="24"/>
                <w:szCs w:val="24"/>
              </w:rPr>
              <w:t xml:space="preserve">Le Sezioni unite attribuiscono al giudice ordinario le controversie relative al pagamento di crediti per prestazioni sanitarie </w:t>
            </w:r>
            <w:r w:rsidR="000477E9">
              <w:rPr>
                <w:rFonts w:ascii="Palatino Linotype" w:hAnsi="Palatino Linotype" w:cs="Calibri"/>
                <w:bCs/>
                <w:sz w:val="24"/>
                <w:szCs w:val="24"/>
              </w:rPr>
              <w:t>erogate da</w:t>
            </w:r>
            <w:r>
              <w:rPr>
                <w:rFonts w:ascii="Palatino Linotype" w:hAnsi="Palatino Linotype" w:cs="Calibri"/>
                <w:bCs/>
                <w:sz w:val="24"/>
                <w:szCs w:val="24"/>
              </w:rPr>
              <w:t>lle strutture accreditate</w:t>
            </w:r>
            <w:r w:rsidR="000477E9">
              <w:rPr>
                <w:rFonts w:ascii="Palatino Linotype" w:hAnsi="Palatino Linotype" w:cs="Calibri"/>
                <w:bCs/>
                <w:sz w:val="24"/>
                <w:szCs w:val="24"/>
              </w:rPr>
              <w:t>,</w:t>
            </w:r>
            <w:r>
              <w:rPr>
                <w:rFonts w:ascii="Palatino Linotype" w:hAnsi="Palatino Linotype" w:cs="Calibri"/>
                <w:bCs/>
                <w:sz w:val="24"/>
                <w:szCs w:val="24"/>
              </w:rPr>
              <w:t xml:space="preserve"> anche nei casi in cui sia necessario accertare la legittimità di provvedimenti amministrativi</w:t>
            </w:r>
            <w:r w:rsidR="00BD4708">
              <w:rPr>
                <w:rFonts w:ascii="Palatino Linotype" w:hAnsi="Palatino Linotype" w:cs="Calibri"/>
                <w:bCs/>
                <w:sz w:val="24"/>
                <w:szCs w:val="24"/>
              </w:rPr>
              <w:t xml:space="preserve"> (nella specie sui tetti di spesa e le conseguenti regressioni tariffarie)</w:t>
            </w:r>
            <w:r w:rsidR="00ED52DA">
              <w:rPr>
                <w:rFonts w:ascii="Palatino Linotype" w:hAnsi="Palatino Linotype" w:cs="Calibri"/>
                <w:bCs/>
                <w:sz w:val="24"/>
                <w:szCs w:val="24"/>
              </w:rPr>
              <w:t xml:space="preserve"> adottati nell’ambito del rapporto scaturito dalla originaria convenzione di accreditamento</w:t>
            </w:r>
            <w:r w:rsidR="00907C8D">
              <w:rPr>
                <w:rFonts w:ascii="Palatino Linotype" w:hAnsi="Palatino Linotype" w:cs="Calibri"/>
                <w:bCs/>
                <w:sz w:val="24"/>
                <w:szCs w:val="24"/>
              </w:rPr>
              <w:t>, la cui efficacia sia stata eccepita in via di eccezione dalla amministrazione resistente quale fatto impeditivo o modificativo della pretesa creditoria</w:t>
            </w:r>
            <w:r>
              <w:rPr>
                <w:rFonts w:ascii="Palatino Linotype" w:hAnsi="Palatino Linotype" w:cs="Calibri"/>
                <w:bCs/>
                <w:sz w:val="24"/>
                <w:szCs w:val="24"/>
              </w:rPr>
              <w:t>.</w:t>
            </w:r>
          </w:p>
          <w:p w:rsidR="00D33BBD" w:rsidRDefault="00D33BBD" w:rsidP="00D33BBD">
            <w:pPr>
              <w:spacing w:after="0" w:line="240" w:lineRule="auto"/>
              <w:jc w:val="both"/>
              <w:rPr>
                <w:rStyle w:val="Collegamentoipertestuale"/>
                <w:rFonts w:ascii="Palatino Linotype" w:eastAsia="Times New Roman" w:hAnsi="Palatino Linotype" w:cs="Calibri"/>
                <w:bCs/>
                <w:sz w:val="24"/>
                <w:szCs w:val="24"/>
                <w:lang w:eastAsia="it-IT"/>
              </w:rPr>
            </w:pPr>
          </w:p>
          <w:p w:rsidR="006B3165" w:rsidRPr="00D33BBD" w:rsidRDefault="00E424A6" w:rsidP="00D33BBD">
            <w:pPr>
              <w:spacing w:after="0" w:line="240" w:lineRule="auto"/>
              <w:jc w:val="both"/>
              <w:rPr>
                <w:rStyle w:val="Collegamentoipertestuale"/>
                <w:rFonts w:ascii="Palatino Linotype" w:eastAsia="Times New Roman" w:hAnsi="Palatino Linotype" w:cs="Calibri"/>
                <w:bCs/>
                <w:sz w:val="24"/>
                <w:szCs w:val="24"/>
                <w:lang w:eastAsia="it-IT"/>
              </w:rPr>
            </w:pPr>
            <w:hyperlink r:id="rId13" w:history="1">
              <w:r w:rsidR="00D442DF" w:rsidRPr="00D33BBD">
                <w:rPr>
                  <w:rStyle w:val="Collegamentoipertestuale"/>
                  <w:rFonts w:ascii="Palatino Linotype" w:eastAsia="Times New Roman" w:hAnsi="Palatino Linotype" w:cs="Calibri"/>
                  <w:bCs/>
                  <w:sz w:val="24"/>
                  <w:szCs w:val="24"/>
                  <w:lang w:eastAsia="it-IT"/>
                </w:rPr>
                <w:t>Corte di cassazione, sezioni u</w:t>
              </w:r>
              <w:r w:rsidR="006B3165" w:rsidRPr="00D33BBD">
                <w:rPr>
                  <w:rStyle w:val="Collegamentoipertestuale"/>
                  <w:rFonts w:ascii="Palatino Linotype" w:eastAsia="Times New Roman" w:hAnsi="Palatino Linotype" w:cs="Calibri"/>
                  <w:bCs/>
                  <w:sz w:val="24"/>
                  <w:szCs w:val="24"/>
                  <w:lang w:eastAsia="it-IT"/>
                </w:rPr>
                <w:t>nite</w:t>
              </w:r>
              <w:r w:rsidR="00D442DF" w:rsidRPr="00D33BBD">
                <w:rPr>
                  <w:rStyle w:val="Collegamentoipertestuale"/>
                  <w:rFonts w:ascii="Palatino Linotype" w:eastAsia="Times New Roman" w:hAnsi="Palatino Linotype" w:cs="Calibri"/>
                  <w:bCs/>
                  <w:sz w:val="24"/>
                  <w:szCs w:val="24"/>
                  <w:lang w:eastAsia="it-IT"/>
                </w:rPr>
                <w:t xml:space="preserve"> civili</w:t>
              </w:r>
              <w:r w:rsidR="006B3165" w:rsidRPr="00D33BBD">
                <w:rPr>
                  <w:rStyle w:val="Collegamentoipertestuale"/>
                  <w:rFonts w:ascii="Palatino Linotype" w:eastAsia="Times New Roman" w:hAnsi="Palatino Linotype" w:cs="Calibri"/>
                  <w:bCs/>
                  <w:sz w:val="24"/>
                  <w:szCs w:val="24"/>
                  <w:lang w:eastAsia="it-IT"/>
                </w:rPr>
                <w:t xml:space="preserve">, sentenza 2 novembre 2018, n. 28053 – </w:t>
              </w:r>
              <w:proofErr w:type="spellStart"/>
              <w:r w:rsidR="006B3165" w:rsidRPr="00D33BBD">
                <w:rPr>
                  <w:rStyle w:val="Collegamentoipertestuale"/>
                  <w:rFonts w:ascii="Palatino Linotype" w:eastAsia="Times New Roman" w:hAnsi="Palatino Linotype" w:cs="Calibri"/>
                  <w:bCs/>
                  <w:sz w:val="24"/>
                  <w:szCs w:val="24"/>
                  <w:lang w:eastAsia="it-IT"/>
                </w:rPr>
                <w:t>Pres</w:t>
              </w:r>
              <w:proofErr w:type="spellEnd"/>
              <w:r w:rsidR="006B3165" w:rsidRPr="00D33BBD">
                <w:rPr>
                  <w:rStyle w:val="Collegamentoipertestuale"/>
                  <w:rFonts w:ascii="Palatino Linotype" w:eastAsia="Times New Roman" w:hAnsi="Palatino Linotype" w:cs="Calibri"/>
                  <w:bCs/>
                  <w:sz w:val="24"/>
                  <w:szCs w:val="24"/>
                  <w:lang w:eastAsia="it-IT"/>
                </w:rPr>
                <w:t xml:space="preserve">. </w:t>
              </w:r>
              <w:proofErr w:type="spellStart"/>
              <w:r w:rsidR="006B3165" w:rsidRPr="00D33BBD">
                <w:rPr>
                  <w:rStyle w:val="Collegamentoipertestuale"/>
                  <w:rFonts w:ascii="Palatino Linotype" w:eastAsia="Times New Roman" w:hAnsi="Palatino Linotype" w:cs="Calibri"/>
                  <w:bCs/>
                  <w:sz w:val="24"/>
                  <w:szCs w:val="24"/>
                  <w:lang w:eastAsia="it-IT"/>
                </w:rPr>
                <w:t>Schirò</w:t>
              </w:r>
              <w:proofErr w:type="spellEnd"/>
              <w:r w:rsidR="006B3165" w:rsidRPr="00D33BBD">
                <w:rPr>
                  <w:rStyle w:val="Collegamentoipertestuale"/>
                  <w:rFonts w:ascii="Palatino Linotype" w:eastAsia="Times New Roman" w:hAnsi="Palatino Linotype" w:cs="Calibri"/>
                  <w:bCs/>
                  <w:sz w:val="24"/>
                  <w:szCs w:val="24"/>
                  <w:lang w:eastAsia="it-IT"/>
                </w:rPr>
                <w:t>, Est. Frasca</w:t>
              </w:r>
            </w:hyperlink>
          </w:p>
          <w:p w:rsidR="006B3165" w:rsidRDefault="006B3165" w:rsidP="006B3165">
            <w:pPr>
              <w:spacing w:after="0" w:line="240" w:lineRule="auto"/>
              <w:jc w:val="both"/>
              <w:rPr>
                <w:rFonts w:ascii="Palatino Linotype" w:hAnsi="Palatino Linotype" w:cs="Calibri"/>
                <w:bCs/>
                <w:sz w:val="24"/>
                <w:szCs w:val="24"/>
              </w:rPr>
            </w:pPr>
          </w:p>
          <w:p w:rsidR="006B3165" w:rsidRDefault="003C7E95" w:rsidP="003C7E95">
            <w:pPr>
              <w:spacing w:after="0" w:line="252" w:lineRule="auto"/>
              <w:jc w:val="both"/>
              <w:rPr>
                <w:rFonts w:ascii="Palatino Linotype" w:hAnsi="Palatino Linotype" w:cs="Calibri"/>
                <w:bCs/>
                <w:sz w:val="24"/>
                <w:szCs w:val="24"/>
              </w:rPr>
            </w:pPr>
            <w:r>
              <w:rPr>
                <w:rFonts w:ascii="Palatino Linotype" w:hAnsi="Palatino Linotype" w:cs="Calibri"/>
                <w:bCs/>
                <w:sz w:val="24"/>
                <w:szCs w:val="24"/>
              </w:rPr>
              <w:t>Aggiunge</w:t>
            </w:r>
            <w:r w:rsidR="006B3165">
              <w:rPr>
                <w:rFonts w:ascii="Palatino Linotype" w:hAnsi="Palatino Linotype" w:cs="Calibri"/>
                <w:bCs/>
                <w:sz w:val="24"/>
                <w:szCs w:val="24"/>
              </w:rPr>
              <w:t xml:space="preserve"> la Corte che</w:t>
            </w:r>
            <w:r>
              <w:rPr>
                <w:rFonts w:ascii="Palatino Linotype" w:hAnsi="Palatino Linotype" w:cs="Calibri"/>
                <w:bCs/>
                <w:sz w:val="24"/>
                <w:szCs w:val="24"/>
              </w:rPr>
              <w:t xml:space="preserve"> in tali casi è altresì precluso al giudice ordinario l’esercizio del potere di disapplicazione dei provvedimenti incidenti sulla determinazi</w:t>
            </w:r>
            <w:r w:rsidR="00907C8D">
              <w:rPr>
                <w:rFonts w:ascii="Palatino Linotype" w:hAnsi="Palatino Linotype" w:cs="Calibri"/>
                <w:bCs/>
                <w:sz w:val="24"/>
                <w:szCs w:val="24"/>
              </w:rPr>
              <w:t>one dei corrispettivi, dovendo egli limitarsi alla</w:t>
            </w:r>
            <w:r>
              <w:rPr>
                <w:rFonts w:ascii="Palatino Linotype" w:hAnsi="Palatino Linotype" w:cs="Calibri"/>
                <w:bCs/>
                <w:sz w:val="24"/>
                <w:szCs w:val="24"/>
              </w:rPr>
              <w:t xml:space="preserve"> verifica della conformità o meno del comportamento posto in essere dall’amministrazione in relazione al contenuto dispositivo dei provvedimenti contestati</w:t>
            </w:r>
            <w:r w:rsidR="00907C8D">
              <w:rPr>
                <w:rFonts w:ascii="Palatino Linotype" w:hAnsi="Palatino Linotype" w:cs="Calibri"/>
                <w:bCs/>
                <w:sz w:val="24"/>
                <w:szCs w:val="24"/>
              </w:rPr>
              <w:t xml:space="preserve"> che restano </w:t>
            </w:r>
            <w:r w:rsidR="00004621">
              <w:rPr>
                <w:rFonts w:ascii="Palatino Linotype" w:hAnsi="Palatino Linotype" w:cs="Calibri"/>
                <w:bCs/>
                <w:sz w:val="24"/>
                <w:szCs w:val="24"/>
              </w:rPr>
              <w:t xml:space="preserve">tuttavia </w:t>
            </w:r>
            <w:r w:rsidR="00907C8D">
              <w:rPr>
                <w:rFonts w:ascii="Palatino Linotype" w:hAnsi="Palatino Linotype" w:cs="Calibri"/>
                <w:bCs/>
                <w:sz w:val="24"/>
                <w:szCs w:val="24"/>
              </w:rPr>
              <w:t>impugnabili davanti al giudice amministrativo.</w:t>
            </w:r>
          </w:p>
          <w:p w:rsidR="006B1656" w:rsidRDefault="006B1656" w:rsidP="003C7E95">
            <w:pPr>
              <w:spacing w:after="0" w:line="252" w:lineRule="auto"/>
              <w:jc w:val="both"/>
              <w:rPr>
                <w:rFonts w:ascii="Palatino Linotype" w:hAnsi="Palatino Linotype" w:cs="Calibri"/>
                <w:bCs/>
                <w:sz w:val="24"/>
                <w:szCs w:val="24"/>
              </w:rPr>
            </w:pPr>
          </w:p>
          <w:p w:rsidR="006B1656" w:rsidRPr="006B1656" w:rsidRDefault="006B1656" w:rsidP="006B1656">
            <w:pPr>
              <w:shd w:val="clear" w:color="auto" w:fill="FFFFFF"/>
              <w:spacing w:after="0" w:line="240" w:lineRule="auto"/>
              <w:ind w:left="23"/>
              <w:jc w:val="both"/>
              <w:rPr>
                <w:rFonts w:ascii="Palatino Linotype" w:eastAsia="Calibri" w:hAnsi="Palatino Linotype" w:cs="Times New Roman"/>
                <w:b/>
                <w:bCs/>
                <w:color w:val="993300"/>
                <w:sz w:val="24"/>
                <w:szCs w:val="24"/>
              </w:rPr>
            </w:pPr>
            <w:r>
              <w:rPr>
                <w:rFonts w:ascii="Palatino Linotype" w:eastAsia="Calibri" w:hAnsi="Palatino Linotype" w:cs="Times New Roman"/>
                <w:b/>
                <w:bCs/>
                <w:color w:val="993300"/>
                <w:sz w:val="24"/>
                <w:szCs w:val="24"/>
              </w:rPr>
              <w:t>Si segnala che la sentenza</w:t>
            </w:r>
            <w:r w:rsidRPr="005D3CFD">
              <w:rPr>
                <w:rFonts w:ascii="Palatino Linotype" w:eastAsia="Calibri" w:hAnsi="Palatino Linotype" w:cs="Times New Roman"/>
                <w:b/>
                <w:bCs/>
                <w:color w:val="993300"/>
                <w:sz w:val="24"/>
                <w:szCs w:val="24"/>
              </w:rPr>
              <w:t xml:space="preserve"> sarà oggetto di trattazione in apposita News a cura dell’Ufficio Studi Massimario e Formazione.</w:t>
            </w:r>
          </w:p>
          <w:p w:rsidR="006B3165" w:rsidRDefault="006B3165" w:rsidP="00FF65BC">
            <w:pPr>
              <w:spacing w:after="0" w:line="240" w:lineRule="auto"/>
              <w:jc w:val="both"/>
              <w:rPr>
                <w:rFonts w:ascii="Palatino Linotype" w:eastAsia="Calibri" w:hAnsi="Palatino Linotype" w:cs="Times New Roman"/>
                <w:sz w:val="24"/>
                <w:szCs w:val="24"/>
              </w:rPr>
            </w:pPr>
          </w:p>
        </w:tc>
      </w:tr>
    </w:tbl>
    <w:p w:rsidR="006B3165" w:rsidRDefault="006B3165" w:rsidP="005D3CFD">
      <w:pPr>
        <w:spacing w:after="0" w:line="240" w:lineRule="auto"/>
        <w:jc w:val="both"/>
        <w:rPr>
          <w:rFonts w:ascii="Palatino Linotype" w:eastAsia="Calibri" w:hAnsi="Palatino Linotype" w:cs="Times New Roman"/>
          <w:sz w:val="24"/>
          <w:szCs w:val="24"/>
        </w:rPr>
      </w:pPr>
    </w:p>
    <w:p w:rsidR="006B3165" w:rsidRDefault="006B3165" w:rsidP="005D3CFD">
      <w:pPr>
        <w:spacing w:after="0" w:line="240" w:lineRule="auto"/>
        <w:jc w:val="both"/>
        <w:rPr>
          <w:rFonts w:ascii="Palatino Linotype" w:eastAsia="Calibri" w:hAnsi="Palatino Linotype" w:cs="Times New Roman"/>
          <w:sz w:val="24"/>
          <w:szCs w:val="24"/>
        </w:rPr>
      </w:pPr>
    </w:p>
    <w:tbl>
      <w:tblPr>
        <w:tblW w:w="9618" w:type="dxa"/>
        <w:jc w:val="center"/>
        <w:tblCellMar>
          <w:left w:w="0" w:type="dxa"/>
          <w:right w:w="0" w:type="dxa"/>
        </w:tblCellMar>
        <w:tblLook w:val="04A0" w:firstRow="1" w:lastRow="0" w:firstColumn="1" w:lastColumn="0" w:noHBand="0" w:noVBand="1"/>
      </w:tblPr>
      <w:tblGrid>
        <w:gridCol w:w="9618"/>
      </w:tblGrid>
      <w:tr w:rsidR="005D3CFD" w:rsidRPr="005D3CFD" w:rsidTr="006B3165">
        <w:trPr>
          <w:jc w:val="center"/>
        </w:trPr>
        <w:tc>
          <w:tcPr>
            <w:tcW w:w="9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5202" w:rsidRPr="00DE511A" w:rsidRDefault="00FD5202" w:rsidP="00E86C88">
            <w:pPr>
              <w:spacing w:after="0" w:line="252" w:lineRule="auto"/>
              <w:rPr>
                <w:rFonts w:ascii="Palatino Linotype" w:eastAsia="Calibri" w:hAnsi="Palatino Linotype" w:cs="Times New Roman"/>
                <w:color w:val="2E74B5"/>
                <w:sz w:val="24"/>
                <w:szCs w:val="24"/>
              </w:rPr>
            </w:pPr>
          </w:p>
          <w:p w:rsidR="005D3CFD" w:rsidRPr="005D3CFD" w:rsidRDefault="005D3CFD" w:rsidP="002C477F">
            <w:pPr>
              <w:spacing w:after="0" w:line="252" w:lineRule="auto"/>
              <w:jc w:val="center"/>
              <w:rPr>
                <w:rFonts w:ascii="Calibri Light" w:eastAsia="Calibri" w:hAnsi="Calibri Light" w:cs="Times New Roman"/>
                <w:color w:val="2E74B5"/>
                <w:sz w:val="32"/>
                <w:szCs w:val="32"/>
              </w:rPr>
            </w:pPr>
            <w:r w:rsidRPr="005D3CFD">
              <w:rPr>
                <w:rFonts w:ascii="Palatino Linotype" w:eastAsia="Calibri" w:hAnsi="Palatino Linotype" w:cs="Times New Roman"/>
                <w:color w:val="2E74B5"/>
                <w:sz w:val="32"/>
                <w:szCs w:val="32"/>
              </w:rPr>
              <w:t>Consiglio di Stato, Consiglio di giustizia amministrativa per la Regione siciliana e Tribunali Amministrativi Regionali</w:t>
            </w:r>
          </w:p>
          <w:p w:rsidR="005D3CFD" w:rsidRPr="005D3CFD" w:rsidRDefault="005D3CFD" w:rsidP="005D3CFD">
            <w:pPr>
              <w:spacing w:after="0" w:line="240" w:lineRule="auto"/>
              <w:rPr>
                <w:rFonts w:ascii="Palatino Linotype" w:eastAsia="Calibri" w:hAnsi="Palatino Linotype" w:cs="Times New Roman"/>
                <w:color w:val="833C0B"/>
              </w:rPr>
            </w:pPr>
          </w:p>
          <w:p w:rsidR="005D3CFD" w:rsidRPr="005D3CFD" w:rsidRDefault="005D3CFD" w:rsidP="005D3CFD">
            <w:pPr>
              <w:spacing w:after="0" w:line="240" w:lineRule="auto"/>
              <w:jc w:val="both"/>
              <w:rPr>
                <w:rFonts w:ascii="Palatino Linotype" w:eastAsia="Calibri" w:hAnsi="Palatino Linotype" w:cs="Times New Roman"/>
                <w:b/>
                <w:bCs/>
                <w:color w:val="833C0B"/>
              </w:rPr>
            </w:pPr>
            <w:r w:rsidRPr="005D3CFD">
              <w:rPr>
                <w:rFonts w:ascii="Palatino Linotype" w:eastAsia="Calibri" w:hAnsi="Palatino Linotype" w:cs="Times New Roman"/>
                <w:b/>
                <w:bCs/>
                <w:color w:val="833C0B"/>
              </w:rPr>
              <w:lastRenderedPageBreak/>
              <w:t xml:space="preserve">Le massime e le relative appendici, a cura del </w:t>
            </w:r>
            <w:proofErr w:type="spellStart"/>
            <w:r w:rsidRPr="005D3CFD">
              <w:rPr>
                <w:rFonts w:ascii="Palatino Linotype" w:eastAsia="Calibri" w:hAnsi="Palatino Linotype" w:cs="Times New Roman"/>
                <w:b/>
                <w:bCs/>
                <w:color w:val="833C0B"/>
              </w:rPr>
              <w:t>Cons</w:t>
            </w:r>
            <w:proofErr w:type="spellEnd"/>
            <w:r w:rsidRPr="005D3CFD">
              <w:rPr>
                <w:rFonts w:ascii="Palatino Linotype" w:eastAsia="Calibri" w:hAnsi="Palatino Linotype" w:cs="Times New Roman"/>
                <w:b/>
                <w:bCs/>
                <w:color w:val="833C0B"/>
              </w:rPr>
              <w:t>. Giulia Ferrari, possono consultarsi nella Sezione “</w:t>
            </w:r>
            <w:hyperlink r:id="rId14" w:history="1">
              <w:r w:rsidRPr="005D3CFD">
                <w:rPr>
                  <w:rFonts w:ascii="Palatino Linotype" w:eastAsia="Calibri" w:hAnsi="Palatino Linotype" w:cs="Times New Roman"/>
                  <w:b/>
                  <w:bCs/>
                  <w:color w:val="833C0B"/>
                  <w:u w:val="single"/>
                </w:rPr>
                <w:t>In evidenza</w:t>
              </w:r>
            </w:hyperlink>
            <w:r w:rsidRPr="005D3CFD">
              <w:rPr>
                <w:rFonts w:ascii="Palatino Linotype" w:eastAsia="Calibri" w:hAnsi="Palatino Linotype" w:cs="Times New Roman"/>
                <w:b/>
                <w:bCs/>
                <w:color w:val="833C0B"/>
              </w:rPr>
              <w:t>” della Home page del sito istituzionale</w:t>
            </w:r>
            <w:r w:rsidR="00B80232">
              <w:rPr>
                <w:rFonts w:ascii="Palatino Linotype" w:eastAsia="Calibri" w:hAnsi="Palatino Linotype" w:cs="Times New Roman"/>
                <w:b/>
                <w:bCs/>
                <w:color w:val="833C0B"/>
              </w:rPr>
              <w:t>.</w:t>
            </w:r>
          </w:p>
          <w:p w:rsidR="00AA1567" w:rsidRDefault="00AA1567" w:rsidP="00EF3813">
            <w:pPr>
              <w:autoSpaceDE w:val="0"/>
              <w:autoSpaceDN w:val="0"/>
              <w:spacing w:after="0" w:line="240" w:lineRule="auto"/>
              <w:rPr>
                <w:rFonts w:ascii="Palatino Linotype" w:eastAsia="Calibri" w:hAnsi="Palatino Linotype" w:cs="Times New Roman"/>
                <w:color w:val="4472C4"/>
                <w:sz w:val="32"/>
                <w:szCs w:val="32"/>
              </w:rPr>
            </w:pPr>
          </w:p>
          <w:p w:rsidR="00DB1714" w:rsidRDefault="00DB1714" w:rsidP="00DB1714">
            <w:pPr>
              <w:autoSpaceDE w:val="0"/>
              <w:autoSpaceDN w:val="0"/>
              <w:spacing w:after="0" w:line="240" w:lineRule="auto"/>
              <w:jc w:val="center"/>
              <w:rPr>
                <w:rFonts w:ascii="Palatino Linotype" w:eastAsia="Calibri" w:hAnsi="Palatino Linotype" w:cs="Times New Roman"/>
                <w:color w:val="4472C4"/>
                <w:sz w:val="32"/>
                <w:szCs w:val="32"/>
              </w:rPr>
            </w:pPr>
            <w:r w:rsidRPr="00C74CB3">
              <w:rPr>
                <w:rFonts w:ascii="Palatino Linotype" w:eastAsia="Calibri" w:hAnsi="Palatino Linotype" w:cs="Times New Roman"/>
                <w:color w:val="4472C4"/>
                <w:sz w:val="32"/>
                <w:szCs w:val="32"/>
              </w:rPr>
              <w:t>(</w:t>
            </w:r>
            <w:r>
              <w:rPr>
                <w:rFonts w:ascii="Palatino Linotype" w:eastAsia="Calibri" w:hAnsi="Palatino Linotype" w:cs="Times New Roman"/>
                <w:color w:val="4472C4"/>
                <w:sz w:val="32"/>
                <w:szCs w:val="32"/>
              </w:rPr>
              <w:t>7</w:t>
            </w:r>
            <w:r w:rsidRPr="00C74CB3">
              <w:rPr>
                <w:rFonts w:ascii="Palatino Linotype" w:eastAsia="Calibri" w:hAnsi="Palatino Linotype" w:cs="Times New Roman"/>
                <w:color w:val="4472C4"/>
                <w:sz w:val="32"/>
                <w:szCs w:val="32"/>
              </w:rPr>
              <w:t>)</w:t>
            </w:r>
          </w:p>
          <w:p w:rsidR="00DB1714" w:rsidRPr="00DB1714" w:rsidRDefault="00DB1714" w:rsidP="00DB1714">
            <w:pPr>
              <w:autoSpaceDE w:val="0"/>
              <w:autoSpaceDN w:val="0"/>
              <w:spacing w:after="0" w:line="240" w:lineRule="auto"/>
              <w:jc w:val="center"/>
              <w:rPr>
                <w:rFonts w:ascii="Palatino Linotype" w:eastAsia="Calibri" w:hAnsi="Palatino Linotype" w:cs="Times New Roman"/>
                <w:color w:val="4472C4"/>
                <w:sz w:val="24"/>
                <w:szCs w:val="24"/>
              </w:rPr>
            </w:pPr>
          </w:p>
          <w:p w:rsidR="00D33BBD" w:rsidRDefault="00DB1714" w:rsidP="00471099">
            <w:pPr>
              <w:autoSpaceDE w:val="0"/>
              <w:autoSpaceDN w:val="0"/>
              <w:spacing w:after="0" w:line="24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L’Adunanza plenaria del Consiglio di Stato si pronuncia sulla questione della idoneità del diploma di massofis</w:t>
            </w:r>
            <w:r w:rsidR="00471099">
              <w:rPr>
                <w:rFonts w:ascii="Palatino Linotype" w:eastAsia="Calibri" w:hAnsi="Palatino Linotype" w:cs="Times New Roman"/>
                <w:sz w:val="24"/>
                <w:szCs w:val="24"/>
              </w:rPr>
              <w:t>i</w:t>
            </w:r>
            <w:r>
              <w:rPr>
                <w:rFonts w:ascii="Palatino Linotype" w:eastAsia="Calibri" w:hAnsi="Palatino Linotype" w:cs="Times New Roman"/>
                <w:sz w:val="24"/>
                <w:szCs w:val="24"/>
              </w:rPr>
              <w:t>oterapi</w:t>
            </w:r>
            <w:r w:rsidR="00471099">
              <w:rPr>
                <w:rFonts w:ascii="Palatino Linotype" w:eastAsia="Calibri" w:hAnsi="Palatino Linotype" w:cs="Times New Roman"/>
                <w:sz w:val="24"/>
                <w:szCs w:val="24"/>
              </w:rPr>
              <w:t>st</w:t>
            </w:r>
            <w:r>
              <w:rPr>
                <w:rFonts w:ascii="Palatino Linotype" w:eastAsia="Calibri" w:hAnsi="Palatino Linotype" w:cs="Times New Roman"/>
                <w:sz w:val="24"/>
                <w:szCs w:val="24"/>
              </w:rPr>
              <w:t>a alla iscrizione alla facoltà di Fisioterapia.</w:t>
            </w:r>
          </w:p>
          <w:p w:rsidR="00DB1714" w:rsidRDefault="00DB1714" w:rsidP="00471099">
            <w:pPr>
              <w:autoSpaceDE w:val="0"/>
              <w:autoSpaceDN w:val="0"/>
              <w:spacing w:after="0" w:line="240" w:lineRule="auto"/>
              <w:jc w:val="both"/>
              <w:rPr>
                <w:rFonts w:ascii="Palatino Linotype" w:eastAsia="Calibri" w:hAnsi="Palatino Linotype" w:cs="Times New Roman"/>
                <w:sz w:val="24"/>
                <w:szCs w:val="24"/>
              </w:rPr>
            </w:pPr>
          </w:p>
          <w:p w:rsidR="00DB1714" w:rsidRPr="00471099" w:rsidRDefault="00E424A6" w:rsidP="00471099">
            <w:pPr>
              <w:spacing w:after="0" w:line="240" w:lineRule="auto"/>
              <w:jc w:val="both"/>
              <w:rPr>
                <w:rStyle w:val="Collegamentoipertestuale"/>
                <w:rFonts w:ascii="Palatino Linotype" w:eastAsia="Times New Roman" w:hAnsi="Palatino Linotype" w:cs="Calibri"/>
                <w:bCs/>
                <w:sz w:val="24"/>
                <w:szCs w:val="24"/>
                <w:lang w:eastAsia="it-IT"/>
              </w:rPr>
            </w:pPr>
            <w:hyperlink r:id="rId15" w:history="1">
              <w:r w:rsidR="00DB1714" w:rsidRPr="00E424A6">
                <w:rPr>
                  <w:rStyle w:val="Collegamentoipertestuale"/>
                  <w:rFonts w:ascii="Palatino Linotype" w:eastAsia="Times New Roman" w:hAnsi="Palatino Linotype" w:cs="Calibri"/>
                  <w:bCs/>
                  <w:sz w:val="24"/>
                  <w:szCs w:val="24"/>
                  <w:lang w:eastAsia="it-IT"/>
                </w:rPr>
                <w:t>Consiglio di Stato, Adun</w:t>
              </w:r>
              <w:bookmarkStart w:id="0" w:name="_GoBack"/>
              <w:bookmarkEnd w:id="0"/>
              <w:r w:rsidR="00DB1714" w:rsidRPr="00E424A6">
                <w:rPr>
                  <w:rStyle w:val="Collegamentoipertestuale"/>
                  <w:rFonts w:ascii="Palatino Linotype" w:eastAsia="Times New Roman" w:hAnsi="Palatino Linotype" w:cs="Calibri"/>
                  <w:bCs/>
                  <w:sz w:val="24"/>
                  <w:szCs w:val="24"/>
                  <w:lang w:eastAsia="it-IT"/>
                </w:rPr>
                <w:t>a</w:t>
              </w:r>
              <w:r w:rsidR="00DB1714" w:rsidRPr="00E424A6">
                <w:rPr>
                  <w:rStyle w:val="Collegamentoipertestuale"/>
                  <w:rFonts w:ascii="Palatino Linotype" w:eastAsia="Times New Roman" w:hAnsi="Palatino Linotype" w:cs="Calibri"/>
                  <w:bCs/>
                  <w:sz w:val="24"/>
                  <w:szCs w:val="24"/>
                  <w:lang w:eastAsia="it-IT"/>
                </w:rPr>
                <w:t xml:space="preserve">nza plenaria, sentenza 9 novembre 2018, n. 16 - </w:t>
              </w:r>
              <w:proofErr w:type="spellStart"/>
              <w:r w:rsidR="00DB1714" w:rsidRPr="00E424A6">
                <w:rPr>
                  <w:rStyle w:val="Collegamentoipertestuale"/>
                  <w:rFonts w:ascii="Palatino Linotype" w:eastAsia="Times New Roman" w:hAnsi="Palatino Linotype" w:cs="Calibri"/>
                  <w:bCs/>
                  <w:sz w:val="24"/>
                  <w:szCs w:val="24"/>
                  <w:lang w:eastAsia="it-IT"/>
                </w:rPr>
                <w:t>Pres</w:t>
              </w:r>
              <w:proofErr w:type="spellEnd"/>
              <w:r w:rsidR="00DB1714" w:rsidRPr="00E424A6">
                <w:rPr>
                  <w:rStyle w:val="Collegamentoipertestuale"/>
                  <w:rFonts w:ascii="Palatino Linotype" w:eastAsia="Times New Roman" w:hAnsi="Palatino Linotype" w:cs="Calibri"/>
                  <w:bCs/>
                  <w:sz w:val="24"/>
                  <w:szCs w:val="24"/>
                  <w:lang w:eastAsia="it-IT"/>
                </w:rPr>
                <w:t>. Patroni Griffi, Est. Sabatino</w:t>
              </w:r>
            </w:hyperlink>
          </w:p>
          <w:p w:rsidR="00DB1714" w:rsidRDefault="00DB1714" w:rsidP="00DB1714">
            <w:pPr>
              <w:autoSpaceDE w:val="0"/>
              <w:autoSpaceDN w:val="0"/>
              <w:spacing w:after="0" w:line="240" w:lineRule="auto"/>
              <w:rPr>
                <w:rFonts w:ascii="Palatino Linotype" w:eastAsia="Calibri" w:hAnsi="Palatino Linotype" w:cs="Times New Roman"/>
                <w:sz w:val="24"/>
                <w:szCs w:val="24"/>
                <w:u w:val="single"/>
              </w:rPr>
            </w:pPr>
          </w:p>
          <w:p w:rsidR="00DB1714" w:rsidRDefault="00DB1714" w:rsidP="00DB1714">
            <w:pPr>
              <w:autoSpaceDE w:val="0"/>
              <w:autoSpaceDN w:val="0"/>
              <w:spacing w:after="0" w:line="240" w:lineRule="auto"/>
              <w:rPr>
                <w:rFonts w:ascii="Palatino Linotype" w:eastAsia="Calibri" w:hAnsi="Palatino Linotype" w:cs="Times New Roman"/>
                <w:sz w:val="24"/>
                <w:szCs w:val="24"/>
              </w:rPr>
            </w:pPr>
            <w:r w:rsidRPr="00471099">
              <w:rPr>
                <w:rFonts w:ascii="Palatino Linotype" w:eastAsia="Calibri" w:hAnsi="Palatino Linotype" w:cs="Times New Roman"/>
                <w:sz w:val="24"/>
                <w:szCs w:val="24"/>
              </w:rPr>
              <w:t>L’Adunanza plenaria ha enunciato il seguente principio di diritto</w:t>
            </w:r>
            <w:r w:rsidR="00471099" w:rsidRPr="00471099">
              <w:rPr>
                <w:rFonts w:ascii="Palatino Linotype" w:eastAsia="Calibri" w:hAnsi="Palatino Linotype" w:cs="Times New Roman"/>
                <w:sz w:val="24"/>
                <w:szCs w:val="24"/>
              </w:rPr>
              <w:t>:</w:t>
            </w:r>
          </w:p>
          <w:p w:rsidR="00471099" w:rsidRDefault="00471099" w:rsidP="00DB1714">
            <w:pPr>
              <w:autoSpaceDE w:val="0"/>
              <w:autoSpaceDN w:val="0"/>
              <w:spacing w:after="0" w:line="240" w:lineRule="auto"/>
              <w:rPr>
                <w:rFonts w:ascii="Palatino Linotype" w:eastAsia="Calibri" w:hAnsi="Palatino Linotype" w:cs="Times New Roman"/>
                <w:sz w:val="24"/>
                <w:szCs w:val="24"/>
              </w:rPr>
            </w:pPr>
          </w:p>
          <w:p w:rsidR="00471099" w:rsidRPr="00471099" w:rsidRDefault="00FA7C26" w:rsidP="00471099">
            <w:pPr>
              <w:autoSpaceDE w:val="0"/>
              <w:autoSpaceDN w:val="0"/>
              <w:spacing w:after="0" w:line="24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“I</w:t>
            </w:r>
            <w:r w:rsidR="00471099" w:rsidRPr="00471099">
              <w:rPr>
                <w:rFonts w:ascii="Palatino Linotype" w:eastAsia="Calibri" w:hAnsi="Palatino Linotype" w:cs="Times New Roman"/>
                <w:sz w:val="24"/>
                <w:szCs w:val="24"/>
              </w:rPr>
              <w:t>l diploma di massofisioterapista, rilasciato ai sensi della l. 19 maggio 1971 n. 403, non consente ex se l’iscrizione alla facoltà di Fisioterapia né dà vita, nella fase di ammissione al corso universitario, ad alcuna forma di facilitazione, nemmeno se posseduto unitamente ad altro titolo di scuola secondaria di secondo grado di durata quinquennale.</w:t>
            </w:r>
          </w:p>
          <w:p w:rsidR="00DB1714" w:rsidRDefault="00471099" w:rsidP="00471099">
            <w:pPr>
              <w:autoSpaceDE w:val="0"/>
              <w:autoSpaceDN w:val="0"/>
              <w:spacing w:after="0" w:line="240" w:lineRule="auto"/>
              <w:jc w:val="both"/>
              <w:rPr>
                <w:rFonts w:ascii="Palatino Linotype" w:eastAsia="Calibri" w:hAnsi="Palatino Linotype" w:cs="Times New Roman"/>
                <w:sz w:val="24"/>
                <w:szCs w:val="24"/>
              </w:rPr>
            </w:pPr>
            <w:r w:rsidRPr="00471099">
              <w:rPr>
                <w:rFonts w:ascii="Palatino Linotype" w:eastAsia="Calibri" w:hAnsi="Palatino Linotype" w:cs="Times New Roman"/>
                <w:sz w:val="24"/>
                <w:szCs w:val="24"/>
              </w:rPr>
              <w:t>L’iscrizione alla facoltà di Fisioterapia potrà quindi avvenire solo secondo le regole ordinarie che postulano il possesso di un titolo idoneo all’accesso alla formazione universitaria ed il superamento della prova selettiva di cui all’art. 4 della legge 2 agosto 1999, n. 264.”</w:t>
            </w:r>
          </w:p>
          <w:p w:rsidR="00DE45D0" w:rsidRDefault="00DE45D0" w:rsidP="00471099">
            <w:pPr>
              <w:autoSpaceDE w:val="0"/>
              <w:autoSpaceDN w:val="0"/>
              <w:spacing w:after="0" w:line="240" w:lineRule="auto"/>
              <w:jc w:val="both"/>
              <w:rPr>
                <w:rFonts w:ascii="Palatino Linotype" w:eastAsia="Calibri" w:hAnsi="Palatino Linotype" w:cs="Times New Roman"/>
                <w:sz w:val="24"/>
                <w:szCs w:val="24"/>
              </w:rPr>
            </w:pPr>
          </w:p>
          <w:p w:rsidR="00DE45D0" w:rsidRPr="00DE45D0" w:rsidRDefault="00DE45D0" w:rsidP="00DE45D0">
            <w:pPr>
              <w:shd w:val="clear" w:color="auto" w:fill="FFFFFF"/>
              <w:spacing w:after="0" w:line="240" w:lineRule="auto"/>
              <w:ind w:left="23"/>
              <w:jc w:val="both"/>
              <w:rPr>
                <w:rFonts w:ascii="Palatino Linotype" w:eastAsia="Calibri" w:hAnsi="Palatino Linotype" w:cs="Times New Roman"/>
                <w:b/>
                <w:bCs/>
                <w:color w:val="993300"/>
                <w:sz w:val="24"/>
                <w:szCs w:val="24"/>
              </w:rPr>
            </w:pPr>
            <w:r>
              <w:rPr>
                <w:rFonts w:ascii="Palatino Linotype" w:eastAsia="Calibri" w:hAnsi="Palatino Linotype" w:cs="Times New Roman"/>
                <w:b/>
                <w:bCs/>
                <w:color w:val="993300"/>
                <w:sz w:val="24"/>
                <w:szCs w:val="24"/>
              </w:rPr>
              <w:t>Si segnala che la sentenza</w:t>
            </w:r>
            <w:r w:rsidRPr="005D3CFD">
              <w:rPr>
                <w:rFonts w:ascii="Palatino Linotype" w:eastAsia="Calibri" w:hAnsi="Palatino Linotype" w:cs="Times New Roman"/>
                <w:b/>
                <w:bCs/>
                <w:color w:val="993300"/>
                <w:sz w:val="24"/>
                <w:szCs w:val="24"/>
              </w:rPr>
              <w:t xml:space="preserve"> sarà oggetto di trattazione in apposita News a cura dell’Ufficio Studi Massimario e Formazione.</w:t>
            </w:r>
          </w:p>
          <w:p w:rsidR="00471099" w:rsidRPr="00471099" w:rsidRDefault="00471099" w:rsidP="00471099">
            <w:pPr>
              <w:autoSpaceDE w:val="0"/>
              <w:autoSpaceDN w:val="0"/>
              <w:spacing w:after="0" w:line="240" w:lineRule="auto"/>
              <w:jc w:val="both"/>
              <w:rPr>
                <w:rFonts w:ascii="Palatino Linotype" w:eastAsia="Calibri" w:hAnsi="Palatino Linotype" w:cs="Times New Roman"/>
                <w:sz w:val="24"/>
                <w:szCs w:val="24"/>
              </w:rPr>
            </w:pPr>
          </w:p>
          <w:p w:rsidR="00161915" w:rsidRPr="00C74CB3" w:rsidRDefault="00161915" w:rsidP="009A323D">
            <w:pPr>
              <w:autoSpaceDE w:val="0"/>
              <w:autoSpaceDN w:val="0"/>
              <w:spacing w:after="0" w:line="240" w:lineRule="auto"/>
              <w:jc w:val="center"/>
              <w:rPr>
                <w:rFonts w:ascii="Palatino Linotype" w:eastAsia="Calibri" w:hAnsi="Palatino Linotype" w:cs="Times New Roman"/>
                <w:color w:val="4472C4"/>
                <w:sz w:val="32"/>
                <w:szCs w:val="32"/>
              </w:rPr>
            </w:pPr>
            <w:r w:rsidRPr="00C74CB3">
              <w:rPr>
                <w:rFonts w:ascii="Palatino Linotype" w:eastAsia="Calibri" w:hAnsi="Palatino Linotype" w:cs="Times New Roman"/>
                <w:color w:val="4472C4"/>
                <w:sz w:val="32"/>
                <w:szCs w:val="32"/>
              </w:rPr>
              <w:t>(</w:t>
            </w:r>
            <w:r w:rsidR="00DB1714">
              <w:rPr>
                <w:rFonts w:ascii="Palatino Linotype" w:eastAsia="Calibri" w:hAnsi="Palatino Linotype" w:cs="Times New Roman"/>
                <w:color w:val="4472C4"/>
                <w:sz w:val="32"/>
                <w:szCs w:val="32"/>
              </w:rPr>
              <w:t>8</w:t>
            </w:r>
            <w:r w:rsidRPr="00C74CB3">
              <w:rPr>
                <w:rFonts w:ascii="Palatino Linotype" w:eastAsia="Calibri" w:hAnsi="Palatino Linotype" w:cs="Times New Roman"/>
                <w:color w:val="4472C4"/>
                <w:sz w:val="32"/>
                <w:szCs w:val="32"/>
              </w:rPr>
              <w:t>)</w:t>
            </w:r>
          </w:p>
          <w:p w:rsidR="00AA1567" w:rsidRDefault="009C5981" w:rsidP="00EF3813">
            <w:pPr>
              <w:spacing w:before="100" w:beforeAutospacing="1" w:after="100" w:afterAutospacing="1" w:line="24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Il Consiglio di Stato, sezione</w:t>
            </w:r>
            <w:r w:rsidR="00B80232" w:rsidRPr="009A323D">
              <w:rPr>
                <w:rFonts w:ascii="Palatino Linotype" w:eastAsia="Calibri" w:hAnsi="Palatino Linotype" w:cs="Times New Roman"/>
                <w:sz w:val="24"/>
                <w:szCs w:val="24"/>
              </w:rPr>
              <w:t xml:space="preserve"> VI, </w:t>
            </w:r>
            <w:r>
              <w:rPr>
                <w:rFonts w:ascii="Palatino Linotype" w:eastAsia="Calibri" w:hAnsi="Palatino Linotype" w:cs="Times New Roman"/>
                <w:sz w:val="24"/>
                <w:szCs w:val="24"/>
              </w:rPr>
              <w:t>ha rimesso</w:t>
            </w:r>
            <w:r w:rsidR="00B80232" w:rsidRPr="009A323D">
              <w:rPr>
                <w:rFonts w:ascii="Palatino Linotype" w:eastAsia="Calibri" w:hAnsi="Palatino Linotype" w:cs="Times New Roman"/>
                <w:sz w:val="24"/>
                <w:szCs w:val="24"/>
              </w:rPr>
              <w:t xml:space="preserve"> </w:t>
            </w:r>
            <w:r w:rsidR="00E21D3B">
              <w:rPr>
                <w:rFonts w:ascii="Palatino Linotype" w:eastAsia="Calibri" w:hAnsi="Palatino Linotype" w:cs="Times New Roman"/>
                <w:sz w:val="24"/>
                <w:szCs w:val="24"/>
              </w:rPr>
              <w:t xml:space="preserve">nuovamente </w:t>
            </w:r>
            <w:r w:rsidR="00B80232" w:rsidRPr="009A323D">
              <w:rPr>
                <w:rFonts w:ascii="Palatino Linotype" w:eastAsia="Calibri" w:hAnsi="Palatino Linotype" w:cs="Times New Roman"/>
                <w:sz w:val="24"/>
                <w:szCs w:val="24"/>
              </w:rPr>
              <w:t>alla Corte di giustizia UE una serie di questio</w:t>
            </w:r>
            <w:r w:rsidR="00B80232">
              <w:rPr>
                <w:rFonts w:ascii="Palatino Linotype" w:eastAsia="Calibri" w:hAnsi="Palatino Linotype" w:cs="Times New Roman"/>
                <w:sz w:val="24"/>
                <w:szCs w:val="24"/>
              </w:rPr>
              <w:t>ni interpretative concernenti</w:t>
            </w:r>
            <w:r w:rsidR="00B80232" w:rsidRPr="00B80232">
              <w:rPr>
                <w:rFonts w:ascii="Palatino Linotype" w:eastAsia="Calibri" w:hAnsi="Palatino Linotype" w:cs="Times New Roman"/>
                <w:sz w:val="24"/>
                <w:szCs w:val="24"/>
              </w:rPr>
              <w:t xml:space="preserve"> la corretta interpretazione dei princip</w:t>
            </w:r>
            <w:r w:rsidR="00B80232">
              <w:rPr>
                <w:rFonts w:ascii="Palatino Linotype" w:eastAsia="Calibri" w:hAnsi="Palatino Linotype" w:cs="Times New Roman"/>
                <w:sz w:val="24"/>
                <w:szCs w:val="24"/>
              </w:rPr>
              <w:t xml:space="preserve">i e delle norme europee sulla </w:t>
            </w:r>
            <w:r w:rsidR="00B80232" w:rsidRPr="00B80232">
              <w:rPr>
                <w:rFonts w:ascii="Palatino Linotype" w:eastAsia="Calibri" w:hAnsi="Palatino Linotype" w:cs="Times New Roman"/>
                <w:sz w:val="24"/>
                <w:szCs w:val="24"/>
              </w:rPr>
              <w:t>applicazione retroattiva dei criteri di determinazione dell’entità dei rimborsi spettanti agli ex concessionari del servizio di distribuzione del gas naturale con incidenza su pregressi rapporti negoziali ovvero se tale applicazione sia giustificata, anche alla luce del principio di proporzionalità, dall’esigenza di tutelare altri interessi pubblici, di rilevanza europea, afferenti all’esigenza di consentire una migliore tutela dell’assetto concorrenziale del mercato di riferimento unitamente alla maggiore protezione degli utenti del servizio che potrebbero subire, indirettamente, gli effetti di una eventuale maggiorazione delle somme spettanti agli ex concessionari</w:t>
            </w:r>
            <w:r w:rsidR="00B80232">
              <w:rPr>
                <w:rFonts w:ascii="Palatino Linotype" w:eastAsia="Calibri" w:hAnsi="Palatino Linotype" w:cs="Times New Roman"/>
                <w:sz w:val="24"/>
                <w:szCs w:val="24"/>
              </w:rPr>
              <w:t>.</w:t>
            </w:r>
            <w:r w:rsidR="00B80232" w:rsidRPr="00B80232">
              <w:rPr>
                <w:rFonts w:ascii="Palatino Linotype" w:eastAsia="Calibri" w:hAnsi="Palatino Linotype" w:cs="Times New Roman"/>
                <w:sz w:val="24"/>
                <w:szCs w:val="24"/>
              </w:rPr>
              <w:t xml:space="preserve"> </w:t>
            </w:r>
          </w:p>
          <w:p w:rsidR="00F8769C" w:rsidRDefault="00E424A6" w:rsidP="00F8769C">
            <w:pPr>
              <w:spacing w:before="100" w:beforeAutospacing="1" w:after="100" w:afterAutospacing="1" w:line="240" w:lineRule="auto"/>
              <w:jc w:val="both"/>
              <w:rPr>
                <w:rStyle w:val="Collegamentoipertestuale"/>
                <w:rFonts w:ascii="Palatino Linotype" w:eastAsia="Calibri" w:hAnsi="Palatino Linotype" w:cs="Times New Roman"/>
                <w:sz w:val="24"/>
                <w:szCs w:val="24"/>
              </w:rPr>
            </w:pPr>
            <w:hyperlink r:id="rId16" w:history="1">
              <w:r w:rsidR="00AA1567" w:rsidRPr="00B2564D">
                <w:rPr>
                  <w:rStyle w:val="Collegamentoipertestuale"/>
                  <w:rFonts w:ascii="Palatino Linotype" w:eastAsia="Calibri" w:hAnsi="Palatino Linotype" w:cs="Times New Roman"/>
                  <w:sz w:val="24"/>
                  <w:szCs w:val="24"/>
                </w:rPr>
                <w:t xml:space="preserve">Consiglio </w:t>
              </w:r>
              <w:r w:rsidR="00B80232" w:rsidRPr="00B2564D">
                <w:rPr>
                  <w:rStyle w:val="Collegamentoipertestuale"/>
                  <w:rFonts w:ascii="Palatino Linotype" w:eastAsia="Calibri" w:hAnsi="Palatino Linotype" w:cs="Times New Roman"/>
                  <w:sz w:val="24"/>
                  <w:szCs w:val="24"/>
                </w:rPr>
                <w:t xml:space="preserve">di Stato, sezione VI, sentenza 5 novembre 2018, n. 6227 - </w:t>
              </w:r>
              <w:proofErr w:type="spellStart"/>
              <w:r w:rsidR="00B80232" w:rsidRPr="00B2564D">
                <w:rPr>
                  <w:rStyle w:val="Collegamentoipertestuale"/>
                  <w:rFonts w:ascii="Palatino Linotype" w:eastAsia="Calibri" w:hAnsi="Palatino Linotype" w:cs="Times New Roman"/>
                  <w:sz w:val="24"/>
                  <w:szCs w:val="24"/>
                </w:rPr>
                <w:t>Pres</w:t>
              </w:r>
              <w:proofErr w:type="spellEnd"/>
              <w:r w:rsidR="00B80232" w:rsidRPr="00B2564D">
                <w:rPr>
                  <w:rStyle w:val="Collegamentoipertestuale"/>
                  <w:rFonts w:ascii="Palatino Linotype" w:eastAsia="Calibri" w:hAnsi="Palatino Linotype" w:cs="Times New Roman"/>
                  <w:sz w:val="24"/>
                  <w:szCs w:val="24"/>
                </w:rPr>
                <w:t xml:space="preserve">. Santoro, Est. </w:t>
              </w:r>
              <w:proofErr w:type="spellStart"/>
              <w:r w:rsidR="00B80232" w:rsidRPr="00B2564D">
                <w:rPr>
                  <w:rStyle w:val="Collegamentoipertestuale"/>
                  <w:rFonts w:ascii="Palatino Linotype" w:eastAsia="Calibri" w:hAnsi="Palatino Linotype" w:cs="Times New Roman"/>
                  <w:sz w:val="24"/>
                  <w:szCs w:val="24"/>
                </w:rPr>
                <w:t>Lopilato</w:t>
              </w:r>
              <w:proofErr w:type="spellEnd"/>
            </w:hyperlink>
          </w:p>
          <w:p w:rsidR="00346113" w:rsidRPr="00E21D3B" w:rsidRDefault="00E21D3B" w:rsidP="00E21D3B">
            <w:pPr>
              <w:spacing w:after="0" w:line="240" w:lineRule="auto"/>
              <w:jc w:val="both"/>
              <w:rPr>
                <w:rFonts w:ascii="Palatino Linotype" w:eastAsia="Calibri" w:hAnsi="Palatino Linotype" w:cs="Times New Roman"/>
                <w:iCs/>
                <w:sz w:val="24"/>
                <w:szCs w:val="24"/>
                <w:lang w:eastAsia="it-IT"/>
              </w:rPr>
            </w:pPr>
            <w:r>
              <w:rPr>
                <w:rFonts w:ascii="Palatino Linotype" w:eastAsia="Calibri" w:hAnsi="Palatino Linotype" w:cs="Times New Roman"/>
                <w:iCs/>
                <w:sz w:val="24"/>
                <w:szCs w:val="24"/>
                <w:lang w:eastAsia="it-IT"/>
              </w:rPr>
              <w:t xml:space="preserve">Sulla scia della propria ordinanza </w:t>
            </w:r>
            <w:r w:rsidRPr="00E21D3B">
              <w:rPr>
                <w:rFonts w:ascii="Palatino Linotype" w:eastAsia="Calibri" w:hAnsi="Palatino Linotype" w:cs="Times New Roman"/>
                <w:iCs/>
                <w:sz w:val="24"/>
                <w:szCs w:val="24"/>
                <w:lang w:eastAsia="it-IT"/>
              </w:rPr>
              <w:t>5 dicembre 2017, n. 5736</w:t>
            </w:r>
            <w:r>
              <w:rPr>
                <w:rFonts w:ascii="Palatino Linotype" w:eastAsia="Calibri" w:hAnsi="Palatino Linotype" w:cs="Times New Roman"/>
                <w:iCs/>
                <w:sz w:val="24"/>
                <w:szCs w:val="24"/>
                <w:lang w:eastAsia="it-IT"/>
              </w:rPr>
              <w:t>, h</w:t>
            </w:r>
            <w:r w:rsidR="00346113" w:rsidRPr="00346113">
              <w:rPr>
                <w:rFonts w:ascii="Palatino Linotype" w:eastAsia="Calibri" w:hAnsi="Palatino Linotype" w:cs="Times New Roman"/>
                <w:iCs/>
                <w:sz w:val="24"/>
                <w:szCs w:val="24"/>
                <w:lang w:eastAsia="it-IT"/>
              </w:rPr>
              <w:t xml:space="preserve">a ricordato la Sezione che nell’impianto </w:t>
            </w:r>
            <w:proofErr w:type="spellStart"/>
            <w:r w:rsidR="00346113" w:rsidRPr="00346113">
              <w:rPr>
                <w:rFonts w:ascii="Palatino Linotype" w:eastAsia="Calibri" w:hAnsi="Palatino Linotype" w:cs="Times New Roman"/>
                <w:iCs/>
                <w:sz w:val="24"/>
                <w:szCs w:val="24"/>
                <w:lang w:eastAsia="it-IT"/>
              </w:rPr>
              <w:t>regolatorio</w:t>
            </w:r>
            <w:proofErr w:type="spellEnd"/>
            <w:r w:rsidR="00346113" w:rsidRPr="00346113">
              <w:rPr>
                <w:rFonts w:ascii="Palatino Linotype" w:eastAsia="Calibri" w:hAnsi="Palatino Linotype" w:cs="Times New Roman"/>
                <w:iCs/>
                <w:sz w:val="24"/>
                <w:szCs w:val="24"/>
                <w:lang w:eastAsia="it-IT"/>
              </w:rPr>
              <w:t xml:space="preserve"> iniziale, costituito dall’art. 15, d.lgs. n. 164 del 2000 e dal </w:t>
            </w:r>
            <w:proofErr w:type="spellStart"/>
            <w:r w:rsidR="00346113" w:rsidRPr="00346113">
              <w:rPr>
                <w:rFonts w:ascii="Palatino Linotype" w:eastAsia="Calibri" w:hAnsi="Palatino Linotype" w:cs="Times New Roman"/>
                <w:iCs/>
                <w:sz w:val="24"/>
                <w:szCs w:val="24"/>
                <w:lang w:eastAsia="it-IT"/>
              </w:rPr>
              <w:t>d.m.</w:t>
            </w:r>
            <w:proofErr w:type="spellEnd"/>
            <w:r w:rsidR="00346113" w:rsidRPr="00346113">
              <w:rPr>
                <w:rFonts w:ascii="Palatino Linotype" w:eastAsia="Calibri" w:hAnsi="Palatino Linotype" w:cs="Times New Roman"/>
                <w:iCs/>
                <w:sz w:val="24"/>
                <w:szCs w:val="24"/>
                <w:lang w:eastAsia="it-IT"/>
              </w:rPr>
              <w:t xml:space="preserve"> n. </w:t>
            </w:r>
            <w:r w:rsidR="00346113" w:rsidRPr="00346113">
              <w:rPr>
                <w:rFonts w:ascii="Palatino Linotype" w:eastAsia="Calibri" w:hAnsi="Palatino Linotype" w:cs="Times New Roman"/>
                <w:iCs/>
                <w:sz w:val="24"/>
                <w:szCs w:val="24"/>
                <w:lang w:eastAsia="it-IT"/>
              </w:rPr>
              <w:lastRenderedPageBreak/>
              <w:t xml:space="preserve">226 del 2011, nelle rispettive versioni originarie, i criteri di determinazione dei rimborsi erano determinati avendo riguardo ai criteri che le parti avevano contrattualmente sancito, e in mancanza di essi, dai criteri di cui al </w:t>
            </w:r>
            <w:proofErr w:type="spellStart"/>
            <w:r w:rsidR="00346113" w:rsidRPr="00346113">
              <w:rPr>
                <w:rFonts w:ascii="Palatino Linotype" w:eastAsia="Calibri" w:hAnsi="Palatino Linotype" w:cs="Times New Roman"/>
                <w:iCs/>
                <w:sz w:val="24"/>
                <w:szCs w:val="24"/>
                <w:lang w:eastAsia="it-IT"/>
              </w:rPr>
              <w:t>r.d.</w:t>
            </w:r>
            <w:proofErr w:type="spellEnd"/>
            <w:r w:rsidR="00346113" w:rsidRPr="00346113">
              <w:rPr>
                <w:rFonts w:ascii="Palatino Linotype" w:eastAsia="Calibri" w:hAnsi="Palatino Linotype" w:cs="Times New Roman"/>
                <w:iCs/>
                <w:sz w:val="24"/>
                <w:szCs w:val="24"/>
                <w:lang w:eastAsia="it-IT"/>
              </w:rPr>
              <w:t xml:space="preserve"> n. 2578 del 1925.</w:t>
            </w:r>
          </w:p>
          <w:p w:rsidR="00346113" w:rsidRDefault="00346113" w:rsidP="00E21D3B">
            <w:pPr>
              <w:spacing w:after="0" w:line="240" w:lineRule="auto"/>
              <w:jc w:val="both"/>
              <w:rPr>
                <w:rFonts w:ascii="Palatino Linotype" w:eastAsia="Calibri" w:hAnsi="Palatino Linotype" w:cs="Times New Roman"/>
                <w:iCs/>
                <w:sz w:val="24"/>
                <w:szCs w:val="24"/>
                <w:lang w:eastAsia="it-IT"/>
              </w:rPr>
            </w:pPr>
            <w:r w:rsidRPr="00346113">
              <w:rPr>
                <w:rFonts w:ascii="Palatino Linotype" w:eastAsia="Calibri" w:hAnsi="Palatino Linotype" w:cs="Times New Roman"/>
                <w:iCs/>
                <w:sz w:val="24"/>
                <w:szCs w:val="24"/>
                <w:lang w:eastAsia="it-IT"/>
              </w:rPr>
              <w:t>Le successive disposizione di legge (</w:t>
            </w:r>
            <w:proofErr w:type="spellStart"/>
            <w:r w:rsidRPr="00346113">
              <w:rPr>
                <w:rFonts w:ascii="Palatino Linotype" w:eastAsia="Calibri" w:hAnsi="Palatino Linotype" w:cs="Times New Roman"/>
                <w:iCs/>
                <w:sz w:val="24"/>
                <w:szCs w:val="24"/>
                <w:lang w:eastAsia="it-IT"/>
              </w:rPr>
              <w:t>d.l.</w:t>
            </w:r>
            <w:proofErr w:type="spellEnd"/>
            <w:r w:rsidRPr="00346113">
              <w:rPr>
                <w:rFonts w:ascii="Palatino Linotype" w:eastAsia="Calibri" w:hAnsi="Palatino Linotype" w:cs="Times New Roman"/>
                <w:iCs/>
                <w:sz w:val="24"/>
                <w:szCs w:val="24"/>
                <w:lang w:eastAsia="it-IT"/>
              </w:rPr>
              <w:t xml:space="preserve"> </w:t>
            </w:r>
            <w:proofErr w:type="spellStart"/>
            <w:r w:rsidRPr="00346113">
              <w:rPr>
                <w:rFonts w:ascii="Palatino Linotype" w:eastAsia="Calibri" w:hAnsi="Palatino Linotype" w:cs="Times New Roman"/>
                <w:iCs/>
                <w:sz w:val="24"/>
                <w:szCs w:val="24"/>
                <w:lang w:eastAsia="it-IT"/>
              </w:rPr>
              <w:t>nn</w:t>
            </w:r>
            <w:proofErr w:type="spellEnd"/>
            <w:r w:rsidRPr="00346113">
              <w:rPr>
                <w:rFonts w:ascii="Palatino Linotype" w:eastAsia="Calibri" w:hAnsi="Palatino Linotype" w:cs="Times New Roman"/>
                <w:iCs/>
                <w:sz w:val="24"/>
                <w:szCs w:val="24"/>
                <w:lang w:eastAsia="it-IT"/>
              </w:rPr>
              <w:t xml:space="preserve">. 69 e 145 n. 145 del 2013 e </w:t>
            </w:r>
            <w:proofErr w:type="spellStart"/>
            <w:r w:rsidRPr="00346113">
              <w:rPr>
                <w:rFonts w:ascii="Palatino Linotype" w:eastAsia="Calibri" w:hAnsi="Palatino Linotype" w:cs="Times New Roman"/>
                <w:iCs/>
                <w:sz w:val="24"/>
                <w:szCs w:val="24"/>
                <w:lang w:eastAsia="it-IT"/>
              </w:rPr>
              <w:t>d.l.</w:t>
            </w:r>
            <w:proofErr w:type="spellEnd"/>
            <w:r w:rsidRPr="00346113">
              <w:rPr>
                <w:rFonts w:ascii="Palatino Linotype" w:eastAsia="Calibri" w:hAnsi="Palatino Linotype" w:cs="Times New Roman"/>
                <w:iCs/>
                <w:sz w:val="24"/>
                <w:szCs w:val="24"/>
                <w:lang w:eastAsia="it-IT"/>
              </w:rPr>
              <w:t xml:space="preserve"> n. 91 del 2014) nonché i relativi atti di attuazione (decreti ministeriali n. 74951 del 2014 e n. 106 del 2015) hanno inciso su entrambi i profili sono riportati. In particolare: i) con riferimento ai criteri convenzionali essi operano se sono stati stipulati prima dell'11 febbraio 2012 e abbiamo un determinato contenuto in relazione ad alcuni elementi metodologici; ii) con riferimento ai criteri suppletivi legali, si è sostituito il riferimento a quelli contenuti nel </w:t>
            </w:r>
            <w:proofErr w:type="spellStart"/>
            <w:r w:rsidRPr="00346113">
              <w:rPr>
                <w:rFonts w:ascii="Palatino Linotype" w:eastAsia="Calibri" w:hAnsi="Palatino Linotype" w:cs="Times New Roman"/>
                <w:iCs/>
                <w:sz w:val="24"/>
                <w:szCs w:val="24"/>
                <w:lang w:eastAsia="it-IT"/>
              </w:rPr>
              <w:t>r.d.</w:t>
            </w:r>
            <w:proofErr w:type="spellEnd"/>
            <w:r w:rsidRPr="00346113">
              <w:rPr>
                <w:rFonts w:ascii="Palatino Linotype" w:eastAsia="Calibri" w:hAnsi="Palatino Linotype" w:cs="Times New Roman"/>
                <w:iCs/>
                <w:sz w:val="24"/>
                <w:szCs w:val="24"/>
                <w:lang w:eastAsia="it-IT"/>
              </w:rPr>
              <w:t xml:space="preserve"> n. 2578 del 1925 con quelli contenuti nelle linee guida.</w:t>
            </w:r>
          </w:p>
          <w:p w:rsidR="006B1656" w:rsidRDefault="006B1656" w:rsidP="00E21D3B">
            <w:pPr>
              <w:spacing w:after="0" w:line="240" w:lineRule="auto"/>
              <w:jc w:val="both"/>
              <w:rPr>
                <w:rFonts w:ascii="Palatino Linotype" w:eastAsia="Calibri" w:hAnsi="Palatino Linotype" w:cs="Times New Roman"/>
                <w:iCs/>
                <w:sz w:val="24"/>
                <w:szCs w:val="24"/>
                <w:lang w:eastAsia="it-IT"/>
              </w:rPr>
            </w:pPr>
          </w:p>
          <w:p w:rsidR="006B1656" w:rsidRPr="006B1656" w:rsidRDefault="006B1656" w:rsidP="006B1656">
            <w:pPr>
              <w:shd w:val="clear" w:color="auto" w:fill="FFFFFF"/>
              <w:spacing w:after="0" w:line="240" w:lineRule="auto"/>
              <w:ind w:left="23"/>
              <w:jc w:val="both"/>
              <w:rPr>
                <w:rFonts w:ascii="Palatino Linotype" w:eastAsia="Calibri" w:hAnsi="Palatino Linotype" w:cs="Times New Roman"/>
                <w:b/>
                <w:bCs/>
                <w:color w:val="993300"/>
                <w:sz w:val="24"/>
                <w:szCs w:val="24"/>
              </w:rPr>
            </w:pPr>
            <w:r w:rsidRPr="005D3CFD">
              <w:rPr>
                <w:rFonts w:ascii="Palatino Linotype" w:eastAsia="Calibri" w:hAnsi="Palatino Linotype" w:cs="Times New Roman"/>
                <w:b/>
                <w:bCs/>
                <w:color w:val="993300"/>
                <w:sz w:val="24"/>
                <w:szCs w:val="24"/>
              </w:rPr>
              <w:t>Si segnala che l’ordinanza sarà oggetto di trattazione in apposita News a cura dell’Ufficio Studi Massimario e Formazione.</w:t>
            </w:r>
          </w:p>
          <w:p w:rsidR="00A872CC" w:rsidRPr="00346113" w:rsidRDefault="00A872CC" w:rsidP="00E21D3B">
            <w:pPr>
              <w:spacing w:after="0" w:line="240" w:lineRule="auto"/>
              <w:jc w:val="both"/>
              <w:rPr>
                <w:rFonts w:ascii="Palatino Linotype" w:eastAsia="Calibri" w:hAnsi="Palatino Linotype" w:cs="Times New Roman"/>
                <w:iCs/>
                <w:sz w:val="24"/>
                <w:szCs w:val="24"/>
                <w:lang w:eastAsia="it-IT"/>
              </w:rPr>
            </w:pPr>
          </w:p>
          <w:p w:rsidR="00EF3813" w:rsidRDefault="00005D3A" w:rsidP="00EF3813">
            <w:pPr>
              <w:autoSpaceDE w:val="0"/>
              <w:autoSpaceDN w:val="0"/>
              <w:spacing w:after="0" w:line="240" w:lineRule="auto"/>
              <w:jc w:val="center"/>
              <w:rPr>
                <w:rFonts w:ascii="Palatino Linotype" w:eastAsia="Calibri" w:hAnsi="Palatino Linotype" w:cs="Times New Roman"/>
                <w:color w:val="4472C4"/>
                <w:sz w:val="32"/>
                <w:szCs w:val="32"/>
              </w:rPr>
            </w:pPr>
            <w:r w:rsidRPr="00EF3813">
              <w:rPr>
                <w:rFonts w:ascii="Palatino Linotype" w:eastAsia="Calibri" w:hAnsi="Palatino Linotype" w:cs="Times New Roman"/>
                <w:color w:val="4472C4"/>
                <w:sz w:val="32"/>
                <w:szCs w:val="32"/>
              </w:rPr>
              <w:t xml:space="preserve"> </w:t>
            </w:r>
            <w:r w:rsidR="00EF3813" w:rsidRPr="00EF3813">
              <w:rPr>
                <w:rFonts w:ascii="Palatino Linotype" w:eastAsia="Calibri" w:hAnsi="Palatino Linotype" w:cs="Times New Roman"/>
                <w:color w:val="4472C4"/>
                <w:sz w:val="32"/>
                <w:szCs w:val="32"/>
              </w:rPr>
              <w:t>(</w:t>
            </w:r>
            <w:r w:rsidR="00DB1714">
              <w:rPr>
                <w:rFonts w:ascii="Palatino Linotype" w:eastAsia="Calibri" w:hAnsi="Palatino Linotype" w:cs="Times New Roman"/>
                <w:color w:val="4472C4"/>
                <w:sz w:val="32"/>
                <w:szCs w:val="32"/>
              </w:rPr>
              <w:t>9</w:t>
            </w:r>
            <w:r w:rsidR="00EF3813" w:rsidRPr="00EF3813">
              <w:rPr>
                <w:rFonts w:ascii="Palatino Linotype" w:eastAsia="Calibri" w:hAnsi="Palatino Linotype" w:cs="Times New Roman"/>
                <w:color w:val="4472C4"/>
                <w:sz w:val="32"/>
                <w:szCs w:val="32"/>
              </w:rPr>
              <w:t>)</w:t>
            </w:r>
          </w:p>
          <w:p w:rsidR="00005D3A" w:rsidRPr="00FD5202" w:rsidRDefault="00B944C9" w:rsidP="00FD5202">
            <w:pPr>
              <w:spacing w:before="100" w:beforeAutospacing="1" w:after="100" w:afterAutospacing="1" w:line="240" w:lineRule="auto"/>
              <w:jc w:val="both"/>
              <w:rPr>
                <w:rFonts w:ascii="Palatino Linotype" w:eastAsia="Calibri" w:hAnsi="Palatino Linotype" w:cs="Times New Roman"/>
                <w:iCs/>
                <w:sz w:val="24"/>
                <w:szCs w:val="24"/>
                <w:lang w:eastAsia="it-IT"/>
              </w:rPr>
            </w:pPr>
            <w:r>
              <w:rPr>
                <w:rFonts w:ascii="Palatino Linotype" w:eastAsia="Calibri" w:hAnsi="Palatino Linotype" w:cs="Times New Roman"/>
                <w:iCs/>
                <w:sz w:val="24"/>
                <w:szCs w:val="24"/>
                <w:lang w:eastAsia="it-IT"/>
              </w:rPr>
              <w:t>I</w:t>
            </w:r>
            <w:r w:rsidR="009C5981">
              <w:rPr>
                <w:rFonts w:ascii="Palatino Linotype" w:eastAsia="Calibri" w:hAnsi="Palatino Linotype" w:cs="Times New Roman"/>
                <w:iCs/>
                <w:sz w:val="24"/>
                <w:szCs w:val="24"/>
                <w:lang w:eastAsia="it-IT"/>
              </w:rPr>
              <w:t>l Consiglio di Stato, sezione</w:t>
            </w:r>
            <w:r w:rsidR="00005D3A" w:rsidRPr="00841128">
              <w:rPr>
                <w:rFonts w:ascii="Palatino Linotype" w:eastAsia="Calibri" w:hAnsi="Palatino Linotype" w:cs="Times New Roman"/>
                <w:iCs/>
                <w:sz w:val="24"/>
                <w:szCs w:val="24"/>
                <w:lang w:eastAsia="it-IT"/>
              </w:rPr>
              <w:t xml:space="preserve"> III, </w:t>
            </w:r>
            <w:r w:rsidR="009C5981">
              <w:rPr>
                <w:rFonts w:ascii="Palatino Linotype" w:eastAsia="Calibri" w:hAnsi="Palatino Linotype" w:cs="Times New Roman"/>
                <w:iCs/>
                <w:sz w:val="24"/>
                <w:szCs w:val="24"/>
                <w:lang w:eastAsia="it-IT"/>
              </w:rPr>
              <w:t>ha rimesso</w:t>
            </w:r>
            <w:r w:rsidR="00005D3A" w:rsidRPr="00841128">
              <w:rPr>
                <w:rFonts w:ascii="Palatino Linotype" w:eastAsia="Calibri" w:hAnsi="Palatino Linotype" w:cs="Times New Roman"/>
                <w:iCs/>
                <w:sz w:val="24"/>
                <w:szCs w:val="24"/>
                <w:lang w:eastAsia="it-IT"/>
              </w:rPr>
              <w:t xml:space="preserve"> alla Corte di giustizia UE una serie di questioni interpretative concernenti la </w:t>
            </w:r>
            <w:r w:rsidR="00841128" w:rsidRPr="00841128">
              <w:rPr>
                <w:rFonts w:ascii="Palatino Linotype" w:eastAsia="Calibri" w:hAnsi="Palatino Linotype" w:cs="Times New Roman"/>
                <w:iCs/>
                <w:sz w:val="24"/>
                <w:szCs w:val="24"/>
                <w:lang w:eastAsia="it-IT"/>
              </w:rPr>
              <w:t xml:space="preserve">disapplicazione dell’art. 5 della </w:t>
            </w:r>
            <w:proofErr w:type="spellStart"/>
            <w:r w:rsidR="00841128" w:rsidRPr="00841128">
              <w:rPr>
                <w:rFonts w:ascii="Palatino Linotype" w:eastAsia="Calibri" w:hAnsi="Palatino Linotype" w:cs="Times New Roman"/>
                <w:iCs/>
                <w:sz w:val="24"/>
                <w:szCs w:val="24"/>
                <w:lang w:eastAsia="it-IT"/>
              </w:rPr>
              <w:t>l.r</w:t>
            </w:r>
            <w:proofErr w:type="spellEnd"/>
            <w:r w:rsidR="00841128" w:rsidRPr="00841128">
              <w:rPr>
                <w:rFonts w:ascii="Palatino Linotype" w:eastAsia="Calibri" w:hAnsi="Palatino Linotype" w:cs="Times New Roman"/>
                <w:iCs/>
                <w:sz w:val="24"/>
                <w:szCs w:val="24"/>
                <w:lang w:eastAsia="it-IT"/>
              </w:rPr>
              <w:t>. Veneto</w:t>
            </w:r>
            <w:r w:rsidR="00841128">
              <w:rPr>
                <w:rFonts w:ascii="Palatino Linotype" w:eastAsia="Calibri" w:hAnsi="Palatino Linotype" w:cs="Times New Roman"/>
                <w:iCs/>
                <w:sz w:val="24"/>
                <w:szCs w:val="24"/>
                <w:lang w:eastAsia="it-IT"/>
              </w:rPr>
              <w:t xml:space="preserve"> </w:t>
            </w:r>
            <w:r w:rsidR="009C5981">
              <w:rPr>
                <w:rFonts w:ascii="Palatino Linotype" w:eastAsia="Calibri" w:hAnsi="Palatino Linotype" w:cs="Times New Roman"/>
                <w:iCs/>
                <w:sz w:val="24"/>
                <w:szCs w:val="24"/>
                <w:lang w:eastAsia="it-IT"/>
              </w:rPr>
              <w:t xml:space="preserve">n. </w:t>
            </w:r>
            <w:r w:rsidR="00841128">
              <w:rPr>
                <w:rFonts w:ascii="Palatino Linotype" w:eastAsia="Calibri" w:hAnsi="Palatino Linotype" w:cs="Times New Roman"/>
                <w:iCs/>
                <w:sz w:val="24"/>
                <w:szCs w:val="24"/>
                <w:lang w:eastAsia="it-IT"/>
              </w:rPr>
              <w:t xml:space="preserve">26/2012 </w:t>
            </w:r>
            <w:r w:rsidR="0069320C">
              <w:rPr>
                <w:rFonts w:ascii="Palatino Linotype" w:eastAsia="Calibri" w:hAnsi="Palatino Linotype" w:cs="Times New Roman"/>
                <w:iCs/>
                <w:sz w:val="24"/>
                <w:szCs w:val="24"/>
                <w:lang w:eastAsia="it-IT"/>
              </w:rPr>
              <w:t xml:space="preserve">per contrasto </w:t>
            </w:r>
            <w:r w:rsidR="00841128">
              <w:rPr>
                <w:rFonts w:ascii="Palatino Linotype" w:eastAsia="Calibri" w:hAnsi="Palatino Linotype" w:cs="Times New Roman"/>
                <w:iCs/>
                <w:sz w:val="24"/>
                <w:szCs w:val="24"/>
                <w:lang w:eastAsia="it-IT"/>
              </w:rPr>
              <w:t>con il diritto europeo, relativamente ai c.d.</w:t>
            </w:r>
            <w:r w:rsidR="00841128" w:rsidRPr="00841128">
              <w:rPr>
                <w:rFonts w:ascii="Palatino Linotype" w:eastAsia="Calibri" w:hAnsi="Palatino Linotype" w:cs="Times New Roman"/>
                <w:iCs/>
                <w:sz w:val="24"/>
                <w:szCs w:val="24"/>
                <w:lang w:eastAsia="it-IT"/>
              </w:rPr>
              <w:t xml:space="preserve"> “servizi di ambul</w:t>
            </w:r>
            <w:r w:rsidR="00841128">
              <w:rPr>
                <w:rFonts w:ascii="Palatino Linotype" w:eastAsia="Calibri" w:hAnsi="Palatino Linotype" w:cs="Times New Roman"/>
                <w:iCs/>
                <w:sz w:val="24"/>
                <w:szCs w:val="24"/>
                <w:lang w:eastAsia="it-IT"/>
              </w:rPr>
              <w:t xml:space="preserve">anza”, in quanto </w:t>
            </w:r>
            <w:r w:rsidR="00841128" w:rsidRPr="00841128">
              <w:rPr>
                <w:rFonts w:ascii="Palatino Linotype" w:eastAsia="Calibri" w:hAnsi="Palatino Linotype" w:cs="Times New Roman"/>
                <w:iCs/>
                <w:sz w:val="24"/>
                <w:szCs w:val="24"/>
                <w:lang w:eastAsia="it-IT"/>
              </w:rPr>
              <w:t>nella dir</w:t>
            </w:r>
            <w:r w:rsidR="00841128">
              <w:rPr>
                <w:rFonts w:ascii="Palatino Linotype" w:eastAsia="Calibri" w:hAnsi="Palatino Linotype" w:cs="Times New Roman"/>
                <w:iCs/>
                <w:sz w:val="24"/>
                <w:szCs w:val="24"/>
                <w:lang w:eastAsia="it-IT"/>
              </w:rPr>
              <w:t xml:space="preserve">ettiva n. 2014/24/UE, </w:t>
            </w:r>
            <w:r w:rsidR="00841128" w:rsidRPr="00841128">
              <w:rPr>
                <w:rFonts w:ascii="Palatino Linotype" w:eastAsia="Calibri" w:hAnsi="Palatino Linotype" w:cs="Times New Roman"/>
                <w:iCs/>
                <w:sz w:val="24"/>
                <w:szCs w:val="24"/>
                <w:lang w:eastAsia="it-IT"/>
              </w:rPr>
              <w:t>al 28° considerando,</w:t>
            </w:r>
            <w:r w:rsidR="00841128">
              <w:rPr>
                <w:rFonts w:ascii="Palatino Linotype" w:eastAsia="Calibri" w:hAnsi="Palatino Linotype" w:cs="Times New Roman"/>
                <w:iCs/>
                <w:sz w:val="24"/>
                <w:szCs w:val="24"/>
                <w:lang w:eastAsia="it-IT"/>
              </w:rPr>
              <w:t xml:space="preserve"> si </w:t>
            </w:r>
            <w:r w:rsidR="00841128" w:rsidRPr="00841128">
              <w:rPr>
                <w:rFonts w:ascii="Palatino Linotype" w:eastAsia="Calibri" w:hAnsi="Palatino Linotype" w:cs="Times New Roman"/>
                <w:iCs/>
                <w:sz w:val="24"/>
                <w:szCs w:val="24"/>
                <w:lang w:eastAsia="it-IT"/>
              </w:rPr>
              <w:t>stabilisce espressamente che dovrebbe applicarsi a taluni “servizi di emergenza”, se effettuati da organizzazioni e associazioni senza scopo di lucro; mentre non dovrebbero s</w:t>
            </w:r>
            <w:r w:rsidR="00841128">
              <w:rPr>
                <w:rFonts w:ascii="Palatino Linotype" w:eastAsia="Calibri" w:hAnsi="Palatino Linotype" w:cs="Times New Roman"/>
                <w:iCs/>
                <w:sz w:val="24"/>
                <w:szCs w:val="24"/>
                <w:lang w:eastAsia="it-IT"/>
              </w:rPr>
              <w:t xml:space="preserve">ottrarsi alla direttiva, </w:t>
            </w:r>
            <w:r w:rsidR="00841128" w:rsidRPr="00841128">
              <w:rPr>
                <w:rFonts w:ascii="Palatino Linotype" w:eastAsia="Calibri" w:hAnsi="Palatino Linotype" w:cs="Times New Roman"/>
                <w:iCs/>
                <w:sz w:val="24"/>
                <w:szCs w:val="24"/>
                <w:lang w:eastAsia="it-IT"/>
              </w:rPr>
              <w:t xml:space="preserve"> i servizi di “trasporto dei pazienti in amb</w:t>
            </w:r>
            <w:r w:rsidR="00841128">
              <w:rPr>
                <w:rFonts w:ascii="Palatino Linotype" w:eastAsia="Calibri" w:hAnsi="Palatino Linotype" w:cs="Times New Roman"/>
                <w:iCs/>
                <w:sz w:val="24"/>
                <w:szCs w:val="24"/>
                <w:lang w:eastAsia="it-IT"/>
              </w:rPr>
              <w:t>ulanza”,</w:t>
            </w:r>
            <w:r w:rsidR="00841128" w:rsidRPr="00841128">
              <w:rPr>
                <w:rFonts w:ascii="Palatino Linotype" w:eastAsia="Calibri" w:hAnsi="Palatino Linotype" w:cs="Times New Roman"/>
                <w:iCs/>
                <w:sz w:val="24"/>
                <w:szCs w:val="24"/>
                <w:lang w:eastAsia="it-IT"/>
              </w:rPr>
              <w:t xml:space="preserve"> i quali dovrebbero essere soggetti al regime speciale previsto per i servizi sociali e altri servizi specifici (“regime c.d. alleggerito”, Titolo III, capo I della Direttiva 2014/24/UE e Parte II, Titolo V</w:t>
            </w:r>
            <w:r w:rsidR="00841128">
              <w:rPr>
                <w:rFonts w:ascii="Palatino Linotype" w:eastAsia="Calibri" w:hAnsi="Palatino Linotype" w:cs="Times New Roman"/>
                <w:iCs/>
                <w:sz w:val="24"/>
                <w:szCs w:val="24"/>
                <w:lang w:eastAsia="it-IT"/>
              </w:rPr>
              <w:t>I, Capo II del d.lgs. 50/2016).</w:t>
            </w:r>
          </w:p>
          <w:p w:rsidR="00005D3A" w:rsidRDefault="00E424A6" w:rsidP="00EF3813">
            <w:pPr>
              <w:autoSpaceDE w:val="0"/>
              <w:autoSpaceDN w:val="0"/>
              <w:spacing w:after="0" w:line="240" w:lineRule="auto"/>
              <w:jc w:val="both"/>
              <w:rPr>
                <w:rStyle w:val="Collegamentoipertestuale"/>
                <w:rFonts w:ascii="Palatino Linotype" w:eastAsia="Calibri" w:hAnsi="Palatino Linotype" w:cs="Times New Roman"/>
                <w:sz w:val="24"/>
                <w:szCs w:val="24"/>
              </w:rPr>
            </w:pPr>
            <w:hyperlink r:id="rId17" w:history="1">
              <w:r w:rsidR="00EF3813" w:rsidRPr="00B2564D">
                <w:rPr>
                  <w:rStyle w:val="Collegamentoipertestuale"/>
                  <w:rFonts w:ascii="Palatino Linotype" w:eastAsia="Calibri" w:hAnsi="Palatino Linotype" w:cs="Times New Roman"/>
                  <w:sz w:val="24"/>
                  <w:szCs w:val="24"/>
                </w:rPr>
                <w:t xml:space="preserve">Consiglio di </w:t>
              </w:r>
              <w:r w:rsidR="00005D3A" w:rsidRPr="00B2564D">
                <w:rPr>
                  <w:rStyle w:val="Collegamentoipertestuale"/>
                  <w:rFonts w:ascii="Palatino Linotype" w:eastAsia="Calibri" w:hAnsi="Palatino Linotype" w:cs="Times New Roman"/>
                  <w:sz w:val="24"/>
                  <w:szCs w:val="24"/>
                </w:rPr>
                <w:t xml:space="preserve">Stato, sezione III, ordinanza 5 novembre 2018, n. 6264 – </w:t>
              </w:r>
              <w:proofErr w:type="spellStart"/>
              <w:r w:rsidR="00005D3A" w:rsidRPr="00B2564D">
                <w:rPr>
                  <w:rStyle w:val="Collegamentoipertestuale"/>
                  <w:rFonts w:ascii="Palatino Linotype" w:eastAsia="Calibri" w:hAnsi="Palatino Linotype" w:cs="Times New Roman"/>
                  <w:sz w:val="24"/>
                  <w:szCs w:val="24"/>
                </w:rPr>
                <w:t>Pres</w:t>
              </w:r>
              <w:proofErr w:type="spellEnd"/>
              <w:r w:rsidR="00005D3A" w:rsidRPr="00B2564D">
                <w:rPr>
                  <w:rStyle w:val="Collegamentoipertestuale"/>
                  <w:rFonts w:ascii="Palatino Linotype" w:eastAsia="Calibri" w:hAnsi="Palatino Linotype" w:cs="Times New Roman"/>
                  <w:sz w:val="24"/>
                  <w:szCs w:val="24"/>
                </w:rPr>
                <w:t>. Frattini, Est. Ungari</w:t>
              </w:r>
            </w:hyperlink>
          </w:p>
          <w:p w:rsidR="00FD5202" w:rsidRPr="007B708F" w:rsidRDefault="00FD5202" w:rsidP="00EF3813">
            <w:pPr>
              <w:autoSpaceDE w:val="0"/>
              <w:autoSpaceDN w:val="0"/>
              <w:spacing w:after="0" w:line="240" w:lineRule="auto"/>
              <w:jc w:val="both"/>
              <w:rPr>
                <w:rStyle w:val="Collegamentoipertestuale"/>
                <w:rFonts w:ascii="Palatino Linotype" w:eastAsia="Calibri" w:hAnsi="Palatino Linotype" w:cs="Times New Roman"/>
                <w:sz w:val="24"/>
                <w:szCs w:val="24"/>
              </w:rPr>
            </w:pPr>
          </w:p>
          <w:p w:rsidR="00F8769C" w:rsidRDefault="00F8769C" w:rsidP="00084C8C">
            <w:pPr>
              <w:autoSpaceDE w:val="0"/>
              <w:autoSpaceDN w:val="0"/>
              <w:spacing w:after="0" w:line="240" w:lineRule="auto"/>
              <w:jc w:val="both"/>
              <w:rPr>
                <w:rFonts w:ascii="Palatino Linotype" w:eastAsia="Calibri" w:hAnsi="Palatino Linotype" w:cs="Times New Roman"/>
                <w:sz w:val="24"/>
                <w:szCs w:val="24"/>
              </w:rPr>
            </w:pPr>
            <w:r w:rsidRPr="00084C8C">
              <w:rPr>
                <w:rFonts w:ascii="Palatino Linotype" w:eastAsia="Calibri" w:hAnsi="Palatino Linotype" w:cs="Times New Roman"/>
                <w:sz w:val="24"/>
                <w:szCs w:val="24"/>
              </w:rPr>
              <w:t>Vanno rimesse alla Corte di giustizia dell’Unione Europea le seguenti questioni interpretative:</w:t>
            </w:r>
          </w:p>
          <w:p w:rsidR="00084C8C" w:rsidRPr="00084C8C" w:rsidRDefault="00084C8C" w:rsidP="00084C8C">
            <w:pPr>
              <w:autoSpaceDE w:val="0"/>
              <w:autoSpaceDN w:val="0"/>
              <w:spacing w:after="0" w:line="240" w:lineRule="auto"/>
              <w:jc w:val="both"/>
              <w:rPr>
                <w:rFonts w:ascii="Palatino Linotype" w:eastAsia="Calibri" w:hAnsi="Palatino Linotype" w:cs="Times New Roman"/>
                <w:sz w:val="24"/>
                <w:szCs w:val="24"/>
              </w:rPr>
            </w:pPr>
          </w:p>
          <w:p w:rsidR="00084C8C" w:rsidRPr="00084C8C" w:rsidRDefault="00F8769C" w:rsidP="00084C8C">
            <w:pPr>
              <w:autoSpaceDE w:val="0"/>
              <w:autoSpaceDN w:val="0"/>
              <w:spacing w:after="0" w:line="240" w:lineRule="auto"/>
              <w:jc w:val="both"/>
              <w:rPr>
                <w:rFonts w:ascii="Palatino Linotype" w:eastAsia="Calibri" w:hAnsi="Palatino Linotype" w:cs="Times New Roman"/>
                <w:sz w:val="24"/>
                <w:szCs w:val="24"/>
              </w:rPr>
            </w:pPr>
            <w:r w:rsidRPr="00084C8C">
              <w:rPr>
                <w:rFonts w:ascii="Palatino Linotype" w:eastAsia="Calibri" w:hAnsi="Palatino Linotype" w:cs="Times New Roman"/>
                <w:sz w:val="24"/>
                <w:szCs w:val="24"/>
              </w:rPr>
              <w:t xml:space="preserve">a) se, nel caso in cui le parti sono entrambi enti pubblici, il 28° considerando, l’art. 10 e l’art. 12, par. 4, della direttiva 2014/24/UE ostino alla applicabilità dell’art. 5, in combinato disposto con gli artt. 1, 2, 3 e 4, della </w:t>
            </w:r>
            <w:proofErr w:type="spellStart"/>
            <w:r w:rsidRPr="00084C8C">
              <w:rPr>
                <w:rFonts w:ascii="Palatino Linotype" w:eastAsia="Calibri" w:hAnsi="Palatino Linotype" w:cs="Times New Roman"/>
                <w:sz w:val="24"/>
                <w:szCs w:val="24"/>
              </w:rPr>
              <w:t>l.r</w:t>
            </w:r>
            <w:proofErr w:type="spellEnd"/>
            <w:r w:rsidRPr="00084C8C">
              <w:rPr>
                <w:rFonts w:ascii="Palatino Linotype" w:eastAsia="Calibri" w:hAnsi="Palatino Linotype" w:cs="Times New Roman"/>
                <w:sz w:val="24"/>
                <w:szCs w:val="24"/>
              </w:rPr>
              <w:t>. Veneto 26/2012, sulla base del partenariato pubblico-pubblico di cui al predetto art. 12, par. 4, ed agli artt. 5, comma 6, del d.lgs. 50/2</w:t>
            </w:r>
            <w:r w:rsidR="00084C8C" w:rsidRPr="00084C8C">
              <w:rPr>
                <w:rFonts w:ascii="Palatino Linotype" w:eastAsia="Calibri" w:hAnsi="Palatino Linotype" w:cs="Times New Roman"/>
                <w:sz w:val="24"/>
                <w:szCs w:val="24"/>
              </w:rPr>
              <w:t xml:space="preserve">016 e 15 della legge 241/1990”; </w:t>
            </w:r>
          </w:p>
          <w:p w:rsidR="00F8769C" w:rsidRDefault="00F8769C" w:rsidP="00084C8C">
            <w:pPr>
              <w:autoSpaceDE w:val="0"/>
              <w:autoSpaceDN w:val="0"/>
              <w:spacing w:after="0" w:line="240" w:lineRule="auto"/>
              <w:jc w:val="both"/>
              <w:rPr>
                <w:rFonts w:ascii="Palatino Linotype" w:eastAsia="Calibri" w:hAnsi="Palatino Linotype" w:cs="Times New Roman"/>
                <w:sz w:val="24"/>
                <w:szCs w:val="24"/>
              </w:rPr>
            </w:pPr>
            <w:r w:rsidRPr="00084C8C">
              <w:rPr>
                <w:rFonts w:ascii="Palatino Linotype" w:eastAsia="Calibri" w:hAnsi="Palatino Linotype" w:cs="Times New Roman"/>
                <w:sz w:val="24"/>
                <w:szCs w:val="24"/>
              </w:rPr>
              <w:t xml:space="preserve">b) se, nel caso in cui le parti sono entrambi enti pubblici, il 28° considerando, l’art. 10 e l’art. 12, par. 4, della direttiva 2014/24/UE ostino alla applicabilità delle disposizioni della </w:t>
            </w:r>
            <w:proofErr w:type="spellStart"/>
            <w:r w:rsidRPr="00084C8C">
              <w:rPr>
                <w:rFonts w:ascii="Palatino Linotype" w:eastAsia="Calibri" w:hAnsi="Palatino Linotype" w:cs="Times New Roman"/>
                <w:sz w:val="24"/>
                <w:szCs w:val="24"/>
              </w:rPr>
              <w:t>l.r</w:t>
            </w:r>
            <w:proofErr w:type="spellEnd"/>
            <w:r w:rsidRPr="00084C8C">
              <w:rPr>
                <w:rFonts w:ascii="Palatino Linotype" w:eastAsia="Calibri" w:hAnsi="Palatino Linotype" w:cs="Times New Roman"/>
                <w:sz w:val="24"/>
                <w:szCs w:val="24"/>
              </w:rPr>
              <w:t xml:space="preserve">. Veneto 26/2012, sulla base del partenariato pubblico-pubblico di cui al predetto art. 12, par. 4, ed agli artt. 5, comma 6, del d.lgs. 50/2016 e 15 della legge 241/1990, nel limitato senso di obbligare la stazione appaltante ad esternare la motivazioni della scelta di </w:t>
            </w:r>
            <w:r w:rsidRPr="00084C8C">
              <w:rPr>
                <w:rFonts w:ascii="Palatino Linotype" w:eastAsia="Calibri" w:hAnsi="Palatino Linotype" w:cs="Times New Roman"/>
                <w:sz w:val="24"/>
                <w:szCs w:val="24"/>
              </w:rPr>
              <w:lastRenderedPageBreak/>
              <w:t xml:space="preserve">affidare il servizio di trasporto sanitario ordinario mediante gara, anziché mediante convenzionamento diretto”. </w:t>
            </w:r>
          </w:p>
          <w:p w:rsidR="006B1656" w:rsidRDefault="006B1656" w:rsidP="00084C8C">
            <w:pPr>
              <w:autoSpaceDE w:val="0"/>
              <w:autoSpaceDN w:val="0"/>
              <w:spacing w:after="0" w:line="240" w:lineRule="auto"/>
              <w:jc w:val="both"/>
              <w:rPr>
                <w:rFonts w:ascii="Palatino Linotype" w:eastAsia="Calibri" w:hAnsi="Palatino Linotype" w:cs="Times New Roman"/>
                <w:sz w:val="24"/>
                <w:szCs w:val="24"/>
              </w:rPr>
            </w:pPr>
          </w:p>
          <w:p w:rsidR="006B1656" w:rsidRPr="006B1656" w:rsidRDefault="006B1656" w:rsidP="006B1656">
            <w:pPr>
              <w:shd w:val="clear" w:color="auto" w:fill="FFFFFF"/>
              <w:spacing w:after="0" w:line="240" w:lineRule="auto"/>
              <w:ind w:left="23"/>
              <w:jc w:val="both"/>
              <w:rPr>
                <w:rFonts w:ascii="Palatino Linotype" w:eastAsia="Calibri" w:hAnsi="Palatino Linotype" w:cs="Times New Roman"/>
                <w:b/>
                <w:bCs/>
                <w:color w:val="993300"/>
                <w:sz w:val="24"/>
                <w:szCs w:val="24"/>
              </w:rPr>
            </w:pPr>
            <w:r w:rsidRPr="005D3CFD">
              <w:rPr>
                <w:rFonts w:ascii="Palatino Linotype" w:eastAsia="Calibri" w:hAnsi="Palatino Linotype" w:cs="Times New Roman"/>
                <w:b/>
                <w:bCs/>
                <w:color w:val="993300"/>
                <w:sz w:val="24"/>
                <w:szCs w:val="24"/>
              </w:rPr>
              <w:t>Si segnala che l’ordinanza sarà oggetto di trattazione in apposita News a cura dell’Ufficio Studi Massimario e Formazione.</w:t>
            </w:r>
          </w:p>
          <w:p w:rsidR="00A872CC" w:rsidRPr="00084C8C" w:rsidRDefault="00A872CC" w:rsidP="00084C8C">
            <w:pPr>
              <w:autoSpaceDE w:val="0"/>
              <w:autoSpaceDN w:val="0"/>
              <w:spacing w:after="0" w:line="240" w:lineRule="auto"/>
              <w:jc w:val="both"/>
              <w:rPr>
                <w:rFonts w:ascii="Palatino Linotype" w:eastAsia="Calibri" w:hAnsi="Palatino Linotype" w:cs="Times New Roman"/>
                <w:sz w:val="24"/>
                <w:szCs w:val="24"/>
              </w:rPr>
            </w:pPr>
          </w:p>
          <w:p w:rsidR="00A71821" w:rsidRDefault="00DB1714" w:rsidP="00A71821">
            <w:pPr>
              <w:autoSpaceDE w:val="0"/>
              <w:autoSpaceDN w:val="0"/>
              <w:spacing w:after="0" w:line="240" w:lineRule="auto"/>
              <w:jc w:val="center"/>
              <w:rPr>
                <w:rFonts w:ascii="Palatino Linotype" w:eastAsia="Calibri" w:hAnsi="Palatino Linotype" w:cs="Times New Roman"/>
                <w:color w:val="4472C4"/>
                <w:sz w:val="32"/>
                <w:szCs w:val="32"/>
              </w:rPr>
            </w:pPr>
            <w:r>
              <w:rPr>
                <w:rFonts w:ascii="Palatino Linotype" w:eastAsia="Calibri" w:hAnsi="Palatino Linotype" w:cs="Times New Roman"/>
                <w:color w:val="4472C4"/>
                <w:sz w:val="32"/>
                <w:szCs w:val="32"/>
              </w:rPr>
              <w:t>(10</w:t>
            </w:r>
            <w:r w:rsidR="00A71821">
              <w:rPr>
                <w:rFonts w:ascii="Palatino Linotype" w:eastAsia="Calibri" w:hAnsi="Palatino Linotype" w:cs="Times New Roman"/>
                <w:color w:val="4472C4"/>
                <w:sz w:val="32"/>
                <w:szCs w:val="32"/>
              </w:rPr>
              <w:t>)</w:t>
            </w:r>
          </w:p>
          <w:p w:rsidR="00FD5202" w:rsidRDefault="00FD5202" w:rsidP="00A71821">
            <w:pPr>
              <w:autoSpaceDE w:val="0"/>
              <w:autoSpaceDN w:val="0"/>
              <w:spacing w:after="0" w:line="240" w:lineRule="auto"/>
              <w:jc w:val="center"/>
              <w:rPr>
                <w:rFonts w:ascii="Palatino Linotype" w:eastAsia="Calibri" w:hAnsi="Palatino Linotype" w:cs="Times New Roman"/>
                <w:color w:val="4472C4"/>
                <w:sz w:val="32"/>
                <w:szCs w:val="32"/>
              </w:rPr>
            </w:pPr>
          </w:p>
          <w:p w:rsidR="00005D3A" w:rsidRPr="00FD5202" w:rsidRDefault="00A71821" w:rsidP="00FD5202">
            <w:pPr>
              <w:autoSpaceDE w:val="0"/>
              <w:autoSpaceDN w:val="0"/>
              <w:jc w:val="both"/>
              <w:rPr>
                <w:rStyle w:val="Collegamentoipertestuale"/>
                <w:color w:val="auto"/>
                <w:u w:val="none"/>
              </w:rPr>
            </w:pPr>
            <w:r w:rsidRPr="00A71821">
              <w:rPr>
                <w:rFonts w:ascii="Palatino Linotype" w:eastAsia="Calibri" w:hAnsi="Palatino Linotype" w:cs="Times New Roman"/>
                <w:sz w:val="24"/>
                <w:szCs w:val="24"/>
              </w:rPr>
              <w:t xml:space="preserve">Il Consiglio di giustizia </w:t>
            </w:r>
            <w:r w:rsidR="00FD5202">
              <w:rPr>
                <w:rFonts w:ascii="Palatino Linotype" w:eastAsia="Calibri" w:hAnsi="Palatino Linotype" w:cs="Times New Roman"/>
                <w:sz w:val="24"/>
                <w:szCs w:val="24"/>
              </w:rPr>
              <w:t xml:space="preserve">amministrativa </w:t>
            </w:r>
            <w:r w:rsidRPr="00A71821">
              <w:rPr>
                <w:rFonts w:ascii="Palatino Linotype" w:eastAsia="Calibri" w:hAnsi="Palatino Linotype" w:cs="Times New Roman"/>
                <w:sz w:val="24"/>
                <w:szCs w:val="24"/>
              </w:rPr>
              <w:t xml:space="preserve">per la regione siciliana </w:t>
            </w:r>
            <w:r w:rsidR="00BC105A">
              <w:rPr>
                <w:rFonts w:ascii="Palatino Linotype" w:eastAsia="Calibri" w:hAnsi="Palatino Linotype" w:cs="Times New Roman"/>
                <w:sz w:val="24"/>
                <w:szCs w:val="24"/>
              </w:rPr>
              <w:t xml:space="preserve">ha </w:t>
            </w:r>
            <w:r w:rsidR="007B708F">
              <w:rPr>
                <w:rFonts w:ascii="Palatino Linotype" w:eastAsia="Calibri" w:hAnsi="Palatino Linotype" w:cs="Times New Roman"/>
                <w:sz w:val="24"/>
                <w:szCs w:val="24"/>
              </w:rPr>
              <w:t>precisa</w:t>
            </w:r>
            <w:r w:rsidR="00BC105A">
              <w:rPr>
                <w:rFonts w:ascii="Palatino Linotype" w:eastAsia="Calibri" w:hAnsi="Palatino Linotype" w:cs="Times New Roman"/>
                <w:sz w:val="24"/>
                <w:szCs w:val="24"/>
              </w:rPr>
              <w:t>to</w:t>
            </w:r>
            <w:r w:rsidR="007B708F">
              <w:rPr>
                <w:rFonts w:ascii="Palatino Linotype" w:eastAsia="Calibri" w:hAnsi="Palatino Linotype" w:cs="Times New Roman"/>
                <w:sz w:val="24"/>
                <w:szCs w:val="24"/>
              </w:rPr>
              <w:t xml:space="preserve"> che i</w:t>
            </w:r>
            <w:r w:rsidR="007B708F" w:rsidRPr="007B708F">
              <w:rPr>
                <w:rFonts w:ascii="Palatino Linotype" w:eastAsia="Calibri" w:hAnsi="Palatino Linotype" w:cs="Times New Roman"/>
                <w:sz w:val="24"/>
                <w:szCs w:val="24"/>
              </w:rPr>
              <w:t>n materia di avvalimento, è suscettibile di soccorso istruttorio l’incompletezza dell’elenco dei pregressi lavori e servizi nel triennio anteriore a bando, forn</w:t>
            </w:r>
            <w:r w:rsidR="007B708F">
              <w:rPr>
                <w:rFonts w:ascii="Palatino Linotype" w:eastAsia="Calibri" w:hAnsi="Palatino Linotype" w:cs="Times New Roman"/>
                <w:sz w:val="24"/>
                <w:szCs w:val="24"/>
              </w:rPr>
              <w:t>ito dall’ausiliaria che presta</w:t>
            </w:r>
            <w:r w:rsidR="007B708F" w:rsidRPr="007B708F">
              <w:rPr>
                <w:rFonts w:ascii="Palatino Linotype" w:eastAsia="Calibri" w:hAnsi="Palatino Linotype" w:cs="Times New Roman"/>
                <w:sz w:val="24"/>
                <w:szCs w:val="24"/>
              </w:rPr>
              <w:t xml:space="preserve"> al concorrente il relativo requisito di capacità tecnico-</w:t>
            </w:r>
            <w:r w:rsidR="007B708F">
              <w:rPr>
                <w:rFonts w:ascii="Palatino Linotype" w:eastAsia="Calibri" w:hAnsi="Palatino Linotype" w:cs="Times New Roman"/>
                <w:sz w:val="24"/>
                <w:szCs w:val="24"/>
              </w:rPr>
              <w:t>professionale</w:t>
            </w:r>
            <w:r w:rsidR="007B708F" w:rsidRPr="007B708F">
              <w:rPr>
                <w:rFonts w:ascii="Palatino Linotype" w:eastAsia="Calibri" w:hAnsi="Palatino Linotype" w:cs="Times New Roman"/>
                <w:sz w:val="24"/>
                <w:szCs w:val="24"/>
              </w:rPr>
              <w:t xml:space="preserve"> e tanto sia con riguardo alle lacune testuali della dichiarazione dell’ausiliaria che avuto riguardo alle omissioni documentali</w:t>
            </w:r>
            <w:r w:rsidR="007B708F">
              <w:rPr>
                <w:rFonts w:ascii="Titillium Web" w:hAnsi="Titillium Web" w:cs="Arial"/>
                <w:i/>
                <w:iCs/>
                <w:color w:val="333333"/>
                <w:sz w:val="21"/>
                <w:szCs w:val="21"/>
              </w:rPr>
              <w:t>.</w:t>
            </w:r>
          </w:p>
          <w:p w:rsidR="00EF3813" w:rsidRDefault="00005D3A" w:rsidP="00EF3813">
            <w:pPr>
              <w:autoSpaceDE w:val="0"/>
              <w:autoSpaceDN w:val="0"/>
              <w:spacing w:after="0" w:line="240" w:lineRule="auto"/>
              <w:jc w:val="both"/>
              <w:rPr>
                <w:rStyle w:val="Collegamentoipertestuale"/>
                <w:rFonts w:ascii="Palatino Linotype" w:eastAsia="Calibri" w:hAnsi="Palatino Linotype" w:cs="Times New Roman"/>
                <w:sz w:val="24"/>
                <w:szCs w:val="24"/>
              </w:rPr>
            </w:pPr>
            <w:r w:rsidRPr="007B708F">
              <w:rPr>
                <w:rStyle w:val="Collegamentoipertestuale"/>
                <w:rFonts w:ascii="Palatino Linotype" w:eastAsia="Calibri" w:hAnsi="Palatino Linotype" w:cs="Times New Roman"/>
                <w:sz w:val="24"/>
                <w:szCs w:val="24"/>
              </w:rPr>
              <w:t xml:space="preserve"> </w:t>
            </w:r>
            <w:hyperlink r:id="rId18" w:history="1">
              <w:r w:rsidR="007B708F" w:rsidRPr="00B2564D">
                <w:rPr>
                  <w:rStyle w:val="Collegamentoipertestuale"/>
                  <w:rFonts w:ascii="Palatino Linotype" w:eastAsia="Calibri" w:hAnsi="Palatino Linotype" w:cs="Times New Roman"/>
                  <w:sz w:val="24"/>
                  <w:szCs w:val="24"/>
                </w:rPr>
                <w:t xml:space="preserve">Consiglio di </w:t>
              </w:r>
              <w:r w:rsidR="00EF3813" w:rsidRPr="00B2564D">
                <w:rPr>
                  <w:rStyle w:val="Collegamentoipertestuale"/>
                  <w:rFonts w:ascii="Palatino Linotype" w:eastAsia="Calibri" w:hAnsi="Palatino Linotype" w:cs="Times New Roman"/>
                  <w:sz w:val="24"/>
                  <w:szCs w:val="24"/>
                </w:rPr>
                <w:t xml:space="preserve">giustizia amministrativa per la regione siciliana, </w:t>
              </w:r>
              <w:r w:rsidR="007B708F" w:rsidRPr="00B2564D">
                <w:rPr>
                  <w:rStyle w:val="Collegamentoipertestuale"/>
                  <w:rFonts w:ascii="Palatino Linotype" w:eastAsia="Calibri" w:hAnsi="Palatino Linotype" w:cs="Times New Roman"/>
                  <w:sz w:val="24"/>
                  <w:szCs w:val="24"/>
                </w:rPr>
                <w:t>sentenza 5 novembre 2018, n. 701</w:t>
              </w:r>
              <w:r w:rsidR="00EF3813" w:rsidRPr="00B2564D">
                <w:rPr>
                  <w:rStyle w:val="Collegamentoipertestuale"/>
                  <w:rFonts w:ascii="Palatino Linotype" w:eastAsia="Calibri" w:hAnsi="Palatino Linotype" w:cs="Times New Roman"/>
                  <w:sz w:val="24"/>
                  <w:szCs w:val="24"/>
                </w:rPr>
                <w:t xml:space="preserve"> </w:t>
              </w:r>
              <w:r w:rsidR="007B708F" w:rsidRPr="00B2564D">
                <w:rPr>
                  <w:rStyle w:val="Collegamentoipertestuale"/>
                  <w:rFonts w:ascii="Palatino Linotype" w:eastAsia="Calibri" w:hAnsi="Palatino Linotype" w:cs="Times New Roman"/>
                  <w:sz w:val="24"/>
                  <w:szCs w:val="24"/>
                </w:rPr>
                <w:t xml:space="preserve">– </w:t>
              </w:r>
              <w:proofErr w:type="spellStart"/>
              <w:r w:rsidR="007B708F" w:rsidRPr="00B2564D">
                <w:rPr>
                  <w:rStyle w:val="Collegamentoipertestuale"/>
                  <w:rFonts w:ascii="Palatino Linotype" w:eastAsia="Calibri" w:hAnsi="Palatino Linotype" w:cs="Times New Roman"/>
                  <w:sz w:val="24"/>
                  <w:szCs w:val="24"/>
                </w:rPr>
                <w:t>Pres</w:t>
              </w:r>
              <w:proofErr w:type="spellEnd"/>
              <w:r w:rsidR="007B708F" w:rsidRPr="00B2564D">
                <w:rPr>
                  <w:rStyle w:val="Collegamentoipertestuale"/>
                  <w:rFonts w:ascii="Palatino Linotype" w:eastAsia="Calibri" w:hAnsi="Palatino Linotype" w:cs="Times New Roman"/>
                  <w:sz w:val="24"/>
                  <w:szCs w:val="24"/>
                </w:rPr>
                <w:t xml:space="preserve">. De </w:t>
              </w:r>
              <w:proofErr w:type="spellStart"/>
              <w:r w:rsidR="007B708F" w:rsidRPr="00B2564D">
                <w:rPr>
                  <w:rStyle w:val="Collegamentoipertestuale"/>
                  <w:rFonts w:ascii="Palatino Linotype" w:eastAsia="Calibri" w:hAnsi="Palatino Linotype" w:cs="Times New Roman"/>
                  <w:sz w:val="24"/>
                  <w:szCs w:val="24"/>
                </w:rPr>
                <w:t>Nictolis</w:t>
              </w:r>
              <w:proofErr w:type="spellEnd"/>
              <w:r w:rsidR="007B708F" w:rsidRPr="00B2564D">
                <w:rPr>
                  <w:rStyle w:val="Collegamentoipertestuale"/>
                  <w:rFonts w:ascii="Palatino Linotype" w:eastAsia="Calibri" w:hAnsi="Palatino Linotype" w:cs="Times New Roman"/>
                  <w:sz w:val="24"/>
                  <w:szCs w:val="24"/>
                </w:rPr>
                <w:t xml:space="preserve">, Est. </w:t>
              </w:r>
              <w:proofErr w:type="spellStart"/>
              <w:r w:rsidR="007B708F" w:rsidRPr="00B2564D">
                <w:rPr>
                  <w:rStyle w:val="Collegamentoipertestuale"/>
                  <w:rFonts w:ascii="Palatino Linotype" w:eastAsia="Calibri" w:hAnsi="Palatino Linotype" w:cs="Times New Roman"/>
                  <w:sz w:val="24"/>
                  <w:szCs w:val="24"/>
                </w:rPr>
                <w:t>Gaviano</w:t>
              </w:r>
              <w:proofErr w:type="spellEnd"/>
            </w:hyperlink>
          </w:p>
          <w:p w:rsidR="00EF3813" w:rsidRDefault="00EF3813" w:rsidP="00EF3813">
            <w:pPr>
              <w:autoSpaceDE w:val="0"/>
              <w:autoSpaceDN w:val="0"/>
              <w:spacing w:after="0" w:line="240" w:lineRule="auto"/>
              <w:jc w:val="both"/>
              <w:rPr>
                <w:rStyle w:val="Collegamentoipertestuale"/>
                <w:rFonts w:ascii="Palatino Linotype" w:eastAsia="Calibri" w:hAnsi="Palatino Linotype" w:cs="Times New Roman"/>
                <w:sz w:val="24"/>
                <w:szCs w:val="24"/>
              </w:rPr>
            </w:pPr>
          </w:p>
          <w:p w:rsidR="00FD5202" w:rsidRPr="00746419" w:rsidRDefault="00D67E6F" w:rsidP="007B708F">
            <w:pPr>
              <w:autoSpaceDE w:val="0"/>
              <w:autoSpaceDN w:val="0"/>
              <w:jc w:val="both"/>
              <w:rPr>
                <w:rFonts w:ascii="Palatino Linotype" w:eastAsia="Calibri" w:hAnsi="Palatino Linotype" w:cs="Times New Roman"/>
                <w:sz w:val="24"/>
                <w:szCs w:val="24"/>
              </w:rPr>
            </w:pPr>
            <w:r w:rsidRPr="00D67E6F">
              <w:rPr>
                <w:rFonts w:ascii="Palatino Linotype" w:eastAsia="Calibri" w:hAnsi="Palatino Linotype" w:cs="Times New Roman"/>
                <w:sz w:val="24"/>
                <w:szCs w:val="24"/>
              </w:rPr>
              <w:t xml:space="preserve">Il </w:t>
            </w:r>
            <w:proofErr w:type="spellStart"/>
            <w:r w:rsidRPr="00D67E6F">
              <w:rPr>
                <w:rFonts w:ascii="Palatino Linotype" w:eastAsia="Calibri" w:hAnsi="Palatino Linotype" w:cs="Times New Roman"/>
                <w:sz w:val="24"/>
                <w:szCs w:val="24"/>
              </w:rPr>
              <w:t>C</w:t>
            </w:r>
            <w:r w:rsidR="0069320C">
              <w:rPr>
                <w:rFonts w:ascii="Palatino Linotype" w:eastAsia="Calibri" w:hAnsi="Palatino Linotype" w:cs="Times New Roman"/>
                <w:sz w:val="24"/>
                <w:szCs w:val="24"/>
              </w:rPr>
              <w:t>.</w:t>
            </w:r>
            <w:r w:rsidRPr="00D67E6F">
              <w:rPr>
                <w:rFonts w:ascii="Palatino Linotype" w:eastAsia="Calibri" w:hAnsi="Palatino Linotype" w:cs="Times New Roman"/>
                <w:sz w:val="24"/>
                <w:szCs w:val="24"/>
              </w:rPr>
              <w:t>g</w:t>
            </w:r>
            <w:r w:rsidR="0069320C">
              <w:rPr>
                <w:rFonts w:ascii="Palatino Linotype" w:eastAsia="Calibri" w:hAnsi="Palatino Linotype" w:cs="Times New Roman"/>
                <w:sz w:val="24"/>
                <w:szCs w:val="24"/>
              </w:rPr>
              <w:t>.</w:t>
            </w:r>
            <w:r w:rsidRPr="00D67E6F">
              <w:rPr>
                <w:rFonts w:ascii="Palatino Linotype" w:eastAsia="Calibri" w:hAnsi="Palatino Linotype" w:cs="Times New Roman"/>
                <w:sz w:val="24"/>
                <w:szCs w:val="24"/>
              </w:rPr>
              <w:t>a</w:t>
            </w:r>
            <w:proofErr w:type="spellEnd"/>
            <w:r w:rsidR="0069320C">
              <w:rPr>
                <w:rFonts w:ascii="Palatino Linotype" w:eastAsia="Calibri" w:hAnsi="Palatino Linotype" w:cs="Times New Roman"/>
                <w:sz w:val="24"/>
                <w:szCs w:val="24"/>
              </w:rPr>
              <w:t>.</w:t>
            </w:r>
            <w:r w:rsidRPr="00D67E6F">
              <w:rPr>
                <w:rFonts w:ascii="Palatino Linotype" w:eastAsia="Calibri" w:hAnsi="Palatino Linotype" w:cs="Times New Roman"/>
                <w:sz w:val="24"/>
                <w:szCs w:val="24"/>
              </w:rPr>
              <w:t xml:space="preserve"> ha </w:t>
            </w:r>
            <w:r w:rsidR="00746419">
              <w:rPr>
                <w:rFonts w:ascii="Palatino Linotype" w:eastAsia="Calibri" w:hAnsi="Palatino Linotype" w:cs="Times New Roman"/>
                <w:sz w:val="24"/>
                <w:szCs w:val="24"/>
              </w:rPr>
              <w:t>chiarito</w:t>
            </w:r>
            <w:r w:rsidR="00746419" w:rsidRPr="00746419">
              <w:rPr>
                <w:rFonts w:ascii="Palatino Linotype" w:eastAsia="Calibri" w:hAnsi="Palatino Linotype" w:cs="Times New Roman"/>
                <w:sz w:val="24"/>
                <w:szCs w:val="24"/>
              </w:rPr>
              <w:t xml:space="preserve"> che da un lato, l’art. 83 del Codice dei contratti è “di latitudine tale da far rientrare nell’ambito operativo del relativo istituto, ben al di là delle mere operazioni di formale completamento o chiarimento cui aveva riguardo l’art. 46, d.lgs. n. 163 del 2006, le carenze di “qualsiasi elemento formale della domanda”, ossia la mancanza, incompletezza e ogni altra irregolarità, quand’anche di tipo “essenziale”, purché non involgente l'offerta economica o tecnica in sé considerata”; dall’altro lato, avuto riguardo al caso specifico, il bando era stato pubblicato nel mese di agosto, gravando i concorrenti di corposi oneri documentali, creando un vantaggio competitivo per l’unico altro concorrente in gara, poi risultato aggiudicatario, che già aveva in corso una analoga commessa per la medesima stazione appaltante. Dunque l’applicazione del soccorso istruttorio in una simile evenienza “lungi dal poter risultare lesiva della par condicio tra i due concorrenti indicati, vale semmai proprio a consentire il sostanziale rispetto di tale valore, rimediando alla distorsione fondatamente denunciata”.</w:t>
            </w:r>
          </w:p>
          <w:p w:rsidR="005473AE" w:rsidRDefault="00B944C9" w:rsidP="005473AE">
            <w:pPr>
              <w:autoSpaceDE w:val="0"/>
              <w:autoSpaceDN w:val="0"/>
              <w:spacing w:after="0" w:line="240" w:lineRule="auto"/>
              <w:jc w:val="center"/>
              <w:rPr>
                <w:rFonts w:ascii="Palatino Linotype" w:eastAsia="Calibri" w:hAnsi="Palatino Linotype" w:cs="Times New Roman"/>
                <w:color w:val="4472C4"/>
                <w:sz w:val="32"/>
                <w:szCs w:val="32"/>
              </w:rPr>
            </w:pPr>
            <w:r>
              <w:rPr>
                <w:rFonts w:ascii="Palatino Linotype" w:eastAsia="Calibri" w:hAnsi="Palatino Linotype" w:cs="Times New Roman"/>
                <w:color w:val="4472C4"/>
                <w:sz w:val="32"/>
                <w:szCs w:val="32"/>
              </w:rPr>
              <w:t>(</w:t>
            </w:r>
            <w:r w:rsidR="00DB1714">
              <w:rPr>
                <w:rFonts w:ascii="Palatino Linotype" w:eastAsia="Calibri" w:hAnsi="Palatino Linotype" w:cs="Times New Roman"/>
                <w:color w:val="4472C4"/>
                <w:sz w:val="32"/>
                <w:szCs w:val="32"/>
              </w:rPr>
              <w:t>11</w:t>
            </w:r>
            <w:r w:rsidR="005473AE" w:rsidRPr="005D3CFD">
              <w:rPr>
                <w:rFonts w:ascii="Palatino Linotype" w:eastAsia="Calibri" w:hAnsi="Palatino Linotype" w:cs="Times New Roman"/>
                <w:color w:val="4472C4"/>
                <w:sz w:val="32"/>
                <w:szCs w:val="32"/>
              </w:rPr>
              <w:t>)</w:t>
            </w:r>
          </w:p>
          <w:p w:rsidR="00FD5202" w:rsidRDefault="00FD5202" w:rsidP="005473AE">
            <w:pPr>
              <w:autoSpaceDE w:val="0"/>
              <w:autoSpaceDN w:val="0"/>
              <w:spacing w:after="0" w:line="240" w:lineRule="auto"/>
              <w:jc w:val="center"/>
              <w:rPr>
                <w:rFonts w:ascii="Palatino Linotype" w:eastAsia="Calibri" w:hAnsi="Palatino Linotype" w:cs="Times New Roman"/>
                <w:color w:val="4472C4"/>
                <w:sz w:val="32"/>
                <w:szCs w:val="32"/>
              </w:rPr>
            </w:pPr>
          </w:p>
          <w:p w:rsidR="002D30CE" w:rsidRDefault="00FD5202" w:rsidP="00A53D3A">
            <w:pPr>
              <w:autoSpaceDE w:val="0"/>
              <w:autoSpaceDN w:val="0"/>
              <w:spacing w:after="0" w:line="24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Il </w:t>
            </w:r>
            <w:proofErr w:type="spellStart"/>
            <w:r>
              <w:rPr>
                <w:rFonts w:ascii="Palatino Linotype" w:eastAsia="Calibri" w:hAnsi="Palatino Linotype" w:cs="Times New Roman"/>
                <w:sz w:val="24"/>
                <w:szCs w:val="24"/>
              </w:rPr>
              <w:t>T.a.r</w:t>
            </w:r>
            <w:proofErr w:type="spellEnd"/>
            <w:r>
              <w:rPr>
                <w:rFonts w:ascii="Palatino Linotype" w:eastAsia="Calibri" w:hAnsi="Palatino Linotype" w:cs="Times New Roman"/>
                <w:sz w:val="24"/>
                <w:szCs w:val="24"/>
              </w:rPr>
              <w:t xml:space="preserve">. </w:t>
            </w:r>
            <w:r w:rsidR="00084C8C">
              <w:rPr>
                <w:rFonts w:ascii="Palatino Linotype" w:eastAsia="Calibri" w:hAnsi="Palatino Linotype" w:cs="Times New Roman"/>
                <w:sz w:val="24"/>
                <w:szCs w:val="24"/>
              </w:rPr>
              <w:t xml:space="preserve">per il </w:t>
            </w:r>
            <w:r>
              <w:rPr>
                <w:rFonts w:ascii="Palatino Linotype" w:eastAsia="Calibri" w:hAnsi="Palatino Linotype" w:cs="Times New Roman"/>
                <w:sz w:val="24"/>
                <w:szCs w:val="24"/>
              </w:rPr>
              <w:t>Lazio</w:t>
            </w:r>
            <w:r w:rsidR="002D30CE">
              <w:rPr>
                <w:rFonts w:ascii="Palatino Linotype" w:eastAsia="Calibri" w:hAnsi="Palatino Linotype" w:cs="Times New Roman"/>
                <w:sz w:val="24"/>
                <w:szCs w:val="24"/>
              </w:rPr>
              <w:t xml:space="preserve"> </w:t>
            </w:r>
            <w:r w:rsidR="009C5981">
              <w:rPr>
                <w:rFonts w:ascii="Palatino Linotype" w:eastAsia="Calibri" w:hAnsi="Palatino Linotype" w:cs="Times New Roman"/>
                <w:sz w:val="24"/>
                <w:szCs w:val="24"/>
              </w:rPr>
              <w:t xml:space="preserve">ha </w:t>
            </w:r>
            <w:r w:rsidR="009C5981">
              <w:rPr>
                <w:rFonts w:ascii="Palatino Linotype" w:eastAsia="Calibri" w:hAnsi="Palatino Linotype" w:cs="Times New Roman"/>
                <w:iCs/>
                <w:sz w:val="24"/>
                <w:szCs w:val="24"/>
                <w:lang w:eastAsia="it-IT"/>
              </w:rPr>
              <w:t>rimesso</w:t>
            </w:r>
            <w:r w:rsidR="008F055A" w:rsidRPr="00841128">
              <w:rPr>
                <w:rFonts w:ascii="Palatino Linotype" w:eastAsia="Calibri" w:hAnsi="Palatino Linotype" w:cs="Times New Roman"/>
                <w:iCs/>
                <w:sz w:val="24"/>
                <w:szCs w:val="24"/>
                <w:lang w:eastAsia="it-IT"/>
              </w:rPr>
              <w:t xml:space="preserve"> alla Corte di giustizia UE una serie di questioni concernenti</w:t>
            </w:r>
            <w:r w:rsidR="008F055A">
              <w:rPr>
                <w:rFonts w:ascii="Palatino Linotype" w:eastAsia="Calibri" w:hAnsi="Palatino Linotype" w:cs="Times New Roman"/>
                <w:iCs/>
                <w:sz w:val="24"/>
                <w:szCs w:val="24"/>
                <w:lang w:eastAsia="it-IT"/>
              </w:rPr>
              <w:t xml:space="preserve"> l’interpretazione </w:t>
            </w:r>
            <w:r w:rsidR="008F055A" w:rsidRPr="008F055A">
              <w:rPr>
                <w:rFonts w:ascii="Palatino Linotype" w:eastAsia="Calibri" w:hAnsi="Palatino Linotype" w:cs="Times New Roman"/>
                <w:sz w:val="24"/>
                <w:szCs w:val="24"/>
              </w:rPr>
              <w:t xml:space="preserve">degli artt. 2, comma 1, </w:t>
            </w:r>
            <w:proofErr w:type="spellStart"/>
            <w:r w:rsidR="008F055A" w:rsidRPr="008F055A">
              <w:rPr>
                <w:rFonts w:ascii="Palatino Linotype" w:eastAsia="Calibri" w:hAnsi="Palatino Linotype" w:cs="Times New Roman"/>
                <w:sz w:val="24"/>
                <w:szCs w:val="24"/>
              </w:rPr>
              <w:t>lett</w:t>
            </w:r>
            <w:proofErr w:type="spellEnd"/>
            <w:r w:rsidR="008F055A" w:rsidRPr="008F055A">
              <w:rPr>
                <w:rFonts w:ascii="Palatino Linotype" w:eastAsia="Calibri" w:hAnsi="Palatino Linotype" w:cs="Times New Roman"/>
                <w:sz w:val="24"/>
                <w:szCs w:val="24"/>
              </w:rPr>
              <w:t>. s), e 43, commi 5, 11 e 14, d.lgs. 31 luglio 2005, n. 177 in rapporto alla disciplina prevista dagli artt. 14 e 15 della Direttiva 2002/21/CE ed ai principi di massima concorrenza, proporzionalità, parità di trattamento e non discriminazione, libertà di espressione, tutela del pluralismo, libera circolazione dei capitali e libera prestazione dei servi</w:t>
            </w:r>
            <w:r w:rsidR="008F055A">
              <w:rPr>
                <w:rFonts w:ascii="Palatino Linotype" w:eastAsia="Calibri" w:hAnsi="Palatino Linotype" w:cs="Times New Roman"/>
                <w:sz w:val="24"/>
                <w:szCs w:val="24"/>
              </w:rPr>
              <w:t>zi.</w:t>
            </w:r>
          </w:p>
          <w:p w:rsidR="002D30CE" w:rsidRDefault="002D30CE" w:rsidP="00A53D3A">
            <w:pPr>
              <w:autoSpaceDE w:val="0"/>
              <w:autoSpaceDN w:val="0"/>
              <w:spacing w:after="0" w:line="240" w:lineRule="auto"/>
              <w:jc w:val="both"/>
              <w:rPr>
                <w:rFonts w:ascii="Palatino Linotype" w:eastAsia="Calibri" w:hAnsi="Palatino Linotype" w:cs="Times New Roman"/>
                <w:sz w:val="24"/>
                <w:szCs w:val="24"/>
              </w:rPr>
            </w:pPr>
          </w:p>
          <w:p w:rsidR="002D30CE" w:rsidRDefault="00E424A6" w:rsidP="00A53D3A">
            <w:pPr>
              <w:autoSpaceDE w:val="0"/>
              <w:autoSpaceDN w:val="0"/>
              <w:spacing w:after="0" w:line="240" w:lineRule="auto"/>
              <w:jc w:val="both"/>
              <w:rPr>
                <w:rFonts w:ascii="Palatino Linotype" w:eastAsia="Calibri" w:hAnsi="Palatino Linotype" w:cs="Times New Roman"/>
                <w:sz w:val="24"/>
                <w:szCs w:val="24"/>
              </w:rPr>
            </w:pPr>
            <w:hyperlink r:id="rId19" w:history="1">
              <w:proofErr w:type="spellStart"/>
              <w:r w:rsidR="002D30CE" w:rsidRPr="00B2564D">
                <w:rPr>
                  <w:rStyle w:val="Collegamentoipertestuale"/>
                  <w:rFonts w:ascii="Palatino Linotype" w:eastAsia="Calibri" w:hAnsi="Palatino Linotype" w:cs="Times New Roman"/>
                  <w:sz w:val="24"/>
                  <w:szCs w:val="24"/>
                </w:rPr>
                <w:t>T.a.r</w:t>
              </w:r>
              <w:proofErr w:type="spellEnd"/>
              <w:r w:rsidR="007019E1" w:rsidRPr="00B2564D">
                <w:rPr>
                  <w:rStyle w:val="Collegamentoipertestuale"/>
                  <w:rFonts w:ascii="Palatino Linotype" w:eastAsia="Calibri" w:hAnsi="Palatino Linotype" w:cs="Times New Roman"/>
                  <w:sz w:val="24"/>
                  <w:szCs w:val="24"/>
                </w:rPr>
                <w:t xml:space="preserve">. </w:t>
              </w:r>
              <w:r w:rsidR="00084C8C">
                <w:rPr>
                  <w:rStyle w:val="Collegamentoipertestuale"/>
                  <w:rFonts w:ascii="Palatino Linotype" w:eastAsia="Calibri" w:hAnsi="Palatino Linotype" w:cs="Times New Roman"/>
                  <w:sz w:val="24"/>
                  <w:szCs w:val="24"/>
                </w:rPr>
                <w:t>per il Lazio</w:t>
              </w:r>
              <w:r w:rsidR="002D30CE" w:rsidRPr="00B2564D">
                <w:rPr>
                  <w:rStyle w:val="Collegamentoipertestuale"/>
                  <w:rFonts w:ascii="Palatino Linotype" w:eastAsia="Calibri" w:hAnsi="Palatino Linotype" w:cs="Times New Roman"/>
                  <w:sz w:val="24"/>
                  <w:szCs w:val="24"/>
                </w:rPr>
                <w:t>, sezione I</w:t>
              </w:r>
              <w:r w:rsidR="007019E1" w:rsidRPr="00B2564D">
                <w:rPr>
                  <w:rStyle w:val="Collegamentoipertestuale"/>
                  <w:rFonts w:ascii="Palatino Linotype" w:eastAsia="Calibri" w:hAnsi="Palatino Linotype" w:cs="Times New Roman"/>
                  <w:sz w:val="24"/>
                  <w:szCs w:val="24"/>
                </w:rPr>
                <w:t>II</w:t>
              </w:r>
              <w:r w:rsidR="002D30CE" w:rsidRPr="00B2564D">
                <w:rPr>
                  <w:rStyle w:val="Collegamentoipertestuale"/>
                  <w:rFonts w:ascii="Palatino Linotype" w:eastAsia="Calibri" w:hAnsi="Palatino Linotype" w:cs="Times New Roman"/>
                  <w:sz w:val="24"/>
                  <w:szCs w:val="24"/>
                </w:rPr>
                <w:t>,</w:t>
              </w:r>
              <w:r w:rsidR="007019E1" w:rsidRPr="00B2564D">
                <w:rPr>
                  <w:rStyle w:val="Collegamentoipertestuale"/>
                  <w:rFonts w:ascii="Palatino Linotype" w:eastAsia="Calibri" w:hAnsi="Palatino Linotype" w:cs="Times New Roman"/>
                  <w:sz w:val="24"/>
                  <w:szCs w:val="24"/>
                </w:rPr>
                <w:t xml:space="preserve"> ordinanza 5 novembre 2018, n. 10654</w:t>
              </w:r>
              <w:r w:rsidR="002D30CE" w:rsidRPr="00B2564D">
                <w:rPr>
                  <w:rStyle w:val="Collegamentoipertestuale"/>
                  <w:rFonts w:ascii="Palatino Linotype" w:eastAsia="Calibri" w:hAnsi="Palatino Linotype" w:cs="Times New Roman"/>
                  <w:sz w:val="24"/>
                  <w:szCs w:val="24"/>
                </w:rPr>
                <w:t xml:space="preserve"> – </w:t>
              </w:r>
              <w:proofErr w:type="spellStart"/>
              <w:r w:rsidR="002D30CE" w:rsidRPr="00B2564D">
                <w:rPr>
                  <w:rStyle w:val="Collegamentoipertestuale"/>
                  <w:rFonts w:ascii="Palatino Linotype" w:eastAsia="Calibri" w:hAnsi="Palatino Linotype" w:cs="Times New Roman"/>
                  <w:sz w:val="24"/>
                  <w:szCs w:val="24"/>
                </w:rPr>
                <w:t>Pres</w:t>
              </w:r>
              <w:proofErr w:type="spellEnd"/>
              <w:r w:rsidR="002D30CE" w:rsidRPr="00B2564D">
                <w:rPr>
                  <w:rStyle w:val="Collegamentoipertestuale"/>
                  <w:rFonts w:ascii="Palatino Linotype" w:eastAsia="Calibri" w:hAnsi="Palatino Linotype" w:cs="Times New Roman"/>
                  <w:sz w:val="24"/>
                  <w:szCs w:val="24"/>
                </w:rPr>
                <w:t xml:space="preserve">. </w:t>
              </w:r>
              <w:r w:rsidR="007019E1" w:rsidRPr="00B2564D">
                <w:rPr>
                  <w:rStyle w:val="Collegamentoipertestuale"/>
                  <w:rFonts w:ascii="Palatino Linotype" w:eastAsia="Calibri" w:hAnsi="Palatino Linotype" w:cs="Times New Roman"/>
                  <w:sz w:val="24"/>
                  <w:szCs w:val="24"/>
                </w:rPr>
                <w:t>De Michele, Est. Blanda</w:t>
              </w:r>
            </w:hyperlink>
          </w:p>
          <w:p w:rsidR="002D30CE" w:rsidRDefault="002D30CE" w:rsidP="00A53D3A">
            <w:pPr>
              <w:autoSpaceDE w:val="0"/>
              <w:autoSpaceDN w:val="0"/>
              <w:spacing w:after="0" w:line="240" w:lineRule="auto"/>
              <w:jc w:val="both"/>
              <w:rPr>
                <w:rFonts w:ascii="Palatino Linotype" w:eastAsia="Calibri" w:hAnsi="Palatino Linotype" w:cs="Times New Roman"/>
                <w:sz w:val="24"/>
                <w:szCs w:val="24"/>
              </w:rPr>
            </w:pPr>
          </w:p>
          <w:p w:rsidR="008F055A" w:rsidRDefault="008F055A" w:rsidP="008F055A">
            <w:pPr>
              <w:spacing w:after="0" w:line="240" w:lineRule="auto"/>
              <w:jc w:val="both"/>
              <w:rPr>
                <w:rFonts w:ascii="Palatino Linotype" w:eastAsia="Calibri" w:hAnsi="Palatino Linotype" w:cs="Times New Roman"/>
                <w:iCs/>
                <w:sz w:val="24"/>
                <w:szCs w:val="24"/>
                <w:lang w:eastAsia="it-IT"/>
              </w:rPr>
            </w:pPr>
            <w:r>
              <w:rPr>
                <w:rFonts w:ascii="Palatino Linotype" w:eastAsia="Calibri" w:hAnsi="Palatino Linotype" w:cs="Times New Roman"/>
                <w:iCs/>
                <w:sz w:val="24"/>
                <w:szCs w:val="24"/>
                <w:lang w:eastAsia="it-IT"/>
              </w:rPr>
              <w:t>Vanno rimesse alla Corte di giustizia dell’Unione Europea le seguenti questioni interpretative:</w:t>
            </w:r>
          </w:p>
          <w:p w:rsidR="008F055A" w:rsidRDefault="008F055A" w:rsidP="00A53D3A">
            <w:pPr>
              <w:autoSpaceDE w:val="0"/>
              <w:autoSpaceDN w:val="0"/>
              <w:spacing w:after="0" w:line="240" w:lineRule="auto"/>
              <w:jc w:val="both"/>
              <w:rPr>
                <w:rFonts w:ascii="Palatino Linotype" w:eastAsia="Calibri" w:hAnsi="Palatino Linotype" w:cs="Times New Roman"/>
                <w:sz w:val="24"/>
                <w:szCs w:val="24"/>
              </w:rPr>
            </w:pPr>
            <w:r w:rsidRPr="008F055A">
              <w:rPr>
                <w:rFonts w:ascii="Palatino Linotype" w:eastAsia="Calibri" w:hAnsi="Palatino Linotype" w:cs="Times New Roman"/>
                <w:sz w:val="24"/>
                <w:szCs w:val="24"/>
              </w:rPr>
              <w:t>a) se, pur essendo facoltà degli Stati membri accertare quando le imprese godano di una posizione dominante (con conseguente imposizione alle stesse di specifici obblighi) sia, o meno, contrastante con il diritto dell’Unione Europea e, in particolare, con il principio della libertà di circolazione dei capitali di cui all’art. 63 TFUE, la disposizione di cui all’art. 43, comma 11, d.lgs. 31 luglio 2005, n. 177, nel testo vigente alla data di adozione della delibera impugnata, secondo cui “le imprese, anche attraverso società controllate o collegate, i cui ricavi nel settore delle comunicazioni elettroniche, come definito ai sensi dell'art. 18 , d.lgs. 1 agosto 2003, n. 259, sono superiori al 40 per cento dei ricavi complessivi di quel settore, non possono conseguire nel sistema integrato delle comunicazioni ricavi superiori al 10 per cento del sistema medesimo”; quanto sopra, nella parte in cui – attraverso il richiamo all’art. 18 del codice delle comunicazioni elettroniche – si limita il settore in questione ai</w:t>
            </w:r>
            <w:r>
              <w:rPr>
                <w:rFonts w:ascii="Titillium Web" w:hAnsi="Titillium Web" w:cs="Arial"/>
                <w:i/>
                <w:iCs/>
                <w:color w:val="333333"/>
                <w:sz w:val="21"/>
                <w:szCs w:val="21"/>
              </w:rPr>
              <w:t xml:space="preserve"> </w:t>
            </w:r>
            <w:r w:rsidRPr="008F055A">
              <w:rPr>
                <w:rFonts w:ascii="Palatino Linotype" w:eastAsia="Calibri" w:hAnsi="Palatino Linotype" w:cs="Times New Roman"/>
                <w:sz w:val="24"/>
                <w:szCs w:val="24"/>
              </w:rPr>
              <w:t xml:space="preserve">mercati suscettibili di regolamentazione ex ante, nonostante il dato di comune esperienza, secondo cui l’informazione (al cui pluralismo la norma è finalizzata) risulta veicolata in misura crescente dall’uso di internet, dei personal computer e della telefonia mobile, tanto da poter rendere irragionevole l’esclusione dal settore stesso, in particolare, dei servizi al dettaglio di telefonia mobile, solo perché operanti in pieno regime di concorrenza. Quanto sopra, tenendo anche conto del fatto che l’Autorità ha delimitato i confini del settore delle comunicazioni elettroniche, ai fini dell’applicazione del citato art. 43, comma 11, proprio in occasione del procedimento in esame, prendendo in considerazione solo i mercati, in ordine ai quali sia stata svolta almeno un’analisi dall’entrata in vigore del CCE, quindi dal 2003 ad oggi e con ricavi, desunti dall’ultimo accertamento utile, effettuato nel 2015; </w:t>
            </w:r>
          </w:p>
          <w:p w:rsidR="008F055A" w:rsidRDefault="008F055A" w:rsidP="00A53D3A">
            <w:pPr>
              <w:autoSpaceDE w:val="0"/>
              <w:autoSpaceDN w:val="0"/>
              <w:spacing w:after="0" w:line="240" w:lineRule="auto"/>
              <w:jc w:val="both"/>
              <w:rPr>
                <w:rFonts w:ascii="Palatino Linotype" w:eastAsia="Calibri" w:hAnsi="Palatino Linotype" w:cs="Times New Roman"/>
                <w:sz w:val="24"/>
                <w:szCs w:val="24"/>
              </w:rPr>
            </w:pPr>
            <w:r w:rsidRPr="008F055A">
              <w:rPr>
                <w:rFonts w:ascii="Palatino Linotype" w:eastAsia="Calibri" w:hAnsi="Palatino Linotype" w:cs="Times New Roman"/>
                <w:sz w:val="24"/>
                <w:szCs w:val="24"/>
              </w:rPr>
              <w:t xml:space="preserve">b) se i principi in tema di tutela della libertà di stabilimento e di libera prestazione di servizi, di cui agli artt. 49 e 56 del Trattato sul Funzionamento dell’Unione Europea (TFUE), gli artt. 15 e 16 della direttiva 2002/21/CE “servizi di media audiovisivi e radiofonici”, posti a tutela del pluralismo e della liberà di espressione, e il principio </w:t>
            </w:r>
            <w:proofErr w:type="spellStart"/>
            <w:r w:rsidRPr="008F055A">
              <w:rPr>
                <w:rFonts w:ascii="Palatino Linotype" w:eastAsia="Calibri" w:hAnsi="Palatino Linotype" w:cs="Times New Roman"/>
                <w:sz w:val="24"/>
                <w:szCs w:val="24"/>
              </w:rPr>
              <w:t>eurounitario</w:t>
            </w:r>
            <w:proofErr w:type="spellEnd"/>
            <w:r w:rsidRPr="008F055A">
              <w:rPr>
                <w:rFonts w:ascii="Palatino Linotype" w:eastAsia="Calibri" w:hAnsi="Palatino Linotype" w:cs="Times New Roman"/>
                <w:sz w:val="24"/>
                <w:szCs w:val="24"/>
              </w:rPr>
              <w:t xml:space="preserve"> di proporzionalità, ostino all’applicazione di una normativa nazionale in materia di servizi di media audiovisivi e radiofonici pubblici, come quella italiana, contenuta nell’art.  43, commi 11 e 14, secondo la quale i ricavi, rilevanti per determinare la seconda soglia di sbarramento del 10%, sono rapportabili anche ad imprese non controllate né soggette ad influenza dominante, ma anche solo “collegate” nei termini di cui all’art. 2359 c.c. (richiamato dal comma 14 dell’art. 43), pur risultando non esercitabile, nei confronti di queste ultime, alcuna influenza sulle informazioni da diffondere; </w:t>
            </w:r>
          </w:p>
          <w:p w:rsidR="00C83EF5" w:rsidRDefault="008F055A" w:rsidP="00FD5202">
            <w:pPr>
              <w:autoSpaceDE w:val="0"/>
              <w:autoSpaceDN w:val="0"/>
              <w:spacing w:after="0" w:line="240" w:lineRule="auto"/>
              <w:jc w:val="both"/>
              <w:rPr>
                <w:rFonts w:ascii="Palatino Linotype" w:eastAsia="Calibri" w:hAnsi="Palatino Linotype" w:cs="Times New Roman"/>
                <w:sz w:val="24"/>
                <w:szCs w:val="24"/>
              </w:rPr>
            </w:pPr>
            <w:r w:rsidRPr="008F055A">
              <w:rPr>
                <w:rFonts w:ascii="Palatino Linotype" w:eastAsia="Calibri" w:hAnsi="Palatino Linotype" w:cs="Times New Roman"/>
                <w:sz w:val="24"/>
                <w:szCs w:val="24"/>
              </w:rPr>
              <w:t xml:space="preserve">c) se i principi in tema di libertà di stabilimento e di libera prestazione di servizi, di cui agli artt. 49 e 56 del Trattato sul Funzionamento dell’Unione Europea (TFUE), gli artt. 15 e 16 della direttiva 2002/21/CE, i principi in materia di tutela del pluralismo delle fonti d'informazione e della concorrenza nel settore radiotelevisivo di cui alla Direttiva 2010/13/UE sui Servizi di media audiovisivi e alla direttiva 2002/21/CE ostino ad una disciplina nazionale come il d.lgs. n. 177 del 2005, che nei commi 9 e 11 dell’art. 43, </w:t>
            </w:r>
            <w:r w:rsidRPr="008F055A">
              <w:rPr>
                <w:rFonts w:ascii="Palatino Linotype" w:eastAsia="Calibri" w:hAnsi="Palatino Linotype" w:cs="Times New Roman"/>
                <w:sz w:val="24"/>
                <w:szCs w:val="24"/>
              </w:rPr>
              <w:lastRenderedPageBreak/>
              <w:t>sottopone a soglie di sbarramento molto diverse (rispettivamente, del 20% e del 10%) i “soggetti tenuti all’iscrizione nel registro degli operatori di comunicazione, costituito ai sensi dell’art. 1, comma 6, lettera a), n. 5 della legge 31 luglio 1997, n. 249” (ovvero i soggetti destinatari di concessione o autorizzazione in base alla vigente normativa, da parte dell’Autorità o di altre Amministrazioni competenti, nonché le imprese concessionarie di pubblicità comunque trasmessa, le imprese editrici etc., di cui al comma 9) rispetto alle imprese operanti nel settore delle comunicazioni elettroniche, come in precedenza definito (nell’ambito del comma 11)</w:t>
            </w:r>
            <w:r>
              <w:rPr>
                <w:rFonts w:ascii="Palatino Linotype" w:eastAsia="Calibri" w:hAnsi="Palatino Linotype" w:cs="Times New Roman"/>
                <w:sz w:val="24"/>
                <w:szCs w:val="24"/>
              </w:rPr>
              <w:t>.</w:t>
            </w:r>
          </w:p>
          <w:p w:rsidR="006B1656" w:rsidRDefault="006B1656" w:rsidP="00FD5202">
            <w:pPr>
              <w:autoSpaceDE w:val="0"/>
              <w:autoSpaceDN w:val="0"/>
              <w:spacing w:after="0" w:line="240" w:lineRule="auto"/>
              <w:jc w:val="both"/>
              <w:rPr>
                <w:rFonts w:ascii="Palatino Linotype" w:eastAsia="Calibri" w:hAnsi="Palatino Linotype" w:cs="Times New Roman"/>
                <w:sz w:val="24"/>
                <w:szCs w:val="24"/>
              </w:rPr>
            </w:pPr>
          </w:p>
          <w:p w:rsidR="006B1656" w:rsidRPr="006B1656" w:rsidRDefault="006B1656" w:rsidP="006B1656">
            <w:pPr>
              <w:shd w:val="clear" w:color="auto" w:fill="FFFFFF"/>
              <w:spacing w:after="0" w:line="240" w:lineRule="auto"/>
              <w:ind w:left="23"/>
              <w:jc w:val="both"/>
              <w:rPr>
                <w:rFonts w:ascii="Palatino Linotype" w:eastAsia="Calibri" w:hAnsi="Palatino Linotype" w:cs="Times New Roman"/>
                <w:b/>
                <w:bCs/>
                <w:color w:val="993300"/>
                <w:sz w:val="24"/>
                <w:szCs w:val="24"/>
              </w:rPr>
            </w:pPr>
            <w:r w:rsidRPr="005D3CFD">
              <w:rPr>
                <w:rFonts w:ascii="Palatino Linotype" w:eastAsia="Calibri" w:hAnsi="Palatino Linotype" w:cs="Times New Roman"/>
                <w:b/>
                <w:bCs/>
                <w:color w:val="993300"/>
                <w:sz w:val="24"/>
                <w:szCs w:val="24"/>
              </w:rPr>
              <w:t>Si segnala che l’ordinanza sarà oggetto di trattazione in apposita News a cura dell’Ufficio Studi Massimario e Formazione.</w:t>
            </w:r>
          </w:p>
          <w:p w:rsidR="005739FC" w:rsidRDefault="005739FC" w:rsidP="00FD5202">
            <w:pPr>
              <w:autoSpaceDE w:val="0"/>
              <w:autoSpaceDN w:val="0"/>
              <w:spacing w:after="0" w:line="240" w:lineRule="auto"/>
              <w:jc w:val="both"/>
              <w:rPr>
                <w:rFonts w:ascii="Palatino Linotype" w:eastAsia="Calibri" w:hAnsi="Palatino Linotype" w:cs="Times New Roman"/>
                <w:sz w:val="24"/>
                <w:szCs w:val="24"/>
              </w:rPr>
            </w:pPr>
          </w:p>
          <w:p w:rsidR="005739FC" w:rsidRDefault="005739FC" w:rsidP="005739FC">
            <w:pPr>
              <w:autoSpaceDE w:val="0"/>
              <w:autoSpaceDN w:val="0"/>
              <w:spacing w:after="0" w:line="240" w:lineRule="auto"/>
              <w:jc w:val="center"/>
              <w:rPr>
                <w:rFonts w:ascii="Palatino Linotype" w:eastAsia="Calibri" w:hAnsi="Palatino Linotype" w:cs="Times New Roman"/>
                <w:color w:val="4472C4"/>
                <w:sz w:val="32"/>
                <w:szCs w:val="32"/>
              </w:rPr>
            </w:pPr>
            <w:r>
              <w:rPr>
                <w:rFonts w:ascii="Palatino Linotype" w:eastAsia="Calibri" w:hAnsi="Palatino Linotype" w:cs="Times New Roman"/>
                <w:color w:val="4472C4"/>
                <w:sz w:val="32"/>
                <w:szCs w:val="32"/>
              </w:rPr>
              <w:t>(</w:t>
            </w:r>
            <w:r w:rsidR="00DB1714">
              <w:rPr>
                <w:rFonts w:ascii="Palatino Linotype" w:eastAsia="Calibri" w:hAnsi="Palatino Linotype" w:cs="Times New Roman"/>
                <w:color w:val="4472C4"/>
                <w:sz w:val="32"/>
                <w:szCs w:val="32"/>
              </w:rPr>
              <w:t>12</w:t>
            </w:r>
            <w:r w:rsidRPr="005D3CFD">
              <w:rPr>
                <w:rFonts w:ascii="Palatino Linotype" w:eastAsia="Calibri" w:hAnsi="Palatino Linotype" w:cs="Times New Roman"/>
                <w:color w:val="4472C4"/>
                <w:sz w:val="32"/>
                <w:szCs w:val="32"/>
              </w:rPr>
              <w:t>)</w:t>
            </w:r>
          </w:p>
          <w:p w:rsidR="005739FC" w:rsidRDefault="005739FC" w:rsidP="005739FC">
            <w:pPr>
              <w:autoSpaceDE w:val="0"/>
              <w:autoSpaceDN w:val="0"/>
              <w:spacing w:after="0" w:line="240" w:lineRule="auto"/>
              <w:jc w:val="center"/>
              <w:rPr>
                <w:rFonts w:ascii="Palatino Linotype" w:eastAsia="Calibri" w:hAnsi="Palatino Linotype" w:cs="Times New Roman"/>
                <w:color w:val="4472C4"/>
                <w:sz w:val="32"/>
                <w:szCs w:val="32"/>
              </w:rPr>
            </w:pPr>
          </w:p>
          <w:p w:rsidR="005739FC" w:rsidRDefault="005739FC" w:rsidP="005739FC">
            <w:pPr>
              <w:autoSpaceDE w:val="0"/>
              <w:autoSpaceDN w:val="0"/>
              <w:spacing w:after="0" w:line="24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Il </w:t>
            </w:r>
            <w:proofErr w:type="spellStart"/>
            <w:r>
              <w:rPr>
                <w:rFonts w:ascii="Palatino Linotype" w:eastAsia="Calibri" w:hAnsi="Palatino Linotype" w:cs="Times New Roman"/>
                <w:sz w:val="24"/>
                <w:szCs w:val="24"/>
              </w:rPr>
              <w:t>T.a.r</w:t>
            </w:r>
            <w:proofErr w:type="spellEnd"/>
            <w:r>
              <w:rPr>
                <w:rFonts w:ascii="Palatino Linotype" w:eastAsia="Calibri" w:hAnsi="Palatino Linotype" w:cs="Times New Roman"/>
                <w:sz w:val="24"/>
                <w:szCs w:val="24"/>
              </w:rPr>
              <w:t>. per il Friuli Venezia Giulia fornisce alcuni chiarimenti sui rimedi esperibili in caso di conflitto tra Regione ed enti locali.</w:t>
            </w:r>
          </w:p>
          <w:p w:rsidR="005739FC" w:rsidRDefault="005739FC" w:rsidP="00FD5202">
            <w:pPr>
              <w:autoSpaceDE w:val="0"/>
              <w:autoSpaceDN w:val="0"/>
              <w:spacing w:after="0" w:line="240" w:lineRule="auto"/>
              <w:jc w:val="both"/>
              <w:rPr>
                <w:rFonts w:ascii="Palatino Linotype" w:eastAsia="Calibri" w:hAnsi="Palatino Linotype" w:cs="Times New Roman"/>
                <w:sz w:val="24"/>
                <w:szCs w:val="24"/>
              </w:rPr>
            </w:pPr>
          </w:p>
          <w:p w:rsidR="005739FC" w:rsidRPr="005739FC" w:rsidRDefault="00E424A6" w:rsidP="005739FC">
            <w:pPr>
              <w:autoSpaceDE w:val="0"/>
              <w:autoSpaceDN w:val="0"/>
              <w:spacing w:after="0" w:line="240" w:lineRule="auto"/>
              <w:jc w:val="both"/>
              <w:rPr>
                <w:rFonts w:ascii="Palatino Linotype" w:eastAsia="Calibri" w:hAnsi="Palatino Linotype" w:cs="Times New Roman"/>
                <w:sz w:val="24"/>
                <w:szCs w:val="24"/>
              </w:rPr>
            </w:pPr>
            <w:hyperlink r:id="rId20" w:history="1">
              <w:proofErr w:type="spellStart"/>
              <w:r w:rsidR="005739FC" w:rsidRPr="005739FC">
                <w:rPr>
                  <w:rStyle w:val="Collegamentoipertestuale"/>
                  <w:rFonts w:ascii="Palatino Linotype" w:eastAsia="Calibri" w:hAnsi="Palatino Linotype" w:cs="Times New Roman"/>
                  <w:sz w:val="24"/>
                  <w:szCs w:val="24"/>
                </w:rPr>
                <w:t>T.a.r</w:t>
              </w:r>
              <w:proofErr w:type="spellEnd"/>
              <w:r w:rsidR="005739FC" w:rsidRPr="005739FC">
                <w:rPr>
                  <w:rStyle w:val="Collegamentoipertestuale"/>
                  <w:rFonts w:ascii="Palatino Linotype" w:eastAsia="Calibri" w:hAnsi="Palatino Linotype" w:cs="Times New Roman"/>
                  <w:sz w:val="24"/>
                  <w:szCs w:val="24"/>
                </w:rPr>
                <w:t xml:space="preserve">. </w:t>
              </w:r>
              <w:r w:rsidR="005739FC">
                <w:rPr>
                  <w:rStyle w:val="Collegamentoipertestuale"/>
                  <w:rFonts w:ascii="Palatino Linotype" w:eastAsia="Calibri" w:hAnsi="Palatino Linotype" w:cs="Times New Roman"/>
                  <w:sz w:val="24"/>
                  <w:szCs w:val="24"/>
                </w:rPr>
                <w:t xml:space="preserve">per il </w:t>
              </w:r>
              <w:r w:rsidR="005739FC" w:rsidRPr="005739FC">
                <w:rPr>
                  <w:rStyle w:val="Collegamentoipertestuale"/>
                  <w:rFonts w:ascii="Palatino Linotype" w:eastAsia="Calibri" w:hAnsi="Palatino Linotype" w:cs="Times New Roman"/>
                  <w:sz w:val="24"/>
                  <w:szCs w:val="24"/>
                </w:rPr>
                <w:t xml:space="preserve">Friuli Venezia Giulia, sentenza 5 novembre 2018, n. 339 – </w:t>
              </w:r>
              <w:proofErr w:type="spellStart"/>
              <w:r w:rsidR="005739FC" w:rsidRPr="005739FC">
                <w:rPr>
                  <w:rStyle w:val="Collegamentoipertestuale"/>
                  <w:rFonts w:ascii="Palatino Linotype" w:eastAsia="Calibri" w:hAnsi="Palatino Linotype" w:cs="Times New Roman"/>
                  <w:sz w:val="24"/>
                  <w:szCs w:val="24"/>
                </w:rPr>
                <w:t>Pres</w:t>
              </w:r>
              <w:proofErr w:type="spellEnd"/>
              <w:r w:rsidR="005739FC" w:rsidRPr="005739FC">
                <w:rPr>
                  <w:rStyle w:val="Collegamentoipertestuale"/>
                  <w:rFonts w:ascii="Palatino Linotype" w:eastAsia="Calibri" w:hAnsi="Palatino Linotype" w:cs="Times New Roman"/>
                  <w:sz w:val="24"/>
                  <w:szCs w:val="24"/>
                </w:rPr>
                <w:t xml:space="preserve">. </w:t>
              </w:r>
              <w:proofErr w:type="spellStart"/>
              <w:r w:rsidR="005739FC" w:rsidRPr="005739FC">
                <w:rPr>
                  <w:rStyle w:val="Collegamentoipertestuale"/>
                  <w:rFonts w:ascii="Palatino Linotype" w:eastAsia="Calibri" w:hAnsi="Palatino Linotype" w:cs="Times New Roman"/>
                  <w:sz w:val="24"/>
                  <w:szCs w:val="24"/>
                </w:rPr>
                <w:t>Settesoldi</w:t>
              </w:r>
              <w:proofErr w:type="spellEnd"/>
              <w:r w:rsidR="005739FC" w:rsidRPr="005739FC">
                <w:rPr>
                  <w:rStyle w:val="Collegamentoipertestuale"/>
                  <w:rFonts w:ascii="Palatino Linotype" w:eastAsia="Calibri" w:hAnsi="Palatino Linotype" w:cs="Times New Roman"/>
                  <w:sz w:val="24"/>
                  <w:szCs w:val="24"/>
                </w:rPr>
                <w:t>, Est. Bardino</w:t>
              </w:r>
            </w:hyperlink>
          </w:p>
          <w:p w:rsidR="005739FC" w:rsidRDefault="005739FC" w:rsidP="00FD5202">
            <w:pPr>
              <w:autoSpaceDE w:val="0"/>
              <w:autoSpaceDN w:val="0"/>
              <w:spacing w:after="0" w:line="240" w:lineRule="auto"/>
              <w:jc w:val="both"/>
              <w:rPr>
                <w:rFonts w:ascii="Palatino Linotype" w:eastAsia="Calibri" w:hAnsi="Palatino Linotype" w:cs="Times New Roman"/>
                <w:sz w:val="24"/>
                <w:szCs w:val="24"/>
              </w:rPr>
            </w:pPr>
          </w:p>
          <w:p w:rsidR="005739FC" w:rsidRPr="005739FC" w:rsidRDefault="005739FC" w:rsidP="005739FC">
            <w:pPr>
              <w:autoSpaceDE w:val="0"/>
              <w:autoSpaceDN w:val="0"/>
              <w:spacing w:after="0" w:line="240" w:lineRule="auto"/>
              <w:jc w:val="both"/>
              <w:rPr>
                <w:rFonts w:ascii="Palatino Linotype" w:eastAsia="Calibri" w:hAnsi="Palatino Linotype" w:cs="Times New Roman"/>
                <w:sz w:val="24"/>
                <w:szCs w:val="24"/>
              </w:rPr>
            </w:pPr>
            <w:r w:rsidRPr="005739FC">
              <w:rPr>
                <w:rFonts w:ascii="Palatino Linotype" w:eastAsia="Calibri" w:hAnsi="Palatino Linotype" w:cs="Times New Roman"/>
                <w:sz w:val="24"/>
                <w:szCs w:val="24"/>
              </w:rPr>
              <w:t xml:space="preserve">Ha chiarito il </w:t>
            </w:r>
            <w:proofErr w:type="spellStart"/>
            <w:r w:rsidRPr="005739FC">
              <w:rPr>
                <w:rFonts w:ascii="Palatino Linotype" w:eastAsia="Calibri" w:hAnsi="Palatino Linotype" w:cs="Times New Roman"/>
                <w:sz w:val="24"/>
                <w:szCs w:val="24"/>
              </w:rPr>
              <w:t>T</w:t>
            </w:r>
            <w:r>
              <w:rPr>
                <w:rFonts w:ascii="Palatino Linotype" w:eastAsia="Calibri" w:hAnsi="Palatino Linotype" w:cs="Times New Roman"/>
                <w:sz w:val="24"/>
                <w:szCs w:val="24"/>
              </w:rPr>
              <w:t>.</w:t>
            </w:r>
            <w:r w:rsidRPr="005739FC">
              <w:rPr>
                <w:rFonts w:ascii="Palatino Linotype" w:eastAsia="Calibri" w:hAnsi="Palatino Linotype" w:cs="Times New Roman"/>
                <w:sz w:val="24"/>
                <w:szCs w:val="24"/>
              </w:rPr>
              <w:t>a</w:t>
            </w:r>
            <w:r>
              <w:rPr>
                <w:rFonts w:ascii="Palatino Linotype" w:eastAsia="Calibri" w:hAnsi="Palatino Linotype" w:cs="Times New Roman"/>
                <w:sz w:val="24"/>
                <w:szCs w:val="24"/>
              </w:rPr>
              <w:t>.</w:t>
            </w:r>
            <w:r w:rsidRPr="005739FC">
              <w:rPr>
                <w:rFonts w:ascii="Palatino Linotype" w:eastAsia="Calibri" w:hAnsi="Palatino Linotype" w:cs="Times New Roman"/>
                <w:sz w:val="24"/>
                <w:szCs w:val="24"/>
              </w:rPr>
              <w:t>r</w:t>
            </w:r>
            <w:proofErr w:type="spellEnd"/>
            <w:r>
              <w:rPr>
                <w:rFonts w:ascii="Palatino Linotype" w:eastAsia="Calibri" w:hAnsi="Palatino Linotype" w:cs="Times New Roman"/>
                <w:sz w:val="24"/>
                <w:szCs w:val="24"/>
              </w:rPr>
              <w:t>.</w:t>
            </w:r>
            <w:r w:rsidRPr="005739FC">
              <w:rPr>
                <w:rFonts w:ascii="Palatino Linotype" w:eastAsia="Calibri" w:hAnsi="Palatino Linotype" w:cs="Times New Roman"/>
                <w:sz w:val="24"/>
                <w:szCs w:val="24"/>
              </w:rPr>
              <w:t xml:space="preserve"> che l’esercizio del potere di reazione avverso gli atti e i comportamenti della Regione, laddove ritenuti invasivi degli spazi riservati agli Enti locali ovvero confliggenti con le posizioni soggettive ad essi intestate in ragione della loro natura di enti esponenziali, non può dare luogo all’esercizio di forme atipiche di autotutela, nemmeno se ricondotte all’emissione di ordinanze contingibili </w:t>
            </w:r>
            <w:proofErr w:type="spellStart"/>
            <w:r w:rsidRPr="005739FC">
              <w:rPr>
                <w:rFonts w:ascii="Palatino Linotype" w:eastAsia="Calibri" w:hAnsi="Palatino Linotype" w:cs="Times New Roman"/>
                <w:sz w:val="24"/>
                <w:szCs w:val="24"/>
              </w:rPr>
              <w:t>ed</w:t>
            </w:r>
            <w:proofErr w:type="spellEnd"/>
            <w:r w:rsidRPr="005739FC">
              <w:rPr>
                <w:rFonts w:ascii="Palatino Linotype" w:eastAsia="Calibri" w:hAnsi="Palatino Linotype" w:cs="Times New Roman"/>
                <w:sz w:val="24"/>
                <w:szCs w:val="24"/>
              </w:rPr>
              <w:t xml:space="preserve"> urgenti, di cui all’art. 50, comma 5, d.lgs. n. 267 del 2000 (T.U.E.L.), le quali, in virtù del loro carattere strettamente residuale, non potrebbero né surrogare lo svolgimento dell’azione giurisdizionale né sopperire, surrettiziamente, alle decadenze o alle preclusioni eventualmente verificatesi in tale sede.</w:t>
            </w:r>
          </w:p>
          <w:p w:rsidR="00084C8C" w:rsidRPr="00FD5202" w:rsidRDefault="00084C8C" w:rsidP="00FD5202">
            <w:pPr>
              <w:autoSpaceDE w:val="0"/>
              <w:autoSpaceDN w:val="0"/>
              <w:spacing w:after="0" w:line="240" w:lineRule="auto"/>
              <w:jc w:val="both"/>
              <w:rPr>
                <w:rFonts w:ascii="Palatino Linotype" w:eastAsia="Calibri" w:hAnsi="Palatino Linotype" w:cs="Times New Roman"/>
                <w:sz w:val="24"/>
                <w:szCs w:val="24"/>
              </w:rPr>
            </w:pPr>
          </w:p>
        </w:tc>
      </w:tr>
    </w:tbl>
    <w:p w:rsidR="007A5342" w:rsidRPr="005D3CFD" w:rsidRDefault="007A5342" w:rsidP="005D3CFD">
      <w:pPr>
        <w:spacing w:after="0" w:line="240" w:lineRule="auto"/>
        <w:rPr>
          <w:rFonts w:ascii="Palatino Linotype" w:eastAsia="Calibri" w:hAnsi="Palatino Linotype" w:cs="Times New Roman"/>
          <w:sz w:val="24"/>
          <w:szCs w:val="24"/>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
        <w:gridCol w:w="9620"/>
      </w:tblGrid>
      <w:tr w:rsidR="007A5342" w:rsidTr="00DB1714">
        <w:trPr>
          <w:trHeight w:val="456"/>
        </w:trPr>
        <w:tc>
          <w:tcPr>
            <w:tcW w:w="9660" w:type="dxa"/>
            <w:gridSpan w:val="2"/>
          </w:tcPr>
          <w:p w:rsidR="007A5342" w:rsidRPr="00DE45D0" w:rsidRDefault="007A5342" w:rsidP="00DE45D0">
            <w:pPr>
              <w:spacing w:before="240" w:after="0" w:line="252" w:lineRule="auto"/>
              <w:jc w:val="center"/>
              <w:rPr>
                <w:rFonts w:ascii="Palatino Linotype" w:eastAsia="Calibri" w:hAnsi="Palatino Linotype" w:cs="Times New Roman"/>
                <w:color w:val="2E74B5"/>
                <w:sz w:val="32"/>
                <w:szCs w:val="32"/>
              </w:rPr>
            </w:pPr>
            <w:r w:rsidRPr="007A5342">
              <w:rPr>
                <w:rFonts w:ascii="Palatino Linotype" w:eastAsia="Calibri" w:hAnsi="Palatino Linotype" w:cs="Times New Roman"/>
                <w:color w:val="2E74B5"/>
                <w:sz w:val="32"/>
                <w:szCs w:val="32"/>
              </w:rPr>
              <w:t>Consiglio di Stato - Pareri</w:t>
            </w:r>
          </w:p>
          <w:p w:rsidR="00DE45D0" w:rsidRPr="00DE45D0" w:rsidRDefault="00DE45D0" w:rsidP="00DE45D0">
            <w:pPr>
              <w:spacing w:after="0" w:line="252" w:lineRule="auto"/>
              <w:jc w:val="center"/>
              <w:rPr>
                <w:rFonts w:ascii="Palatino Linotype" w:eastAsia="Calibri" w:hAnsi="Palatino Linotype" w:cs="Times New Roman"/>
                <w:color w:val="2E74B5"/>
                <w:sz w:val="24"/>
                <w:szCs w:val="24"/>
              </w:rPr>
            </w:pPr>
          </w:p>
          <w:p w:rsidR="00F14132" w:rsidRDefault="007A5342" w:rsidP="00DE45D0">
            <w:pPr>
              <w:spacing w:after="0" w:line="252" w:lineRule="auto"/>
              <w:jc w:val="center"/>
              <w:rPr>
                <w:rFonts w:ascii="Palatino Linotype" w:eastAsia="Calibri" w:hAnsi="Palatino Linotype" w:cs="Times New Roman"/>
                <w:color w:val="2E74B5"/>
                <w:sz w:val="32"/>
                <w:szCs w:val="32"/>
              </w:rPr>
            </w:pPr>
            <w:r w:rsidRPr="00A52234">
              <w:rPr>
                <w:rFonts w:ascii="Palatino Linotype" w:eastAsia="Calibri" w:hAnsi="Palatino Linotype" w:cs="Times New Roman"/>
                <w:color w:val="2E74B5"/>
                <w:sz w:val="32"/>
                <w:szCs w:val="32"/>
              </w:rPr>
              <w:t>(</w:t>
            </w:r>
            <w:r w:rsidR="00DB1714">
              <w:rPr>
                <w:rFonts w:ascii="Palatino Linotype" w:eastAsia="Calibri" w:hAnsi="Palatino Linotype" w:cs="Times New Roman"/>
                <w:color w:val="2E74B5"/>
                <w:sz w:val="32"/>
                <w:szCs w:val="32"/>
              </w:rPr>
              <w:t>13</w:t>
            </w:r>
            <w:r w:rsidRPr="00A52234">
              <w:rPr>
                <w:rFonts w:ascii="Palatino Linotype" w:eastAsia="Calibri" w:hAnsi="Palatino Linotype" w:cs="Times New Roman"/>
                <w:color w:val="2E74B5"/>
                <w:sz w:val="32"/>
                <w:szCs w:val="32"/>
              </w:rPr>
              <w:t>)</w:t>
            </w:r>
          </w:p>
          <w:p w:rsidR="00DE45D0" w:rsidRPr="00DE45D0" w:rsidRDefault="00DE45D0" w:rsidP="00DE45D0">
            <w:pPr>
              <w:spacing w:after="0" w:line="252" w:lineRule="auto"/>
              <w:jc w:val="center"/>
              <w:rPr>
                <w:rFonts w:ascii="Palatino Linotype" w:eastAsia="Calibri" w:hAnsi="Palatino Linotype" w:cs="Times New Roman"/>
                <w:color w:val="2E74B5"/>
                <w:sz w:val="32"/>
                <w:szCs w:val="32"/>
              </w:rPr>
            </w:pPr>
          </w:p>
          <w:p w:rsidR="00BC105A" w:rsidRDefault="00BC105A" w:rsidP="00DE45D0">
            <w:pPr>
              <w:spacing w:after="0" w:line="240" w:lineRule="auto"/>
              <w:jc w:val="both"/>
              <w:rPr>
                <w:rFonts w:ascii="Palatino Linotype" w:eastAsia="Calibri" w:hAnsi="Palatino Linotype" w:cs="Times New Roman"/>
                <w:sz w:val="24"/>
                <w:szCs w:val="24"/>
              </w:rPr>
            </w:pPr>
            <w:r w:rsidRPr="00BC105A">
              <w:rPr>
                <w:rFonts w:ascii="Palatino Linotype" w:eastAsia="Calibri" w:hAnsi="Palatino Linotype" w:cs="Times New Roman"/>
                <w:sz w:val="24"/>
                <w:szCs w:val="24"/>
              </w:rPr>
              <w:t xml:space="preserve">Il Consiglio di Stato ha reso il parere sulla possibilità per una società in </w:t>
            </w:r>
            <w:proofErr w:type="spellStart"/>
            <w:r w:rsidRPr="00BC105A">
              <w:rPr>
                <w:rFonts w:ascii="Palatino Linotype" w:eastAsia="Calibri" w:hAnsi="Palatino Linotype" w:cs="Times New Roman"/>
                <w:i/>
                <w:sz w:val="24"/>
                <w:szCs w:val="24"/>
              </w:rPr>
              <w:t>house</w:t>
            </w:r>
            <w:proofErr w:type="spellEnd"/>
            <w:r w:rsidRPr="00BC105A">
              <w:rPr>
                <w:rFonts w:ascii="Palatino Linotype" w:eastAsia="Calibri" w:hAnsi="Palatino Linotype" w:cs="Times New Roman"/>
                <w:i/>
                <w:sz w:val="24"/>
                <w:szCs w:val="24"/>
              </w:rPr>
              <w:t xml:space="preserve"> </w:t>
            </w:r>
            <w:proofErr w:type="spellStart"/>
            <w:r w:rsidRPr="00BC105A">
              <w:rPr>
                <w:rFonts w:ascii="Palatino Linotype" w:eastAsia="Calibri" w:hAnsi="Palatino Linotype" w:cs="Times New Roman"/>
                <w:i/>
                <w:sz w:val="24"/>
                <w:szCs w:val="24"/>
              </w:rPr>
              <w:t>providing</w:t>
            </w:r>
            <w:proofErr w:type="spellEnd"/>
            <w:r w:rsidRPr="00BC105A">
              <w:rPr>
                <w:rFonts w:ascii="Palatino Linotype" w:eastAsia="Calibri" w:hAnsi="Palatino Linotype" w:cs="Times New Roman"/>
                <w:sz w:val="24"/>
                <w:szCs w:val="24"/>
              </w:rPr>
              <w:t xml:space="preserve"> di ricevere affidamenti diretti dall’Amministrazione regionale, pur acquisendo partecipazioni private</w:t>
            </w:r>
            <w:r>
              <w:rPr>
                <w:rFonts w:ascii="Palatino Linotype" w:eastAsia="Calibri" w:hAnsi="Palatino Linotype" w:cs="Times New Roman"/>
                <w:sz w:val="24"/>
                <w:szCs w:val="24"/>
              </w:rPr>
              <w:t>,</w:t>
            </w:r>
            <w:r w:rsidRPr="00BC105A">
              <w:rPr>
                <w:rFonts w:ascii="Arial" w:hAnsi="Arial" w:cs="Arial"/>
                <w:sz w:val="18"/>
                <w:szCs w:val="18"/>
              </w:rPr>
              <w:t xml:space="preserve"> </w:t>
            </w:r>
            <w:r w:rsidRPr="00BC105A">
              <w:rPr>
                <w:rFonts w:ascii="Palatino Linotype" w:eastAsia="Calibri" w:hAnsi="Palatino Linotype" w:cs="Times New Roman"/>
                <w:sz w:val="24"/>
                <w:szCs w:val="24"/>
              </w:rPr>
              <w:t>purché nel limite di un terzo del capitale sociale e senza riconoscimento di alcun potere di veto né di influenza dominante.</w:t>
            </w:r>
          </w:p>
          <w:p w:rsidR="00DE45D0" w:rsidRPr="00BC105A" w:rsidRDefault="00DE45D0" w:rsidP="00DE45D0">
            <w:pPr>
              <w:spacing w:after="0" w:line="240" w:lineRule="auto"/>
              <w:jc w:val="both"/>
              <w:rPr>
                <w:rFonts w:ascii="Palatino Linotype" w:eastAsia="Calibri" w:hAnsi="Palatino Linotype" w:cs="Times New Roman"/>
                <w:sz w:val="24"/>
                <w:szCs w:val="24"/>
              </w:rPr>
            </w:pPr>
          </w:p>
          <w:p w:rsidR="007A5342" w:rsidRPr="00DE45D0" w:rsidRDefault="00E424A6" w:rsidP="00DE45D0">
            <w:pPr>
              <w:spacing w:after="0" w:line="240" w:lineRule="auto"/>
              <w:rPr>
                <w:rFonts w:ascii="Palatino Linotype" w:eastAsia="Calibri" w:hAnsi="Palatino Linotype" w:cs="Times New Roman"/>
                <w:sz w:val="24"/>
                <w:szCs w:val="24"/>
                <w:u w:val="single"/>
              </w:rPr>
            </w:pPr>
            <w:hyperlink r:id="rId21" w:history="1">
              <w:r w:rsidR="00BC105A" w:rsidRPr="00BC105A">
                <w:rPr>
                  <w:rStyle w:val="Collegamentoipertestuale"/>
                  <w:rFonts w:ascii="Palatino Linotype" w:eastAsia="Calibri" w:hAnsi="Palatino Linotype" w:cs="Times New Roman"/>
                  <w:sz w:val="24"/>
                  <w:szCs w:val="24"/>
                </w:rPr>
                <w:t xml:space="preserve">Consiglio di Stato, sezione I, 8 novembre 2018, n. 2583 – </w:t>
              </w:r>
              <w:proofErr w:type="spellStart"/>
              <w:r w:rsidR="00BC105A" w:rsidRPr="00BC105A">
                <w:rPr>
                  <w:rStyle w:val="Collegamentoipertestuale"/>
                  <w:rFonts w:ascii="Palatino Linotype" w:eastAsia="Calibri" w:hAnsi="Palatino Linotype" w:cs="Times New Roman"/>
                  <w:sz w:val="24"/>
                  <w:szCs w:val="24"/>
                </w:rPr>
                <w:t>Pres</w:t>
              </w:r>
              <w:proofErr w:type="spellEnd"/>
              <w:r w:rsidR="00BC105A" w:rsidRPr="00BC105A">
                <w:rPr>
                  <w:rStyle w:val="Collegamentoipertestuale"/>
                  <w:rFonts w:ascii="Palatino Linotype" w:eastAsia="Calibri" w:hAnsi="Palatino Linotype" w:cs="Times New Roman"/>
                  <w:sz w:val="24"/>
                  <w:szCs w:val="24"/>
                </w:rPr>
                <w:t>. f.f. Neri, Est. Proietti</w:t>
              </w:r>
            </w:hyperlink>
          </w:p>
        </w:tc>
      </w:tr>
      <w:tr w:rsidR="005D3CFD" w:rsidRPr="00A52234" w:rsidTr="00DB171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40" w:type="dxa"/>
          <w:trHeight w:val="9209"/>
          <w:jc w:val="center"/>
        </w:trPr>
        <w:tc>
          <w:tcPr>
            <w:tcW w:w="96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3CFD" w:rsidRPr="00A52234" w:rsidRDefault="005D3CFD" w:rsidP="005D3CFD">
            <w:pPr>
              <w:spacing w:after="0" w:line="240" w:lineRule="auto"/>
              <w:jc w:val="center"/>
              <w:rPr>
                <w:rFonts w:ascii="Palatino Linotype" w:eastAsia="Calibri" w:hAnsi="Palatino Linotype" w:cs="Times New Roman"/>
                <w:color w:val="2E74B5"/>
                <w:sz w:val="32"/>
                <w:szCs w:val="32"/>
              </w:rPr>
            </w:pPr>
            <w:r w:rsidRPr="00A52234">
              <w:rPr>
                <w:rFonts w:ascii="Palatino Linotype" w:eastAsia="Calibri" w:hAnsi="Palatino Linotype" w:cs="Times New Roman"/>
                <w:color w:val="2E74B5"/>
                <w:sz w:val="32"/>
                <w:szCs w:val="32"/>
              </w:rPr>
              <w:lastRenderedPageBreak/>
              <w:t>Normativa ed altre novità di interesse</w:t>
            </w:r>
          </w:p>
          <w:p w:rsidR="005D3CFD" w:rsidRPr="00A52234" w:rsidRDefault="005D3CFD" w:rsidP="005D3CFD">
            <w:pPr>
              <w:spacing w:after="0" w:line="252" w:lineRule="auto"/>
              <w:rPr>
                <w:rFonts w:ascii="Palatino Linotype" w:eastAsia="Calibri" w:hAnsi="Palatino Linotype" w:cs="Times New Roman"/>
                <w:color w:val="2E74B5"/>
                <w:sz w:val="24"/>
                <w:szCs w:val="24"/>
              </w:rPr>
            </w:pPr>
          </w:p>
          <w:p w:rsidR="005D3CFD" w:rsidRDefault="00E478C5" w:rsidP="005D3CFD">
            <w:pPr>
              <w:spacing w:after="0" w:line="252" w:lineRule="auto"/>
              <w:jc w:val="center"/>
              <w:rPr>
                <w:rFonts w:ascii="Palatino Linotype" w:eastAsia="Calibri" w:hAnsi="Palatino Linotype" w:cs="Times New Roman"/>
                <w:color w:val="2E74B5"/>
                <w:sz w:val="32"/>
                <w:szCs w:val="32"/>
              </w:rPr>
            </w:pPr>
            <w:r w:rsidRPr="00A52234">
              <w:rPr>
                <w:rFonts w:ascii="Palatino Linotype" w:eastAsia="Calibri" w:hAnsi="Palatino Linotype" w:cs="Times New Roman"/>
                <w:color w:val="2E74B5"/>
                <w:sz w:val="32"/>
                <w:szCs w:val="32"/>
              </w:rPr>
              <w:t>(</w:t>
            </w:r>
            <w:r w:rsidR="00DB1714">
              <w:rPr>
                <w:rFonts w:ascii="Palatino Linotype" w:eastAsia="Calibri" w:hAnsi="Palatino Linotype" w:cs="Times New Roman"/>
                <w:color w:val="2E74B5"/>
                <w:sz w:val="32"/>
                <w:szCs w:val="32"/>
              </w:rPr>
              <w:t>14</w:t>
            </w:r>
            <w:r w:rsidR="005D3CFD" w:rsidRPr="00A52234">
              <w:rPr>
                <w:rFonts w:ascii="Palatino Linotype" w:eastAsia="Calibri" w:hAnsi="Palatino Linotype" w:cs="Times New Roman"/>
                <w:color w:val="2E74B5"/>
                <w:sz w:val="32"/>
                <w:szCs w:val="32"/>
              </w:rPr>
              <w:t>)</w:t>
            </w:r>
          </w:p>
          <w:p w:rsidR="008D1DA3" w:rsidRPr="008D1DA3" w:rsidRDefault="008D1DA3" w:rsidP="008D1DA3">
            <w:pPr>
              <w:spacing w:after="0" w:line="240" w:lineRule="auto"/>
              <w:jc w:val="both"/>
              <w:rPr>
                <w:rFonts w:ascii="Palatino Linotype" w:eastAsia="Calibri" w:hAnsi="Palatino Linotype" w:cs="Times New Roman"/>
                <w:sz w:val="24"/>
                <w:szCs w:val="24"/>
                <w:lang w:eastAsia="it-IT"/>
              </w:rPr>
            </w:pPr>
          </w:p>
          <w:p w:rsidR="005D3CFD" w:rsidRDefault="00E424A6" w:rsidP="005D3CFD">
            <w:pPr>
              <w:spacing w:after="0" w:line="240" w:lineRule="auto"/>
              <w:jc w:val="both"/>
              <w:rPr>
                <w:rFonts w:ascii="Palatino Linotype" w:eastAsia="Calibri" w:hAnsi="Palatino Linotype" w:cs="Times New Roman"/>
                <w:sz w:val="24"/>
                <w:szCs w:val="24"/>
                <w:lang w:eastAsia="it-IT"/>
              </w:rPr>
            </w:pPr>
            <w:hyperlink r:id="rId22" w:history="1">
              <w:r w:rsidR="00213F14" w:rsidRPr="00D33BBD">
                <w:rPr>
                  <w:rStyle w:val="Collegamentoipertestuale"/>
                  <w:rFonts w:ascii="Palatino Linotype" w:eastAsia="Calibri" w:hAnsi="Palatino Linotype" w:cs="Times New Roman"/>
                  <w:sz w:val="24"/>
                  <w:szCs w:val="24"/>
                  <w:lang w:eastAsia="it-IT"/>
                </w:rPr>
                <w:t xml:space="preserve">DECRETO LEGISLATIVO 6 ottobre 2018, n. 127 </w:t>
              </w:r>
            </w:hyperlink>
            <w:r w:rsidR="00213F14" w:rsidRPr="00213F14">
              <w:rPr>
                <w:rFonts w:ascii="Palatino Linotype" w:eastAsia="Calibri" w:hAnsi="Palatino Linotype" w:cs="Times New Roman"/>
                <w:sz w:val="24"/>
                <w:szCs w:val="24"/>
                <w:lang w:eastAsia="it-IT"/>
              </w:rPr>
              <w:t xml:space="preserve"> Disposizioni integrative e correttive al decreto legislativo 29 maggio 2017, n. 97, riguardante «Disposizioni recanti modifiche al decreto legislativo 8 marzo 2006, n. 139, concernente le funzioni e i compiti del Corpo nazional</w:t>
            </w:r>
            <w:r w:rsidR="00750E13">
              <w:rPr>
                <w:rFonts w:ascii="Palatino Linotype" w:eastAsia="Calibri" w:hAnsi="Palatino Linotype" w:cs="Times New Roman"/>
                <w:sz w:val="24"/>
                <w:szCs w:val="24"/>
                <w:lang w:eastAsia="it-IT"/>
              </w:rPr>
              <w:t>e dei vigili del fuoco, nonché</w:t>
            </w:r>
            <w:r w:rsidR="00213F14" w:rsidRPr="00213F14">
              <w:rPr>
                <w:rFonts w:ascii="Palatino Linotype" w:eastAsia="Calibri" w:hAnsi="Palatino Linotype" w:cs="Times New Roman"/>
                <w:sz w:val="24"/>
                <w:szCs w:val="24"/>
                <w:lang w:eastAsia="it-IT"/>
              </w:rPr>
              <w:t xml:space="preserve"> al decreto legislativo 13 ottobre 2005, n. 217, concernente l'ordinamento del personale del Corpo nazionale dei vigili del fuoco, e altre norme per l'ottimizzazione delle funzioni del Corpo nazionale dei vigili del fuoco, ai sensi dell'articolo 8, comma 1, lettera a), della legge 7 agosto 2015, n. 124, in materia di riorganizzazione delle amministrazioni pubbliche», al decreto legislativo 8 marzo 2006, n. 139, recante «Riassetto delle disposizioni relative alle funzioni ed ai compiti del Corpo nazionale dei vigili del fuoco, a norma dell'articolo 11 della legge 29 luglio 2003, n. 229» e al decreto legislativo 13 ottobre 2005, n. 217, recante «Ordinamento del personale del Corpo nazionale dei vigili del fuoco a norma dell'articolo 2 della legge 30 set</w:t>
            </w:r>
            <w:r w:rsidR="00213F14">
              <w:rPr>
                <w:rFonts w:ascii="Palatino Linotype" w:eastAsia="Calibri" w:hAnsi="Palatino Linotype" w:cs="Times New Roman"/>
                <w:sz w:val="24"/>
                <w:szCs w:val="24"/>
                <w:lang w:eastAsia="it-IT"/>
              </w:rPr>
              <w:t>tembre 2004, n. 252».</w:t>
            </w:r>
            <w:r w:rsidR="00213F14" w:rsidRPr="00213F14">
              <w:rPr>
                <w:rFonts w:ascii="Palatino Linotype" w:eastAsia="Calibri" w:hAnsi="Palatino Linotype" w:cs="Times New Roman"/>
                <w:sz w:val="24"/>
                <w:szCs w:val="24"/>
                <w:lang w:eastAsia="it-IT"/>
              </w:rPr>
              <w:t xml:space="preserve"> (GU n.</w:t>
            </w:r>
            <w:r w:rsidR="00213F14">
              <w:rPr>
                <w:rFonts w:ascii="Palatino Linotype" w:eastAsia="Calibri" w:hAnsi="Palatino Linotype" w:cs="Times New Roman"/>
                <w:sz w:val="24"/>
                <w:szCs w:val="24"/>
                <w:lang w:eastAsia="it-IT"/>
              </w:rPr>
              <w:t xml:space="preserve"> 258 del 06-11-2018 - </w:t>
            </w:r>
            <w:proofErr w:type="spellStart"/>
            <w:r w:rsidR="00213F14" w:rsidRPr="00213F14">
              <w:rPr>
                <w:rFonts w:ascii="Palatino Linotype" w:eastAsia="Calibri" w:hAnsi="Palatino Linotype" w:cs="Times New Roman"/>
                <w:sz w:val="24"/>
                <w:szCs w:val="24"/>
                <w:lang w:eastAsia="it-IT"/>
              </w:rPr>
              <w:t>Suppl</w:t>
            </w:r>
            <w:proofErr w:type="spellEnd"/>
            <w:r w:rsidR="00213F14" w:rsidRPr="00213F14">
              <w:rPr>
                <w:rFonts w:ascii="Palatino Linotype" w:eastAsia="Calibri" w:hAnsi="Palatino Linotype" w:cs="Times New Roman"/>
                <w:sz w:val="24"/>
                <w:szCs w:val="24"/>
                <w:lang w:eastAsia="it-IT"/>
              </w:rPr>
              <w:t>. Ordinario n. 52)</w:t>
            </w:r>
            <w:r w:rsidR="00213F14">
              <w:rPr>
                <w:rFonts w:ascii="Palatino Linotype" w:eastAsia="Calibri" w:hAnsi="Palatino Linotype" w:cs="Times New Roman"/>
                <w:sz w:val="24"/>
                <w:szCs w:val="24"/>
                <w:lang w:eastAsia="it-IT"/>
              </w:rPr>
              <w:t>.</w:t>
            </w:r>
          </w:p>
          <w:p w:rsidR="00213F14" w:rsidRDefault="00213F14" w:rsidP="005D3CFD">
            <w:pPr>
              <w:spacing w:after="0" w:line="240" w:lineRule="auto"/>
              <w:jc w:val="both"/>
              <w:rPr>
                <w:rFonts w:ascii="Palatino Linotype" w:eastAsia="Calibri" w:hAnsi="Palatino Linotype" w:cs="Times New Roman"/>
                <w:sz w:val="24"/>
                <w:szCs w:val="24"/>
                <w:lang w:eastAsia="it-IT"/>
              </w:rPr>
            </w:pPr>
          </w:p>
          <w:p w:rsidR="00213F14" w:rsidRPr="00213F14" w:rsidRDefault="00213F14" w:rsidP="00213F14">
            <w:pPr>
              <w:spacing w:after="0" w:line="240" w:lineRule="auto"/>
              <w:jc w:val="both"/>
              <w:rPr>
                <w:rFonts w:ascii="Palatino Linotype" w:eastAsia="Calibri" w:hAnsi="Palatino Linotype" w:cs="Times New Roman"/>
                <w:sz w:val="24"/>
                <w:szCs w:val="24"/>
                <w:lang w:eastAsia="it-IT"/>
              </w:rPr>
            </w:pPr>
            <w:r w:rsidRPr="00213F14">
              <w:rPr>
                <w:rFonts w:ascii="Palatino Linotype" w:eastAsia="Calibri" w:hAnsi="Palatino Linotype" w:cs="Times New Roman"/>
                <w:sz w:val="24"/>
                <w:szCs w:val="24"/>
                <w:lang w:eastAsia="it-IT"/>
              </w:rPr>
              <w:t>Entrata</w:t>
            </w:r>
            <w:r>
              <w:rPr>
                <w:rFonts w:ascii="Palatino Linotype" w:eastAsia="Calibri" w:hAnsi="Palatino Linotype" w:cs="Times New Roman"/>
                <w:sz w:val="24"/>
                <w:szCs w:val="24"/>
                <w:lang w:eastAsia="it-IT"/>
              </w:rPr>
              <w:t xml:space="preserve"> in vigore del provvedimento: 21/11</w:t>
            </w:r>
            <w:r w:rsidRPr="00213F14">
              <w:rPr>
                <w:rFonts w:ascii="Palatino Linotype" w:eastAsia="Calibri" w:hAnsi="Palatino Linotype" w:cs="Times New Roman"/>
                <w:sz w:val="24"/>
                <w:szCs w:val="24"/>
                <w:lang w:eastAsia="it-IT"/>
              </w:rPr>
              <w:t>/2018</w:t>
            </w:r>
          </w:p>
          <w:p w:rsidR="00213F14" w:rsidRPr="00A52234" w:rsidRDefault="00213F14" w:rsidP="005D3CFD">
            <w:pPr>
              <w:spacing w:after="0" w:line="240" w:lineRule="auto"/>
              <w:jc w:val="both"/>
              <w:rPr>
                <w:rFonts w:ascii="Palatino Linotype" w:eastAsia="Calibri" w:hAnsi="Palatino Linotype" w:cs="Times New Roman"/>
                <w:sz w:val="24"/>
                <w:szCs w:val="24"/>
                <w:lang w:eastAsia="it-IT"/>
              </w:rPr>
            </w:pPr>
          </w:p>
          <w:p w:rsidR="00213F14" w:rsidRPr="00213F14" w:rsidRDefault="00213F14" w:rsidP="00213F14">
            <w:pPr>
              <w:spacing w:after="0" w:line="252" w:lineRule="auto"/>
              <w:jc w:val="center"/>
              <w:rPr>
                <w:rFonts w:ascii="Palatino Linotype" w:eastAsia="Calibri" w:hAnsi="Palatino Linotype" w:cs="Times New Roman"/>
                <w:color w:val="2E74B5"/>
                <w:sz w:val="32"/>
                <w:szCs w:val="32"/>
              </w:rPr>
            </w:pPr>
            <w:r w:rsidRPr="00A52234">
              <w:rPr>
                <w:rFonts w:ascii="Palatino Linotype" w:eastAsia="Calibri" w:hAnsi="Palatino Linotype" w:cs="Times New Roman"/>
                <w:color w:val="2E74B5"/>
                <w:sz w:val="32"/>
                <w:szCs w:val="32"/>
              </w:rPr>
              <w:t>(</w:t>
            </w:r>
            <w:r w:rsidR="00FA7C26">
              <w:rPr>
                <w:rFonts w:ascii="Palatino Linotype" w:eastAsia="Calibri" w:hAnsi="Palatino Linotype" w:cs="Times New Roman"/>
                <w:color w:val="2E74B5"/>
                <w:sz w:val="32"/>
                <w:szCs w:val="32"/>
              </w:rPr>
              <w:t>15</w:t>
            </w:r>
            <w:r w:rsidRPr="00A52234">
              <w:rPr>
                <w:rFonts w:ascii="Palatino Linotype" w:eastAsia="Calibri" w:hAnsi="Palatino Linotype" w:cs="Times New Roman"/>
                <w:color w:val="2E74B5"/>
                <w:sz w:val="32"/>
                <w:szCs w:val="32"/>
              </w:rPr>
              <w:t>)</w:t>
            </w:r>
          </w:p>
          <w:p w:rsidR="00213F14" w:rsidRPr="00213F14" w:rsidRDefault="00E424A6" w:rsidP="00213F14">
            <w:pPr>
              <w:pStyle w:val="special"/>
              <w:textAlignment w:val="baseline"/>
              <w:rPr>
                <w:rFonts w:ascii="Palatino Linotype" w:eastAsia="Calibri" w:hAnsi="Palatino Linotype"/>
                <w:u w:val="single"/>
              </w:rPr>
            </w:pPr>
            <w:hyperlink r:id="rId23" w:history="1">
              <w:r w:rsidR="00213F14" w:rsidRPr="0067096D">
                <w:rPr>
                  <w:rStyle w:val="Collegamentoipertestuale"/>
                  <w:rFonts w:ascii="Palatino Linotype" w:eastAsia="Calibri" w:hAnsi="Palatino Linotype"/>
                </w:rPr>
                <w:t>ANAC - DELIBERA 24 ottobre 2018</w:t>
              </w:r>
            </w:hyperlink>
            <w:r w:rsidR="00213F14" w:rsidRPr="00213F14">
              <w:rPr>
                <w:rFonts w:ascii="Palatino Linotype" w:eastAsia="Calibri" w:hAnsi="Palatino Linotype"/>
              </w:rPr>
              <w:t>, n. 907</w:t>
            </w:r>
          </w:p>
          <w:p w:rsidR="00213F14" w:rsidRDefault="00213F14" w:rsidP="00213F14">
            <w:pPr>
              <w:pStyle w:val="special"/>
              <w:textAlignment w:val="baseline"/>
              <w:rPr>
                <w:rFonts w:ascii="Palatino Linotype" w:eastAsia="Calibri" w:hAnsi="Palatino Linotype"/>
                <w:bCs/>
              </w:rPr>
            </w:pPr>
            <w:r w:rsidRPr="00213F14">
              <w:rPr>
                <w:rFonts w:ascii="Palatino Linotype" w:eastAsia="Calibri" w:hAnsi="Palatino Linotype"/>
                <w:bCs/>
              </w:rPr>
              <w:t>Linee guida n. 12 - Affidamento dei servizi legali</w:t>
            </w:r>
            <w:r w:rsidR="009231C2">
              <w:rPr>
                <w:rFonts w:ascii="Palatino Linotype" w:eastAsia="Calibri" w:hAnsi="Palatino Linotype"/>
                <w:bCs/>
              </w:rPr>
              <w:t>.</w:t>
            </w:r>
          </w:p>
          <w:p w:rsidR="009231C2" w:rsidRPr="00213F14" w:rsidRDefault="009231C2" w:rsidP="00213F14">
            <w:pPr>
              <w:pStyle w:val="special"/>
              <w:textAlignment w:val="baseline"/>
              <w:rPr>
                <w:rFonts w:ascii="Palatino Linotype" w:eastAsia="Calibri" w:hAnsi="Palatino Linotype"/>
              </w:rPr>
            </w:pPr>
            <w:r>
              <w:rPr>
                <w:rFonts w:ascii="Palatino Linotype" w:eastAsia="Calibri" w:hAnsi="Palatino Linotype"/>
                <w:bCs/>
              </w:rPr>
              <w:t>In corso di pubblicazione sulla G.U.</w:t>
            </w:r>
          </w:p>
          <w:p w:rsidR="00213F14" w:rsidRPr="00A52234" w:rsidRDefault="00213F14" w:rsidP="00FD5202">
            <w:pPr>
              <w:pStyle w:val="special"/>
              <w:spacing w:before="0" w:beforeAutospacing="0" w:after="0" w:afterAutospacing="0"/>
              <w:jc w:val="both"/>
              <w:textAlignment w:val="baseline"/>
              <w:rPr>
                <w:rFonts w:ascii="Palatino Linotype" w:eastAsia="Calibri" w:hAnsi="Palatino Linotype"/>
              </w:rPr>
            </w:pPr>
          </w:p>
        </w:tc>
      </w:tr>
    </w:tbl>
    <w:p w:rsidR="005D3CFD" w:rsidRDefault="005D3CFD" w:rsidP="0067096D">
      <w:pPr>
        <w:spacing w:after="0" w:line="240" w:lineRule="auto"/>
        <w:jc w:val="both"/>
        <w:rPr>
          <w:rFonts w:ascii="Calibri" w:eastAsia="Calibri" w:hAnsi="Calibri" w:cs="Calibri"/>
          <w:b/>
          <w:bCs/>
          <w:color w:val="000000"/>
          <w:sz w:val="24"/>
          <w:szCs w:val="24"/>
          <w:lang w:eastAsia="it-IT"/>
        </w:rPr>
      </w:pPr>
    </w:p>
    <w:sectPr w:rsidR="005D3C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itillium Web">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4E914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4DB4F08"/>
    <w:multiLevelType w:val="multilevel"/>
    <w:tmpl w:val="754C4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85DA5"/>
    <w:multiLevelType w:val="hybridMultilevel"/>
    <w:tmpl w:val="308CC54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79340CB0"/>
    <w:multiLevelType w:val="multilevel"/>
    <w:tmpl w:val="F574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19"/>
    <w:rsid w:val="00004621"/>
    <w:rsid w:val="00005D3A"/>
    <w:rsid w:val="000141E1"/>
    <w:rsid w:val="00045357"/>
    <w:rsid w:val="000477E9"/>
    <w:rsid w:val="000555AC"/>
    <w:rsid w:val="00055965"/>
    <w:rsid w:val="0006164D"/>
    <w:rsid w:val="00075E7F"/>
    <w:rsid w:val="00084B1B"/>
    <w:rsid w:val="00084C8C"/>
    <w:rsid w:val="00097DC7"/>
    <w:rsid w:val="000A7B0C"/>
    <w:rsid w:val="000B2140"/>
    <w:rsid w:val="000C0435"/>
    <w:rsid w:val="000D3CB2"/>
    <w:rsid w:val="000F0F14"/>
    <w:rsid w:val="000F266C"/>
    <w:rsid w:val="000F7ED6"/>
    <w:rsid w:val="00121C19"/>
    <w:rsid w:val="0012505C"/>
    <w:rsid w:val="00126EFF"/>
    <w:rsid w:val="0013144C"/>
    <w:rsid w:val="00136949"/>
    <w:rsid w:val="00141A15"/>
    <w:rsid w:val="00153CE9"/>
    <w:rsid w:val="00160EAC"/>
    <w:rsid w:val="00161915"/>
    <w:rsid w:val="00162358"/>
    <w:rsid w:val="00170B29"/>
    <w:rsid w:val="00172D0B"/>
    <w:rsid w:val="00173469"/>
    <w:rsid w:val="001767BA"/>
    <w:rsid w:val="00183DB5"/>
    <w:rsid w:val="00190F9B"/>
    <w:rsid w:val="001944A7"/>
    <w:rsid w:val="001948AD"/>
    <w:rsid w:val="001964F8"/>
    <w:rsid w:val="001A14F3"/>
    <w:rsid w:val="001A4B5D"/>
    <w:rsid w:val="001B6F86"/>
    <w:rsid w:val="001D7412"/>
    <w:rsid w:val="001E630E"/>
    <w:rsid w:val="001F0C24"/>
    <w:rsid w:val="00203AF8"/>
    <w:rsid w:val="002059AF"/>
    <w:rsid w:val="00206F6E"/>
    <w:rsid w:val="002122B0"/>
    <w:rsid w:val="00213F14"/>
    <w:rsid w:val="00214DB2"/>
    <w:rsid w:val="00221759"/>
    <w:rsid w:val="00222120"/>
    <w:rsid w:val="002276F1"/>
    <w:rsid w:val="00231A23"/>
    <w:rsid w:val="002320EB"/>
    <w:rsid w:val="00243483"/>
    <w:rsid w:val="002556B8"/>
    <w:rsid w:val="00267957"/>
    <w:rsid w:val="00271FC6"/>
    <w:rsid w:val="00273E12"/>
    <w:rsid w:val="00281211"/>
    <w:rsid w:val="002B5128"/>
    <w:rsid w:val="002C11D9"/>
    <w:rsid w:val="002C32B0"/>
    <w:rsid w:val="002C477F"/>
    <w:rsid w:val="002C62F0"/>
    <w:rsid w:val="002D30CE"/>
    <w:rsid w:val="002D62CB"/>
    <w:rsid w:val="002F36AF"/>
    <w:rsid w:val="00303D09"/>
    <w:rsid w:val="00311622"/>
    <w:rsid w:val="003164EC"/>
    <w:rsid w:val="003203A9"/>
    <w:rsid w:val="00324598"/>
    <w:rsid w:val="00341EF7"/>
    <w:rsid w:val="00346113"/>
    <w:rsid w:val="00346963"/>
    <w:rsid w:val="00350D8E"/>
    <w:rsid w:val="0035110B"/>
    <w:rsid w:val="003627C4"/>
    <w:rsid w:val="00363B71"/>
    <w:rsid w:val="00385C23"/>
    <w:rsid w:val="003A0975"/>
    <w:rsid w:val="003A5C8E"/>
    <w:rsid w:val="003B74F7"/>
    <w:rsid w:val="003C2837"/>
    <w:rsid w:val="003C7E95"/>
    <w:rsid w:val="003D2D8D"/>
    <w:rsid w:val="003D4468"/>
    <w:rsid w:val="003E3072"/>
    <w:rsid w:val="003E36B6"/>
    <w:rsid w:val="003E7235"/>
    <w:rsid w:val="00412043"/>
    <w:rsid w:val="0041549C"/>
    <w:rsid w:val="004334FD"/>
    <w:rsid w:val="00433BE7"/>
    <w:rsid w:val="00434DBA"/>
    <w:rsid w:val="004352EB"/>
    <w:rsid w:val="00441F29"/>
    <w:rsid w:val="00453889"/>
    <w:rsid w:val="00457E71"/>
    <w:rsid w:val="00461E29"/>
    <w:rsid w:val="00466FA7"/>
    <w:rsid w:val="00471099"/>
    <w:rsid w:val="00475310"/>
    <w:rsid w:val="004773B6"/>
    <w:rsid w:val="004823F6"/>
    <w:rsid w:val="004828AA"/>
    <w:rsid w:val="00486F4F"/>
    <w:rsid w:val="00490933"/>
    <w:rsid w:val="00494DD2"/>
    <w:rsid w:val="004A1CEC"/>
    <w:rsid w:val="004A34CE"/>
    <w:rsid w:val="004A548C"/>
    <w:rsid w:val="004C43C5"/>
    <w:rsid w:val="004C46CD"/>
    <w:rsid w:val="004D218E"/>
    <w:rsid w:val="004E1CBA"/>
    <w:rsid w:val="004E5436"/>
    <w:rsid w:val="004E5E9F"/>
    <w:rsid w:val="004F2674"/>
    <w:rsid w:val="004F4471"/>
    <w:rsid w:val="004F5505"/>
    <w:rsid w:val="00503B37"/>
    <w:rsid w:val="00514147"/>
    <w:rsid w:val="00520746"/>
    <w:rsid w:val="00525A4B"/>
    <w:rsid w:val="00530ACA"/>
    <w:rsid w:val="00532BAD"/>
    <w:rsid w:val="00534072"/>
    <w:rsid w:val="0053413F"/>
    <w:rsid w:val="00535C00"/>
    <w:rsid w:val="00540FAB"/>
    <w:rsid w:val="0054168F"/>
    <w:rsid w:val="00542970"/>
    <w:rsid w:val="005429E2"/>
    <w:rsid w:val="0054599B"/>
    <w:rsid w:val="005473AE"/>
    <w:rsid w:val="00553BE1"/>
    <w:rsid w:val="00553F83"/>
    <w:rsid w:val="005739FC"/>
    <w:rsid w:val="0058105D"/>
    <w:rsid w:val="00586D87"/>
    <w:rsid w:val="00592D22"/>
    <w:rsid w:val="00594903"/>
    <w:rsid w:val="005A10AB"/>
    <w:rsid w:val="005A1D80"/>
    <w:rsid w:val="005A419D"/>
    <w:rsid w:val="005A5238"/>
    <w:rsid w:val="005A6A31"/>
    <w:rsid w:val="005B2533"/>
    <w:rsid w:val="005B2F3A"/>
    <w:rsid w:val="005D193E"/>
    <w:rsid w:val="005D3CFD"/>
    <w:rsid w:val="005D69F0"/>
    <w:rsid w:val="005E3690"/>
    <w:rsid w:val="005E4930"/>
    <w:rsid w:val="005F15B3"/>
    <w:rsid w:val="005F75B9"/>
    <w:rsid w:val="00602BD2"/>
    <w:rsid w:val="006159E5"/>
    <w:rsid w:val="00621013"/>
    <w:rsid w:val="00624F8D"/>
    <w:rsid w:val="0062768A"/>
    <w:rsid w:val="006407FB"/>
    <w:rsid w:val="00650FA1"/>
    <w:rsid w:val="00661049"/>
    <w:rsid w:val="00663659"/>
    <w:rsid w:val="00666E8F"/>
    <w:rsid w:val="0067096D"/>
    <w:rsid w:val="00670FBF"/>
    <w:rsid w:val="006729A9"/>
    <w:rsid w:val="00673F27"/>
    <w:rsid w:val="00675662"/>
    <w:rsid w:val="00677973"/>
    <w:rsid w:val="006842E6"/>
    <w:rsid w:val="00686275"/>
    <w:rsid w:val="0069320C"/>
    <w:rsid w:val="006A0CC7"/>
    <w:rsid w:val="006B161C"/>
    <w:rsid w:val="006B1656"/>
    <w:rsid w:val="006B3165"/>
    <w:rsid w:val="006B64E7"/>
    <w:rsid w:val="006C7725"/>
    <w:rsid w:val="006D2917"/>
    <w:rsid w:val="006E2A71"/>
    <w:rsid w:val="006F6C3E"/>
    <w:rsid w:val="00700C54"/>
    <w:rsid w:val="007019E1"/>
    <w:rsid w:val="0072078C"/>
    <w:rsid w:val="00723665"/>
    <w:rsid w:val="00741FF8"/>
    <w:rsid w:val="00746419"/>
    <w:rsid w:val="00750E13"/>
    <w:rsid w:val="007539E9"/>
    <w:rsid w:val="007559A6"/>
    <w:rsid w:val="00762D7D"/>
    <w:rsid w:val="0076408E"/>
    <w:rsid w:val="00765B54"/>
    <w:rsid w:val="00765D17"/>
    <w:rsid w:val="00771E02"/>
    <w:rsid w:val="0077789A"/>
    <w:rsid w:val="00790655"/>
    <w:rsid w:val="00792394"/>
    <w:rsid w:val="007A2C48"/>
    <w:rsid w:val="007A5342"/>
    <w:rsid w:val="007B2CCB"/>
    <w:rsid w:val="007B4457"/>
    <w:rsid w:val="007B708F"/>
    <w:rsid w:val="007D61E1"/>
    <w:rsid w:val="007E3F33"/>
    <w:rsid w:val="007E7F86"/>
    <w:rsid w:val="007F647F"/>
    <w:rsid w:val="00802629"/>
    <w:rsid w:val="0081758E"/>
    <w:rsid w:val="00832A73"/>
    <w:rsid w:val="00841128"/>
    <w:rsid w:val="00847F8B"/>
    <w:rsid w:val="008552A5"/>
    <w:rsid w:val="008556A7"/>
    <w:rsid w:val="00857A73"/>
    <w:rsid w:val="00860266"/>
    <w:rsid w:val="00875555"/>
    <w:rsid w:val="00884655"/>
    <w:rsid w:val="00893C2C"/>
    <w:rsid w:val="0089415D"/>
    <w:rsid w:val="008954C8"/>
    <w:rsid w:val="008A3650"/>
    <w:rsid w:val="008B4846"/>
    <w:rsid w:val="008B66B8"/>
    <w:rsid w:val="008C2DEA"/>
    <w:rsid w:val="008C2E55"/>
    <w:rsid w:val="008C6382"/>
    <w:rsid w:val="008D1DA3"/>
    <w:rsid w:val="008D2DFB"/>
    <w:rsid w:val="008E0FBF"/>
    <w:rsid w:val="008E52C1"/>
    <w:rsid w:val="008F055A"/>
    <w:rsid w:val="008F23B3"/>
    <w:rsid w:val="00903EBB"/>
    <w:rsid w:val="00907C8D"/>
    <w:rsid w:val="009108A9"/>
    <w:rsid w:val="00921D1B"/>
    <w:rsid w:val="009231C2"/>
    <w:rsid w:val="009253FA"/>
    <w:rsid w:val="0093752F"/>
    <w:rsid w:val="00941098"/>
    <w:rsid w:val="009509F7"/>
    <w:rsid w:val="0095172D"/>
    <w:rsid w:val="00960D80"/>
    <w:rsid w:val="00962803"/>
    <w:rsid w:val="009712E4"/>
    <w:rsid w:val="009722B9"/>
    <w:rsid w:val="00990134"/>
    <w:rsid w:val="009919B5"/>
    <w:rsid w:val="00991FA9"/>
    <w:rsid w:val="009A323D"/>
    <w:rsid w:val="009B114B"/>
    <w:rsid w:val="009B207E"/>
    <w:rsid w:val="009B21AE"/>
    <w:rsid w:val="009C1591"/>
    <w:rsid w:val="009C3A2B"/>
    <w:rsid w:val="009C5981"/>
    <w:rsid w:val="009D0F73"/>
    <w:rsid w:val="009E6FBC"/>
    <w:rsid w:val="009F3AE7"/>
    <w:rsid w:val="009F5827"/>
    <w:rsid w:val="009F6B6E"/>
    <w:rsid w:val="00A06D50"/>
    <w:rsid w:val="00A07B3B"/>
    <w:rsid w:val="00A211B6"/>
    <w:rsid w:val="00A23B30"/>
    <w:rsid w:val="00A26752"/>
    <w:rsid w:val="00A316A0"/>
    <w:rsid w:val="00A325FC"/>
    <w:rsid w:val="00A4551B"/>
    <w:rsid w:val="00A4557B"/>
    <w:rsid w:val="00A45ADD"/>
    <w:rsid w:val="00A52234"/>
    <w:rsid w:val="00A53D3A"/>
    <w:rsid w:val="00A60256"/>
    <w:rsid w:val="00A609DB"/>
    <w:rsid w:val="00A65969"/>
    <w:rsid w:val="00A65D19"/>
    <w:rsid w:val="00A71821"/>
    <w:rsid w:val="00A73AF7"/>
    <w:rsid w:val="00A83A80"/>
    <w:rsid w:val="00A8656C"/>
    <w:rsid w:val="00A872CC"/>
    <w:rsid w:val="00A92D56"/>
    <w:rsid w:val="00A9623F"/>
    <w:rsid w:val="00AA1567"/>
    <w:rsid w:val="00AC082A"/>
    <w:rsid w:val="00AC5534"/>
    <w:rsid w:val="00AD402A"/>
    <w:rsid w:val="00AD4377"/>
    <w:rsid w:val="00AE0099"/>
    <w:rsid w:val="00AE4634"/>
    <w:rsid w:val="00AF1010"/>
    <w:rsid w:val="00AF2801"/>
    <w:rsid w:val="00AF51ED"/>
    <w:rsid w:val="00B01F70"/>
    <w:rsid w:val="00B16D0D"/>
    <w:rsid w:val="00B231EB"/>
    <w:rsid w:val="00B2564D"/>
    <w:rsid w:val="00B279B8"/>
    <w:rsid w:val="00B30B61"/>
    <w:rsid w:val="00B31E24"/>
    <w:rsid w:val="00B36340"/>
    <w:rsid w:val="00B52FF9"/>
    <w:rsid w:val="00B55ED9"/>
    <w:rsid w:val="00B653CE"/>
    <w:rsid w:val="00B66711"/>
    <w:rsid w:val="00B80232"/>
    <w:rsid w:val="00B84C60"/>
    <w:rsid w:val="00B84FE2"/>
    <w:rsid w:val="00B92AB8"/>
    <w:rsid w:val="00B944C9"/>
    <w:rsid w:val="00B96420"/>
    <w:rsid w:val="00BA17C4"/>
    <w:rsid w:val="00BB4743"/>
    <w:rsid w:val="00BC0291"/>
    <w:rsid w:val="00BC105A"/>
    <w:rsid w:val="00BC31D1"/>
    <w:rsid w:val="00BC512E"/>
    <w:rsid w:val="00BD4708"/>
    <w:rsid w:val="00BE00E4"/>
    <w:rsid w:val="00BE269C"/>
    <w:rsid w:val="00BE3AB8"/>
    <w:rsid w:val="00BE40DC"/>
    <w:rsid w:val="00BE4BEA"/>
    <w:rsid w:val="00BE69CF"/>
    <w:rsid w:val="00C13A75"/>
    <w:rsid w:val="00C21F68"/>
    <w:rsid w:val="00C404A1"/>
    <w:rsid w:val="00C44784"/>
    <w:rsid w:val="00C46252"/>
    <w:rsid w:val="00C52216"/>
    <w:rsid w:val="00C5348D"/>
    <w:rsid w:val="00C5711B"/>
    <w:rsid w:val="00C576E1"/>
    <w:rsid w:val="00C6630B"/>
    <w:rsid w:val="00C74CB3"/>
    <w:rsid w:val="00C74CC1"/>
    <w:rsid w:val="00C76472"/>
    <w:rsid w:val="00C83EF5"/>
    <w:rsid w:val="00CA30C8"/>
    <w:rsid w:val="00CA49A9"/>
    <w:rsid w:val="00CA5D6D"/>
    <w:rsid w:val="00CA734B"/>
    <w:rsid w:val="00CD0894"/>
    <w:rsid w:val="00CE5351"/>
    <w:rsid w:val="00CF1043"/>
    <w:rsid w:val="00CF764E"/>
    <w:rsid w:val="00D06794"/>
    <w:rsid w:val="00D06B25"/>
    <w:rsid w:val="00D120E2"/>
    <w:rsid w:val="00D13349"/>
    <w:rsid w:val="00D14121"/>
    <w:rsid w:val="00D17C50"/>
    <w:rsid w:val="00D210D9"/>
    <w:rsid w:val="00D217C6"/>
    <w:rsid w:val="00D33BBD"/>
    <w:rsid w:val="00D43FBA"/>
    <w:rsid w:val="00D442DF"/>
    <w:rsid w:val="00D45D03"/>
    <w:rsid w:val="00D53A6F"/>
    <w:rsid w:val="00D55917"/>
    <w:rsid w:val="00D56524"/>
    <w:rsid w:val="00D61F81"/>
    <w:rsid w:val="00D665F1"/>
    <w:rsid w:val="00D67DAD"/>
    <w:rsid w:val="00D67E6F"/>
    <w:rsid w:val="00D709AC"/>
    <w:rsid w:val="00D72AEB"/>
    <w:rsid w:val="00D75597"/>
    <w:rsid w:val="00D76BD5"/>
    <w:rsid w:val="00D83804"/>
    <w:rsid w:val="00D87CF5"/>
    <w:rsid w:val="00D94736"/>
    <w:rsid w:val="00D954BC"/>
    <w:rsid w:val="00D955D8"/>
    <w:rsid w:val="00DA38F9"/>
    <w:rsid w:val="00DB086D"/>
    <w:rsid w:val="00DB1714"/>
    <w:rsid w:val="00DB2A5D"/>
    <w:rsid w:val="00DC7FCC"/>
    <w:rsid w:val="00DD73A6"/>
    <w:rsid w:val="00DE45D0"/>
    <w:rsid w:val="00DE511A"/>
    <w:rsid w:val="00DF1438"/>
    <w:rsid w:val="00DF195B"/>
    <w:rsid w:val="00DF4119"/>
    <w:rsid w:val="00DF6EFE"/>
    <w:rsid w:val="00E021EE"/>
    <w:rsid w:val="00E12295"/>
    <w:rsid w:val="00E12EC6"/>
    <w:rsid w:val="00E15272"/>
    <w:rsid w:val="00E179B8"/>
    <w:rsid w:val="00E21D3B"/>
    <w:rsid w:val="00E424A6"/>
    <w:rsid w:val="00E42D4C"/>
    <w:rsid w:val="00E43D66"/>
    <w:rsid w:val="00E44EE9"/>
    <w:rsid w:val="00E45368"/>
    <w:rsid w:val="00E4553E"/>
    <w:rsid w:val="00E46AAF"/>
    <w:rsid w:val="00E478C5"/>
    <w:rsid w:val="00E71323"/>
    <w:rsid w:val="00E735D6"/>
    <w:rsid w:val="00E81057"/>
    <w:rsid w:val="00E81C12"/>
    <w:rsid w:val="00E8264A"/>
    <w:rsid w:val="00E86C88"/>
    <w:rsid w:val="00E92378"/>
    <w:rsid w:val="00EA1663"/>
    <w:rsid w:val="00EA52F8"/>
    <w:rsid w:val="00EC046D"/>
    <w:rsid w:val="00EC3269"/>
    <w:rsid w:val="00EC4267"/>
    <w:rsid w:val="00EC5165"/>
    <w:rsid w:val="00EC6EBD"/>
    <w:rsid w:val="00ED436F"/>
    <w:rsid w:val="00ED52DA"/>
    <w:rsid w:val="00EE6276"/>
    <w:rsid w:val="00EE642E"/>
    <w:rsid w:val="00EE67ED"/>
    <w:rsid w:val="00EF3813"/>
    <w:rsid w:val="00EF7D7D"/>
    <w:rsid w:val="00F00954"/>
    <w:rsid w:val="00F01218"/>
    <w:rsid w:val="00F02F9C"/>
    <w:rsid w:val="00F14132"/>
    <w:rsid w:val="00F20C90"/>
    <w:rsid w:val="00F607FF"/>
    <w:rsid w:val="00F63581"/>
    <w:rsid w:val="00F6379B"/>
    <w:rsid w:val="00F649BE"/>
    <w:rsid w:val="00F65FCD"/>
    <w:rsid w:val="00F67893"/>
    <w:rsid w:val="00F75491"/>
    <w:rsid w:val="00F77217"/>
    <w:rsid w:val="00F8769C"/>
    <w:rsid w:val="00F9102E"/>
    <w:rsid w:val="00F918BB"/>
    <w:rsid w:val="00F95A16"/>
    <w:rsid w:val="00FA0E61"/>
    <w:rsid w:val="00FA3E30"/>
    <w:rsid w:val="00FA609F"/>
    <w:rsid w:val="00FA7C19"/>
    <w:rsid w:val="00FA7C26"/>
    <w:rsid w:val="00FB2939"/>
    <w:rsid w:val="00FC1BC6"/>
    <w:rsid w:val="00FD1798"/>
    <w:rsid w:val="00FD5202"/>
    <w:rsid w:val="00FD562D"/>
    <w:rsid w:val="00FF499D"/>
    <w:rsid w:val="00FF65BC"/>
    <w:rsid w:val="00FF675D"/>
    <w:rsid w:val="00FF76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E8CDD-DCBA-4267-820A-AD30A3C6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5D0"/>
    <w:pPr>
      <w:spacing w:line="256" w:lineRule="auto"/>
    </w:pPr>
  </w:style>
  <w:style w:type="paragraph" w:styleId="Titolo1">
    <w:name w:val="heading 1"/>
    <w:basedOn w:val="Normale"/>
    <w:link w:val="Titolo1Carattere"/>
    <w:uiPriority w:val="9"/>
    <w:qFormat/>
    <w:rsid w:val="00E453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E47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E478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D62CB"/>
    <w:rPr>
      <w:color w:val="0563C1" w:themeColor="hyperlink"/>
      <w:u w:val="single"/>
    </w:rPr>
  </w:style>
  <w:style w:type="table" w:styleId="Grigliatabella">
    <w:name w:val="Table Grid"/>
    <w:basedOn w:val="Tabellanormale"/>
    <w:uiPriority w:val="39"/>
    <w:rsid w:val="002D62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2">
    <w:name w:val="bold2"/>
    <w:basedOn w:val="Carpredefinitoparagrafo"/>
    <w:rsid w:val="002D62CB"/>
    <w:rPr>
      <w:b/>
      <w:bCs/>
    </w:rPr>
  </w:style>
  <w:style w:type="character" w:styleId="Enfasicorsivo">
    <w:name w:val="Emphasis"/>
    <w:basedOn w:val="Carpredefinitoparagrafo"/>
    <w:uiPriority w:val="20"/>
    <w:qFormat/>
    <w:rsid w:val="00C5711B"/>
    <w:rPr>
      <w:i/>
      <w:iCs/>
    </w:rPr>
  </w:style>
  <w:style w:type="paragraph" w:customStyle="1" w:styleId="c02alineaalta">
    <w:name w:val="c02alineaalta"/>
    <w:basedOn w:val="Normale"/>
    <w:rsid w:val="004A1CE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4A1CEC"/>
    <w:rPr>
      <w:color w:val="954F72" w:themeColor="followedHyperlink"/>
      <w:u w:val="single"/>
    </w:rPr>
  </w:style>
  <w:style w:type="table" w:customStyle="1" w:styleId="Grigliatabella1">
    <w:name w:val="Griglia tabella1"/>
    <w:basedOn w:val="Tabellanormale"/>
    <w:next w:val="Grigliatabella"/>
    <w:uiPriority w:val="39"/>
    <w:rsid w:val="00E1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021EE"/>
    <w:pPr>
      <w:ind w:left="720"/>
      <w:contextualSpacing/>
    </w:pPr>
  </w:style>
  <w:style w:type="character" w:styleId="Rimandocommento">
    <w:name w:val="annotation reference"/>
    <w:basedOn w:val="Carpredefinitoparagrafo"/>
    <w:uiPriority w:val="99"/>
    <w:semiHidden/>
    <w:unhideWhenUsed/>
    <w:rsid w:val="002556B8"/>
    <w:rPr>
      <w:sz w:val="16"/>
      <w:szCs w:val="16"/>
    </w:rPr>
  </w:style>
  <w:style w:type="paragraph" w:styleId="Testocommento">
    <w:name w:val="annotation text"/>
    <w:basedOn w:val="Normale"/>
    <w:link w:val="TestocommentoCarattere"/>
    <w:uiPriority w:val="99"/>
    <w:semiHidden/>
    <w:unhideWhenUsed/>
    <w:rsid w:val="002556B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556B8"/>
    <w:rPr>
      <w:sz w:val="20"/>
      <w:szCs w:val="20"/>
    </w:rPr>
  </w:style>
  <w:style w:type="paragraph" w:styleId="Soggettocommento">
    <w:name w:val="annotation subject"/>
    <w:basedOn w:val="Testocommento"/>
    <w:next w:val="Testocommento"/>
    <w:link w:val="SoggettocommentoCarattere"/>
    <w:uiPriority w:val="99"/>
    <w:semiHidden/>
    <w:unhideWhenUsed/>
    <w:rsid w:val="002556B8"/>
    <w:rPr>
      <w:b/>
      <w:bCs/>
    </w:rPr>
  </w:style>
  <w:style w:type="character" w:customStyle="1" w:styleId="SoggettocommentoCarattere">
    <w:name w:val="Soggetto commento Carattere"/>
    <w:basedOn w:val="TestocommentoCarattere"/>
    <w:link w:val="Soggettocommento"/>
    <w:uiPriority w:val="99"/>
    <w:semiHidden/>
    <w:rsid w:val="002556B8"/>
    <w:rPr>
      <w:b/>
      <w:bCs/>
      <w:sz w:val="20"/>
      <w:szCs w:val="20"/>
    </w:rPr>
  </w:style>
  <w:style w:type="paragraph" w:styleId="Testofumetto">
    <w:name w:val="Balloon Text"/>
    <w:basedOn w:val="Normale"/>
    <w:link w:val="TestofumettoCarattere"/>
    <w:uiPriority w:val="99"/>
    <w:semiHidden/>
    <w:unhideWhenUsed/>
    <w:rsid w:val="002556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56B8"/>
    <w:rPr>
      <w:rFonts w:ascii="Segoe UI" w:hAnsi="Segoe UI" w:cs="Segoe UI"/>
      <w:sz w:val="18"/>
      <w:szCs w:val="18"/>
    </w:rPr>
  </w:style>
  <w:style w:type="character" w:customStyle="1" w:styleId="Titolo1Carattere">
    <w:name w:val="Titolo 1 Carattere"/>
    <w:basedOn w:val="Carpredefinitoparagrafo"/>
    <w:link w:val="Titolo1"/>
    <w:uiPriority w:val="9"/>
    <w:rsid w:val="00E45368"/>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E4536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FD179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FD179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pecial">
    <w:name w:val="special"/>
    <w:basedOn w:val="Normale"/>
    <w:rsid w:val="00AF28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F2801"/>
    <w:rPr>
      <w:b/>
      <w:bCs/>
    </w:rPr>
  </w:style>
  <w:style w:type="character" w:customStyle="1" w:styleId="riferimento">
    <w:name w:val="riferimento"/>
    <w:basedOn w:val="Carpredefinitoparagrafo"/>
    <w:rsid w:val="00AF2801"/>
  </w:style>
  <w:style w:type="paragraph" w:styleId="Testonormale">
    <w:name w:val="Plain Text"/>
    <w:basedOn w:val="Normale"/>
    <w:link w:val="TestonormaleCarattere"/>
    <w:uiPriority w:val="99"/>
    <w:unhideWhenUsed/>
    <w:rsid w:val="00771E02"/>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771E02"/>
    <w:rPr>
      <w:rFonts w:ascii="Calibri" w:hAnsi="Calibri"/>
      <w:szCs w:val="21"/>
    </w:rPr>
  </w:style>
  <w:style w:type="character" w:customStyle="1" w:styleId="Titolo2Carattere">
    <w:name w:val="Titolo 2 Carattere"/>
    <w:basedOn w:val="Carpredefinitoparagrafo"/>
    <w:link w:val="Titolo2"/>
    <w:uiPriority w:val="9"/>
    <w:semiHidden/>
    <w:rsid w:val="00E478C5"/>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E478C5"/>
    <w:rPr>
      <w:rFonts w:asciiTheme="majorHAnsi" w:eastAsiaTheme="majorEastAsia" w:hAnsiTheme="majorHAnsi" w:cstheme="majorBidi"/>
      <w:color w:val="1F4D78" w:themeColor="accent1" w:themeShade="7F"/>
      <w:sz w:val="24"/>
      <w:szCs w:val="24"/>
    </w:rPr>
  </w:style>
  <w:style w:type="character" w:customStyle="1" w:styleId="linkgazzetta">
    <w:name w:val="link_gazzetta"/>
    <w:basedOn w:val="Carpredefinitoparagrafo"/>
    <w:rsid w:val="00E478C5"/>
  </w:style>
  <w:style w:type="paragraph" w:customStyle="1" w:styleId="c41dispositifintroduction">
    <w:name w:val="c41dispositifintroduction"/>
    <w:basedOn w:val="Normale"/>
    <w:rsid w:val="00183DB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30dispositifalinea">
    <w:name w:val="c30dispositifalinea"/>
    <w:basedOn w:val="Normale"/>
    <w:rsid w:val="00183DB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8dispositif">
    <w:name w:val="c08dispositif"/>
    <w:basedOn w:val="Normale"/>
    <w:rsid w:val="00B279B8"/>
    <w:pPr>
      <w:spacing w:before="100" w:beforeAutospacing="1" w:after="240" w:line="240" w:lineRule="auto"/>
      <w:ind w:left="1134" w:hanging="567"/>
      <w:jc w:val="both"/>
    </w:pPr>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976">
      <w:bodyDiv w:val="1"/>
      <w:marLeft w:val="0"/>
      <w:marRight w:val="0"/>
      <w:marTop w:val="0"/>
      <w:marBottom w:val="0"/>
      <w:divBdr>
        <w:top w:val="none" w:sz="0" w:space="0" w:color="auto"/>
        <w:left w:val="none" w:sz="0" w:space="0" w:color="auto"/>
        <w:bottom w:val="none" w:sz="0" w:space="0" w:color="auto"/>
        <w:right w:val="none" w:sz="0" w:space="0" w:color="auto"/>
      </w:divBdr>
    </w:div>
    <w:div w:id="11152101">
      <w:bodyDiv w:val="1"/>
      <w:marLeft w:val="0"/>
      <w:marRight w:val="0"/>
      <w:marTop w:val="0"/>
      <w:marBottom w:val="0"/>
      <w:divBdr>
        <w:top w:val="none" w:sz="0" w:space="0" w:color="auto"/>
        <w:left w:val="none" w:sz="0" w:space="0" w:color="auto"/>
        <w:bottom w:val="none" w:sz="0" w:space="0" w:color="auto"/>
        <w:right w:val="none" w:sz="0" w:space="0" w:color="auto"/>
      </w:divBdr>
    </w:div>
    <w:div w:id="13963859">
      <w:bodyDiv w:val="1"/>
      <w:marLeft w:val="0"/>
      <w:marRight w:val="0"/>
      <w:marTop w:val="0"/>
      <w:marBottom w:val="0"/>
      <w:divBdr>
        <w:top w:val="none" w:sz="0" w:space="0" w:color="auto"/>
        <w:left w:val="none" w:sz="0" w:space="0" w:color="auto"/>
        <w:bottom w:val="none" w:sz="0" w:space="0" w:color="auto"/>
        <w:right w:val="none" w:sz="0" w:space="0" w:color="auto"/>
      </w:divBdr>
    </w:div>
    <w:div w:id="22756664">
      <w:bodyDiv w:val="1"/>
      <w:marLeft w:val="0"/>
      <w:marRight w:val="0"/>
      <w:marTop w:val="0"/>
      <w:marBottom w:val="0"/>
      <w:divBdr>
        <w:top w:val="none" w:sz="0" w:space="0" w:color="auto"/>
        <w:left w:val="none" w:sz="0" w:space="0" w:color="auto"/>
        <w:bottom w:val="none" w:sz="0" w:space="0" w:color="auto"/>
        <w:right w:val="none" w:sz="0" w:space="0" w:color="auto"/>
      </w:divBdr>
    </w:div>
    <w:div w:id="35863227">
      <w:bodyDiv w:val="1"/>
      <w:marLeft w:val="0"/>
      <w:marRight w:val="0"/>
      <w:marTop w:val="0"/>
      <w:marBottom w:val="0"/>
      <w:divBdr>
        <w:top w:val="none" w:sz="0" w:space="0" w:color="auto"/>
        <w:left w:val="none" w:sz="0" w:space="0" w:color="auto"/>
        <w:bottom w:val="none" w:sz="0" w:space="0" w:color="auto"/>
        <w:right w:val="none" w:sz="0" w:space="0" w:color="auto"/>
      </w:divBdr>
    </w:div>
    <w:div w:id="47342454">
      <w:bodyDiv w:val="1"/>
      <w:marLeft w:val="0"/>
      <w:marRight w:val="0"/>
      <w:marTop w:val="0"/>
      <w:marBottom w:val="0"/>
      <w:divBdr>
        <w:top w:val="none" w:sz="0" w:space="0" w:color="auto"/>
        <w:left w:val="none" w:sz="0" w:space="0" w:color="auto"/>
        <w:bottom w:val="none" w:sz="0" w:space="0" w:color="auto"/>
        <w:right w:val="none" w:sz="0" w:space="0" w:color="auto"/>
      </w:divBdr>
    </w:div>
    <w:div w:id="56321163">
      <w:bodyDiv w:val="1"/>
      <w:marLeft w:val="0"/>
      <w:marRight w:val="0"/>
      <w:marTop w:val="0"/>
      <w:marBottom w:val="0"/>
      <w:divBdr>
        <w:top w:val="none" w:sz="0" w:space="0" w:color="auto"/>
        <w:left w:val="none" w:sz="0" w:space="0" w:color="auto"/>
        <w:bottom w:val="none" w:sz="0" w:space="0" w:color="auto"/>
        <w:right w:val="none" w:sz="0" w:space="0" w:color="auto"/>
      </w:divBdr>
    </w:div>
    <w:div w:id="106508831">
      <w:bodyDiv w:val="1"/>
      <w:marLeft w:val="0"/>
      <w:marRight w:val="0"/>
      <w:marTop w:val="0"/>
      <w:marBottom w:val="0"/>
      <w:divBdr>
        <w:top w:val="none" w:sz="0" w:space="0" w:color="auto"/>
        <w:left w:val="none" w:sz="0" w:space="0" w:color="auto"/>
        <w:bottom w:val="none" w:sz="0" w:space="0" w:color="auto"/>
        <w:right w:val="none" w:sz="0" w:space="0" w:color="auto"/>
      </w:divBdr>
    </w:div>
    <w:div w:id="130826561">
      <w:bodyDiv w:val="1"/>
      <w:marLeft w:val="0"/>
      <w:marRight w:val="0"/>
      <w:marTop w:val="0"/>
      <w:marBottom w:val="0"/>
      <w:divBdr>
        <w:top w:val="none" w:sz="0" w:space="0" w:color="auto"/>
        <w:left w:val="none" w:sz="0" w:space="0" w:color="auto"/>
        <w:bottom w:val="none" w:sz="0" w:space="0" w:color="auto"/>
        <w:right w:val="none" w:sz="0" w:space="0" w:color="auto"/>
      </w:divBdr>
    </w:div>
    <w:div w:id="145709557">
      <w:bodyDiv w:val="1"/>
      <w:marLeft w:val="0"/>
      <w:marRight w:val="0"/>
      <w:marTop w:val="0"/>
      <w:marBottom w:val="0"/>
      <w:divBdr>
        <w:top w:val="none" w:sz="0" w:space="0" w:color="auto"/>
        <w:left w:val="none" w:sz="0" w:space="0" w:color="auto"/>
        <w:bottom w:val="none" w:sz="0" w:space="0" w:color="auto"/>
        <w:right w:val="none" w:sz="0" w:space="0" w:color="auto"/>
      </w:divBdr>
    </w:div>
    <w:div w:id="150028911">
      <w:bodyDiv w:val="1"/>
      <w:marLeft w:val="0"/>
      <w:marRight w:val="0"/>
      <w:marTop w:val="0"/>
      <w:marBottom w:val="0"/>
      <w:divBdr>
        <w:top w:val="none" w:sz="0" w:space="0" w:color="auto"/>
        <w:left w:val="none" w:sz="0" w:space="0" w:color="auto"/>
        <w:bottom w:val="none" w:sz="0" w:space="0" w:color="auto"/>
        <w:right w:val="none" w:sz="0" w:space="0" w:color="auto"/>
      </w:divBdr>
    </w:div>
    <w:div w:id="158736500">
      <w:bodyDiv w:val="1"/>
      <w:marLeft w:val="0"/>
      <w:marRight w:val="0"/>
      <w:marTop w:val="0"/>
      <w:marBottom w:val="0"/>
      <w:divBdr>
        <w:top w:val="none" w:sz="0" w:space="0" w:color="auto"/>
        <w:left w:val="none" w:sz="0" w:space="0" w:color="auto"/>
        <w:bottom w:val="none" w:sz="0" w:space="0" w:color="auto"/>
        <w:right w:val="none" w:sz="0" w:space="0" w:color="auto"/>
      </w:divBdr>
    </w:div>
    <w:div w:id="161745418">
      <w:bodyDiv w:val="1"/>
      <w:marLeft w:val="0"/>
      <w:marRight w:val="0"/>
      <w:marTop w:val="0"/>
      <w:marBottom w:val="0"/>
      <w:divBdr>
        <w:top w:val="none" w:sz="0" w:space="0" w:color="auto"/>
        <w:left w:val="none" w:sz="0" w:space="0" w:color="auto"/>
        <w:bottom w:val="none" w:sz="0" w:space="0" w:color="auto"/>
        <w:right w:val="none" w:sz="0" w:space="0" w:color="auto"/>
      </w:divBdr>
    </w:div>
    <w:div w:id="190731026">
      <w:bodyDiv w:val="1"/>
      <w:marLeft w:val="0"/>
      <w:marRight w:val="0"/>
      <w:marTop w:val="0"/>
      <w:marBottom w:val="0"/>
      <w:divBdr>
        <w:top w:val="none" w:sz="0" w:space="0" w:color="auto"/>
        <w:left w:val="none" w:sz="0" w:space="0" w:color="auto"/>
        <w:bottom w:val="none" w:sz="0" w:space="0" w:color="auto"/>
        <w:right w:val="none" w:sz="0" w:space="0" w:color="auto"/>
      </w:divBdr>
    </w:div>
    <w:div w:id="211116171">
      <w:bodyDiv w:val="1"/>
      <w:marLeft w:val="0"/>
      <w:marRight w:val="0"/>
      <w:marTop w:val="0"/>
      <w:marBottom w:val="0"/>
      <w:divBdr>
        <w:top w:val="none" w:sz="0" w:space="0" w:color="auto"/>
        <w:left w:val="none" w:sz="0" w:space="0" w:color="auto"/>
        <w:bottom w:val="none" w:sz="0" w:space="0" w:color="auto"/>
        <w:right w:val="none" w:sz="0" w:space="0" w:color="auto"/>
      </w:divBdr>
    </w:div>
    <w:div w:id="212884871">
      <w:bodyDiv w:val="1"/>
      <w:marLeft w:val="0"/>
      <w:marRight w:val="0"/>
      <w:marTop w:val="0"/>
      <w:marBottom w:val="0"/>
      <w:divBdr>
        <w:top w:val="none" w:sz="0" w:space="0" w:color="auto"/>
        <w:left w:val="none" w:sz="0" w:space="0" w:color="auto"/>
        <w:bottom w:val="none" w:sz="0" w:space="0" w:color="auto"/>
        <w:right w:val="none" w:sz="0" w:space="0" w:color="auto"/>
      </w:divBdr>
    </w:div>
    <w:div w:id="229459989">
      <w:bodyDiv w:val="1"/>
      <w:marLeft w:val="0"/>
      <w:marRight w:val="0"/>
      <w:marTop w:val="0"/>
      <w:marBottom w:val="0"/>
      <w:divBdr>
        <w:top w:val="none" w:sz="0" w:space="0" w:color="auto"/>
        <w:left w:val="none" w:sz="0" w:space="0" w:color="auto"/>
        <w:bottom w:val="none" w:sz="0" w:space="0" w:color="auto"/>
        <w:right w:val="none" w:sz="0" w:space="0" w:color="auto"/>
      </w:divBdr>
    </w:div>
    <w:div w:id="235751811">
      <w:bodyDiv w:val="1"/>
      <w:marLeft w:val="0"/>
      <w:marRight w:val="0"/>
      <w:marTop w:val="0"/>
      <w:marBottom w:val="0"/>
      <w:divBdr>
        <w:top w:val="none" w:sz="0" w:space="0" w:color="auto"/>
        <w:left w:val="none" w:sz="0" w:space="0" w:color="auto"/>
        <w:bottom w:val="none" w:sz="0" w:space="0" w:color="auto"/>
        <w:right w:val="none" w:sz="0" w:space="0" w:color="auto"/>
      </w:divBdr>
    </w:div>
    <w:div w:id="238029680">
      <w:bodyDiv w:val="1"/>
      <w:marLeft w:val="0"/>
      <w:marRight w:val="0"/>
      <w:marTop w:val="0"/>
      <w:marBottom w:val="0"/>
      <w:divBdr>
        <w:top w:val="none" w:sz="0" w:space="0" w:color="auto"/>
        <w:left w:val="none" w:sz="0" w:space="0" w:color="auto"/>
        <w:bottom w:val="none" w:sz="0" w:space="0" w:color="auto"/>
        <w:right w:val="none" w:sz="0" w:space="0" w:color="auto"/>
      </w:divBdr>
    </w:div>
    <w:div w:id="241988233">
      <w:bodyDiv w:val="1"/>
      <w:marLeft w:val="0"/>
      <w:marRight w:val="0"/>
      <w:marTop w:val="0"/>
      <w:marBottom w:val="0"/>
      <w:divBdr>
        <w:top w:val="none" w:sz="0" w:space="0" w:color="auto"/>
        <w:left w:val="none" w:sz="0" w:space="0" w:color="auto"/>
        <w:bottom w:val="none" w:sz="0" w:space="0" w:color="auto"/>
        <w:right w:val="none" w:sz="0" w:space="0" w:color="auto"/>
      </w:divBdr>
    </w:div>
    <w:div w:id="255481872">
      <w:bodyDiv w:val="1"/>
      <w:marLeft w:val="0"/>
      <w:marRight w:val="0"/>
      <w:marTop w:val="0"/>
      <w:marBottom w:val="0"/>
      <w:divBdr>
        <w:top w:val="none" w:sz="0" w:space="0" w:color="auto"/>
        <w:left w:val="none" w:sz="0" w:space="0" w:color="auto"/>
        <w:bottom w:val="none" w:sz="0" w:space="0" w:color="auto"/>
        <w:right w:val="none" w:sz="0" w:space="0" w:color="auto"/>
      </w:divBdr>
    </w:div>
    <w:div w:id="289477073">
      <w:bodyDiv w:val="1"/>
      <w:marLeft w:val="0"/>
      <w:marRight w:val="0"/>
      <w:marTop w:val="0"/>
      <w:marBottom w:val="0"/>
      <w:divBdr>
        <w:top w:val="none" w:sz="0" w:space="0" w:color="auto"/>
        <w:left w:val="none" w:sz="0" w:space="0" w:color="auto"/>
        <w:bottom w:val="none" w:sz="0" w:space="0" w:color="auto"/>
        <w:right w:val="none" w:sz="0" w:space="0" w:color="auto"/>
      </w:divBdr>
    </w:div>
    <w:div w:id="295646180">
      <w:bodyDiv w:val="1"/>
      <w:marLeft w:val="0"/>
      <w:marRight w:val="0"/>
      <w:marTop w:val="0"/>
      <w:marBottom w:val="0"/>
      <w:divBdr>
        <w:top w:val="none" w:sz="0" w:space="0" w:color="auto"/>
        <w:left w:val="none" w:sz="0" w:space="0" w:color="auto"/>
        <w:bottom w:val="none" w:sz="0" w:space="0" w:color="auto"/>
        <w:right w:val="none" w:sz="0" w:space="0" w:color="auto"/>
      </w:divBdr>
    </w:div>
    <w:div w:id="306394707">
      <w:bodyDiv w:val="1"/>
      <w:marLeft w:val="0"/>
      <w:marRight w:val="0"/>
      <w:marTop w:val="0"/>
      <w:marBottom w:val="0"/>
      <w:divBdr>
        <w:top w:val="none" w:sz="0" w:space="0" w:color="auto"/>
        <w:left w:val="none" w:sz="0" w:space="0" w:color="auto"/>
        <w:bottom w:val="none" w:sz="0" w:space="0" w:color="auto"/>
        <w:right w:val="none" w:sz="0" w:space="0" w:color="auto"/>
      </w:divBdr>
    </w:div>
    <w:div w:id="318072076">
      <w:bodyDiv w:val="1"/>
      <w:marLeft w:val="0"/>
      <w:marRight w:val="0"/>
      <w:marTop w:val="0"/>
      <w:marBottom w:val="0"/>
      <w:divBdr>
        <w:top w:val="none" w:sz="0" w:space="0" w:color="auto"/>
        <w:left w:val="none" w:sz="0" w:space="0" w:color="auto"/>
        <w:bottom w:val="none" w:sz="0" w:space="0" w:color="auto"/>
        <w:right w:val="none" w:sz="0" w:space="0" w:color="auto"/>
      </w:divBdr>
    </w:div>
    <w:div w:id="319891070">
      <w:bodyDiv w:val="1"/>
      <w:marLeft w:val="0"/>
      <w:marRight w:val="0"/>
      <w:marTop w:val="0"/>
      <w:marBottom w:val="0"/>
      <w:divBdr>
        <w:top w:val="none" w:sz="0" w:space="0" w:color="auto"/>
        <w:left w:val="none" w:sz="0" w:space="0" w:color="auto"/>
        <w:bottom w:val="none" w:sz="0" w:space="0" w:color="auto"/>
        <w:right w:val="none" w:sz="0" w:space="0" w:color="auto"/>
      </w:divBdr>
    </w:div>
    <w:div w:id="326710244">
      <w:bodyDiv w:val="1"/>
      <w:marLeft w:val="0"/>
      <w:marRight w:val="0"/>
      <w:marTop w:val="0"/>
      <w:marBottom w:val="0"/>
      <w:divBdr>
        <w:top w:val="none" w:sz="0" w:space="0" w:color="auto"/>
        <w:left w:val="none" w:sz="0" w:space="0" w:color="auto"/>
        <w:bottom w:val="none" w:sz="0" w:space="0" w:color="auto"/>
        <w:right w:val="none" w:sz="0" w:space="0" w:color="auto"/>
      </w:divBdr>
    </w:div>
    <w:div w:id="366026552">
      <w:bodyDiv w:val="1"/>
      <w:marLeft w:val="0"/>
      <w:marRight w:val="0"/>
      <w:marTop w:val="0"/>
      <w:marBottom w:val="0"/>
      <w:divBdr>
        <w:top w:val="none" w:sz="0" w:space="0" w:color="auto"/>
        <w:left w:val="none" w:sz="0" w:space="0" w:color="auto"/>
        <w:bottom w:val="none" w:sz="0" w:space="0" w:color="auto"/>
        <w:right w:val="none" w:sz="0" w:space="0" w:color="auto"/>
      </w:divBdr>
    </w:div>
    <w:div w:id="423191987">
      <w:bodyDiv w:val="1"/>
      <w:marLeft w:val="0"/>
      <w:marRight w:val="0"/>
      <w:marTop w:val="0"/>
      <w:marBottom w:val="0"/>
      <w:divBdr>
        <w:top w:val="none" w:sz="0" w:space="0" w:color="auto"/>
        <w:left w:val="none" w:sz="0" w:space="0" w:color="auto"/>
        <w:bottom w:val="none" w:sz="0" w:space="0" w:color="auto"/>
        <w:right w:val="none" w:sz="0" w:space="0" w:color="auto"/>
      </w:divBdr>
    </w:div>
    <w:div w:id="452330198">
      <w:bodyDiv w:val="1"/>
      <w:marLeft w:val="0"/>
      <w:marRight w:val="0"/>
      <w:marTop w:val="0"/>
      <w:marBottom w:val="0"/>
      <w:divBdr>
        <w:top w:val="none" w:sz="0" w:space="0" w:color="auto"/>
        <w:left w:val="none" w:sz="0" w:space="0" w:color="auto"/>
        <w:bottom w:val="none" w:sz="0" w:space="0" w:color="auto"/>
        <w:right w:val="none" w:sz="0" w:space="0" w:color="auto"/>
      </w:divBdr>
    </w:div>
    <w:div w:id="487408352">
      <w:bodyDiv w:val="1"/>
      <w:marLeft w:val="0"/>
      <w:marRight w:val="0"/>
      <w:marTop w:val="0"/>
      <w:marBottom w:val="0"/>
      <w:divBdr>
        <w:top w:val="none" w:sz="0" w:space="0" w:color="auto"/>
        <w:left w:val="none" w:sz="0" w:space="0" w:color="auto"/>
        <w:bottom w:val="none" w:sz="0" w:space="0" w:color="auto"/>
        <w:right w:val="none" w:sz="0" w:space="0" w:color="auto"/>
      </w:divBdr>
    </w:div>
    <w:div w:id="505635582">
      <w:bodyDiv w:val="1"/>
      <w:marLeft w:val="0"/>
      <w:marRight w:val="0"/>
      <w:marTop w:val="0"/>
      <w:marBottom w:val="0"/>
      <w:divBdr>
        <w:top w:val="none" w:sz="0" w:space="0" w:color="auto"/>
        <w:left w:val="none" w:sz="0" w:space="0" w:color="auto"/>
        <w:bottom w:val="none" w:sz="0" w:space="0" w:color="auto"/>
        <w:right w:val="none" w:sz="0" w:space="0" w:color="auto"/>
      </w:divBdr>
    </w:div>
    <w:div w:id="507253412">
      <w:bodyDiv w:val="1"/>
      <w:marLeft w:val="0"/>
      <w:marRight w:val="0"/>
      <w:marTop w:val="0"/>
      <w:marBottom w:val="0"/>
      <w:divBdr>
        <w:top w:val="none" w:sz="0" w:space="0" w:color="auto"/>
        <w:left w:val="none" w:sz="0" w:space="0" w:color="auto"/>
        <w:bottom w:val="none" w:sz="0" w:space="0" w:color="auto"/>
        <w:right w:val="none" w:sz="0" w:space="0" w:color="auto"/>
      </w:divBdr>
      <w:divsChild>
        <w:div w:id="498620982">
          <w:marLeft w:val="0"/>
          <w:marRight w:val="0"/>
          <w:marTop w:val="0"/>
          <w:marBottom w:val="600"/>
          <w:divBdr>
            <w:top w:val="none" w:sz="0" w:space="0" w:color="auto"/>
            <w:left w:val="none" w:sz="0" w:space="0" w:color="auto"/>
            <w:bottom w:val="none" w:sz="0" w:space="0" w:color="auto"/>
            <w:right w:val="none" w:sz="0" w:space="0" w:color="auto"/>
          </w:divBdr>
        </w:div>
        <w:div w:id="1707294415">
          <w:marLeft w:val="0"/>
          <w:marRight w:val="0"/>
          <w:marTop w:val="0"/>
          <w:marBottom w:val="600"/>
          <w:divBdr>
            <w:top w:val="none" w:sz="0" w:space="0" w:color="auto"/>
            <w:left w:val="none" w:sz="0" w:space="0" w:color="auto"/>
            <w:bottom w:val="none" w:sz="0" w:space="0" w:color="auto"/>
            <w:right w:val="none" w:sz="0" w:space="0" w:color="auto"/>
          </w:divBdr>
        </w:div>
      </w:divsChild>
    </w:div>
    <w:div w:id="514225566">
      <w:bodyDiv w:val="1"/>
      <w:marLeft w:val="0"/>
      <w:marRight w:val="0"/>
      <w:marTop w:val="0"/>
      <w:marBottom w:val="0"/>
      <w:divBdr>
        <w:top w:val="none" w:sz="0" w:space="0" w:color="auto"/>
        <w:left w:val="none" w:sz="0" w:space="0" w:color="auto"/>
        <w:bottom w:val="none" w:sz="0" w:space="0" w:color="auto"/>
        <w:right w:val="none" w:sz="0" w:space="0" w:color="auto"/>
      </w:divBdr>
    </w:div>
    <w:div w:id="554466973">
      <w:bodyDiv w:val="1"/>
      <w:marLeft w:val="0"/>
      <w:marRight w:val="0"/>
      <w:marTop w:val="0"/>
      <w:marBottom w:val="0"/>
      <w:divBdr>
        <w:top w:val="none" w:sz="0" w:space="0" w:color="auto"/>
        <w:left w:val="none" w:sz="0" w:space="0" w:color="auto"/>
        <w:bottom w:val="none" w:sz="0" w:space="0" w:color="auto"/>
        <w:right w:val="none" w:sz="0" w:space="0" w:color="auto"/>
      </w:divBdr>
    </w:div>
    <w:div w:id="561793065">
      <w:bodyDiv w:val="1"/>
      <w:marLeft w:val="0"/>
      <w:marRight w:val="0"/>
      <w:marTop w:val="0"/>
      <w:marBottom w:val="0"/>
      <w:divBdr>
        <w:top w:val="none" w:sz="0" w:space="0" w:color="auto"/>
        <w:left w:val="none" w:sz="0" w:space="0" w:color="auto"/>
        <w:bottom w:val="none" w:sz="0" w:space="0" w:color="auto"/>
        <w:right w:val="none" w:sz="0" w:space="0" w:color="auto"/>
      </w:divBdr>
    </w:div>
    <w:div w:id="571888814">
      <w:bodyDiv w:val="1"/>
      <w:marLeft w:val="0"/>
      <w:marRight w:val="0"/>
      <w:marTop w:val="0"/>
      <w:marBottom w:val="0"/>
      <w:divBdr>
        <w:top w:val="none" w:sz="0" w:space="0" w:color="auto"/>
        <w:left w:val="none" w:sz="0" w:space="0" w:color="auto"/>
        <w:bottom w:val="none" w:sz="0" w:space="0" w:color="auto"/>
        <w:right w:val="none" w:sz="0" w:space="0" w:color="auto"/>
      </w:divBdr>
    </w:div>
    <w:div w:id="575285372">
      <w:bodyDiv w:val="1"/>
      <w:marLeft w:val="0"/>
      <w:marRight w:val="0"/>
      <w:marTop w:val="0"/>
      <w:marBottom w:val="0"/>
      <w:divBdr>
        <w:top w:val="none" w:sz="0" w:space="0" w:color="auto"/>
        <w:left w:val="none" w:sz="0" w:space="0" w:color="auto"/>
        <w:bottom w:val="none" w:sz="0" w:space="0" w:color="auto"/>
        <w:right w:val="none" w:sz="0" w:space="0" w:color="auto"/>
      </w:divBdr>
    </w:div>
    <w:div w:id="576210437">
      <w:bodyDiv w:val="1"/>
      <w:marLeft w:val="0"/>
      <w:marRight w:val="0"/>
      <w:marTop w:val="0"/>
      <w:marBottom w:val="0"/>
      <w:divBdr>
        <w:top w:val="none" w:sz="0" w:space="0" w:color="auto"/>
        <w:left w:val="none" w:sz="0" w:space="0" w:color="auto"/>
        <w:bottom w:val="none" w:sz="0" w:space="0" w:color="auto"/>
        <w:right w:val="none" w:sz="0" w:space="0" w:color="auto"/>
      </w:divBdr>
    </w:div>
    <w:div w:id="615067247">
      <w:bodyDiv w:val="1"/>
      <w:marLeft w:val="0"/>
      <w:marRight w:val="0"/>
      <w:marTop w:val="0"/>
      <w:marBottom w:val="0"/>
      <w:divBdr>
        <w:top w:val="none" w:sz="0" w:space="0" w:color="auto"/>
        <w:left w:val="none" w:sz="0" w:space="0" w:color="auto"/>
        <w:bottom w:val="none" w:sz="0" w:space="0" w:color="auto"/>
        <w:right w:val="none" w:sz="0" w:space="0" w:color="auto"/>
      </w:divBdr>
    </w:div>
    <w:div w:id="656567696">
      <w:bodyDiv w:val="1"/>
      <w:marLeft w:val="0"/>
      <w:marRight w:val="0"/>
      <w:marTop w:val="0"/>
      <w:marBottom w:val="0"/>
      <w:divBdr>
        <w:top w:val="none" w:sz="0" w:space="0" w:color="auto"/>
        <w:left w:val="none" w:sz="0" w:space="0" w:color="auto"/>
        <w:bottom w:val="none" w:sz="0" w:space="0" w:color="auto"/>
        <w:right w:val="none" w:sz="0" w:space="0" w:color="auto"/>
      </w:divBdr>
    </w:div>
    <w:div w:id="689649209">
      <w:bodyDiv w:val="1"/>
      <w:marLeft w:val="0"/>
      <w:marRight w:val="0"/>
      <w:marTop w:val="0"/>
      <w:marBottom w:val="0"/>
      <w:divBdr>
        <w:top w:val="none" w:sz="0" w:space="0" w:color="auto"/>
        <w:left w:val="none" w:sz="0" w:space="0" w:color="auto"/>
        <w:bottom w:val="none" w:sz="0" w:space="0" w:color="auto"/>
        <w:right w:val="none" w:sz="0" w:space="0" w:color="auto"/>
      </w:divBdr>
      <w:divsChild>
        <w:div w:id="941769078">
          <w:marLeft w:val="0"/>
          <w:marRight w:val="0"/>
          <w:marTop w:val="0"/>
          <w:marBottom w:val="600"/>
          <w:divBdr>
            <w:top w:val="none" w:sz="0" w:space="0" w:color="auto"/>
            <w:left w:val="none" w:sz="0" w:space="0" w:color="auto"/>
            <w:bottom w:val="none" w:sz="0" w:space="0" w:color="auto"/>
            <w:right w:val="none" w:sz="0" w:space="0" w:color="auto"/>
          </w:divBdr>
        </w:div>
        <w:div w:id="1783957102">
          <w:marLeft w:val="0"/>
          <w:marRight w:val="0"/>
          <w:marTop w:val="0"/>
          <w:marBottom w:val="600"/>
          <w:divBdr>
            <w:top w:val="none" w:sz="0" w:space="0" w:color="auto"/>
            <w:left w:val="none" w:sz="0" w:space="0" w:color="auto"/>
            <w:bottom w:val="none" w:sz="0" w:space="0" w:color="auto"/>
            <w:right w:val="none" w:sz="0" w:space="0" w:color="auto"/>
          </w:divBdr>
        </w:div>
        <w:div w:id="814101186">
          <w:marLeft w:val="0"/>
          <w:marRight w:val="0"/>
          <w:marTop w:val="0"/>
          <w:marBottom w:val="600"/>
          <w:divBdr>
            <w:top w:val="none" w:sz="0" w:space="0" w:color="auto"/>
            <w:left w:val="none" w:sz="0" w:space="0" w:color="auto"/>
            <w:bottom w:val="none" w:sz="0" w:space="0" w:color="auto"/>
            <w:right w:val="none" w:sz="0" w:space="0" w:color="auto"/>
          </w:divBdr>
        </w:div>
        <w:div w:id="1292902560">
          <w:marLeft w:val="0"/>
          <w:marRight w:val="0"/>
          <w:marTop w:val="0"/>
          <w:marBottom w:val="600"/>
          <w:divBdr>
            <w:top w:val="none" w:sz="0" w:space="0" w:color="auto"/>
            <w:left w:val="none" w:sz="0" w:space="0" w:color="auto"/>
            <w:bottom w:val="none" w:sz="0" w:space="0" w:color="auto"/>
            <w:right w:val="none" w:sz="0" w:space="0" w:color="auto"/>
          </w:divBdr>
        </w:div>
      </w:divsChild>
    </w:div>
    <w:div w:id="692461312">
      <w:bodyDiv w:val="1"/>
      <w:marLeft w:val="0"/>
      <w:marRight w:val="0"/>
      <w:marTop w:val="0"/>
      <w:marBottom w:val="0"/>
      <w:divBdr>
        <w:top w:val="none" w:sz="0" w:space="0" w:color="auto"/>
        <w:left w:val="none" w:sz="0" w:space="0" w:color="auto"/>
        <w:bottom w:val="none" w:sz="0" w:space="0" w:color="auto"/>
        <w:right w:val="none" w:sz="0" w:space="0" w:color="auto"/>
      </w:divBdr>
    </w:div>
    <w:div w:id="706299335">
      <w:bodyDiv w:val="1"/>
      <w:marLeft w:val="0"/>
      <w:marRight w:val="0"/>
      <w:marTop w:val="0"/>
      <w:marBottom w:val="0"/>
      <w:divBdr>
        <w:top w:val="none" w:sz="0" w:space="0" w:color="auto"/>
        <w:left w:val="none" w:sz="0" w:space="0" w:color="auto"/>
        <w:bottom w:val="none" w:sz="0" w:space="0" w:color="auto"/>
        <w:right w:val="none" w:sz="0" w:space="0" w:color="auto"/>
      </w:divBdr>
    </w:div>
    <w:div w:id="767314731">
      <w:bodyDiv w:val="1"/>
      <w:marLeft w:val="0"/>
      <w:marRight w:val="0"/>
      <w:marTop w:val="0"/>
      <w:marBottom w:val="0"/>
      <w:divBdr>
        <w:top w:val="none" w:sz="0" w:space="0" w:color="auto"/>
        <w:left w:val="none" w:sz="0" w:space="0" w:color="auto"/>
        <w:bottom w:val="none" w:sz="0" w:space="0" w:color="auto"/>
        <w:right w:val="none" w:sz="0" w:space="0" w:color="auto"/>
      </w:divBdr>
      <w:divsChild>
        <w:div w:id="659189752">
          <w:marLeft w:val="0"/>
          <w:marRight w:val="0"/>
          <w:marTop w:val="0"/>
          <w:marBottom w:val="0"/>
          <w:divBdr>
            <w:top w:val="none" w:sz="0" w:space="0" w:color="auto"/>
            <w:left w:val="none" w:sz="0" w:space="0" w:color="auto"/>
            <w:bottom w:val="none" w:sz="0" w:space="0" w:color="auto"/>
            <w:right w:val="none" w:sz="0" w:space="0" w:color="auto"/>
          </w:divBdr>
          <w:divsChild>
            <w:div w:id="470252557">
              <w:marLeft w:val="0"/>
              <w:marRight w:val="0"/>
              <w:marTop w:val="0"/>
              <w:marBottom w:val="0"/>
              <w:divBdr>
                <w:top w:val="none" w:sz="0" w:space="0" w:color="auto"/>
                <w:left w:val="none" w:sz="0" w:space="0" w:color="auto"/>
                <w:bottom w:val="none" w:sz="0" w:space="0" w:color="auto"/>
                <w:right w:val="none" w:sz="0" w:space="0" w:color="auto"/>
              </w:divBdr>
              <w:divsChild>
                <w:div w:id="709958185">
                  <w:marLeft w:val="0"/>
                  <w:marRight w:val="0"/>
                  <w:marTop w:val="0"/>
                  <w:marBottom w:val="0"/>
                  <w:divBdr>
                    <w:top w:val="none" w:sz="0" w:space="0" w:color="auto"/>
                    <w:left w:val="none" w:sz="0" w:space="0" w:color="auto"/>
                    <w:bottom w:val="none" w:sz="0" w:space="0" w:color="auto"/>
                    <w:right w:val="none" w:sz="0" w:space="0" w:color="auto"/>
                  </w:divBdr>
                  <w:divsChild>
                    <w:div w:id="440413568">
                      <w:marLeft w:val="0"/>
                      <w:marRight w:val="0"/>
                      <w:marTop w:val="0"/>
                      <w:marBottom w:val="0"/>
                      <w:divBdr>
                        <w:top w:val="none" w:sz="0" w:space="0" w:color="auto"/>
                        <w:left w:val="none" w:sz="0" w:space="0" w:color="auto"/>
                        <w:bottom w:val="none" w:sz="0" w:space="0" w:color="auto"/>
                        <w:right w:val="none" w:sz="0" w:space="0" w:color="auto"/>
                      </w:divBdr>
                      <w:divsChild>
                        <w:div w:id="1689212948">
                          <w:marLeft w:val="0"/>
                          <w:marRight w:val="0"/>
                          <w:marTop w:val="0"/>
                          <w:marBottom w:val="0"/>
                          <w:divBdr>
                            <w:top w:val="none" w:sz="0" w:space="0" w:color="auto"/>
                            <w:left w:val="none" w:sz="0" w:space="0" w:color="auto"/>
                            <w:bottom w:val="none" w:sz="0" w:space="0" w:color="auto"/>
                            <w:right w:val="none" w:sz="0" w:space="0" w:color="auto"/>
                          </w:divBdr>
                          <w:divsChild>
                            <w:div w:id="1468164269">
                              <w:marLeft w:val="0"/>
                              <w:marRight w:val="0"/>
                              <w:marTop w:val="0"/>
                              <w:marBottom w:val="0"/>
                              <w:divBdr>
                                <w:top w:val="none" w:sz="0" w:space="0" w:color="auto"/>
                                <w:left w:val="none" w:sz="0" w:space="0" w:color="auto"/>
                                <w:bottom w:val="none" w:sz="0" w:space="0" w:color="auto"/>
                                <w:right w:val="none" w:sz="0" w:space="0" w:color="auto"/>
                              </w:divBdr>
                              <w:divsChild>
                                <w:div w:id="2106269123">
                                  <w:marLeft w:val="0"/>
                                  <w:marRight w:val="0"/>
                                  <w:marTop w:val="0"/>
                                  <w:marBottom w:val="0"/>
                                  <w:divBdr>
                                    <w:top w:val="none" w:sz="0" w:space="0" w:color="auto"/>
                                    <w:left w:val="none" w:sz="0" w:space="0" w:color="auto"/>
                                    <w:bottom w:val="none" w:sz="0" w:space="0" w:color="auto"/>
                                    <w:right w:val="none" w:sz="0" w:space="0" w:color="auto"/>
                                  </w:divBdr>
                                  <w:divsChild>
                                    <w:div w:id="910771251">
                                      <w:marLeft w:val="0"/>
                                      <w:marRight w:val="0"/>
                                      <w:marTop w:val="0"/>
                                      <w:marBottom w:val="0"/>
                                      <w:divBdr>
                                        <w:top w:val="none" w:sz="0" w:space="0" w:color="auto"/>
                                        <w:left w:val="none" w:sz="0" w:space="0" w:color="auto"/>
                                        <w:bottom w:val="none" w:sz="0" w:space="0" w:color="auto"/>
                                        <w:right w:val="none" w:sz="0" w:space="0" w:color="auto"/>
                                      </w:divBdr>
                                      <w:divsChild>
                                        <w:div w:id="87775670">
                                          <w:marLeft w:val="0"/>
                                          <w:marRight w:val="0"/>
                                          <w:marTop w:val="0"/>
                                          <w:marBottom w:val="0"/>
                                          <w:divBdr>
                                            <w:top w:val="none" w:sz="0" w:space="0" w:color="auto"/>
                                            <w:left w:val="none" w:sz="0" w:space="0" w:color="auto"/>
                                            <w:bottom w:val="none" w:sz="0" w:space="0" w:color="auto"/>
                                            <w:right w:val="none" w:sz="0" w:space="0" w:color="auto"/>
                                          </w:divBdr>
                                          <w:divsChild>
                                            <w:div w:id="152263863">
                                              <w:marLeft w:val="0"/>
                                              <w:marRight w:val="0"/>
                                              <w:marTop w:val="0"/>
                                              <w:marBottom w:val="0"/>
                                              <w:divBdr>
                                                <w:top w:val="none" w:sz="0" w:space="0" w:color="auto"/>
                                                <w:left w:val="none" w:sz="0" w:space="0" w:color="auto"/>
                                                <w:bottom w:val="none" w:sz="0" w:space="0" w:color="auto"/>
                                                <w:right w:val="none" w:sz="0" w:space="0" w:color="auto"/>
                                              </w:divBdr>
                                              <w:divsChild>
                                                <w:div w:id="1051726990">
                                                  <w:marLeft w:val="0"/>
                                                  <w:marRight w:val="0"/>
                                                  <w:marTop w:val="0"/>
                                                  <w:marBottom w:val="0"/>
                                                  <w:divBdr>
                                                    <w:top w:val="none" w:sz="0" w:space="0" w:color="auto"/>
                                                    <w:left w:val="none" w:sz="0" w:space="0" w:color="auto"/>
                                                    <w:bottom w:val="none" w:sz="0" w:space="0" w:color="auto"/>
                                                    <w:right w:val="none" w:sz="0" w:space="0" w:color="auto"/>
                                                  </w:divBdr>
                                                  <w:divsChild>
                                                    <w:div w:id="1188566923">
                                                      <w:marLeft w:val="0"/>
                                                      <w:marRight w:val="0"/>
                                                      <w:marTop w:val="0"/>
                                                      <w:marBottom w:val="0"/>
                                                      <w:divBdr>
                                                        <w:top w:val="none" w:sz="0" w:space="0" w:color="auto"/>
                                                        <w:left w:val="none" w:sz="0" w:space="0" w:color="auto"/>
                                                        <w:bottom w:val="none" w:sz="0" w:space="0" w:color="auto"/>
                                                        <w:right w:val="none" w:sz="0" w:space="0" w:color="auto"/>
                                                      </w:divBdr>
                                                      <w:divsChild>
                                                        <w:div w:id="278882486">
                                                          <w:marLeft w:val="0"/>
                                                          <w:marRight w:val="0"/>
                                                          <w:marTop w:val="0"/>
                                                          <w:marBottom w:val="0"/>
                                                          <w:divBdr>
                                                            <w:top w:val="none" w:sz="0" w:space="0" w:color="auto"/>
                                                            <w:left w:val="none" w:sz="0" w:space="0" w:color="auto"/>
                                                            <w:bottom w:val="none" w:sz="0" w:space="0" w:color="auto"/>
                                                            <w:right w:val="none" w:sz="0" w:space="0" w:color="auto"/>
                                                          </w:divBdr>
                                                          <w:divsChild>
                                                            <w:div w:id="6956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587381">
      <w:bodyDiv w:val="1"/>
      <w:marLeft w:val="0"/>
      <w:marRight w:val="0"/>
      <w:marTop w:val="0"/>
      <w:marBottom w:val="0"/>
      <w:divBdr>
        <w:top w:val="none" w:sz="0" w:space="0" w:color="auto"/>
        <w:left w:val="none" w:sz="0" w:space="0" w:color="auto"/>
        <w:bottom w:val="none" w:sz="0" w:space="0" w:color="auto"/>
        <w:right w:val="none" w:sz="0" w:space="0" w:color="auto"/>
      </w:divBdr>
    </w:div>
    <w:div w:id="777217429">
      <w:bodyDiv w:val="1"/>
      <w:marLeft w:val="0"/>
      <w:marRight w:val="0"/>
      <w:marTop w:val="0"/>
      <w:marBottom w:val="0"/>
      <w:divBdr>
        <w:top w:val="none" w:sz="0" w:space="0" w:color="auto"/>
        <w:left w:val="none" w:sz="0" w:space="0" w:color="auto"/>
        <w:bottom w:val="none" w:sz="0" w:space="0" w:color="auto"/>
        <w:right w:val="none" w:sz="0" w:space="0" w:color="auto"/>
      </w:divBdr>
    </w:div>
    <w:div w:id="814182005">
      <w:bodyDiv w:val="1"/>
      <w:marLeft w:val="0"/>
      <w:marRight w:val="0"/>
      <w:marTop w:val="0"/>
      <w:marBottom w:val="0"/>
      <w:divBdr>
        <w:top w:val="none" w:sz="0" w:space="0" w:color="auto"/>
        <w:left w:val="none" w:sz="0" w:space="0" w:color="auto"/>
        <w:bottom w:val="none" w:sz="0" w:space="0" w:color="auto"/>
        <w:right w:val="none" w:sz="0" w:space="0" w:color="auto"/>
      </w:divBdr>
    </w:div>
    <w:div w:id="820195271">
      <w:bodyDiv w:val="1"/>
      <w:marLeft w:val="0"/>
      <w:marRight w:val="0"/>
      <w:marTop w:val="0"/>
      <w:marBottom w:val="0"/>
      <w:divBdr>
        <w:top w:val="none" w:sz="0" w:space="0" w:color="auto"/>
        <w:left w:val="none" w:sz="0" w:space="0" w:color="auto"/>
        <w:bottom w:val="none" w:sz="0" w:space="0" w:color="auto"/>
        <w:right w:val="none" w:sz="0" w:space="0" w:color="auto"/>
      </w:divBdr>
    </w:div>
    <w:div w:id="822739050">
      <w:bodyDiv w:val="1"/>
      <w:marLeft w:val="0"/>
      <w:marRight w:val="0"/>
      <w:marTop w:val="0"/>
      <w:marBottom w:val="0"/>
      <w:divBdr>
        <w:top w:val="none" w:sz="0" w:space="0" w:color="auto"/>
        <w:left w:val="none" w:sz="0" w:space="0" w:color="auto"/>
        <w:bottom w:val="none" w:sz="0" w:space="0" w:color="auto"/>
        <w:right w:val="none" w:sz="0" w:space="0" w:color="auto"/>
      </w:divBdr>
    </w:div>
    <w:div w:id="846096452">
      <w:bodyDiv w:val="1"/>
      <w:marLeft w:val="0"/>
      <w:marRight w:val="0"/>
      <w:marTop w:val="0"/>
      <w:marBottom w:val="0"/>
      <w:divBdr>
        <w:top w:val="none" w:sz="0" w:space="0" w:color="auto"/>
        <w:left w:val="none" w:sz="0" w:space="0" w:color="auto"/>
        <w:bottom w:val="none" w:sz="0" w:space="0" w:color="auto"/>
        <w:right w:val="none" w:sz="0" w:space="0" w:color="auto"/>
      </w:divBdr>
    </w:div>
    <w:div w:id="851340073">
      <w:bodyDiv w:val="1"/>
      <w:marLeft w:val="0"/>
      <w:marRight w:val="0"/>
      <w:marTop w:val="0"/>
      <w:marBottom w:val="0"/>
      <w:divBdr>
        <w:top w:val="none" w:sz="0" w:space="0" w:color="auto"/>
        <w:left w:val="none" w:sz="0" w:space="0" w:color="auto"/>
        <w:bottom w:val="none" w:sz="0" w:space="0" w:color="auto"/>
        <w:right w:val="none" w:sz="0" w:space="0" w:color="auto"/>
      </w:divBdr>
    </w:div>
    <w:div w:id="851802486">
      <w:bodyDiv w:val="1"/>
      <w:marLeft w:val="0"/>
      <w:marRight w:val="0"/>
      <w:marTop w:val="0"/>
      <w:marBottom w:val="0"/>
      <w:divBdr>
        <w:top w:val="none" w:sz="0" w:space="0" w:color="auto"/>
        <w:left w:val="none" w:sz="0" w:space="0" w:color="auto"/>
        <w:bottom w:val="none" w:sz="0" w:space="0" w:color="auto"/>
        <w:right w:val="none" w:sz="0" w:space="0" w:color="auto"/>
      </w:divBdr>
    </w:div>
    <w:div w:id="932469087">
      <w:bodyDiv w:val="1"/>
      <w:marLeft w:val="0"/>
      <w:marRight w:val="0"/>
      <w:marTop w:val="0"/>
      <w:marBottom w:val="0"/>
      <w:divBdr>
        <w:top w:val="none" w:sz="0" w:space="0" w:color="auto"/>
        <w:left w:val="none" w:sz="0" w:space="0" w:color="auto"/>
        <w:bottom w:val="none" w:sz="0" w:space="0" w:color="auto"/>
        <w:right w:val="none" w:sz="0" w:space="0" w:color="auto"/>
      </w:divBdr>
    </w:div>
    <w:div w:id="944848796">
      <w:bodyDiv w:val="1"/>
      <w:marLeft w:val="0"/>
      <w:marRight w:val="0"/>
      <w:marTop w:val="0"/>
      <w:marBottom w:val="0"/>
      <w:divBdr>
        <w:top w:val="none" w:sz="0" w:space="0" w:color="auto"/>
        <w:left w:val="none" w:sz="0" w:space="0" w:color="auto"/>
        <w:bottom w:val="none" w:sz="0" w:space="0" w:color="auto"/>
        <w:right w:val="none" w:sz="0" w:space="0" w:color="auto"/>
      </w:divBdr>
    </w:div>
    <w:div w:id="950627033">
      <w:bodyDiv w:val="1"/>
      <w:marLeft w:val="0"/>
      <w:marRight w:val="0"/>
      <w:marTop w:val="0"/>
      <w:marBottom w:val="0"/>
      <w:divBdr>
        <w:top w:val="none" w:sz="0" w:space="0" w:color="auto"/>
        <w:left w:val="none" w:sz="0" w:space="0" w:color="auto"/>
        <w:bottom w:val="none" w:sz="0" w:space="0" w:color="auto"/>
        <w:right w:val="none" w:sz="0" w:space="0" w:color="auto"/>
      </w:divBdr>
    </w:div>
    <w:div w:id="958954692">
      <w:bodyDiv w:val="1"/>
      <w:marLeft w:val="0"/>
      <w:marRight w:val="0"/>
      <w:marTop w:val="0"/>
      <w:marBottom w:val="0"/>
      <w:divBdr>
        <w:top w:val="none" w:sz="0" w:space="0" w:color="auto"/>
        <w:left w:val="none" w:sz="0" w:space="0" w:color="auto"/>
        <w:bottom w:val="none" w:sz="0" w:space="0" w:color="auto"/>
        <w:right w:val="none" w:sz="0" w:space="0" w:color="auto"/>
      </w:divBdr>
      <w:divsChild>
        <w:div w:id="456024839">
          <w:marLeft w:val="0"/>
          <w:marRight w:val="0"/>
          <w:marTop w:val="0"/>
          <w:marBottom w:val="0"/>
          <w:divBdr>
            <w:top w:val="none" w:sz="0" w:space="0" w:color="auto"/>
            <w:left w:val="none" w:sz="0" w:space="0" w:color="auto"/>
            <w:bottom w:val="none" w:sz="0" w:space="0" w:color="auto"/>
            <w:right w:val="none" w:sz="0" w:space="0" w:color="auto"/>
          </w:divBdr>
          <w:divsChild>
            <w:div w:id="813180518">
              <w:marLeft w:val="0"/>
              <w:marRight w:val="0"/>
              <w:marTop w:val="0"/>
              <w:marBottom w:val="0"/>
              <w:divBdr>
                <w:top w:val="none" w:sz="0" w:space="0" w:color="auto"/>
                <w:left w:val="none" w:sz="0" w:space="0" w:color="auto"/>
                <w:bottom w:val="none" w:sz="0" w:space="0" w:color="auto"/>
                <w:right w:val="none" w:sz="0" w:space="0" w:color="auto"/>
              </w:divBdr>
              <w:divsChild>
                <w:div w:id="462772842">
                  <w:marLeft w:val="0"/>
                  <w:marRight w:val="0"/>
                  <w:marTop w:val="0"/>
                  <w:marBottom w:val="0"/>
                  <w:divBdr>
                    <w:top w:val="none" w:sz="0" w:space="0" w:color="auto"/>
                    <w:left w:val="none" w:sz="0" w:space="0" w:color="auto"/>
                    <w:bottom w:val="none" w:sz="0" w:space="0" w:color="auto"/>
                    <w:right w:val="none" w:sz="0" w:space="0" w:color="auto"/>
                  </w:divBdr>
                  <w:divsChild>
                    <w:div w:id="314725566">
                      <w:marLeft w:val="0"/>
                      <w:marRight w:val="0"/>
                      <w:marTop w:val="0"/>
                      <w:marBottom w:val="0"/>
                      <w:divBdr>
                        <w:top w:val="none" w:sz="0" w:space="0" w:color="auto"/>
                        <w:left w:val="none" w:sz="0" w:space="0" w:color="auto"/>
                        <w:bottom w:val="none" w:sz="0" w:space="0" w:color="auto"/>
                        <w:right w:val="none" w:sz="0" w:space="0" w:color="auto"/>
                      </w:divBdr>
                      <w:divsChild>
                        <w:div w:id="1281916610">
                          <w:marLeft w:val="0"/>
                          <w:marRight w:val="0"/>
                          <w:marTop w:val="0"/>
                          <w:marBottom w:val="0"/>
                          <w:divBdr>
                            <w:top w:val="none" w:sz="0" w:space="0" w:color="auto"/>
                            <w:left w:val="none" w:sz="0" w:space="0" w:color="auto"/>
                            <w:bottom w:val="none" w:sz="0" w:space="0" w:color="auto"/>
                            <w:right w:val="none" w:sz="0" w:space="0" w:color="auto"/>
                          </w:divBdr>
                          <w:divsChild>
                            <w:div w:id="1021588676">
                              <w:marLeft w:val="0"/>
                              <w:marRight w:val="0"/>
                              <w:marTop w:val="0"/>
                              <w:marBottom w:val="0"/>
                              <w:divBdr>
                                <w:top w:val="none" w:sz="0" w:space="0" w:color="auto"/>
                                <w:left w:val="none" w:sz="0" w:space="0" w:color="auto"/>
                                <w:bottom w:val="none" w:sz="0" w:space="0" w:color="auto"/>
                                <w:right w:val="none" w:sz="0" w:space="0" w:color="auto"/>
                              </w:divBdr>
                              <w:divsChild>
                                <w:div w:id="713039318">
                                  <w:marLeft w:val="0"/>
                                  <w:marRight w:val="0"/>
                                  <w:marTop w:val="0"/>
                                  <w:marBottom w:val="0"/>
                                  <w:divBdr>
                                    <w:top w:val="none" w:sz="0" w:space="0" w:color="auto"/>
                                    <w:left w:val="none" w:sz="0" w:space="0" w:color="auto"/>
                                    <w:bottom w:val="none" w:sz="0" w:space="0" w:color="auto"/>
                                    <w:right w:val="none" w:sz="0" w:space="0" w:color="auto"/>
                                  </w:divBdr>
                                  <w:divsChild>
                                    <w:div w:id="1081373268">
                                      <w:marLeft w:val="0"/>
                                      <w:marRight w:val="0"/>
                                      <w:marTop w:val="0"/>
                                      <w:marBottom w:val="0"/>
                                      <w:divBdr>
                                        <w:top w:val="none" w:sz="0" w:space="0" w:color="auto"/>
                                        <w:left w:val="none" w:sz="0" w:space="0" w:color="auto"/>
                                        <w:bottom w:val="none" w:sz="0" w:space="0" w:color="auto"/>
                                        <w:right w:val="none" w:sz="0" w:space="0" w:color="auto"/>
                                      </w:divBdr>
                                      <w:divsChild>
                                        <w:div w:id="1321614178">
                                          <w:marLeft w:val="0"/>
                                          <w:marRight w:val="0"/>
                                          <w:marTop w:val="0"/>
                                          <w:marBottom w:val="0"/>
                                          <w:divBdr>
                                            <w:top w:val="none" w:sz="0" w:space="0" w:color="auto"/>
                                            <w:left w:val="none" w:sz="0" w:space="0" w:color="auto"/>
                                            <w:bottom w:val="none" w:sz="0" w:space="0" w:color="auto"/>
                                            <w:right w:val="none" w:sz="0" w:space="0" w:color="auto"/>
                                          </w:divBdr>
                                          <w:divsChild>
                                            <w:div w:id="1597907242">
                                              <w:marLeft w:val="0"/>
                                              <w:marRight w:val="0"/>
                                              <w:marTop w:val="0"/>
                                              <w:marBottom w:val="0"/>
                                              <w:divBdr>
                                                <w:top w:val="none" w:sz="0" w:space="0" w:color="auto"/>
                                                <w:left w:val="none" w:sz="0" w:space="0" w:color="auto"/>
                                                <w:bottom w:val="none" w:sz="0" w:space="0" w:color="auto"/>
                                                <w:right w:val="none" w:sz="0" w:space="0" w:color="auto"/>
                                              </w:divBdr>
                                              <w:divsChild>
                                                <w:div w:id="1545750188">
                                                  <w:marLeft w:val="0"/>
                                                  <w:marRight w:val="0"/>
                                                  <w:marTop w:val="0"/>
                                                  <w:marBottom w:val="0"/>
                                                  <w:divBdr>
                                                    <w:top w:val="none" w:sz="0" w:space="0" w:color="auto"/>
                                                    <w:left w:val="none" w:sz="0" w:space="0" w:color="auto"/>
                                                    <w:bottom w:val="none" w:sz="0" w:space="0" w:color="auto"/>
                                                    <w:right w:val="none" w:sz="0" w:space="0" w:color="auto"/>
                                                  </w:divBdr>
                                                  <w:divsChild>
                                                    <w:div w:id="487749085">
                                                      <w:marLeft w:val="0"/>
                                                      <w:marRight w:val="0"/>
                                                      <w:marTop w:val="0"/>
                                                      <w:marBottom w:val="0"/>
                                                      <w:divBdr>
                                                        <w:top w:val="none" w:sz="0" w:space="0" w:color="auto"/>
                                                        <w:left w:val="none" w:sz="0" w:space="0" w:color="auto"/>
                                                        <w:bottom w:val="none" w:sz="0" w:space="0" w:color="auto"/>
                                                        <w:right w:val="none" w:sz="0" w:space="0" w:color="auto"/>
                                                      </w:divBdr>
                                                      <w:divsChild>
                                                        <w:div w:id="644432931">
                                                          <w:marLeft w:val="0"/>
                                                          <w:marRight w:val="0"/>
                                                          <w:marTop w:val="0"/>
                                                          <w:marBottom w:val="0"/>
                                                          <w:divBdr>
                                                            <w:top w:val="none" w:sz="0" w:space="0" w:color="auto"/>
                                                            <w:left w:val="none" w:sz="0" w:space="0" w:color="auto"/>
                                                            <w:bottom w:val="none" w:sz="0" w:space="0" w:color="auto"/>
                                                            <w:right w:val="none" w:sz="0" w:space="0" w:color="auto"/>
                                                          </w:divBdr>
                                                          <w:divsChild>
                                                            <w:div w:id="7685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5142875">
      <w:bodyDiv w:val="1"/>
      <w:marLeft w:val="0"/>
      <w:marRight w:val="0"/>
      <w:marTop w:val="0"/>
      <w:marBottom w:val="0"/>
      <w:divBdr>
        <w:top w:val="none" w:sz="0" w:space="0" w:color="auto"/>
        <w:left w:val="none" w:sz="0" w:space="0" w:color="auto"/>
        <w:bottom w:val="none" w:sz="0" w:space="0" w:color="auto"/>
        <w:right w:val="none" w:sz="0" w:space="0" w:color="auto"/>
      </w:divBdr>
    </w:div>
    <w:div w:id="975333003">
      <w:bodyDiv w:val="1"/>
      <w:marLeft w:val="0"/>
      <w:marRight w:val="0"/>
      <w:marTop w:val="0"/>
      <w:marBottom w:val="0"/>
      <w:divBdr>
        <w:top w:val="none" w:sz="0" w:space="0" w:color="auto"/>
        <w:left w:val="none" w:sz="0" w:space="0" w:color="auto"/>
        <w:bottom w:val="none" w:sz="0" w:space="0" w:color="auto"/>
        <w:right w:val="none" w:sz="0" w:space="0" w:color="auto"/>
      </w:divBdr>
    </w:div>
    <w:div w:id="978191352">
      <w:bodyDiv w:val="1"/>
      <w:marLeft w:val="0"/>
      <w:marRight w:val="0"/>
      <w:marTop w:val="0"/>
      <w:marBottom w:val="0"/>
      <w:divBdr>
        <w:top w:val="none" w:sz="0" w:space="0" w:color="auto"/>
        <w:left w:val="none" w:sz="0" w:space="0" w:color="auto"/>
        <w:bottom w:val="none" w:sz="0" w:space="0" w:color="auto"/>
        <w:right w:val="none" w:sz="0" w:space="0" w:color="auto"/>
      </w:divBdr>
    </w:div>
    <w:div w:id="984165151">
      <w:bodyDiv w:val="1"/>
      <w:marLeft w:val="0"/>
      <w:marRight w:val="0"/>
      <w:marTop w:val="0"/>
      <w:marBottom w:val="0"/>
      <w:divBdr>
        <w:top w:val="none" w:sz="0" w:space="0" w:color="auto"/>
        <w:left w:val="none" w:sz="0" w:space="0" w:color="auto"/>
        <w:bottom w:val="none" w:sz="0" w:space="0" w:color="auto"/>
        <w:right w:val="none" w:sz="0" w:space="0" w:color="auto"/>
      </w:divBdr>
    </w:div>
    <w:div w:id="990717790">
      <w:bodyDiv w:val="1"/>
      <w:marLeft w:val="0"/>
      <w:marRight w:val="0"/>
      <w:marTop w:val="0"/>
      <w:marBottom w:val="0"/>
      <w:divBdr>
        <w:top w:val="none" w:sz="0" w:space="0" w:color="auto"/>
        <w:left w:val="none" w:sz="0" w:space="0" w:color="auto"/>
        <w:bottom w:val="none" w:sz="0" w:space="0" w:color="auto"/>
        <w:right w:val="none" w:sz="0" w:space="0" w:color="auto"/>
      </w:divBdr>
    </w:div>
    <w:div w:id="998533941">
      <w:bodyDiv w:val="1"/>
      <w:marLeft w:val="0"/>
      <w:marRight w:val="0"/>
      <w:marTop w:val="0"/>
      <w:marBottom w:val="0"/>
      <w:divBdr>
        <w:top w:val="none" w:sz="0" w:space="0" w:color="auto"/>
        <w:left w:val="none" w:sz="0" w:space="0" w:color="auto"/>
        <w:bottom w:val="none" w:sz="0" w:space="0" w:color="auto"/>
        <w:right w:val="none" w:sz="0" w:space="0" w:color="auto"/>
      </w:divBdr>
    </w:div>
    <w:div w:id="1038167414">
      <w:bodyDiv w:val="1"/>
      <w:marLeft w:val="0"/>
      <w:marRight w:val="0"/>
      <w:marTop w:val="0"/>
      <w:marBottom w:val="0"/>
      <w:divBdr>
        <w:top w:val="none" w:sz="0" w:space="0" w:color="auto"/>
        <w:left w:val="none" w:sz="0" w:space="0" w:color="auto"/>
        <w:bottom w:val="none" w:sz="0" w:space="0" w:color="auto"/>
        <w:right w:val="none" w:sz="0" w:space="0" w:color="auto"/>
      </w:divBdr>
    </w:div>
    <w:div w:id="1079063251">
      <w:bodyDiv w:val="1"/>
      <w:marLeft w:val="0"/>
      <w:marRight w:val="0"/>
      <w:marTop w:val="0"/>
      <w:marBottom w:val="0"/>
      <w:divBdr>
        <w:top w:val="none" w:sz="0" w:space="0" w:color="auto"/>
        <w:left w:val="none" w:sz="0" w:space="0" w:color="auto"/>
        <w:bottom w:val="none" w:sz="0" w:space="0" w:color="auto"/>
        <w:right w:val="none" w:sz="0" w:space="0" w:color="auto"/>
      </w:divBdr>
    </w:div>
    <w:div w:id="1095588924">
      <w:bodyDiv w:val="1"/>
      <w:marLeft w:val="0"/>
      <w:marRight w:val="0"/>
      <w:marTop w:val="0"/>
      <w:marBottom w:val="0"/>
      <w:divBdr>
        <w:top w:val="none" w:sz="0" w:space="0" w:color="auto"/>
        <w:left w:val="none" w:sz="0" w:space="0" w:color="auto"/>
        <w:bottom w:val="none" w:sz="0" w:space="0" w:color="auto"/>
        <w:right w:val="none" w:sz="0" w:space="0" w:color="auto"/>
      </w:divBdr>
    </w:div>
    <w:div w:id="1118767198">
      <w:bodyDiv w:val="1"/>
      <w:marLeft w:val="0"/>
      <w:marRight w:val="0"/>
      <w:marTop w:val="0"/>
      <w:marBottom w:val="0"/>
      <w:divBdr>
        <w:top w:val="none" w:sz="0" w:space="0" w:color="auto"/>
        <w:left w:val="none" w:sz="0" w:space="0" w:color="auto"/>
        <w:bottom w:val="none" w:sz="0" w:space="0" w:color="auto"/>
        <w:right w:val="none" w:sz="0" w:space="0" w:color="auto"/>
      </w:divBdr>
    </w:div>
    <w:div w:id="1122458797">
      <w:bodyDiv w:val="1"/>
      <w:marLeft w:val="0"/>
      <w:marRight w:val="0"/>
      <w:marTop w:val="0"/>
      <w:marBottom w:val="0"/>
      <w:divBdr>
        <w:top w:val="none" w:sz="0" w:space="0" w:color="auto"/>
        <w:left w:val="none" w:sz="0" w:space="0" w:color="auto"/>
        <w:bottom w:val="none" w:sz="0" w:space="0" w:color="auto"/>
        <w:right w:val="none" w:sz="0" w:space="0" w:color="auto"/>
      </w:divBdr>
    </w:div>
    <w:div w:id="1134101171">
      <w:bodyDiv w:val="1"/>
      <w:marLeft w:val="0"/>
      <w:marRight w:val="0"/>
      <w:marTop w:val="0"/>
      <w:marBottom w:val="0"/>
      <w:divBdr>
        <w:top w:val="none" w:sz="0" w:space="0" w:color="auto"/>
        <w:left w:val="none" w:sz="0" w:space="0" w:color="auto"/>
        <w:bottom w:val="none" w:sz="0" w:space="0" w:color="auto"/>
        <w:right w:val="none" w:sz="0" w:space="0" w:color="auto"/>
      </w:divBdr>
    </w:div>
    <w:div w:id="1161579814">
      <w:bodyDiv w:val="1"/>
      <w:marLeft w:val="0"/>
      <w:marRight w:val="0"/>
      <w:marTop w:val="0"/>
      <w:marBottom w:val="0"/>
      <w:divBdr>
        <w:top w:val="none" w:sz="0" w:space="0" w:color="auto"/>
        <w:left w:val="none" w:sz="0" w:space="0" w:color="auto"/>
        <w:bottom w:val="none" w:sz="0" w:space="0" w:color="auto"/>
        <w:right w:val="none" w:sz="0" w:space="0" w:color="auto"/>
      </w:divBdr>
    </w:div>
    <w:div w:id="1171606437">
      <w:bodyDiv w:val="1"/>
      <w:marLeft w:val="0"/>
      <w:marRight w:val="0"/>
      <w:marTop w:val="0"/>
      <w:marBottom w:val="0"/>
      <w:divBdr>
        <w:top w:val="none" w:sz="0" w:space="0" w:color="auto"/>
        <w:left w:val="none" w:sz="0" w:space="0" w:color="auto"/>
        <w:bottom w:val="none" w:sz="0" w:space="0" w:color="auto"/>
        <w:right w:val="none" w:sz="0" w:space="0" w:color="auto"/>
      </w:divBdr>
    </w:div>
    <w:div w:id="1183667608">
      <w:bodyDiv w:val="1"/>
      <w:marLeft w:val="0"/>
      <w:marRight w:val="0"/>
      <w:marTop w:val="0"/>
      <w:marBottom w:val="0"/>
      <w:divBdr>
        <w:top w:val="none" w:sz="0" w:space="0" w:color="auto"/>
        <w:left w:val="none" w:sz="0" w:space="0" w:color="auto"/>
        <w:bottom w:val="none" w:sz="0" w:space="0" w:color="auto"/>
        <w:right w:val="none" w:sz="0" w:space="0" w:color="auto"/>
      </w:divBdr>
    </w:div>
    <w:div w:id="1192188262">
      <w:bodyDiv w:val="1"/>
      <w:marLeft w:val="0"/>
      <w:marRight w:val="0"/>
      <w:marTop w:val="0"/>
      <w:marBottom w:val="0"/>
      <w:divBdr>
        <w:top w:val="none" w:sz="0" w:space="0" w:color="auto"/>
        <w:left w:val="none" w:sz="0" w:space="0" w:color="auto"/>
        <w:bottom w:val="none" w:sz="0" w:space="0" w:color="auto"/>
        <w:right w:val="none" w:sz="0" w:space="0" w:color="auto"/>
      </w:divBdr>
    </w:div>
    <w:div w:id="1217355550">
      <w:bodyDiv w:val="1"/>
      <w:marLeft w:val="0"/>
      <w:marRight w:val="0"/>
      <w:marTop w:val="0"/>
      <w:marBottom w:val="0"/>
      <w:divBdr>
        <w:top w:val="none" w:sz="0" w:space="0" w:color="auto"/>
        <w:left w:val="none" w:sz="0" w:space="0" w:color="auto"/>
        <w:bottom w:val="none" w:sz="0" w:space="0" w:color="auto"/>
        <w:right w:val="none" w:sz="0" w:space="0" w:color="auto"/>
      </w:divBdr>
    </w:div>
    <w:div w:id="1222055395">
      <w:bodyDiv w:val="1"/>
      <w:marLeft w:val="0"/>
      <w:marRight w:val="0"/>
      <w:marTop w:val="0"/>
      <w:marBottom w:val="0"/>
      <w:divBdr>
        <w:top w:val="none" w:sz="0" w:space="0" w:color="auto"/>
        <w:left w:val="none" w:sz="0" w:space="0" w:color="auto"/>
        <w:bottom w:val="none" w:sz="0" w:space="0" w:color="auto"/>
        <w:right w:val="none" w:sz="0" w:space="0" w:color="auto"/>
      </w:divBdr>
    </w:div>
    <w:div w:id="1240290864">
      <w:bodyDiv w:val="1"/>
      <w:marLeft w:val="0"/>
      <w:marRight w:val="0"/>
      <w:marTop w:val="0"/>
      <w:marBottom w:val="0"/>
      <w:divBdr>
        <w:top w:val="none" w:sz="0" w:space="0" w:color="auto"/>
        <w:left w:val="none" w:sz="0" w:space="0" w:color="auto"/>
        <w:bottom w:val="none" w:sz="0" w:space="0" w:color="auto"/>
        <w:right w:val="none" w:sz="0" w:space="0" w:color="auto"/>
      </w:divBdr>
    </w:div>
    <w:div w:id="1277324734">
      <w:bodyDiv w:val="1"/>
      <w:marLeft w:val="0"/>
      <w:marRight w:val="0"/>
      <w:marTop w:val="0"/>
      <w:marBottom w:val="0"/>
      <w:divBdr>
        <w:top w:val="none" w:sz="0" w:space="0" w:color="auto"/>
        <w:left w:val="none" w:sz="0" w:space="0" w:color="auto"/>
        <w:bottom w:val="none" w:sz="0" w:space="0" w:color="auto"/>
        <w:right w:val="none" w:sz="0" w:space="0" w:color="auto"/>
      </w:divBdr>
    </w:div>
    <w:div w:id="1292636592">
      <w:bodyDiv w:val="1"/>
      <w:marLeft w:val="0"/>
      <w:marRight w:val="0"/>
      <w:marTop w:val="0"/>
      <w:marBottom w:val="0"/>
      <w:divBdr>
        <w:top w:val="none" w:sz="0" w:space="0" w:color="auto"/>
        <w:left w:val="none" w:sz="0" w:space="0" w:color="auto"/>
        <w:bottom w:val="none" w:sz="0" w:space="0" w:color="auto"/>
        <w:right w:val="none" w:sz="0" w:space="0" w:color="auto"/>
      </w:divBdr>
    </w:div>
    <w:div w:id="1341079871">
      <w:bodyDiv w:val="1"/>
      <w:marLeft w:val="0"/>
      <w:marRight w:val="0"/>
      <w:marTop w:val="0"/>
      <w:marBottom w:val="0"/>
      <w:divBdr>
        <w:top w:val="none" w:sz="0" w:space="0" w:color="auto"/>
        <w:left w:val="none" w:sz="0" w:space="0" w:color="auto"/>
        <w:bottom w:val="none" w:sz="0" w:space="0" w:color="auto"/>
        <w:right w:val="none" w:sz="0" w:space="0" w:color="auto"/>
      </w:divBdr>
    </w:div>
    <w:div w:id="1384400393">
      <w:bodyDiv w:val="1"/>
      <w:marLeft w:val="0"/>
      <w:marRight w:val="0"/>
      <w:marTop w:val="0"/>
      <w:marBottom w:val="0"/>
      <w:divBdr>
        <w:top w:val="none" w:sz="0" w:space="0" w:color="auto"/>
        <w:left w:val="none" w:sz="0" w:space="0" w:color="auto"/>
        <w:bottom w:val="none" w:sz="0" w:space="0" w:color="auto"/>
        <w:right w:val="none" w:sz="0" w:space="0" w:color="auto"/>
      </w:divBdr>
    </w:div>
    <w:div w:id="1403061876">
      <w:bodyDiv w:val="1"/>
      <w:marLeft w:val="0"/>
      <w:marRight w:val="0"/>
      <w:marTop w:val="0"/>
      <w:marBottom w:val="0"/>
      <w:divBdr>
        <w:top w:val="none" w:sz="0" w:space="0" w:color="auto"/>
        <w:left w:val="none" w:sz="0" w:space="0" w:color="auto"/>
        <w:bottom w:val="none" w:sz="0" w:space="0" w:color="auto"/>
        <w:right w:val="none" w:sz="0" w:space="0" w:color="auto"/>
      </w:divBdr>
    </w:div>
    <w:div w:id="1414203463">
      <w:bodyDiv w:val="1"/>
      <w:marLeft w:val="0"/>
      <w:marRight w:val="0"/>
      <w:marTop w:val="0"/>
      <w:marBottom w:val="0"/>
      <w:divBdr>
        <w:top w:val="none" w:sz="0" w:space="0" w:color="auto"/>
        <w:left w:val="none" w:sz="0" w:space="0" w:color="auto"/>
        <w:bottom w:val="none" w:sz="0" w:space="0" w:color="auto"/>
        <w:right w:val="none" w:sz="0" w:space="0" w:color="auto"/>
      </w:divBdr>
    </w:div>
    <w:div w:id="1418596333">
      <w:bodyDiv w:val="1"/>
      <w:marLeft w:val="0"/>
      <w:marRight w:val="0"/>
      <w:marTop w:val="0"/>
      <w:marBottom w:val="0"/>
      <w:divBdr>
        <w:top w:val="none" w:sz="0" w:space="0" w:color="auto"/>
        <w:left w:val="none" w:sz="0" w:space="0" w:color="auto"/>
        <w:bottom w:val="none" w:sz="0" w:space="0" w:color="auto"/>
        <w:right w:val="none" w:sz="0" w:space="0" w:color="auto"/>
      </w:divBdr>
    </w:div>
    <w:div w:id="1431731345">
      <w:bodyDiv w:val="1"/>
      <w:marLeft w:val="0"/>
      <w:marRight w:val="0"/>
      <w:marTop w:val="0"/>
      <w:marBottom w:val="0"/>
      <w:divBdr>
        <w:top w:val="none" w:sz="0" w:space="0" w:color="auto"/>
        <w:left w:val="none" w:sz="0" w:space="0" w:color="auto"/>
        <w:bottom w:val="none" w:sz="0" w:space="0" w:color="auto"/>
        <w:right w:val="none" w:sz="0" w:space="0" w:color="auto"/>
      </w:divBdr>
      <w:divsChild>
        <w:div w:id="703167452">
          <w:marLeft w:val="0"/>
          <w:marRight w:val="0"/>
          <w:marTop w:val="0"/>
          <w:marBottom w:val="0"/>
          <w:divBdr>
            <w:top w:val="none" w:sz="0" w:space="0" w:color="auto"/>
            <w:left w:val="none" w:sz="0" w:space="0" w:color="auto"/>
            <w:bottom w:val="none" w:sz="0" w:space="0" w:color="auto"/>
            <w:right w:val="none" w:sz="0" w:space="0" w:color="auto"/>
          </w:divBdr>
          <w:divsChild>
            <w:div w:id="1722483039">
              <w:marLeft w:val="0"/>
              <w:marRight w:val="0"/>
              <w:marTop w:val="0"/>
              <w:marBottom w:val="0"/>
              <w:divBdr>
                <w:top w:val="none" w:sz="0" w:space="0" w:color="auto"/>
                <w:left w:val="none" w:sz="0" w:space="0" w:color="auto"/>
                <w:bottom w:val="none" w:sz="0" w:space="0" w:color="auto"/>
                <w:right w:val="none" w:sz="0" w:space="0" w:color="auto"/>
              </w:divBdr>
              <w:divsChild>
                <w:div w:id="286089245">
                  <w:marLeft w:val="0"/>
                  <w:marRight w:val="0"/>
                  <w:marTop w:val="0"/>
                  <w:marBottom w:val="0"/>
                  <w:divBdr>
                    <w:top w:val="none" w:sz="0" w:space="0" w:color="auto"/>
                    <w:left w:val="none" w:sz="0" w:space="0" w:color="auto"/>
                    <w:bottom w:val="none" w:sz="0" w:space="0" w:color="auto"/>
                    <w:right w:val="none" w:sz="0" w:space="0" w:color="auto"/>
                  </w:divBdr>
                  <w:divsChild>
                    <w:div w:id="626425622">
                      <w:marLeft w:val="0"/>
                      <w:marRight w:val="0"/>
                      <w:marTop w:val="0"/>
                      <w:marBottom w:val="0"/>
                      <w:divBdr>
                        <w:top w:val="none" w:sz="0" w:space="0" w:color="auto"/>
                        <w:left w:val="none" w:sz="0" w:space="0" w:color="auto"/>
                        <w:bottom w:val="none" w:sz="0" w:space="0" w:color="auto"/>
                        <w:right w:val="none" w:sz="0" w:space="0" w:color="auto"/>
                      </w:divBdr>
                      <w:divsChild>
                        <w:div w:id="893933565">
                          <w:marLeft w:val="0"/>
                          <w:marRight w:val="0"/>
                          <w:marTop w:val="0"/>
                          <w:marBottom w:val="0"/>
                          <w:divBdr>
                            <w:top w:val="none" w:sz="0" w:space="0" w:color="auto"/>
                            <w:left w:val="none" w:sz="0" w:space="0" w:color="auto"/>
                            <w:bottom w:val="none" w:sz="0" w:space="0" w:color="auto"/>
                            <w:right w:val="none" w:sz="0" w:space="0" w:color="auto"/>
                          </w:divBdr>
                          <w:divsChild>
                            <w:div w:id="262540313">
                              <w:marLeft w:val="0"/>
                              <w:marRight w:val="0"/>
                              <w:marTop w:val="0"/>
                              <w:marBottom w:val="0"/>
                              <w:divBdr>
                                <w:top w:val="none" w:sz="0" w:space="0" w:color="auto"/>
                                <w:left w:val="none" w:sz="0" w:space="0" w:color="auto"/>
                                <w:bottom w:val="none" w:sz="0" w:space="0" w:color="auto"/>
                                <w:right w:val="none" w:sz="0" w:space="0" w:color="auto"/>
                              </w:divBdr>
                              <w:divsChild>
                                <w:div w:id="1010257162">
                                  <w:marLeft w:val="0"/>
                                  <w:marRight w:val="0"/>
                                  <w:marTop w:val="0"/>
                                  <w:marBottom w:val="0"/>
                                  <w:divBdr>
                                    <w:top w:val="none" w:sz="0" w:space="0" w:color="auto"/>
                                    <w:left w:val="none" w:sz="0" w:space="0" w:color="auto"/>
                                    <w:bottom w:val="none" w:sz="0" w:space="0" w:color="auto"/>
                                    <w:right w:val="none" w:sz="0" w:space="0" w:color="auto"/>
                                  </w:divBdr>
                                  <w:divsChild>
                                    <w:div w:id="667757753">
                                      <w:marLeft w:val="0"/>
                                      <w:marRight w:val="0"/>
                                      <w:marTop w:val="0"/>
                                      <w:marBottom w:val="0"/>
                                      <w:divBdr>
                                        <w:top w:val="none" w:sz="0" w:space="0" w:color="auto"/>
                                        <w:left w:val="none" w:sz="0" w:space="0" w:color="auto"/>
                                        <w:bottom w:val="none" w:sz="0" w:space="0" w:color="auto"/>
                                        <w:right w:val="none" w:sz="0" w:space="0" w:color="auto"/>
                                      </w:divBdr>
                                      <w:divsChild>
                                        <w:div w:id="318772817">
                                          <w:marLeft w:val="0"/>
                                          <w:marRight w:val="0"/>
                                          <w:marTop w:val="0"/>
                                          <w:marBottom w:val="0"/>
                                          <w:divBdr>
                                            <w:top w:val="none" w:sz="0" w:space="0" w:color="auto"/>
                                            <w:left w:val="none" w:sz="0" w:space="0" w:color="auto"/>
                                            <w:bottom w:val="none" w:sz="0" w:space="0" w:color="auto"/>
                                            <w:right w:val="none" w:sz="0" w:space="0" w:color="auto"/>
                                          </w:divBdr>
                                          <w:divsChild>
                                            <w:div w:id="515391009">
                                              <w:marLeft w:val="0"/>
                                              <w:marRight w:val="0"/>
                                              <w:marTop w:val="0"/>
                                              <w:marBottom w:val="0"/>
                                              <w:divBdr>
                                                <w:top w:val="none" w:sz="0" w:space="0" w:color="auto"/>
                                                <w:left w:val="none" w:sz="0" w:space="0" w:color="auto"/>
                                                <w:bottom w:val="none" w:sz="0" w:space="0" w:color="auto"/>
                                                <w:right w:val="none" w:sz="0" w:space="0" w:color="auto"/>
                                              </w:divBdr>
                                              <w:divsChild>
                                                <w:div w:id="1760827718">
                                                  <w:marLeft w:val="0"/>
                                                  <w:marRight w:val="0"/>
                                                  <w:marTop w:val="0"/>
                                                  <w:marBottom w:val="0"/>
                                                  <w:divBdr>
                                                    <w:top w:val="none" w:sz="0" w:space="0" w:color="auto"/>
                                                    <w:left w:val="none" w:sz="0" w:space="0" w:color="auto"/>
                                                    <w:bottom w:val="none" w:sz="0" w:space="0" w:color="auto"/>
                                                    <w:right w:val="none" w:sz="0" w:space="0" w:color="auto"/>
                                                  </w:divBdr>
                                                  <w:divsChild>
                                                    <w:div w:id="1498496264">
                                                      <w:marLeft w:val="0"/>
                                                      <w:marRight w:val="0"/>
                                                      <w:marTop w:val="0"/>
                                                      <w:marBottom w:val="0"/>
                                                      <w:divBdr>
                                                        <w:top w:val="none" w:sz="0" w:space="0" w:color="auto"/>
                                                        <w:left w:val="none" w:sz="0" w:space="0" w:color="auto"/>
                                                        <w:bottom w:val="none" w:sz="0" w:space="0" w:color="auto"/>
                                                        <w:right w:val="none" w:sz="0" w:space="0" w:color="auto"/>
                                                      </w:divBdr>
                                                      <w:divsChild>
                                                        <w:div w:id="1419789919">
                                                          <w:marLeft w:val="0"/>
                                                          <w:marRight w:val="0"/>
                                                          <w:marTop w:val="0"/>
                                                          <w:marBottom w:val="0"/>
                                                          <w:divBdr>
                                                            <w:top w:val="none" w:sz="0" w:space="0" w:color="auto"/>
                                                            <w:left w:val="none" w:sz="0" w:space="0" w:color="auto"/>
                                                            <w:bottom w:val="none" w:sz="0" w:space="0" w:color="auto"/>
                                                            <w:right w:val="none" w:sz="0" w:space="0" w:color="auto"/>
                                                          </w:divBdr>
                                                          <w:divsChild>
                                                            <w:div w:id="1694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899754">
      <w:bodyDiv w:val="1"/>
      <w:marLeft w:val="0"/>
      <w:marRight w:val="0"/>
      <w:marTop w:val="0"/>
      <w:marBottom w:val="0"/>
      <w:divBdr>
        <w:top w:val="none" w:sz="0" w:space="0" w:color="auto"/>
        <w:left w:val="none" w:sz="0" w:space="0" w:color="auto"/>
        <w:bottom w:val="none" w:sz="0" w:space="0" w:color="auto"/>
        <w:right w:val="none" w:sz="0" w:space="0" w:color="auto"/>
      </w:divBdr>
    </w:div>
    <w:div w:id="1440367780">
      <w:bodyDiv w:val="1"/>
      <w:marLeft w:val="0"/>
      <w:marRight w:val="0"/>
      <w:marTop w:val="0"/>
      <w:marBottom w:val="0"/>
      <w:divBdr>
        <w:top w:val="none" w:sz="0" w:space="0" w:color="auto"/>
        <w:left w:val="none" w:sz="0" w:space="0" w:color="auto"/>
        <w:bottom w:val="none" w:sz="0" w:space="0" w:color="auto"/>
        <w:right w:val="none" w:sz="0" w:space="0" w:color="auto"/>
      </w:divBdr>
    </w:div>
    <w:div w:id="1447892035">
      <w:bodyDiv w:val="1"/>
      <w:marLeft w:val="0"/>
      <w:marRight w:val="0"/>
      <w:marTop w:val="0"/>
      <w:marBottom w:val="0"/>
      <w:divBdr>
        <w:top w:val="none" w:sz="0" w:space="0" w:color="auto"/>
        <w:left w:val="none" w:sz="0" w:space="0" w:color="auto"/>
        <w:bottom w:val="none" w:sz="0" w:space="0" w:color="auto"/>
        <w:right w:val="none" w:sz="0" w:space="0" w:color="auto"/>
      </w:divBdr>
    </w:div>
    <w:div w:id="1458913887">
      <w:bodyDiv w:val="1"/>
      <w:marLeft w:val="0"/>
      <w:marRight w:val="0"/>
      <w:marTop w:val="0"/>
      <w:marBottom w:val="0"/>
      <w:divBdr>
        <w:top w:val="none" w:sz="0" w:space="0" w:color="auto"/>
        <w:left w:val="none" w:sz="0" w:space="0" w:color="auto"/>
        <w:bottom w:val="none" w:sz="0" w:space="0" w:color="auto"/>
        <w:right w:val="none" w:sz="0" w:space="0" w:color="auto"/>
      </w:divBdr>
    </w:div>
    <w:div w:id="1459834112">
      <w:bodyDiv w:val="1"/>
      <w:marLeft w:val="0"/>
      <w:marRight w:val="0"/>
      <w:marTop w:val="0"/>
      <w:marBottom w:val="0"/>
      <w:divBdr>
        <w:top w:val="none" w:sz="0" w:space="0" w:color="auto"/>
        <w:left w:val="none" w:sz="0" w:space="0" w:color="auto"/>
        <w:bottom w:val="none" w:sz="0" w:space="0" w:color="auto"/>
        <w:right w:val="none" w:sz="0" w:space="0" w:color="auto"/>
      </w:divBdr>
      <w:divsChild>
        <w:div w:id="28845424">
          <w:marLeft w:val="0"/>
          <w:marRight w:val="0"/>
          <w:marTop w:val="0"/>
          <w:marBottom w:val="0"/>
          <w:divBdr>
            <w:top w:val="none" w:sz="0" w:space="0" w:color="auto"/>
            <w:left w:val="none" w:sz="0" w:space="0" w:color="auto"/>
            <w:bottom w:val="none" w:sz="0" w:space="0" w:color="auto"/>
            <w:right w:val="none" w:sz="0" w:space="0" w:color="auto"/>
          </w:divBdr>
          <w:divsChild>
            <w:div w:id="667100072">
              <w:marLeft w:val="0"/>
              <w:marRight w:val="0"/>
              <w:marTop w:val="0"/>
              <w:marBottom w:val="0"/>
              <w:divBdr>
                <w:top w:val="none" w:sz="0" w:space="0" w:color="auto"/>
                <w:left w:val="none" w:sz="0" w:space="0" w:color="auto"/>
                <w:bottom w:val="none" w:sz="0" w:space="0" w:color="auto"/>
                <w:right w:val="none" w:sz="0" w:space="0" w:color="auto"/>
              </w:divBdr>
              <w:divsChild>
                <w:div w:id="49154773">
                  <w:marLeft w:val="0"/>
                  <w:marRight w:val="0"/>
                  <w:marTop w:val="0"/>
                  <w:marBottom w:val="0"/>
                  <w:divBdr>
                    <w:top w:val="none" w:sz="0" w:space="0" w:color="auto"/>
                    <w:left w:val="none" w:sz="0" w:space="0" w:color="auto"/>
                    <w:bottom w:val="none" w:sz="0" w:space="0" w:color="auto"/>
                    <w:right w:val="none" w:sz="0" w:space="0" w:color="auto"/>
                  </w:divBdr>
                  <w:divsChild>
                    <w:div w:id="897017626">
                      <w:marLeft w:val="0"/>
                      <w:marRight w:val="0"/>
                      <w:marTop w:val="0"/>
                      <w:marBottom w:val="0"/>
                      <w:divBdr>
                        <w:top w:val="none" w:sz="0" w:space="0" w:color="auto"/>
                        <w:left w:val="none" w:sz="0" w:space="0" w:color="auto"/>
                        <w:bottom w:val="none" w:sz="0" w:space="0" w:color="auto"/>
                        <w:right w:val="none" w:sz="0" w:space="0" w:color="auto"/>
                      </w:divBdr>
                      <w:divsChild>
                        <w:div w:id="1463697564">
                          <w:marLeft w:val="0"/>
                          <w:marRight w:val="0"/>
                          <w:marTop w:val="0"/>
                          <w:marBottom w:val="0"/>
                          <w:divBdr>
                            <w:top w:val="none" w:sz="0" w:space="0" w:color="auto"/>
                            <w:left w:val="none" w:sz="0" w:space="0" w:color="auto"/>
                            <w:bottom w:val="none" w:sz="0" w:space="0" w:color="auto"/>
                            <w:right w:val="none" w:sz="0" w:space="0" w:color="auto"/>
                          </w:divBdr>
                          <w:divsChild>
                            <w:div w:id="591090569">
                              <w:marLeft w:val="0"/>
                              <w:marRight w:val="0"/>
                              <w:marTop w:val="0"/>
                              <w:marBottom w:val="0"/>
                              <w:divBdr>
                                <w:top w:val="none" w:sz="0" w:space="0" w:color="auto"/>
                                <w:left w:val="none" w:sz="0" w:space="0" w:color="auto"/>
                                <w:bottom w:val="none" w:sz="0" w:space="0" w:color="auto"/>
                                <w:right w:val="none" w:sz="0" w:space="0" w:color="auto"/>
                              </w:divBdr>
                              <w:divsChild>
                                <w:div w:id="2141880236">
                                  <w:marLeft w:val="0"/>
                                  <w:marRight w:val="0"/>
                                  <w:marTop w:val="0"/>
                                  <w:marBottom w:val="0"/>
                                  <w:divBdr>
                                    <w:top w:val="none" w:sz="0" w:space="0" w:color="auto"/>
                                    <w:left w:val="none" w:sz="0" w:space="0" w:color="auto"/>
                                    <w:bottom w:val="none" w:sz="0" w:space="0" w:color="auto"/>
                                    <w:right w:val="none" w:sz="0" w:space="0" w:color="auto"/>
                                  </w:divBdr>
                                  <w:divsChild>
                                    <w:div w:id="1562521630">
                                      <w:marLeft w:val="0"/>
                                      <w:marRight w:val="0"/>
                                      <w:marTop w:val="0"/>
                                      <w:marBottom w:val="0"/>
                                      <w:divBdr>
                                        <w:top w:val="none" w:sz="0" w:space="0" w:color="auto"/>
                                        <w:left w:val="none" w:sz="0" w:space="0" w:color="auto"/>
                                        <w:bottom w:val="none" w:sz="0" w:space="0" w:color="auto"/>
                                        <w:right w:val="none" w:sz="0" w:space="0" w:color="auto"/>
                                      </w:divBdr>
                                      <w:divsChild>
                                        <w:div w:id="863522517">
                                          <w:marLeft w:val="0"/>
                                          <w:marRight w:val="0"/>
                                          <w:marTop w:val="0"/>
                                          <w:marBottom w:val="0"/>
                                          <w:divBdr>
                                            <w:top w:val="none" w:sz="0" w:space="0" w:color="auto"/>
                                            <w:left w:val="none" w:sz="0" w:space="0" w:color="auto"/>
                                            <w:bottom w:val="none" w:sz="0" w:space="0" w:color="auto"/>
                                            <w:right w:val="none" w:sz="0" w:space="0" w:color="auto"/>
                                          </w:divBdr>
                                          <w:divsChild>
                                            <w:div w:id="1363242413">
                                              <w:marLeft w:val="0"/>
                                              <w:marRight w:val="0"/>
                                              <w:marTop w:val="0"/>
                                              <w:marBottom w:val="0"/>
                                              <w:divBdr>
                                                <w:top w:val="none" w:sz="0" w:space="0" w:color="auto"/>
                                                <w:left w:val="none" w:sz="0" w:space="0" w:color="auto"/>
                                                <w:bottom w:val="none" w:sz="0" w:space="0" w:color="auto"/>
                                                <w:right w:val="none" w:sz="0" w:space="0" w:color="auto"/>
                                              </w:divBdr>
                                              <w:divsChild>
                                                <w:div w:id="2113359079">
                                                  <w:marLeft w:val="0"/>
                                                  <w:marRight w:val="0"/>
                                                  <w:marTop w:val="0"/>
                                                  <w:marBottom w:val="0"/>
                                                  <w:divBdr>
                                                    <w:top w:val="none" w:sz="0" w:space="0" w:color="auto"/>
                                                    <w:left w:val="none" w:sz="0" w:space="0" w:color="auto"/>
                                                    <w:bottom w:val="none" w:sz="0" w:space="0" w:color="auto"/>
                                                    <w:right w:val="none" w:sz="0" w:space="0" w:color="auto"/>
                                                  </w:divBdr>
                                                  <w:divsChild>
                                                    <w:div w:id="2016179378">
                                                      <w:marLeft w:val="0"/>
                                                      <w:marRight w:val="0"/>
                                                      <w:marTop w:val="0"/>
                                                      <w:marBottom w:val="0"/>
                                                      <w:divBdr>
                                                        <w:top w:val="none" w:sz="0" w:space="0" w:color="auto"/>
                                                        <w:left w:val="none" w:sz="0" w:space="0" w:color="auto"/>
                                                        <w:bottom w:val="none" w:sz="0" w:space="0" w:color="auto"/>
                                                        <w:right w:val="none" w:sz="0" w:space="0" w:color="auto"/>
                                                      </w:divBdr>
                                                      <w:divsChild>
                                                        <w:div w:id="1686638563">
                                                          <w:marLeft w:val="0"/>
                                                          <w:marRight w:val="0"/>
                                                          <w:marTop w:val="0"/>
                                                          <w:marBottom w:val="0"/>
                                                          <w:divBdr>
                                                            <w:top w:val="none" w:sz="0" w:space="0" w:color="auto"/>
                                                            <w:left w:val="none" w:sz="0" w:space="0" w:color="auto"/>
                                                            <w:bottom w:val="none" w:sz="0" w:space="0" w:color="auto"/>
                                                            <w:right w:val="none" w:sz="0" w:space="0" w:color="auto"/>
                                                          </w:divBdr>
                                                          <w:divsChild>
                                                            <w:div w:id="3996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5540441">
      <w:bodyDiv w:val="1"/>
      <w:marLeft w:val="0"/>
      <w:marRight w:val="0"/>
      <w:marTop w:val="0"/>
      <w:marBottom w:val="0"/>
      <w:divBdr>
        <w:top w:val="none" w:sz="0" w:space="0" w:color="auto"/>
        <w:left w:val="none" w:sz="0" w:space="0" w:color="auto"/>
        <w:bottom w:val="none" w:sz="0" w:space="0" w:color="auto"/>
        <w:right w:val="none" w:sz="0" w:space="0" w:color="auto"/>
      </w:divBdr>
    </w:div>
    <w:div w:id="1475753595">
      <w:bodyDiv w:val="1"/>
      <w:marLeft w:val="0"/>
      <w:marRight w:val="0"/>
      <w:marTop w:val="0"/>
      <w:marBottom w:val="0"/>
      <w:divBdr>
        <w:top w:val="none" w:sz="0" w:space="0" w:color="auto"/>
        <w:left w:val="none" w:sz="0" w:space="0" w:color="auto"/>
        <w:bottom w:val="none" w:sz="0" w:space="0" w:color="auto"/>
        <w:right w:val="none" w:sz="0" w:space="0" w:color="auto"/>
      </w:divBdr>
      <w:divsChild>
        <w:div w:id="163059192">
          <w:marLeft w:val="0"/>
          <w:marRight w:val="0"/>
          <w:marTop w:val="0"/>
          <w:marBottom w:val="0"/>
          <w:divBdr>
            <w:top w:val="none" w:sz="0" w:space="0" w:color="auto"/>
            <w:left w:val="none" w:sz="0" w:space="0" w:color="auto"/>
            <w:bottom w:val="none" w:sz="0" w:space="0" w:color="auto"/>
            <w:right w:val="none" w:sz="0" w:space="0" w:color="auto"/>
          </w:divBdr>
          <w:divsChild>
            <w:div w:id="1345280817">
              <w:marLeft w:val="0"/>
              <w:marRight w:val="0"/>
              <w:marTop w:val="0"/>
              <w:marBottom w:val="0"/>
              <w:divBdr>
                <w:top w:val="none" w:sz="0" w:space="0" w:color="auto"/>
                <w:left w:val="none" w:sz="0" w:space="0" w:color="auto"/>
                <w:bottom w:val="none" w:sz="0" w:space="0" w:color="auto"/>
                <w:right w:val="none" w:sz="0" w:space="0" w:color="auto"/>
              </w:divBdr>
              <w:divsChild>
                <w:div w:id="61026967">
                  <w:marLeft w:val="0"/>
                  <w:marRight w:val="0"/>
                  <w:marTop w:val="0"/>
                  <w:marBottom w:val="0"/>
                  <w:divBdr>
                    <w:top w:val="none" w:sz="0" w:space="0" w:color="auto"/>
                    <w:left w:val="none" w:sz="0" w:space="0" w:color="auto"/>
                    <w:bottom w:val="none" w:sz="0" w:space="0" w:color="auto"/>
                    <w:right w:val="none" w:sz="0" w:space="0" w:color="auto"/>
                  </w:divBdr>
                  <w:divsChild>
                    <w:div w:id="2122066934">
                      <w:marLeft w:val="0"/>
                      <w:marRight w:val="0"/>
                      <w:marTop w:val="0"/>
                      <w:marBottom w:val="0"/>
                      <w:divBdr>
                        <w:top w:val="none" w:sz="0" w:space="0" w:color="auto"/>
                        <w:left w:val="none" w:sz="0" w:space="0" w:color="auto"/>
                        <w:bottom w:val="none" w:sz="0" w:space="0" w:color="auto"/>
                        <w:right w:val="none" w:sz="0" w:space="0" w:color="auto"/>
                      </w:divBdr>
                      <w:divsChild>
                        <w:div w:id="1157569568">
                          <w:marLeft w:val="0"/>
                          <w:marRight w:val="0"/>
                          <w:marTop w:val="0"/>
                          <w:marBottom w:val="0"/>
                          <w:divBdr>
                            <w:top w:val="none" w:sz="0" w:space="0" w:color="auto"/>
                            <w:left w:val="none" w:sz="0" w:space="0" w:color="auto"/>
                            <w:bottom w:val="none" w:sz="0" w:space="0" w:color="auto"/>
                            <w:right w:val="none" w:sz="0" w:space="0" w:color="auto"/>
                          </w:divBdr>
                          <w:divsChild>
                            <w:div w:id="1609392523">
                              <w:marLeft w:val="0"/>
                              <w:marRight w:val="0"/>
                              <w:marTop w:val="0"/>
                              <w:marBottom w:val="0"/>
                              <w:divBdr>
                                <w:top w:val="none" w:sz="0" w:space="0" w:color="auto"/>
                                <w:left w:val="none" w:sz="0" w:space="0" w:color="auto"/>
                                <w:bottom w:val="none" w:sz="0" w:space="0" w:color="auto"/>
                                <w:right w:val="none" w:sz="0" w:space="0" w:color="auto"/>
                              </w:divBdr>
                              <w:divsChild>
                                <w:div w:id="406880194">
                                  <w:marLeft w:val="0"/>
                                  <w:marRight w:val="0"/>
                                  <w:marTop w:val="0"/>
                                  <w:marBottom w:val="0"/>
                                  <w:divBdr>
                                    <w:top w:val="none" w:sz="0" w:space="0" w:color="auto"/>
                                    <w:left w:val="none" w:sz="0" w:space="0" w:color="auto"/>
                                    <w:bottom w:val="none" w:sz="0" w:space="0" w:color="auto"/>
                                    <w:right w:val="none" w:sz="0" w:space="0" w:color="auto"/>
                                  </w:divBdr>
                                  <w:divsChild>
                                    <w:div w:id="236014251">
                                      <w:marLeft w:val="0"/>
                                      <w:marRight w:val="0"/>
                                      <w:marTop w:val="0"/>
                                      <w:marBottom w:val="0"/>
                                      <w:divBdr>
                                        <w:top w:val="none" w:sz="0" w:space="0" w:color="auto"/>
                                        <w:left w:val="none" w:sz="0" w:space="0" w:color="auto"/>
                                        <w:bottom w:val="none" w:sz="0" w:space="0" w:color="auto"/>
                                        <w:right w:val="none" w:sz="0" w:space="0" w:color="auto"/>
                                      </w:divBdr>
                                      <w:divsChild>
                                        <w:div w:id="2030832141">
                                          <w:marLeft w:val="0"/>
                                          <w:marRight w:val="0"/>
                                          <w:marTop w:val="0"/>
                                          <w:marBottom w:val="0"/>
                                          <w:divBdr>
                                            <w:top w:val="none" w:sz="0" w:space="0" w:color="auto"/>
                                            <w:left w:val="none" w:sz="0" w:space="0" w:color="auto"/>
                                            <w:bottom w:val="none" w:sz="0" w:space="0" w:color="auto"/>
                                            <w:right w:val="none" w:sz="0" w:space="0" w:color="auto"/>
                                          </w:divBdr>
                                          <w:divsChild>
                                            <w:div w:id="556673504">
                                              <w:marLeft w:val="0"/>
                                              <w:marRight w:val="0"/>
                                              <w:marTop w:val="0"/>
                                              <w:marBottom w:val="0"/>
                                              <w:divBdr>
                                                <w:top w:val="none" w:sz="0" w:space="0" w:color="auto"/>
                                                <w:left w:val="none" w:sz="0" w:space="0" w:color="auto"/>
                                                <w:bottom w:val="none" w:sz="0" w:space="0" w:color="auto"/>
                                                <w:right w:val="none" w:sz="0" w:space="0" w:color="auto"/>
                                              </w:divBdr>
                                              <w:divsChild>
                                                <w:div w:id="507713598">
                                                  <w:marLeft w:val="0"/>
                                                  <w:marRight w:val="0"/>
                                                  <w:marTop w:val="0"/>
                                                  <w:marBottom w:val="0"/>
                                                  <w:divBdr>
                                                    <w:top w:val="none" w:sz="0" w:space="0" w:color="auto"/>
                                                    <w:left w:val="none" w:sz="0" w:space="0" w:color="auto"/>
                                                    <w:bottom w:val="none" w:sz="0" w:space="0" w:color="auto"/>
                                                    <w:right w:val="none" w:sz="0" w:space="0" w:color="auto"/>
                                                  </w:divBdr>
                                                  <w:divsChild>
                                                    <w:div w:id="3630481">
                                                      <w:marLeft w:val="0"/>
                                                      <w:marRight w:val="0"/>
                                                      <w:marTop w:val="0"/>
                                                      <w:marBottom w:val="0"/>
                                                      <w:divBdr>
                                                        <w:top w:val="none" w:sz="0" w:space="0" w:color="auto"/>
                                                        <w:left w:val="none" w:sz="0" w:space="0" w:color="auto"/>
                                                        <w:bottom w:val="none" w:sz="0" w:space="0" w:color="auto"/>
                                                        <w:right w:val="none" w:sz="0" w:space="0" w:color="auto"/>
                                                      </w:divBdr>
                                                      <w:divsChild>
                                                        <w:div w:id="1295678803">
                                                          <w:marLeft w:val="0"/>
                                                          <w:marRight w:val="0"/>
                                                          <w:marTop w:val="0"/>
                                                          <w:marBottom w:val="0"/>
                                                          <w:divBdr>
                                                            <w:top w:val="none" w:sz="0" w:space="0" w:color="auto"/>
                                                            <w:left w:val="none" w:sz="0" w:space="0" w:color="auto"/>
                                                            <w:bottom w:val="none" w:sz="0" w:space="0" w:color="auto"/>
                                                            <w:right w:val="none" w:sz="0" w:space="0" w:color="auto"/>
                                                          </w:divBdr>
                                                          <w:divsChild>
                                                            <w:div w:id="6742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1599292">
      <w:bodyDiv w:val="1"/>
      <w:marLeft w:val="0"/>
      <w:marRight w:val="0"/>
      <w:marTop w:val="0"/>
      <w:marBottom w:val="0"/>
      <w:divBdr>
        <w:top w:val="none" w:sz="0" w:space="0" w:color="auto"/>
        <w:left w:val="none" w:sz="0" w:space="0" w:color="auto"/>
        <w:bottom w:val="none" w:sz="0" w:space="0" w:color="auto"/>
        <w:right w:val="none" w:sz="0" w:space="0" w:color="auto"/>
      </w:divBdr>
    </w:div>
    <w:div w:id="1521510170">
      <w:bodyDiv w:val="1"/>
      <w:marLeft w:val="0"/>
      <w:marRight w:val="0"/>
      <w:marTop w:val="0"/>
      <w:marBottom w:val="0"/>
      <w:divBdr>
        <w:top w:val="none" w:sz="0" w:space="0" w:color="auto"/>
        <w:left w:val="none" w:sz="0" w:space="0" w:color="auto"/>
        <w:bottom w:val="none" w:sz="0" w:space="0" w:color="auto"/>
        <w:right w:val="none" w:sz="0" w:space="0" w:color="auto"/>
      </w:divBdr>
    </w:div>
    <w:div w:id="1544512104">
      <w:bodyDiv w:val="1"/>
      <w:marLeft w:val="0"/>
      <w:marRight w:val="0"/>
      <w:marTop w:val="0"/>
      <w:marBottom w:val="0"/>
      <w:divBdr>
        <w:top w:val="none" w:sz="0" w:space="0" w:color="auto"/>
        <w:left w:val="none" w:sz="0" w:space="0" w:color="auto"/>
        <w:bottom w:val="none" w:sz="0" w:space="0" w:color="auto"/>
        <w:right w:val="none" w:sz="0" w:space="0" w:color="auto"/>
      </w:divBdr>
    </w:div>
    <w:div w:id="1586109617">
      <w:bodyDiv w:val="1"/>
      <w:marLeft w:val="0"/>
      <w:marRight w:val="0"/>
      <w:marTop w:val="0"/>
      <w:marBottom w:val="0"/>
      <w:divBdr>
        <w:top w:val="none" w:sz="0" w:space="0" w:color="auto"/>
        <w:left w:val="none" w:sz="0" w:space="0" w:color="auto"/>
        <w:bottom w:val="none" w:sz="0" w:space="0" w:color="auto"/>
        <w:right w:val="none" w:sz="0" w:space="0" w:color="auto"/>
      </w:divBdr>
    </w:div>
    <w:div w:id="1612475237">
      <w:bodyDiv w:val="1"/>
      <w:marLeft w:val="0"/>
      <w:marRight w:val="0"/>
      <w:marTop w:val="0"/>
      <w:marBottom w:val="0"/>
      <w:divBdr>
        <w:top w:val="none" w:sz="0" w:space="0" w:color="auto"/>
        <w:left w:val="none" w:sz="0" w:space="0" w:color="auto"/>
        <w:bottom w:val="none" w:sz="0" w:space="0" w:color="auto"/>
        <w:right w:val="none" w:sz="0" w:space="0" w:color="auto"/>
      </w:divBdr>
    </w:div>
    <w:div w:id="1624312355">
      <w:bodyDiv w:val="1"/>
      <w:marLeft w:val="0"/>
      <w:marRight w:val="0"/>
      <w:marTop w:val="0"/>
      <w:marBottom w:val="0"/>
      <w:divBdr>
        <w:top w:val="none" w:sz="0" w:space="0" w:color="auto"/>
        <w:left w:val="none" w:sz="0" w:space="0" w:color="auto"/>
        <w:bottom w:val="none" w:sz="0" w:space="0" w:color="auto"/>
        <w:right w:val="none" w:sz="0" w:space="0" w:color="auto"/>
      </w:divBdr>
    </w:div>
    <w:div w:id="1642539024">
      <w:bodyDiv w:val="1"/>
      <w:marLeft w:val="0"/>
      <w:marRight w:val="0"/>
      <w:marTop w:val="0"/>
      <w:marBottom w:val="0"/>
      <w:divBdr>
        <w:top w:val="none" w:sz="0" w:space="0" w:color="auto"/>
        <w:left w:val="none" w:sz="0" w:space="0" w:color="auto"/>
        <w:bottom w:val="none" w:sz="0" w:space="0" w:color="auto"/>
        <w:right w:val="none" w:sz="0" w:space="0" w:color="auto"/>
      </w:divBdr>
    </w:div>
    <w:div w:id="1643656170">
      <w:bodyDiv w:val="1"/>
      <w:marLeft w:val="0"/>
      <w:marRight w:val="0"/>
      <w:marTop w:val="0"/>
      <w:marBottom w:val="0"/>
      <w:divBdr>
        <w:top w:val="none" w:sz="0" w:space="0" w:color="auto"/>
        <w:left w:val="none" w:sz="0" w:space="0" w:color="auto"/>
        <w:bottom w:val="none" w:sz="0" w:space="0" w:color="auto"/>
        <w:right w:val="none" w:sz="0" w:space="0" w:color="auto"/>
      </w:divBdr>
    </w:div>
    <w:div w:id="1667005254">
      <w:bodyDiv w:val="1"/>
      <w:marLeft w:val="0"/>
      <w:marRight w:val="0"/>
      <w:marTop w:val="0"/>
      <w:marBottom w:val="0"/>
      <w:divBdr>
        <w:top w:val="none" w:sz="0" w:space="0" w:color="auto"/>
        <w:left w:val="none" w:sz="0" w:space="0" w:color="auto"/>
        <w:bottom w:val="none" w:sz="0" w:space="0" w:color="auto"/>
        <w:right w:val="none" w:sz="0" w:space="0" w:color="auto"/>
      </w:divBdr>
    </w:div>
    <w:div w:id="1679231430">
      <w:bodyDiv w:val="1"/>
      <w:marLeft w:val="0"/>
      <w:marRight w:val="0"/>
      <w:marTop w:val="0"/>
      <w:marBottom w:val="0"/>
      <w:divBdr>
        <w:top w:val="none" w:sz="0" w:space="0" w:color="auto"/>
        <w:left w:val="none" w:sz="0" w:space="0" w:color="auto"/>
        <w:bottom w:val="none" w:sz="0" w:space="0" w:color="auto"/>
        <w:right w:val="none" w:sz="0" w:space="0" w:color="auto"/>
      </w:divBdr>
    </w:div>
    <w:div w:id="1708212416">
      <w:bodyDiv w:val="1"/>
      <w:marLeft w:val="0"/>
      <w:marRight w:val="0"/>
      <w:marTop w:val="0"/>
      <w:marBottom w:val="0"/>
      <w:divBdr>
        <w:top w:val="none" w:sz="0" w:space="0" w:color="auto"/>
        <w:left w:val="none" w:sz="0" w:space="0" w:color="auto"/>
        <w:bottom w:val="none" w:sz="0" w:space="0" w:color="auto"/>
        <w:right w:val="none" w:sz="0" w:space="0" w:color="auto"/>
      </w:divBdr>
    </w:div>
    <w:div w:id="1710177203">
      <w:bodyDiv w:val="1"/>
      <w:marLeft w:val="0"/>
      <w:marRight w:val="0"/>
      <w:marTop w:val="0"/>
      <w:marBottom w:val="0"/>
      <w:divBdr>
        <w:top w:val="none" w:sz="0" w:space="0" w:color="auto"/>
        <w:left w:val="none" w:sz="0" w:space="0" w:color="auto"/>
        <w:bottom w:val="none" w:sz="0" w:space="0" w:color="auto"/>
        <w:right w:val="none" w:sz="0" w:space="0" w:color="auto"/>
      </w:divBdr>
    </w:div>
    <w:div w:id="1718966633">
      <w:bodyDiv w:val="1"/>
      <w:marLeft w:val="0"/>
      <w:marRight w:val="0"/>
      <w:marTop w:val="0"/>
      <w:marBottom w:val="0"/>
      <w:divBdr>
        <w:top w:val="none" w:sz="0" w:space="0" w:color="auto"/>
        <w:left w:val="none" w:sz="0" w:space="0" w:color="auto"/>
        <w:bottom w:val="none" w:sz="0" w:space="0" w:color="auto"/>
        <w:right w:val="none" w:sz="0" w:space="0" w:color="auto"/>
      </w:divBdr>
      <w:divsChild>
        <w:div w:id="1424956821">
          <w:marLeft w:val="0"/>
          <w:marRight w:val="0"/>
          <w:marTop w:val="0"/>
          <w:marBottom w:val="0"/>
          <w:divBdr>
            <w:top w:val="none" w:sz="0" w:space="0" w:color="auto"/>
            <w:left w:val="none" w:sz="0" w:space="0" w:color="auto"/>
            <w:bottom w:val="none" w:sz="0" w:space="0" w:color="auto"/>
            <w:right w:val="none" w:sz="0" w:space="0" w:color="auto"/>
          </w:divBdr>
          <w:divsChild>
            <w:div w:id="1744911396">
              <w:marLeft w:val="0"/>
              <w:marRight w:val="0"/>
              <w:marTop w:val="0"/>
              <w:marBottom w:val="0"/>
              <w:divBdr>
                <w:top w:val="none" w:sz="0" w:space="0" w:color="auto"/>
                <w:left w:val="none" w:sz="0" w:space="0" w:color="auto"/>
                <w:bottom w:val="none" w:sz="0" w:space="0" w:color="auto"/>
                <w:right w:val="none" w:sz="0" w:space="0" w:color="auto"/>
              </w:divBdr>
              <w:divsChild>
                <w:div w:id="1315986141">
                  <w:marLeft w:val="0"/>
                  <w:marRight w:val="0"/>
                  <w:marTop w:val="0"/>
                  <w:marBottom w:val="0"/>
                  <w:divBdr>
                    <w:top w:val="none" w:sz="0" w:space="0" w:color="auto"/>
                    <w:left w:val="none" w:sz="0" w:space="0" w:color="auto"/>
                    <w:bottom w:val="none" w:sz="0" w:space="0" w:color="auto"/>
                    <w:right w:val="none" w:sz="0" w:space="0" w:color="auto"/>
                  </w:divBdr>
                  <w:divsChild>
                    <w:div w:id="15524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719023">
      <w:bodyDiv w:val="1"/>
      <w:marLeft w:val="0"/>
      <w:marRight w:val="0"/>
      <w:marTop w:val="0"/>
      <w:marBottom w:val="0"/>
      <w:divBdr>
        <w:top w:val="none" w:sz="0" w:space="0" w:color="auto"/>
        <w:left w:val="none" w:sz="0" w:space="0" w:color="auto"/>
        <w:bottom w:val="none" w:sz="0" w:space="0" w:color="auto"/>
        <w:right w:val="none" w:sz="0" w:space="0" w:color="auto"/>
      </w:divBdr>
    </w:div>
    <w:div w:id="1733111915">
      <w:bodyDiv w:val="1"/>
      <w:marLeft w:val="0"/>
      <w:marRight w:val="0"/>
      <w:marTop w:val="0"/>
      <w:marBottom w:val="0"/>
      <w:divBdr>
        <w:top w:val="none" w:sz="0" w:space="0" w:color="auto"/>
        <w:left w:val="none" w:sz="0" w:space="0" w:color="auto"/>
        <w:bottom w:val="none" w:sz="0" w:space="0" w:color="auto"/>
        <w:right w:val="none" w:sz="0" w:space="0" w:color="auto"/>
      </w:divBdr>
    </w:div>
    <w:div w:id="1734308050">
      <w:bodyDiv w:val="1"/>
      <w:marLeft w:val="0"/>
      <w:marRight w:val="0"/>
      <w:marTop w:val="0"/>
      <w:marBottom w:val="0"/>
      <w:divBdr>
        <w:top w:val="none" w:sz="0" w:space="0" w:color="auto"/>
        <w:left w:val="none" w:sz="0" w:space="0" w:color="auto"/>
        <w:bottom w:val="none" w:sz="0" w:space="0" w:color="auto"/>
        <w:right w:val="none" w:sz="0" w:space="0" w:color="auto"/>
      </w:divBdr>
    </w:div>
    <w:div w:id="1764835183">
      <w:bodyDiv w:val="1"/>
      <w:marLeft w:val="0"/>
      <w:marRight w:val="0"/>
      <w:marTop w:val="0"/>
      <w:marBottom w:val="0"/>
      <w:divBdr>
        <w:top w:val="none" w:sz="0" w:space="0" w:color="auto"/>
        <w:left w:val="none" w:sz="0" w:space="0" w:color="auto"/>
        <w:bottom w:val="none" w:sz="0" w:space="0" w:color="auto"/>
        <w:right w:val="none" w:sz="0" w:space="0" w:color="auto"/>
      </w:divBdr>
    </w:div>
    <w:div w:id="1790126294">
      <w:bodyDiv w:val="1"/>
      <w:marLeft w:val="0"/>
      <w:marRight w:val="0"/>
      <w:marTop w:val="0"/>
      <w:marBottom w:val="0"/>
      <w:divBdr>
        <w:top w:val="none" w:sz="0" w:space="0" w:color="auto"/>
        <w:left w:val="none" w:sz="0" w:space="0" w:color="auto"/>
        <w:bottom w:val="none" w:sz="0" w:space="0" w:color="auto"/>
        <w:right w:val="none" w:sz="0" w:space="0" w:color="auto"/>
      </w:divBdr>
    </w:div>
    <w:div w:id="1831559429">
      <w:bodyDiv w:val="1"/>
      <w:marLeft w:val="0"/>
      <w:marRight w:val="0"/>
      <w:marTop w:val="0"/>
      <w:marBottom w:val="0"/>
      <w:divBdr>
        <w:top w:val="none" w:sz="0" w:space="0" w:color="auto"/>
        <w:left w:val="none" w:sz="0" w:space="0" w:color="auto"/>
        <w:bottom w:val="none" w:sz="0" w:space="0" w:color="auto"/>
        <w:right w:val="none" w:sz="0" w:space="0" w:color="auto"/>
      </w:divBdr>
    </w:div>
    <w:div w:id="1839614023">
      <w:bodyDiv w:val="1"/>
      <w:marLeft w:val="0"/>
      <w:marRight w:val="0"/>
      <w:marTop w:val="0"/>
      <w:marBottom w:val="0"/>
      <w:divBdr>
        <w:top w:val="none" w:sz="0" w:space="0" w:color="auto"/>
        <w:left w:val="none" w:sz="0" w:space="0" w:color="auto"/>
        <w:bottom w:val="none" w:sz="0" w:space="0" w:color="auto"/>
        <w:right w:val="none" w:sz="0" w:space="0" w:color="auto"/>
      </w:divBdr>
      <w:divsChild>
        <w:div w:id="1667518189">
          <w:marLeft w:val="0"/>
          <w:marRight w:val="0"/>
          <w:marTop w:val="0"/>
          <w:marBottom w:val="0"/>
          <w:divBdr>
            <w:top w:val="none" w:sz="0" w:space="0" w:color="auto"/>
            <w:left w:val="none" w:sz="0" w:space="0" w:color="auto"/>
            <w:bottom w:val="none" w:sz="0" w:space="0" w:color="auto"/>
            <w:right w:val="none" w:sz="0" w:space="0" w:color="auto"/>
          </w:divBdr>
          <w:divsChild>
            <w:div w:id="1640453912">
              <w:marLeft w:val="0"/>
              <w:marRight w:val="0"/>
              <w:marTop w:val="0"/>
              <w:marBottom w:val="0"/>
              <w:divBdr>
                <w:top w:val="none" w:sz="0" w:space="0" w:color="auto"/>
                <w:left w:val="none" w:sz="0" w:space="0" w:color="auto"/>
                <w:bottom w:val="none" w:sz="0" w:space="0" w:color="auto"/>
                <w:right w:val="none" w:sz="0" w:space="0" w:color="auto"/>
              </w:divBdr>
              <w:divsChild>
                <w:div w:id="1164082257">
                  <w:marLeft w:val="0"/>
                  <w:marRight w:val="0"/>
                  <w:marTop w:val="0"/>
                  <w:marBottom w:val="0"/>
                  <w:divBdr>
                    <w:top w:val="none" w:sz="0" w:space="0" w:color="auto"/>
                    <w:left w:val="none" w:sz="0" w:space="0" w:color="auto"/>
                    <w:bottom w:val="none" w:sz="0" w:space="0" w:color="auto"/>
                    <w:right w:val="none" w:sz="0" w:space="0" w:color="auto"/>
                  </w:divBdr>
                  <w:divsChild>
                    <w:div w:id="7684015">
                      <w:marLeft w:val="0"/>
                      <w:marRight w:val="0"/>
                      <w:marTop w:val="0"/>
                      <w:marBottom w:val="0"/>
                      <w:divBdr>
                        <w:top w:val="none" w:sz="0" w:space="0" w:color="auto"/>
                        <w:left w:val="none" w:sz="0" w:space="0" w:color="auto"/>
                        <w:bottom w:val="none" w:sz="0" w:space="0" w:color="auto"/>
                        <w:right w:val="none" w:sz="0" w:space="0" w:color="auto"/>
                      </w:divBdr>
                      <w:divsChild>
                        <w:div w:id="1549488464">
                          <w:marLeft w:val="0"/>
                          <w:marRight w:val="0"/>
                          <w:marTop w:val="0"/>
                          <w:marBottom w:val="0"/>
                          <w:divBdr>
                            <w:top w:val="none" w:sz="0" w:space="0" w:color="auto"/>
                            <w:left w:val="none" w:sz="0" w:space="0" w:color="auto"/>
                            <w:bottom w:val="none" w:sz="0" w:space="0" w:color="auto"/>
                            <w:right w:val="none" w:sz="0" w:space="0" w:color="auto"/>
                          </w:divBdr>
                          <w:divsChild>
                            <w:div w:id="131212416">
                              <w:marLeft w:val="0"/>
                              <w:marRight w:val="0"/>
                              <w:marTop w:val="0"/>
                              <w:marBottom w:val="0"/>
                              <w:divBdr>
                                <w:top w:val="none" w:sz="0" w:space="0" w:color="auto"/>
                                <w:left w:val="none" w:sz="0" w:space="0" w:color="auto"/>
                                <w:bottom w:val="none" w:sz="0" w:space="0" w:color="auto"/>
                                <w:right w:val="none" w:sz="0" w:space="0" w:color="auto"/>
                              </w:divBdr>
                              <w:divsChild>
                                <w:div w:id="668097322">
                                  <w:marLeft w:val="0"/>
                                  <w:marRight w:val="0"/>
                                  <w:marTop w:val="0"/>
                                  <w:marBottom w:val="0"/>
                                  <w:divBdr>
                                    <w:top w:val="none" w:sz="0" w:space="0" w:color="auto"/>
                                    <w:left w:val="none" w:sz="0" w:space="0" w:color="auto"/>
                                    <w:bottom w:val="none" w:sz="0" w:space="0" w:color="auto"/>
                                    <w:right w:val="none" w:sz="0" w:space="0" w:color="auto"/>
                                  </w:divBdr>
                                  <w:divsChild>
                                    <w:div w:id="28604102">
                                      <w:marLeft w:val="0"/>
                                      <w:marRight w:val="0"/>
                                      <w:marTop w:val="0"/>
                                      <w:marBottom w:val="0"/>
                                      <w:divBdr>
                                        <w:top w:val="none" w:sz="0" w:space="0" w:color="auto"/>
                                        <w:left w:val="none" w:sz="0" w:space="0" w:color="auto"/>
                                        <w:bottom w:val="none" w:sz="0" w:space="0" w:color="auto"/>
                                        <w:right w:val="none" w:sz="0" w:space="0" w:color="auto"/>
                                      </w:divBdr>
                                      <w:divsChild>
                                        <w:div w:id="537551412">
                                          <w:marLeft w:val="0"/>
                                          <w:marRight w:val="0"/>
                                          <w:marTop w:val="0"/>
                                          <w:marBottom w:val="0"/>
                                          <w:divBdr>
                                            <w:top w:val="none" w:sz="0" w:space="0" w:color="auto"/>
                                            <w:left w:val="none" w:sz="0" w:space="0" w:color="auto"/>
                                            <w:bottom w:val="none" w:sz="0" w:space="0" w:color="auto"/>
                                            <w:right w:val="none" w:sz="0" w:space="0" w:color="auto"/>
                                          </w:divBdr>
                                          <w:divsChild>
                                            <w:div w:id="1252424974">
                                              <w:marLeft w:val="0"/>
                                              <w:marRight w:val="0"/>
                                              <w:marTop w:val="0"/>
                                              <w:marBottom w:val="0"/>
                                              <w:divBdr>
                                                <w:top w:val="none" w:sz="0" w:space="0" w:color="auto"/>
                                                <w:left w:val="none" w:sz="0" w:space="0" w:color="auto"/>
                                                <w:bottom w:val="none" w:sz="0" w:space="0" w:color="auto"/>
                                                <w:right w:val="none" w:sz="0" w:space="0" w:color="auto"/>
                                              </w:divBdr>
                                              <w:divsChild>
                                                <w:div w:id="418866895">
                                                  <w:marLeft w:val="0"/>
                                                  <w:marRight w:val="0"/>
                                                  <w:marTop w:val="0"/>
                                                  <w:marBottom w:val="0"/>
                                                  <w:divBdr>
                                                    <w:top w:val="none" w:sz="0" w:space="0" w:color="auto"/>
                                                    <w:left w:val="none" w:sz="0" w:space="0" w:color="auto"/>
                                                    <w:bottom w:val="none" w:sz="0" w:space="0" w:color="auto"/>
                                                    <w:right w:val="none" w:sz="0" w:space="0" w:color="auto"/>
                                                  </w:divBdr>
                                                  <w:divsChild>
                                                    <w:div w:id="192620083">
                                                      <w:marLeft w:val="0"/>
                                                      <w:marRight w:val="0"/>
                                                      <w:marTop w:val="0"/>
                                                      <w:marBottom w:val="0"/>
                                                      <w:divBdr>
                                                        <w:top w:val="none" w:sz="0" w:space="0" w:color="auto"/>
                                                        <w:left w:val="none" w:sz="0" w:space="0" w:color="auto"/>
                                                        <w:bottom w:val="none" w:sz="0" w:space="0" w:color="auto"/>
                                                        <w:right w:val="none" w:sz="0" w:space="0" w:color="auto"/>
                                                      </w:divBdr>
                                                      <w:divsChild>
                                                        <w:div w:id="1980067571">
                                                          <w:marLeft w:val="0"/>
                                                          <w:marRight w:val="0"/>
                                                          <w:marTop w:val="0"/>
                                                          <w:marBottom w:val="0"/>
                                                          <w:divBdr>
                                                            <w:top w:val="none" w:sz="0" w:space="0" w:color="auto"/>
                                                            <w:left w:val="none" w:sz="0" w:space="0" w:color="auto"/>
                                                            <w:bottom w:val="none" w:sz="0" w:space="0" w:color="auto"/>
                                                            <w:right w:val="none" w:sz="0" w:space="0" w:color="auto"/>
                                                          </w:divBdr>
                                                          <w:divsChild>
                                                            <w:div w:id="279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9951903">
      <w:bodyDiv w:val="1"/>
      <w:marLeft w:val="0"/>
      <w:marRight w:val="0"/>
      <w:marTop w:val="0"/>
      <w:marBottom w:val="0"/>
      <w:divBdr>
        <w:top w:val="none" w:sz="0" w:space="0" w:color="auto"/>
        <w:left w:val="none" w:sz="0" w:space="0" w:color="auto"/>
        <w:bottom w:val="none" w:sz="0" w:space="0" w:color="auto"/>
        <w:right w:val="none" w:sz="0" w:space="0" w:color="auto"/>
      </w:divBdr>
    </w:div>
    <w:div w:id="1908757773">
      <w:bodyDiv w:val="1"/>
      <w:marLeft w:val="0"/>
      <w:marRight w:val="0"/>
      <w:marTop w:val="0"/>
      <w:marBottom w:val="0"/>
      <w:divBdr>
        <w:top w:val="none" w:sz="0" w:space="0" w:color="auto"/>
        <w:left w:val="none" w:sz="0" w:space="0" w:color="auto"/>
        <w:bottom w:val="none" w:sz="0" w:space="0" w:color="auto"/>
        <w:right w:val="none" w:sz="0" w:space="0" w:color="auto"/>
      </w:divBdr>
      <w:divsChild>
        <w:div w:id="832183360">
          <w:marLeft w:val="0"/>
          <w:marRight w:val="0"/>
          <w:marTop w:val="0"/>
          <w:marBottom w:val="600"/>
          <w:divBdr>
            <w:top w:val="none" w:sz="0" w:space="0" w:color="auto"/>
            <w:left w:val="none" w:sz="0" w:space="0" w:color="auto"/>
            <w:bottom w:val="none" w:sz="0" w:space="0" w:color="auto"/>
            <w:right w:val="none" w:sz="0" w:space="0" w:color="auto"/>
          </w:divBdr>
        </w:div>
        <w:div w:id="1613785659">
          <w:marLeft w:val="0"/>
          <w:marRight w:val="0"/>
          <w:marTop w:val="0"/>
          <w:marBottom w:val="600"/>
          <w:divBdr>
            <w:top w:val="none" w:sz="0" w:space="0" w:color="auto"/>
            <w:left w:val="none" w:sz="0" w:space="0" w:color="auto"/>
            <w:bottom w:val="none" w:sz="0" w:space="0" w:color="auto"/>
            <w:right w:val="none" w:sz="0" w:space="0" w:color="auto"/>
          </w:divBdr>
        </w:div>
      </w:divsChild>
    </w:div>
    <w:div w:id="1915434177">
      <w:bodyDiv w:val="1"/>
      <w:marLeft w:val="0"/>
      <w:marRight w:val="0"/>
      <w:marTop w:val="0"/>
      <w:marBottom w:val="0"/>
      <w:divBdr>
        <w:top w:val="none" w:sz="0" w:space="0" w:color="auto"/>
        <w:left w:val="none" w:sz="0" w:space="0" w:color="auto"/>
        <w:bottom w:val="none" w:sz="0" w:space="0" w:color="auto"/>
        <w:right w:val="none" w:sz="0" w:space="0" w:color="auto"/>
      </w:divBdr>
    </w:div>
    <w:div w:id="1919631230">
      <w:bodyDiv w:val="1"/>
      <w:marLeft w:val="0"/>
      <w:marRight w:val="0"/>
      <w:marTop w:val="0"/>
      <w:marBottom w:val="0"/>
      <w:divBdr>
        <w:top w:val="none" w:sz="0" w:space="0" w:color="auto"/>
        <w:left w:val="none" w:sz="0" w:space="0" w:color="auto"/>
        <w:bottom w:val="none" w:sz="0" w:space="0" w:color="auto"/>
        <w:right w:val="none" w:sz="0" w:space="0" w:color="auto"/>
      </w:divBdr>
    </w:div>
    <w:div w:id="1921668551">
      <w:bodyDiv w:val="1"/>
      <w:marLeft w:val="0"/>
      <w:marRight w:val="0"/>
      <w:marTop w:val="0"/>
      <w:marBottom w:val="0"/>
      <w:divBdr>
        <w:top w:val="none" w:sz="0" w:space="0" w:color="auto"/>
        <w:left w:val="none" w:sz="0" w:space="0" w:color="auto"/>
        <w:bottom w:val="none" w:sz="0" w:space="0" w:color="auto"/>
        <w:right w:val="none" w:sz="0" w:space="0" w:color="auto"/>
      </w:divBdr>
    </w:div>
    <w:div w:id="1933080404">
      <w:bodyDiv w:val="1"/>
      <w:marLeft w:val="0"/>
      <w:marRight w:val="0"/>
      <w:marTop w:val="0"/>
      <w:marBottom w:val="0"/>
      <w:divBdr>
        <w:top w:val="none" w:sz="0" w:space="0" w:color="auto"/>
        <w:left w:val="none" w:sz="0" w:space="0" w:color="auto"/>
        <w:bottom w:val="none" w:sz="0" w:space="0" w:color="auto"/>
        <w:right w:val="none" w:sz="0" w:space="0" w:color="auto"/>
      </w:divBdr>
    </w:div>
    <w:div w:id="1935242030">
      <w:bodyDiv w:val="1"/>
      <w:marLeft w:val="0"/>
      <w:marRight w:val="0"/>
      <w:marTop w:val="0"/>
      <w:marBottom w:val="0"/>
      <w:divBdr>
        <w:top w:val="none" w:sz="0" w:space="0" w:color="auto"/>
        <w:left w:val="none" w:sz="0" w:space="0" w:color="auto"/>
        <w:bottom w:val="none" w:sz="0" w:space="0" w:color="auto"/>
        <w:right w:val="none" w:sz="0" w:space="0" w:color="auto"/>
      </w:divBdr>
    </w:div>
    <w:div w:id="1938512299">
      <w:bodyDiv w:val="1"/>
      <w:marLeft w:val="0"/>
      <w:marRight w:val="0"/>
      <w:marTop w:val="0"/>
      <w:marBottom w:val="0"/>
      <w:divBdr>
        <w:top w:val="none" w:sz="0" w:space="0" w:color="auto"/>
        <w:left w:val="none" w:sz="0" w:space="0" w:color="auto"/>
        <w:bottom w:val="none" w:sz="0" w:space="0" w:color="auto"/>
        <w:right w:val="none" w:sz="0" w:space="0" w:color="auto"/>
      </w:divBdr>
    </w:div>
    <w:div w:id="1990088619">
      <w:bodyDiv w:val="1"/>
      <w:marLeft w:val="0"/>
      <w:marRight w:val="0"/>
      <w:marTop w:val="0"/>
      <w:marBottom w:val="0"/>
      <w:divBdr>
        <w:top w:val="none" w:sz="0" w:space="0" w:color="auto"/>
        <w:left w:val="none" w:sz="0" w:space="0" w:color="auto"/>
        <w:bottom w:val="none" w:sz="0" w:space="0" w:color="auto"/>
        <w:right w:val="none" w:sz="0" w:space="0" w:color="auto"/>
      </w:divBdr>
    </w:div>
    <w:div w:id="2003192326">
      <w:bodyDiv w:val="1"/>
      <w:marLeft w:val="0"/>
      <w:marRight w:val="0"/>
      <w:marTop w:val="0"/>
      <w:marBottom w:val="0"/>
      <w:divBdr>
        <w:top w:val="none" w:sz="0" w:space="0" w:color="auto"/>
        <w:left w:val="none" w:sz="0" w:space="0" w:color="auto"/>
        <w:bottom w:val="none" w:sz="0" w:space="0" w:color="auto"/>
        <w:right w:val="none" w:sz="0" w:space="0" w:color="auto"/>
      </w:divBdr>
    </w:div>
    <w:div w:id="2008633976">
      <w:bodyDiv w:val="1"/>
      <w:marLeft w:val="0"/>
      <w:marRight w:val="0"/>
      <w:marTop w:val="0"/>
      <w:marBottom w:val="0"/>
      <w:divBdr>
        <w:top w:val="none" w:sz="0" w:space="0" w:color="auto"/>
        <w:left w:val="none" w:sz="0" w:space="0" w:color="auto"/>
        <w:bottom w:val="none" w:sz="0" w:space="0" w:color="auto"/>
        <w:right w:val="none" w:sz="0" w:space="0" w:color="auto"/>
      </w:divBdr>
    </w:div>
    <w:div w:id="2017295379">
      <w:bodyDiv w:val="1"/>
      <w:marLeft w:val="0"/>
      <w:marRight w:val="0"/>
      <w:marTop w:val="0"/>
      <w:marBottom w:val="0"/>
      <w:divBdr>
        <w:top w:val="none" w:sz="0" w:space="0" w:color="auto"/>
        <w:left w:val="none" w:sz="0" w:space="0" w:color="auto"/>
        <w:bottom w:val="none" w:sz="0" w:space="0" w:color="auto"/>
        <w:right w:val="none" w:sz="0" w:space="0" w:color="auto"/>
      </w:divBdr>
    </w:div>
    <w:div w:id="2092041948">
      <w:bodyDiv w:val="1"/>
      <w:marLeft w:val="0"/>
      <w:marRight w:val="0"/>
      <w:marTop w:val="0"/>
      <w:marBottom w:val="0"/>
      <w:divBdr>
        <w:top w:val="none" w:sz="0" w:space="0" w:color="auto"/>
        <w:left w:val="none" w:sz="0" w:space="0" w:color="auto"/>
        <w:bottom w:val="none" w:sz="0" w:space="0" w:color="auto"/>
        <w:right w:val="none" w:sz="0" w:space="0" w:color="auto"/>
      </w:divBdr>
    </w:div>
    <w:div w:id="2113744382">
      <w:bodyDiv w:val="1"/>
      <w:marLeft w:val="0"/>
      <w:marRight w:val="0"/>
      <w:marTop w:val="0"/>
      <w:marBottom w:val="0"/>
      <w:divBdr>
        <w:top w:val="none" w:sz="0" w:space="0" w:color="auto"/>
        <w:left w:val="none" w:sz="0" w:space="0" w:color="auto"/>
        <w:bottom w:val="none" w:sz="0" w:space="0" w:color="auto"/>
        <w:right w:val="none" w:sz="0" w:space="0" w:color="auto"/>
      </w:divBdr>
    </w:div>
    <w:div w:id="2114594745">
      <w:bodyDiv w:val="1"/>
      <w:marLeft w:val="0"/>
      <w:marRight w:val="0"/>
      <w:marTop w:val="0"/>
      <w:marBottom w:val="0"/>
      <w:divBdr>
        <w:top w:val="none" w:sz="0" w:space="0" w:color="auto"/>
        <w:left w:val="none" w:sz="0" w:space="0" w:color="auto"/>
        <w:bottom w:val="none" w:sz="0" w:space="0" w:color="auto"/>
        <w:right w:val="none" w:sz="0" w:space="0" w:color="auto"/>
      </w:divBdr>
      <w:divsChild>
        <w:div w:id="552010832">
          <w:marLeft w:val="0"/>
          <w:marRight w:val="0"/>
          <w:marTop w:val="0"/>
          <w:marBottom w:val="0"/>
          <w:divBdr>
            <w:top w:val="none" w:sz="0" w:space="0" w:color="auto"/>
            <w:left w:val="none" w:sz="0" w:space="0" w:color="auto"/>
            <w:bottom w:val="none" w:sz="0" w:space="0" w:color="auto"/>
            <w:right w:val="none" w:sz="0" w:space="0" w:color="auto"/>
          </w:divBdr>
          <w:divsChild>
            <w:div w:id="747195058">
              <w:marLeft w:val="0"/>
              <w:marRight w:val="0"/>
              <w:marTop w:val="0"/>
              <w:marBottom w:val="0"/>
              <w:divBdr>
                <w:top w:val="none" w:sz="0" w:space="0" w:color="auto"/>
                <w:left w:val="none" w:sz="0" w:space="0" w:color="auto"/>
                <w:bottom w:val="none" w:sz="0" w:space="0" w:color="auto"/>
                <w:right w:val="none" w:sz="0" w:space="0" w:color="auto"/>
              </w:divBdr>
              <w:divsChild>
                <w:div w:id="554394505">
                  <w:marLeft w:val="0"/>
                  <w:marRight w:val="0"/>
                  <w:marTop w:val="0"/>
                  <w:marBottom w:val="0"/>
                  <w:divBdr>
                    <w:top w:val="none" w:sz="0" w:space="0" w:color="auto"/>
                    <w:left w:val="none" w:sz="0" w:space="0" w:color="auto"/>
                    <w:bottom w:val="none" w:sz="0" w:space="0" w:color="auto"/>
                    <w:right w:val="none" w:sz="0" w:space="0" w:color="auto"/>
                  </w:divBdr>
                  <w:divsChild>
                    <w:div w:id="400717393">
                      <w:marLeft w:val="0"/>
                      <w:marRight w:val="0"/>
                      <w:marTop w:val="0"/>
                      <w:marBottom w:val="0"/>
                      <w:divBdr>
                        <w:top w:val="none" w:sz="0" w:space="0" w:color="auto"/>
                        <w:left w:val="none" w:sz="0" w:space="0" w:color="auto"/>
                        <w:bottom w:val="none" w:sz="0" w:space="0" w:color="auto"/>
                        <w:right w:val="none" w:sz="0" w:space="0" w:color="auto"/>
                      </w:divBdr>
                      <w:divsChild>
                        <w:div w:id="783428888">
                          <w:marLeft w:val="0"/>
                          <w:marRight w:val="0"/>
                          <w:marTop w:val="0"/>
                          <w:marBottom w:val="0"/>
                          <w:divBdr>
                            <w:top w:val="none" w:sz="0" w:space="0" w:color="auto"/>
                            <w:left w:val="none" w:sz="0" w:space="0" w:color="auto"/>
                            <w:bottom w:val="none" w:sz="0" w:space="0" w:color="auto"/>
                            <w:right w:val="none" w:sz="0" w:space="0" w:color="auto"/>
                          </w:divBdr>
                          <w:divsChild>
                            <w:div w:id="688066489">
                              <w:marLeft w:val="0"/>
                              <w:marRight w:val="0"/>
                              <w:marTop w:val="0"/>
                              <w:marBottom w:val="0"/>
                              <w:divBdr>
                                <w:top w:val="none" w:sz="0" w:space="0" w:color="auto"/>
                                <w:left w:val="none" w:sz="0" w:space="0" w:color="auto"/>
                                <w:bottom w:val="none" w:sz="0" w:space="0" w:color="auto"/>
                                <w:right w:val="none" w:sz="0" w:space="0" w:color="auto"/>
                              </w:divBdr>
                              <w:divsChild>
                                <w:div w:id="1651129900">
                                  <w:marLeft w:val="0"/>
                                  <w:marRight w:val="0"/>
                                  <w:marTop w:val="0"/>
                                  <w:marBottom w:val="0"/>
                                  <w:divBdr>
                                    <w:top w:val="none" w:sz="0" w:space="0" w:color="auto"/>
                                    <w:left w:val="none" w:sz="0" w:space="0" w:color="auto"/>
                                    <w:bottom w:val="none" w:sz="0" w:space="0" w:color="auto"/>
                                    <w:right w:val="none" w:sz="0" w:space="0" w:color="auto"/>
                                  </w:divBdr>
                                  <w:divsChild>
                                    <w:div w:id="1457065644">
                                      <w:marLeft w:val="0"/>
                                      <w:marRight w:val="0"/>
                                      <w:marTop w:val="0"/>
                                      <w:marBottom w:val="0"/>
                                      <w:divBdr>
                                        <w:top w:val="none" w:sz="0" w:space="0" w:color="auto"/>
                                        <w:left w:val="none" w:sz="0" w:space="0" w:color="auto"/>
                                        <w:bottom w:val="none" w:sz="0" w:space="0" w:color="auto"/>
                                        <w:right w:val="none" w:sz="0" w:space="0" w:color="auto"/>
                                      </w:divBdr>
                                      <w:divsChild>
                                        <w:div w:id="35547743">
                                          <w:marLeft w:val="1"/>
                                          <w:marRight w:val="1"/>
                                          <w:marTop w:val="0"/>
                                          <w:marBottom w:val="600"/>
                                          <w:divBdr>
                                            <w:top w:val="none" w:sz="0" w:space="0" w:color="auto"/>
                                            <w:left w:val="none" w:sz="0" w:space="0" w:color="auto"/>
                                            <w:bottom w:val="none" w:sz="0" w:space="0" w:color="auto"/>
                                            <w:right w:val="none" w:sz="0" w:space="0" w:color="auto"/>
                                          </w:divBdr>
                                          <w:divsChild>
                                            <w:div w:id="575093043">
                                              <w:marLeft w:val="0"/>
                                              <w:marRight w:val="0"/>
                                              <w:marTop w:val="0"/>
                                              <w:marBottom w:val="0"/>
                                              <w:divBdr>
                                                <w:top w:val="none" w:sz="0" w:space="0" w:color="auto"/>
                                                <w:left w:val="none" w:sz="0" w:space="0" w:color="auto"/>
                                                <w:bottom w:val="none" w:sz="0" w:space="0" w:color="auto"/>
                                                <w:right w:val="none" w:sz="0" w:space="0" w:color="auto"/>
                                              </w:divBdr>
                                              <w:divsChild>
                                                <w:div w:id="15239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905990">
      <w:bodyDiv w:val="1"/>
      <w:marLeft w:val="0"/>
      <w:marRight w:val="0"/>
      <w:marTop w:val="0"/>
      <w:marBottom w:val="0"/>
      <w:divBdr>
        <w:top w:val="none" w:sz="0" w:space="0" w:color="auto"/>
        <w:left w:val="none" w:sz="0" w:space="0" w:color="auto"/>
        <w:bottom w:val="none" w:sz="0" w:space="0" w:color="auto"/>
        <w:right w:val="none" w:sz="0" w:space="0" w:color="auto"/>
      </w:divBdr>
    </w:div>
    <w:div w:id="2141216624">
      <w:bodyDiv w:val="1"/>
      <w:marLeft w:val="0"/>
      <w:marRight w:val="0"/>
      <w:marTop w:val="0"/>
      <w:marBottom w:val="0"/>
      <w:divBdr>
        <w:top w:val="none" w:sz="0" w:space="0" w:color="auto"/>
        <w:left w:val="none" w:sz="0" w:space="0" w:color="auto"/>
        <w:bottom w:val="none" w:sz="0" w:space="0" w:color="auto"/>
        <w:right w:val="none" w:sz="0" w:space="0" w:color="auto"/>
      </w:divBdr>
    </w:div>
    <w:div w:id="21413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uris/document/document.jsf?text=&amp;docid=207330&amp;pageIndex=0&amp;doclang=it&amp;mode=lst&amp;dir=&amp;occ=first&amp;part=1&amp;cid=2431756" TargetMode="External"/><Relationship Id="rId13" Type="http://schemas.openxmlformats.org/officeDocument/2006/relationships/hyperlink" Target="http://www.italgiure.giustizia.it/xway/application/nif/clean/hc.dll?verbo=attach&amp;db=snciv&amp;id=./20181102/snciv@sU0@a2018@n28053@tS.clean.pdf" TargetMode="External"/><Relationship Id="rId18" Type="http://schemas.openxmlformats.org/officeDocument/2006/relationships/hyperlink" Target="https://www.giustizia-amministrativa.it/cdsintra/cdsintra/AmministrazionePortale/DocumentViewer/index.html?ddocname=ZZHOIFUD4OPXJCBSU6RJJAHTHQ&amp;q=" TargetMode="External"/><Relationship Id="rId3" Type="http://schemas.openxmlformats.org/officeDocument/2006/relationships/styles" Target="styles.xml"/><Relationship Id="rId21" Type="http://schemas.openxmlformats.org/officeDocument/2006/relationships/hyperlink" Target="https://www.giustizia-amministrativa.it/cdsintra/cdsintra/AmministrazionePortale/DocumentViewer/index.html?ddocname=PIBJ3ODTLQEIFII2ZQTK5Y7UP4&amp;q=" TargetMode="External"/><Relationship Id="rId7" Type="http://schemas.openxmlformats.org/officeDocument/2006/relationships/image" Target="cid:image001.jpg@01D46788.BAD3C180" TargetMode="External"/><Relationship Id="rId12" Type="http://schemas.openxmlformats.org/officeDocument/2006/relationships/hyperlink" Target="http://www.italgiure.giustizia.it/xway/application/nif/clean/hc.dll?verbo=attach&amp;db=snciv&amp;id=./20181102/snciv@sU0@a2018@n28057@tO.clean.pdf" TargetMode="External"/><Relationship Id="rId17" Type="http://schemas.openxmlformats.org/officeDocument/2006/relationships/hyperlink" Target="https://www.giustizia-amministrativa.it/cdsintra/cdsintra/AmministrazionePortale/DocumentViewer/index.html?ddocname=Q4ZQE6WFTDDPKEOLADN2K7AGEQ&amp;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iustizia-amministrativa.it/cdsintra/cdsintra/AmministrazionePortale/DocumentViewer/index.html?ddocname=HMR2QGMNNVL7Y26OYCYEIVAO7Y&amp;q=" TargetMode="External"/><Relationship Id="rId20" Type="http://schemas.openxmlformats.org/officeDocument/2006/relationships/hyperlink" Target="https://www.giustizia-amministrativa.it/cdsintra/cdsintra/AmministrazionePortale/DocumentViewer/index.html?ddocname=GFYYO47CBDZIJQOEYSJVBHGSXU&amp;q="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talgiure.giustizia.it/xway/application/nif/clean/hc.dll?verbo=attach&amp;db=snciv&amp;id=./20181106/snciv@sU0@a2018@n28222@tO.clea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iustizia-amministrativa.it/cdsintra/cdsintra/AmministrazionePortale/DocumentViewer/index.html?ddocname=DKXW4WFEHHFD6KDKDM64YP3OWQ&amp;q=" TargetMode="External"/><Relationship Id="rId23" Type="http://schemas.openxmlformats.org/officeDocument/2006/relationships/hyperlink" Target="http://www.anticorruzione.it/portal/rest/jcr/repository/collaboration/Digital%20Assets/anacdocs/Attivita/Atti/Delibere/2018/linee_guida_servizilegali_delibera_907_2018.pdf" TargetMode="External"/><Relationship Id="rId10" Type="http://schemas.openxmlformats.org/officeDocument/2006/relationships/hyperlink" Target="http://curia.europa.eu/juris/document/document.jsf?text=&amp;docid=207424&amp;pageIndex=0&amp;doclang=it&amp;mode=lst&amp;dir=&amp;occ=first&amp;part=1&amp;cid=382653" TargetMode="External"/><Relationship Id="rId19" Type="http://schemas.openxmlformats.org/officeDocument/2006/relationships/hyperlink" Target="https://www.giustizia-amministrativa.it/cdsintra/cdsintra/AmministrazionePortale/DocumentViewer/index.html?ddocname=HJLRYSOAUYUV7QO22JSJX6KXIQ&amp;q=" TargetMode="External"/><Relationship Id="rId4" Type="http://schemas.openxmlformats.org/officeDocument/2006/relationships/settings" Target="settings.xml"/><Relationship Id="rId9" Type="http://schemas.openxmlformats.org/officeDocument/2006/relationships/hyperlink" Target="http://curia.europa.eu/juris/document/document.jsf?text=&amp;docid=207428&amp;pageIndex=0&amp;doclang=it&amp;mode=lst&amp;dir=&amp;occ=first&amp;part=1&amp;cid=382585" TargetMode="External"/><Relationship Id="rId14" Type="http://schemas.openxmlformats.org/officeDocument/2006/relationships/hyperlink" Target="https://www.giustizia-amministrativa.it/web/guest/archivio-in-evidenza" TargetMode="External"/><Relationship Id="rId22" Type="http://schemas.openxmlformats.org/officeDocument/2006/relationships/hyperlink" Target="http://www.gazzettaufficiale.it/atto/serie_generale/caricaDettaglioAtto/originario?atto.dataPubblicazioneGazzetta=2018-11-06&amp;atto.codiceRedazionale=18G00153&amp;elenco30giorni=tru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E4ED4-2DCC-4B25-AD31-684AF384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5088</Words>
  <Characters>29002</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Torretta</dc:creator>
  <cp:keywords/>
  <dc:description/>
  <cp:lastModifiedBy>CIARLONE Barbara</cp:lastModifiedBy>
  <cp:revision>14</cp:revision>
  <dcterms:created xsi:type="dcterms:W3CDTF">2018-11-09T15:29:00Z</dcterms:created>
  <dcterms:modified xsi:type="dcterms:W3CDTF">2018-11-12T07:31:00Z</dcterms:modified>
</cp:coreProperties>
</file>