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47A" w:rsidRPr="00426E76" w:rsidRDefault="001F247A" w:rsidP="001A18ED">
      <w:pPr>
        <w:pStyle w:val="Titolo"/>
        <w:spacing w:line="360" w:lineRule="auto"/>
        <w:ind w:left="567" w:right="284"/>
        <w:jc w:val="center"/>
        <w:rPr>
          <w:rStyle w:val="Enfasigrassetto"/>
          <w:rFonts w:ascii="Times New Roman" w:hAnsi="Times New Roman"/>
          <w:b w:val="0"/>
          <w:sz w:val="28"/>
          <w:szCs w:val="28"/>
        </w:rPr>
      </w:pPr>
    </w:p>
    <w:p w:rsidR="001F247A" w:rsidRPr="008C17D1" w:rsidRDefault="001F247A" w:rsidP="001A18ED">
      <w:pPr>
        <w:pStyle w:val="Titolo"/>
        <w:spacing w:line="360" w:lineRule="auto"/>
        <w:ind w:left="567" w:right="284"/>
        <w:jc w:val="center"/>
        <w:rPr>
          <w:rStyle w:val="Enfasigrassetto"/>
          <w:rFonts w:ascii="Times New Roman" w:hAnsi="Times New Roman"/>
          <w:sz w:val="28"/>
          <w:szCs w:val="28"/>
        </w:rPr>
      </w:pPr>
      <w:r w:rsidRPr="008C17D1">
        <w:rPr>
          <w:rStyle w:val="Enfasigrassetto"/>
          <w:rFonts w:ascii="Times New Roman" w:hAnsi="Times New Roman"/>
          <w:sz w:val="28"/>
          <w:szCs w:val="28"/>
        </w:rPr>
        <w:t>La cooperazione e l’integrazione tra Corti Supreme nazionali e sovranazionali</w:t>
      </w:r>
      <w:bookmarkStart w:id="0" w:name="_GoBack"/>
      <w:bookmarkEnd w:id="0"/>
    </w:p>
    <w:p w:rsidR="001F247A" w:rsidRPr="008C17D1" w:rsidRDefault="001F247A" w:rsidP="001A18ED">
      <w:pPr>
        <w:pStyle w:val="Titolo"/>
        <w:spacing w:line="360" w:lineRule="auto"/>
        <w:ind w:left="567" w:right="284"/>
        <w:jc w:val="center"/>
        <w:rPr>
          <w:rStyle w:val="Enfasigrassetto"/>
          <w:rFonts w:ascii="Times New Roman" w:hAnsi="Times New Roman"/>
          <w:sz w:val="28"/>
          <w:szCs w:val="28"/>
        </w:rPr>
      </w:pPr>
    </w:p>
    <w:p w:rsidR="001F247A" w:rsidRPr="008C17D1" w:rsidRDefault="001F247A" w:rsidP="001A18ED">
      <w:pPr>
        <w:pStyle w:val="Titolo"/>
        <w:spacing w:line="360" w:lineRule="auto"/>
        <w:ind w:left="567" w:right="284"/>
        <w:jc w:val="center"/>
        <w:rPr>
          <w:rStyle w:val="Enfasigrassetto"/>
          <w:rFonts w:ascii="Times New Roman" w:hAnsi="Times New Roman"/>
          <w:sz w:val="28"/>
          <w:szCs w:val="28"/>
        </w:rPr>
      </w:pPr>
      <w:r w:rsidRPr="008C17D1">
        <w:rPr>
          <w:rStyle w:val="Enfasigrassetto"/>
          <w:rFonts w:ascii="Times New Roman" w:hAnsi="Times New Roman"/>
          <w:sz w:val="28"/>
          <w:szCs w:val="28"/>
        </w:rPr>
        <w:t>Corte costituzionale – Palazzo della Consulta</w:t>
      </w:r>
    </w:p>
    <w:p w:rsidR="001F247A" w:rsidRPr="008C17D1" w:rsidRDefault="001F247A" w:rsidP="001A18ED">
      <w:pPr>
        <w:pStyle w:val="Titolo"/>
        <w:spacing w:line="360" w:lineRule="auto"/>
        <w:ind w:left="567" w:right="284"/>
        <w:jc w:val="center"/>
        <w:rPr>
          <w:rStyle w:val="Enfasigrassetto"/>
          <w:rFonts w:ascii="Times New Roman" w:hAnsi="Times New Roman"/>
          <w:sz w:val="28"/>
          <w:szCs w:val="28"/>
        </w:rPr>
      </w:pPr>
      <w:r w:rsidRPr="008C17D1">
        <w:rPr>
          <w:rStyle w:val="Enfasigrassetto"/>
          <w:rFonts w:ascii="Times New Roman" w:hAnsi="Times New Roman"/>
          <w:sz w:val="28"/>
          <w:szCs w:val="28"/>
        </w:rPr>
        <w:t xml:space="preserve">25 maggio 2017 </w:t>
      </w:r>
    </w:p>
    <w:p w:rsidR="001F247A" w:rsidRPr="008C17D1" w:rsidRDefault="001F247A" w:rsidP="001A18ED">
      <w:pPr>
        <w:spacing w:line="360" w:lineRule="auto"/>
        <w:ind w:left="567" w:right="284"/>
        <w:rPr>
          <w:rFonts w:ascii="Times New Roman" w:hAnsi="Times New Roman"/>
          <w:b/>
          <w:sz w:val="28"/>
          <w:szCs w:val="28"/>
        </w:rPr>
      </w:pPr>
    </w:p>
    <w:p w:rsidR="001F247A" w:rsidRPr="00426E76" w:rsidRDefault="001F247A" w:rsidP="001A18ED">
      <w:pPr>
        <w:pStyle w:val="Titolo"/>
        <w:spacing w:line="360" w:lineRule="auto"/>
        <w:ind w:left="567" w:right="284"/>
        <w:jc w:val="center"/>
        <w:rPr>
          <w:rStyle w:val="Enfasigrassetto"/>
          <w:rFonts w:ascii="Times New Roman" w:hAnsi="Times New Roman"/>
          <w:b w:val="0"/>
          <w:sz w:val="28"/>
          <w:szCs w:val="28"/>
        </w:rPr>
      </w:pPr>
      <w:r w:rsidRPr="00426E76">
        <w:rPr>
          <w:rStyle w:val="Enfasigrassetto"/>
          <w:rFonts w:ascii="Times New Roman" w:hAnsi="Times New Roman"/>
          <w:b w:val="0"/>
          <w:sz w:val="28"/>
          <w:szCs w:val="28"/>
        </w:rPr>
        <w:t xml:space="preserve">Saluto del Presidente </w:t>
      </w:r>
      <w:proofErr w:type="spellStart"/>
      <w:r w:rsidRPr="00426E76">
        <w:rPr>
          <w:rStyle w:val="Enfasigrassetto"/>
          <w:rFonts w:ascii="Times New Roman" w:hAnsi="Times New Roman"/>
          <w:b w:val="0"/>
          <w:sz w:val="28"/>
          <w:szCs w:val="28"/>
        </w:rPr>
        <w:t>Pajno</w:t>
      </w:r>
      <w:proofErr w:type="spellEnd"/>
    </w:p>
    <w:p w:rsidR="001A18ED" w:rsidRPr="00426E76" w:rsidRDefault="004709A1" w:rsidP="001A18ED">
      <w:pPr>
        <w:spacing w:line="360" w:lineRule="auto"/>
        <w:ind w:left="567" w:right="284"/>
        <w:jc w:val="both"/>
        <w:rPr>
          <w:rStyle w:val="Enfasigrassetto"/>
          <w:rFonts w:ascii="Times New Roman" w:hAnsi="Times New Roman"/>
          <w:b w:val="0"/>
          <w:sz w:val="28"/>
          <w:szCs w:val="28"/>
        </w:rPr>
      </w:pPr>
      <w:r w:rsidRPr="00426E76">
        <w:rPr>
          <w:rStyle w:val="Enfasigrassetto"/>
          <w:rFonts w:ascii="Times New Roman" w:hAnsi="Times New Roman"/>
          <w:b w:val="0"/>
          <w:sz w:val="28"/>
          <w:szCs w:val="28"/>
        </w:rPr>
        <w:t xml:space="preserve">Desidero anche io unire </w:t>
      </w:r>
      <w:r w:rsidR="007F1752" w:rsidRPr="00426E76">
        <w:rPr>
          <w:rStyle w:val="Enfasigrassetto"/>
          <w:rFonts w:ascii="Times New Roman" w:hAnsi="Times New Roman"/>
          <w:b w:val="0"/>
          <w:sz w:val="28"/>
          <w:szCs w:val="28"/>
        </w:rPr>
        <w:t xml:space="preserve">i miei </w:t>
      </w:r>
      <w:r w:rsidRPr="00426E76">
        <w:rPr>
          <w:rStyle w:val="Enfasigrassetto"/>
          <w:rFonts w:ascii="Times New Roman" w:hAnsi="Times New Roman"/>
          <w:b w:val="0"/>
          <w:sz w:val="28"/>
          <w:szCs w:val="28"/>
        </w:rPr>
        <w:t xml:space="preserve">ai </w:t>
      </w:r>
      <w:r w:rsidR="007F1752" w:rsidRPr="00426E76">
        <w:rPr>
          <w:rStyle w:val="Enfasigrassetto"/>
          <w:rFonts w:ascii="Times New Roman" w:hAnsi="Times New Roman"/>
          <w:b w:val="0"/>
          <w:sz w:val="28"/>
          <w:szCs w:val="28"/>
        </w:rPr>
        <w:t>saluti e agli apprezzamenti così</w:t>
      </w:r>
      <w:r w:rsidRPr="00426E76">
        <w:rPr>
          <w:rStyle w:val="Enfasigrassetto"/>
          <w:rFonts w:ascii="Times New Roman" w:hAnsi="Times New Roman"/>
          <w:b w:val="0"/>
          <w:sz w:val="28"/>
          <w:szCs w:val="28"/>
        </w:rPr>
        <w:t xml:space="preserve"> </w:t>
      </w:r>
      <w:proofErr w:type="spellStart"/>
      <w:r w:rsidRPr="00426E76">
        <w:rPr>
          <w:rStyle w:val="Enfasigrassetto"/>
          <w:rFonts w:ascii="Times New Roman" w:hAnsi="Times New Roman"/>
          <w:b w:val="0"/>
          <w:sz w:val="28"/>
          <w:szCs w:val="28"/>
        </w:rPr>
        <w:t>autorevolem</w:t>
      </w:r>
      <w:r w:rsidR="007F1752" w:rsidRPr="00426E76">
        <w:rPr>
          <w:rStyle w:val="Enfasigrassetto"/>
          <w:rFonts w:ascii="Times New Roman" w:hAnsi="Times New Roman"/>
          <w:b w:val="0"/>
          <w:sz w:val="28"/>
          <w:szCs w:val="28"/>
        </w:rPr>
        <w:t>ente</w:t>
      </w:r>
      <w:proofErr w:type="spellEnd"/>
      <w:r w:rsidRPr="00426E76">
        <w:rPr>
          <w:rStyle w:val="Enfasigrassetto"/>
          <w:rFonts w:ascii="Times New Roman" w:hAnsi="Times New Roman"/>
          <w:b w:val="0"/>
          <w:sz w:val="28"/>
          <w:szCs w:val="28"/>
        </w:rPr>
        <w:t xml:space="preserve"> espressi da chi mi ha preceduto. Per quanto mi riguarda mi s</w:t>
      </w:r>
      <w:r w:rsidR="001F247A" w:rsidRPr="00426E76">
        <w:rPr>
          <w:rStyle w:val="Enfasigrassetto"/>
          <w:rFonts w:ascii="Times New Roman" w:hAnsi="Times New Roman"/>
          <w:b w:val="0"/>
          <w:sz w:val="28"/>
          <w:szCs w:val="28"/>
        </w:rPr>
        <w:t>embra importante sottolineare il fatto, di per sé eccezionale e significativo, che sono oggi qui riunit</w:t>
      </w:r>
      <w:r w:rsidR="007F1752" w:rsidRPr="00426E76">
        <w:rPr>
          <w:rStyle w:val="Enfasigrassetto"/>
          <w:rFonts w:ascii="Times New Roman" w:hAnsi="Times New Roman"/>
          <w:b w:val="0"/>
          <w:sz w:val="28"/>
          <w:szCs w:val="28"/>
        </w:rPr>
        <w:t>i</w:t>
      </w:r>
      <w:r w:rsidR="001F247A" w:rsidRPr="00426E76">
        <w:rPr>
          <w:rStyle w:val="Enfasigrassetto"/>
          <w:rFonts w:ascii="Times New Roman" w:hAnsi="Times New Roman"/>
          <w:b w:val="0"/>
          <w:sz w:val="28"/>
          <w:szCs w:val="28"/>
        </w:rPr>
        <w:t xml:space="preserve"> per confrontarsi e per scambiare idee ed esperienze rappresentanti di ben tre Corti supreme nazionali e di una Corte sovranazionale.</w:t>
      </w:r>
      <w:r w:rsidRPr="00426E76">
        <w:rPr>
          <w:rStyle w:val="Enfasigrassetto"/>
          <w:rFonts w:ascii="Times New Roman" w:hAnsi="Times New Roman"/>
          <w:b w:val="0"/>
          <w:sz w:val="28"/>
          <w:szCs w:val="28"/>
        </w:rPr>
        <w:t xml:space="preserve"> Siamo di fronte ad una esp</w:t>
      </w:r>
      <w:r w:rsidR="007F1752" w:rsidRPr="00426E76">
        <w:rPr>
          <w:rStyle w:val="Enfasigrassetto"/>
          <w:rFonts w:ascii="Times New Roman" w:hAnsi="Times New Roman"/>
          <w:b w:val="0"/>
          <w:sz w:val="28"/>
          <w:szCs w:val="28"/>
        </w:rPr>
        <w:t>erienza viva che dà</w:t>
      </w:r>
      <w:r w:rsidR="001A18ED" w:rsidRPr="00426E76">
        <w:rPr>
          <w:rStyle w:val="Enfasigrassetto"/>
          <w:rFonts w:ascii="Times New Roman" w:hAnsi="Times New Roman"/>
          <w:b w:val="0"/>
          <w:sz w:val="28"/>
          <w:szCs w:val="28"/>
        </w:rPr>
        <w:t xml:space="preserve"> concretezza al tema del dialogo tra le Cort</w:t>
      </w:r>
      <w:r w:rsidR="007F1752" w:rsidRPr="00426E76">
        <w:rPr>
          <w:rStyle w:val="Enfasigrassetto"/>
          <w:rFonts w:ascii="Times New Roman" w:hAnsi="Times New Roman"/>
          <w:b w:val="0"/>
          <w:sz w:val="28"/>
          <w:szCs w:val="28"/>
        </w:rPr>
        <w:t>i</w:t>
      </w:r>
      <w:r w:rsidR="001A18ED" w:rsidRPr="00426E76">
        <w:rPr>
          <w:rStyle w:val="Enfasigrassetto"/>
          <w:rFonts w:ascii="Times New Roman" w:hAnsi="Times New Roman"/>
          <w:b w:val="0"/>
          <w:sz w:val="28"/>
          <w:szCs w:val="28"/>
        </w:rPr>
        <w:t xml:space="preserve">. </w:t>
      </w:r>
    </w:p>
    <w:p w:rsidR="001F247A" w:rsidRPr="00426E76" w:rsidRDefault="001F247A" w:rsidP="001A18ED">
      <w:pPr>
        <w:spacing w:line="360" w:lineRule="auto"/>
        <w:ind w:left="567" w:right="284"/>
        <w:jc w:val="both"/>
        <w:rPr>
          <w:rStyle w:val="Enfasigrassetto"/>
          <w:rFonts w:ascii="Times New Roman" w:hAnsi="Times New Roman"/>
          <w:b w:val="0"/>
          <w:sz w:val="28"/>
          <w:szCs w:val="28"/>
        </w:rPr>
      </w:pPr>
      <w:r w:rsidRPr="00426E76">
        <w:rPr>
          <w:rStyle w:val="Enfasigrassetto"/>
          <w:rFonts w:ascii="Times New Roman" w:hAnsi="Times New Roman"/>
          <w:b w:val="0"/>
          <w:sz w:val="28"/>
          <w:szCs w:val="28"/>
        </w:rPr>
        <w:t xml:space="preserve">Proprio questa speciale occasione mi spinge a svolgere alcune considerazioni </w:t>
      </w:r>
      <w:proofErr w:type="gramStart"/>
      <w:r w:rsidRPr="00426E76">
        <w:rPr>
          <w:rStyle w:val="Enfasigrassetto"/>
          <w:rFonts w:ascii="Times New Roman" w:hAnsi="Times New Roman"/>
          <w:b w:val="0"/>
          <w:sz w:val="28"/>
          <w:szCs w:val="28"/>
        </w:rPr>
        <w:t>sul</w:t>
      </w:r>
      <w:proofErr w:type="gramEnd"/>
      <w:r w:rsidRPr="00426E76">
        <w:rPr>
          <w:rStyle w:val="Enfasigrassetto"/>
          <w:rFonts w:ascii="Times New Roman" w:hAnsi="Times New Roman"/>
          <w:b w:val="0"/>
          <w:sz w:val="28"/>
          <w:szCs w:val="28"/>
        </w:rPr>
        <w:t xml:space="preserve"> rapporto che le Corti Supreme stabiliscono tra loro, sia</w:t>
      </w:r>
      <w:r w:rsidR="004709A1" w:rsidRPr="00426E76">
        <w:rPr>
          <w:rStyle w:val="Enfasigrassetto"/>
          <w:rFonts w:ascii="Times New Roman" w:hAnsi="Times New Roman"/>
          <w:b w:val="0"/>
          <w:sz w:val="28"/>
          <w:szCs w:val="28"/>
        </w:rPr>
        <w:t xml:space="preserve"> </w:t>
      </w:r>
      <w:r w:rsidRPr="00426E76">
        <w:rPr>
          <w:rStyle w:val="Enfasigrassetto"/>
          <w:rFonts w:ascii="Times New Roman" w:hAnsi="Times New Roman"/>
          <w:b w:val="0"/>
          <w:sz w:val="28"/>
          <w:szCs w:val="28"/>
        </w:rPr>
        <w:t>nel perimetro nazionale, sia nel sistema multilivello con quelle</w:t>
      </w:r>
      <w:r w:rsidR="004709A1" w:rsidRPr="00426E76">
        <w:rPr>
          <w:rStyle w:val="Enfasigrassetto"/>
          <w:rFonts w:ascii="Times New Roman" w:hAnsi="Times New Roman"/>
          <w:b w:val="0"/>
          <w:sz w:val="28"/>
          <w:szCs w:val="28"/>
        </w:rPr>
        <w:t xml:space="preserve"> sovranazionali</w:t>
      </w:r>
      <w:r w:rsidRPr="00426E76">
        <w:rPr>
          <w:rStyle w:val="Enfasigrassetto"/>
          <w:rFonts w:ascii="Times New Roman" w:hAnsi="Times New Roman"/>
          <w:b w:val="0"/>
          <w:sz w:val="28"/>
          <w:szCs w:val="28"/>
        </w:rPr>
        <w:t>,</w:t>
      </w:r>
      <w:r w:rsidR="004709A1" w:rsidRPr="00426E76">
        <w:rPr>
          <w:rStyle w:val="Enfasigrassetto"/>
          <w:rFonts w:ascii="Times New Roman" w:hAnsi="Times New Roman"/>
          <w:b w:val="0"/>
          <w:sz w:val="28"/>
          <w:szCs w:val="28"/>
        </w:rPr>
        <w:t xml:space="preserve"> e in particolare </w:t>
      </w:r>
      <w:r w:rsidRPr="00426E76">
        <w:rPr>
          <w:rStyle w:val="Enfasigrassetto"/>
          <w:rFonts w:ascii="Times New Roman" w:hAnsi="Times New Roman"/>
          <w:b w:val="0"/>
          <w:sz w:val="28"/>
          <w:szCs w:val="28"/>
        </w:rPr>
        <w:t xml:space="preserve">con la </w:t>
      </w:r>
      <w:r w:rsidR="004709A1" w:rsidRPr="00426E76">
        <w:rPr>
          <w:rStyle w:val="Enfasigrassetto"/>
          <w:rFonts w:ascii="Times New Roman" w:hAnsi="Times New Roman"/>
          <w:b w:val="0"/>
          <w:sz w:val="28"/>
          <w:szCs w:val="28"/>
        </w:rPr>
        <w:t xml:space="preserve">Corte di Giustizia e con </w:t>
      </w:r>
      <w:r w:rsidR="001B654E" w:rsidRPr="00426E76">
        <w:rPr>
          <w:rStyle w:val="Enfasigrassetto"/>
          <w:rFonts w:ascii="Times New Roman" w:hAnsi="Times New Roman"/>
          <w:b w:val="0"/>
          <w:sz w:val="28"/>
          <w:szCs w:val="28"/>
        </w:rPr>
        <w:t xml:space="preserve">la </w:t>
      </w:r>
      <w:r w:rsidRPr="00426E76">
        <w:rPr>
          <w:rStyle w:val="Enfasigrassetto"/>
          <w:rFonts w:ascii="Times New Roman" w:hAnsi="Times New Roman"/>
          <w:b w:val="0"/>
          <w:sz w:val="28"/>
          <w:szCs w:val="28"/>
        </w:rPr>
        <w:t>Corte europea dei diritti dell’uomo</w:t>
      </w:r>
      <w:r w:rsidR="004709A1" w:rsidRPr="00426E76">
        <w:rPr>
          <w:rStyle w:val="Enfasigrassetto"/>
          <w:rFonts w:ascii="Times New Roman" w:hAnsi="Times New Roman"/>
          <w:b w:val="0"/>
          <w:sz w:val="28"/>
          <w:szCs w:val="28"/>
        </w:rPr>
        <w:t>.</w:t>
      </w:r>
    </w:p>
    <w:p w:rsidR="005E67C5" w:rsidRDefault="001F247A" w:rsidP="001A18ED">
      <w:pPr>
        <w:spacing w:line="360" w:lineRule="auto"/>
        <w:ind w:left="567" w:right="284"/>
        <w:jc w:val="both"/>
        <w:rPr>
          <w:rStyle w:val="Enfasigrassetto"/>
          <w:rFonts w:ascii="Times New Roman" w:hAnsi="Times New Roman"/>
          <w:b w:val="0"/>
          <w:sz w:val="28"/>
          <w:szCs w:val="28"/>
        </w:rPr>
      </w:pPr>
      <w:r w:rsidRPr="00426E76">
        <w:rPr>
          <w:rStyle w:val="Enfasigrassetto"/>
          <w:rFonts w:ascii="Times New Roman" w:hAnsi="Times New Roman"/>
          <w:sz w:val="28"/>
          <w:szCs w:val="28"/>
        </w:rPr>
        <w:t xml:space="preserve">2. </w:t>
      </w:r>
      <w:r w:rsidRPr="00426E76">
        <w:rPr>
          <w:rStyle w:val="Enfasigrassetto"/>
          <w:rFonts w:ascii="Times New Roman" w:hAnsi="Times New Roman"/>
          <w:b w:val="0"/>
          <w:sz w:val="28"/>
          <w:szCs w:val="28"/>
        </w:rPr>
        <w:t>Il costante “</w:t>
      </w:r>
      <w:r w:rsidRPr="00426E76">
        <w:rPr>
          <w:rStyle w:val="Enfasigrassetto"/>
          <w:rFonts w:ascii="Times New Roman" w:hAnsi="Times New Roman"/>
          <w:b w:val="0"/>
          <w:i/>
          <w:sz w:val="28"/>
          <w:szCs w:val="28"/>
        </w:rPr>
        <w:t>dialogo di metodo</w:t>
      </w:r>
      <w:r w:rsidRPr="00426E76">
        <w:rPr>
          <w:rStyle w:val="Enfasigrassetto"/>
          <w:rFonts w:ascii="Times New Roman" w:hAnsi="Times New Roman"/>
          <w:b w:val="0"/>
          <w:sz w:val="28"/>
          <w:szCs w:val="28"/>
        </w:rPr>
        <w:t xml:space="preserve">” che negli anni si è sviluppato tra Corte costituzionale e Corte di Giustizia </w:t>
      </w:r>
      <w:r w:rsidR="001A18ED" w:rsidRPr="00426E76">
        <w:rPr>
          <w:rStyle w:val="Enfasigrassetto"/>
          <w:rFonts w:ascii="Times New Roman" w:hAnsi="Times New Roman"/>
          <w:b w:val="0"/>
          <w:sz w:val="28"/>
          <w:szCs w:val="28"/>
        </w:rPr>
        <w:t xml:space="preserve">e che ha avuto effetti positivi anche nei rapporti tra Corti nazionali e la stessa Corte di giustizia </w:t>
      </w:r>
      <w:r w:rsidRPr="00426E76">
        <w:rPr>
          <w:rStyle w:val="Enfasigrassetto"/>
          <w:rFonts w:ascii="Times New Roman" w:hAnsi="Times New Roman"/>
          <w:b w:val="0"/>
          <w:sz w:val="28"/>
          <w:szCs w:val="28"/>
        </w:rPr>
        <w:t xml:space="preserve">ha consentito di raggiungere alcuni punti fermi nella definizione del processo di integrazione europeo. </w:t>
      </w:r>
    </w:p>
    <w:p w:rsidR="001F247A" w:rsidRPr="005E67C5" w:rsidRDefault="001F247A" w:rsidP="005E67C5">
      <w:pPr>
        <w:spacing w:line="240" w:lineRule="auto"/>
        <w:ind w:left="567" w:right="284"/>
        <w:jc w:val="both"/>
        <w:rPr>
          <w:rFonts w:ascii="Times New Roman" w:hAnsi="Times New Roman"/>
          <w:bCs/>
          <w:sz w:val="24"/>
          <w:szCs w:val="24"/>
        </w:rPr>
      </w:pPr>
      <w:r w:rsidRPr="005E67C5">
        <w:rPr>
          <w:rStyle w:val="Enfasigrassetto"/>
          <w:rFonts w:ascii="Times New Roman" w:hAnsi="Times New Roman"/>
          <w:b w:val="0"/>
          <w:sz w:val="24"/>
          <w:szCs w:val="24"/>
        </w:rPr>
        <w:t xml:space="preserve">Oggi le forme di tutela, compresa quella amministrativa, </w:t>
      </w:r>
      <w:r w:rsidRPr="005E67C5">
        <w:rPr>
          <w:rFonts w:ascii="Times New Roman" w:hAnsi="Times New Roman"/>
          <w:sz w:val="24"/>
          <w:szCs w:val="24"/>
        </w:rPr>
        <w:t xml:space="preserve">si presentano fortemente integrate grazie all’impiego della tecnica del controllo diffuso di conformità del diritto nazionale al diritto europeo direttamente applicabile affidato all’obbligo di interpretazione conforme e al potere di “non applicazione” da parte del giudice comune. </w:t>
      </w:r>
    </w:p>
    <w:p w:rsidR="001F247A" w:rsidRPr="005E67C5" w:rsidRDefault="001F247A" w:rsidP="005E67C5">
      <w:pPr>
        <w:spacing w:after="0" w:line="240" w:lineRule="auto"/>
        <w:ind w:left="567" w:right="284"/>
        <w:jc w:val="both"/>
        <w:rPr>
          <w:rFonts w:ascii="Times New Roman" w:hAnsi="Times New Roman"/>
          <w:sz w:val="24"/>
          <w:szCs w:val="24"/>
        </w:rPr>
      </w:pPr>
      <w:r w:rsidRPr="005E67C5">
        <w:rPr>
          <w:rFonts w:ascii="Times New Roman" w:hAnsi="Times New Roman"/>
          <w:sz w:val="24"/>
          <w:szCs w:val="24"/>
        </w:rPr>
        <w:t xml:space="preserve">La Corte costituzionale, come è noto, mantiene </w:t>
      </w:r>
      <w:r w:rsidR="003A1717" w:rsidRPr="005E67C5">
        <w:rPr>
          <w:rFonts w:ascii="Times New Roman" w:hAnsi="Times New Roman"/>
          <w:sz w:val="24"/>
          <w:szCs w:val="24"/>
        </w:rPr>
        <w:t>alcuni spazi</w:t>
      </w:r>
      <w:r w:rsidRPr="005E67C5">
        <w:rPr>
          <w:rFonts w:ascii="Times New Roman" w:hAnsi="Times New Roman"/>
          <w:sz w:val="24"/>
          <w:szCs w:val="24"/>
        </w:rPr>
        <w:t xml:space="preserve"> di giudizio ad essa riservati mediante le c.d. </w:t>
      </w:r>
      <w:r w:rsidRPr="005E67C5">
        <w:rPr>
          <w:rFonts w:ascii="Times New Roman" w:hAnsi="Times New Roman"/>
          <w:i/>
          <w:sz w:val="24"/>
          <w:szCs w:val="24"/>
        </w:rPr>
        <w:t>clausole di salvaguardia</w:t>
      </w:r>
      <w:r w:rsidRPr="005E67C5">
        <w:rPr>
          <w:rFonts w:ascii="Times New Roman" w:hAnsi="Times New Roman"/>
          <w:sz w:val="24"/>
          <w:szCs w:val="24"/>
        </w:rPr>
        <w:t xml:space="preserve"> a protezione dei valori fondamentali che </w:t>
      </w:r>
      <w:r w:rsidRPr="005E67C5">
        <w:rPr>
          <w:rFonts w:ascii="Times New Roman" w:hAnsi="Times New Roman"/>
          <w:sz w:val="24"/>
          <w:szCs w:val="24"/>
        </w:rPr>
        <w:lastRenderedPageBreak/>
        <w:t xml:space="preserve">definiscono l'identità costituzionale nazionale (c.d. </w:t>
      </w:r>
      <w:proofErr w:type="spellStart"/>
      <w:r w:rsidRPr="005E67C5">
        <w:rPr>
          <w:rFonts w:ascii="Times New Roman" w:hAnsi="Times New Roman"/>
          <w:sz w:val="24"/>
          <w:szCs w:val="24"/>
        </w:rPr>
        <w:t>con</w:t>
      </w:r>
      <w:r w:rsidR="001A18ED" w:rsidRPr="005E67C5">
        <w:rPr>
          <w:rFonts w:ascii="Times New Roman" w:hAnsi="Times New Roman"/>
          <w:sz w:val="24"/>
          <w:szCs w:val="24"/>
        </w:rPr>
        <w:t>trolimiti</w:t>
      </w:r>
      <w:proofErr w:type="spellEnd"/>
      <w:r w:rsidR="001A18ED" w:rsidRPr="005E67C5">
        <w:rPr>
          <w:rFonts w:ascii="Times New Roman" w:hAnsi="Times New Roman"/>
          <w:sz w:val="24"/>
          <w:szCs w:val="24"/>
        </w:rPr>
        <w:t>) da proteggere da eventuali non consentite interferenze</w:t>
      </w:r>
      <w:r w:rsidRPr="005E67C5">
        <w:rPr>
          <w:rFonts w:ascii="Times New Roman" w:hAnsi="Times New Roman"/>
          <w:sz w:val="24"/>
          <w:szCs w:val="24"/>
        </w:rPr>
        <w:t xml:space="preserve"> es</w:t>
      </w:r>
      <w:r w:rsidR="001A18ED" w:rsidRPr="005E67C5">
        <w:rPr>
          <w:rFonts w:ascii="Times New Roman" w:hAnsi="Times New Roman"/>
          <w:sz w:val="24"/>
          <w:szCs w:val="24"/>
        </w:rPr>
        <w:t>terne.</w:t>
      </w:r>
      <w:r w:rsidRPr="005E67C5">
        <w:rPr>
          <w:rFonts w:ascii="Times New Roman" w:hAnsi="Times New Roman"/>
          <w:sz w:val="24"/>
          <w:szCs w:val="24"/>
        </w:rPr>
        <w:t xml:space="preserve"> </w:t>
      </w:r>
    </w:p>
    <w:p w:rsidR="005E67C5" w:rsidRDefault="005E67C5" w:rsidP="001A18ED">
      <w:pPr>
        <w:spacing w:after="0" w:line="360" w:lineRule="auto"/>
        <w:ind w:left="567" w:right="284" w:firstLine="284"/>
        <w:jc w:val="both"/>
        <w:rPr>
          <w:rFonts w:ascii="Times New Roman" w:hAnsi="Times New Roman"/>
          <w:sz w:val="28"/>
          <w:szCs w:val="28"/>
        </w:rPr>
      </w:pPr>
    </w:p>
    <w:p w:rsidR="00AD784E" w:rsidRDefault="001A18ED" w:rsidP="001A18ED">
      <w:pPr>
        <w:spacing w:after="0" w:line="360" w:lineRule="auto"/>
        <w:ind w:left="567" w:right="284" w:firstLine="284"/>
        <w:jc w:val="both"/>
        <w:rPr>
          <w:rFonts w:ascii="Times New Roman" w:hAnsi="Times New Roman"/>
          <w:sz w:val="28"/>
          <w:szCs w:val="28"/>
        </w:rPr>
      </w:pPr>
      <w:r w:rsidRPr="00426E76">
        <w:rPr>
          <w:rFonts w:ascii="Times New Roman" w:hAnsi="Times New Roman"/>
          <w:sz w:val="28"/>
          <w:szCs w:val="28"/>
        </w:rPr>
        <w:t>L’effettiva</w:t>
      </w:r>
      <w:r w:rsidR="001F247A" w:rsidRPr="00426E76">
        <w:rPr>
          <w:rFonts w:ascii="Times New Roman" w:hAnsi="Times New Roman"/>
          <w:sz w:val="28"/>
          <w:szCs w:val="28"/>
        </w:rPr>
        <w:t xml:space="preserve"> relazione tra ordinamenti è </w:t>
      </w:r>
      <w:r w:rsidRPr="00426E76">
        <w:rPr>
          <w:rFonts w:ascii="Times New Roman" w:hAnsi="Times New Roman"/>
          <w:sz w:val="28"/>
          <w:szCs w:val="28"/>
        </w:rPr>
        <w:t xml:space="preserve">comunque </w:t>
      </w:r>
      <w:r w:rsidR="001F247A" w:rsidRPr="00426E76">
        <w:rPr>
          <w:rFonts w:ascii="Times New Roman" w:hAnsi="Times New Roman"/>
          <w:sz w:val="28"/>
          <w:szCs w:val="28"/>
        </w:rPr>
        <w:t>correlata all</w:t>
      </w:r>
      <w:proofErr w:type="gramStart"/>
      <w:r w:rsidR="001F247A" w:rsidRPr="00426E76">
        <w:rPr>
          <w:rFonts w:ascii="Times New Roman" w:hAnsi="Times New Roman"/>
          <w:sz w:val="28"/>
          <w:szCs w:val="28"/>
        </w:rPr>
        <w:t>’“</w:t>
      </w:r>
      <w:proofErr w:type="gramEnd"/>
      <w:r w:rsidR="001F247A" w:rsidRPr="00426E76">
        <w:rPr>
          <w:rFonts w:ascii="Times New Roman" w:hAnsi="Times New Roman"/>
          <w:sz w:val="28"/>
          <w:szCs w:val="28"/>
        </w:rPr>
        <w:t xml:space="preserve">atteggiamento” concreto delle singole Corti. </w:t>
      </w:r>
      <w:r w:rsidRPr="00426E76">
        <w:rPr>
          <w:rFonts w:ascii="Times New Roman" w:hAnsi="Times New Roman"/>
          <w:sz w:val="28"/>
          <w:szCs w:val="28"/>
        </w:rPr>
        <w:t>E’ stato detto (</w:t>
      </w:r>
      <w:r w:rsidR="001F247A" w:rsidRPr="00426E76">
        <w:rPr>
          <w:rFonts w:ascii="Times New Roman" w:hAnsi="Times New Roman"/>
          <w:sz w:val="28"/>
          <w:szCs w:val="28"/>
        </w:rPr>
        <w:t xml:space="preserve">Marta </w:t>
      </w:r>
      <w:proofErr w:type="spellStart"/>
      <w:r w:rsidR="001F247A" w:rsidRPr="00426E76">
        <w:rPr>
          <w:rFonts w:ascii="Times New Roman" w:hAnsi="Times New Roman"/>
          <w:sz w:val="28"/>
          <w:szCs w:val="28"/>
        </w:rPr>
        <w:t>Cartabia</w:t>
      </w:r>
      <w:proofErr w:type="spellEnd"/>
      <w:r w:rsidRPr="00426E76">
        <w:rPr>
          <w:rFonts w:ascii="Times New Roman" w:hAnsi="Times New Roman"/>
          <w:sz w:val="28"/>
          <w:szCs w:val="28"/>
        </w:rPr>
        <w:t>)</w:t>
      </w:r>
      <w:r w:rsidR="001F247A" w:rsidRPr="00426E76">
        <w:rPr>
          <w:rFonts w:ascii="Times New Roman" w:hAnsi="Times New Roman"/>
          <w:sz w:val="28"/>
          <w:szCs w:val="28"/>
        </w:rPr>
        <w:t xml:space="preserve"> come, nel corso degli anni, le Corti costituzionali europee   hanno osservato, in relazione all’applicazione del diritto sovranazionale, comportamenti di </w:t>
      </w:r>
      <w:r w:rsidR="001F247A" w:rsidRPr="00426E76">
        <w:rPr>
          <w:rFonts w:ascii="Times New Roman" w:hAnsi="Times New Roman"/>
          <w:i/>
          <w:sz w:val="28"/>
          <w:szCs w:val="28"/>
        </w:rPr>
        <w:t>promozione, resistenza, difesa, conflitto, partecipazione</w:t>
      </w:r>
      <w:r w:rsidR="001F247A" w:rsidRPr="00426E76">
        <w:rPr>
          <w:rFonts w:ascii="Times New Roman" w:hAnsi="Times New Roman"/>
          <w:sz w:val="28"/>
          <w:szCs w:val="28"/>
        </w:rPr>
        <w:t xml:space="preserve">.   Forse oggi il concreto atteggiarsi delle relazioni tra Corte costituzionale italiana e Corte di Giustizia è chiaramente scolpito </w:t>
      </w:r>
      <w:r w:rsidR="00AD784E">
        <w:rPr>
          <w:rFonts w:ascii="Times New Roman" w:hAnsi="Times New Roman"/>
          <w:sz w:val="28"/>
          <w:szCs w:val="28"/>
        </w:rPr>
        <w:t xml:space="preserve">in alcune recenti decisioni </w:t>
      </w:r>
      <w:r w:rsidR="001F247A" w:rsidRPr="00426E76">
        <w:rPr>
          <w:rFonts w:ascii="Times New Roman" w:hAnsi="Times New Roman"/>
          <w:sz w:val="28"/>
          <w:szCs w:val="28"/>
        </w:rPr>
        <w:t>della stessa Corte costituzionale, che ha definito tale relazione come di “</w:t>
      </w:r>
      <w:r w:rsidR="001F247A" w:rsidRPr="00426E76">
        <w:rPr>
          <w:rFonts w:ascii="Times New Roman" w:hAnsi="Times New Roman"/>
          <w:i/>
          <w:sz w:val="28"/>
          <w:szCs w:val="28"/>
        </w:rPr>
        <w:t>unità nella diversità</w:t>
      </w:r>
      <w:r w:rsidR="001F247A" w:rsidRPr="00426E76">
        <w:rPr>
          <w:rFonts w:ascii="Times New Roman" w:hAnsi="Times New Roman"/>
          <w:sz w:val="28"/>
          <w:szCs w:val="28"/>
        </w:rPr>
        <w:t xml:space="preserve">”. </w:t>
      </w:r>
    </w:p>
    <w:p w:rsidR="00AD784E" w:rsidRDefault="00AD784E" w:rsidP="001A18ED">
      <w:pPr>
        <w:spacing w:after="0" w:line="360" w:lineRule="auto"/>
        <w:ind w:left="567" w:right="284" w:firstLine="284"/>
        <w:jc w:val="both"/>
        <w:rPr>
          <w:rFonts w:ascii="Times New Roman" w:hAnsi="Times New Roman"/>
          <w:sz w:val="28"/>
          <w:szCs w:val="28"/>
        </w:rPr>
      </w:pPr>
    </w:p>
    <w:p w:rsidR="001F247A" w:rsidRPr="005E67C5" w:rsidRDefault="001F247A" w:rsidP="005E67C5">
      <w:pPr>
        <w:spacing w:after="0" w:line="240" w:lineRule="auto"/>
        <w:ind w:left="567" w:right="284" w:firstLine="284"/>
        <w:jc w:val="both"/>
        <w:rPr>
          <w:rFonts w:ascii="Times New Roman" w:hAnsi="Times New Roman"/>
          <w:sz w:val="24"/>
          <w:szCs w:val="24"/>
        </w:rPr>
      </w:pPr>
      <w:r w:rsidRPr="005E67C5">
        <w:rPr>
          <w:rFonts w:ascii="Times New Roman" w:hAnsi="Times New Roman"/>
          <w:sz w:val="24"/>
          <w:szCs w:val="24"/>
        </w:rPr>
        <w:t>In particolare, si è sottolineato che “</w:t>
      </w:r>
      <w:r w:rsidRPr="005E67C5">
        <w:rPr>
          <w:rFonts w:ascii="Times New Roman" w:hAnsi="Times New Roman"/>
          <w:i/>
          <w:sz w:val="24"/>
          <w:szCs w:val="24"/>
        </w:rPr>
        <w:t>non vi sarebbe rispetto se le ragioni dell'unità pretendessero di cancellare il nucleo stesso dei valori su cui si regge lo Stato membro</w:t>
      </w:r>
      <w:r w:rsidRPr="005E67C5">
        <w:rPr>
          <w:rFonts w:ascii="Times New Roman" w:hAnsi="Times New Roman"/>
          <w:sz w:val="24"/>
          <w:szCs w:val="24"/>
        </w:rPr>
        <w:t>” e “</w:t>
      </w:r>
      <w:r w:rsidRPr="005E67C5">
        <w:rPr>
          <w:rFonts w:ascii="Times New Roman" w:hAnsi="Times New Roman"/>
          <w:i/>
          <w:sz w:val="24"/>
          <w:szCs w:val="24"/>
        </w:rPr>
        <w:t>non vi sarebbe neppure se la difesa della diversità eccedesse quel nucleo giungendo ad ostacolare la costruzione del futuro di pace, fondato su valori comuni, di cui parla il preambolo della Carta di Nizza</w:t>
      </w:r>
      <w:r w:rsidRPr="005E67C5">
        <w:rPr>
          <w:rFonts w:ascii="Times New Roman" w:hAnsi="Times New Roman"/>
          <w:sz w:val="24"/>
          <w:szCs w:val="24"/>
        </w:rPr>
        <w:t>”.</w:t>
      </w:r>
    </w:p>
    <w:p w:rsidR="003A1717" w:rsidRPr="00AD784E" w:rsidRDefault="003A1717" w:rsidP="001A18ED">
      <w:pPr>
        <w:spacing w:line="360" w:lineRule="auto"/>
        <w:ind w:left="567" w:right="284"/>
        <w:jc w:val="both"/>
        <w:rPr>
          <w:rStyle w:val="Enfasigrassetto"/>
          <w:rFonts w:ascii="Times New Roman" w:hAnsi="Times New Roman"/>
          <w:sz w:val="20"/>
          <w:szCs w:val="20"/>
        </w:rPr>
      </w:pPr>
    </w:p>
    <w:p w:rsidR="001F247A" w:rsidRPr="00426E76" w:rsidRDefault="001F247A" w:rsidP="001A18ED">
      <w:pPr>
        <w:spacing w:line="360" w:lineRule="auto"/>
        <w:ind w:left="567" w:right="284"/>
        <w:jc w:val="both"/>
        <w:rPr>
          <w:rStyle w:val="Enfasigrassetto"/>
          <w:rFonts w:ascii="Times New Roman" w:hAnsi="Times New Roman"/>
          <w:b w:val="0"/>
          <w:sz w:val="28"/>
          <w:szCs w:val="28"/>
        </w:rPr>
      </w:pPr>
      <w:r w:rsidRPr="00426E76">
        <w:rPr>
          <w:rStyle w:val="Enfasigrassetto"/>
          <w:rFonts w:ascii="Times New Roman" w:hAnsi="Times New Roman"/>
          <w:sz w:val="28"/>
          <w:szCs w:val="28"/>
        </w:rPr>
        <w:t>3</w:t>
      </w:r>
      <w:r w:rsidRPr="00426E76">
        <w:rPr>
          <w:rStyle w:val="Enfasigrassetto"/>
          <w:rFonts w:ascii="Times New Roman" w:hAnsi="Times New Roman"/>
          <w:b w:val="0"/>
          <w:sz w:val="28"/>
          <w:szCs w:val="28"/>
        </w:rPr>
        <w:t xml:space="preserve">. Personalmente sono convinto che l’ordinamento dell’Unione europea e quello nazionale </w:t>
      </w:r>
      <w:r w:rsidR="001A18ED" w:rsidRPr="00426E76">
        <w:rPr>
          <w:rStyle w:val="Enfasigrassetto"/>
          <w:rFonts w:ascii="Times New Roman" w:hAnsi="Times New Roman"/>
          <w:b w:val="0"/>
          <w:sz w:val="28"/>
          <w:szCs w:val="28"/>
        </w:rPr>
        <w:t>registrano</w:t>
      </w:r>
      <w:r w:rsidRPr="00426E76">
        <w:rPr>
          <w:rStyle w:val="Enfasigrassetto"/>
          <w:rFonts w:ascii="Times New Roman" w:hAnsi="Times New Roman"/>
          <w:b w:val="0"/>
          <w:sz w:val="28"/>
          <w:szCs w:val="28"/>
        </w:rPr>
        <w:t xml:space="preserve">, all’interno di un sistema giuridico unitario, una pluralità di </w:t>
      </w:r>
      <w:r w:rsidR="001A18ED" w:rsidRPr="00426E76">
        <w:rPr>
          <w:rStyle w:val="Enfasigrassetto"/>
          <w:rFonts w:ascii="Times New Roman" w:hAnsi="Times New Roman"/>
          <w:b w:val="0"/>
          <w:sz w:val="28"/>
          <w:szCs w:val="28"/>
        </w:rPr>
        <w:t xml:space="preserve">plessi giurisdizionali </w:t>
      </w:r>
      <w:r w:rsidRPr="00426E76">
        <w:rPr>
          <w:rStyle w:val="Enfasigrassetto"/>
          <w:rFonts w:ascii="Times New Roman" w:hAnsi="Times New Roman"/>
          <w:b w:val="0"/>
          <w:sz w:val="28"/>
          <w:szCs w:val="28"/>
        </w:rPr>
        <w:t>che è un valore in sé.</w:t>
      </w:r>
    </w:p>
    <w:p w:rsidR="001F247A" w:rsidRPr="00426E76" w:rsidRDefault="001F247A" w:rsidP="001A18ED">
      <w:pPr>
        <w:spacing w:line="360" w:lineRule="auto"/>
        <w:ind w:left="567" w:right="284"/>
        <w:jc w:val="both"/>
        <w:rPr>
          <w:rStyle w:val="Enfasigrassetto"/>
          <w:rFonts w:ascii="Times New Roman" w:hAnsi="Times New Roman"/>
          <w:b w:val="0"/>
          <w:sz w:val="28"/>
          <w:szCs w:val="28"/>
        </w:rPr>
      </w:pPr>
      <w:r w:rsidRPr="00426E76">
        <w:rPr>
          <w:rStyle w:val="Enfasigrassetto"/>
          <w:rFonts w:ascii="Times New Roman" w:hAnsi="Times New Roman"/>
          <w:b w:val="0"/>
          <w:sz w:val="28"/>
          <w:szCs w:val="28"/>
        </w:rPr>
        <w:t>E’ un valore innanzitutto perché consente di articolare una risposta di giustizia sempre più adeguata ad una realtà complessa e proteiforme.</w:t>
      </w:r>
    </w:p>
    <w:p w:rsidR="001F247A" w:rsidRPr="00426E76" w:rsidRDefault="001F247A" w:rsidP="001A18ED">
      <w:pPr>
        <w:spacing w:line="360" w:lineRule="auto"/>
        <w:ind w:left="567" w:right="284"/>
        <w:jc w:val="both"/>
        <w:rPr>
          <w:rStyle w:val="Enfasigrassetto"/>
          <w:rFonts w:ascii="Times New Roman" w:hAnsi="Times New Roman"/>
          <w:b w:val="0"/>
          <w:sz w:val="28"/>
          <w:szCs w:val="28"/>
        </w:rPr>
      </w:pPr>
      <w:r w:rsidRPr="00426E76">
        <w:rPr>
          <w:rStyle w:val="Enfasigrassetto"/>
          <w:rFonts w:ascii="Times New Roman" w:hAnsi="Times New Roman"/>
          <w:b w:val="0"/>
          <w:sz w:val="28"/>
          <w:szCs w:val="28"/>
        </w:rPr>
        <w:t>E’ un valore anche perché determina un percorso culturale e lo plasma, trasformandone gli esiti in qualcosa che non è un rapporto tra estranei, ma un dialogo integrato tra organi giurisdizionali di un medesimo e sempre più unitario ordinamento giuridico.</w:t>
      </w:r>
    </w:p>
    <w:p w:rsidR="001F247A" w:rsidRPr="00426E76" w:rsidRDefault="001F247A" w:rsidP="001A18ED">
      <w:pPr>
        <w:spacing w:line="360" w:lineRule="auto"/>
        <w:ind w:left="567" w:right="284"/>
        <w:jc w:val="both"/>
        <w:rPr>
          <w:rStyle w:val="Enfasigrassetto"/>
          <w:rFonts w:ascii="Times New Roman" w:hAnsi="Times New Roman"/>
          <w:b w:val="0"/>
          <w:sz w:val="28"/>
          <w:szCs w:val="28"/>
        </w:rPr>
      </w:pPr>
      <w:r w:rsidRPr="00426E76">
        <w:rPr>
          <w:rStyle w:val="Enfasigrassetto"/>
          <w:rFonts w:ascii="Times New Roman" w:hAnsi="Times New Roman"/>
          <w:b w:val="0"/>
          <w:sz w:val="28"/>
          <w:szCs w:val="28"/>
        </w:rPr>
        <w:t xml:space="preserve">Nell’ordinamento italiano, come ho avuto modo di ricordare anche in occasione dell’inaugurazione dell’anno giudiziario 2017, questa direzione è stata imboccata da tempo, nella consapevolezza che le giurisdizioni che </w:t>
      </w:r>
      <w:r w:rsidRPr="00426E76">
        <w:rPr>
          <w:rStyle w:val="Enfasigrassetto"/>
          <w:rFonts w:ascii="Times New Roman" w:hAnsi="Times New Roman"/>
          <w:b w:val="0"/>
          <w:sz w:val="28"/>
          <w:szCs w:val="28"/>
        </w:rPr>
        <w:lastRenderedPageBreak/>
        <w:t>coesistono nell’ordinamento nazionale realizzano, con un sistema d</w:t>
      </w:r>
      <w:r w:rsidR="00084A14">
        <w:rPr>
          <w:rStyle w:val="Enfasigrassetto"/>
          <w:rFonts w:ascii="Times New Roman" w:hAnsi="Times New Roman"/>
          <w:b w:val="0"/>
          <w:sz w:val="28"/>
          <w:szCs w:val="28"/>
        </w:rPr>
        <w:t xml:space="preserve">i circolarità, la pienezza della tutela </w:t>
      </w:r>
      <w:proofErr w:type="spellStart"/>
      <w:r w:rsidR="00084A14">
        <w:rPr>
          <w:rStyle w:val="Enfasigrassetto"/>
          <w:rFonts w:ascii="Times New Roman" w:hAnsi="Times New Roman"/>
          <w:b w:val="0"/>
          <w:sz w:val="28"/>
          <w:szCs w:val="28"/>
        </w:rPr>
        <w:t>dlle</w:t>
      </w:r>
      <w:proofErr w:type="spellEnd"/>
      <w:r w:rsidRPr="00426E76">
        <w:rPr>
          <w:rStyle w:val="Enfasigrassetto"/>
          <w:rFonts w:ascii="Times New Roman" w:hAnsi="Times New Roman"/>
          <w:b w:val="0"/>
          <w:sz w:val="28"/>
          <w:szCs w:val="28"/>
        </w:rPr>
        <w:t xml:space="preserve"> posizioni giuridiche soggettive, a partire dai diritti fondamentali (v. Corte costituzionale </w:t>
      </w:r>
      <w:proofErr w:type="spellStart"/>
      <w:r w:rsidRPr="00426E76">
        <w:rPr>
          <w:rStyle w:val="Enfasigrassetto"/>
          <w:rFonts w:ascii="Times New Roman" w:hAnsi="Times New Roman"/>
          <w:b w:val="0"/>
          <w:sz w:val="28"/>
          <w:szCs w:val="28"/>
        </w:rPr>
        <w:t>ord</w:t>
      </w:r>
      <w:proofErr w:type="spellEnd"/>
      <w:r w:rsidRPr="00426E76">
        <w:rPr>
          <w:rStyle w:val="Enfasigrassetto"/>
          <w:rFonts w:ascii="Times New Roman" w:hAnsi="Times New Roman"/>
          <w:b w:val="0"/>
          <w:sz w:val="28"/>
          <w:szCs w:val="28"/>
        </w:rPr>
        <w:t>. n. 241 del 2010 sulla gestione dei rifiuti e Adunanza plenaria n. 7 del 2016 sul sostegno scolastico).</w:t>
      </w:r>
    </w:p>
    <w:p w:rsidR="001F247A" w:rsidRPr="00426E76" w:rsidRDefault="001F247A" w:rsidP="001A18ED">
      <w:pPr>
        <w:spacing w:line="360" w:lineRule="auto"/>
        <w:ind w:left="567" w:right="284"/>
        <w:jc w:val="both"/>
        <w:rPr>
          <w:rStyle w:val="Enfasigrassetto"/>
          <w:rFonts w:ascii="Times New Roman" w:hAnsi="Times New Roman"/>
          <w:b w:val="0"/>
          <w:sz w:val="28"/>
          <w:szCs w:val="28"/>
        </w:rPr>
      </w:pPr>
      <w:r w:rsidRPr="00426E76">
        <w:rPr>
          <w:rStyle w:val="Enfasigrassetto"/>
          <w:rFonts w:ascii="Times New Roman" w:hAnsi="Times New Roman"/>
          <w:b w:val="0"/>
          <w:sz w:val="28"/>
          <w:szCs w:val="28"/>
        </w:rPr>
        <w:t>Si tratta di un’esigenza sempre più avvertita e implementata attraverso numerosi canali.</w:t>
      </w:r>
    </w:p>
    <w:p w:rsidR="001F247A" w:rsidRPr="00426E76" w:rsidRDefault="001F247A" w:rsidP="001A18ED">
      <w:pPr>
        <w:spacing w:line="360" w:lineRule="auto"/>
        <w:ind w:left="567" w:right="284"/>
        <w:jc w:val="both"/>
        <w:rPr>
          <w:rStyle w:val="Enfasigrassetto"/>
          <w:rFonts w:ascii="Times New Roman" w:hAnsi="Times New Roman"/>
          <w:b w:val="0"/>
          <w:sz w:val="28"/>
          <w:szCs w:val="28"/>
        </w:rPr>
      </w:pPr>
      <w:r w:rsidRPr="00426E76">
        <w:rPr>
          <w:rStyle w:val="Enfasigrassetto"/>
          <w:rFonts w:ascii="Times New Roman" w:hAnsi="Times New Roman"/>
          <w:b w:val="0"/>
          <w:sz w:val="28"/>
          <w:szCs w:val="28"/>
        </w:rPr>
        <w:t>L’ultimo è stata la sottoscrizione del memorandum tra Corti supreme (Cassazione, Consiglio di Stato e Corte dei conti), presentato il 15 maggio scorso al Presidente della Repubblica, volto a garantire la cooperazione istituzionale e la cert</w:t>
      </w:r>
      <w:r w:rsidR="00084A14">
        <w:rPr>
          <w:rStyle w:val="Enfasigrassetto"/>
          <w:rFonts w:ascii="Times New Roman" w:hAnsi="Times New Roman"/>
          <w:b w:val="0"/>
          <w:sz w:val="28"/>
          <w:szCs w:val="28"/>
        </w:rPr>
        <w:t>ezza delle regole nel rispetto dell’autonomia</w:t>
      </w:r>
      <w:r w:rsidRPr="00426E76">
        <w:rPr>
          <w:rStyle w:val="Enfasigrassetto"/>
          <w:rFonts w:ascii="Times New Roman" w:hAnsi="Times New Roman"/>
          <w:b w:val="0"/>
          <w:sz w:val="28"/>
          <w:szCs w:val="28"/>
        </w:rPr>
        <w:t xml:space="preserve"> di ciascuna magistratura.</w:t>
      </w:r>
    </w:p>
    <w:p w:rsidR="001F247A" w:rsidRPr="00426E76" w:rsidRDefault="001F247A" w:rsidP="001A18ED">
      <w:pPr>
        <w:spacing w:line="360" w:lineRule="auto"/>
        <w:ind w:left="567" w:right="284"/>
        <w:jc w:val="both"/>
        <w:rPr>
          <w:rStyle w:val="Enfasigrassetto"/>
          <w:rFonts w:ascii="Times New Roman" w:hAnsi="Times New Roman"/>
          <w:b w:val="0"/>
          <w:sz w:val="28"/>
          <w:szCs w:val="28"/>
        </w:rPr>
      </w:pPr>
      <w:r w:rsidRPr="00426E76">
        <w:rPr>
          <w:rStyle w:val="Enfasigrassetto"/>
          <w:rFonts w:ascii="Times New Roman" w:hAnsi="Times New Roman"/>
          <w:b w:val="0"/>
          <w:sz w:val="28"/>
          <w:szCs w:val="28"/>
        </w:rPr>
        <w:t>L’armonizzazione delle interpretazioni, lo scambio conoscitivo tra Corti sono stati dunque considerati da queste elementi imprescindibili per raggiungere una ragionevole prevedibilità delle decisioni, dato che a sua volta sta alla base della certezza del diritto quale primo garante dell’effettività della tutela.</w:t>
      </w:r>
    </w:p>
    <w:p w:rsidR="001F247A" w:rsidRPr="00426E76" w:rsidRDefault="001F247A" w:rsidP="001A18ED">
      <w:pPr>
        <w:spacing w:line="360" w:lineRule="auto"/>
        <w:ind w:left="567" w:right="284"/>
        <w:jc w:val="both"/>
        <w:rPr>
          <w:rStyle w:val="Enfasigrassetto"/>
          <w:rFonts w:ascii="Times New Roman" w:hAnsi="Times New Roman"/>
          <w:b w:val="0"/>
          <w:sz w:val="28"/>
          <w:szCs w:val="28"/>
        </w:rPr>
      </w:pPr>
      <w:r w:rsidRPr="00426E76">
        <w:rPr>
          <w:rStyle w:val="Enfasigrassetto"/>
          <w:rFonts w:ascii="Times New Roman" w:hAnsi="Times New Roman"/>
          <w:b w:val="0"/>
          <w:sz w:val="28"/>
          <w:szCs w:val="28"/>
        </w:rPr>
        <w:t xml:space="preserve">In questo senso il Consiglio di Stato e la Cassazione avevano già sperimentato – e stanno ripetendo – un’esperienza di formale collaborazione tra l’Ufficio studi, massimario e formazione della Giustizia amministrativa e l’Ufficio del massimario della Cassazione che ha prodotto interessanti ricerche ed elaborazioni, operativamente riprese da un importante </w:t>
      </w:r>
      <w:proofErr w:type="spellStart"/>
      <w:r w:rsidRPr="00426E76">
        <w:rPr>
          <w:rStyle w:val="Enfasigrassetto"/>
          <w:rFonts w:ascii="Times New Roman" w:hAnsi="Times New Roman"/>
          <w:b w:val="0"/>
          <w:i/>
          <w:sz w:val="28"/>
          <w:szCs w:val="28"/>
        </w:rPr>
        <w:t>revirement</w:t>
      </w:r>
      <w:proofErr w:type="spellEnd"/>
      <w:r w:rsidRPr="00426E76">
        <w:rPr>
          <w:rStyle w:val="Enfasigrassetto"/>
          <w:rFonts w:ascii="Times New Roman" w:hAnsi="Times New Roman"/>
          <w:b w:val="0"/>
          <w:i/>
          <w:sz w:val="28"/>
          <w:szCs w:val="28"/>
        </w:rPr>
        <w:t xml:space="preserve"> </w:t>
      </w:r>
      <w:r w:rsidRPr="00426E76">
        <w:rPr>
          <w:rStyle w:val="Enfasigrassetto"/>
          <w:rFonts w:ascii="Times New Roman" w:hAnsi="Times New Roman"/>
          <w:b w:val="0"/>
          <w:sz w:val="28"/>
          <w:szCs w:val="28"/>
        </w:rPr>
        <w:t xml:space="preserve">delle Sezioni unite sulla c.d. </w:t>
      </w:r>
      <w:proofErr w:type="spellStart"/>
      <w:r w:rsidRPr="00426E76">
        <w:rPr>
          <w:rStyle w:val="Enfasigrassetto"/>
          <w:rFonts w:ascii="Times New Roman" w:hAnsi="Times New Roman"/>
          <w:b w:val="0"/>
          <w:sz w:val="28"/>
          <w:szCs w:val="28"/>
        </w:rPr>
        <w:t>autoeccezione</w:t>
      </w:r>
      <w:proofErr w:type="spellEnd"/>
      <w:r w:rsidRPr="00426E76">
        <w:rPr>
          <w:rStyle w:val="Enfasigrassetto"/>
          <w:rFonts w:ascii="Times New Roman" w:hAnsi="Times New Roman"/>
          <w:b w:val="0"/>
          <w:sz w:val="28"/>
          <w:szCs w:val="28"/>
        </w:rPr>
        <w:t xml:space="preserve"> di giurisdizione (20 ottobre 2016, n. 21260).</w:t>
      </w:r>
    </w:p>
    <w:p w:rsidR="001F247A" w:rsidRPr="00426E76" w:rsidRDefault="001F247A" w:rsidP="001A18ED">
      <w:pPr>
        <w:spacing w:line="360" w:lineRule="auto"/>
        <w:ind w:left="567" w:right="284"/>
        <w:jc w:val="both"/>
        <w:rPr>
          <w:rStyle w:val="Enfasigrassetto"/>
          <w:rFonts w:ascii="Times New Roman" w:hAnsi="Times New Roman"/>
          <w:b w:val="0"/>
          <w:sz w:val="28"/>
          <w:szCs w:val="28"/>
        </w:rPr>
      </w:pPr>
      <w:r w:rsidRPr="00426E76">
        <w:rPr>
          <w:rStyle w:val="Enfasigrassetto"/>
          <w:rFonts w:ascii="Times New Roman" w:hAnsi="Times New Roman"/>
          <w:b w:val="0"/>
          <w:sz w:val="28"/>
          <w:szCs w:val="28"/>
        </w:rPr>
        <w:t>Si tratta di un percorso che va incoraggiato e implementato.</w:t>
      </w:r>
    </w:p>
    <w:p w:rsidR="001F247A" w:rsidRPr="00426E76" w:rsidRDefault="001F247A" w:rsidP="001A18ED">
      <w:pPr>
        <w:spacing w:line="360" w:lineRule="auto"/>
        <w:ind w:left="567" w:right="284"/>
        <w:jc w:val="both"/>
        <w:rPr>
          <w:rStyle w:val="Enfasigrassetto"/>
          <w:rFonts w:ascii="Times New Roman" w:hAnsi="Times New Roman"/>
          <w:b w:val="0"/>
          <w:sz w:val="28"/>
          <w:szCs w:val="28"/>
        </w:rPr>
      </w:pPr>
      <w:r w:rsidRPr="00426E76">
        <w:rPr>
          <w:rStyle w:val="Enfasigrassetto"/>
          <w:rFonts w:ascii="Times New Roman" w:hAnsi="Times New Roman"/>
          <w:b w:val="0"/>
          <w:sz w:val="28"/>
          <w:szCs w:val="28"/>
        </w:rPr>
        <w:t xml:space="preserve">Un significativo “ponte” è stato peraltro teso tra le giurisdizioni dalla Corte costituzionale che, con la sentenza n. 77 del </w:t>
      </w:r>
      <w:smartTag w:uri="urn:schemas-microsoft-com:office:smarttags" w:element="metricconverter">
        <w:smartTagPr>
          <w:attr w:name="ProductID" w:val="2017, in"/>
        </w:smartTagPr>
        <w:r w:rsidRPr="00426E76">
          <w:rPr>
            <w:rStyle w:val="Enfasigrassetto"/>
            <w:rFonts w:ascii="Times New Roman" w:hAnsi="Times New Roman"/>
            <w:b w:val="0"/>
            <w:sz w:val="28"/>
            <w:szCs w:val="28"/>
          </w:rPr>
          <w:t>2007, ha</w:t>
        </w:r>
      </w:smartTag>
      <w:r w:rsidRPr="00426E76">
        <w:rPr>
          <w:rStyle w:val="Enfasigrassetto"/>
          <w:rFonts w:ascii="Times New Roman" w:hAnsi="Times New Roman"/>
          <w:b w:val="0"/>
          <w:sz w:val="28"/>
          <w:szCs w:val="28"/>
        </w:rPr>
        <w:t xml:space="preserve"> riconosciuto la c.d. </w:t>
      </w:r>
      <w:proofErr w:type="spellStart"/>
      <w:r w:rsidRPr="00426E76">
        <w:rPr>
          <w:rStyle w:val="Enfasigrassetto"/>
          <w:rFonts w:ascii="Times New Roman" w:hAnsi="Times New Roman"/>
          <w:b w:val="0"/>
          <w:i/>
          <w:sz w:val="28"/>
          <w:szCs w:val="28"/>
        </w:rPr>
        <w:t>translatio</w:t>
      </w:r>
      <w:proofErr w:type="spellEnd"/>
      <w:r w:rsidRPr="00426E76">
        <w:rPr>
          <w:rStyle w:val="Enfasigrassetto"/>
          <w:rFonts w:ascii="Times New Roman" w:hAnsi="Times New Roman"/>
          <w:b w:val="0"/>
          <w:i/>
          <w:sz w:val="28"/>
          <w:szCs w:val="28"/>
        </w:rPr>
        <w:t xml:space="preserve"> </w:t>
      </w:r>
      <w:proofErr w:type="spellStart"/>
      <w:r w:rsidRPr="00426E76">
        <w:rPr>
          <w:rStyle w:val="Enfasigrassetto"/>
          <w:rFonts w:ascii="Times New Roman" w:hAnsi="Times New Roman"/>
          <w:b w:val="0"/>
          <w:i/>
          <w:sz w:val="28"/>
          <w:szCs w:val="28"/>
        </w:rPr>
        <w:t>iudicii</w:t>
      </w:r>
      <w:proofErr w:type="spellEnd"/>
      <w:r w:rsidRPr="00426E76">
        <w:rPr>
          <w:rStyle w:val="Enfasigrassetto"/>
          <w:rFonts w:ascii="Times New Roman" w:hAnsi="Times New Roman"/>
          <w:b w:val="0"/>
          <w:sz w:val="28"/>
          <w:szCs w:val="28"/>
        </w:rPr>
        <w:t xml:space="preserve"> nel caso di declinatoria di giurisdizione.</w:t>
      </w:r>
    </w:p>
    <w:p w:rsidR="001F247A" w:rsidRPr="00710D50" w:rsidRDefault="001F247A" w:rsidP="00805C06">
      <w:pPr>
        <w:spacing w:after="0" w:line="240" w:lineRule="auto"/>
        <w:ind w:left="567" w:right="284"/>
        <w:jc w:val="both"/>
        <w:rPr>
          <w:rStyle w:val="Enfasigrassetto"/>
          <w:rFonts w:ascii="Times New Roman" w:hAnsi="Times New Roman"/>
          <w:b w:val="0"/>
          <w:sz w:val="24"/>
          <w:szCs w:val="24"/>
        </w:rPr>
      </w:pPr>
      <w:r w:rsidRPr="00710D50">
        <w:rPr>
          <w:rStyle w:val="Enfasigrassetto"/>
          <w:rFonts w:ascii="Times New Roman" w:hAnsi="Times New Roman"/>
          <w:b w:val="0"/>
          <w:sz w:val="24"/>
          <w:szCs w:val="24"/>
        </w:rPr>
        <w:t>In particolare, la Consulta ha ritenuto non conforme alla Costituzione la mancata previsione che gli effetti, sostanziali e processuali, prodotti dalla domanda proposta al giudice privo di giurisdizione si conservino, a seguito di declaratoria di giurisdizione, nel processo proseguito davanti al giudice munito di giurisdizione.</w:t>
      </w:r>
    </w:p>
    <w:p w:rsidR="001F247A" w:rsidRPr="00710D50" w:rsidRDefault="001F247A" w:rsidP="00805C06">
      <w:pPr>
        <w:spacing w:after="0" w:line="240" w:lineRule="auto"/>
        <w:ind w:left="567" w:right="284"/>
        <w:jc w:val="both"/>
        <w:rPr>
          <w:rStyle w:val="Enfasigrassetto"/>
          <w:rFonts w:ascii="Times New Roman" w:hAnsi="Times New Roman"/>
          <w:b w:val="0"/>
          <w:sz w:val="24"/>
          <w:szCs w:val="24"/>
        </w:rPr>
      </w:pPr>
      <w:r w:rsidRPr="00710D50">
        <w:rPr>
          <w:rStyle w:val="Enfasigrassetto"/>
          <w:rFonts w:ascii="Times New Roman" w:hAnsi="Times New Roman"/>
          <w:b w:val="0"/>
          <w:sz w:val="24"/>
          <w:szCs w:val="24"/>
        </w:rPr>
        <w:t>E’ di notevole importanza come questa decisione di rango costituzionale abbia messo bene in luce che le disposizioni processuali – e con esse dunque l’attività giurisdizionale complessivamente intesa – non sono fine a se stesse, ma funzionali alla miglior qualità della decisione di merito, per cui l’individuazione del giudice competente, ancorché gravida di risvolti di tutela costituzionalmente garantiti, «</w:t>
      </w:r>
      <w:r w:rsidRPr="00710D50">
        <w:rPr>
          <w:rStyle w:val="Enfasigrassetto"/>
          <w:rFonts w:ascii="Times New Roman" w:hAnsi="Times New Roman"/>
          <w:b w:val="0"/>
          <w:i/>
          <w:sz w:val="24"/>
          <w:szCs w:val="24"/>
        </w:rPr>
        <w:t>non sacrifica il diritto delle parti ad ottenere una risposta, affermativa o negativa, in ordine al "bene della vita" oggetto della loro contesa</w:t>
      </w:r>
      <w:r w:rsidRPr="00710D50">
        <w:rPr>
          <w:rStyle w:val="Enfasigrassetto"/>
          <w:rFonts w:ascii="Times New Roman" w:hAnsi="Times New Roman"/>
          <w:b w:val="0"/>
          <w:sz w:val="24"/>
          <w:szCs w:val="24"/>
        </w:rPr>
        <w:t>». Proprio gli articoli 24 e 111 della Carta fondamentale, ad avviso della Consulta, impongono che si ispiri ai medesimi principi «</w:t>
      </w:r>
      <w:r w:rsidRPr="00710D50">
        <w:rPr>
          <w:rStyle w:val="Enfasigrassetto"/>
          <w:rFonts w:ascii="Times New Roman" w:hAnsi="Times New Roman"/>
          <w:b w:val="0"/>
          <w:i/>
          <w:sz w:val="24"/>
          <w:szCs w:val="24"/>
        </w:rPr>
        <w:t>la disciplina dei rapporti tra giudici appartenenti ad ordini diversi allorché una causa, instaurata presso un giudice, debba essere decisa, a seguito di declinatoria della giurisdizione, da altro giudice</w:t>
      </w:r>
      <w:r w:rsidRPr="00710D50">
        <w:rPr>
          <w:rStyle w:val="Enfasigrassetto"/>
          <w:rFonts w:ascii="Times New Roman" w:hAnsi="Times New Roman"/>
          <w:b w:val="0"/>
          <w:sz w:val="24"/>
          <w:szCs w:val="24"/>
        </w:rPr>
        <w:t>».</w:t>
      </w:r>
    </w:p>
    <w:p w:rsidR="00805C06" w:rsidRDefault="00805C06" w:rsidP="001A18ED">
      <w:pPr>
        <w:pStyle w:val="Default"/>
        <w:spacing w:line="360" w:lineRule="auto"/>
        <w:ind w:left="567" w:right="284"/>
        <w:jc w:val="both"/>
        <w:rPr>
          <w:rStyle w:val="Enfasigrassetto"/>
          <w:rFonts w:ascii="Times New Roman" w:hAnsi="Times New Roman"/>
          <w:b w:val="0"/>
          <w:color w:val="auto"/>
          <w:sz w:val="28"/>
          <w:szCs w:val="28"/>
        </w:rPr>
      </w:pPr>
    </w:p>
    <w:p w:rsidR="001F247A" w:rsidRPr="00426E76" w:rsidRDefault="001F247A" w:rsidP="001A18ED">
      <w:pPr>
        <w:pStyle w:val="Default"/>
        <w:spacing w:line="360" w:lineRule="auto"/>
        <w:ind w:left="567" w:right="284"/>
        <w:jc w:val="both"/>
        <w:rPr>
          <w:rStyle w:val="Enfasigrassetto"/>
          <w:rFonts w:ascii="Times New Roman" w:hAnsi="Times New Roman"/>
          <w:b w:val="0"/>
          <w:color w:val="auto"/>
          <w:sz w:val="28"/>
          <w:szCs w:val="28"/>
        </w:rPr>
      </w:pPr>
      <w:r w:rsidRPr="00426E76">
        <w:rPr>
          <w:rStyle w:val="Enfasigrassetto"/>
          <w:rFonts w:ascii="Times New Roman" w:hAnsi="Times New Roman"/>
          <w:b w:val="0"/>
          <w:color w:val="auto"/>
          <w:sz w:val="28"/>
          <w:szCs w:val="28"/>
        </w:rPr>
        <w:t>Sul piano internazionale, si colgono fenomeni non dissimili da quelli fin qui menzionati.</w:t>
      </w:r>
    </w:p>
    <w:p w:rsidR="001F247A" w:rsidRPr="00426E76" w:rsidRDefault="001F247A" w:rsidP="001A18ED">
      <w:pPr>
        <w:pStyle w:val="Default"/>
        <w:spacing w:line="360" w:lineRule="auto"/>
        <w:ind w:left="567" w:right="284"/>
        <w:jc w:val="both"/>
        <w:rPr>
          <w:rStyle w:val="Enfasigrassetto"/>
          <w:rFonts w:ascii="Times New Roman" w:hAnsi="Times New Roman"/>
          <w:b w:val="0"/>
          <w:color w:val="auto"/>
          <w:sz w:val="28"/>
          <w:szCs w:val="28"/>
        </w:rPr>
      </w:pPr>
    </w:p>
    <w:p w:rsidR="001F247A" w:rsidRPr="00426E76" w:rsidRDefault="001F247A" w:rsidP="001A18ED">
      <w:pPr>
        <w:pStyle w:val="Default"/>
        <w:spacing w:line="360" w:lineRule="auto"/>
        <w:ind w:left="567" w:right="284"/>
        <w:jc w:val="both"/>
        <w:rPr>
          <w:rStyle w:val="Enfasigrassetto"/>
          <w:rFonts w:ascii="Times New Roman" w:hAnsi="Times New Roman"/>
          <w:b w:val="0"/>
          <w:color w:val="auto"/>
          <w:sz w:val="28"/>
          <w:szCs w:val="28"/>
        </w:rPr>
      </w:pPr>
      <w:r w:rsidRPr="00426E76">
        <w:rPr>
          <w:rStyle w:val="Enfasigrassetto"/>
          <w:rFonts w:ascii="Times New Roman" w:hAnsi="Times New Roman"/>
          <w:b w:val="0"/>
          <w:color w:val="auto"/>
          <w:sz w:val="28"/>
          <w:szCs w:val="28"/>
        </w:rPr>
        <w:t>In primo luogo, mi sia consentito sul piano dell’integrazione conoscitiva un accenno alla Rete dei Presidenti delle Corti europee, network che comprende la progettazione di un meta-motore di ricerca concernente gli archivi di legislazione e di giurisprudenza delle Corti Supreme Europee.</w:t>
      </w:r>
    </w:p>
    <w:p w:rsidR="001F247A" w:rsidRPr="00426E76" w:rsidRDefault="001F247A" w:rsidP="001A18ED">
      <w:pPr>
        <w:pStyle w:val="Default"/>
        <w:spacing w:line="360" w:lineRule="auto"/>
        <w:ind w:left="567" w:right="284"/>
        <w:jc w:val="both"/>
        <w:rPr>
          <w:rStyle w:val="Enfasigrassetto"/>
          <w:rFonts w:ascii="Times New Roman" w:hAnsi="Times New Roman"/>
          <w:b w:val="0"/>
          <w:color w:val="auto"/>
          <w:sz w:val="28"/>
          <w:szCs w:val="28"/>
        </w:rPr>
      </w:pPr>
    </w:p>
    <w:p w:rsidR="001F247A" w:rsidRPr="00426E76" w:rsidRDefault="001F247A" w:rsidP="001A18ED">
      <w:pPr>
        <w:pStyle w:val="Default"/>
        <w:spacing w:line="360" w:lineRule="auto"/>
        <w:ind w:left="567" w:right="284"/>
        <w:jc w:val="both"/>
        <w:rPr>
          <w:rStyle w:val="Enfasigrassetto"/>
          <w:rFonts w:ascii="Times New Roman" w:hAnsi="Times New Roman"/>
          <w:b w:val="0"/>
          <w:color w:val="auto"/>
          <w:sz w:val="28"/>
          <w:szCs w:val="28"/>
        </w:rPr>
      </w:pPr>
      <w:r w:rsidRPr="00426E76">
        <w:rPr>
          <w:rStyle w:val="Enfasigrassetto"/>
          <w:rFonts w:ascii="Times New Roman" w:hAnsi="Times New Roman"/>
          <w:b w:val="0"/>
          <w:color w:val="auto"/>
          <w:sz w:val="28"/>
          <w:szCs w:val="28"/>
        </w:rPr>
        <w:t>Ancora, un esempio importante del percorso di collaborazione e integrazione delle Corti supreme nazionali con quelle sovranazionali è costituito dal Protocollo n. 16 alla CEDU tra gli Stati membri del Consiglio d’Europa e le Alte Parti contraenti della Convenzione EDU, aperto alla firma il 2 ottobre 2013, che in qualche modo supera il rapporto di sussidiarietà preesistente, consentendo ai giudici nazionali di ultima istanza («</w:t>
      </w:r>
      <w:r w:rsidRPr="00426E76">
        <w:rPr>
          <w:rStyle w:val="Enfasigrassetto"/>
          <w:rFonts w:ascii="Times New Roman" w:hAnsi="Times New Roman"/>
          <w:b w:val="0"/>
          <w:i/>
          <w:color w:val="auto"/>
          <w:sz w:val="28"/>
          <w:szCs w:val="28"/>
        </w:rPr>
        <w:t>le più alte giurisdizioni di un’Alta Parte contraente</w:t>
      </w:r>
      <w:r w:rsidRPr="00426E76">
        <w:rPr>
          <w:rStyle w:val="Enfasigrassetto"/>
          <w:rFonts w:ascii="Times New Roman" w:hAnsi="Times New Roman"/>
          <w:b w:val="0"/>
          <w:color w:val="auto"/>
          <w:sz w:val="28"/>
          <w:szCs w:val="28"/>
        </w:rPr>
        <w:t>» designate dagli Stati aderenti) di rivolgersi direttamente alla Corte EDU, prima di assumere la propria decisione, per chiedere un'opinione "non vincolante" in ordine all'interpretazione del diritto della Corte dei diritti dell’uomo su «</w:t>
      </w:r>
      <w:r w:rsidRPr="00426E76">
        <w:rPr>
          <w:rStyle w:val="Enfasigrassetto"/>
          <w:rFonts w:ascii="Times New Roman" w:hAnsi="Times New Roman"/>
          <w:b w:val="0"/>
          <w:i/>
          <w:color w:val="auto"/>
          <w:sz w:val="28"/>
          <w:szCs w:val="28"/>
        </w:rPr>
        <w:t>questioni di principio relative all’interpretazione o all’applicazione dei diritti e delle libertà definiti dalla Convenzione o dai suoi Protocolli</w:t>
      </w:r>
      <w:r w:rsidRPr="00426E76">
        <w:rPr>
          <w:rStyle w:val="Enfasigrassetto"/>
          <w:rFonts w:ascii="Times New Roman" w:hAnsi="Times New Roman"/>
          <w:b w:val="0"/>
          <w:color w:val="auto"/>
          <w:sz w:val="28"/>
          <w:szCs w:val="28"/>
        </w:rPr>
        <w:t>».</w:t>
      </w:r>
    </w:p>
    <w:p w:rsidR="001F247A" w:rsidRPr="00426E76" w:rsidRDefault="001F247A" w:rsidP="001A18ED">
      <w:pPr>
        <w:pStyle w:val="Default"/>
        <w:spacing w:line="360" w:lineRule="auto"/>
        <w:ind w:left="567" w:right="284"/>
        <w:jc w:val="both"/>
        <w:rPr>
          <w:rStyle w:val="Enfasigrassetto"/>
          <w:rFonts w:ascii="Times New Roman" w:hAnsi="Times New Roman"/>
          <w:b w:val="0"/>
          <w:color w:val="auto"/>
          <w:sz w:val="28"/>
          <w:szCs w:val="28"/>
        </w:rPr>
      </w:pPr>
    </w:p>
    <w:p w:rsidR="001F247A" w:rsidRPr="00426E76" w:rsidRDefault="001F247A" w:rsidP="001A18ED">
      <w:pPr>
        <w:pStyle w:val="Default"/>
        <w:spacing w:line="360" w:lineRule="auto"/>
        <w:ind w:left="567" w:right="284"/>
        <w:jc w:val="both"/>
        <w:rPr>
          <w:rStyle w:val="Enfasigrassetto"/>
          <w:rFonts w:ascii="Times New Roman" w:hAnsi="Times New Roman"/>
          <w:b w:val="0"/>
          <w:color w:val="auto"/>
          <w:sz w:val="28"/>
          <w:szCs w:val="28"/>
        </w:rPr>
      </w:pPr>
      <w:r w:rsidRPr="00426E76">
        <w:rPr>
          <w:rStyle w:val="Enfasigrassetto"/>
          <w:rFonts w:ascii="Times New Roman" w:hAnsi="Times New Roman"/>
          <w:b w:val="0"/>
          <w:color w:val="auto"/>
          <w:sz w:val="28"/>
          <w:szCs w:val="28"/>
        </w:rPr>
        <w:t xml:space="preserve">Il rapporto di stretta integrazione tra diritto </w:t>
      </w:r>
      <w:proofErr w:type="spellStart"/>
      <w:r w:rsidRPr="00426E76">
        <w:rPr>
          <w:rStyle w:val="Enfasigrassetto"/>
          <w:rFonts w:ascii="Times New Roman" w:hAnsi="Times New Roman"/>
          <w:b w:val="0"/>
          <w:color w:val="auto"/>
          <w:sz w:val="28"/>
          <w:szCs w:val="28"/>
        </w:rPr>
        <w:t>eurounitario</w:t>
      </w:r>
      <w:proofErr w:type="spellEnd"/>
      <w:r w:rsidRPr="00426E76">
        <w:rPr>
          <w:rStyle w:val="Enfasigrassetto"/>
          <w:rFonts w:ascii="Times New Roman" w:hAnsi="Times New Roman"/>
          <w:b w:val="0"/>
          <w:color w:val="auto"/>
          <w:sz w:val="28"/>
          <w:szCs w:val="28"/>
        </w:rPr>
        <w:t xml:space="preserve"> e diritto nazionale è peraltro espressamente sancito nel nostro ordinamento dall’art. 1 del codice del processo amministrativo laddove prevede che «</w:t>
      </w:r>
      <w:r w:rsidRPr="00426E76">
        <w:rPr>
          <w:rStyle w:val="Enfasigrassetto"/>
          <w:rFonts w:ascii="Times New Roman" w:hAnsi="Times New Roman"/>
          <w:b w:val="0"/>
          <w:i/>
          <w:color w:val="auto"/>
          <w:sz w:val="28"/>
          <w:szCs w:val="28"/>
        </w:rPr>
        <w:t>la giurisdizione amministrativa assicura una tutela piena ed effettiva secondo i principi della Costituzione e del diritto europeo</w:t>
      </w:r>
      <w:r w:rsidRPr="00426E76">
        <w:rPr>
          <w:rStyle w:val="Enfasigrassetto"/>
          <w:rFonts w:ascii="Times New Roman" w:hAnsi="Times New Roman"/>
          <w:b w:val="0"/>
          <w:color w:val="auto"/>
          <w:sz w:val="28"/>
          <w:szCs w:val="28"/>
        </w:rPr>
        <w:t>», ponendo così sullo stesso piano i due termini assunti a parametro della garanzia giurisdizionale.</w:t>
      </w:r>
    </w:p>
    <w:p w:rsidR="001F247A" w:rsidRPr="00426E76" w:rsidRDefault="001F247A" w:rsidP="001A18ED">
      <w:pPr>
        <w:pStyle w:val="Default"/>
        <w:spacing w:line="360" w:lineRule="auto"/>
        <w:ind w:left="567" w:right="284"/>
        <w:jc w:val="both"/>
        <w:rPr>
          <w:rStyle w:val="Enfasigrassetto"/>
          <w:rFonts w:ascii="Times New Roman" w:hAnsi="Times New Roman"/>
          <w:b w:val="0"/>
          <w:color w:val="auto"/>
          <w:sz w:val="28"/>
          <w:szCs w:val="28"/>
        </w:rPr>
      </w:pPr>
      <w:r w:rsidRPr="00426E76">
        <w:rPr>
          <w:rStyle w:val="Enfasigrassetto"/>
          <w:rFonts w:ascii="Times New Roman" w:hAnsi="Times New Roman"/>
          <w:b w:val="0"/>
          <w:color w:val="auto"/>
          <w:sz w:val="28"/>
          <w:szCs w:val="28"/>
        </w:rPr>
        <w:t xml:space="preserve"> </w:t>
      </w:r>
    </w:p>
    <w:p w:rsidR="001F247A" w:rsidRPr="00426E76" w:rsidRDefault="001F247A" w:rsidP="001A18ED">
      <w:pPr>
        <w:pStyle w:val="Default"/>
        <w:spacing w:line="360" w:lineRule="auto"/>
        <w:ind w:left="567" w:right="284"/>
        <w:jc w:val="both"/>
        <w:rPr>
          <w:rStyle w:val="Enfasigrassetto"/>
          <w:rFonts w:ascii="Times New Roman" w:hAnsi="Times New Roman"/>
          <w:b w:val="0"/>
          <w:color w:val="auto"/>
          <w:sz w:val="28"/>
          <w:szCs w:val="28"/>
        </w:rPr>
      </w:pPr>
      <w:r w:rsidRPr="00426E76">
        <w:rPr>
          <w:rStyle w:val="Enfasigrassetto"/>
          <w:rFonts w:ascii="Times New Roman" w:hAnsi="Times New Roman"/>
          <w:b w:val="0"/>
          <w:color w:val="auto"/>
          <w:sz w:val="28"/>
          <w:szCs w:val="28"/>
        </w:rPr>
        <w:t xml:space="preserve">In questo modo la norma prende atto della reciproca permeabilità dei due sistemi di diritto sostanziale e, mediante la collocazione nella legge processuale amministrativa, della proiezione di questo effetto anche sul ruolo del Consiglio di Stato e della Corte di Giustizia che, in senso circolare e collaborativo, ne assicurano la globale effettività secondo un modello ordinamentale di tipo unitario. </w:t>
      </w:r>
    </w:p>
    <w:p w:rsidR="001F247A" w:rsidRPr="00426E76" w:rsidRDefault="001F247A" w:rsidP="001A18ED">
      <w:pPr>
        <w:pStyle w:val="Default"/>
        <w:spacing w:line="360" w:lineRule="auto"/>
        <w:ind w:left="567" w:right="284"/>
        <w:jc w:val="both"/>
        <w:rPr>
          <w:rStyle w:val="Enfasigrassetto"/>
          <w:rFonts w:ascii="Times New Roman" w:hAnsi="Times New Roman"/>
          <w:b w:val="0"/>
          <w:color w:val="auto"/>
          <w:sz w:val="28"/>
          <w:szCs w:val="28"/>
        </w:rPr>
      </w:pPr>
    </w:p>
    <w:p w:rsidR="001F247A" w:rsidRDefault="001F247A" w:rsidP="00B57E12">
      <w:pPr>
        <w:pStyle w:val="Default"/>
        <w:spacing w:line="360" w:lineRule="auto"/>
        <w:ind w:left="567" w:right="284"/>
        <w:jc w:val="both"/>
        <w:rPr>
          <w:rStyle w:val="Enfasigrassetto"/>
          <w:rFonts w:ascii="Times New Roman" w:hAnsi="Times New Roman"/>
          <w:b w:val="0"/>
          <w:color w:val="auto"/>
          <w:sz w:val="28"/>
          <w:szCs w:val="28"/>
        </w:rPr>
      </w:pPr>
      <w:r w:rsidRPr="00426E76">
        <w:rPr>
          <w:rStyle w:val="Enfasigrassetto"/>
          <w:rFonts w:ascii="Times New Roman" w:hAnsi="Times New Roman"/>
          <w:b w:val="0"/>
          <w:color w:val="auto"/>
          <w:sz w:val="28"/>
          <w:szCs w:val="28"/>
        </w:rPr>
        <w:t xml:space="preserve">Questa positiva tendenza è peraltro percepibile, con particolare incisività, proprio con riguardo alla Corte di Giustizia dell’Unione europea, che si occupa, con spazi di sempre maggiore ampiezza, del diritto amministrativo e anche, in </w:t>
      </w:r>
      <w:r w:rsidR="00426E76">
        <w:rPr>
          <w:rStyle w:val="Enfasigrassetto"/>
          <w:rFonts w:ascii="Times New Roman" w:hAnsi="Times New Roman"/>
          <w:b w:val="0"/>
          <w:color w:val="auto"/>
          <w:sz w:val="28"/>
          <w:szCs w:val="28"/>
        </w:rPr>
        <w:t>alcuni casi particolari</w:t>
      </w:r>
      <w:r w:rsidRPr="00426E76">
        <w:rPr>
          <w:rStyle w:val="Enfasigrassetto"/>
          <w:rFonts w:ascii="Times New Roman" w:hAnsi="Times New Roman"/>
          <w:b w:val="0"/>
          <w:color w:val="auto"/>
          <w:sz w:val="28"/>
          <w:szCs w:val="28"/>
        </w:rPr>
        <w:t>,</w:t>
      </w:r>
      <w:r w:rsidR="00B57E12" w:rsidRPr="00426E76">
        <w:rPr>
          <w:rStyle w:val="Enfasigrassetto"/>
          <w:rFonts w:ascii="Times New Roman" w:hAnsi="Times New Roman"/>
          <w:b w:val="0"/>
          <w:color w:val="auto"/>
          <w:sz w:val="28"/>
          <w:szCs w:val="28"/>
        </w:rPr>
        <w:t xml:space="preserve"> della giustizia amministrativa. </w:t>
      </w:r>
      <w:r w:rsidR="00084A14">
        <w:rPr>
          <w:rStyle w:val="Enfasigrassetto"/>
          <w:rFonts w:ascii="Times New Roman" w:hAnsi="Times New Roman"/>
          <w:b w:val="0"/>
          <w:color w:val="auto"/>
          <w:sz w:val="28"/>
          <w:szCs w:val="28"/>
        </w:rPr>
        <w:t xml:space="preserve">Si tratta di settori che, pur formalmente non rientrando nell’ambito di intervento della Corte di Giustizia, costituiscono la conseguenza di un percorso che registra, sul piano del diritto sostanziale, una crescente convergenza di regole, nonché il portato dell’esigenza sottesa all’applicazione del principio di effettività della tutela. </w:t>
      </w:r>
      <w:r w:rsidR="00B57E12" w:rsidRPr="00426E76">
        <w:rPr>
          <w:rFonts w:ascii="Times New Roman" w:hAnsi="Times New Roman" w:cs="Times New Roman"/>
          <w:sz w:val="28"/>
          <w:szCs w:val="28"/>
        </w:rPr>
        <w:t xml:space="preserve">Ed in nome di questa effettività che il diritto europeo e la stessa Corte di Giustizia </w:t>
      </w:r>
      <w:r w:rsidR="00084A14">
        <w:rPr>
          <w:rFonts w:ascii="Times New Roman" w:hAnsi="Times New Roman" w:cs="Times New Roman"/>
          <w:sz w:val="28"/>
          <w:szCs w:val="28"/>
        </w:rPr>
        <w:t xml:space="preserve">sono più volte intervenuti in ambiti di rilevanza processuale </w:t>
      </w:r>
      <w:r w:rsidR="00B57E12" w:rsidRPr="00426E76">
        <w:rPr>
          <w:rFonts w:ascii="Times New Roman" w:hAnsi="Times New Roman" w:cs="Times New Roman"/>
          <w:sz w:val="28"/>
          <w:szCs w:val="28"/>
        </w:rPr>
        <w:t xml:space="preserve">soprattutto quando si tratta di assicurare la tutela della concorrenza. Basti pensare alla stessa </w:t>
      </w:r>
      <w:r w:rsidR="009550E7">
        <w:rPr>
          <w:rFonts w:ascii="Times New Roman" w:hAnsi="Times New Roman" w:cs="Times New Roman"/>
          <w:sz w:val="28"/>
          <w:szCs w:val="28"/>
        </w:rPr>
        <w:t xml:space="preserve">c.d. </w:t>
      </w:r>
      <w:r w:rsidR="00B57E12" w:rsidRPr="00426E76">
        <w:rPr>
          <w:rFonts w:ascii="Times New Roman" w:hAnsi="Times New Roman" w:cs="Times New Roman"/>
          <w:i/>
          <w:sz w:val="28"/>
          <w:szCs w:val="28"/>
        </w:rPr>
        <w:t>direttiva ricorsi</w:t>
      </w:r>
      <w:r w:rsidR="00B57E12" w:rsidRPr="00426E76">
        <w:rPr>
          <w:rFonts w:ascii="Times New Roman" w:hAnsi="Times New Roman" w:cs="Times New Roman"/>
          <w:sz w:val="28"/>
          <w:szCs w:val="28"/>
        </w:rPr>
        <w:t xml:space="preserve"> del 2007 in materia di procedure di appalti pubblici e, più recentemente, alle sentenza della Corte di Giustizia in materia di ricorso</w:t>
      </w:r>
      <w:r w:rsidR="00B57E12" w:rsidRPr="00426E76">
        <w:rPr>
          <w:rStyle w:val="Enfasigrassetto"/>
          <w:rFonts w:ascii="Times New Roman" w:hAnsi="Times New Roman"/>
          <w:b w:val="0"/>
          <w:color w:val="auto"/>
          <w:sz w:val="28"/>
          <w:szCs w:val="28"/>
        </w:rPr>
        <w:t xml:space="preserve"> </w:t>
      </w:r>
      <w:r w:rsidRPr="00426E76">
        <w:rPr>
          <w:rStyle w:val="Enfasigrassetto"/>
          <w:rFonts w:ascii="Times New Roman" w:hAnsi="Times New Roman"/>
          <w:b w:val="0"/>
          <w:color w:val="auto"/>
          <w:sz w:val="28"/>
          <w:szCs w:val="28"/>
        </w:rPr>
        <w:t>incidentale escludente in materia di appalti pubblici.</w:t>
      </w:r>
    </w:p>
    <w:p w:rsidR="004C0BD1" w:rsidRDefault="004C0BD1" w:rsidP="00B57E12">
      <w:pPr>
        <w:pStyle w:val="Default"/>
        <w:spacing w:line="360" w:lineRule="auto"/>
        <w:ind w:left="567" w:right="284"/>
        <w:jc w:val="both"/>
        <w:rPr>
          <w:rStyle w:val="Enfasigrassetto"/>
          <w:rFonts w:ascii="Times New Roman" w:hAnsi="Times New Roman"/>
          <w:b w:val="0"/>
          <w:color w:val="auto"/>
          <w:sz w:val="28"/>
          <w:szCs w:val="28"/>
        </w:rPr>
      </w:pPr>
    </w:p>
    <w:p w:rsidR="001F247A" w:rsidRPr="00D60E81" w:rsidRDefault="00426E76" w:rsidP="00D60E81">
      <w:pPr>
        <w:pStyle w:val="Default"/>
        <w:spacing w:after="120" w:line="360" w:lineRule="auto"/>
        <w:ind w:left="567" w:right="283"/>
        <w:jc w:val="both"/>
        <w:rPr>
          <w:rStyle w:val="Enfasigrassetto"/>
          <w:rFonts w:ascii="Times New Roman" w:hAnsi="Times New Roman"/>
          <w:b w:val="0"/>
          <w:color w:val="auto"/>
          <w:sz w:val="28"/>
          <w:szCs w:val="28"/>
        </w:rPr>
      </w:pPr>
      <w:r w:rsidRPr="00D60E81">
        <w:rPr>
          <w:rStyle w:val="Enfasigrassetto"/>
          <w:rFonts w:ascii="Times New Roman" w:hAnsi="Times New Roman"/>
          <w:b w:val="0"/>
          <w:color w:val="auto"/>
          <w:sz w:val="28"/>
          <w:szCs w:val="28"/>
        </w:rPr>
        <w:t>A tale ultimo proposito l</w:t>
      </w:r>
      <w:r w:rsidR="001F247A" w:rsidRPr="00D60E81">
        <w:rPr>
          <w:rStyle w:val="Enfasigrassetto"/>
          <w:rFonts w:ascii="Times New Roman" w:hAnsi="Times New Roman"/>
          <w:b w:val="0"/>
          <w:color w:val="auto"/>
          <w:sz w:val="28"/>
          <w:szCs w:val="28"/>
        </w:rPr>
        <w:t>a questione</w:t>
      </w:r>
      <w:r w:rsidR="004C0DF4" w:rsidRPr="00D60E81">
        <w:rPr>
          <w:rStyle w:val="Enfasigrassetto"/>
          <w:rFonts w:ascii="Times New Roman" w:hAnsi="Times New Roman"/>
          <w:b w:val="0"/>
          <w:color w:val="auto"/>
          <w:sz w:val="28"/>
          <w:szCs w:val="28"/>
        </w:rPr>
        <w:t xml:space="preserve">, </w:t>
      </w:r>
      <w:r w:rsidR="001F247A" w:rsidRPr="00D60E81">
        <w:rPr>
          <w:rStyle w:val="Enfasigrassetto"/>
          <w:rFonts w:ascii="Times New Roman" w:hAnsi="Times New Roman"/>
          <w:b w:val="0"/>
          <w:color w:val="auto"/>
          <w:sz w:val="28"/>
          <w:szCs w:val="28"/>
        </w:rPr>
        <w:t>in origine</w:t>
      </w:r>
      <w:r w:rsidR="00DA2296" w:rsidRPr="00D60E81">
        <w:rPr>
          <w:rStyle w:val="Enfasigrassetto"/>
          <w:rFonts w:ascii="Times New Roman" w:hAnsi="Times New Roman"/>
          <w:b w:val="0"/>
          <w:color w:val="auto"/>
          <w:sz w:val="28"/>
          <w:szCs w:val="28"/>
        </w:rPr>
        <w:t xml:space="preserve"> emersa </w:t>
      </w:r>
      <w:r w:rsidR="001F247A" w:rsidRPr="00D60E81">
        <w:rPr>
          <w:rStyle w:val="Enfasigrassetto"/>
          <w:rFonts w:ascii="Times New Roman" w:hAnsi="Times New Roman"/>
          <w:b w:val="0"/>
          <w:color w:val="auto"/>
          <w:sz w:val="28"/>
          <w:szCs w:val="28"/>
        </w:rPr>
        <w:t xml:space="preserve">nelle gare con due soli concorrenti, </w:t>
      </w:r>
      <w:r w:rsidR="00DA2296" w:rsidRPr="00D60E81">
        <w:rPr>
          <w:rStyle w:val="Enfasigrassetto"/>
          <w:rFonts w:ascii="Times New Roman" w:hAnsi="Times New Roman"/>
          <w:b w:val="0"/>
          <w:color w:val="auto"/>
          <w:sz w:val="28"/>
          <w:szCs w:val="28"/>
        </w:rPr>
        <w:t>d</w:t>
      </w:r>
      <w:r w:rsidR="001F247A" w:rsidRPr="00D60E81">
        <w:rPr>
          <w:rStyle w:val="Enfasigrassetto"/>
          <w:rFonts w:ascii="Times New Roman" w:hAnsi="Times New Roman"/>
          <w:b w:val="0"/>
          <w:color w:val="auto"/>
          <w:sz w:val="28"/>
          <w:szCs w:val="28"/>
        </w:rPr>
        <w:t xml:space="preserve">opo molte </w:t>
      </w:r>
      <w:proofErr w:type="spellStart"/>
      <w:r w:rsidR="001F247A" w:rsidRPr="00D60E81">
        <w:rPr>
          <w:rStyle w:val="Enfasigrassetto"/>
          <w:rFonts w:ascii="Times New Roman" w:hAnsi="Times New Roman"/>
          <w:b w:val="0"/>
          <w:color w:val="auto"/>
          <w:sz w:val="28"/>
          <w:szCs w:val="28"/>
        </w:rPr>
        <w:t>traversìe</w:t>
      </w:r>
      <w:proofErr w:type="spellEnd"/>
      <w:r w:rsidR="001F247A" w:rsidRPr="00D60E81">
        <w:rPr>
          <w:rStyle w:val="Enfasigrassetto"/>
          <w:rFonts w:ascii="Times New Roman" w:hAnsi="Times New Roman"/>
          <w:b w:val="0"/>
          <w:color w:val="auto"/>
          <w:sz w:val="28"/>
          <w:szCs w:val="28"/>
        </w:rPr>
        <w:t>, aveva trovato una soluzione dapprima con la sentenza Fastweb (X Sezione, 4 luglio 2013, C-100/12)</w:t>
      </w:r>
      <w:r w:rsidR="00CC5F7D" w:rsidRPr="00D60E81">
        <w:rPr>
          <w:rStyle w:val="Enfasigrassetto"/>
          <w:rFonts w:ascii="Times New Roman" w:hAnsi="Times New Roman"/>
          <w:b w:val="0"/>
          <w:color w:val="auto"/>
          <w:sz w:val="28"/>
          <w:szCs w:val="28"/>
        </w:rPr>
        <w:t>,</w:t>
      </w:r>
      <w:r w:rsidR="001F247A" w:rsidRPr="00D60E81">
        <w:rPr>
          <w:rStyle w:val="Enfasigrassetto"/>
          <w:rFonts w:ascii="Times New Roman" w:hAnsi="Times New Roman"/>
          <w:b w:val="0"/>
          <w:color w:val="auto"/>
          <w:sz w:val="28"/>
          <w:szCs w:val="28"/>
        </w:rPr>
        <w:t xml:space="preserve"> </w:t>
      </w:r>
      <w:r w:rsidR="00DA2296" w:rsidRPr="00D60E81">
        <w:rPr>
          <w:rStyle w:val="Enfasigrassetto"/>
          <w:rFonts w:ascii="Times New Roman" w:hAnsi="Times New Roman"/>
          <w:b w:val="0"/>
          <w:color w:val="auto"/>
          <w:sz w:val="28"/>
          <w:szCs w:val="28"/>
        </w:rPr>
        <w:t>la quale aveva</w:t>
      </w:r>
      <w:r w:rsidR="001F247A" w:rsidRPr="00D60E81">
        <w:rPr>
          <w:rStyle w:val="Enfasigrassetto"/>
          <w:rFonts w:ascii="Times New Roman" w:hAnsi="Times New Roman"/>
          <w:b w:val="0"/>
          <w:color w:val="auto"/>
          <w:sz w:val="28"/>
          <w:szCs w:val="28"/>
        </w:rPr>
        <w:t xml:space="preserve"> </w:t>
      </w:r>
      <w:r w:rsidR="00DA2296" w:rsidRPr="00D60E81">
        <w:rPr>
          <w:rStyle w:val="Enfasigrassetto"/>
          <w:rFonts w:ascii="Times New Roman" w:hAnsi="Times New Roman"/>
          <w:b w:val="0"/>
          <w:color w:val="auto"/>
          <w:sz w:val="28"/>
          <w:szCs w:val="28"/>
        </w:rPr>
        <w:t xml:space="preserve">stabilito che </w:t>
      </w:r>
      <w:r w:rsidR="001F247A" w:rsidRPr="00D60E81">
        <w:rPr>
          <w:rStyle w:val="Enfasigrassetto"/>
          <w:rFonts w:ascii="Times New Roman" w:hAnsi="Times New Roman"/>
          <w:b w:val="0"/>
          <w:color w:val="auto"/>
          <w:sz w:val="28"/>
          <w:szCs w:val="28"/>
        </w:rPr>
        <w:t>«</w:t>
      </w:r>
      <w:r w:rsidR="001F247A" w:rsidRPr="00D60E81">
        <w:rPr>
          <w:rStyle w:val="Enfasigrassetto"/>
          <w:rFonts w:ascii="Times New Roman" w:hAnsi="Times New Roman"/>
          <w:b w:val="0"/>
          <w:i/>
          <w:color w:val="auto"/>
          <w:sz w:val="28"/>
          <w:szCs w:val="28"/>
        </w:rPr>
        <w:t>all’offerente che ha proposto ricorso contro la decisione di aggiudicazione di un appalto pubblico deve essere riconosciuto il diritto di contestare dinanzi a tale autorità, nell’ambito di tale procedimento, la fondatezza delle ragioni in base alle quali la sua offerta avrebbe dovuto essere esclusa</w:t>
      </w:r>
      <w:r w:rsidR="00DA2296" w:rsidRPr="00D60E81">
        <w:rPr>
          <w:rStyle w:val="Enfasigrassetto"/>
          <w:rFonts w:ascii="Times New Roman" w:hAnsi="Times New Roman"/>
          <w:b w:val="0"/>
          <w:color w:val="auto"/>
          <w:sz w:val="28"/>
          <w:szCs w:val="28"/>
        </w:rPr>
        <w:t>» e, s</w:t>
      </w:r>
      <w:r w:rsidR="001F247A" w:rsidRPr="00D60E81">
        <w:rPr>
          <w:rStyle w:val="Enfasigrassetto"/>
          <w:rFonts w:ascii="Times New Roman" w:hAnsi="Times New Roman"/>
          <w:b w:val="0"/>
          <w:color w:val="auto"/>
          <w:sz w:val="28"/>
          <w:szCs w:val="28"/>
        </w:rPr>
        <w:t>uccessivamente</w:t>
      </w:r>
      <w:r w:rsidR="00DA2296" w:rsidRPr="00D60E81">
        <w:rPr>
          <w:rStyle w:val="Enfasigrassetto"/>
          <w:rFonts w:ascii="Times New Roman" w:hAnsi="Times New Roman"/>
          <w:b w:val="0"/>
          <w:color w:val="auto"/>
          <w:sz w:val="28"/>
          <w:szCs w:val="28"/>
        </w:rPr>
        <w:t xml:space="preserve">, </w:t>
      </w:r>
      <w:r w:rsidR="00CC5F7D" w:rsidRPr="00D60E81">
        <w:rPr>
          <w:rStyle w:val="Enfasigrassetto"/>
          <w:rFonts w:ascii="Times New Roman" w:hAnsi="Times New Roman"/>
          <w:b w:val="0"/>
          <w:color w:val="auto"/>
          <w:sz w:val="28"/>
          <w:szCs w:val="28"/>
        </w:rPr>
        <w:t xml:space="preserve">con </w:t>
      </w:r>
      <w:r w:rsidR="001F247A" w:rsidRPr="00D60E81">
        <w:rPr>
          <w:rStyle w:val="Enfasigrassetto"/>
          <w:rFonts w:ascii="Times New Roman" w:hAnsi="Times New Roman"/>
          <w:b w:val="0"/>
          <w:color w:val="auto"/>
          <w:sz w:val="28"/>
          <w:szCs w:val="28"/>
        </w:rPr>
        <w:t xml:space="preserve">la sentenza c.d. </w:t>
      </w:r>
      <w:proofErr w:type="spellStart"/>
      <w:r w:rsidR="001F247A" w:rsidRPr="00D60E81">
        <w:rPr>
          <w:rStyle w:val="Enfasigrassetto"/>
          <w:rFonts w:ascii="Times New Roman" w:hAnsi="Times New Roman"/>
          <w:b w:val="0"/>
          <w:color w:val="auto"/>
          <w:sz w:val="28"/>
          <w:szCs w:val="28"/>
        </w:rPr>
        <w:t>Puligienica</w:t>
      </w:r>
      <w:proofErr w:type="spellEnd"/>
      <w:r w:rsidR="001F247A" w:rsidRPr="00D60E81">
        <w:rPr>
          <w:rStyle w:val="Enfasigrassetto"/>
          <w:rFonts w:ascii="Times New Roman" w:hAnsi="Times New Roman"/>
          <w:b w:val="0"/>
          <w:color w:val="auto"/>
          <w:sz w:val="28"/>
          <w:szCs w:val="28"/>
        </w:rPr>
        <w:t xml:space="preserve"> (Grande Sezione, 5 aprile 2016, in C-689/13)</w:t>
      </w:r>
      <w:r w:rsidR="00CC5F7D" w:rsidRPr="00D60E81">
        <w:rPr>
          <w:rStyle w:val="Enfasigrassetto"/>
          <w:rFonts w:ascii="Times New Roman" w:hAnsi="Times New Roman"/>
          <w:b w:val="0"/>
          <w:color w:val="auto"/>
          <w:sz w:val="28"/>
          <w:szCs w:val="28"/>
        </w:rPr>
        <w:t>,</w:t>
      </w:r>
      <w:r w:rsidR="00DA2296" w:rsidRPr="00D60E81">
        <w:rPr>
          <w:rStyle w:val="Enfasigrassetto"/>
          <w:rFonts w:ascii="Times New Roman" w:hAnsi="Times New Roman"/>
          <w:b w:val="0"/>
          <w:color w:val="auto"/>
          <w:sz w:val="28"/>
          <w:szCs w:val="28"/>
        </w:rPr>
        <w:t xml:space="preserve"> che aveva detto indifferente, ai fini dell’applicazione di questo principio</w:t>
      </w:r>
      <w:r w:rsidR="001F247A" w:rsidRPr="00D60E81">
        <w:rPr>
          <w:rStyle w:val="Enfasigrassetto"/>
          <w:rFonts w:ascii="Times New Roman" w:hAnsi="Times New Roman"/>
          <w:b w:val="0"/>
          <w:color w:val="auto"/>
          <w:sz w:val="28"/>
          <w:szCs w:val="28"/>
        </w:rPr>
        <w:t xml:space="preserve">, </w:t>
      </w:r>
      <w:r w:rsidR="00DA2296" w:rsidRPr="00D60E81">
        <w:rPr>
          <w:rStyle w:val="Enfasigrassetto"/>
          <w:rFonts w:ascii="Times New Roman" w:hAnsi="Times New Roman"/>
          <w:b w:val="0"/>
          <w:color w:val="auto"/>
          <w:sz w:val="28"/>
          <w:szCs w:val="28"/>
        </w:rPr>
        <w:t>sia</w:t>
      </w:r>
      <w:r w:rsidR="001F247A" w:rsidRPr="00D60E81">
        <w:rPr>
          <w:rStyle w:val="Enfasigrassetto"/>
          <w:rFonts w:ascii="Times New Roman" w:hAnsi="Times New Roman"/>
          <w:b w:val="0"/>
          <w:color w:val="auto"/>
          <w:sz w:val="28"/>
          <w:szCs w:val="28"/>
        </w:rPr>
        <w:t xml:space="preserve"> il numero d</w:t>
      </w:r>
      <w:r w:rsidR="00DA2296" w:rsidRPr="00D60E81">
        <w:rPr>
          <w:rStyle w:val="Enfasigrassetto"/>
          <w:rFonts w:ascii="Times New Roman" w:hAnsi="Times New Roman"/>
          <w:b w:val="0"/>
          <w:color w:val="auto"/>
          <w:sz w:val="28"/>
          <w:szCs w:val="28"/>
        </w:rPr>
        <w:t>e</w:t>
      </w:r>
      <w:r w:rsidR="001F247A" w:rsidRPr="00D60E81">
        <w:rPr>
          <w:rStyle w:val="Enfasigrassetto"/>
          <w:rFonts w:ascii="Times New Roman" w:hAnsi="Times New Roman"/>
          <w:b w:val="0"/>
          <w:color w:val="auto"/>
          <w:sz w:val="28"/>
          <w:szCs w:val="28"/>
        </w:rPr>
        <w:t xml:space="preserve">i partecipanti alla procedura, </w:t>
      </w:r>
      <w:r w:rsidR="00DA2296" w:rsidRPr="00D60E81">
        <w:rPr>
          <w:rStyle w:val="Enfasigrassetto"/>
          <w:rFonts w:ascii="Times New Roman" w:hAnsi="Times New Roman"/>
          <w:b w:val="0"/>
          <w:color w:val="auto"/>
          <w:sz w:val="28"/>
          <w:szCs w:val="28"/>
        </w:rPr>
        <w:t xml:space="preserve">sia quello </w:t>
      </w:r>
      <w:r w:rsidR="001F247A" w:rsidRPr="00D60E81">
        <w:rPr>
          <w:rStyle w:val="Enfasigrassetto"/>
          <w:rFonts w:ascii="Times New Roman" w:hAnsi="Times New Roman"/>
          <w:b w:val="0"/>
          <w:color w:val="auto"/>
          <w:sz w:val="28"/>
          <w:szCs w:val="28"/>
        </w:rPr>
        <w:t>d</w:t>
      </w:r>
      <w:r w:rsidR="00DA2296" w:rsidRPr="00D60E81">
        <w:rPr>
          <w:rStyle w:val="Enfasigrassetto"/>
          <w:rFonts w:ascii="Times New Roman" w:hAnsi="Times New Roman"/>
          <w:b w:val="0"/>
          <w:color w:val="auto"/>
          <w:sz w:val="28"/>
          <w:szCs w:val="28"/>
        </w:rPr>
        <w:t>e</w:t>
      </w:r>
      <w:r w:rsidR="001F247A" w:rsidRPr="00D60E81">
        <w:rPr>
          <w:rStyle w:val="Enfasigrassetto"/>
          <w:rFonts w:ascii="Times New Roman" w:hAnsi="Times New Roman"/>
          <w:b w:val="0"/>
          <w:color w:val="auto"/>
          <w:sz w:val="28"/>
          <w:szCs w:val="28"/>
        </w:rPr>
        <w:t xml:space="preserve">i partecipanti che hanno presentato ricorsi e la divergenza dei motivi dai medesimi dedotti. </w:t>
      </w:r>
    </w:p>
    <w:p w:rsidR="00DA2296" w:rsidRPr="00D60E81" w:rsidRDefault="00DA2296" w:rsidP="00D60E81">
      <w:pPr>
        <w:spacing w:after="120" w:line="360" w:lineRule="auto"/>
        <w:ind w:left="567" w:right="283"/>
        <w:jc w:val="both"/>
        <w:rPr>
          <w:rStyle w:val="Enfasigrassetto"/>
          <w:rFonts w:ascii="Times New Roman" w:hAnsi="Times New Roman"/>
          <w:b w:val="0"/>
          <w:sz w:val="28"/>
          <w:szCs w:val="28"/>
        </w:rPr>
      </w:pPr>
      <w:r w:rsidRPr="00D60E81">
        <w:rPr>
          <w:rStyle w:val="Enfasigrassetto"/>
          <w:rFonts w:ascii="Times New Roman" w:hAnsi="Times New Roman"/>
          <w:b w:val="0"/>
          <w:sz w:val="28"/>
          <w:szCs w:val="28"/>
        </w:rPr>
        <w:t>Nell’interpretazione nazionale tali principi sono stati ricondotti da</w:t>
      </w:r>
      <w:r w:rsidR="001F247A" w:rsidRPr="00D60E81">
        <w:rPr>
          <w:rStyle w:val="Enfasigrassetto"/>
          <w:rFonts w:ascii="Times New Roman" w:hAnsi="Times New Roman"/>
          <w:b w:val="0"/>
          <w:sz w:val="28"/>
          <w:szCs w:val="28"/>
        </w:rPr>
        <w:t xml:space="preserve">l Consiglio di Stato (sentenza 26 agosto 2016, n. 3708) </w:t>
      </w:r>
      <w:r w:rsidRPr="00D60E81">
        <w:rPr>
          <w:rStyle w:val="Enfasigrassetto"/>
          <w:rFonts w:ascii="Times New Roman" w:hAnsi="Times New Roman"/>
          <w:b w:val="0"/>
          <w:sz w:val="28"/>
          <w:szCs w:val="28"/>
        </w:rPr>
        <w:t xml:space="preserve">alla nozione di interesse, come predicata sia dall’ordinamento processuale interno sia da quello </w:t>
      </w:r>
      <w:proofErr w:type="spellStart"/>
      <w:r w:rsidRPr="00D60E81">
        <w:rPr>
          <w:rStyle w:val="Enfasigrassetto"/>
          <w:rFonts w:ascii="Times New Roman" w:hAnsi="Times New Roman"/>
          <w:b w:val="0"/>
          <w:sz w:val="28"/>
          <w:szCs w:val="28"/>
        </w:rPr>
        <w:t>eurounitario</w:t>
      </w:r>
      <w:proofErr w:type="spellEnd"/>
      <w:r w:rsidRPr="00D60E81">
        <w:rPr>
          <w:rStyle w:val="Enfasigrassetto"/>
          <w:rFonts w:ascii="Times New Roman" w:hAnsi="Times New Roman"/>
          <w:b w:val="0"/>
          <w:sz w:val="28"/>
          <w:szCs w:val="28"/>
        </w:rPr>
        <w:t xml:space="preserve"> mediante l’art. 1, comma 3, della direttiva 89/665, escludendo </w:t>
      </w:r>
      <w:r w:rsidR="001F247A" w:rsidRPr="00D60E81">
        <w:rPr>
          <w:rStyle w:val="Enfasigrassetto"/>
          <w:rFonts w:ascii="Times New Roman" w:hAnsi="Times New Roman"/>
          <w:b w:val="0"/>
          <w:sz w:val="28"/>
          <w:szCs w:val="28"/>
        </w:rPr>
        <w:t xml:space="preserve">che con la sentenza </w:t>
      </w:r>
      <w:proofErr w:type="spellStart"/>
      <w:r w:rsidR="001F247A" w:rsidRPr="00D60E81">
        <w:rPr>
          <w:rStyle w:val="Enfasigrassetto"/>
          <w:rFonts w:ascii="Times New Roman" w:hAnsi="Times New Roman"/>
          <w:b w:val="0"/>
          <w:sz w:val="28"/>
          <w:szCs w:val="28"/>
        </w:rPr>
        <w:t>Puligienica</w:t>
      </w:r>
      <w:proofErr w:type="spellEnd"/>
      <w:r w:rsidR="001F247A" w:rsidRPr="00D60E81">
        <w:rPr>
          <w:rStyle w:val="Enfasigrassetto"/>
          <w:rFonts w:ascii="Times New Roman" w:hAnsi="Times New Roman"/>
          <w:b w:val="0"/>
          <w:sz w:val="28"/>
          <w:szCs w:val="28"/>
        </w:rPr>
        <w:t xml:space="preserve"> «</w:t>
      </w:r>
      <w:r w:rsidR="001F247A" w:rsidRPr="00D60E81">
        <w:rPr>
          <w:rStyle w:val="Enfasigrassetto"/>
          <w:rFonts w:ascii="Times New Roman" w:hAnsi="Times New Roman"/>
          <w:b w:val="0"/>
          <w:i/>
          <w:sz w:val="28"/>
          <w:szCs w:val="28"/>
        </w:rPr>
        <w:t>la Corte di Giustizia abbia inteso prescrivere l'esame del ricorso principale anche nelle situazioni di fatto in cui dal suo accoglimento il ricorrente principale non ritrarrebbe alcun vantaggio, neanche in via strumentale</w:t>
      </w:r>
      <w:r w:rsidR="001F247A" w:rsidRPr="00D60E81">
        <w:rPr>
          <w:rStyle w:val="Enfasigrassetto"/>
          <w:rFonts w:ascii="Times New Roman" w:hAnsi="Times New Roman"/>
          <w:b w:val="0"/>
          <w:sz w:val="28"/>
          <w:szCs w:val="28"/>
        </w:rPr>
        <w:t>»</w:t>
      </w:r>
      <w:r w:rsidRPr="00D60E81">
        <w:rPr>
          <w:rStyle w:val="Enfasigrassetto"/>
          <w:rFonts w:ascii="Times New Roman" w:hAnsi="Times New Roman"/>
          <w:b w:val="0"/>
          <w:sz w:val="28"/>
          <w:szCs w:val="28"/>
        </w:rPr>
        <w:t>.</w:t>
      </w:r>
    </w:p>
    <w:p w:rsidR="001F247A" w:rsidRPr="00D60E81" w:rsidRDefault="001F247A" w:rsidP="00D60E81">
      <w:pPr>
        <w:spacing w:after="120" w:line="360" w:lineRule="auto"/>
        <w:ind w:left="567" w:right="283"/>
        <w:jc w:val="both"/>
        <w:rPr>
          <w:rStyle w:val="Enfasigrassetto"/>
          <w:rFonts w:ascii="Times New Roman" w:hAnsi="Times New Roman"/>
          <w:b w:val="0"/>
          <w:sz w:val="28"/>
          <w:szCs w:val="28"/>
        </w:rPr>
      </w:pPr>
      <w:r w:rsidRPr="00D60E81">
        <w:rPr>
          <w:rStyle w:val="Enfasigrassetto"/>
          <w:rFonts w:ascii="Times New Roman" w:hAnsi="Times New Roman"/>
          <w:b w:val="0"/>
          <w:sz w:val="28"/>
          <w:szCs w:val="28"/>
        </w:rPr>
        <w:t>Questa linea esplicativa è stata a sua volta ripresa dalla Corte di Giustizia (VIII Sezione, 21 dicembre 2016, in C-355/15, punto 29, richiamata da VIII Sezione, sentenza 10 maggio 2017, in C-131/16, punto 51) che</w:t>
      </w:r>
      <w:r w:rsidR="00DA2296" w:rsidRPr="00D60E81">
        <w:rPr>
          <w:rStyle w:val="Enfasigrassetto"/>
          <w:rFonts w:ascii="Times New Roman" w:hAnsi="Times New Roman"/>
          <w:b w:val="0"/>
          <w:sz w:val="28"/>
          <w:szCs w:val="28"/>
        </w:rPr>
        <w:t xml:space="preserve"> vi ha ricondotto </w:t>
      </w:r>
      <w:r w:rsidRPr="00D60E81">
        <w:rPr>
          <w:rStyle w:val="Enfasigrassetto"/>
          <w:rFonts w:ascii="Times New Roman" w:hAnsi="Times New Roman"/>
          <w:b w:val="0"/>
          <w:sz w:val="28"/>
          <w:szCs w:val="28"/>
        </w:rPr>
        <w:t>i propri precedenti sottoposti ad interpretazione dal Giudice italiano</w:t>
      </w:r>
      <w:r w:rsidR="00DA2296" w:rsidRPr="00D60E81">
        <w:rPr>
          <w:rStyle w:val="Enfasigrassetto"/>
          <w:rFonts w:ascii="Times New Roman" w:hAnsi="Times New Roman"/>
          <w:b w:val="0"/>
          <w:sz w:val="28"/>
          <w:szCs w:val="28"/>
        </w:rPr>
        <w:t xml:space="preserve">, in tal modo determinando </w:t>
      </w:r>
      <w:r w:rsidRPr="00D60E81">
        <w:rPr>
          <w:rStyle w:val="Enfasigrassetto"/>
          <w:rFonts w:ascii="Times New Roman" w:hAnsi="Times New Roman"/>
          <w:b w:val="0"/>
          <w:sz w:val="28"/>
          <w:szCs w:val="28"/>
        </w:rPr>
        <w:t xml:space="preserve">un circuito </w:t>
      </w:r>
      <w:r w:rsidR="00806F02" w:rsidRPr="00D60E81">
        <w:rPr>
          <w:rStyle w:val="Enfasigrassetto"/>
          <w:rFonts w:ascii="Times New Roman" w:hAnsi="Times New Roman"/>
          <w:b w:val="0"/>
          <w:sz w:val="28"/>
          <w:szCs w:val="28"/>
        </w:rPr>
        <w:t>ermeneutico</w:t>
      </w:r>
      <w:r w:rsidRPr="00D60E81">
        <w:rPr>
          <w:rStyle w:val="Enfasigrassetto"/>
          <w:rFonts w:ascii="Times New Roman" w:hAnsi="Times New Roman"/>
          <w:b w:val="0"/>
          <w:sz w:val="28"/>
          <w:szCs w:val="28"/>
        </w:rPr>
        <w:t xml:space="preserve"> virtuoso e </w:t>
      </w:r>
      <w:r w:rsidR="00C11541" w:rsidRPr="00D60E81">
        <w:rPr>
          <w:rStyle w:val="Enfasigrassetto"/>
          <w:rFonts w:ascii="Times New Roman" w:hAnsi="Times New Roman"/>
          <w:b w:val="0"/>
          <w:sz w:val="28"/>
          <w:szCs w:val="28"/>
        </w:rPr>
        <w:t>integrato</w:t>
      </w:r>
      <w:r w:rsidRPr="00D60E81">
        <w:rPr>
          <w:rStyle w:val="Enfasigrassetto"/>
          <w:rFonts w:ascii="Times New Roman" w:hAnsi="Times New Roman"/>
          <w:b w:val="0"/>
          <w:sz w:val="28"/>
          <w:szCs w:val="28"/>
        </w:rPr>
        <w:t xml:space="preserve"> </w:t>
      </w:r>
      <w:r w:rsidR="00DA2296" w:rsidRPr="00D60E81">
        <w:rPr>
          <w:rStyle w:val="Enfasigrassetto"/>
          <w:rFonts w:ascii="Times New Roman" w:hAnsi="Times New Roman"/>
          <w:b w:val="0"/>
          <w:sz w:val="28"/>
          <w:szCs w:val="28"/>
        </w:rPr>
        <w:t xml:space="preserve">tra </w:t>
      </w:r>
      <w:r w:rsidRPr="00D60E81">
        <w:rPr>
          <w:rStyle w:val="Enfasigrassetto"/>
          <w:rFonts w:ascii="Times New Roman" w:hAnsi="Times New Roman"/>
          <w:b w:val="0"/>
          <w:sz w:val="28"/>
          <w:szCs w:val="28"/>
        </w:rPr>
        <w:t>Cort</w:t>
      </w:r>
      <w:r w:rsidR="00DA2296" w:rsidRPr="00D60E81">
        <w:rPr>
          <w:rStyle w:val="Enfasigrassetto"/>
          <w:rFonts w:ascii="Times New Roman" w:hAnsi="Times New Roman"/>
          <w:b w:val="0"/>
          <w:sz w:val="28"/>
          <w:szCs w:val="28"/>
        </w:rPr>
        <w:t xml:space="preserve">i </w:t>
      </w:r>
      <w:r w:rsidR="00806F02" w:rsidRPr="00D60E81">
        <w:rPr>
          <w:rStyle w:val="Enfasigrassetto"/>
          <w:rFonts w:ascii="Times New Roman" w:hAnsi="Times New Roman"/>
          <w:b w:val="0"/>
          <w:sz w:val="28"/>
          <w:szCs w:val="28"/>
        </w:rPr>
        <w:t xml:space="preserve">che ha prodotto un esito di indispensabile </w:t>
      </w:r>
      <w:r w:rsidRPr="00D60E81">
        <w:rPr>
          <w:rStyle w:val="Enfasigrassetto"/>
          <w:rFonts w:ascii="Times New Roman" w:hAnsi="Times New Roman"/>
          <w:b w:val="0"/>
          <w:sz w:val="28"/>
          <w:szCs w:val="28"/>
        </w:rPr>
        <w:t>univoc</w:t>
      </w:r>
      <w:r w:rsidR="00806F02" w:rsidRPr="00D60E81">
        <w:rPr>
          <w:rStyle w:val="Enfasigrassetto"/>
          <w:rFonts w:ascii="Times New Roman" w:hAnsi="Times New Roman"/>
          <w:b w:val="0"/>
          <w:sz w:val="28"/>
          <w:szCs w:val="28"/>
        </w:rPr>
        <w:t xml:space="preserve">ità </w:t>
      </w:r>
      <w:r w:rsidRPr="00D60E81">
        <w:rPr>
          <w:rStyle w:val="Enfasigrassetto"/>
          <w:rFonts w:ascii="Times New Roman" w:hAnsi="Times New Roman"/>
          <w:b w:val="0"/>
          <w:sz w:val="28"/>
          <w:szCs w:val="28"/>
        </w:rPr>
        <w:t xml:space="preserve">della fonte europea </w:t>
      </w:r>
      <w:r w:rsidR="00806F02" w:rsidRPr="00D60E81">
        <w:rPr>
          <w:rStyle w:val="Enfasigrassetto"/>
          <w:rFonts w:ascii="Times New Roman" w:hAnsi="Times New Roman"/>
          <w:b w:val="0"/>
          <w:sz w:val="28"/>
          <w:szCs w:val="28"/>
        </w:rPr>
        <w:t>raccordato al comune concetto di interesse ad agire</w:t>
      </w:r>
      <w:r w:rsidRPr="00D60E81">
        <w:rPr>
          <w:rStyle w:val="Enfasigrassetto"/>
          <w:rFonts w:ascii="Times New Roman" w:hAnsi="Times New Roman"/>
          <w:b w:val="0"/>
          <w:sz w:val="28"/>
          <w:szCs w:val="28"/>
        </w:rPr>
        <w:t>.</w:t>
      </w:r>
    </w:p>
    <w:p w:rsidR="00805C06" w:rsidRPr="00D60E81" w:rsidRDefault="00805C06" w:rsidP="00D60E81">
      <w:pPr>
        <w:spacing w:after="120" w:line="360" w:lineRule="auto"/>
        <w:ind w:left="567" w:right="283"/>
        <w:jc w:val="both"/>
        <w:rPr>
          <w:rStyle w:val="Enfasigrassetto"/>
          <w:rFonts w:ascii="Times New Roman" w:hAnsi="Times New Roman"/>
          <w:b w:val="0"/>
          <w:bCs w:val="0"/>
          <w:sz w:val="28"/>
          <w:szCs w:val="28"/>
        </w:rPr>
      </w:pPr>
    </w:p>
    <w:p w:rsidR="001F247A" w:rsidRPr="00426E76" w:rsidRDefault="00806F02" w:rsidP="001A18ED">
      <w:pPr>
        <w:spacing w:line="360" w:lineRule="auto"/>
        <w:ind w:left="567" w:right="284"/>
        <w:jc w:val="both"/>
        <w:rPr>
          <w:rStyle w:val="Enfasigrassetto"/>
          <w:rFonts w:ascii="Times New Roman" w:hAnsi="Times New Roman"/>
          <w:b w:val="0"/>
          <w:bCs w:val="0"/>
          <w:sz w:val="28"/>
          <w:szCs w:val="28"/>
        </w:rPr>
      </w:pPr>
      <w:r w:rsidRPr="00426E76">
        <w:rPr>
          <w:rStyle w:val="Enfasigrassetto"/>
          <w:rFonts w:ascii="Times New Roman" w:hAnsi="Times New Roman"/>
          <w:b w:val="0"/>
          <w:bCs w:val="0"/>
          <w:sz w:val="28"/>
          <w:szCs w:val="28"/>
        </w:rPr>
        <w:t>A</w:t>
      </w:r>
      <w:r w:rsidR="001F247A" w:rsidRPr="00426E76">
        <w:rPr>
          <w:rStyle w:val="Enfasigrassetto"/>
          <w:rFonts w:ascii="Times New Roman" w:hAnsi="Times New Roman"/>
          <w:b w:val="0"/>
          <w:bCs w:val="0"/>
          <w:sz w:val="28"/>
          <w:szCs w:val="28"/>
        </w:rPr>
        <w:t xml:space="preserve">lla fine di questo breve saluto, vale </w:t>
      </w:r>
      <w:r w:rsidRPr="00426E76">
        <w:rPr>
          <w:rStyle w:val="Enfasigrassetto"/>
          <w:rFonts w:ascii="Times New Roman" w:hAnsi="Times New Roman"/>
          <w:b w:val="0"/>
          <w:bCs w:val="0"/>
          <w:sz w:val="28"/>
          <w:szCs w:val="28"/>
        </w:rPr>
        <w:t xml:space="preserve">allora </w:t>
      </w:r>
      <w:r w:rsidR="001F247A" w:rsidRPr="00426E76">
        <w:rPr>
          <w:rStyle w:val="Enfasigrassetto"/>
          <w:rFonts w:ascii="Times New Roman" w:hAnsi="Times New Roman"/>
          <w:b w:val="0"/>
          <w:bCs w:val="0"/>
          <w:sz w:val="28"/>
          <w:szCs w:val="28"/>
        </w:rPr>
        <w:t xml:space="preserve">la pena di riprendere le parole di un processualista italiano che, nell’esaminare la nota teoria dei </w:t>
      </w:r>
      <w:proofErr w:type="spellStart"/>
      <w:r w:rsidR="001F247A" w:rsidRPr="00426E76">
        <w:rPr>
          <w:rStyle w:val="Enfasigrassetto"/>
          <w:rFonts w:ascii="Times New Roman" w:hAnsi="Times New Roman"/>
          <w:b w:val="0"/>
          <w:bCs w:val="0"/>
          <w:sz w:val="28"/>
          <w:szCs w:val="28"/>
        </w:rPr>
        <w:t>controlimiti</w:t>
      </w:r>
      <w:proofErr w:type="spellEnd"/>
      <w:r w:rsidR="001F247A" w:rsidRPr="00426E76">
        <w:rPr>
          <w:rStyle w:val="Enfasigrassetto"/>
          <w:rFonts w:ascii="Times New Roman" w:hAnsi="Times New Roman"/>
          <w:b w:val="0"/>
          <w:bCs w:val="0"/>
          <w:sz w:val="28"/>
          <w:szCs w:val="28"/>
        </w:rPr>
        <w:t>, ha considerato come «</w:t>
      </w:r>
      <w:r w:rsidR="001F247A" w:rsidRPr="00426E76">
        <w:rPr>
          <w:rStyle w:val="Enfasigrassetto"/>
          <w:rFonts w:ascii="Times New Roman" w:hAnsi="Times New Roman"/>
          <w:b w:val="0"/>
          <w:bCs w:val="0"/>
          <w:i/>
          <w:sz w:val="28"/>
          <w:szCs w:val="28"/>
        </w:rPr>
        <w:t>a</w:t>
      </w:r>
      <w:r w:rsidR="001F247A" w:rsidRPr="00426E76">
        <w:rPr>
          <w:rStyle w:val="Enfasigrassetto"/>
          <w:rFonts w:ascii="Times New Roman" w:hAnsi="Times New Roman"/>
          <w:b w:val="0"/>
          <w:i/>
          <w:sz w:val="28"/>
          <w:szCs w:val="28"/>
        </w:rPr>
        <w:t>l fondo delle cose, la costruzione dell'edificio europeo non impone semplicemente una limitazione del vecchio concetto di sovranità, chiusa dall'orgoglio nazionalistico, ma implica una sovranità statale nuova, che presuppone e contemporaneamente richiede l'inserimento dello Stato in più vaste comunità internazionali e sovranazionali</w:t>
      </w:r>
      <w:r w:rsidR="001F247A" w:rsidRPr="00426E76">
        <w:rPr>
          <w:rStyle w:val="Enfasigrassetto"/>
          <w:rFonts w:ascii="Times New Roman" w:hAnsi="Times New Roman"/>
          <w:b w:val="0"/>
          <w:bCs w:val="0"/>
          <w:sz w:val="28"/>
          <w:szCs w:val="28"/>
        </w:rPr>
        <w:t>» (</w:t>
      </w:r>
      <w:r w:rsidR="001F247A" w:rsidRPr="00426E76">
        <w:rPr>
          <w:rStyle w:val="Enfasigrassetto"/>
          <w:rFonts w:ascii="Times New Roman" w:hAnsi="Times New Roman"/>
          <w:b w:val="0"/>
          <w:bCs w:val="0"/>
          <w:smallCaps/>
          <w:sz w:val="28"/>
          <w:szCs w:val="28"/>
        </w:rPr>
        <w:t>R. Caponi</w:t>
      </w:r>
      <w:r w:rsidR="001F247A" w:rsidRPr="00426E76">
        <w:rPr>
          <w:rStyle w:val="Enfasigrassetto"/>
          <w:rFonts w:ascii="Times New Roman" w:hAnsi="Times New Roman"/>
          <w:b w:val="0"/>
          <w:bCs w:val="0"/>
          <w:sz w:val="28"/>
          <w:szCs w:val="28"/>
        </w:rPr>
        <w:t xml:space="preserve">, </w:t>
      </w:r>
      <w:r w:rsidR="001F247A" w:rsidRPr="00426E76">
        <w:rPr>
          <w:rStyle w:val="Enfasigrassetto"/>
          <w:rFonts w:ascii="Times New Roman" w:hAnsi="Times New Roman"/>
          <w:b w:val="0"/>
          <w:i/>
          <w:sz w:val="28"/>
          <w:szCs w:val="28"/>
        </w:rPr>
        <w:t>La tutela della identità nazionale degli Stati membri dell'U.E. nella cooperazione tra le corti: addio ai «</w:t>
      </w:r>
      <w:proofErr w:type="spellStart"/>
      <w:r w:rsidR="001F247A" w:rsidRPr="00426E76">
        <w:rPr>
          <w:rStyle w:val="Enfasigrassetto"/>
          <w:rFonts w:ascii="Times New Roman" w:hAnsi="Times New Roman"/>
          <w:b w:val="0"/>
          <w:i/>
          <w:sz w:val="28"/>
          <w:szCs w:val="28"/>
        </w:rPr>
        <w:t>controlimiti</w:t>
      </w:r>
      <w:proofErr w:type="spellEnd"/>
      <w:r w:rsidR="001F247A" w:rsidRPr="00426E76">
        <w:rPr>
          <w:rStyle w:val="Enfasigrassetto"/>
          <w:rFonts w:ascii="Times New Roman" w:hAnsi="Times New Roman"/>
          <w:b w:val="0"/>
          <w:i/>
          <w:sz w:val="28"/>
          <w:szCs w:val="28"/>
        </w:rPr>
        <w:t>»?</w:t>
      </w:r>
      <w:r w:rsidR="001F247A" w:rsidRPr="00426E76">
        <w:rPr>
          <w:rStyle w:val="Enfasigrassetto"/>
          <w:rFonts w:ascii="Times New Roman" w:hAnsi="Times New Roman"/>
          <w:b w:val="0"/>
          <w:sz w:val="28"/>
          <w:szCs w:val="28"/>
        </w:rPr>
        <w:t xml:space="preserve">, in </w:t>
      </w:r>
      <w:r w:rsidR="001F247A" w:rsidRPr="00426E76">
        <w:rPr>
          <w:rStyle w:val="Enfasigrassetto"/>
          <w:rFonts w:ascii="Times New Roman" w:hAnsi="Times New Roman"/>
          <w:b w:val="0"/>
          <w:i/>
          <w:sz w:val="28"/>
          <w:szCs w:val="28"/>
        </w:rPr>
        <w:t>Il Diritto dell’Unione Europea</w:t>
      </w:r>
      <w:r w:rsidR="001F247A" w:rsidRPr="00426E76">
        <w:rPr>
          <w:rStyle w:val="Enfasigrassetto"/>
          <w:rFonts w:ascii="Times New Roman" w:hAnsi="Times New Roman"/>
          <w:b w:val="0"/>
          <w:sz w:val="28"/>
          <w:szCs w:val="28"/>
        </w:rPr>
        <w:t>, 2011, 915 ss.</w:t>
      </w:r>
      <w:r w:rsidR="001F247A" w:rsidRPr="00426E76">
        <w:rPr>
          <w:rStyle w:val="Enfasigrassetto"/>
          <w:rFonts w:ascii="Times New Roman" w:hAnsi="Times New Roman"/>
          <w:b w:val="0"/>
          <w:bCs w:val="0"/>
          <w:sz w:val="28"/>
          <w:szCs w:val="28"/>
        </w:rPr>
        <w:t>).</w:t>
      </w:r>
    </w:p>
    <w:p w:rsidR="001F247A" w:rsidRPr="00426E76" w:rsidRDefault="001F247A" w:rsidP="001A18ED">
      <w:pPr>
        <w:spacing w:line="360" w:lineRule="auto"/>
        <w:ind w:left="567" w:right="284"/>
        <w:jc w:val="both"/>
        <w:rPr>
          <w:rStyle w:val="Enfasigrassetto"/>
          <w:rFonts w:ascii="Times New Roman" w:hAnsi="Times New Roman"/>
          <w:b w:val="0"/>
          <w:bCs w:val="0"/>
          <w:sz w:val="28"/>
          <w:szCs w:val="28"/>
        </w:rPr>
      </w:pPr>
      <w:r w:rsidRPr="00426E76">
        <w:rPr>
          <w:rStyle w:val="Enfasigrassetto"/>
          <w:rFonts w:ascii="Times New Roman" w:hAnsi="Times New Roman"/>
          <w:b w:val="0"/>
          <w:bCs w:val="0"/>
          <w:sz w:val="28"/>
          <w:szCs w:val="28"/>
        </w:rPr>
        <w:t>Se</w:t>
      </w:r>
      <w:r w:rsidR="004709A1" w:rsidRPr="00426E76">
        <w:rPr>
          <w:rStyle w:val="Enfasigrassetto"/>
          <w:rFonts w:ascii="Times New Roman" w:hAnsi="Times New Roman"/>
          <w:b w:val="0"/>
          <w:bCs w:val="0"/>
          <w:sz w:val="28"/>
          <w:szCs w:val="28"/>
        </w:rPr>
        <w:t xml:space="preserve"> così è, un</w:t>
      </w:r>
      <w:r w:rsidR="00710D50">
        <w:rPr>
          <w:rStyle w:val="Enfasigrassetto"/>
          <w:rFonts w:ascii="Times New Roman" w:hAnsi="Times New Roman"/>
          <w:b w:val="0"/>
          <w:bCs w:val="0"/>
          <w:sz w:val="28"/>
          <w:szCs w:val="28"/>
        </w:rPr>
        <w:t xml:space="preserve"> </w:t>
      </w:r>
      <w:r w:rsidR="004709A1" w:rsidRPr="00426E76">
        <w:rPr>
          <w:rStyle w:val="Enfasigrassetto"/>
          <w:rFonts w:ascii="Times New Roman" w:hAnsi="Times New Roman"/>
          <w:b w:val="0"/>
          <w:bCs w:val="0"/>
          <w:sz w:val="28"/>
          <w:szCs w:val="28"/>
        </w:rPr>
        <w:t>efficace strumento</w:t>
      </w:r>
      <w:r w:rsidRPr="00426E76">
        <w:rPr>
          <w:rStyle w:val="Enfasigrassetto"/>
          <w:rFonts w:ascii="Times New Roman" w:hAnsi="Times New Roman"/>
          <w:b w:val="0"/>
          <w:bCs w:val="0"/>
          <w:sz w:val="28"/>
          <w:szCs w:val="28"/>
        </w:rPr>
        <w:t xml:space="preserve"> dell’integrazione degli Stati può allora essere costituit</w:t>
      </w:r>
      <w:r w:rsidR="00A3352E">
        <w:rPr>
          <w:rStyle w:val="Enfasigrassetto"/>
          <w:rFonts w:ascii="Times New Roman" w:hAnsi="Times New Roman"/>
          <w:b w:val="0"/>
          <w:bCs w:val="0"/>
          <w:sz w:val="28"/>
          <w:szCs w:val="28"/>
        </w:rPr>
        <w:t>o</w:t>
      </w:r>
      <w:r w:rsidRPr="00426E76">
        <w:rPr>
          <w:rStyle w:val="Enfasigrassetto"/>
          <w:rFonts w:ascii="Times New Roman" w:hAnsi="Times New Roman"/>
          <w:b w:val="0"/>
          <w:bCs w:val="0"/>
          <w:sz w:val="28"/>
          <w:szCs w:val="28"/>
        </w:rPr>
        <w:t xml:space="preserve"> da un sempre più stretto circuito di Giudici Supremi, quale prima e unitaria comunità garante dei cittadini europei.</w:t>
      </w:r>
    </w:p>
    <w:p w:rsidR="001F247A" w:rsidRPr="00426E76" w:rsidRDefault="001F247A" w:rsidP="001A18ED">
      <w:pPr>
        <w:spacing w:line="360" w:lineRule="auto"/>
        <w:ind w:left="567" w:right="284"/>
        <w:jc w:val="both"/>
        <w:rPr>
          <w:rStyle w:val="Enfasigrassetto"/>
          <w:rFonts w:ascii="Times New Roman" w:hAnsi="Times New Roman"/>
          <w:b w:val="0"/>
          <w:sz w:val="28"/>
          <w:szCs w:val="28"/>
        </w:rPr>
      </w:pPr>
      <w:r w:rsidRPr="00426E76">
        <w:rPr>
          <w:rStyle w:val="Enfasigrassetto"/>
          <w:rFonts w:ascii="Times New Roman" w:hAnsi="Times New Roman"/>
          <w:b w:val="0"/>
          <w:bCs w:val="0"/>
          <w:sz w:val="28"/>
          <w:szCs w:val="28"/>
        </w:rPr>
        <w:t xml:space="preserve">In definitiva, la </w:t>
      </w:r>
      <w:proofErr w:type="spellStart"/>
      <w:r w:rsidRPr="00426E76">
        <w:rPr>
          <w:rStyle w:val="Enfasigrassetto"/>
          <w:rFonts w:ascii="Times New Roman" w:hAnsi="Times New Roman"/>
          <w:b w:val="0"/>
          <w:bCs w:val="0"/>
          <w:i/>
          <w:sz w:val="28"/>
          <w:szCs w:val="28"/>
        </w:rPr>
        <w:t>governance</w:t>
      </w:r>
      <w:proofErr w:type="spellEnd"/>
      <w:r w:rsidRPr="00426E76">
        <w:rPr>
          <w:rStyle w:val="Enfasigrassetto"/>
          <w:rFonts w:ascii="Times New Roman" w:hAnsi="Times New Roman"/>
          <w:b w:val="0"/>
          <w:bCs w:val="0"/>
          <w:sz w:val="28"/>
          <w:szCs w:val="28"/>
        </w:rPr>
        <w:t xml:space="preserve"> delle giurisdizioni operata da Corti, nazionali e sovranazionali, che non si contrastano, ma cooperano, costituisce la spinta vital</w:t>
      </w:r>
      <w:r w:rsidR="004709A1" w:rsidRPr="00426E76">
        <w:rPr>
          <w:rStyle w:val="Enfasigrassetto"/>
          <w:rFonts w:ascii="Times New Roman" w:hAnsi="Times New Roman"/>
          <w:b w:val="0"/>
          <w:bCs w:val="0"/>
          <w:sz w:val="28"/>
          <w:szCs w:val="28"/>
        </w:rPr>
        <w:t>e per la costruzione di un unitario ordinamento giuridico e in ultima analisi di ciò che i nostri tempi richiedono con forza: la costruzione di</w:t>
      </w:r>
      <w:r w:rsidR="00A3352E">
        <w:rPr>
          <w:rStyle w:val="Enfasigrassetto"/>
          <w:rFonts w:ascii="Times New Roman" w:hAnsi="Times New Roman"/>
          <w:b w:val="0"/>
          <w:bCs w:val="0"/>
          <w:sz w:val="28"/>
          <w:szCs w:val="28"/>
        </w:rPr>
        <w:t xml:space="preserve"> una Europea sempre più unita. </w:t>
      </w:r>
    </w:p>
    <w:sectPr w:rsidR="001F247A" w:rsidRPr="00426E76" w:rsidSect="00C8531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A8D" w:rsidRDefault="00C73A8D" w:rsidP="00331D85">
      <w:pPr>
        <w:spacing w:after="0" w:line="240" w:lineRule="auto"/>
      </w:pPr>
      <w:r>
        <w:separator/>
      </w:r>
    </w:p>
  </w:endnote>
  <w:endnote w:type="continuationSeparator" w:id="0">
    <w:p w:rsidR="00C73A8D" w:rsidRDefault="00C73A8D" w:rsidP="0033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47A" w:rsidRDefault="00357472">
    <w:pPr>
      <w:pStyle w:val="Pidipagina"/>
      <w:jc w:val="center"/>
    </w:pPr>
    <w:r>
      <w:fldChar w:fldCharType="begin"/>
    </w:r>
    <w:r>
      <w:instrText>PAGE   \* MERGEFORMAT</w:instrText>
    </w:r>
    <w:r>
      <w:fldChar w:fldCharType="separate"/>
    </w:r>
    <w:r w:rsidR="001E070C">
      <w:rPr>
        <w:noProof/>
      </w:rPr>
      <w:t>7</w:t>
    </w:r>
    <w:r>
      <w:rPr>
        <w:noProof/>
      </w:rPr>
      <w:fldChar w:fldCharType="end"/>
    </w:r>
  </w:p>
  <w:p w:rsidR="001F247A" w:rsidRDefault="001F247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A8D" w:rsidRDefault="00C73A8D" w:rsidP="00331D85">
      <w:pPr>
        <w:spacing w:after="0" w:line="240" w:lineRule="auto"/>
      </w:pPr>
      <w:r>
        <w:separator/>
      </w:r>
    </w:p>
  </w:footnote>
  <w:footnote w:type="continuationSeparator" w:id="0">
    <w:p w:rsidR="00C73A8D" w:rsidRDefault="00C73A8D" w:rsidP="00331D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7FFA"/>
    <w:multiLevelType w:val="hybridMultilevel"/>
    <w:tmpl w:val="B764FDC8"/>
    <w:lvl w:ilvl="0" w:tplc="5E50898E">
      <w:start w:val="1"/>
      <w:numFmt w:val="decimal"/>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2CA16409"/>
    <w:multiLevelType w:val="hybridMultilevel"/>
    <w:tmpl w:val="F884998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2CBB4B1B"/>
    <w:multiLevelType w:val="hybridMultilevel"/>
    <w:tmpl w:val="2068A214"/>
    <w:lvl w:ilvl="0" w:tplc="7F240006">
      <w:numFmt w:val="bullet"/>
      <w:lvlText w:val="-"/>
      <w:lvlJc w:val="left"/>
      <w:pPr>
        <w:ind w:left="927" w:hanging="360"/>
      </w:pPr>
      <w:rPr>
        <w:rFonts w:ascii="Times New Roman" w:eastAsia="Calibr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CF"/>
    <w:rsid w:val="0003278E"/>
    <w:rsid w:val="00036B54"/>
    <w:rsid w:val="000379BA"/>
    <w:rsid w:val="00054B10"/>
    <w:rsid w:val="00084A14"/>
    <w:rsid w:val="000962D6"/>
    <w:rsid w:val="000C5BB9"/>
    <w:rsid w:val="000F165C"/>
    <w:rsid w:val="00127516"/>
    <w:rsid w:val="0016113F"/>
    <w:rsid w:val="00165A05"/>
    <w:rsid w:val="00173FCF"/>
    <w:rsid w:val="001A18ED"/>
    <w:rsid w:val="001B654E"/>
    <w:rsid w:val="001C66B8"/>
    <w:rsid w:val="001E070C"/>
    <w:rsid w:val="001F247A"/>
    <w:rsid w:val="00211C57"/>
    <w:rsid w:val="0024123E"/>
    <w:rsid w:val="00243AFD"/>
    <w:rsid w:val="00247F4B"/>
    <w:rsid w:val="002A43ED"/>
    <w:rsid w:val="002E4B1C"/>
    <w:rsid w:val="002E62B0"/>
    <w:rsid w:val="00320D11"/>
    <w:rsid w:val="00331D85"/>
    <w:rsid w:val="00336F32"/>
    <w:rsid w:val="003433CE"/>
    <w:rsid w:val="00346F25"/>
    <w:rsid w:val="00357472"/>
    <w:rsid w:val="00357E84"/>
    <w:rsid w:val="00364248"/>
    <w:rsid w:val="003739CF"/>
    <w:rsid w:val="00381558"/>
    <w:rsid w:val="003A1717"/>
    <w:rsid w:val="003B3956"/>
    <w:rsid w:val="003C382A"/>
    <w:rsid w:val="004049C5"/>
    <w:rsid w:val="00414768"/>
    <w:rsid w:val="00426E76"/>
    <w:rsid w:val="00436AA8"/>
    <w:rsid w:val="0044217A"/>
    <w:rsid w:val="00446C1B"/>
    <w:rsid w:val="00450867"/>
    <w:rsid w:val="00460C18"/>
    <w:rsid w:val="00463A48"/>
    <w:rsid w:val="004709A1"/>
    <w:rsid w:val="004C0BD1"/>
    <w:rsid w:val="004C0DF4"/>
    <w:rsid w:val="004C27DE"/>
    <w:rsid w:val="005161B9"/>
    <w:rsid w:val="00530F8A"/>
    <w:rsid w:val="005404D6"/>
    <w:rsid w:val="0054345D"/>
    <w:rsid w:val="00553C53"/>
    <w:rsid w:val="00583B1E"/>
    <w:rsid w:val="00585D83"/>
    <w:rsid w:val="005C0B5E"/>
    <w:rsid w:val="005D544D"/>
    <w:rsid w:val="005E67C5"/>
    <w:rsid w:val="00626555"/>
    <w:rsid w:val="006825E0"/>
    <w:rsid w:val="006C03B6"/>
    <w:rsid w:val="006E41EC"/>
    <w:rsid w:val="006F5B29"/>
    <w:rsid w:val="0071036A"/>
    <w:rsid w:val="00710D50"/>
    <w:rsid w:val="007612ED"/>
    <w:rsid w:val="00761755"/>
    <w:rsid w:val="00784B3D"/>
    <w:rsid w:val="007B313F"/>
    <w:rsid w:val="007B3609"/>
    <w:rsid w:val="007D44FE"/>
    <w:rsid w:val="007E4EA0"/>
    <w:rsid w:val="007E51B3"/>
    <w:rsid w:val="007F1752"/>
    <w:rsid w:val="00805150"/>
    <w:rsid w:val="00805C06"/>
    <w:rsid w:val="00806F02"/>
    <w:rsid w:val="0081557A"/>
    <w:rsid w:val="008645C0"/>
    <w:rsid w:val="00867715"/>
    <w:rsid w:val="00871D27"/>
    <w:rsid w:val="008874BF"/>
    <w:rsid w:val="008A28F8"/>
    <w:rsid w:val="008B084F"/>
    <w:rsid w:val="008C17D1"/>
    <w:rsid w:val="00901B3A"/>
    <w:rsid w:val="009550E7"/>
    <w:rsid w:val="00957C88"/>
    <w:rsid w:val="009718F0"/>
    <w:rsid w:val="00992811"/>
    <w:rsid w:val="009945CF"/>
    <w:rsid w:val="009A4AE5"/>
    <w:rsid w:val="009C6EAA"/>
    <w:rsid w:val="009D0A70"/>
    <w:rsid w:val="009E3D4B"/>
    <w:rsid w:val="00A03B89"/>
    <w:rsid w:val="00A0482F"/>
    <w:rsid w:val="00A150A2"/>
    <w:rsid w:val="00A30426"/>
    <w:rsid w:val="00A3352E"/>
    <w:rsid w:val="00A57E38"/>
    <w:rsid w:val="00A7714B"/>
    <w:rsid w:val="00A77A22"/>
    <w:rsid w:val="00A81840"/>
    <w:rsid w:val="00AD784E"/>
    <w:rsid w:val="00B05509"/>
    <w:rsid w:val="00B179AB"/>
    <w:rsid w:val="00B2003F"/>
    <w:rsid w:val="00B4393E"/>
    <w:rsid w:val="00B50C4F"/>
    <w:rsid w:val="00B57E12"/>
    <w:rsid w:val="00B60438"/>
    <w:rsid w:val="00B74E70"/>
    <w:rsid w:val="00B75B34"/>
    <w:rsid w:val="00B93562"/>
    <w:rsid w:val="00BA1A21"/>
    <w:rsid w:val="00BA3B61"/>
    <w:rsid w:val="00BE1331"/>
    <w:rsid w:val="00BE76B9"/>
    <w:rsid w:val="00BF0FF0"/>
    <w:rsid w:val="00C11541"/>
    <w:rsid w:val="00C3169C"/>
    <w:rsid w:val="00C4628F"/>
    <w:rsid w:val="00C73A8D"/>
    <w:rsid w:val="00C8531A"/>
    <w:rsid w:val="00C858B4"/>
    <w:rsid w:val="00CB1FE6"/>
    <w:rsid w:val="00CC3DDF"/>
    <w:rsid w:val="00CC5F7D"/>
    <w:rsid w:val="00CE2591"/>
    <w:rsid w:val="00CF0E7C"/>
    <w:rsid w:val="00D12B68"/>
    <w:rsid w:val="00D41D1D"/>
    <w:rsid w:val="00D60E81"/>
    <w:rsid w:val="00D9051C"/>
    <w:rsid w:val="00D96450"/>
    <w:rsid w:val="00D97030"/>
    <w:rsid w:val="00DA2296"/>
    <w:rsid w:val="00DB1FFA"/>
    <w:rsid w:val="00DE37AC"/>
    <w:rsid w:val="00E04818"/>
    <w:rsid w:val="00E0516C"/>
    <w:rsid w:val="00E159DB"/>
    <w:rsid w:val="00E30181"/>
    <w:rsid w:val="00E568DC"/>
    <w:rsid w:val="00E72862"/>
    <w:rsid w:val="00ED62DC"/>
    <w:rsid w:val="00ED6753"/>
    <w:rsid w:val="00EE0B0A"/>
    <w:rsid w:val="00EF1055"/>
    <w:rsid w:val="00F025E2"/>
    <w:rsid w:val="00F25EC8"/>
    <w:rsid w:val="00F5394B"/>
    <w:rsid w:val="00F56766"/>
    <w:rsid w:val="00F85778"/>
    <w:rsid w:val="00FF7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3BF0A07A-B202-4389-9D61-AD1B0DD6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531A"/>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0962D6"/>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locked/>
    <w:rsid w:val="000962D6"/>
    <w:rPr>
      <w:rFonts w:ascii="Segoe UI" w:hAnsi="Segoe UI" w:cs="Segoe UI"/>
      <w:sz w:val="18"/>
      <w:szCs w:val="18"/>
    </w:rPr>
  </w:style>
  <w:style w:type="character" w:styleId="Titolodellibro">
    <w:name w:val="Book Title"/>
    <w:uiPriority w:val="99"/>
    <w:qFormat/>
    <w:rsid w:val="00585D83"/>
    <w:rPr>
      <w:rFonts w:cs="Times New Roman"/>
      <w:b/>
      <w:bCs/>
      <w:i/>
      <w:iCs/>
      <w:spacing w:val="5"/>
    </w:rPr>
  </w:style>
  <w:style w:type="character" w:styleId="Enfasigrassetto">
    <w:name w:val="Strong"/>
    <w:uiPriority w:val="99"/>
    <w:qFormat/>
    <w:rsid w:val="00585D83"/>
    <w:rPr>
      <w:rFonts w:cs="Times New Roman"/>
      <w:b/>
      <w:bCs/>
    </w:rPr>
  </w:style>
  <w:style w:type="paragraph" w:styleId="Titolo">
    <w:name w:val="Title"/>
    <w:basedOn w:val="Normale"/>
    <w:next w:val="Normale"/>
    <w:link w:val="TitoloCarattere"/>
    <w:uiPriority w:val="99"/>
    <w:qFormat/>
    <w:rsid w:val="00BA1A21"/>
    <w:pPr>
      <w:spacing w:after="0" w:line="240" w:lineRule="auto"/>
      <w:contextualSpacing/>
    </w:pPr>
    <w:rPr>
      <w:rFonts w:ascii="Calibri Light" w:eastAsia="Times New Roman" w:hAnsi="Calibri Light"/>
      <w:spacing w:val="-10"/>
      <w:kern w:val="28"/>
      <w:sz w:val="56"/>
      <w:szCs w:val="56"/>
    </w:rPr>
  </w:style>
  <w:style w:type="character" w:customStyle="1" w:styleId="TitoloCarattere">
    <w:name w:val="Titolo Carattere"/>
    <w:link w:val="Titolo"/>
    <w:uiPriority w:val="99"/>
    <w:locked/>
    <w:rsid w:val="00BA1A21"/>
    <w:rPr>
      <w:rFonts w:ascii="Calibri Light" w:hAnsi="Calibri Light" w:cs="Times New Roman"/>
      <w:spacing w:val="-10"/>
      <w:kern w:val="28"/>
      <w:sz w:val="56"/>
      <w:szCs w:val="56"/>
    </w:rPr>
  </w:style>
  <w:style w:type="paragraph" w:customStyle="1" w:styleId="Default">
    <w:name w:val="Default"/>
    <w:uiPriority w:val="99"/>
    <w:rsid w:val="00ED6753"/>
    <w:pPr>
      <w:autoSpaceDE w:val="0"/>
      <w:autoSpaceDN w:val="0"/>
      <w:adjustRightInd w:val="0"/>
    </w:pPr>
    <w:rPr>
      <w:rFonts w:ascii="Verdana" w:hAnsi="Verdana" w:cs="Verdana"/>
      <w:color w:val="000000"/>
      <w:sz w:val="24"/>
      <w:szCs w:val="24"/>
      <w:lang w:eastAsia="en-US"/>
    </w:rPr>
  </w:style>
  <w:style w:type="character" w:customStyle="1" w:styleId="resultlisthighlightterm1">
    <w:name w:val="resultlisthighlightterm1"/>
    <w:uiPriority w:val="99"/>
    <w:rsid w:val="00BE76B9"/>
    <w:rPr>
      <w:rFonts w:cs="Times New Roman"/>
      <w:b/>
      <w:bCs/>
      <w:color w:val="FF0000"/>
      <w:sz w:val="18"/>
      <w:szCs w:val="18"/>
    </w:rPr>
  </w:style>
  <w:style w:type="paragraph" w:styleId="Intestazione">
    <w:name w:val="header"/>
    <w:basedOn w:val="Normale"/>
    <w:link w:val="IntestazioneCarattere"/>
    <w:uiPriority w:val="99"/>
    <w:rsid w:val="00331D85"/>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331D85"/>
    <w:rPr>
      <w:rFonts w:cs="Times New Roman"/>
    </w:rPr>
  </w:style>
  <w:style w:type="paragraph" w:styleId="Pidipagina">
    <w:name w:val="footer"/>
    <w:basedOn w:val="Normale"/>
    <w:link w:val="PidipaginaCarattere"/>
    <w:uiPriority w:val="99"/>
    <w:rsid w:val="00331D85"/>
    <w:pPr>
      <w:tabs>
        <w:tab w:val="center" w:pos="4819"/>
        <w:tab w:val="right" w:pos="9638"/>
      </w:tabs>
      <w:spacing w:after="0" w:line="240" w:lineRule="auto"/>
    </w:pPr>
  </w:style>
  <w:style w:type="character" w:customStyle="1" w:styleId="PidipaginaCarattere">
    <w:name w:val="Piè di pagina Carattere"/>
    <w:link w:val="Pidipagina"/>
    <w:uiPriority w:val="99"/>
    <w:locked/>
    <w:rsid w:val="00331D85"/>
    <w:rPr>
      <w:rFonts w:cs="Times New Roman"/>
    </w:rPr>
  </w:style>
  <w:style w:type="character" w:customStyle="1" w:styleId="bold1">
    <w:name w:val="bold1"/>
    <w:uiPriority w:val="99"/>
    <w:rsid w:val="00C858B4"/>
    <w:rPr>
      <w:rFonts w:cs="Times New Roman"/>
      <w:b/>
      <w:bCs/>
    </w:rPr>
  </w:style>
  <w:style w:type="paragraph" w:customStyle="1" w:styleId="Paragrafoelenco1">
    <w:name w:val="Paragrafo elenco1"/>
    <w:basedOn w:val="Normale"/>
    <w:uiPriority w:val="99"/>
    <w:rsid w:val="00761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80D58-5459-46AE-B517-2DD272F0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1957</Words>
  <Characters>11156</Characters>
  <Application>Microsoft Office Word</Application>
  <DocSecurity>4</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CIRILLO Giampiero Paolo</dc:creator>
  <cp:keywords/>
  <dc:description/>
  <cp:lastModifiedBy>FERRARI Giulia</cp:lastModifiedBy>
  <cp:revision>2</cp:revision>
  <cp:lastPrinted>2017-05-24T14:59:00Z</cp:lastPrinted>
  <dcterms:created xsi:type="dcterms:W3CDTF">2017-06-14T13:25:00Z</dcterms:created>
  <dcterms:modified xsi:type="dcterms:W3CDTF">2017-06-14T13:25:00Z</dcterms:modified>
</cp:coreProperties>
</file>