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E8D" w:rsidRDefault="00550E8D" w:rsidP="008111B5">
      <w:pPr>
        <w:spacing w:line="480" w:lineRule="auto"/>
        <w:jc w:val="both"/>
        <w:rPr>
          <w:rFonts w:ascii="Times New Roman" w:hAnsi="Times New Roman"/>
          <w:b/>
          <w:sz w:val="24"/>
        </w:rPr>
      </w:pPr>
    </w:p>
    <w:p w:rsidR="00550E8D" w:rsidRPr="00550E8D" w:rsidRDefault="00550E8D" w:rsidP="00550E8D">
      <w:pPr>
        <w:spacing w:line="480" w:lineRule="auto"/>
        <w:jc w:val="center"/>
        <w:rPr>
          <w:rFonts w:ascii="Times New Roman" w:hAnsi="Times New Roman"/>
          <w:b/>
          <w:sz w:val="32"/>
          <w:szCs w:val="32"/>
        </w:rPr>
      </w:pPr>
      <w:r w:rsidRPr="00550E8D">
        <w:rPr>
          <w:rFonts w:ascii="Times New Roman" w:hAnsi="Times New Roman"/>
          <w:b/>
          <w:sz w:val="32"/>
          <w:szCs w:val="32"/>
        </w:rPr>
        <w:t>Strumenti di attuazione del PNRR e di rafforzamento della capacità amministrativa: il partenariato pubblico-privato e l'in house</w:t>
      </w:r>
    </w:p>
    <w:p w:rsidR="00550E8D" w:rsidRDefault="00550E8D" w:rsidP="00550E8D">
      <w:pPr>
        <w:pStyle w:val="Paragrafoelenco"/>
        <w:spacing w:line="480" w:lineRule="auto"/>
        <w:jc w:val="both"/>
        <w:rPr>
          <w:rFonts w:ascii="Times New Roman" w:hAnsi="Times New Roman"/>
          <w:sz w:val="24"/>
        </w:rPr>
      </w:pPr>
    </w:p>
    <w:p w:rsidR="00550E8D" w:rsidRPr="00550E8D" w:rsidRDefault="00550E8D" w:rsidP="00550E8D">
      <w:pPr>
        <w:pStyle w:val="Paragrafoelenco"/>
        <w:spacing w:line="480" w:lineRule="auto"/>
        <w:jc w:val="both"/>
        <w:rPr>
          <w:rFonts w:ascii="Times New Roman" w:hAnsi="Times New Roman"/>
          <w:sz w:val="24"/>
        </w:rPr>
      </w:pPr>
    </w:p>
    <w:p w:rsidR="00E030EF" w:rsidRPr="008111B5" w:rsidRDefault="00740471" w:rsidP="008111B5">
      <w:pPr>
        <w:pStyle w:val="Paragrafoelenco"/>
        <w:numPr>
          <w:ilvl w:val="0"/>
          <w:numId w:val="2"/>
        </w:numPr>
        <w:spacing w:line="480" w:lineRule="auto"/>
        <w:jc w:val="both"/>
        <w:rPr>
          <w:rFonts w:ascii="Times New Roman" w:hAnsi="Times New Roman"/>
          <w:sz w:val="24"/>
        </w:rPr>
      </w:pPr>
      <w:r w:rsidRPr="008111B5">
        <w:rPr>
          <w:rFonts w:ascii="Times New Roman" w:hAnsi="Times New Roman"/>
          <w:b/>
          <w:sz w:val="24"/>
        </w:rPr>
        <w:t>Modelli ges</w:t>
      </w:r>
      <w:r w:rsidR="00BB15D3">
        <w:rPr>
          <w:rFonts w:ascii="Times New Roman" w:hAnsi="Times New Roman"/>
          <w:b/>
          <w:sz w:val="24"/>
        </w:rPr>
        <w:t>tionali di attuazione del PNRR-partenariato pubblico p</w:t>
      </w:r>
      <w:r w:rsidR="0038319E" w:rsidRPr="008111B5">
        <w:rPr>
          <w:rFonts w:ascii="Times New Roman" w:hAnsi="Times New Roman"/>
          <w:b/>
          <w:sz w:val="24"/>
        </w:rPr>
        <w:t>rivato</w:t>
      </w:r>
      <w:r w:rsidR="00D46840" w:rsidRPr="008111B5">
        <w:rPr>
          <w:rFonts w:ascii="Times New Roman" w:hAnsi="Times New Roman"/>
          <w:b/>
          <w:sz w:val="24"/>
        </w:rPr>
        <w:t xml:space="preserve"> e società </w:t>
      </w:r>
      <w:r w:rsidR="00D46840" w:rsidRPr="008111B5">
        <w:rPr>
          <w:rFonts w:ascii="Times New Roman" w:hAnsi="Times New Roman"/>
          <w:b/>
          <w:i/>
          <w:sz w:val="24"/>
        </w:rPr>
        <w:t>in house</w:t>
      </w:r>
      <w:r w:rsidR="007F4288">
        <w:rPr>
          <w:rStyle w:val="Rimandonotaapidipagina"/>
          <w:rFonts w:ascii="Times New Roman" w:hAnsi="Times New Roman"/>
          <w:b/>
          <w:i/>
          <w:sz w:val="24"/>
        </w:rPr>
        <w:footnoteReference w:id="1"/>
      </w:r>
      <w:r w:rsidRPr="008111B5">
        <w:rPr>
          <w:rFonts w:ascii="Times New Roman" w:hAnsi="Times New Roman"/>
          <w:sz w:val="24"/>
        </w:rPr>
        <w:t>.</w:t>
      </w:r>
    </w:p>
    <w:p w:rsidR="0066591B" w:rsidRPr="00BA08BB" w:rsidRDefault="00FE25E3" w:rsidP="00BA08BB">
      <w:pPr>
        <w:spacing w:line="480" w:lineRule="auto"/>
        <w:jc w:val="both"/>
        <w:rPr>
          <w:rFonts w:ascii="Times New Roman" w:hAnsi="Times New Roman"/>
          <w:sz w:val="24"/>
        </w:rPr>
      </w:pPr>
      <w:r w:rsidRPr="00BA08BB">
        <w:rPr>
          <w:rFonts w:ascii="Times New Roman" w:hAnsi="Times New Roman"/>
          <w:sz w:val="24"/>
        </w:rPr>
        <w:t xml:space="preserve">La capacità del PNRR di realizzare </w:t>
      </w:r>
      <w:r w:rsidR="0039733D">
        <w:rPr>
          <w:rFonts w:ascii="Times New Roman" w:hAnsi="Times New Roman"/>
          <w:sz w:val="24"/>
        </w:rPr>
        <w:t>quella stabile</w:t>
      </w:r>
      <w:r w:rsidRPr="00BA08BB">
        <w:rPr>
          <w:rFonts w:ascii="Times New Roman" w:hAnsi="Times New Roman"/>
          <w:sz w:val="24"/>
        </w:rPr>
        <w:t xml:space="preserve"> ripresa </w:t>
      </w:r>
      <w:r w:rsidR="0039733D">
        <w:rPr>
          <w:rFonts w:ascii="Times New Roman" w:hAnsi="Times New Roman"/>
          <w:sz w:val="24"/>
        </w:rPr>
        <w:t>economica</w:t>
      </w:r>
      <w:r w:rsidRPr="00BA08BB">
        <w:rPr>
          <w:rFonts w:ascii="Times New Roman" w:hAnsi="Times New Roman"/>
          <w:sz w:val="24"/>
        </w:rPr>
        <w:t xml:space="preserve"> che ne rappresenta l’obiettivo ultimo è </w:t>
      </w:r>
      <w:r w:rsidR="00607D6C">
        <w:rPr>
          <w:rFonts w:ascii="Times New Roman" w:hAnsi="Times New Roman"/>
          <w:sz w:val="24"/>
        </w:rPr>
        <w:t>strettamente dipendente dalla</w:t>
      </w:r>
      <w:r w:rsidRPr="00BA08BB">
        <w:rPr>
          <w:rFonts w:ascii="Times New Roman" w:hAnsi="Times New Roman"/>
          <w:sz w:val="24"/>
        </w:rPr>
        <w:t xml:space="preserve"> scelta di modelli </w:t>
      </w:r>
      <w:r w:rsidR="00F83C9B">
        <w:rPr>
          <w:rFonts w:ascii="Times New Roman" w:hAnsi="Times New Roman"/>
          <w:sz w:val="24"/>
        </w:rPr>
        <w:t>efficienti</w:t>
      </w:r>
      <w:r w:rsidR="001E10D6" w:rsidRPr="00BA08BB">
        <w:rPr>
          <w:rFonts w:ascii="Times New Roman" w:hAnsi="Times New Roman"/>
          <w:sz w:val="24"/>
        </w:rPr>
        <w:t xml:space="preserve"> </w:t>
      </w:r>
      <w:r w:rsidRPr="00BA08BB">
        <w:rPr>
          <w:rFonts w:ascii="Times New Roman" w:hAnsi="Times New Roman"/>
          <w:sz w:val="24"/>
        </w:rPr>
        <w:t xml:space="preserve">di </w:t>
      </w:r>
      <w:r w:rsidR="00841709" w:rsidRPr="00BA08BB">
        <w:rPr>
          <w:rFonts w:ascii="Times New Roman" w:hAnsi="Times New Roman"/>
          <w:sz w:val="24"/>
        </w:rPr>
        <w:t xml:space="preserve">attuazione </w:t>
      </w:r>
      <w:r w:rsidRPr="00BA08BB">
        <w:rPr>
          <w:rFonts w:ascii="Times New Roman" w:hAnsi="Times New Roman"/>
          <w:sz w:val="24"/>
        </w:rPr>
        <w:t>degli interventi programmati e di gestione delle notevoli risorse messe</w:t>
      </w:r>
      <w:r w:rsidR="001E10D6" w:rsidRPr="00BA08BB">
        <w:rPr>
          <w:rFonts w:ascii="Times New Roman" w:hAnsi="Times New Roman"/>
          <w:sz w:val="24"/>
        </w:rPr>
        <w:t xml:space="preserve"> in campo</w:t>
      </w:r>
      <w:r w:rsidR="00BF12C7">
        <w:rPr>
          <w:rFonts w:ascii="Times New Roman" w:hAnsi="Times New Roman"/>
          <w:sz w:val="24"/>
        </w:rPr>
        <w:t>. L’efficienza e l’</w:t>
      </w:r>
      <w:r w:rsidR="001D1D25">
        <w:rPr>
          <w:rFonts w:ascii="Times New Roman" w:hAnsi="Times New Roman"/>
          <w:sz w:val="24"/>
        </w:rPr>
        <w:t xml:space="preserve">adeguatezza del modello di attuazione </w:t>
      </w:r>
      <w:r w:rsidR="00BF12C7">
        <w:rPr>
          <w:rFonts w:ascii="Times New Roman" w:hAnsi="Times New Roman"/>
          <w:sz w:val="24"/>
        </w:rPr>
        <w:t>è, peraltro, indissolubilmente legata al fattore temporale di realizzazione dell’intervento che ne rappresenta una componente di risultato</w:t>
      </w:r>
      <w:r w:rsidR="00DE0B01" w:rsidRPr="00BA08BB">
        <w:rPr>
          <w:rFonts w:ascii="Times New Roman" w:hAnsi="Times New Roman"/>
          <w:sz w:val="24"/>
        </w:rPr>
        <w:t>.</w:t>
      </w:r>
    </w:p>
    <w:p w:rsidR="00D62670" w:rsidRPr="00BA08BB" w:rsidRDefault="00D72A04" w:rsidP="00BA08BB">
      <w:pPr>
        <w:spacing w:line="480" w:lineRule="auto"/>
        <w:jc w:val="both"/>
        <w:rPr>
          <w:rFonts w:ascii="Times New Roman" w:hAnsi="Times New Roman"/>
          <w:sz w:val="24"/>
        </w:rPr>
      </w:pPr>
      <w:r w:rsidRPr="00BA08BB">
        <w:rPr>
          <w:rFonts w:ascii="Times New Roman" w:hAnsi="Times New Roman"/>
          <w:sz w:val="24"/>
        </w:rPr>
        <w:t xml:space="preserve">L’utilizzo della spesa pubblica </w:t>
      </w:r>
      <w:r w:rsidR="00CD75CF" w:rsidRPr="00BA08BB">
        <w:rPr>
          <w:rFonts w:ascii="Times New Roman" w:hAnsi="Times New Roman"/>
          <w:sz w:val="24"/>
        </w:rPr>
        <w:t>come strumento di leva economica</w:t>
      </w:r>
      <w:r w:rsidRPr="00BA08BB">
        <w:rPr>
          <w:rFonts w:ascii="Times New Roman" w:hAnsi="Times New Roman"/>
          <w:sz w:val="24"/>
        </w:rPr>
        <w:t xml:space="preserve"> </w:t>
      </w:r>
      <w:r w:rsidR="00FA0B01">
        <w:rPr>
          <w:rFonts w:ascii="Times New Roman" w:hAnsi="Times New Roman"/>
          <w:sz w:val="24"/>
        </w:rPr>
        <w:t>esige</w:t>
      </w:r>
      <w:r w:rsidR="004870BA" w:rsidRPr="00BA08BB">
        <w:rPr>
          <w:rFonts w:ascii="Times New Roman" w:hAnsi="Times New Roman"/>
          <w:sz w:val="24"/>
        </w:rPr>
        <w:t xml:space="preserve"> </w:t>
      </w:r>
      <w:r w:rsidR="00F83C9B">
        <w:rPr>
          <w:rFonts w:ascii="Times New Roman" w:hAnsi="Times New Roman"/>
          <w:sz w:val="24"/>
        </w:rPr>
        <w:t xml:space="preserve">un’azione amministrativa </w:t>
      </w:r>
      <w:r w:rsidR="00FA0B01">
        <w:rPr>
          <w:rFonts w:ascii="Times New Roman" w:hAnsi="Times New Roman"/>
          <w:sz w:val="24"/>
        </w:rPr>
        <w:t xml:space="preserve">fortemente </w:t>
      </w:r>
      <w:r w:rsidR="00F83C9B">
        <w:rPr>
          <w:rFonts w:ascii="Times New Roman" w:hAnsi="Times New Roman"/>
          <w:sz w:val="24"/>
        </w:rPr>
        <w:t>improntata ad un’</w:t>
      </w:r>
      <w:r w:rsidR="00FA0B01">
        <w:rPr>
          <w:rFonts w:ascii="Times New Roman" w:hAnsi="Times New Roman"/>
          <w:sz w:val="24"/>
        </w:rPr>
        <w:t>ottica di risu</w:t>
      </w:r>
      <w:r w:rsidR="00F83C9B">
        <w:rPr>
          <w:rFonts w:ascii="Times New Roman" w:hAnsi="Times New Roman"/>
          <w:sz w:val="24"/>
        </w:rPr>
        <w:t>ltato</w:t>
      </w:r>
      <w:r w:rsidR="00FA0B01">
        <w:rPr>
          <w:rFonts w:ascii="Times New Roman" w:hAnsi="Times New Roman"/>
          <w:sz w:val="24"/>
        </w:rPr>
        <w:t>, un</w:t>
      </w:r>
      <w:r w:rsidR="00F83C9B">
        <w:rPr>
          <w:rFonts w:ascii="Times New Roman" w:hAnsi="Times New Roman"/>
          <w:sz w:val="24"/>
        </w:rPr>
        <w:t xml:space="preserve"> rafforzamento delle capacità operative e gestionali </w:t>
      </w:r>
      <w:r w:rsidR="00FA0B01">
        <w:rPr>
          <w:rFonts w:ascii="Times New Roman" w:hAnsi="Times New Roman"/>
          <w:sz w:val="24"/>
        </w:rPr>
        <w:t xml:space="preserve">del soggetto pubblico mediante </w:t>
      </w:r>
      <w:r w:rsidR="00F83C9B">
        <w:rPr>
          <w:rFonts w:ascii="Times New Roman" w:hAnsi="Times New Roman"/>
          <w:sz w:val="24"/>
        </w:rPr>
        <w:t>un ampliamento del patrimonio conoscitivo tecnico, scientifico ed economico</w:t>
      </w:r>
      <w:r w:rsidR="00CD75CF" w:rsidRPr="00BA08BB">
        <w:rPr>
          <w:rFonts w:ascii="Times New Roman" w:hAnsi="Times New Roman"/>
          <w:sz w:val="24"/>
        </w:rPr>
        <w:t xml:space="preserve">, </w:t>
      </w:r>
      <w:r w:rsidR="004870BA" w:rsidRPr="00BA08BB">
        <w:rPr>
          <w:rFonts w:ascii="Times New Roman" w:hAnsi="Times New Roman"/>
          <w:sz w:val="24"/>
        </w:rPr>
        <w:t xml:space="preserve">la </w:t>
      </w:r>
      <w:r w:rsidR="00CD75CF" w:rsidRPr="00BA08BB">
        <w:rPr>
          <w:rFonts w:ascii="Times New Roman" w:hAnsi="Times New Roman"/>
          <w:sz w:val="24"/>
        </w:rPr>
        <w:t xml:space="preserve">flessibilità dello strumento </w:t>
      </w:r>
      <w:r w:rsidR="004870BA" w:rsidRPr="00BA08BB">
        <w:rPr>
          <w:rFonts w:ascii="Times New Roman" w:hAnsi="Times New Roman"/>
          <w:sz w:val="24"/>
        </w:rPr>
        <w:t xml:space="preserve">contrattuale </w:t>
      </w:r>
      <w:r w:rsidR="00CD75CF" w:rsidRPr="00BA08BB">
        <w:rPr>
          <w:rFonts w:ascii="Times New Roman" w:hAnsi="Times New Roman"/>
          <w:sz w:val="24"/>
        </w:rPr>
        <w:t xml:space="preserve">e </w:t>
      </w:r>
      <w:r w:rsidR="004870BA" w:rsidRPr="00BA08BB">
        <w:rPr>
          <w:rFonts w:ascii="Times New Roman" w:hAnsi="Times New Roman"/>
          <w:sz w:val="24"/>
        </w:rPr>
        <w:t>la sostenibilità nel tempo dell’operazione economica</w:t>
      </w:r>
      <w:r w:rsidR="00D62670" w:rsidRPr="00BA08BB">
        <w:rPr>
          <w:rFonts w:ascii="Times New Roman" w:hAnsi="Times New Roman"/>
          <w:sz w:val="24"/>
        </w:rPr>
        <w:t>.</w:t>
      </w:r>
    </w:p>
    <w:p w:rsidR="006731DC" w:rsidRDefault="006731DC" w:rsidP="00BA08BB">
      <w:pPr>
        <w:spacing w:line="480" w:lineRule="auto"/>
        <w:jc w:val="both"/>
        <w:rPr>
          <w:rFonts w:ascii="Times New Roman" w:hAnsi="Times New Roman"/>
          <w:sz w:val="24"/>
        </w:rPr>
      </w:pPr>
      <w:r>
        <w:rPr>
          <w:rFonts w:ascii="Times New Roman" w:hAnsi="Times New Roman"/>
          <w:sz w:val="24"/>
        </w:rPr>
        <w:t>Il</w:t>
      </w:r>
      <w:r w:rsidR="00E27184" w:rsidRPr="00BA08BB">
        <w:rPr>
          <w:rFonts w:ascii="Times New Roman" w:hAnsi="Times New Roman"/>
          <w:sz w:val="24"/>
        </w:rPr>
        <w:t xml:space="preserve"> </w:t>
      </w:r>
      <w:r w:rsidR="001E10D6" w:rsidRPr="00BA08BB">
        <w:rPr>
          <w:rFonts w:ascii="Times New Roman" w:hAnsi="Times New Roman"/>
          <w:sz w:val="24"/>
        </w:rPr>
        <w:t>pa</w:t>
      </w:r>
      <w:r w:rsidR="00DE0B01" w:rsidRPr="00BA08BB">
        <w:rPr>
          <w:rFonts w:ascii="Times New Roman" w:hAnsi="Times New Roman"/>
          <w:sz w:val="24"/>
        </w:rPr>
        <w:t>r</w:t>
      </w:r>
      <w:r w:rsidR="001E10D6" w:rsidRPr="00BA08BB">
        <w:rPr>
          <w:rFonts w:ascii="Times New Roman" w:hAnsi="Times New Roman"/>
          <w:sz w:val="24"/>
        </w:rPr>
        <w:t xml:space="preserve">ternariato pubblico privato </w:t>
      </w:r>
      <w:r>
        <w:rPr>
          <w:rFonts w:ascii="Times New Roman" w:hAnsi="Times New Roman"/>
          <w:sz w:val="24"/>
        </w:rPr>
        <w:t xml:space="preserve">(contrattuale e istituzionalizzato) e </w:t>
      </w:r>
      <w:r w:rsidR="00E27184" w:rsidRPr="00BA08BB">
        <w:rPr>
          <w:rFonts w:ascii="Times New Roman" w:hAnsi="Times New Roman"/>
          <w:sz w:val="24"/>
        </w:rPr>
        <w:t>l’</w:t>
      </w:r>
      <w:r w:rsidR="00E27184" w:rsidRPr="00BA08BB">
        <w:rPr>
          <w:rFonts w:ascii="Times New Roman" w:hAnsi="Times New Roman"/>
          <w:i/>
          <w:sz w:val="24"/>
        </w:rPr>
        <w:t>in house</w:t>
      </w:r>
      <w:r w:rsidR="00E27184" w:rsidRPr="00BA08BB">
        <w:rPr>
          <w:rFonts w:ascii="Times New Roman" w:hAnsi="Times New Roman"/>
          <w:sz w:val="24"/>
        </w:rPr>
        <w:t xml:space="preserve"> </w:t>
      </w:r>
      <w:r>
        <w:rPr>
          <w:rFonts w:ascii="Times New Roman" w:hAnsi="Times New Roman"/>
          <w:sz w:val="24"/>
        </w:rPr>
        <w:t xml:space="preserve">costituiscono due </w:t>
      </w:r>
      <w:r w:rsidR="000D0956">
        <w:rPr>
          <w:rFonts w:ascii="Times New Roman" w:hAnsi="Times New Roman"/>
          <w:sz w:val="24"/>
        </w:rPr>
        <w:t>strumenti</w:t>
      </w:r>
      <w:r>
        <w:rPr>
          <w:rFonts w:ascii="Times New Roman" w:hAnsi="Times New Roman"/>
          <w:sz w:val="24"/>
        </w:rPr>
        <w:t xml:space="preserve"> in grado di soddisfare le esigenze sopra indicate e, quindi, idonei a rivestire un ruolo strategico nella realizzazione del p</w:t>
      </w:r>
      <w:r w:rsidR="002473B8">
        <w:rPr>
          <w:rFonts w:ascii="Times New Roman" w:hAnsi="Times New Roman"/>
          <w:sz w:val="24"/>
        </w:rPr>
        <w:t>ia</w:t>
      </w:r>
      <w:r>
        <w:rPr>
          <w:rFonts w:ascii="Times New Roman" w:hAnsi="Times New Roman"/>
          <w:sz w:val="24"/>
        </w:rPr>
        <w:t>no degli interventi programmati.</w:t>
      </w:r>
    </w:p>
    <w:p w:rsidR="00A97925" w:rsidRDefault="002473B8" w:rsidP="00BA08BB">
      <w:pPr>
        <w:spacing w:line="480" w:lineRule="auto"/>
        <w:jc w:val="both"/>
        <w:rPr>
          <w:rFonts w:ascii="Times New Roman" w:hAnsi="Times New Roman"/>
          <w:sz w:val="24"/>
        </w:rPr>
      </w:pPr>
      <w:r>
        <w:rPr>
          <w:rFonts w:ascii="Times New Roman" w:hAnsi="Times New Roman"/>
          <w:sz w:val="24"/>
        </w:rPr>
        <w:t>La valenza</w:t>
      </w:r>
      <w:r w:rsidR="00E27184" w:rsidRPr="00BA08BB">
        <w:rPr>
          <w:rFonts w:ascii="Times New Roman" w:hAnsi="Times New Roman"/>
          <w:sz w:val="24"/>
        </w:rPr>
        <w:t xml:space="preserve"> strategica</w:t>
      </w:r>
      <w:r>
        <w:rPr>
          <w:rFonts w:ascii="Times New Roman" w:hAnsi="Times New Roman"/>
          <w:sz w:val="24"/>
        </w:rPr>
        <w:t xml:space="preserve"> di entrambi gli istituti</w:t>
      </w:r>
      <w:r w:rsidR="00C726CF" w:rsidRPr="00BA08BB">
        <w:rPr>
          <w:rFonts w:ascii="Times New Roman" w:hAnsi="Times New Roman"/>
          <w:sz w:val="24"/>
        </w:rPr>
        <w:t xml:space="preserve"> </w:t>
      </w:r>
      <w:r>
        <w:rPr>
          <w:rFonts w:ascii="Times New Roman" w:hAnsi="Times New Roman"/>
          <w:sz w:val="24"/>
        </w:rPr>
        <w:t xml:space="preserve">non </w:t>
      </w:r>
      <w:r w:rsidR="00767E18" w:rsidRPr="00BA08BB">
        <w:rPr>
          <w:rFonts w:ascii="Times New Roman" w:hAnsi="Times New Roman"/>
          <w:sz w:val="24"/>
        </w:rPr>
        <w:t>è</w:t>
      </w:r>
      <w:r>
        <w:rPr>
          <w:rFonts w:ascii="Times New Roman" w:hAnsi="Times New Roman"/>
          <w:sz w:val="24"/>
        </w:rPr>
        <w:t>, peraltro,</w:t>
      </w:r>
      <w:r w:rsidR="00767E18" w:rsidRPr="00BA08BB">
        <w:rPr>
          <w:rFonts w:ascii="Times New Roman" w:hAnsi="Times New Roman"/>
          <w:sz w:val="24"/>
        </w:rPr>
        <w:t xml:space="preserve"> limitata al singolo intervento o programma, ma investe, in un’ottica di più ampio respiro, un processo di ammodernamento della pubblica amministrazione</w:t>
      </w:r>
      <w:r>
        <w:rPr>
          <w:rFonts w:ascii="Times New Roman" w:hAnsi="Times New Roman"/>
          <w:sz w:val="24"/>
        </w:rPr>
        <w:t>, atto a determinarne</w:t>
      </w:r>
      <w:r w:rsidR="00841709" w:rsidRPr="00BA08BB">
        <w:rPr>
          <w:rFonts w:ascii="Times New Roman" w:hAnsi="Times New Roman"/>
          <w:sz w:val="24"/>
        </w:rPr>
        <w:t xml:space="preserve"> </w:t>
      </w:r>
      <w:r>
        <w:rPr>
          <w:rFonts w:ascii="Times New Roman" w:hAnsi="Times New Roman"/>
          <w:sz w:val="24"/>
        </w:rPr>
        <w:t>l’affrancamento</w:t>
      </w:r>
      <w:r w:rsidR="00740189" w:rsidRPr="00BA08BB">
        <w:rPr>
          <w:rFonts w:ascii="Times New Roman" w:hAnsi="Times New Roman"/>
          <w:sz w:val="24"/>
        </w:rPr>
        <w:t xml:space="preserve"> </w:t>
      </w:r>
      <w:r w:rsidR="0044489B" w:rsidRPr="00BA08BB">
        <w:rPr>
          <w:rFonts w:ascii="Times New Roman" w:hAnsi="Times New Roman"/>
          <w:sz w:val="24"/>
        </w:rPr>
        <w:t xml:space="preserve">dalla </w:t>
      </w:r>
      <w:r w:rsidR="00740189" w:rsidRPr="00BA08BB">
        <w:rPr>
          <w:rFonts w:ascii="Times New Roman" w:hAnsi="Times New Roman"/>
          <w:sz w:val="24"/>
        </w:rPr>
        <w:t>logica statica di mero acqu</w:t>
      </w:r>
      <w:r>
        <w:rPr>
          <w:rFonts w:ascii="Times New Roman" w:hAnsi="Times New Roman"/>
          <w:sz w:val="24"/>
        </w:rPr>
        <w:t>irente del bene o del servizio e l’evoluzione verso una figura operatore pubblico-professionale in grado di selezionare</w:t>
      </w:r>
      <w:r w:rsidR="00740189" w:rsidRPr="00BA08BB">
        <w:rPr>
          <w:rFonts w:ascii="Times New Roman" w:hAnsi="Times New Roman"/>
          <w:sz w:val="24"/>
        </w:rPr>
        <w:t xml:space="preserve"> </w:t>
      </w:r>
      <w:r w:rsidR="00E50B8B">
        <w:rPr>
          <w:rFonts w:ascii="Times New Roman" w:hAnsi="Times New Roman"/>
          <w:sz w:val="24"/>
        </w:rPr>
        <w:t xml:space="preserve">il </w:t>
      </w:r>
      <w:r w:rsidR="00E50B8B" w:rsidRPr="000D0956">
        <w:rPr>
          <w:rFonts w:ascii="Times New Roman" w:hAnsi="Times New Roman"/>
          <w:i/>
          <w:sz w:val="24"/>
        </w:rPr>
        <w:t>partner</w:t>
      </w:r>
      <w:r w:rsidR="00E50B8B">
        <w:rPr>
          <w:rFonts w:ascii="Times New Roman" w:hAnsi="Times New Roman"/>
          <w:sz w:val="24"/>
        </w:rPr>
        <w:t xml:space="preserve"> privato</w:t>
      </w:r>
      <w:r>
        <w:rPr>
          <w:rFonts w:ascii="Times New Roman" w:hAnsi="Times New Roman"/>
          <w:sz w:val="24"/>
        </w:rPr>
        <w:t xml:space="preserve"> e lo</w:t>
      </w:r>
      <w:r w:rsidR="00740189" w:rsidRPr="00BA08BB">
        <w:rPr>
          <w:rFonts w:ascii="Times New Roman" w:hAnsi="Times New Roman"/>
          <w:sz w:val="24"/>
        </w:rPr>
        <w:t xml:space="preserve"> strumento </w:t>
      </w:r>
      <w:r w:rsidR="006D7D3F" w:rsidRPr="00BA08BB">
        <w:rPr>
          <w:rFonts w:ascii="Times New Roman" w:hAnsi="Times New Roman"/>
          <w:sz w:val="24"/>
        </w:rPr>
        <w:t>negoziale</w:t>
      </w:r>
      <w:r w:rsidR="00740189" w:rsidRPr="00BA08BB">
        <w:rPr>
          <w:rFonts w:ascii="Times New Roman" w:hAnsi="Times New Roman"/>
          <w:sz w:val="24"/>
        </w:rPr>
        <w:t xml:space="preserve"> più adeguat</w:t>
      </w:r>
      <w:r>
        <w:rPr>
          <w:rFonts w:ascii="Times New Roman" w:hAnsi="Times New Roman"/>
          <w:sz w:val="24"/>
        </w:rPr>
        <w:t xml:space="preserve">i all’interesse da soddisfare, di </w:t>
      </w:r>
      <w:r w:rsidR="000D0956">
        <w:rPr>
          <w:rFonts w:ascii="Times New Roman" w:hAnsi="Times New Roman"/>
          <w:sz w:val="24"/>
        </w:rPr>
        <w:t>utilizzare</w:t>
      </w:r>
      <w:r>
        <w:rPr>
          <w:rFonts w:ascii="Times New Roman" w:hAnsi="Times New Roman"/>
          <w:sz w:val="24"/>
        </w:rPr>
        <w:t xml:space="preserve"> </w:t>
      </w:r>
      <w:r w:rsidR="000D0956">
        <w:rPr>
          <w:rFonts w:ascii="Times New Roman" w:hAnsi="Times New Roman"/>
          <w:sz w:val="24"/>
        </w:rPr>
        <w:t>il contratto e il relativo</w:t>
      </w:r>
      <w:r w:rsidR="00E50B8B">
        <w:rPr>
          <w:rFonts w:ascii="Times New Roman" w:hAnsi="Times New Roman"/>
          <w:sz w:val="24"/>
        </w:rPr>
        <w:t xml:space="preserve"> regolamento negoziale</w:t>
      </w:r>
      <w:r>
        <w:rPr>
          <w:rFonts w:ascii="Times New Roman" w:hAnsi="Times New Roman"/>
          <w:sz w:val="24"/>
        </w:rPr>
        <w:t xml:space="preserve"> per un’efficiente allocazione del rischio economico </w:t>
      </w:r>
      <w:r w:rsidR="00740189" w:rsidRPr="00BA08BB">
        <w:rPr>
          <w:rFonts w:ascii="Times New Roman" w:hAnsi="Times New Roman"/>
          <w:sz w:val="24"/>
        </w:rPr>
        <w:t xml:space="preserve"> e di </w:t>
      </w:r>
      <w:r w:rsidR="0044489B" w:rsidRPr="00BA08BB">
        <w:rPr>
          <w:rFonts w:ascii="Times New Roman" w:hAnsi="Times New Roman"/>
          <w:sz w:val="24"/>
        </w:rPr>
        <w:t xml:space="preserve">garantire </w:t>
      </w:r>
      <w:r w:rsidR="00CE2E2B">
        <w:rPr>
          <w:rFonts w:ascii="Times New Roman" w:hAnsi="Times New Roman"/>
          <w:sz w:val="24"/>
        </w:rPr>
        <w:t>un costante monitoraggio</w:t>
      </w:r>
      <w:r w:rsidR="00740189" w:rsidRPr="00BA08BB">
        <w:rPr>
          <w:rFonts w:ascii="Times New Roman" w:hAnsi="Times New Roman"/>
          <w:sz w:val="24"/>
        </w:rPr>
        <w:t xml:space="preserve"> </w:t>
      </w:r>
      <w:r w:rsidR="0044489B" w:rsidRPr="00BA08BB">
        <w:rPr>
          <w:rFonts w:ascii="Times New Roman" w:hAnsi="Times New Roman"/>
          <w:sz w:val="24"/>
        </w:rPr>
        <w:t>nella fase di esecuzione</w:t>
      </w:r>
      <w:r w:rsidR="00740189" w:rsidRPr="00BA08BB">
        <w:rPr>
          <w:rFonts w:ascii="Times New Roman" w:hAnsi="Times New Roman"/>
          <w:sz w:val="24"/>
        </w:rPr>
        <w:t>, in un’ottica di medio e lungo periodo</w:t>
      </w:r>
      <w:r w:rsidR="0044489B" w:rsidRPr="00BA08BB">
        <w:rPr>
          <w:rFonts w:ascii="Times New Roman" w:hAnsi="Times New Roman"/>
          <w:sz w:val="24"/>
        </w:rPr>
        <w:t>.</w:t>
      </w:r>
    </w:p>
    <w:p w:rsidR="0044489B" w:rsidRPr="00BA08BB" w:rsidRDefault="0044489B" w:rsidP="00BA08BB">
      <w:pPr>
        <w:spacing w:line="480" w:lineRule="auto"/>
        <w:jc w:val="both"/>
        <w:rPr>
          <w:rFonts w:ascii="Times New Roman" w:hAnsi="Times New Roman"/>
          <w:sz w:val="24"/>
        </w:rPr>
      </w:pPr>
      <w:r w:rsidRPr="00BA08BB">
        <w:rPr>
          <w:rFonts w:ascii="Times New Roman" w:hAnsi="Times New Roman"/>
          <w:sz w:val="24"/>
        </w:rPr>
        <w:lastRenderedPageBreak/>
        <w:t xml:space="preserve">Tutti gli interventi </w:t>
      </w:r>
      <w:r w:rsidR="002C080B" w:rsidRPr="00BA08BB">
        <w:rPr>
          <w:rFonts w:ascii="Times New Roman" w:hAnsi="Times New Roman"/>
          <w:sz w:val="24"/>
        </w:rPr>
        <w:t xml:space="preserve">contemplati </w:t>
      </w:r>
      <w:r w:rsidR="000D0956">
        <w:rPr>
          <w:rFonts w:ascii="Times New Roman" w:hAnsi="Times New Roman"/>
          <w:sz w:val="24"/>
        </w:rPr>
        <w:t xml:space="preserve">dal </w:t>
      </w:r>
      <w:r w:rsidR="002C080B" w:rsidRPr="00BA08BB">
        <w:rPr>
          <w:rFonts w:ascii="Times New Roman" w:hAnsi="Times New Roman"/>
          <w:sz w:val="24"/>
        </w:rPr>
        <w:t>PNRR-</w:t>
      </w:r>
      <w:r w:rsidR="000D0956">
        <w:rPr>
          <w:rFonts w:ascii="Times New Roman" w:hAnsi="Times New Roman"/>
          <w:sz w:val="24"/>
        </w:rPr>
        <w:t xml:space="preserve"> </w:t>
      </w:r>
      <w:r w:rsidR="002C080B" w:rsidRPr="00BA08BB">
        <w:rPr>
          <w:rFonts w:ascii="Times New Roman" w:hAnsi="Times New Roman"/>
          <w:sz w:val="24"/>
        </w:rPr>
        <w:t>dalla digitalizzazione, alla tra</w:t>
      </w:r>
      <w:r w:rsidR="009F67E0" w:rsidRPr="00BA08BB">
        <w:rPr>
          <w:rFonts w:ascii="Times New Roman" w:hAnsi="Times New Roman"/>
          <w:sz w:val="24"/>
        </w:rPr>
        <w:t>nsiz</w:t>
      </w:r>
      <w:r w:rsidR="002C080B" w:rsidRPr="00BA08BB">
        <w:rPr>
          <w:rFonts w:ascii="Times New Roman" w:hAnsi="Times New Roman"/>
          <w:sz w:val="24"/>
        </w:rPr>
        <w:t xml:space="preserve">ione ecologica ed efficientamento energetico, alla mobilità sostenibile, </w:t>
      </w:r>
      <w:r w:rsidR="00BE54D3" w:rsidRPr="00BA08BB">
        <w:rPr>
          <w:rFonts w:ascii="Times New Roman" w:hAnsi="Times New Roman"/>
          <w:sz w:val="24"/>
        </w:rPr>
        <w:t xml:space="preserve">all’istruzione, all’inclusione e coesione, </w:t>
      </w:r>
      <w:r w:rsidR="002C080B" w:rsidRPr="00BA08BB">
        <w:rPr>
          <w:rFonts w:ascii="Times New Roman" w:hAnsi="Times New Roman"/>
          <w:sz w:val="24"/>
        </w:rPr>
        <w:t xml:space="preserve">alla salute- impongono l’acquisizione di specifiche competenze tecniche entro i tempi contenuti previsti per la loro realizzazione: di qui l’opportunità di sfruttare il </w:t>
      </w:r>
      <w:r w:rsidR="002C080B" w:rsidRPr="000D0956">
        <w:rPr>
          <w:rFonts w:ascii="Times New Roman" w:hAnsi="Times New Roman"/>
          <w:i/>
          <w:sz w:val="24"/>
        </w:rPr>
        <w:t>know how</w:t>
      </w:r>
      <w:r w:rsidR="002C080B" w:rsidRPr="00BA08BB">
        <w:rPr>
          <w:rFonts w:ascii="Times New Roman" w:hAnsi="Times New Roman"/>
          <w:sz w:val="24"/>
        </w:rPr>
        <w:t xml:space="preserve"> e le capacità impr</w:t>
      </w:r>
      <w:r w:rsidR="000D0956">
        <w:rPr>
          <w:rFonts w:ascii="Times New Roman" w:hAnsi="Times New Roman"/>
          <w:sz w:val="24"/>
        </w:rPr>
        <w:t xml:space="preserve">enditoriali del settore privato, unitamente al </w:t>
      </w:r>
      <w:r w:rsidR="002C080B" w:rsidRPr="00BA08BB">
        <w:rPr>
          <w:rFonts w:ascii="Times New Roman" w:hAnsi="Times New Roman"/>
          <w:sz w:val="24"/>
        </w:rPr>
        <w:t xml:space="preserve">supporto tecnico operativo delle società </w:t>
      </w:r>
      <w:r w:rsidR="002C080B" w:rsidRPr="000D0956">
        <w:rPr>
          <w:rFonts w:ascii="Times New Roman" w:hAnsi="Times New Roman"/>
          <w:i/>
          <w:sz w:val="24"/>
        </w:rPr>
        <w:t>in house</w:t>
      </w:r>
      <w:r w:rsidR="002C080B" w:rsidRPr="00BA08BB">
        <w:rPr>
          <w:rFonts w:ascii="Times New Roman" w:hAnsi="Times New Roman"/>
          <w:sz w:val="24"/>
        </w:rPr>
        <w:t>.</w:t>
      </w:r>
    </w:p>
    <w:p w:rsidR="001761C7" w:rsidRPr="00BA08BB" w:rsidRDefault="00DE0B01" w:rsidP="00BA08BB">
      <w:pPr>
        <w:spacing w:line="480" w:lineRule="auto"/>
        <w:jc w:val="both"/>
        <w:rPr>
          <w:rFonts w:ascii="Times New Roman" w:hAnsi="Times New Roman"/>
          <w:sz w:val="24"/>
        </w:rPr>
      </w:pPr>
      <w:r w:rsidRPr="00BA08BB">
        <w:rPr>
          <w:rFonts w:ascii="Times New Roman" w:hAnsi="Times New Roman"/>
          <w:sz w:val="24"/>
        </w:rPr>
        <w:t xml:space="preserve">Quanto al partenariato pubblico privato, </w:t>
      </w:r>
      <w:r w:rsidR="00A76625" w:rsidRPr="00BA08BB">
        <w:rPr>
          <w:rFonts w:ascii="Times New Roman" w:hAnsi="Times New Roman"/>
          <w:sz w:val="24"/>
        </w:rPr>
        <w:t xml:space="preserve">il </w:t>
      </w:r>
      <w:r w:rsidR="00BE54D3" w:rsidRPr="00BA08BB">
        <w:rPr>
          <w:rFonts w:ascii="Times New Roman" w:hAnsi="Times New Roman"/>
          <w:sz w:val="24"/>
        </w:rPr>
        <w:t>Piano</w:t>
      </w:r>
      <w:r w:rsidR="00A76625" w:rsidRPr="00BA08BB">
        <w:rPr>
          <w:rFonts w:ascii="Times New Roman" w:hAnsi="Times New Roman"/>
          <w:sz w:val="24"/>
        </w:rPr>
        <w:t xml:space="preserve"> precisa che, in via prudenziale, non si tiene conto esplicitamente della possibilità che i fondi del PNRR vengano utilizzati per sostenere oppure attrarre investimenti privati at</w:t>
      </w:r>
      <w:r w:rsidR="00CD75CF" w:rsidRPr="00BA08BB">
        <w:rPr>
          <w:rFonts w:ascii="Times New Roman" w:hAnsi="Times New Roman"/>
          <w:sz w:val="24"/>
        </w:rPr>
        <w:t xml:space="preserve">traverso il mercato, anche per </w:t>
      </w:r>
      <w:r w:rsidR="00A76625" w:rsidRPr="00BA08BB">
        <w:rPr>
          <w:rFonts w:ascii="Times New Roman" w:hAnsi="Times New Roman"/>
          <w:sz w:val="24"/>
        </w:rPr>
        <w:t>tramite forme di partenariato pubblico privato, chiarendo, tuttavia, che “</w:t>
      </w:r>
      <w:r w:rsidR="00A76625" w:rsidRPr="00BA08BB">
        <w:rPr>
          <w:rFonts w:ascii="Times New Roman" w:hAnsi="Times New Roman"/>
          <w:i/>
          <w:sz w:val="24"/>
        </w:rPr>
        <w:t>in tal caso l’impatto sarebbe stato ben maggiore per l’effetto leva</w:t>
      </w:r>
      <w:r w:rsidR="00A76625" w:rsidRPr="00BA08BB">
        <w:rPr>
          <w:rFonts w:ascii="Times New Roman" w:hAnsi="Times New Roman"/>
          <w:sz w:val="24"/>
        </w:rPr>
        <w:t>”</w:t>
      </w:r>
      <w:r w:rsidR="00A76625" w:rsidRPr="00BA08BB">
        <w:rPr>
          <w:rStyle w:val="Rimandonotaapidipagina"/>
          <w:rFonts w:ascii="Times New Roman" w:hAnsi="Times New Roman"/>
          <w:sz w:val="24"/>
        </w:rPr>
        <w:footnoteReference w:id="2"/>
      </w:r>
      <w:r w:rsidR="001761C7" w:rsidRPr="00BA08BB">
        <w:rPr>
          <w:rFonts w:ascii="Times New Roman" w:hAnsi="Times New Roman"/>
          <w:sz w:val="24"/>
        </w:rPr>
        <w:t xml:space="preserve">. </w:t>
      </w:r>
    </w:p>
    <w:p w:rsidR="007E5A33" w:rsidRPr="00BA08BB" w:rsidRDefault="009F67E0" w:rsidP="00BA08BB">
      <w:pPr>
        <w:spacing w:line="480" w:lineRule="auto"/>
        <w:jc w:val="both"/>
        <w:rPr>
          <w:rFonts w:ascii="Times New Roman" w:hAnsi="Times New Roman"/>
          <w:sz w:val="24"/>
        </w:rPr>
      </w:pPr>
      <w:r w:rsidRPr="00BA08BB">
        <w:rPr>
          <w:rFonts w:ascii="Times New Roman" w:hAnsi="Times New Roman"/>
          <w:sz w:val="24"/>
        </w:rPr>
        <w:t xml:space="preserve">Per </w:t>
      </w:r>
      <w:r w:rsidR="00BE54D3" w:rsidRPr="00BA08BB">
        <w:rPr>
          <w:rFonts w:ascii="Times New Roman" w:hAnsi="Times New Roman"/>
          <w:sz w:val="24"/>
        </w:rPr>
        <w:t xml:space="preserve">ogni </w:t>
      </w:r>
      <w:r w:rsidR="001761C7" w:rsidRPr="00BA08BB">
        <w:rPr>
          <w:rFonts w:ascii="Times New Roman" w:hAnsi="Times New Roman"/>
          <w:sz w:val="24"/>
        </w:rPr>
        <w:t xml:space="preserve">progetto </w:t>
      </w:r>
      <w:r w:rsidRPr="00BA08BB">
        <w:rPr>
          <w:rFonts w:ascii="Times New Roman" w:hAnsi="Times New Roman"/>
          <w:sz w:val="24"/>
        </w:rPr>
        <w:t>contemplato</w:t>
      </w:r>
      <w:r w:rsidR="001761C7" w:rsidRPr="00BA08BB">
        <w:rPr>
          <w:rFonts w:ascii="Times New Roman" w:hAnsi="Times New Roman"/>
          <w:sz w:val="24"/>
        </w:rPr>
        <w:t xml:space="preserve"> </w:t>
      </w:r>
      <w:r w:rsidR="008726BB">
        <w:rPr>
          <w:rFonts w:ascii="Times New Roman" w:hAnsi="Times New Roman"/>
          <w:sz w:val="24"/>
        </w:rPr>
        <w:t>nel Piano</w:t>
      </w:r>
      <w:r w:rsidRPr="00BA08BB">
        <w:rPr>
          <w:rFonts w:ascii="Times New Roman" w:hAnsi="Times New Roman"/>
          <w:sz w:val="24"/>
        </w:rPr>
        <w:t>, quindi,</w:t>
      </w:r>
      <w:r w:rsidR="001761C7" w:rsidRPr="00BA08BB">
        <w:rPr>
          <w:rFonts w:ascii="Times New Roman" w:hAnsi="Times New Roman"/>
          <w:sz w:val="24"/>
        </w:rPr>
        <w:t xml:space="preserve"> </w:t>
      </w:r>
      <w:r w:rsidRPr="00BA08BB">
        <w:rPr>
          <w:rFonts w:ascii="Times New Roman" w:hAnsi="Times New Roman"/>
          <w:sz w:val="24"/>
        </w:rPr>
        <w:t>il finanziamento ivi previsto è</w:t>
      </w:r>
      <w:r w:rsidR="00CD75CF" w:rsidRPr="00BA08BB">
        <w:rPr>
          <w:rFonts w:ascii="Times New Roman" w:hAnsi="Times New Roman"/>
          <w:sz w:val="24"/>
        </w:rPr>
        <w:t xml:space="preserve"> </w:t>
      </w:r>
      <w:r w:rsidRPr="00BA08BB">
        <w:rPr>
          <w:rFonts w:ascii="Times New Roman" w:hAnsi="Times New Roman"/>
          <w:sz w:val="24"/>
        </w:rPr>
        <w:t>in grado</w:t>
      </w:r>
      <w:r w:rsidR="00CD75CF" w:rsidRPr="00BA08BB">
        <w:rPr>
          <w:rFonts w:ascii="Times New Roman" w:hAnsi="Times New Roman"/>
          <w:sz w:val="24"/>
        </w:rPr>
        <w:t xml:space="preserve"> </w:t>
      </w:r>
      <w:r w:rsidR="006D7D3F" w:rsidRPr="00BA08BB">
        <w:rPr>
          <w:rFonts w:ascii="Times New Roman" w:hAnsi="Times New Roman"/>
          <w:sz w:val="24"/>
        </w:rPr>
        <w:t>di</w:t>
      </w:r>
      <w:r w:rsidRPr="00BA08BB">
        <w:rPr>
          <w:rFonts w:ascii="Times New Roman" w:hAnsi="Times New Roman"/>
          <w:sz w:val="24"/>
        </w:rPr>
        <w:t xml:space="preserve"> combinarsi con quelli </w:t>
      </w:r>
      <w:r w:rsidR="001761C7" w:rsidRPr="00BA08BB">
        <w:rPr>
          <w:rFonts w:ascii="Times New Roman" w:hAnsi="Times New Roman"/>
          <w:sz w:val="24"/>
        </w:rPr>
        <w:t>derivanti dall’iniziativa privata</w:t>
      </w:r>
      <w:r w:rsidRPr="00BA08BB">
        <w:rPr>
          <w:rFonts w:ascii="Times New Roman" w:hAnsi="Times New Roman"/>
          <w:sz w:val="24"/>
        </w:rPr>
        <w:t>, producendo</w:t>
      </w:r>
      <w:r w:rsidR="00CD75CF" w:rsidRPr="00BA08BB">
        <w:rPr>
          <w:rFonts w:ascii="Times New Roman" w:hAnsi="Times New Roman"/>
          <w:sz w:val="24"/>
        </w:rPr>
        <w:t xml:space="preserve"> un</w:t>
      </w:r>
      <w:r w:rsidR="001761C7" w:rsidRPr="00BA08BB">
        <w:rPr>
          <w:rFonts w:ascii="Times New Roman" w:hAnsi="Times New Roman"/>
          <w:sz w:val="24"/>
        </w:rPr>
        <w:t xml:space="preserve"> effetto moltiplicatore per la ripresa</w:t>
      </w:r>
      <w:r w:rsidR="001761C7" w:rsidRPr="00BA08BB">
        <w:rPr>
          <w:rStyle w:val="Rimandonotaapidipagina"/>
          <w:rFonts w:ascii="Times New Roman" w:hAnsi="Times New Roman"/>
          <w:sz w:val="24"/>
        </w:rPr>
        <w:footnoteReference w:id="3"/>
      </w:r>
      <w:r w:rsidR="001761C7" w:rsidRPr="00BA08BB">
        <w:rPr>
          <w:rFonts w:ascii="Times New Roman" w:hAnsi="Times New Roman"/>
          <w:sz w:val="24"/>
        </w:rPr>
        <w:t>.</w:t>
      </w:r>
      <w:r w:rsidR="00AD5097" w:rsidRPr="00BA08BB">
        <w:rPr>
          <w:rFonts w:ascii="Times New Roman" w:hAnsi="Times New Roman"/>
          <w:sz w:val="24"/>
        </w:rPr>
        <w:t xml:space="preserve"> </w:t>
      </w:r>
    </w:p>
    <w:p w:rsidR="00DE0B01" w:rsidRPr="00BA08BB" w:rsidRDefault="007E5A33" w:rsidP="00BA08BB">
      <w:pPr>
        <w:spacing w:line="480" w:lineRule="auto"/>
        <w:jc w:val="both"/>
        <w:rPr>
          <w:rFonts w:ascii="Times New Roman" w:hAnsi="Times New Roman"/>
          <w:sz w:val="24"/>
        </w:rPr>
      </w:pPr>
      <w:r w:rsidRPr="00BA08BB">
        <w:rPr>
          <w:rFonts w:ascii="Times New Roman" w:hAnsi="Times New Roman"/>
          <w:sz w:val="24"/>
        </w:rPr>
        <w:t xml:space="preserve">Viene quindi confermato, anche nell’ambito del PNRR, il ruolo fondamentale del partenariato pubblico privato quale </w:t>
      </w:r>
      <w:r w:rsidR="00AD5097" w:rsidRPr="00BA08BB">
        <w:rPr>
          <w:rFonts w:ascii="Times New Roman" w:hAnsi="Times New Roman"/>
          <w:sz w:val="24"/>
        </w:rPr>
        <w:t>vo</w:t>
      </w:r>
      <w:r w:rsidRPr="00BA08BB">
        <w:rPr>
          <w:rFonts w:ascii="Times New Roman" w:hAnsi="Times New Roman"/>
          <w:sz w:val="24"/>
        </w:rPr>
        <w:t>lano per la ripresa economica, già in precedenza evidenziato dal Consiglio di Stato</w:t>
      </w:r>
      <w:r w:rsidR="00AD5097" w:rsidRPr="00BA08BB">
        <w:rPr>
          <w:rStyle w:val="Rimandonotaapidipagina"/>
          <w:rFonts w:ascii="Times New Roman" w:hAnsi="Times New Roman"/>
          <w:sz w:val="24"/>
        </w:rPr>
        <w:footnoteReference w:id="4"/>
      </w:r>
      <w:r w:rsidR="00AD5097" w:rsidRPr="00BA08BB">
        <w:rPr>
          <w:rFonts w:ascii="Times New Roman" w:hAnsi="Times New Roman"/>
          <w:sz w:val="24"/>
        </w:rPr>
        <w:t>.</w:t>
      </w:r>
    </w:p>
    <w:p w:rsidR="00C70A44" w:rsidRPr="00BA08BB" w:rsidRDefault="001761C7" w:rsidP="00BA08BB">
      <w:pPr>
        <w:spacing w:line="480" w:lineRule="auto"/>
        <w:jc w:val="both"/>
        <w:rPr>
          <w:rFonts w:ascii="Times New Roman" w:hAnsi="Times New Roman"/>
          <w:sz w:val="24"/>
        </w:rPr>
      </w:pPr>
      <w:r w:rsidRPr="00BA08BB">
        <w:rPr>
          <w:rFonts w:ascii="Times New Roman" w:hAnsi="Times New Roman"/>
          <w:sz w:val="24"/>
        </w:rPr>
        <w:t xml:space="preserve">Da non trascurare, inoltre, l’importanza </w:t>
      </w:r>
      <w:r w:rsidR="00A34C4E" w:rsidRPr="00BA08BB">
        <w:rPr>
          <w:rFonts w:ascii="Times New Roman" w:hAnsi="Times New Roman"/>
          <w:sz w:val="24"/>
        </w:rPr>
        <w:t xml:space="preserve">della competenza tecnico-progettuale del privato, che può rappresentare un valido ausilio per l’amministrazione al pari </w:t>
      </w:r>
      <w:r w:rsidR="00147CCB" w:rsidRPr="00BA08BB">
        <w:rPr>
          <w:rFonts w:ascii="Times New Roman" w:hAnsi="Times New Roman"/>
          <w:sz w:val="24"/>
        </w:rPr>
        <w:t>del</w:t>
      </w:r>
      <w:r w:rsidR="00A34C4E" w:rsidRPr="00BA08BB">
        <w:rPr>
          <w:rFonts w:ascii="Times New Roman" w:hAnsi="Times New Roman"/>
          <w:sz w:val="24"/>
        </w:rPr>
        <w:t xml:space="preserve"> supporto</w:t>
      </w:r>
      <w:r w:rsidR="00147CCB" w:rsidRPr="00BA08BB">
        <w:rPr>
          <w:rFonts w:ascii="Times New Roman" w:hAnsi="Times New Roman"/>
          <w:sz w:val="24"/>
        </w:rPr>
        <w:t xml:space="preserve"> operativo</w:t>
      </w:r>
      <w:r w:rsidR="00A34C4E" w:rsidRPr="00BA08BB">
        <w:rPr>
          <w:rFonts w:ascii="Times New Roman" w:hAnsi="Times New Roman"/>
          <w:sz w:val="24"/>
        </w:rPr>
        <w:t xml:space="preserve"> della società </w:t>
      </w:r>
      <w:r w:rsidR="00A34C4E" w:rsidRPr="00BA08BB">
        <w:rPr>
          <w:rFonts w:ascii="Times New Roman" w:hAnsi="Times New Roman"/>
          <w:i/>
          <w:sz w:val="24"/>
        </w:rPr>
        <w:t>in house</w:t>
      </w:r>
      <w:r w:rsidR="00A34C4E" w:rsidRPr="00BA08BB">
        <w:rPr>
          <w:rFonts w:ascii="Times New Roman" w:hAnsi="Times New Roman"/>
          <w:sz w:val="24"/>
        </w:rPr>
        <w:t xml:space="preserve"> espressamente </w:t>
      </w:r>
      <w:r w:rsidR="00BE54D3" w:rsidRPr="00BA08BB">
        <w:rPr>
          <w:rFonts w:ascii="Times New Roman" w:hAnsi="Times New Roman"/>
          <w:sz w:val="24"/>
        </w:rPr>
        <w:t>previsto dall’art.</w:t>
      </w:r>
      <w:r w:rsidR="009F67E0" w:rsidRPr="00BA08BB">
        <w:rPr>
          <w:rFonts w:ascii="Times New Roman" w:hAnsi="Times New Roman"/>
          <w:sz w:val="24"/>
        </w:rPr>
        <w:t xml:space="preserve"> 10 d.l. 31 maggio 2021, n. 77</w:t>
      </w:r>
      <w:r w:rsidR="00147CCB" w:rsidRPr="00BA08BB">
        <w:rPr>
          <w:rFonts w:ascii="Times New Roman" w:hAnsi="Times New Roman"/>
          <w:sz w:val="24"/>
        </w:rPr>
        <w:t xml:space="preserve"> (c.d. ‘</w:t>
      </w:r>
      <w:r w:rsidR="00147CCB" w:rsidRPr="00EA512A">
        <w:rPr>
          <w:rFonts w:ascii="Times New Roman" w:hAnsi="Times New Roman"/>
          <w:i/>
          <w:sz w:val="24"/>
        </w:rPr>
        <w:t>Decreto governance-PNRR’</w:t>
      </w:r>
      <w:r w:rsidR="00EA512A">
        <w:rPr>
          <w:rFonts w:ascii="Times New Roman" w:hAnsi="Times New Roman"/>
          <w:sz w:val="24"/>
        </w:rPr>
        <w:t>)</w:t>
      </w:r>
      <w:r w:rsidR="00147CCB" w:rsidRPr="00BA08BB">
        <w:rPr>
          <w:rFonts w:ascii="Times New Roman" w:hAnsi="Times New Roman"/>
          <w:sz w:val="24"/>
        </w:rPr>
        <w:t>,</w:t>
      </w:r>
      <w:r w:rsidR="009F67E0" w:rsidRPr="00BA08BB">
        <w:rPr>
          <w:rFonts w:ascii="Times New Roman" w:hAnsi="Times New Roman"/>
          <w:sz w:val="24"/>
        </w:rPr>
        <w:t xml:space="preserve"> convertito, con modificazioni, dall' art. 1, co</w:t>
      </w:r>
      <w:r w:rsidR="00BE54D3" w:rsidRPr="00BA08BB">
        <w:rPr>
          <w:rFonts w:ascii="Times New Roman" w:hAnsi="Times New Roman"/>
          <w:sz w:val="24"/>
        </w:rPr>
        <w:t xml:space="preserve">mma 1, </w:t>
      </w:r>
      <w:r w:rsidR="00EA512A">
        <w:rPr>
          <w:rFonts w:ascii="Times New Roman" w:hAnsi="Times New Roman"/>
          <w:sz w:val="24"/>
        </w:rPr>
        <w:t>l</w:t>
      </w:r>
      <w:r w:rsidR="00BE54D3" w:rsidRPr="00BA08BB">
        <w:rPr>
          <w:rFonts w:ascii="Times New Roman" w:hAnsi="Times New Roman"/>
          <w:sz w:val="24"/>
        </w:rPr>
        <w:t xml:space="preserve">. 29 luglio 2021, n. 10. </w:t>
      </w:r>
    </w:p>
    <w:p w:rsidR="00C70A44" w:rsidRDefault="00BE54D3" w:rsidP="00BA08BB">
      <w:pPr>
        <w:spacing w:line="480" w:lineRule="auto"/>
        <w:jc w:val="both"/>
        <w:rPr>
          <w:rFonts w:ascii="Times New Roman" w:hAnsi="Times New Roman"/>
          <w:sz w:val="24"/>
        </w:rPr>
      </w:pPr>
      <w:r w:rsidRPr="00BA08BB">
        <w:rPr>
          <w:rFonts w:ascii="Times New Roman" w:hAnsi="Times New Roman"/>
          <w:sz w:val="24"/>
        </w:rPr>
        <w:lastRenderedPageBreak/>
        <w:t xml:space="preserve">Quest’ultima </w:t>
      </w:r>
      <w:r w:rsidRPr="00EC3974">
        <w:rPr>
          <w:rFonts w:ascii="Times New Roman" w:hAnsi="Times New Roman"/>
          <w:sz w:val="24"/>
        </w:rPr>
        <w:t xml:space="preserve">disposizione </w:t>
      </w:r>
      <w:r w:rsidR="00C70A44" w:rsidRPr="00EC3974">
        <w:rPr>
          <w:rFonts w:ascii="Times New Roman" w:hAnsi="Times New Roman"/>
          <w:sz w:val="24"/>
        </w:rPr>
        <w:t>i</w:t>
      </w:r>
      <w:r w:rsidR="00C70A44" w:rsidRPr="00BA08BB">
        <w:rPr>
          <w:rFonts w:ascii="Times New Roman" w:hAnsi="Times New Roman"/>
          <w:sz w:val="24"/>
        </w:rPr>
        <w:t>ndividua dell’</w:t>
      </w:r>
      <w:r w:rsidR="00C70A44" w:rsidRPr="00BA08BB">
        <w:rPr>
          <w:rFonts w:ascii="Times New Roman" w:hAnsi="Times New Roman"/>
          <w:i/>
          <w:sz w:val="24"/>
        </w:rPr>
        <w:t>in house</w:t>
      </w:r>
      <w:r w:rsidR="00C70A44" w:rsidRPr="00BA08BB">
        <w:rPr>
          <w:rFonts w:ascii="Times New Roman" w:hAnsi="Times New Roman"/>
          <w:sz w:val="24"/>
        </w:rPr>
        <w:t xml:space="preserve"> uno strumento di rafforzamento della capacità amministrativa delle stazioni appaltanti e ne consente l’utilizzo, secondo </w:t>
      </w:r>
      <w:r w:rsidR="00EA512A">
        <w:rPr>
          <w:rFonts w:ascii="Times New Roman" w:hAnsi="Times New Roman"/>
          <w:sz w:val="24"/>
        </w:rPr>
        <w:t>condivisibile opinione</w:t>
      </w:r>
      <w:r w:rsidR="00C70A44" w:rsidRPr="00BA08BB">
        <w:rPr>
          <w:rFonts w:ascii="Times New Roman" w:hAnsi="Times New Roman"/>
          <w:sz w:val="24"/>
        </w:rPr>
        <w:t xml:space="preserve"> (su cui cfr. </w:t>
      </w:r>
      <w:r w:rsidR="00C70A44" w:rsidRPr="00EA512A">
        <w:rPr>
          <w:rFonts w:ascii="Times New Roman" w:hAnsi="Times New Roman"/>
          <w:i/>
          <w:sz w:val="24"/>
        </w:rPr>
        <w:t>infra</w:t>
      </w:r>
      <w:r w:rsidR="00EA512A">
        <w:rPr>
          <w:rFonts w:ascii="Times New Roman" w:hAnsi="Times New Roman"/>
          <w:sz w:val="24"/>
        </w:rPr>
        <w:t xml:space="preserve">), </w:t>
      </w:r>
      <w:r w:rsidR="00C70A44" w:rsidRPr="00BA08BB">
        <w:rPr>
          <w:rFonts w:ascii="Times New Roman" w:hAnsi="Times New Roman"/>
          <w:sz w:val="24"/>
        </w:rPr>
        <w:t>oltre i confini tradizionali dell’istituto tracciati dal</w:t>
      </w:r>
      <w:r w:rsidR="006C6853" w:rsidRPr="00BA08BB">
        <w:rPr>
          <w:rFonts w:ascii="Times New Roman" w:hAnsi="Times New Roman"/>
          <w:sz w:val="24"/>
        </w:rPr>
        <w:t>la</w:t>
      </w:r>
      <w:r w:rsidR="00C70A44" w:rsidRPr="00BA08BB">
        <w:rPr>
          <w:rFonts w:ascii="Times New Roman" w:hAnsi="Times New Roman"/>
          <w:sz w:val="24"/>
        </w:rPr>
        <w:t xml:space="preserve"> nota sentenza Teckal del 1999</w:t>
      </w:r>
      <w:r w:rsidR="0091305E" w:rsidRPr="00BA08BB">
        <w:rPr>
          <w:rFonts w:ascii="Times New Roman" w:hAnsi="Times New Roman"/>
          <w:sz w:val="24"/>
        </w:rPr>
        <w:t>.</w:t>
      </w:r>
    </w:p>
    <w:p w:rsidR="00A97925" w:rsidRPr="00BA08BB" w:rsidRDefault="00A97925" w:rsidP="00BA08BB">
      <w:pPr>
        <w:spacing w:line="480" w:lineRule="auto"/>
        <w:jc w:val="both"/>
        <w:rPr>
          <w:rFonts w:ascii="Times New Roman" w:hAnsi="Times New Roman"/>
          <w:sz w:val="24"/>
        </w:rPr>
      </w:pPr>
      <w:r>
        <w:rPr>
          <w:rFonts w:ascii="Times New Roman" w:hAnsi="Times New Roman"/>
          <w:sz w:val="24"/>
        </w:rPr>
        <w:t>L’attuazione del PNRR rappresenta, pertanto, un interessante banco di prova delle potenzial</w:t>
      </w:r>
      <w:r w:rsidR="00530E9D">
        <w:rPr>
          <w:rFonts w:ascii="Times New Roman" w:hAnsi="Times New Roman"/>
          <w:sz w:val="24"/>
        </w:rPr>
        <w:t xml:space="preserve">ità applicative di due classiche categorie in cui si esplica la capacità negoziale delle pubbliche amministrazioni: i contratti speciali, disciplinati dal codice dei contratti pubblici, e i contratti ad oggetto pubblico o di diritto pubblico, nell’ambito del quale rientra, secondo una condivisibile dottrina, </w:t>
      </w:r>
      <w:r w:rsidR="000E01B6">
        <w:rPr>
          <w:rFonts w:ascii="Times New Roman" w:hAnsi="Times New Roman"/>
          <w:sz w:val="24"/>
        </w:rPr>
        <w:t xml:space="preserve">anche il contratto costitutivo di una di società a partecipazione pubblica, per </w:t>
      </w:r>
      <w:r w:rsidR="003A652A">
        <w:rPr>
          <w:rFonts w:ascii="Times New Roman" w:hAnsi="Times New Roman"/>
          <w:sz w:val="24"/>
        </w:rPr>
        <w:t>il forte grado di</w:t>
      </w:r>
      <w:r w:rsidR="000E01B6">
        <w:rPr>
          <w:rFonts w:ascii="Times New Roman" w:hAnsi="Times New Roman"/>
          <w:sz w:val="24"/>
        </w:rPr>
        <w:t xml:space="preserve"> compenetrazione </w:t>
      </w:r>
      <w:r w:rsidR="003A652A">
        <w:rPr>
          <w:rFonts w:ascii="Times New Roman" w:hAnsi="Times New Roman"/>
          <w:sz w:val="24"/>
        </w:rPr>
        <w:t>tra provvedimento e negozio</w:t>
      </w:r>
      <w:r w:rsidR="000E01B6">
        <w:rPr>
          <w:rFonts w:ascii="Times New Roman" w:hAnsi="Times New Roman"/>
          <w:sz w:val="24"/>
        </w:rPr>
        <w:t>.</w:t>
      </w:r>
      <w:r w:rsidR="000E01B6">
        <w:rPr>
          <w:rStyle w:val="Rimandonotaapidipagina"/>
          <w:rFonts w:ascii="Times New Roman" w:hAnsi="Times New Roman"/>
          <w:sz w:val="24"/>
        </w:rPr>
        <w:footnoteReference w:id="5"/>
      </w:r>
    </w:p>
    <w:p w:rsidR="007C2260" w:rsidRPr="003A652A" w:rsidRDefault="00BE54D3" w:rsidP="00BA08BB">
      <w:pPr>
        <w:spacing w:line="480" w:lineRule="auto"/>
        <w:jc w:val="both"/>
        <w:rPr>
          <w:rFonts w:ascii="Times New Roman" w:hAnsi="Times New Roman"/>
          <w:sz w:val="24"/>
        </w:rPr>
      </w:pPr>
      <w:r w:rsidRPr="00BA08BB">
        <w:rPr>
          <w:rFonts w:ascii="Times New Roman" w:hAnsi="Times New Roman"/>
          <w:sz w:val="24"/>
        </w:rPr>
        <w:t>Si ripropone,</w:t>
      </w:r>
      <w:r w:rsidR="003A652A">
        <w:rPr>
          <w:rFonts w:ascii="Times New Roman" w:hAnsi="Times New Roman"/>
          <w:sz w:val="24"/>
        </w:rPr>
        <w:t xml:space="preserve"> infine,</w:t>
      </w:r>
      <w:r w:rsidRPr="00BA08BB">
        <w:rPr>
          <w:rFonts w:ascii="Times New Roman" w:hAnsi="Times New Roman"/>
          <w:sz w:val="24"/>
        </w:rPr>
        <w:t xml:space="preserve"> nello specifico settore del PNRR</w:t>
      </w:r>
      <w:r w:rsidR="007665E7" w:rsidRPr="00BA08BB">
        <w:rPr>
          <w:rFonts w:ascii="Times New Roman" w:hAnsi="Times New Roman"/>
          <w:sz w:val="24"/>
        </w:rPr>
        <w:t>,</w:t>
      </w:r>
      <w:r w:rsidRPr="00BA08BB">
        <w:rPr>
          <w:rFonts w:ascii="Times New Roman" w:hAnsi="Times New Roman"/>
          <w:sz w:val="24"/>
        </w:rPr>
        <w:t xml:space="preserve"> l’alternativa tra </w:t>
      </w:r>
      <w:r w:rsidR="007665E7" w:rsidRPr="002165E2">
        <w:rPr>
          <w:rFonts w:ascii="Times New Roman" w:hAnsi="Times New Roman"/>
          <w:i/>
          <w:sz w:val="24"/>
        </w:rPr>
        <w:t>in house</w:t>
      </w:r>
      <w:r w:rsidR="007665E7" w:rsidRPr="00BA08BB">
        <w:rPr>
          <w:rFonts w:ascii="Times New Roman" w:hAnsi="Times New Roman"/>
          <w:sz w:val="24"/>
        </w:rPr>
        <w:t xml:space="preserve"> e mercato</w:t>
      </w:r>
      <w:r w:rsidRPr="00BA08BB">
        <w:rPr>
          <w:rFonts w:ascii="Times New Roman" w:hAnsi="Times New Roman"/>
          <w:sz w:val="24"/>
        </w:rPr>
        <w:t xml:space="preserve"> che rappresenta un </w:t>
      </w:r>
      <w:r w:rsidRPr="002165E2">
        <w:rPr>
          <w:rFonts w:ascii="Times New Roman" w:hAnsi="Times New Roman"/>
          <w:i/>
          <w:sz w:val="24"/>
        </w:rPr>
        <w:t xml:space="preserve">leitmotiv </w:t>
      </w:r>
      <w:r w:rsidRPr="00BA08BB">
        <w:rPr>
          <w:rFonts w:ascii="Times New Roman" w:hAnsi="Times New Roman"/>
          <w:sz w:val="24"/>
        </w:rPr>
        <w:t>del panorama d</w:t>
      </w:r>
      <w:r w:rsidR="003A652A">
        <w:rPr>
          <w:rFonts w:ascii="Times New Roman" w:hAnsi="Times New Roman"/>
          <w:sz w:val="24"/>
        </w:rPr>
        <w:t>ella contrattualistica pubblica. U</w:t>
      </w:r>
      <w:r w:rsidRPr="00BA08BB">
        <w:rPr>
          <w:rFonts w:ascii="Times New Roman" w:hAnsi="Times New Roman"/>
          <w:sz w:val="24"/>
        </w:rPr>
        <w:t>n tema classico rivisto</w:t>
      </w:r>
      <w:r w:rsidR="003A652A">
        <w:rPr>
          <w:rFonts w:ascii="Times New Roman" w:hAnsi="Times New Roman"/>
          <w:sz w:val="24"/>
        </w:rPr>
        <w:t xml:space="preserve"> </w:t>
      </w:r>
      <w:r w:rsidRPr="00BA08BB">
        <w:rPr>
          <w:rFonts w:ascii="Times New Roman" w:hAnsi="Times New Roman"/>
          <w:sz w:val="24"/>
        </w:rPr>
        <w:t>in chiave moderna: non più secondo lo schema binario appalto-</w:t>
      </w:r>
      <w:r w:rsidRPr="009875AE">
        <w:rPr>
          <w:rFonts w:ascii="Times New Roman" w:hAnsi="Times New Roman"/>
          <w:i/>
          <w:sz w:val="24"/>
        </w:rPr>
        <w:t>in house providing</w:t>
      </w:r>
      <w:r w:rsidR="007665E7" w:rsidRPr="00BA08BB">
        <w:rPr>
          <w:rFonts w:ascii="Times New Roman" w:hAnsi="Times New Roman"/>
          <w:sz w:val="24"/>
        </w:rPr>
        <w:t xml:space="preserve"> per l’acquisizione del bene o servizio</w:t>
      </w:r>
      <w:r w:rsidRPr="00BA08BB">
        <w:rPr>
          <w:rFonts w:ascii="Times New Roman" w:hAnsi="Times New Roman"/>
          <w:sz w:val="24"/>
        </w:rPr>
        <w:t>, ma nella logica più complessa</w:t>
      </w:r>
      <w:r w:rsidR="002165E2">
        <w:rPr>
          <w:rFonts w:ascii="Times New Roman" w:hAnsi="Times New Roman"/>
          <w:sz w:val="24"/>
        </w:rPr>
        <w:t xml:space="preserve"> </w:t>
      </w:r>
      <w:r w:rsidR="007665E7" w:rsidRPr="00BA08BB">
        <w:rPr>
          <w:rFonts w:ascii="Times New Roman" w:hAnsi="Times New Roman"/>
          <w:sz w:val="24"/>
        </w:rPr>
        <w:t xml:space="preserve">dello sfruttamento </w:t>
      </w:r>
      <w:r w:rsidR="002165E2">
        <w:rPr>
          <w:rFonts w:ascii="Times New Roman" w:hAnsi="Times New Roman"/>
          <w:sz w:val="24"/>
        </w:rPr>
        <w:t xml:space="preserve">della capacità </w:t>
      </w:r>
      <w:r w:rsidR="002165E2" w:rsidRPr="002165E2">
        <w:rPr>
          <w:rFonts w:ascii="Times New Roman" w:hAnsi="Times New Roman"/>
          <w:sz w:val="24"/>
        </w:rPr>
        <w:t>manageriale</w:t>
      </w:r>
      <w:r w:rsidR="007665E7" w:rsidRPr="002165E2">
        <w:rPr>
          <w:rFonts w:ascii="Times New Roman" w:hAnsi="Times New Roman"/>
          <w:sz w:val="24"/>
        </w:rPr>
        <w:t xml:space="preserve"> </w:t>
      </w:r>
      <w:r w:rsidR="007665E7" w:rsidRPr="00BA08BB">
        <w:rPr>
          <w:rFonts w:ascii="Times New Roman" w:hAnsi="Times New Roman"/>
          <w:sz w:val="24"/>
        </w:rPr>
        <w:t xml:space="preserve">del privato o della capacità </w:t>
      </w:r>
      <w:r w:rsidR="00EF7421">
        <w:rPr>
          <w:rFonts w:ascii="Times New Roman" w:hAnsi="Times New Roman"/>
          <w:sz w:val="24"/>
        </w:rPr>
        <w:t>tecnica</w:t>
      </w:r>
      <w:r w:rsidR="007665E7" w:rsidRPr="00BA08BB">
        <w:rPr>
          <w:rFonts w:ascii="Times New Roman" w:hAnsi="Times New Roman"/>
          <w:sz w:val="24"/>
        </w:rPr>
        <w:t xml:space="preserve"> della società </w:t>
      </w:r>
      <w:r w:rsidR="003E0F22">
        <w:rPr>
          <w:rFonts w:ascii="Times New Roman" w:hAnsi="Times New Roman"/>
          <w:sz w:val="24"/>
        </w:rPr>
        <w:t>“</w:t>
      </w:r>
      <w:r w:rsidR="008728A0">
        <w:rPr>
          <w:rFonts w:ascii="Times New Roman" w:hAnsi="Times New Roman"/>
          <w:sz w:val="24"/>
        </w:rPr>
        <w:t>a controllo analogo</w:t>
      </w:r>
      <w:r w:rsidR="003E0F22">
        <w:rPr>
          <w:rFonts w:ascii="Times New Roman" w:hAnsi="Times New Roman"/>
          <w:sz w:val="24"/>
        </w:rPr>
        <w:t>”</w:t>
      </w:r>
      <w:r w:rsidR="007665E7" w:rsidRPr="00BA08BB">
        <w:rPr>
          <w:rFonts w:ascii="Times New Roman" w:hAnsi="Times New Roman"/>
          <w:sz w:val="24"/>
        </w:rPr>
        <w:t>, entramb</w:t>
      </w:r>
      <w:r w:rsidR="003E0F22">
        <w:rPr>
          <w:rFonts w:ascii="Times New Roman" w:hAnsi="Times New Roman"/>
          <w:sz w:val="24"/>
        </w:rPr>
        <w:t>e</w:t>
      </w:r>
      <w:r w:rsidR="007665E7" w:rsidRPr="00BA08BB">
        <w:rPr>
          <w:rFonts w:ascii="Times New Roman" w:hAnsi="Times New Roman"/>
          <w:sz w:val="24"/>
        </w:rPr>
        <w:t xml:space="preserve"> volt</w:t>
      </w:r>
      <w:r w:rsidR="003E0F22">
        <w:rPr>
          <w:rFonts w:ascii="Times New Roman" w:hAnsi="Times New Roman"/>
          <w:sz w:val="24"/>
        </w:rPr>
        <w:t>e</w:t>
      </w:r>
      <w:r w:rsidR="007665E7" w:rsidRPr="00BA08BB">
        <w:rPr>
          <w:rFonts w:ascii="Times New Roman" w:hAnsi="Times New Roman"/>
          <w:sz w:val="24"/>
        </w:rPr>
        <w:t xml:space="preserve"> a fornire al soggetto pubblico il supp</w:t>
      </w:r>
      <w:r w:rsidR="00EF7421">
        <w:rPr>
          <w:rFonts w:ascii="Times New Roman" w:hAnsi="Times New Roman"/>
          <w:sz w:val="24"/>
        </w:rPr>
        <w:t xml:space="preserve">orto operativo necessario per affrontare </w:t>
      </w:r>
      <w:r w:rsidR="007665E7" w:rsidRPr="00BA08BB">
        <w:rPr>
          <w:rFonts w:ascii="Times New Roman" w:hAnsi="Times New Roman"/>
          <w:sz w:val="24"/>
        </w:rPr>
        <w:t>le sfide del PNRR.</w:t>
      </w:r>
    </w:p>
    <w:p w:rsidR="009875AE" w:rsidRPr="00BA08BB" w:rsidRDefault="00EF7421" w:rsidP="00BA08BB">
      <w:pPr>
        <w:spacing w:line="480" w:lineRule="auto"/>
        <w:jc w:val="both"/>
        <w:rPr>
          <w:rFonts w:ascii="Times New Roman" w:hAnsi="Times New Roman"/>
          <w:b/>
          <w:sz w:val="24"/>
        </w:rPr>
      </w:pPr>
      <w:r>
        <w:rPr>
          <w:rFonts w:ascii="Times New Roman" w:hAnsi="Times New Roman"/>
          <w:b/>
          <w:sz w:val="24"/>
        </w:rPr>
        <w:t xml:space="preserve">2. </w:t>
      </w:r>
      <w:r w:rsidR="00ED65A2" w:rsidRPr="00BA08BB">
        <w:rPr>
          <w:rFonts w:ascii="Times New Roman" w:hAnsi="Times New Roman"/>
          <w:b/>
          <w:sz w:val="24"/>
        </w:rPr>
        <w:t>Il partenariato</w:t>
      </w:r>
      <w:r>
        <w:rPr>
          <w:rFonts w:ascii="Times New Roman" w:hAnsi="Times New Roman"/>
          <w:b/>
          <w:sz w:val="24"/>
        </w:rPr>
        <w:t xml:space="preserve"> </w:t>
      </w:r>
      <w:r w:rsidR="009875AE">
        <w:rPr>
          <w:rFonts w:ascii="Times New Roman" w:hAnsi="Times New Roman"/>
          <w:b/>
          <w:sz w:val="24"/>
        </w:rPr>
        <w:t>pubblico-privato</w:t>
      </w:r>
      <w:r w:rsidR="00ED65A2" w:rsidRPr="00BA08BB">
        <w:rPr>
          <w:rFonts w:ascii="Times New Roman" w:hAnsi="Times New Roman"/>
          <w:b/>
          <w:sz w:val="24"/>
        </w:rPr>
        <w:t xml:space="preserve">: </w:t>
      </w:r>
      <w:r w:rsidR="009875AE">
        <w:rPr>
          <w:rFonts w:ascii="Times New Roman" w:hAnsi="Times New Roman"/>
          <w:b/>
          <w:sz w:val="24"/>
        </w:rPr>
        <w:t>un modello sinergico di attuazione del PNRR.</w:t>
      </w:r>
    </w:p>
    <w:p w:rsidR="00E041FC" w:rsidRPr="00BA08BB" w:rsidRDefault="00E041FC" w:rsidP="00BA08BB">
      <w:pPr>
        <w:spacing w:line="480" w:lineRule="auto"/>
        <w:jc w:val="both"/>
        <w:rPr>
          <w:rFonts w:ascii="Times New Roman" w:hAnsi="Times New Roman"/>
          <w:sz w:val="24"/>
        </w:rPr>
      </w:pPr>
      <w:r w:rsidRPr="00BA08BB">
        <w:rPr>
          <w:rFonts w:ascii="Times New Roman" w:hAnsi="Times New Roman"/>
          <w:sz w:val="24"/>
        </w:rPr>
        <w:t xml:space="preserve">Il partenariato pubblico-privato </w:t>
      </w:r>
      <w:r w:rsidR="0019209E" w:rsidRPr="00BA08BB">
        <w:rPr>
          <w:rFonts w:ascii="Times New Roman" w:hAnsi="Times New Roman"/>
          <w:sz w:val="24"/>
        </w:rPr>
        <w:t>è</w:t>
      </w:r>
      <w:r w:rsidRPr="00BA08BB">
        <w:rPr>
          <w:rFonts w:ascii="Times New Roman" w:hAnsi="Times New Roman"/>
          <w:sz w:val="24"/>
        </w:rPr>
        <w:t xml:space="preserve"> un modello di </w:t>
      </w:r>
      <w:r w:rsidR="0019209E" w:rsidRPr="00BA08BB">
        <w:rPr>
          <w:rFonts w:ascii="Times New Roman" w:hAnsi="Times New Roman"/>
          <w:sz w:val="24"/>
        </w:rPr>
        <w:t>gestione collaborativa</w:t>
      </w:r>
      <w:r w:rsidRPr="00BA08BB">
        <w:rPr>
          <w:rFonts w:ascii="Times New Roman" w:hAnsi="Times New Roman"/>
          <w:sz w:val="24"/>
        </w:rPr>
        <w:t xml:space="preserve"> estremamente duttile e suscettibile di proficuo utilizzo</w:t>
      </w:r>
      <w:r w:rsidR="00D21D44" w:rsidRPr="00BA08BB">
        <w:rPr>
          <w:rFonts w:ascii="Times New Roman" w:hAnsi="Times New Roman"/>
          <w:sz w:val="24"/>
        </w:rPr>
        <w:t xml:space="preserve"> in svariati settori, da quello </w:t>
      </w:r>
      <w:r w:rsidRPr="00BA08BB">
        <w:rPr>
          <w:rFonts w:ascii="Times New Roman" w:hAnsi="Times New Roman"/>
          <w:sz w:val="24"/>
        </w:rPr>
        <w:t xml:space="preserve">economico, </w:t>
      </w:r>
      <w:r w:rsidR="00D21D44" w:rsidRPr="00BA08BB">
        <w:rPr>
          <w:rFonts w:ascii="Times New Roman" w:hAnsi="Times New Roman"/>
          <w:sz w:val="24"/>
        </w:rPr>
        <w:t>a</w:t>
      </w:r>
      <w:r w:rsidRPr="00BA08BB">
        <w:rPr>
          <w:rFonts w:ascii="Times New Roman" w:hAnsi="Times New Roman"/>
          <w:sz w:val="24"/>
        </w:rPr>
        <w:t xml:space="preserve"> quello sociale</w:t>
      </w:r>
      <w:r w:rsidR="00CB1A95" w:rsidRPr="00BA08BB">
        <w:rPr>
          <w:rStyle w:val="Rimandonotaapidipagina"/>
          <w:rFonts w:ascii="Times New Roman" w:hAnsi="Times New Roman"/>
          <w:sz w:val="24"/>
        </w:rPr>
        <w:footnoteReference w:id="6"/>
      </w:r>
      <w:r w:rsidR="00D21D44" w:rsidRPr="00BA08BB">
        <w:rPr>
          <w:rFonts w:ascii="Times New Roman" w:hAnsi="Times New Roman"/>
          <w:sz w:val="24"/>
        </w:rPr>
        <w:t xml:space="preserve">, a quello </w:t>
      </w:r>
      <w:r w:rsidR="002F67B9" w:rsidRPr="00BA08BB">
        <w:rPr>
          <w:rFonts w:ascii="Times New Roman" w:hAnsi="Times New Roman"/>
          <w:sz w:val="24"/>
        </w:rPr>
        <w:t>del patrimonio culturale</w:t>
      </w:r>
      <w:r w:rsidR="00D21D44" w:rsidRPr="00BA08BB">
        <w:rPr>
          <w:rStyle w:val="Rimandonotaapidipagina"/>
          <w:rFonts w:ascii="Times New Roman" w:hAnsi="Times New Roman"/>
          <w:sz w:val="24"/>
        </w:rPr>
        <w:footnoteReference w:id="7"/>
      </w:r>
      <w:r w:rsidRPr="00BA08BB">
        <w:rPr>
          <w:rFonts w:ascii="Times New Roman" w:hAnsi="Times New Roman"/>
          <w:sz w:val="24"/>
        </w:rPr>
        <w:t>.</w:t>
      </w:r>
    </w:p>
    <w:p w:rsidR="00C07C85" w:rsidRDefault="002F67B9" w:rsidP="00BA08BB">
      <w:pPr>
        <w:spacing w:line="480" w:lineRule="auto"/>
        <w:jc w:val="both"/>
        <w:rPr>
          <w:rFonts w:ascii="Times New Roman" w:hAnsi="Times New Roman"/>
          <w:sz w:val="24"/>
        </w:rPr>
      </w:pPr>
      <w:r w:rsidRPr="00BA08BB">
        <w:rPr>
          <w:rFonts w:ascii="Times New Roman" w:hAnsi="Times New Roman"/>
          <w:sz w:val="24"/>
        </w:rPr>
        <w:t>Concentrando l’attenzione, per ragioni di sinteticità del presente lavoro, sulla collaborazione in ambito economico</w:t>
      </w:r>
      <w:r w:rsidR="00E62484">
        <w:rPr>
          <w:rFonts w:ascii="Times New Roman" w:hAnsi="Times New Roman"/>
          <w:sz w:val="24"/>
        </w:rPr>
        <w:t>,</w:t>
      </w:r>
      <w:r w:rsidRPr="00BA08BB">
        <w:rPr>
          <w:rFonts w:ascii="Times New Roman" w:hAnsi="Times New Roman"/>
          <w:sz w:val="24"/>
        </w:rPr>
        <w:t xml:space="preserve"> vengono in rilievo due diversi modelli di </w:t>
      </w:r>
      <w:r w:rsidR="00B92F87" w:rsidRPr="00BA08BB">
        <w:rPr>
          <w:rFonts w:ascii="Times New Roman" w:hAnsi="Times New Roman"/>
          <w:sz w:val="24"/>
        </w:rPr>
        <w:t>partenariato</w:t>
      </w:r>
      <w:r w:rsidR="00E62484">
        <w:rPr>
          <w:rFonts w:ascii="Times New Roman" w:hAnsi="Times New Roman"/>
          <w:sz w:val="24"/>
        </w:rPr>
        <w:t xml:space="preserve"> a cui il soggetto pubblico </w:t>
      </w:r>
      <w:r w:rsidR="00D17B67">
        <w:rPr>
          <w:rFonts w:ascii="Times New Roman" w:hAnsi="Times New Roman"/>
          <w:sz w:val="24"/>
        </w:rPr>
        <w:t xml:space="preserve">può </w:t>
      </w:r>
      <w:r w:rsidR="00E62484">
        <w:rPr>
          <w:rFonts w:ascii="Times New Roman" w:hAnsi="Times New Roman"/>
          <w:sz w:val="24"/>
        </w:rPr>
        <w:t>ricorrere per la realizzazione degli interventi</w:t>
      </w:r>
      <w:r w:rsidR="00C07C85">
        <w:rPr>
          <w:rFonts w:ascii="Times New Roman" w:hAnsi="Times New Roman"/>
          <w:sz w:val="24"/>
        </w:rPr>
        <w:t xml:space="preserve"> del </w:t>
      </w:r>
      <w:r w:rsidR="00841709" w:rsidRPr="00BA08BB">
        <w:rPr>
          <w:rFonts w:ascii="Times New Roman" w:hAnsi="Times New Roman"/>
          <w:sz w:val="24"/>
        </w:rPr>
        <w:t>PNRR</w:t>
      </w:r>
      <w:r w:rsidRPr="00BA08BB">
        <w:rPr>
          <w:rFonts w:ascii="Times New Roman" w:hAnsi="Times New Roman"/>
          <w:sz w:val="24"/>
        </w:rPr>
        <w:t>: quello contrattual</w:t>
      </w:r>
      <w:r w:rsidR="00996022">
        <w:rPr>
          <w:rFonts w:ascii="Times New Roman" w:hAnsi="Times New Roman"/>
          <w:sz w:val="24"/>
        </w:rPr>
        <w:t>izzato</w:t>
      </w:r>
      <w:r w:rsidR="00D733F3" w:rsidRPr="00BA08BB">
        <w:rPr>
          <w:rFonts w:ascii="Times New Roman" w:hAnsi="Times New Roman"/>
          <w:sz w:val="24"/>
        </w:rPr>
        <w:t>, in cui i lega</w:t>
      </w:r>
      <w:r w:rsidR="001F2E36" w:rsidRPr="00BA08BB">
        <w:rPr>
          <w:rFonts w:ascii="Times New Roman" w:hAnsi="Times New Roman"/>
          <w:sz w:val="24"/>
        </w:rPr>
        <w:t>m</w:t>
      </w:r>
      <w:r w:rsidR="00D733F3" w:rsidRPr="00BA08BB">
        <w:rPr>
          <w:rFonts w:ascii="Times New Roman" w:hAnsi="Times New Roman"/>
          <w:sz w:val="24"/>
        </w:rPr>
        <w:t>i t</w:t>
      </w:r>
      <w:r w:rsidR="001F2E36" w:rsidRPr="00BA08BB">
        <w:rPr>
          <w:rFonts w:ascii="Times New Roman" w:hAnsi="Times New Roman"/>
          <w:sz w:val="24"/>
        </w:rPr>
        <w:t xml:space="preserve">ra </w:t>
      </w:r>
      <w:r w:rsidR="00D733F3" w:rsidRPr="00BA08BB">
        <w:rPr>
          <w:rFonts w:ascii="Times New Roman" w:hAnsi="Times New Roman"/>
          <w:sz w:val="24"/>
        </w:rPr>
        <w:t xml:space="preserve">soggetto pubblico e </w:t>
      </w:r>
      <w:r w:rsidR="00D733F3" w:rsidRPr="00D17B67">
        <w:rPr>
          <w:rFonts w:ascii="Times New Roman" w:hAnsi="Times New Roman"/>
          <w:i/>
          <w:sz w:val="24"/>
        </w:rPr>
        <w:t>partner</w:t>
      </w:r>
      <w:r w:rsidR="00D733F3" w:rsidRPr="00BA08BB">
        <w:rPr>
          <w:rFonts w:ascii="Times New Roman" w:hAnsi="Times New Roman"/>
          <w:sz w:val="24"/>
        </w:rPr>
        <w:t xml:space="preserve"> privato sono puramente </w:t>
      </w:r>
      <w:r w:rsidR="001F2E36" w:rsidRPr="00BA08BB">
        <w:rPr>
          <w:rFonts w:ascii="Times New Roman" w:hAnsi="Times New Roman"/>
          <w:sz w:val="24"/>
        </w:rPr>
        <w:t>convenzionali</w:t>
      </w:r>
      <w:r w:rsidR="00C07C85">
        <w:rPr>
          <w:rFonts w:ascii="Times New Roman" w:hAnsi="Times New Roman"/>
          <w:sz w:val="24"/>
        </w:rPr>
        <w:t xml:space="preserve"> (Partenariato Pubblico Privato Contrattual</w:t>
      </w:r>
      <w:r w:rsidR="00C86AA8">
        <w:rPr>
          <w:rFonts w:ascii="Times New Roman" w:hAnsi="Times New Roman"/>
          <w:sz w:val="24"/>
        </w:rPr>
        <w:t>e o Contrattualizzato</w:t>
      </w:r>
      <w:r w:rsidR="00C07C85">
        <w:rPr>
          <w:rFonts w:ascii="Times New Roman" w:hAnsi="Times New Roman"/>
          <w:sz w:val="24"/>
        </w:rPr>
        <w:t>: PPPC)</w:t>
      </w:r>
      <w:r w:rsidR="00110959" w:rsidRPr="00BA08BB">
        <w:rPr>
          <w:rFonts w:ascii="Times New Roman" w:hAnsi="Times New Roman"/>
          <w:sz w:val="24"/>
        </w:rPr>
        <w:t>,</w:t>
      </w:r>
      <w:r w:rsidR="00D733F3" w:rsidRPr="00BA08BB">
        <w:rPr>
          <w:rFonts w:ascii="Times New Roman" w:hAnsi="Times New Roman"/>
          <w:sz w:val="24"/>
        </w:rPr>
        <w:t xml:space="preserve"> e </w:t>
      </w:r>
      <w:r w:rsidRPr="00BA08BB">
        <w:rPr>
          <w:rFonts w:ascii="Times New Roman" w:hAnsi="Times New Roman"/>
          <w:sz w:val="24"/>
        </w:rPr>
        <w:t>quello istituzionalizzato</w:t>
      </w:r>
      <w:r w:rsidR="00110959" w:rsidRPr="00BA08BB">
        <w:rPr>
          <w:rFonts w:ascii="Times New Roman" w:hAnsi="Times New Roman"/>
          <w:sz w:val="24"/>
        </w:rPr>
        <w:t>,</w:t>
      </w:r>
      <w:r w:rsidR="003C6EF0" w:rsidRPr="00BA08BB">
        <w:rPr>
          <w:rFonts w:ascii="Times New Roman" w:hAnsi="Times New Roman"/>
          <w:sz w:val="24"/>
        </w:rPr>
        <w:t xml:space="preserve"> in cui la cooperazione si realizza attraverso la creazione di un soggetto giuridico distinto</w:t>
      </w:r>
      <w:r w:rsidR="001F2E36" w:rsidRPr="00BA08BB">
        <w:rPr>
          <w:rFonts w:ascii="Times New Roman" w:hAnsi="Times New Roman"/>
          <w:sz w:val="24"/>
        </w:rPr>
        <w:t>, la società a capitale misto</w:t>
      </w:r>
      <w:r w:rsidR="00D17B67">
        <w:rPr>
          <w:rFonts w:ascii="Times New Roman" w:hAnsi="Times New Roman"/>
          <w:sz w:val="24"/>
        </w:rPr>
        <w:t xml:space="preserve"> </w:t>
      </w:r>
      <w:r w:rsidR="00D17B67" w:rsidRPr="00D17B67">
        <w:rPr>
          <w:rFonts w:ascii="Times New Roman" w:hAnsi="Times New Roman"/>
          <w:sz w:val="24"/>
        </w:rPr>
        <w:t>(Partenariato Pubblico Privato</w:t>
      </w:r>
      <w:r w:rsidR="000D7B45">
        <w:rPr>
          <w:rFonts w:ascii="Times New Roman" w:hAnsi="Times New Roman"/>
          <w:sz w:val="24"/>
        </w:rPr>
        <w:t xml:space="preserve"> Istituzionale o</w:t>
      </w:r>
      <w:r w:rsidR="00D17B67" w:rsidRPr="00D17B67">
        <w:rPr>
          <w:rFonts w:ascii="Times New Roman" w:hAnsi="Times New Roman"/>
          <w:sz w:val="24"/>
        </w:rPr>
        <w:t xml:space="preserve"> Istituzionalizzato: PPPI)</w:t>
      </w:r>
      <w:r w:rsidR="00400681" w:rsidRPr="00400681">
        <w:rPr>
          <w:rStyle w:val="Rimandonotaapidipagina"/>
          <w:rFonts w:ascii="Times New Roman" w:hAnsi="Times New Roman"/>
          <w:sz w:val="24"/>
        </w:rPr>
        <w:t xml:space="preserve"> </w:t>
      </w:r>
      <w:r w:rsidR="00400681" w:rsidRPr="00BA08BB">
        <w:rPr>
          <w:rStyle w:val="Rimandonotaapidipagina"/>
          <w:rFonts w:ascii="Times New Roman" w:hAnsi="Times New Roman"/>
          <w:sz w:val="24"/>
        </w:rPr>
        <w:footnoteReference w:id="8"/>
      </w:r>
      <w:r w:rsidR="001F2E36" w:rsidRPr="00BA08BB">
        <w:rPr>
          <w:rFonts w:ascii="Times New Roman" w:hAnsi="Times New Roman"/>
          <w:sz w:val="24"/>
        </w:rPr>
        <w:t>.</w:t>
      </w:r>
    </w:p>
    <w:p w:rsidR="00C07C85" w:rsidRPr="00BA08BB" w:rsidRDefault="00C07C85" w:rsidP="00BA08BB">
      <w:pPr>
        <w:spacing w:line="480" w:lineRule="auto"/>
        <w:jc w:val="both"/>
        <w:rPr>
          <w:rFonts w:ascii="Times New Roman" w:hAnsi="Times New Roman"/>
          <w:sz w:val="24"/>
        </w:rPr>
      </w:pPr>
      <w:r>
        <w:rPr>
          <w:rFonts w:ascii="Times New Roman" w:hAnsi="Times New Roman"/>
          <w:sz w:val="24"/>
        </w:rPr>
        <w:t xml:space="preserve">In entrambi i casi la scelta del </w:t>
      </w:r>
      <w:r w:rsidRPr="00C86AA8">
        <w:rPr>
          <w:rFonts w:ascii="Times New Roman" w:hAnsi="Times New Roman"/>
          <w:i/>
          <w:sz w:val="24"/>
        </w:rPr>
        <w:t>par</w:t>
      </w:r>
      <w:r w:rsidR="004276CC" w:rsidRPr="00C86AA8">
        <w:rPr>
          <w:rFonts w:ascii="Times New Roman" w:hAnsi="Times New Roman"/>
          <w:i/>
          <w:sz w:val="24"/>
        </w:rPr>
        <w:t>t</w:t>
      </w:r>
      <w:r w:rsidRPr="00C86AA8">
        <w:rPr>
          <w:rFonts w:ascii="Times New Roman" w:hAnsi="Times New Roman"/>
          <w:i/>
          <w:sz w:val="24"/>
        </w:rPr>
        <w:t>ner</w:t>
      </w:r>
      <w:r>
        <w:rPr>
          <w:rFonts w:ascii="Times New Roman" w:hAnsi="Times New Roman"/>
          <w:sz w:val="24"/>
        </w:rPr>
        <w:t xml:space="preserve"> privato avviene a seguito di procedura ad evidenza pubblica</w:t>
      </w:r>
      <w:r w:rsidR="004276CC">
        <w:rPr>
          <w:rFonts w:ascii="Times New Roman" w:hAnsi="Times New Roman"/>
          <w:sz w:val="24"/>
        </w:rPr>
        <w:t xml:space="preserve"> (art. 181 </w:t>
      </w:r>
      <w:r w:rsidR="00C86AA8">
        <w:rPr>
          <w:rFonts w:ascii="Times New Roman" w:hAnsi="Times New Roman"/>
          <w:sz w:val="24"/>
        </w:rPr>
        <w:t>d. lgs 50/2016 per il partenariato contrattuale, art. 5 comma 9 d. lgs 50/2016 e art</w:t>
      </w:r>
      <w:r w:rsidR="009F530E">
        <w:rPr>
          <w:rFonts w:ascii="Times New Roman" w:hAnsi="Times New Roman"/>
          <w:sz w:val="24"/>
        </w:rPr>
        <w:t>.</w:t>
      </w:r>
      <w:r w:rsidR="00C86AA8">
        <w:rPr>
          <w:rFonts w:ascii="Times New Roman" w:hAnsi="Times New Roman"/>
          <w:sz w:val="24"/>
        </w:rPr>
        <w:t xml:space="preserve"> 17 d.lgs 175/2016 per il partenariato istituzionalizzato), in conformità alla regola </w:t>
      </w:r>
      <w:r w:rsidR="009F530E">
        <w:rPr>
          <w:rFonts w:ascii="Times New Roman" w:hAnsi="Times New Roman"/>
          <w:sz w:val="24"/>
        </w:rPr>
        <w:t xml:space="preserve">generale </w:t>
      </w:r>
      <w:r w:rsidR="004A7903">
        <w:rPr>
          <w:rFonts w:ascii="Times New Roman" w:hAnsi="Times New Roman"/>
          <w:sz w:val="24"/>
        </w:rPr>
        <w:t>della concorrenza per il mercato</w:t>
      </w:r>
      <w:r w:rsidR="009F530E">
        <w:rPr>
          <w:rFonts w:ascii="Times New Roman" w:hAnsi="Times New Roman"/>
          <w:sz w:val="24"/>
        </w:rPr>
        <w:t>, e</w:t>
      </w:r>
      <w:r w:rsidR="00C86AA8">
        <w:rPr>
          <w:rFonts w:ascii="Times New Roman" w:hAnsi="Times New Roman"/>
          <w:sz w:val="24"/>
        </w:rPr>
        <w:t xml:space="preserve"> in ciò distinguendosi dall’affidamento diretto </w:t>
      </w:r>
      <w:r w:rsidR="009F530E">
        <w:rPr>
          <w:rFonts w:ascii="Times New Roman" w:hAnsi="Times New Roman"/>
          <w:sz w:val="24"/>
        </w:rPr>
        <w:t>proprio dell’</w:t>
      </w:r>
      <w:r w:rsidR="00C86AA8" w:rsidRPr="00C86AA8">
        <w:rPr>
          <w:rFonts w:ascii="Times New Roman" w:hAnsi="Times New Roman"/>
          <w:i/>
          <w:sz w:val="24"/>
        </w:rPr>
        <w:t>in house</w:t>
      </w:r>
      <w:r w:rsidR="00C86AA8">
        <w:rPr>
          <w:rFonts w:ascii="Times New Roman" w:hAnsi="Times New Roman"/>
          <w:sz w:val="24"/>
        </w:rPr>
        <w:t>.</w:t>
      </w:r>
    </w:p>
    <w:p w:rsidR="00C07C85" w:rsidRDefault="0042232A" w:rsidP="00BA08BB">
      <w:pPr>
        <w:spacing w:line="480" w:lineRule="auto"/>
        <w:jc w:val="both"/>
        <w:rPr>
          <w:rFonts w:ascii="Times New Roman" w:hAnsi="Times New Roman"/>
          <w:sz w:val="24"/>
        </w:rPr>
      </w:pPr>
      <w:r w:rsidRPr="00BA08BB">
        <w:rPr>
          <w:rFonts w:ascii="Times New Roman" w:hAnsi="Times New Roman"/>
          <w:sz w:val="24"/>
        </w:rPr>
        <w:t>Il partenariato pubblico</w:t>
      </w:r>
      <w:r w:rsidR="00110959" w:rsidRPr="00BA08BB">
        <w:rPr>
          <w:rFonts w:ascii="Times New Roman" w:hAnsi="Times New Roman"/>
          <w:sz w:val="24"/>
        </w:rPr>
        <w:t>-</w:t>
      </w:r>
      <w:r w:rsidRPr="00BA08BB">
        <w:rPr>
          <w:rFonts w:ascii="Times New Roman" w:hAnsi="Times New Roman"/>
          <w:sz w:val="24"/>
        </w:rPr>
        <w:t xml:space="preserve"> privato contrattualizzato, disciplinato </w:t>
      </w:r>
      <w:r w:rsidR="0067357B">
        <w:rPr>
          <w:rFonts w:ascii="Times New Roman" w:hAnsi="Times New Roman"/>
          <w:sz w:val="24"/>
        </w:rPr>
        <w:t>dagli artt.</w:t>
      </w:r>
      <w:r w:rsidR="009B0DE3" w:rsidRPr="00BA08BB">
        <w:rPr>
          <w:rFonts w:ascii="Times New Roman" w:hAnsi="Times New Roman"/>
          <w:sz w:val="24"/>
        </w:rPr>
        <w:t xml:space="preserve"> 180 </w:t>
      </w:r>
      <w:r w:rsidRPr="00BA08BB">
        <w:rPr>
          <w:rFonts w:ascii="Times New Roman" w:hAnsi="Times New Roman"/>
          <w:sz w:val="24"/>
        </w:rPr>
        <w:t>e ss</w:t>
      </w:r>
      <w:r w:rsidR="0067357B">
        <w:rPr>
          <w:rFonts w:ascii="Times New Roman" w:hAnsi="Times New Roman"/>
          <w:sz w:val="24"/>
        </w:rPr>
        <w:t>.</w:t>
      </w:r>
      <w:r w:rsidRPr="00BA08BB">
        <w:rPr>
          <w:rFonts w:ascii="Times New Roman" w:hAnsi="Times New Roman"/>
          <w:sz w:val="24"/>
        </w:rPr>
        <w:t xml:space="preserve"> del codice dei contratti</w:t>
      </w:r>
      <w:r w:rsidR="00FB6BAC" w:rsidRPr="00BA08BB">
        <w:rPr>
          <w:rFonts w:ascii="Times New Roman" w:hAnsi="Times New Roman"/>
          <w:sz w:val="24"/>
        </w:rPr>
        <w:t xml:space="preserve"> pubblici (D.Lgs. 18 aprile 2016, n. 50),</w:t>
      </w:r>
      <w:r w:rsidR="009B0DE3" w:rsidRPr="00BA08BB">
        <w:rPr>
          <w:rFonts w:ascii="Times New Roman" w:hAnsi="Times New Roman"/>
          <w:sz w:val="24"/>
        </w:rPr>
        <w:t xml:space="preserve"> è uno schema </w:t>
      </w:r>
      <w:r w:rsidR="00996022">
        <w:rPr>
          <w:rFonts w:ascii="Times New Roman" w:hAnsi="Times New Roman"/>
          <w:sz w:val="24"/>
        </w:rPr>
        <w:t>negoziale</w:t>
      </w:r>
      <w:r w:rsidR="009B0DE3" w:rsidRPr="00BA08BB">
        <w:rPr>
          <w:rFonts w:ascii="Times New Roman" w:hAnsi="Times New Roman"/>
          <w:sz w:val="24"/>
        </w:rPr>
        <w:t xml:space="preserve"> estremamente flessibile per la progettazione, il finanziamento e la realizzazione di infrastrutture,</w:t>
      </w:r>
      <w:r w:rsidR="00FB6BAC" w:rsidRPr="00BA08BB">
        <w:rPr>
          <w:rFonts w:ascii="Times New Roman" w:hAnsi="Times New Roman"/>
          <w:sz w:val="24"/>
        </w:rPr>
        <w:t xml:space="preserve"> opere e</w:t>
      </w:r>
      <w:r w:rsidR="009B0DE3" w:rsidRPr="00BA08BB">
        <w:rPr>
          <w:rFonts w:ascii="Times New Roman" w:hAnsi="Times New Roman"/>
          <w:sz w:val="24"/>
        </w:rPr>
        <w:t xml:space="preserve"> servizi</w:t>
      </w:r>
      <w:r w:rsidR="00FB6BAC" w:rsidRPr="00BA08BB">
        <w:rPr>
          <w:rFonts w:ascii="Times New Roman" w:hAnsi="Times New Roman"/>
          <w:sz w:val="24"/>
        </w:rPr>
        <w:t>.</w:t>
      </w:r>
    </w:p>
    <w:p w:rsidR="009B0DE3" w:rsidRPr="00BA08BB" w:rsidRDefault="009B0DE3" w:rsidP="00BA08BB">
      <w:pPr>
        <w:spacing w:line="480" w:lineRule="auto"/>
        <w:jc w:val="both"/>
        <w:rPr>
          <w:rFonts w:ascii="Times New Roman" w:hAnsi="Times New Roman"/>
          <w:sz w:val="24"/>
        </w:rPr>
      </w:pPr>
      <w:r w:rsidRPr="00BA08BB">
        <w:rPr>
          <w:rFonts w:ascii="Times New Roman" w:hAnsi="Times New Roman"/>
          <w:sz w:val="24"/>
        </w:rPr>
        <w:t xml:space="preserve">Con </w:t>
      </w:r>
      <w:r w:rsidR="00110959" w:rsidRPr="00BA08BB">
        <w:rPr>
          <w:rFonts w:ascii="Times New Roman" w:hAnsi="Times New Roman"/>
          <w:sz w:val="24"/>
        </w:rPr>
        <w:t>siffatto modello di cooperazione</w:t>
      </w:r>
      <w:r w:rsidRPr="00BA08BB">
        <w:rPr>
          <w:rFonts w:ascii="Times New Roman" w:hAnsi="Times New Roman"/>
          <w:sz w:val="24"/>
        </w:rPr>
        <w:t xml:space="preserve"> il rapporto</w:t>
      </w:r>
      <w:r w:rsidR="00477F98" w:rsidRPr="00BA08BB">
        <w:rPr>
          <w:rFonts w:ascii="Times New Roman" w:hAnsi="Times New Roman"/>
          <w:sz w:val="24"/>
        </w:rPr>
        <w:t xml:space="preserve"> </w:t>
      </w:r>
      <w:r w:rsidR="00110959" w:rsidRPr="00BA08BB">
        <w:rPr>
          <w:rFonts w:ascii="Times New Roman" w:hAnsi="Times New Roman"/>
          <w:sz w:val="24"/>
        </w:rPr>
        <w:t>contrattuale</w:t>
      </w:r>
      <w:r w:rsidR="00C06549" w:rsidRPr="00BA08BB">
        <w:rPr>
          <w:rFonts w:ascii="Times New Roman" w:hAnsi="Times New Roman"/>
          <w:sz w:val="24"/>
        </w:rPr>
        <w:t xml:space="preserve"> tra</w:t>
      </w:r>
      <w:r w:rsidRPr="00BA08BB">
        <w:rPr>
          <w:rFonts w:ascii="Times New Roman" w:hAnsi="Times New Roman"/>
          <w:sz w:val="24"/>
        </w:rPr>
        <w:t xml:space="preserve"> pubblica amminis</w:t>
      </w:r>
      <w:r w:rsidR="005B0709" w:rsidRPr="00BA08BB">
        <w:rPr>
          <w:rFonts w:ascii="Times New Roman" w:hAnsi="Times New Roman"/>
          <w:sz w:val="24"/>
        </w:rPr>
        <w:t>trazione</w:t>
      </w:r>
      <w:r w:rsidR="00C06549" w:rsidRPr="00BA08BB">
        <w:rPr>
          <w:rFonts w:ascii="Times New Roman" w:hAnsi="Times New Roman"/>
          <w:sz w:val="24"/>
        </w:rPr>
        <w:t xml:space="preserve"> e privato </w:t>
      </w:r>
      <w:r w:rsidR="00110959" w:rsidRPr="00BA08BB">
        <w:rPr>
          <w:rFonts w:ascii="Times New Roman" w:hAnsi="Times New Roman"/>
          <w:sz w:val="24"/>
        </w:rPr>
        <w:t xml:space="preserve">si </w:t>
      </w:r>
      <w:r w:rsidR="0067357B">
        <w:rPr>
          <w:rFonts w:ascii="Times New Roman" w:hAnsi="Times New Roman"/>
          <w:sz w:val="24"/>
        </w:rPr>
        <w:t>connota</w:t>
      </w:r>
      <w:r w:rsidR="00B96BF6" w:rsidRPr="00BA08BB">
        <w:rPr>
          <w:rFonts w:ascii="Times New Roman" w:hAnsi="Times New Roman"/>
          <w:sz w:val="24"/>
        </w:rPr>
        <w:t xml:space="preserve"> di</w:t>
      </w:r>
      <w:r w:rsidR="00110959" w:rsidRPr="00BA08BB">
        <w:rPr>
          <w:rFonts w:ascii="Times New Roman" w:hAnsi="Times New Roman"/>
          <w:sz w:val="24"/>
        </w:rPr>
        <w:t xml:space="preserve"> una complessità del tutto sconosciuta allo schema negoziale classico (si pensi al tradizionale modello della concessione- contratto</w:t>
      </w:r>
      <w:r w:rsidR="00B96BF6" w:rsidRPr="00BA08BB">
        <w:rPr>
          <w:rFonts w:ascii="Times New Roman" w:hAnsi="Times New Roman"/>
          <w:sz w:val="24"/>
        </w:rPr>
        <w:t xml:space="preserve"> o anche all’appalto</w:t>
      </w:r>
      <w:r w:rsidR="00110959" w:rsidRPr="00BA08BB">
        <w:rPr>
          <w:rFonts w:ascii="Times New Roman" w:hAnsi="Times New Roman"/>
          <w:sz w:val="24"/>
        </w:rPr>
        <w:t>)</w:t>
      </w:r>
      <w:r w:rsidR="00C06549" w:rsidRPr="00BA08BB">
        <w:rPr>
          <w:rFonts w:ascii="Times New Roman" w:hAnsi="Times New Roman"/>
          <w:sz w:val="24"/>
        </w:rPr>
        <w:t xml:space="preserve"> </w:t>
      </w:r>
      <w:r w:rsidR="00110959" w:rsidRPr="00BA08BB">
        <w:rPr>
          <w:rFonts w:ascii="Times New Roman" w:hAnsi="Times New Roman"/>
          <w:sz w:val="24"/>
        </w:rPr>
        <w:t xml:space="preserve">poiché va oltre la dimensione </w:t>
      </w:r>
      <w:r w:rsidR="00E749C5" w:rsidRPr="00BA08BB">
        <w:rPr>
          <w:rFonts w:ascii="Times New Roman" w:hAnsi="Times New Roman"/>
          <w:sz w:val="24"/>
        </w:rPr>
        <w:t>sinallagmatica</w:t>
      </w:r>
      <w:r w:rsidR="00B96BF6" w:rsidRPr="00BA08BB">
        <w:rPr>
          <w:rFonts w:ascii="Times New Roman" w:hAnsi="Times New Roman"/>
          <w:sz w:val="24"/>
        </w:rPr>
        <w:t xml:space="preserve"> </w:t>
      </w:r>
      <w:r w:rsidR="001069BE" w:rsidRPr="00BA08BB">
        <w:rPr>
          <w:rFonts w:ascii="Times New Roman" w:hAnsi="Times New Roman"/>
          <w:sz w:val="24"/>
        </w:rPr>
        <w:t>del rapporto</w:t>
      </w:r>
      <w:r w:rsidR="00E23F5B">
        <w:rPr>
          <w:rFonts w:ascii="Times New Roman" w:hAnsi="Times New Roman"/>
          <w:sz w:val="24"/>
        </w:rPr>
        <w:t xml:space="preserve"> (pagamento del corrispettivo in cambio dell’opera, del bene o del servizio)</w:t>
      </w:r>
      <w:r w:rsidR="00E749C5" w:rsidRPr="00BA08BB">
        <w:rPr>
          <w:rFonts w:ascii="Times New Roman" w:hAnsi="Times New Roman"/>
          <w:sz w:val="24"/>
        </w:rPr>
        <w:t xml:space="preserve"> </w:t>
      </w:r>
      <w:r w:rsidR="00110959" w:rsidRPr="00BA08BB">
        <w:rPr>
          <w:rFonts w:ascii="Times New Roman" w:hAnsi="Times New Roman"/>
          <w:sz w:val="24"/>
        </w:rPr>
        <w:t xml:space="preserve">per abbracciare </w:t>
      </w:r>
      <w:r w:rsidR="00B96BF6" w:rsidRPr="00BA08BB">
        <w:rPr>
          <w:rFonts w:ascii="Times New Roman" w:hAnsi="Times New Roman"/>
          <w:sz w:val="24"/>
        </w:rPr>
        <w:t>quella tecnico-</w:t>
      </w:r>
      <w:r w:rsidR="00110959" w:rsidRPr="00BA08BB">
        <w:rPr>
          <w:rFonts w:ascii="Times New Roman" w:hAnsi="Times New Roman"/>
          <w:sz w:val="24"/>
        </w:rPr>
        <w:t>progettuale di realizzazione</w:t>
      </w:r>
      <w:r w:rsidR="00C06549" w:rsidRPr="00BA08BB">
        <w:rPr>
          <w:rFonts w:ascii="Times New Roman" w:hAnsi="Times New Roman"/>
          <w:sz w:val="24"/>
        </w:rPr>
        <w:t xml:space="preserve"> </w:t>
      </w:r>
      <w:r w:rsidR="00160A61" w:rsidRPr="00BA08BB">
        <w:rPr>
          <w:rFonts w:ascii="Times New Roman" w:hAnsi="Times New Roman"/>
          <w:sz w:val="24"/>
        </w:rPr>
        <w:t>e quella economico-</w:t>
      </w:r>
      <w:r w:rsidR="00110959" w:rsidRPr="00BA08BB">
        <w:rPr>
          <w:rFonts w:ascii="Times New Roman" w:hAnsi="Times New Roman"/>
          <w:sz w:val="24"/>
        </w:rPr>
        <w:t>finanziaria di gestione</w:t>
      </w:r>
      <w:r w:rsidR="00C06549" w:rsidRPr="00BA08BB">
        <w:rPr>
          <w:rFonts w:ascii="Times New Roman" w:hAnsi="Times New Roman"/>
          <w:sz w:val="24"/>
        </w:rPr>
        <w:t xml:space="preserve"> dell’opera o del servizio in una dimensione di medio e lungo periodo. Si tratta di una declinazione, nella particolare prospettiva del mercato, di quell’aspirazione sinergica tra soggetto pubblico titolare dell’azione e privato destinatario della medesima di cui è espressione il principio</w:t>
      </w:r>
      <w:r w:rsidR="005B0709" w:rsidRPr="00BA08BB">
        <w:rPr>
          <w:rFonts w:ascii="Times New Roman" w:hAnsi="Times New Roman"/>
          <w:sz w:val="24"/>
        </w:rPr>
        <w:t xml:space="preserve"> sussidiarietà orizzontale di cui all’art 118, comma 4, Cost.</w:t>
      </w:r>
    </w:p>
    <w:p w:rsidR="005B0709" w:rsidRPr="00BA08BB" w:rsidRDefault="001069BE" w:rsidP="00BA08BB">
      <w:pPr>
        <w:spacing w:line="480" w:lineRule="auto"/>
        <w:jc w:val="both"/>
        <w:rPr>
          <w:rFonts w:ascii="Times New Roman" w:hAnsi="Times New Roman"/>
          <w:sz w:val="24"/>
        </w:rPr>
      </w:pPr>
      <w:r w:rsidRPr="00BA08BB">
        <w:rPr>
          <w:rFonts w:ascii="Times New Roman" w:hAnsi="Times New Roman"/>
          <w:sz w:val="24"/>
        </w:rPr>
        <w:t>Sul piano della qualificazione giuridica, si è discusso se si tratti di</w:t>
      </w:r>
      <w:r w:rsidR="005B0709" w:rsidRPr="00BA08BB">
        <w:rPr>
          <w:rFonts w:ascii="Times New Roman" w:hAnsi="Times New Roman"/>
          <w:sz w:val="24"/>
        </w:rPr>
        <w:t xml:space="preserve"> contratto atipico, di vero e proprio schema contra</w:t>
      </w:r>
      <w:r w:rsidR="00477F98" w:rsidRPr="00BA08BB">
        <w:rPr>
          <w:rFonts w:ascii="Times New Roman" w:hAnsi="Times New Roman"/>
          <w:sz w:val="24"/>
        </w:rPr>
        <w:t xml:space="preserve">ttuale, </w:t>
      </w:r>
      <w:r w:rsidR="005B0709" w:rsidRPr="00BA08BB">
        <w:rPr>
          <w:rFonts w:ascii="Times New Roman" w:hAnsi="Times New Roman"/>
          <w:sz w:val="24"/>
        </w:rPr>
        <w:t>di semplice modulo procedimentale</w:t>
      </w:r>
      <w:r w:rsidR="00477F98" w:rsidRPr="00BA08BB">
        <w:rPr>
          <w:rStyle w:val="Rimandonotaapidipagina"/>
          <w:rFonts w:ascii="Times New Roman" w:hAnsi="Times New Roman"/>
          <w:sz w:val="24"/>
        </w:rPr>
        <w:footnoteReference w:id="9"/>
      </w:r>
      <w:r w:rsidR="00034E3F" w:rsidRPr="00BA08BB">
        <w:rPr>
          <w:rFonts w:ascii="Times New Roman" w:hAnsi="Times New Roman"/>
          <w:sz w:val="24"/>
        </w:rPr>
        <w:t xml:space="preserve"> ,</w:t>
      </w:r>
      <w:r w:rsidR="00477F98" w:rsidRPr="00BA08BB">
        <w:rPr>
          <w:rFonts w:ascii="Times New Roman" w:hAnsi="Times New Roman"/>
          <w:sz w:val="24"/>
        </w:rPr>
        <w:t xml:space="preserve"> di una mera nozione descrittiva</w:t>
      </w:r>
      <w:r w:rsidR="00477F98" w:rsidRPr="00BA08BB">
        <w:rPr>
          <w:rStyle w:val="Rimandonotaapidipagina"/>
          <w:rFonts w:ascii="Times New Roman" w:hAnsi="Times New Roman"/>
          <w:sz w:val="24"/>
        </w:rPr>
        <w:footnoteReference w:id="10"/>
      </w:r>
      <w:r w:rsidR="005B0709" w:rsidRPr="00BA08BB">
        <w:rPr>
          <w:rFonts w:ascii="Times New Roman" w:hAnsi="Times New Roman"/>
          <w:sz w:val="24"/>
        </w:rPr>
        <w:t xml:space="preserve"> o </w:t>
      </w:r>
      <w:r w:rsidR="00034E3F" w:rsidRPr="00BA08BB">
        <w:rPr>
          <w:rFonts w:ascii="Times New Roman" w:hAnsi="Times New Roman"/>
          <w:sz w:val="24"/>
        </w:rPr>
        <w:t>puro</w:t>
      </w:r>
      <w:r w:rsidR="005B0709" w:rsidRPr="00BA08BB">
        <w:rPr>
          <w:rFonts w:ascii="Times New Roman" w:hAnsi="Times New Roman"/>
          <w:sz w:val="24"/>
        </w:rPr>
        <w:t xml:space="preserve"> fenomeno economico</w:t>
      </w:r>
      <w:r w:rsidR="00AD5097" w:rsidRPr="00BA08BB">
        <w:rPr>
          <w:rFonts w:ascii="Times New Roman" w:hAnsi="Times New Roman"/>
          <w:sz w:val="24"/>
        </w:rPr>
        <w:t>.</w:t>
      </w:r>
    </w:p>
    <w:p w:rsidR="00034E3F" w:rsidRPr="00BA08BB" w:rsidRDefault="00034E3F" w:rsidP="00BA08BB">
      <w:pPr>
        <w:spacing w:line="480" w:lineRule="auto"/>
        <w:jc w:val="both"/>
        <w:rPr>
          <w:rFonts w:ascii="Times New Roman" w:hAnsi="Times New Roman"/>
          <w:sz w:val="24"/>
        </w:rPr>
      </w:pPr>
      <w:r w:rsidRPr="00BA08BB">
        <w:rPr>
          <w:rFonts w:ascii="Times New Roman" w:hAnsi="Times New Roman"/>
          <w:sz w:val="24"/>
        </w:rPr>
        <w:t>Il Consiglio di Stato</w:t>
      </w:r>
      <w:r w:rsidR="008B12D0" w:rsidRPr="00BA08BB">
        <w:rPr>
          <w:rStyle w:val="Rimandonotaapidipagina"/>
          <w:rFonts w:ascii="Times New Roman" w:hAnsi="Times New Roman"/>
          <w:sz w:val="24"/>
        </w:rPr>
        <w:footnoteReference w:id="11"/>
      </w:r>
      <w:r w:rsidR="00976D6E" w:rsidRPr="00BA08BB">
        <w:rPr>
          <w:rFonts w:ascii="Times New Roman" w:hAnsi="Times New Roman"/>
          <w:sz w:val="24"/>
        </w:rPr>
        <w:t xml:space="preserve"> </w:t>
      </w:r>
      <w:r w:rsidRPr="00BA08BB">
        <w:rPr>
          <w:rFonts w:ascii="Times New Roman" w:hAnsi="Times New Roman"/>
          <w:sz w:val="24"/>
        </w:rPr>
        <w:t>ha chiarito che la nozione di partenariato esprime la duplice dimensione-negoziale ed economica- del fenomeno, in qu</w:t>
      </w:r>
      <w:r w:rsidR="00B41B08" w:rsidRPr="00BA08BB">
        <w:rPr>
          <w:rFonts w:ascii="Times New Roman" w:hAnsi="Times New Roman"/>
          <w:sz w:val="24"/>
        </w:rPr>
        <w:t>an</w:t>
      </w:r>
      <w:r w:rsidRPr="00BA08BB">
        <w:rPr>
          <w:rFonts w:ascii="Times New Roman" w:hAnsi="Times New Roman"/>
          <w:sz w:val="24"/>
        </w:rPr>
        <w:t>to</w:t>
      </w:r>
      <w:r w:rsidR="00976D6E" w:rsidRPr="00BA08BB">
        <w:rPr>
          <w:rFonts w:ascii="Times New Roman" w:hAnsi="Times New Roman"/>
          <w:sz w:val="24"/>
        </w:rPr>
        <w:t xml:space="preserve"> </w:t>
      </w:r>
      <w:r w:rsidR="004C4EC7" w:rsidRPr="00BA08BB">
        <w:rPr>
          <w:rFonts w:ascii="Times New Roman" w:hAnsi="Times New Roman"/>
          <w:sz w:val="24"/>
        </w:rPr>
        <w:t>costituisce un fenomeno economico–finanziario che trova disciplina giuridica nel relativo contratto, qualificabile come contratto atipico</w:t>
      </w:r>
      <w:r w:rsidR="00020878" w:rsidRPr="00BA08BB">
        <w:rPr>
          <w:rFonts w:ascii="Times New Roman" w:hAnsi="Times New Roman"/>
          <w:sz w:val="24"/>
        </w:rPr>
        <w:t xml:space="preserve">, in cui le parti fissano nel modo ritenuto più idoneo e adeguato </w:t>
      </w:r>
      <w:r w:rsidR="005715F1">
        <w:rPr>
          <w:rFonts w:ascii="Times New Roman" w:hAnsi="Times New Roman"/>
          <w:sz w:val="24"/>
        </w:rPr>
        <w:t>i diritti e gli obblighi reciproci,</w:t>
      </w:r>
      <w:r w:rsidR="00020878" w:rsidRPr="00BA08BB">
        <w:rPr>
          <w:rFonts w:ascii="Times New Roman" w:hAnsi="Times New Roman"/>
          <w:sz w:val="24"/>
        </w:rPr>
        <w:t xml:space="preserve"> in funzione del conseguimento dell’interesse pubblico individuato esclusivamente dalla parte pubblica</w:t>
      </w:r>
      <w:r w:rsidR="008B12D0" w:rsidRPr="00BA08BB">
        <w:rPr>
          <w:rFonts w:ascii="Times New Roman" w:hAnsi="Times New Roman"/>
          <w:sz w:val="24"/>
        </w:rPr>
        <w:t>. Di qui l’esigenza di un approccio multidisciplinare al fenomeno.</w:t>
      </w:r>
    </w:p>
    <w:p w:rsidR="00737673" w:rsidRPr="00BA08BB" w:rsidRDefault="008B12D0" w:rsidP="00BA08BB">
      <w:pPr>
        <w:spacing w:line="480" w:lineRule="auto"/>
        <w:jc w:val="both"/>
        <w:rPr>
          <w:rFonts w:ascii="Times New Roman" w:hAnsi="Times New Roman"/>
          <w:sz w:val="24"/>
        </w:rPr>
      </w:pPr>
      <w:r w:rsidRPr="00BA08BB">
        <w:rPr>
          <w:rFonts w:ascii="Times New Roman" w:hAnsi="Times New Roman"/>
          <w:sz w:val="24"/>
        </w:rPr>
        <w:t>I</w:t>
      </w:r>
      <w:r w:rsidR="00AD5097" w:rsidRPr="00BA08BB">
        <w:rPr>
          <w:rFonts w:ascii="Times New Roman" w:hAnsi="Times New Roman"/>
          <w:sz w:val="24"/>
        </w:rPr>
        <w:t xml:space="preserve"> profili </w:t>
      </w:r>
      <w:r w:rsidR="00976D6E" w:rsidRPr="00BA08BB">
        <w:rPr>
          <w:rFonts w:ascii="Times New Roman" w:hAnsi="Times New Roman"/>
          <w:sz w:val="24"/>
        </w:rPr>
        <w:t xml:space="preserve">classificatori </w:t>
      </w:r>
      <w:r w:rsidR="00AD5097" w:rsidRPr="00BA08BB">
        <w:rPr>
          <w:rFonts w:ascii="Times New Roman" w:hAnsi="Times New Roman"/>
          <w:sz w:val="24"/>
        </w:rPr>
        <w:t>si rivelano</w:t>
      </w:r>
      <w:r w:rsidRPr="00BA08BB">
        <w:rPr>
          <w:rFonts w:ascii="Times New Roman" w:hAnsi="Times New Roman"/>
          <w:sz w:val="24"/>
        </w:rPr>
        <w:t>, in ogni caso,</w:t>
      </w:r>
      <w:r w:rsidR="00AD5097" w:rsidRPr="00BA08BB">
        <w:rPr>
          <w:rFonts w:ascii="Times New Roman" w:hAnsi="Times New Roman"/>
          <w:sz w:val="24"/>
        </w:rPr>
        <w:t xml:space="preserve"> di scarsa importanza pratica alla luce </w:t>
      </w:r>
      <w:r w:rsidR="00996022">
        <w:rPr>
          <w:rFonts w:ascii="Times New Roman" w:hAnsi="Times New Roman"/>
          <w:sz w:val="24"/>
        </w:rPr>
        <w:t xml:space="preserve">del chiaro disposto </w:t>
      </w:r>
      <w:r w:rsidR="00AD5097" w:rsidRPr="00BA08BB">
        <w:rPr>
          <w:rFonts w:ascii="Times New Roman" w:hAnsi="Times New Roman"/>
          <w:sz w:val="24"/>
        </w:rPr>
        <w:t>dell’art</w:t>
      </w:r>
      <w:r w:rsidR="00737673" w:rsidRPr="00BA08BB">
        <w:rPr>
          <w:rFonts w:ascii="Times New Roman" w:hAnsi="Times New Roman"/>
          <w:sz w:val="24"/>
        </w:rPr>
        <w:t>.</w:t>
      </w:r>
      <w:r w:rsidR="00AD5097" w:rsidRPr="00BA08BB">
        <w:rPr>
          <w:rFonts w:ascii="Times New Roman" w:hAnsi="Times New Roman"/>
          <w:sz w:val="24"/>
        </w:rPr>
        <w:t xml:space="preserve"> 180 comma 8 del codice che</w:t>
      </w:r>
      <w:r w:rsidR="009B5DEF" w:rsidRPr="00BA08BB">
        <w:rPr>
          <w:rFonts w:ascii="Times New Roman" w:hAnsi="Times New Roman"/>
          <w:sz w:val="24"/>
        </w:rPr>
        <w:t>, da un lato,</w:t>
      </w:r>
      <w:r w:rsidR="00AD5097" w:rsidRPr="00BA08BB">
        <w:rPr>
          <w:rFonts w:ascii="Times New Roman" w:hAnsi="Times New Roman"/>
          <w:sz w:val="24"/>
        </w:rPr>
        <w:t xml:space="preserve"> </w:t>
      </w:r>
      <w:r w:rsidR="009B5DEF" w:rsidRPr="00BA08BB">
        <w:rPr>
          <w:rFonts w:ascii="Times New Roman" w:hAnsi="Times New Roman"/>
          <w:sz w:val="24"/>
        </w:rPr>
        <w:t xml:space="preserve">elenca espressamente </w:t>
      </w:r>
      <w:r w:rsidRPr="00BA08BB">
        <w:rPr>
          <w:rFonts w:ascii="Times New Roman" w:hAnsi="Times New Roman"/>
          <w:sz w:val="24"/>
        </w:rPr>
        <w:t>alcune fattispecie tipiche di partenariato (</w:t>
      </w:r>
      <w:r w:rsidR="00AD5097" w:rsidRPr="00BA08BB">
        <w:rPr>
          <w:rFonts w:ascii="Times New Roman" w:hAnsi="Times New Roman"/>
          <w:sz w:val="24"/>
        </w:rPr>
        <w:t>la finanza di progetto, la concessione di lavori e quella di servizi, la locazione di opere pubbliche, il contratto di disponibilità</w:t>
      </w:r>
      <w:r w:rsidRPr="00BA08BB">
        <w:rPr>
          <w:rFonts w:ascii="Times New Roman" w:hAnsi="Times New Roman"/>
          <w:sz w:val="24"/>
        </w:rPr>
        <w:t>)</w:t>
      </w:r>
      <w:r w:rsidR="00AD5097" w:rsidRPr="00BA08BB">
        <w:rPr>
          <w:rFonts w:ascii="Times New Roman" w:hAnsi="Times New Roman"/>
          <w:sz w:val="24"/>
        </w:rPr>
        <w:t xml:space="preserve"> e</w:t>
      </w:r>
      <w:r w:rsidRPr="00BA08BB">
        <w:rPr>
          <w:rFonts w:ascii="Times New Roman" w:hAnsi="Times New Roman"/>
          <w:sz w:val="24"/>
        </w:rPr>
        <w:t xml:space="preserve">, dall’altro, individua un contenuto tipico per le fattispecie atipiche, laddove precisa, </w:t>
      </w:r>
      <w:r w:rsidR="000D7B45">
        <w:rPr>
          <w:rFonts w:ascii="Times New Roman" w:hAnsi="Times New Roman"/>
          <w:sz w:val="24"/>
        </w:rPr>
        <w:t xml:space="preserve">con formula aperta e residuale, </w:t>
      </w:r>
      <w:r w:rsidRPr="00BA08BB">
        <w:rPr>
          <w:rFonts w:ascii="Times New Roman" w:hAnsi="Times New Roman"/>
          <w:sz w:val="24"/>
        </w:rPr>
        <w:t>che rientra nel partenariato</w:t>
      </w:r>
      <w:r w:rsidR="00737673" w:rsidRPr="00BA08BB">
        <w:rPr>
          <w:rFonts w:ascii="Times New Roman" w:hAnsi="Times New Roman"/>
          <w:sz w:val="24"/>
        </w:rPr>
        <w:t xml:space="preserve"> </w:t>
      </w:r>
      <w:r w:rsidR="009B5DEF" w:rsidRPr="00BA08BB">
        <w:rPr>
          <w:rFonts w:ascii="Times New Roman" w:hAnsi="Times New Roman"/>
          <w:sz w:val="24"/>
        </w:rPr>
        <w:t>“</w:t>
      </w:r>
      <w:r w:rsidR="00AD5097" w:rsidRPr="00BA08BB">
        <w:rPr>
          <w:rFonts w:ascii="Times New Roman" w:hAnsi="Times New Roman"/>
          <w:i/>
          <w:sz w:val="24"/>
        </w:rPr>
        <w:t>qualunque altra procedura di realizzazione in partenariato di opere o servizi che presentino le caratteristich</w:t>
      </w:r>
      <w:r w:rsidR="00AD5097" w:rsidRPr="000D7B45">
        <w:rPr>
          <w:rFonts w:ascii="Times New Roman" w:hAnsi="Times New Roman"/>
          <w:i/>
          <w:sz w:val="24"/>
        </w:rPr>
        <w:t>e</w:t>
      </w:r>
      <w:r w:rsidR="009B5DEF" w:rsidRPr="00BA08BB">
        <w:rPr>
          <w:rFonts w:ascii="Times New Roman" w:hAnsi="Times New Roman"/>
          <w:sz w:val="24"/>
        </w:rPr>
        <w:t>”</w:t>
      </w:r>
      <w:r w:rsidR="00AD5097" w:rsidRPr="00BA08BB">
        <w:rPr>
          <w:rFonts w:ascii="Times New Roman" w:hAnsi="Times New Roman"/>
          <w:sz w:val="24"/>
        </w:rPr>
        <w:t xml:space="preserve"> </w:t>
      </w:r>
      <w:r w:rsidR="009B5DEF" w:rsidRPr="00BA08BB">
        <w:rPr>
          <w:rFonts w:ascii="Times New Roman" w:hAnsi="Times New Roman"/>
          <w:sz w:val="24"/>
        </w:rPr>
        <w:t xml:space="preserve">ivi indicate. </w:t>
      </w:r>
    </w:p>
    <w:p w:rsidR="00AD5097" w:rsidRPr="00BA08BB" w:rsidRDefault="009B5DEF" w:rsidP="00BA08BB">
      <w:pPr>
        <w:spacing w:line="480" w:lineRule="auto"/>
        <w:jc w:val="both"/>
        <w:rPr>
          <w:rFonts w:ascii="Times New Roman" w:hAnsi="Times New Roman"/>
          <w:sz w:val="24"/>
        </w:rPr>
      </w:pPr>
      <w:r w:rsidRPr="00BA08BB">
        <w:rPr>
          <w:rFonts w:ascii="Times New Roman" w:hAnsi="Times New Roman"/>
          <w:sz w:val="24"/>
        </w:rPr>
        <w:t>Le parti sono, quindi, libere di addivenire a forme di collaborazione diverse dai tipi nominativamente previsti e disciplinati, purch</w:t>
      </w:r>
      <w:r w:rsidR="00737673" w:rsidRPr="00BA08BB">
        <w:rPr>
          <w:rFonts w:ascii="Times New Roman" w:hAnsi="Times New Roman"/>
          <w:sz w:val="24"/>
        </w:rPr>
        <w:t>é</w:t>
      </w:r>
      <w:r w:rsidRPr="00BA08BB">
        <w:rPr>
          <w:rFonts w:ascii="Times New Roman" w:hAnsi="Times New Roman"/>
          <w:sz w:val="24"/>
        </w:rPr>
        <w:t xml:space="preserve">, nella determinazione del regolamento contrattuale, i diritti ed obblighi reciproci siano </w:t>
      </w:r>
      <w:r w:rsidR="00664351" w:rsidRPr="00BA08BB">
        <w:rPr>
          <w:rFonts w:ascii="Times New Roman" w:hAnsi="Times New Roman"/>
          <w:sz w:val="24"/>
        </w:rPr>
        <w:t>ripartiti</w:t>
      </w:r>
      <w:r w:rsidRPr="00BA08BB">
        <w:rPr>
          <w:rFonts w:ascii="Times New Roman" w:hAnsi="Times New Roman"/>
          <w:sz w:val="24"/>
        </w:rPr>
        <w:t xml:space="preserve"> in modo conforme allo schema generale contenuto nell’art</w:t>
      </w:r>
      <w:r w:rsidR="00737673" w:rsidRPr="00BA08BB">
        <w:rPr>
          <w:rFonts w:ascii="Times New Roman" w:hAnsi="Times New Roman"/>
          <w:sz w:val="24"/>
        </w:rPr>
        <w:t xml:space="preserve">. 180 </w:t>
      </w:r>
      <w:r w:rsidR="00664351" w:rsidRPr="00BA08BB">
        <w:rPr>
          <w:rFonts w:ascii="Times New Roman" w:hAnsi="Times New Roman"/>
          <w:sz w:val="24"/>
        </w:rPr>
        <w:t>(nell’ambito del quale</w:t>
      </w:r>
      <w:r w:rsidR="00737673" w:rsidRPr="00BA08BB">
        <w:rPr>
          <w:rFonts w:ascii="Times New Roman" w:hAnsi="Times New Roman"/>
          <w:sz w:val="24"/>
        </w:rPr>
        <w:t xml:space="preserve"> è essenziale</w:t>
      </w:r>
      <w:r w:rsidRPr="00BA08BB">
        <w:rPr>
          <w:rFonts w:ascii="Times New Roman" w:hAnsi="Times New Roman"/>
          <w:sz w:val="24"/>
        </w:rPr>
        <w:t xml:space="preserve"> il trasferimento del rischio </w:t>
      </w:r>
      <w:r w:rsidR="00996022">
        <w:rPr>
          <w:rFonts w:ascii="Times New Roman" w:hAnsi="Times New Roman"/>
          <w:sz w:val="24"/>
        </w:rPr>
        <w:t xml:space="preserve">economico </w:t>
      </w:r>
      <w:r w:rsidR="000D7B45">
        <w:rPr>
          <w:rFonts w:ascii="Times New Roman" w:hAnsi="Times New Roman"/>
          <w:sz w:val="24"/>
        </w:rPr>
        <w:t>al privato</w:t>
      </w:r>
      <w:r w:rsidRPr="00BA08BB">
        <w:rPr>
          <w:rFonts w:ascii="Times New Roman" w:hAnsi="Times New Roman"/>
          <w:sz w:val="24"/>
        </w:rPr>
        <w:t xml:space="preserve">, come verrà chiarito </w:t>
      </w:r>
      <w:r w:rsidRPr="00BA08BB">
        <w:rPr>
          <w:rFonts w:ascii="Times New Roman" w:hAnsi="Times New Roman"/>
          <w:i/>
          <w:sz w:val="24"/>
        </w:rPr>
        <w:t>infra</w:t>
      </w:r>
      <w:r w:rsidRPr="00BA08BB">
        <w:rPr>
          <w:rFonts w:ascii="Times New Roman" w:hAnsi="Times New Roman"/>
          <w:sz w:val="24"/>
        </w:rPr>
        <w:t>: anche</w:t>
      </w:r>
      <w:r w:rsidR="00351B05" w:rsidRPr="00BA08BB">
        <w:rPr>
          <w:rFonts w:ascii="Times New Roman" w:hAnsi="Times New Roman"/>
          <w:sz w:val="24"/>
        </w:rPr>
        <w:t xml:space="preserve"> sotto t</w:t>
      </w:r>
      <w:r w:rsidR="00737673" w:rsidRPr="00BA08BB">
        <w:rPr>
          <w:rFonts w:ascii="Times New Roman" w:hAnsi="Times New Roman"/>
          <w:sz w:val="24"/>
        </w:rPr>
        <w:t xml:space="preserve">ale profilo </w:t>
      </w:r>
      <w:r w:rsidR="00351B05" w:rsidRPr="00BA08BB">
        <w:rPr>
          <w:rFonts w:ascii="Times New Roman" w:hAnsi="Times New Roman"/>
          <w:sz w:val="24"/>
        </w:rPr>
        <w:t>si manifesta l’estrema flessibilità connaturata all’istituto.</w:t>
      </w:r>
    </w:p>
    <w:p w:rsidR="00AD5097" w:rsidRPr="004F4C60" w:rsidRDefault="00351B05" w:rsidP="00BA08BB">
      <w:pPr>
        <w:spacing w:line="480" w:lineRule="auto"/>
        <w:jc w:val="both"/>
        <w:rPr>
          <w:rFonts w:ascii="Times New Roman" w:hAnsi="Times New Roman"/>
          <w:sz w:val="24"/>
        </w:rPr>
      </w:pPr>
      <w:r w:rsidRPr="00BA08BB">
        <w:rPr>
          <w:rFonts w:ascii="Times New Roman" w:hAnsi="Times New Roman"/>
          <w:sz w:val="24"/>
        </w:rPr>
        <w:t xml:space="preserve">Sul piano </w:t>
      </w:r>
      <w:r w:rsidR="00664351" w:rsidRPr="00BA08BB">
        <w:rPr>
          <w:rFonts w:ascii="Times New Roman" w:hAnsi="Times New Roman"/>
          <w:sz w:val="24"/>
        </w:rPr>
        <w:t>dell’individuazione</w:t>
      </w:r>
      <w:r w:rsidR="00737673" w:rsidRPr="00BA08BB">
        <w:rPr>
          <w:rFonts w:ascii="Times New Roman" w:hAnsi="Times New Roman"/>
          <w:sz w:val="24"/>
        </w:rPr>
        <w:t xml:space="preserve"> degli</w:t>
      </w:r>
      <w:r w:rsidRPr="00BA08BB">
        <w:rPr>
          <w:rFonts w:ascii="Times New Roman" w:hAnsi="Times New Roman"/>
          <w:sz w:val="24"/>
        </w:rPr>
        <w:t xml:space="preserve"> elementi che caratterizzano il partenariato</w:t>
      </w:r>
      <w:r w:rsidR="00996022">
        <w:rPr>
          <w:rFonts w:ascii="Times New Roman" w:hAnsi="Times New Roman"/>
          <w:sz w:val="24"/>
        </w:rPr>
        <w:t xml:space="preserve"> in questione</w:t>
      </w:r>
      <w:r w:rsidR="00737673" w:rsidRPr="00BA08BB">
        <w:rPr>
          <w:rFonts w:ascii="Times New Roman" w:hAnsi="Times New Roman"/>
          <w:sz w:val="24"/>
        </w:rPr>
        <w:t xml:space="preserve"> e che lo differenziano</w:t>
      </w:r>
      <w:r w:rsidRPr="00BA08BB">
        <w:rPr>
          <w:rFonts w:ascii="Times New Roman" w:hAnsi="Times New Roman"/>
          <w:sz w:val="24"/>
        </w:rPr>
        <w:t xml:space="preserve"> dalla fattispecie tradizionale dell’appalto, la normativa nazionale ha recepito le indicazioni </w:t>
      </w:r>
      <w:r w:rsidR="00737673" w:rsidRPr="00BA08BB">
        <w:rPr>
          <w:rFonts w:ascii="Times New Roman" w:hAnsi="Times New Roman"/>
          <w:sz w:val="24"/>
        </w:rPr>
        <w:t>della</w:t>
      </w:r>
      <w:r w:rsidRPr="00BA08BB">
        <w:rPr>
          <w:rFonts w:ascii="Times New Roman" w:hAnsi="Times New Roman"/>
          <w:sz w:val="24"/>
        </w:rPr>
        <w:t xml:space="preserve"> </w:t>
      </w:r>
      <w:r w:rsidR="00033418" w:rsidRPr="00BA08BB">
        <w:rPr>
          <w:rFonts w:ascii="Times New Roman" w:hAnsi="Times New Roman"/>
          <w:sz w:val="24"/>
        </w:rPr>
        <w:t xml:space="preserve">Commissione </w:t>
      </w:r>
      <w:r w:rsidR="009708AA" w:rsidRPr="00BA08BB">
        <w:rPr>
          <w:rFonts w:ascii="Times New Roman" w:hAnsi="Times New Roman"/>
          <w:sz w:val="24"/>
        </w:rPr>
        <w:t>e</w:t>
      </w:r>
      <w:r w:rsidR="00033418" w:rsidRPr="00BA08BB">
        <w:rPr>
          <w:rFonts w:ascii="Times New Roman" w:hAnsi="Times New Roman"/>
          <w:sz w:val="24"/>
        </w:rPr>
        <w:t>uropea</w:t>
      </w:r>
      <w:r w:rsidR="009708AA" w:rsidRPr="00BA08BB">
        <w:rPr>
          <w:rFonts w:ascii="Times New Roman" w:hAnsi="Times New Roman"/>
          <w:sz w:val="24"/>
        </w:rPr>
        <w:t xml:space="preserve"> che,</w:t>
      </w:r>
      <w:r w:rsidR="00033418" w:rsidRPr="00BA08BB">
        <w:rPr>
          <w:rFonts w:ascii="Times New Roman" w:hAnsi="Times New Roman"/>
          <w:sz w:val="24"/>
        </w:rPr>
        <w:t xml:space="preserve"> a partire dal Libro verde del 30 aprile 2004 relativo ai partenariati pubblico-privati ed al diritto comunitario degli appalti e delle concessioni</w:t>
      </w:r>
      <w:r w:rsidR="009708AA" w:rsidRPr="00BA08BB">
        <w:rPr>
          <w:rFonts w:ascii="Times New Roman" w:hAnsi="Times New Roman"/>
          <w:sz w:val="24"/>
        </w:rPr>
        <w:t xml:space="preserve">, </w:t>
      </w:r>
      <w:r w:rsidRPr="00BA08BB">
        <w:rPr>
          <w:rFonts w:ascii="Times New Roman" w:hAnsi="Times New Roman"/>
          <w:sz w:val="24"/>
        </w:rPr>
        <w:t xml:space="preserve"> ha annoverato, </w:t>
      </w:r>
      <w:r w:rsidR="009708AA" w:rsidRPr="00BA08BB">
        <w:rPr>
          <w:rFonts w:ascii="Times New Roman" w:hAnsi="Times New Roman"/>
          <w:sz w:val="24"/>
        </w:rPr>
        <w:t>tra</w:t>
      </w:r>
      <w:r w:rsidRPr="00BA08BB">
        <w:rPr>
          <w:rFonts w:ascii="Times New Roman" w:hAnsi="Times New Roman"/>
          <w:sz w:val="24"/>
        </w:rPr>
        <w:t xml:space="preserve"> gli elementi caratterizzanti il partenariato, sia contrattualizzato che istituzionale</w:t>
      </w:r>
      <w:r w:rsidR="00033418" w:rsidRPr="00BA08BB">
        <w:rPr>
          <w:rFonts w:ascii="Times New Roman" w:hAnsi="Times New Roman"/>
          <w:sz w:val="24"/>
        </w:rPr>
        <w:t xml:space="preserve">: </w:t>
      </w:r>
      <w:r w:rsidR="00033418" w:rsidRPr="00BA08BB">
        <w:rPr>
          <w:rFonts w:ascii="Times New Roman" w:hAnsi="Times New Roman"/>
          <w:i/>
          <w:sz w:val="24"/>
        </w:rPr>
        <w:t>i</w:t>
      </w:r>
      <w:r w:rsidR="00033418" w:rsidRPr="00BA08BB">
        <w:rPr>
          <w:rFonts w:ascii="Times New Roman" w:hAnsi="Times New Roman"/>
          <w:sz w:val="24"/>
        </w:rPr>
        <w:t xml:space="preserve">) la lunga durata del rapporto instaurato tra i </w:t>
      </w:r>
      <w:r w:rsidR="00033418" w:rsidRPr="00996022">
        <w:rPr>
          <w:rFonts w:ascii="Times New Roman" w:hAnsi="Times New Roman"/>
          <w:i/>
          <w:sz w:val="24"/>
        </w:rPr>
        <w:t>partner</w:t>
      </w:r>
      <w:r w:rsidR="004F4C60">
        <w:rPr>
          <w:rFonts w:ascii="Times New Roman" w:hAnsi="Times New Roman"/>
          <w:i/>
          <w:sz w:val="24"/>
        </w:rPr>
        <w:t>s</w:t>
      </w:r>
      <w:r w:rsidR="00033418" w:rsidRPr="00BA08BB">
        <w:rPr>
          <w:rFonts w:ascii="Times New Roman" w:hAnsi="Times New Roman"/>
          <w:sz w:val="24"/>
        </w:rPr>
        <w:t xml:space="preserve"> pubblici e privati; </w:t>
      </w:r>
      <w:r w:rsidR="00033418" w:rsidRPr="00BA08BB">
        <w:rPr>
          <w:rFonts w:ascii="Times New Roman" w:hAnsi="Times New Roman"/>
          <w:i/>
          <w:sz w:val="24"/>
        </w:rPr>
        <w:t>ii</w:t>
      </w:r>
      <w:r w:rsidR="00033418" w:rsidRPr="00BA08BB">
        <w:rPr>
          <w:rFonts w:ascii="Times New Roman" w:hAnsi="Times New Roman"/>
          <w:sz w:val="24"/>
        </w:rPr>
        <w:t>) il finanziamento del progetto a carico dell’operatore priv</w:t>
      </w:r>
      <w:r w:rsidR="009708AA" w:rsidRPr="00BA08BB">
        <w:rPr>
          <w:rFonts w:ascii="Times New Roman" w:hAnsi="Times New Roman"/>
          <w:sz w:val="24"/>
        </w:rPr>
        <w:t>ato e</w:t>
      </w:r>
      <w:r w:rsidR="00033418" w:rsidRPr="00BA08BB">
        <w:rPr>
          <w:rFonts w:ascii="Times New Roman" w:hAnsi="Times New Roman"/>
          <w:sz w:val="24"/>
        </w:rPr>
        <w:t xml:space="preserve"> la partecipazione di quest’ultimo a tutte le fasi di sviluppo del progetto;</w:t>
      </w:r>
      <w:r w:rsidR="00106449" w:rsidRPr="00BA08BB">
        <w:rPr>
          <w:rFonts w:ascii="Times New Roman" w:hAnsi="Times New Roman"/>
          <w:sz w:val="24"/>
        </w:rPr>
        <w:t xml:space="preserve"> </w:t>
      </w:r>
      <w:r w:rsidR="00033418" w:rsidRPr="00BA08BB">
        <w:rPr>
          <w:rFonts w:ascii="Times New Roman" w:hAnsi="Times New Roman"/>
          <w:i/>
          <w:sz w:val="24"/>
        </w:rPr>
        <w:t>iii</w:t>
      </w:r>
      <w:r w:rsidR="004F4C60">
        <w:rPr>
          <w:rFonts w:ascii="Times New Roman" w:hAnsi="Times New Roman"/>
          <w:sz w:val="24"/>
        </w:rPr>
        <w:t xml:space="preserve">) l’allocazione dei rischi </w:t>
      </w:r>
      <w:r w:rsidR="00033418" w:rsidRPr="004F4C60">
        <w:rPr>
          <w:rFonts w:ascii="Times New Roman" w:hAnsi="Times New Roman"/>
          <w:sz w:val="24"/>
        </w:rPr>
        <w:t xml:space="preserve">in funzione della capacità delle parti in questione di valutare, </w:t>
      </w:r>
      <w:r w:rsidR="004F4C60">
        <w:rPr>
          <w:rFonts w:ascii="Times New Roman" w:hAnsi="Times New Roman"/>
          <w:sz w:val="24"/>
        </w:rPr>
        <w:t>controllare e gestire gli stessi</w:t>
      </w:r>
      <w:r w:rsidR="00033418" w:rsidRPr="004F4C60">
        <w:rPr>
          <w:rFonts w:ascii="Times New Roman" w:hAnsi="Times New Roman"/>
          <w:sz w:val="24"/>
        </w:rPr>
        <w:t>.</w:t>
      </w:r>
    </w:p>
    <w:p w:rsidR="00033418" w:rsidRPr="00BA08BB" w:rsidRDefault="00351B05" w:rsidP="00BA08BB">
      <w:pPr>
        <w:spacing w:line="480" w:lineRule="auto"/>
        <w:jc w:val="both"/>
        <w:rPr>
          <w:rFonts w:ascii="Times New Roman" w:hAnsi="Times New Roman"/>
          <w:sz w:val="24"/>
        </w:rPr>
      </w:pPr>
      <w:r w:rsidRPr="00BA08BB">
        <w:rPr>
          <w:rFonts w:ascii="Times New Roman" w:hAnsi="Times New Roman"/>
          <w:sz w:val="24"/>
        </w:rPr>
        <w:t xml:space="preserve">In coerenza con le sopra richiamate </w:t>
      </w:r>
      <w:r w:rsidR="009708AA" w:rsidRPr="00BA08BB">
        <w:rPr>
          <w:rFonts w:ascii="Times New Roman" w:hAnsi="Times New Roman"/>
          <w:sz w:val="24"/>
        </w:rPr>
        <w:t>indicazioni</w:t>
      </w:r>
      <w:r w:rsidRPr="00BA08BB">
        <w:rPr>
          <w:rFonts w:ascii="Times New Roman" w:hAnsi="Times New Roman"/>
          <w:sz w:val="24"/>
        </w:rPr>
        <w:t>, l</w:t>
      </w:r>
      <w:r w:rsidR="004C4EC7" w:rsidRPr="00BA08BB">
        <w:rPr>
          <w:rFonts w:ascii="Times New Roman" w:hAnsi="Times New Roman"/>
          <w:sz w:val="24"/>
        </w:rPr>
        <w:t>’</w:t>
      </w:r>
      <w:r w:rsidR="00976D6E" w:rsidRPr="00BA08BB">
        <w:rPr>
          <w:rFonts w:ascii="Times New Roman" w:hAnsi="Times New Roman"/>
          <w:sz w:val="24"/>
        </w:rPr>
        <w:t>art</w:t>
      </w:r>
      <w:r w:rsidR="007E4E63" w:rsidRPr="00BA08BB">
        <w:rPr>
          <w:rFonts w:ascii="Times New Roman" w:hAnsi="Times New Roman"/>
          <w:sz w:val="24"/>
        </w:rPr>
        <w:t>.</w:t>
      </w:r>
      <w:r w:rsidR="00976D6E" w:rsidRPr="00BA08BB">
        <w:rPr>
          <w:rFonts w:ascii="Times New Roman" w:hAnsi="Times New Roman"/>
          <w:sz w:val="24"/>
        </w:rPr>
        <w:t xml:space="preserve"> 3</w:t>
      </w:r>
      <w:r w:rsidR="004C4EC7" w:rsidRPr="00BA08BB">
        <w:rPr>
          <w:rFonts w:ascii="Times New Roman" w:hAnsi="Times New Roman"/>
          <w:sz w:val="24"/>
        </w:rPr>
        <w:t xml:space="preserve">, comma 1, lett eee) del codice </w:t>
      </w:r>
      <w:r w:rsidR="007E4E63" w:rsidRPr="00BA08BB">
        <w:rPr>
          <w:rFonts w:ascii="Times New Roman" w:hAnsi="Times New Roman"/>
          <w:sz w:val="24"/>
        </w:rPr>
        <w:t xml:space="preserve">dei contratti pubblici </w:t>
      </w:r>
      <w:r w:rsidRPr="00BA08BB">
        <w:rPr>
          <w:rFonts w:ascii="Times New Roman" w:hAnsi="Times New Roman"/>
          <w:sz w:val="24"/>
        </w:rPr>
        <w:t>reca una definizione di partenariato pubblico privato incentrata sui tratti caratterizzanti del fenomeno</w:t>
      </w:r>
      <w:r w:rsidR="0016621E" w:rsidRPr="00BA08BB">
        <w:rPr>
          <w:rFonts w:ascii="Times New Roman" w:hAnsi="Times New Roman"/>
          <w:sz w:val="24"/>
        </w:rPr>
        <w:t>, nell’ambito del quale</w:t>
      </w:r>
      <w:r w:rsidR="00976D6E" w:rsidRPr="00BA08BB">
        <w:rPr>
          <w:rFonts w:ascii="Times New Roman" w:hAnsi="Times New Roman"/>
          <w:sz w:val="24"/>
        </w:rPr>
        <w:t xml:space="preserve">: </w:t>
      </w:r>
      <w:r w:rsidR="00976D6E" w:rsidRPr="00BA08BB">
        <w:rPr>
          <w:rFonts w:ascii="Times New Roman" w:hAnsi="Times New Roman"/>
          <w:i/>
          <w:sz w:val="24"/>
        </w:rPr>
        <w:t>i</w:t>
      </w:r>
      <w:r w:rsidR="00976D6E" w:rsidRPr="00BA08BB">
        <w:rPr>
          <w:rFonts w:ascii="Times New Roman" w:hAnsi="Times New Roman"/>
          <w:sz w:val="24"/>
        </w:rPr>
        <w:t xml:space="preserve">) l’amministrazione conferisce all’operatore economico per un periodo determinato in funzione della durata dell’ammortamento dell’investimento o delle modalità di finanziamento fissate un complesso di attività, consistenti </w:t>
      </w:r>
      <w:r w:rsidRPr="00BA08BB">
        <w:rPr>
          <w:rFonts w:ascii="Times New Roman" w:hAnsi="Times New Roman"/>
          <w:sz w:val="24"/>
        </w:rPr>
        <w:t>r</w:t>
      </w:r>
      <w:r w:rsidR="00976D6E" w:rsidRPr="00BA08BB">
        <w:rPr>
          <w:rFonts w:ascii="Times New Roman" w:hAnsi="Times New Roman"/>
          <w:sz w:val="24"/>
        </w:rPr>
        <w:t xml:space="preserve">ealizzazione, trasformazione, manutenzione e gestione operativa di un’opera; </w:t>
      </w:r>
      <w:r w:rsidR="00976D6E" w:rsidRPr="00BA08BB">
        <w:rPr>
          <w:rFonts w:ascii="Times New Roman" w:hAnsi="Times New Roman"/>
          <w:i/>
          <w:sz w:val="24"/>
        </w:rPr>
        <w:t>ii</w:t>
      </w:r>
      <w:r w:rsidR="00976D6E" w:rsidRPr="00BA08BB">
        <w:rPr>
          <w:rFonts w:ascii="Times New Roman" w:hAnsi="Times New Roman"/>
          <w:sz w:val="24"/>
        </w:rPr>
        <w:t xml:space="preserve">) </w:t>
      </w:r>
      <w:r w:rsidR="00B90475" w:rsidRPr="00BA08BB">
        <w:rPr>
          <w:rFonts w:ascii="Times New Roman" w:hAnsi="Times New Roman"/>
          <w:sz w:val="24"/>
        </w:rPr>
        <w:t>il corrispettivo è rappresentato dal diritto dell’operatore economico di sfruttamento del</w:t>
      </w:r>
      <w:r w:rsidR="00976D6E" w:rsidRPr="00BA08BB">
        <w:rPr>
          <w:rFonts w:ascii="Times New Roman" w:hAnsi="Times New Roman"/>
          <w:sz w:val="24"/>
        </w:rPr>
        <w:t>l’opera o del servizio</w:t>
      </w:r>
      <w:r w:rsidR="00B90475" w:rsidRPr="00BA08BB">
        <w:rPr>
          <w:rFonts w:ascii="Times New Roman" w:hAnsi="Times New Roman"/>
          <w:sz w:val="24"/>
        </w:rPr>
        <w:t xml:space="preserve">; </w:t>
      </w:r>
      <w:r w:rsidR="00272CD3" w:rsidRPr="00BA08BB">
        <w:rPr>
          <w:rFonts w:ascii="Times New Roman" w:hAnsi="Times New Roman"/>
          <w:i/>
          <w:sz w:val="24"/>
        </w:rPr>
        <w:t>iii</w:t>
      </w:r>
      <w:r w:rsidR="00272CD3" w:rsidRPr="00BA08BB">
        <w:rPr>
          <w:rFonts w:ascii="Times New Roman" w:hAnsi="Times New Roman"/>
          <w:sz w:val="24"/>
        </w:rPr>
        <w:t xml:space="preserve">) il correlativo rischio è assunto dall’operatore economico secondo le modalità indicate dal contratto. </w:t>
      </w:r>
    </w:p>
    <w:p w:rsidR="00272CD3" w:rsidRPr="00BA08BB" w:rsidRDefault="00ED5138" w:rsidP="00BA08BB">
      <w:pPr>
        <w:spacing w:line="480" w:lineRule="auto"/>
        <w:jc w:val="both"/>
        <w:rPr>
          <w:rFonts w:ascii="Times New Roman" w:hAnsi="Times New Roman"/>
          <w:sz w:val="24"/>
        </w:rPr>
      </w:pPr>
      <w:r>
        <w:rPr>
          <w:rFonts w:ascii="Times New Roman" w:hAnsi="Times New Roman"/>
          <w:sz w:val="24"/>
        </w:rPr>
        <w:t>Dai sopra richiamati profili</w:t>
      </w:r>
      <w:r w:rsidR="0016621E" w:rsidRPr="00BA08BB">
        <w:rPr>
          <w:rFonts w:ascii="Times New Roman" w:hAnsi="Times New Roman"/>
          <w:sz w:val="24"/>
        </w:rPr>
        <w:t xml:space="preserve"> emerge</w:t>
      </w:r>
      <w:r w:rsidR="009727CE" w:rsidRPr="00BA08BB">
        <w:rPr>
          <w:rFonts w:ascii="Times New Roman" w:hAnsi="Times New Roman"/>
          <w:sz w:val="24"/>
        </w:rPr>
        <w:t xml:space="preserve"> l’essenza della</w:t>
      </w:r>
      <w:r w:rsidR="00272CD3" w:rsidRPr="00BA08BB">
        <w:rPr>
          <w:rFonts w:ascii="Times New Roman" w:hAnsi="Times New Roman"/>
          <w:sz w:val="24"/>
        </w:rPr>
        <w:t xml:space="preserve"> collaborazione:</w:t>
      </w:r>
      <w:r w:rsidR="00106449" w:rsidRPr="00BA08BB">
        <w:rPr>
          <w:rFonts w:ascii="Times New Roman" w:hAnsi="Times New Roman"/>
          <w:sz w:val="24"/>
        </w:rPr>
        <w:t xml:space="preserve"> </w:t>
      </w:r>
      <w:r w:rsidR="007E4E63" w:rsidRPr="00BA08BB">
        <w:rPr>
          <w:rFonts w:ascii="Times New Roman" w:hAnsi="Times New Roman"/>
          <w:sz w:val="24"/>
        </w:rPr>
        <w:t>al</w:t>
      </w:r>
      <w:r w:rsidR="0016621E" w:rsidRPr="00BA08BB">
        <w:rPr>
          <w:rFonts w:ascii="Times New Roman" w:hAnsi="Times New Roman"/>
          <w:i/>
          <w:sz w:val="24"/>
        </w:rPr>
        <w:t xml:space="preserve"> </w:t>
      </w:r>
      <w:r w:rsidR="0016621E" w:rsidRPr="00BA08BB">
        <w:rPr>
          <w:rFonts w:ascii="Times New Roman" w:hAnsi="Times New Roman"/>
          <w:sz w:val="24"/>
        </w:rPr>
        <w:t xml:space="preserve">soggetto pubblico compete l’individuazione </w:t>
      </w:r>
      <w:r w:rsidR="007E4E63" w:rsidRPr="00BA08BB">
        <w:rPr>
          <w:rFonts w:ascii="Times New Roman" w:hAnsi="Times New Roman"/>
          <w:sz w:val="24"/>
        </w:rPr>
        <w:t>degli interessi</w:t>
      </w:r>
      <w:r w:rsidR="0016621E" w:rsidRPr="00BA08BB">
        <w:rPr>
          <w:rFonts w:ascii="Times New Roman" w:hAnsi="Times New Roman"/>
          <w:sz w:val="24"/>
        </w:rPr>
        <w:t xml:space="preserve"> da realizzare, la scelta dello strumento più</w:t>
      </w:r>
      <w:r w:rsidR="0020248F">
        <w:rPr>
          <w:rFonts w:ascii="Times New Roman" w:hAnsi="Times New Roman"/>
          <w:sz w:val="24"/>
        </w:rPr>
        <w:t xml:space="preserve"> adeguato per la realizzazione, la</w:t>
      </w:r>
      <w:r w:rsidR="0016621E" w:rsidRPr="00BA08BB">
        <w:rPr>
          <w:rFonts w:ascii="Times New Roman" w:hAnsi="Times New Roman"/>
          <w:sz w:val="24"/>
        </w:rPr>
        <w:t xml:space="preserve"> </w:t>
      </w:r>
      <w:r w:rsidR="00106449" w:rsidRPr="00BA08BB">
        <w:rPr>
          <w:rFonts w:ascii="Times New Roman" w:hAnsi="Times New Roman"/>
          <w:sz w:val="24"/>
        </w:rPr>
        <w:t>vigilanza e il controllo sul loro effettivo raggiungimento</w:t>
      </w:r>
      <w:r w:rsidR="0020248F">
        <w:rPr>
          <w:rFonts w:ascii="Times New Roman" w:hAnsi="Times New Roman"/>
          <w:sz w:val="24"/>
        </w:rPr>
        <w:t xml:space="preserve">, </w:t>
      </w:r>
      <w:r w:rsidR="00106449" w:rsidRPr="00BA08BB">
        <w:rPr>
          <w:rFonts w:ascii="Times New Roman" w:hAnsi="Times New Roman"/>
          <w:sz w:val="24"/>
        </w:rPr>
        <w:t xml:space="preserve">mentre all’operatore privato compete la messa a disposizione delle proprie capacità finanziarie e del complessivo </w:t>
      </w:r>
      <w:r w:rsidR="00106449" w:rsidRPr="00BA08BB">
        <w:rPr>
          <w:rFonts w:ascii="Times New Roman" w:hAnsi="Times New Roman"/>
          <w:i/>
          <w:sz w:val="24"/>
        </w:rPr>
        <w:t>know how</w:t>
      </w:r>
      <w:r w:rsidR="00106449" w:rsidRPr="00BA08BB">
        <w:rPr>
          <w:rFonts w:ascii="Times New Roman" w:hAnsi="Times New Roman"/>
          <w:sz w:val="24"/>
        </w:rPr>
        <w:t xml:space="preserve"> a fronte della quale gli viene riconosciuto il diritto di ritrarre utilità, mediante la disponibilità o lo sfruttamento economico dell’opera, attraverso le ordinarie fasi della sua realizzazione, trasformazione, manutenzione e gestione</w:t>
      </w:r>
      <w:r w:rsidR="00106449" w:rsidRPr="00BA08BB">
        <w:rPr>
          <w:rStyle w:val="Rimandonotaapidipagina"/>
          <w:rFonts w:ascii="Times New Roman" w:hAnsi="Times New Roman"/>
          <w:sz w:val="24"/>
        </w:rPr>
        <w:footnoteReference w:id="12"/>
      </w:r>
      <w:r w:rsidR="00106449" w:rsidRPr="00BA08BB">
        <w:rPr>
          <w:rFonts w:ascii="Times New Roman" w:hAnsi="Times New Roman"/>
          <w:sz w:val="24"/>
        </w:rPr>
        <w:t>.</w:t>
      </w:r>
    </w:p>
    <w:p w:rsidR="0016621E" w:rsidRPr="00BA08BB" w:rsidRDefault="0016621E" w:rsidP="00BA08BB">
      <w:pPr>
        <w:spacing w:line="480" w:lineRule="auto"/>
        <w:jc w:val="both"/>
        <w:rPr>
          <w:rFonts w:ascii="Times New Roman" w:hAnsi="Times New Roman"/>
          <w:sz w:val="24"/>
        </w:rPr>
      </w:pPr>
      <w:r w:rsidRPr="00BA08BB">
        <w:rPr>
          <w:rFonts w:ascii="Times New Roman" w:hAnsi="Times New Roman"/>
          <w:sz w:val="24"/>
        </w:rPr>
        <w:t xml:space="preserve">L’obbligazione che grava sul </w:t>
      </w:r>
      <w:r w:rsidRPr="00BA08BB">
        <w:rPr>
          <w:rFonts w:ascii="Times New Roman" w:hAnsi="Times New Roman"/>
          <w:i/>
          <w:sz w:val="24"/>
        </w:rPr>
        <w:t>partner</w:t>
      </w:r>
      <w:r w:rsidRPr="00BA08BB">
        <w:rPr>
          <w:rFonts w:ascii="Times New Roman" w:hAnsi="Times New Roman"/>
          <w:sz w:val="24"/>
        </w:rPr>
        <w:t xml:space="preserve"> privato non è un’obbligazione di mezzi, ma di risultato, in quanto l’interesse pubblico</w:t>
      </w:r>
      <w:r w:rsidR="00690597" w:rsidRPr="00BA08BB">
        <w:rPr>
          <w:rFonts w:ascii="Times New Roman" w:hAnsi="Times New Roman"/>
          <w:sz w:val="24"/>
        </w:rPr>
        <w:t>-unitamente a quello privato-</w:t>
      </w:r>
      <w:r w:rsidRPr="00BA08BB">
        <w:rPr>
          <w:rFonts w:ascii="Times New Roman" w:hAnsi="Times New Roman"/>
          <w:sz w:val="24"/>
        </w:rPr>
        <w:t xml:space="preserve"> viene soddisfatto solo attraverso una gestione </w:t>
      </w:r>
      <w:r w:rsidR="0020248F" w:rsidRPr="00BA08BB">
        <w:rPr>
          <w:rFonts w:ascii="Times New Roman" w:hAnsi="Times New Roman"/>
          <w:sz w:val="24"/>
        </w:rPr>
        <w:t>dell’opera o del servizio</w:t>
      </w:r>
      <w:r w:rsidR="0020248F">
        <w:rPr>
          <w:rFonts w:ascii="Times New Roman" w:hAnsi="Times New Roman"/>
          <w:sz w:val="24"/>
        </w:rPr>
        <w:t xml:space="preserve"> che sia efficiente sul piano giuridico,</w:t>
      </w:r>
      <w:r w:rsidR="0020248F" w:rsidRPr="0020248F">
        <w:rPr>
          <w:rFonts w:ascii="Times New Roman" w:hAnsi="Times New Roman"/>
          <w:sz w:val="24"/>
        </w:rPr>
        <w:t xml:space="preserve"> </w:t>
      </w:r>
      <w:r w:rsidR="0020248F">
        <w:rPr>
          <w:rFonts w:ascii="Times New Roman" w:hAnsi="Times New Roman"/>
          <w:sz w:val="24"/>
        </w:rPr>
        <w:t>in equilibrio su quello finanziario e remunerativa su quello economico</w:t>
      </w:r>
      <w:r w:rsidRPr="00BA08BB">
        <w:rPr>
          <w:rFonts w:ascii="Times New Roman" w:hAnsi="Times New Roman"/>
          <w:sz w:val="24"/>
        </w:rPr>
        <w:t>.</w:t>
      </w:r>
    </w:p>
    <w:p w:rsidR="007D768B" w:rsidRPr="00BA08BB" w:rsidRDefault="009727CE" w:rsidP="00BA08BB">
      <w:pPr>
        <w:spacing w:line="480" w:lineRule="auto"/>
        <w:jc w:val="both"/>
        <w:rPr>
          <w:rFonts w:ascii="Times New Roman" w:hAnsi="Times New Roman"/>
          <w:sz w:val="24"/>
        </w:rPr>
      </w:pPr>
      <w:r w:rsidRPr="00BA08BB">
        <w:rPr>
          <w:rFonts w:ascii="Times New Roman" w:hAnsi="Times New Roman"/>
          <w:sz w:val="24"/>
        </w:rPr>
        <w:t>Viene in tal modo superato il modello sinallagmatico di matrice civilistic</w:t>
      </w:r>
      <w:r w:rsidR="0016621E" w:rsidRPr="00BA08BB">
        <w:rPr>
          <w:rFonts w:ascii="Times New Roman" w:hAnsi="Times New Roman"/>
          <w:sz w:val="24"/>
        </w:rPr>
        <w:t>a</w:t>
      </w:r>
      <w:r w:rsidRPr="00BA08BB">
        <w:rPr>
          <w:rFonts w:ascii="Times New Roman" w:hAnsi="Times New Roman"/>
          <w:sz w:val="24"/>
        </w:rPr>
        <w:t xml:space="preserve"> del </w:t>
      </w:r>
      <w:r w:rsidRPr="00BA08BB">
        <w:rPr>
          <w:rFonts w:ascii="Times New Roman" w:hAnsi="Times New Roman"/>
          <w:i/>
          <w:sz w:val="24"/>
        </w:rPr>
        <w:t>do ut des</w:t>
      </w:r>
      <w:r w:rsidRPr="00BA08BB">
        <w:rPr>
          <w:rFonts w:ascii="Times New Roman" w:hAnsi="Times New Roman"/>
          <w:sz w:val="24"/>
        </w:rPr>
        <w:t xml:space="preserve"> propri</w:t>
      </w:r>
      <w:r w:rsidR="00756E78">
        <w:rPr>
          <w:rFonts w:ascii="Times New Roman" w:hAnsi="Times New Roman"/>
          <w:sz w:val="24"/>
        </w:rPr>
        <w:t xml:space="preserve">o </w:t>
      </w:r>
      <w:r w:rsidRPr="00BA08BB">
        <w:rPr>
          <w:rFonts w:ascii="Times New Roman" w:hAnsi="Times New Roman"/>
          <w:sz w:val="24"/>
        </w:rPr>
        <w:t>dell’appalto tradizionale</w:t>
      </w:r>
      <w:r w:rsidR="00277F89" w:rsidRPr="00BA08BB">
        <w:rPr>
          <w:rFonts w:ascii="Times New Roman" w:hAnsi="Times New Roman"/>
          <w:sz w:val="24"/>
        </w:rPr>
        <w:t>, a tutto vantaggio di una nuova concezione di remuneratività, tipica del modello concessorio di derivazione europea, che valorizza la capacità</w:t>
      </w:r>
      <w:r w:rsidR="00106449" w:rsidRPr="00BA08BB">
        <w:rPr>
          <w:rFonts w:ascii="Times New Roman" w:hAnsi="Times New Roman"/>
          <w:sz w:val="24"/>
        </w:rPr>
        <w:t xml:space="preserve"> </w:t>
      </w:r>
      <w:r w:rsidR="00277F89" w:rsidRPr="00BA08BB">
        <w:rPr>
          <w:rFonts w:ascii="Times New Roman" w:hAnsi="Times New Roman"/>
          <w:sz w:val="24"/>
        </w:rPr>
        <w:t>del</w:t>
      </w:r>
      <w:r w:rsidR="00106449" w:rsidRPr="00BA08BB">
        <w:rPr>
          <w:rFonts w:ascii="Times New Roman" w:hAnsi="Times New Roman"/>
          <w:sz w:val="24"/>
        </w:rPr>
        <w:t>l’opera di generare flussi di cassa positivi sufficie</w:t>
      </w:r>
      <w:r w:rsidR="007D768B" w:rsidRPr="00BA08BB">
        <w:rPr>
          <w:rFonts w:ascii="Times New Roman" w:hAnsi="Times New Roman"/>
          <w:sz w:val="24"/>
        </w:rPr>
        <w:t xml:space="preserve">nti a coprire i costi operativi. Tale impostazione ha immediate ricadute </w:t>
      </w:r>
      <w:r w:rsidR="00914C1A" w:rsidRPr="00BA08BB">
        <w:rPr>
          <w:rFonts w:ascii="Times New Roman" w:hAnsi="Times New Roman"/>
          <w:sz w:val="24"/>
        </w:rPr>
        <w:t>sulla</w:t>
      </w:r>
      <w:r w:rsidR="007D768B" w:rsidRPr="00BA08BB">
        <w:rPr>
          <w:rFonts w:ascii="Times New Roman" w:hAnsi="Times New Roman"/>
          <w:sz w:val="24"/>
        </w:rPr>
        <w:t xml:space="preserve"> gestione e su</w:t>
      </w:r>
      <w:r w:rsidR="0016621E" w:rsidRPr="00BA08BB">
        <w:rPr>
          <w:rFonts w:ascii="Times New Roman" w:hAnsi="Times New Roman"/>
          <w:sz w:val="24"/>
        </w:rPr>
        <w:t>l finanziamento dell’operazione: il ritorno economico dell’investimento</w:t>
      </w:r>
      <w:r w:rsidR="007D1DF5" w:rsidRPr="00BA08BB">
        <w:rPr>
          <w:rFonts w:ascii="Times New Roman" w:hAnsi="Times New Roman"/>
          <w:sz w:val="24"/>
        </w:rPr>
        <w:t>, infat</w:t>
      </w:r>
      <w:r w:rsidR="00BA3A73" w:rsidRPr="00BA08BB">
        <w:rPr>
          <w:rFonts w:ascii="Times New Roman" w:hAnsi="Times New Roman"/>
          <w:sz w:val="24"/>
        </w:rPr>
        <w:t>ti,</w:t>
      </w:r>
      <w:r w:rsidR="0016621E" w:rsidRPr="00BA08BB">
        <w:rPr>
          <w:rFonts w:ascii="Times New Roman" w:hAnsi="Times New Roman"/>
          <w:sz w:val="24"/>
        </w:rPr>
        <w:t xml:space="preserve"> è strettamente collegato</w:t>
      </w:r>
      <w:r w:rsidR="00BA3A73" w:rsidRPr="00BA08BB">
        <w:rPr>
          <w:rFonts w:ascii="Times New Roman" w:hAnsi="Times New Roman"/>
          <w:sz w:val="24"/>
        </w:rPr>
        <w:t xml:space="preserve"> ai ris</w:t>
      </w:r>
      <w:r w:rsidR="00914C1A" w:rsidRPr="00BA08BB">
        <w:rPr>
          <w:rFonts w:ascii="Times New Roman" w:hAnsi="Times New Roman"/>
          <w:sz w:val="24"/>
        </w:rPr>
        <w:t>ultati della</w:t>
      </w:r>
      <w:r w:rsidR="0016621E" w:rsidRPr="00BA08BB">
        <w:rPr>
          <w:rFonts w:ascii="Times New Roman" w:hAnsi="Times New Roman"/>
          <w:sz w:val="24"/>
        </w:rPr>
        <w:t xml:space="preserve"> gestione</w:t>
      </w:r>
      <w:r w:rsidR="00BA3A73" w:rsidRPr="00BA08BB">
        <w:rPr>
          <w:rFonts w:ascii="Times New Roman" w:hAnsi="Times New Roman"/>
          <w:sz w:val="24"/>
        </w:rPr>
        <w:t>.</w:t>
      </w:r>
    </w:p>
    <w:p w:rsidR="00996022" w:rsidRDefault="007D768B" w:rsidP="00BA08BB">
      <w:pPr>
        <w:spacing w:line="480" w:lineRule="auto"/>
        <w:jc w:val="both"/>
        <w:rPr>
          <w:rFonts w:ascii="Times New Roman" w:hAnsi="Times New Roman"/>
          <w:sz w:val="24"/>
        </w:rPr>
      </w:pPr>
      <w:r w:rsidRPr="00BA08BB">
        <w:rPr>
          <w:rFonts w:ascii="Times New Roman" w:hAnsi="Times New Roman"/>
          <w:sz w:val="24"/>
        </w:rPr>
        <w:t>Per un verso</w:t>
      </w:r>
      <w:r w:rsidR="00690597" w:rsidRPr="00BA08BB">
        <w:rPr>
          <w:rFonts w:ascii="Times New Roman" w:hAnsi="Times New Roman"/>
          <w:sz w:val="24"/>
        </w:rPr>
        <w:t>,</w:t>
      </w:r>
      <w:r w:rsidR="00BA3A73" w:rsidRPr="00BA08BB">
        <w:rPr>
          <w:rFonts w:ascii="Times New Roman" w:hAnsi="Times New Roman"/>
          <w:sz w:val="24"/>
        </w:rPr>
        <w:t xml:space="preserve"> </w:t>
      </w:r>
      <w:r w:rsidRPr="00BA08BB">
        <w:rPr>
          <w:rFonts w:ascii="Times New Roman" w:hAnsi="Times New Roman"/>
          <w:sz w:val="24"/>
        </w:rPr>
        <w:t>l’operatore economico ha interesse a garantire l’equilibrio economico finanziario e la remuneratività della gestione per l’intera durata del contratto, a differenza di quanto accade</w:t>
      </w:r>
      <w:r w:rsidR="00BA3A73" w:rsidRPr="00BA08BB">
        <w:rPr>
          <w:rFonts w:ascii="Times New Roman" w:hAnsi="Times New Roman"/>
          <w:sz w:val="24"/>
        </w:rPr>
        <w:t xml:space="preserve"> nell’appalto</w:t>
      </w:r>
      <w:r w:rsidRPr="00BA08BB">
        <w:rPr>
          <w:rFonts w:ascii="Times New Roman" w:hAnsi="Times New Roman"/>
          <w:sz w:val="24"/>
        </w:rPr>
        <w:t xml:space="preserve"> </w:t>
      </w:r>
      <w:r w:rsidR="00BA3A73" w:rsidRPr="00BA08BB">
        <w:rPr>
          <w:rFonts w:ascii="Times New Roman" w:hAnsi="Times New Roman"/>
          <w:sz w:val="24"/>
        </w:rPr>
        <w:t>ove l’interesse si</w:t>
      </w:r>
      <w:r w:rsidRPr="00BA08BB">
        <w:rPr>
          <w:rFonts w:ascii="Times New Roman" w:hAnsi="Times New Roman"/>
          <w:sz w:val="24"/>
        </w:rPr>
        <w:t xml:space="preserve"> risolve e si esaurisce nella mera realizzazione dell’</w:t>
      </w:r>
      <w:r w:rsidR="002763B8" w:rsidRPr="00BA08BB">
        <w:rPr>
          <w:rFonts w:ascii="Times New Roman" w:hAnsi="Times New Roman"/>
          <w:sz w:val="24"/>
        </w:rPr>
        <w:t>opera o fornitura del servizi</w:t>
      </w:r>
      <w:r w:rsidRPr="00BA08BB">
        <w:rPr>
          <w:rFonts w:ascii="Times New Roman" w:hAnsi="Times New Roman"/>
          <w:sz w:val="24"/>
        </w:rPr>
        <w:t xml:space="preserve">o a fronte di un corrispettivo </w:t>
      </w:r>
      <w:r w:rsidR="00BA3A73" w:rsidRPr="00BA08BB">
        <w:rPr>
          <w:rFonts w:ascii="Times New Roman" w:hAnsi="Times New Roman"/>
          <w:sz w:val="24"/>
        </w:rPr>
        <w:t>che comunque verrà pagato</w:t>
      </w:r>
      <w:r w:rsidRPr="00BA08BB">
        <w:rPr>
          <w:rFonts w:ascii="Times New Roman" w:hAnsi="Times New Roman"/>
          <w:sz w:val="24"/>
        </w:rPr>
        <w:t xml:space="preserve">; per altro verso, </w:t>
      </w:r>
      <w:r w:rsidR="00BA3A73" w:rsidRPr="00BA08BB">
        <w:rPr>
          <w:rFonts w:ascii="Times New Roman" w:hAnsi="Times New Roman"/>
          <w:sz w:val="24"/>
        </w:rPr>
        <w:t>il contratto in questione rappresenta un peculiare strumento</w:t>
      </w:r>
      <w:r w:rsidRPr="00BA08BB">
        <w:rPr>
          <w:rFonts w:ascii="Times New Roman" w:hAnsi="Times New Roman"/>
          <w:sz w:val="24"/>
        </w:rPr>
        <w:t xml:space="preserve"> </w:t>
      </w:r>
      <w:r w:rsidR="00BA3A73" w:rsidRPr="00BA08BB">
        <w:rPr>
          <w:rFonts w:ascii="Times New Roman" w:hAnsi="Times New Roman"/>
          <w:sz w:val="24"/>
        </w:rPr>
        <w:t xml:space="preserve">di </w:t>
      </w:r>
      <w:r w:rsidR="00756E78">
        <w:rPr>
          <w:rFonts w:ascii="Times New Roman" w:hAnsi="Times New Roman"/>
          <w:sz w:val="24"/>
        </w:rPr>
        <w:t>finanziamento di un’</w:t>
      </w:r>
      <w:r w:rsidRPr="00BA08BB">
        <w:rPr>
          <w:rFonts w:ascii="Times New Roman" w:hAnsi="Times New Roman"/>
          <w:sz w:val="24"/>
        </w:rPr>
        <w:t>opera pubblica</w:t>
      </w:r>
      <w:r w:rsidR="00BA3A73" w:rsidRPr="00BA08BB">
        <w:rPr>
          <w:rFonts w:ascii="Times New Roman" w:hAnsi="Times New Roman"/>
          <w:sz w:val="24"/>
        </w:rPr>
        <w:t>, non più fondato sul merito creditizio del privato,</w:t>
      </w:r>
      <w:r w:rsidRPr="00BA08BB">
        <w:rPr>
          <w:rFonts w:ascii="Times New Roman" w:hAnsi="Times New Roman"/>
          <w:sz w:val="24"/>
        </w:rPr>
        <w:t xml:space="preserve"> ma sulla valenza tecnico - economica del progetto da realizzare</w:t>
      </w:r>
      <w:r w:rsidRPr="00BA08BB">
        <w:rPr>
          <w:rStyle w:val="Rimandonotaapidipagina"/>
          <w:rFonts w:ascii="Times New Roman" w:hAnsi="Times New Roman"/>
          <w:sz w:val="24"/>
        </w:rPr>
        <w:footnoteReference w:id="13"/>
      </w:r>
      <w:r w:rsidRPr="00BA08BB">
        <w:rPr>
          <w:rFonts w:ascii="Times New Roman" w:hAnsi="Times New Roman"/>
          <w:sz w:val="24"/>
        </w:rPr>
        <w:t>.</w:t>
      </w:r>
      <w:r w:rsidR="007D1DF5" w:rsidRPr="00BA08BB">
        <w:rPr>
          <w:rFonts w:ascii="Times New Roman" w:hAnsi="Times New Roman"/>
          <w:sz w:val="24"/>
        </w:rPr>
        <w:t xml:space="preserve"> </w:t>
      </w:r>
      <w:r w:rsidR="00BA3A73" w:rsidRPr="00BA08BB">
        <w:rPr>
          <w:rFonts w:ascii="Times New Roman" w:hAnsi="Times New Roman"/>
          <w:sz w:val="24"/>
        </w:rPr>
        <w:t>Proprio per agevolare l’ottenimento del finanziamento dell’opera, i</w:t>
      </w:r>
      <w:r w:rsidR="002763B8" w:rsidRPr="00BA08BB">
        <w:rPr>
          <w:rFonts w:ascii="Times New Roman" w:hAnsi="Times New Roman"/>
          <w:sz w:val="24"/>
        </w:rPr>
        <w:t xml:space="preserve"> bandi per le concessioni, lo schema di contratto e il piano economico finanziario </w:t>
      </w:r>
      <w:r w:rsidR="00BA3A73" w:rsidRPr="00BA08BB">
        <w:rPr>
          <w:rFonts w:ascii="Times New Roman" w:hAnsi="Times New Roman"/>
          <w:sz w:val="24"/>
        </w:rPr>
        <w:t>devono essere definiti</w:t>
      </w:r>
      <w:r w:rsidR="002763B8" w:rsidRPr="00BA08BB">
        <w:rPr>
          <w:rFonts w:ascii="Times New Roman" w:hAnsi="Times New Roman"/>
          <w:sz w:val="24"/>
        </w:rPr>
        <w:t xml:space="preserve"> in modo da assicurare adeguati livelli di bancabilità (art</w:t>
      </w:r>
      <w:r w:rsidR="00BA3A73" w:rsidRPr="00BA08BB">
        <w:rPr>
          <w:rFonts w:ascii="Times New Roman" w:hAnsi="Times New Roman"/>
          <w:sz w:val="24"/>
        </w:rPr>
        <w:t>.</w:t>
      </w:r>
      <w:r w:rsidR="002763B8" w:rsidRPr="00BA08BB">
        <w:rPr>
          <w:rFonts w:ascii="Times New Roman" w:hAnsi="Times New Roman"/>
          <w:sz w:val="24"/>
        </w:rPr>
        <w:t xml:space="preserve"> 1</w:t>
      </w:r>
      <w:r w:rsidR="00BA3A73" w:rsidRPr="00BA08BB">
        <w:rPr>
          <w:rFonts w:ascii="Times New Roman" w:hAnsi="Times New Roman"/>
          <w:sz w:val="24"/>
        </w:rPr>
        <w:t>65</w:t>
      </w:r>
      <w:r w:rsidR="002763B8" w:rsidRPr="00BA08BB">
        <w:rPr>
          <w:rFonts w:ascii="Times New Roman" w:hAnsi="Times New Roman"/>
          <w:sz w:val="24"/>
        </w:rPr>
        <w:t xml:space="preserve"> comma 3 del codice).</w:t>
      </w:r>
    </w:p>
    <w:p w:rsidR="007D1DF5" w:rsidRPr="00BA08BB" w:rsidRDefault="007D1DF5" w:rsidP="00BA08BB">
      <w:pPr>
        <w:spacing w:line="480" w:lineRule="auto"/>
        <w:jc w:val="both"/>
        <w:rPr>
          <w:rFonts w:ascii="Times New Roman" w:hAnsi="Times New Roman"/>
          <w:sz w:val="24"/>
        </w:rPr>
      </w:pPr>
      <w:r w:rsidRPr="00BA08BB">
        <w:rPr>
          <w:rFonts w:ascii="Times New Roman" w:hAnsi="Times New Roman"/>
          <w:sz w:val="24"/>
        </w:rPr>
        <w:t>Il sopra indicato collegamento tra investimento e gestione impone l’allocazione in capo al privato dei rischi connessi allo sfruttamento economico dell’opera o del servizio.</w:t>
      </w:r>
      <w:r w:rsidR="00690597" w:rsidRPr="00BA08BB">
        <w:rPr>
          <w:rFonts w:ascii="Times New Roman" w:hAnsi="Times New Roman"/>
          <w:sz w:val="24"/>
        </w:rPr>
        <w:t xml:space="preserve"> Il rischio della gestione è intrinseco in un’operazione di partenariato pubblico privato e ne </w:t>
      </w:r>
      <w:r w:rsidR="00756E78">
        <w:rPr>
          <w:rFonts w:ascii="Times New Roman" w:hAnsi="Times New Roman"/>
          <w:sz w:val="24"/>
        </w:rPr>
        <w:t>caratterizza</w:t>
      </w:r>
      <w:r w:rsidR="00690597" w:rsidRPr="00BA08BB">
        <w:rPr>
          <w:rFonts w:ascii="Times New Roman" w:hAnsi="Times New Roman"/>
          <w:sz w:val="24"/>
        </w:rPr>
        <w:t xml:space="preserve"> la causa, sia dal punto di vista astratto (alla luce del già richiamato disposto dell’art</w:t>
      </w:r>
      <w:r w:rsidR="00756E78">
        <w:rPr>
          <w:rFonts w:ascii="Times New Roman" w:hAnsi="Times New Roman"/>
          <w:sz w:val="24"/>
        </w:rPr>
        <w:t>.</w:t>
      </w:r>
      <w:r w:rsidR="00690597" w:rsidRPr="00BA08BB">
        <w:rPr>
          <w:rFonts w:ascii="Times New Roman" w:hAnsi="Times New Roman"/>
          <w:sz w:val="24"/>
        </w:rPr>
        <w:t xml:space="preserve"> 180 del codice) sia dal punto di vista concreto: se il privato non assume il rischio della gestione il contratto non potrà essere qualificato come PPP</w:t>
      </w:r>
      <w:r w:rsidR="00996022">
        <w:rPr>
          <w:rFonts w:ascii="Times New Roman" w:hAnsi="Times New Roman"/>
          <w:sz w:val="24"/>
        </w:rPr>
        <w:t>C</w:t>
      </w:r>
      <w:r w:rsidR="00690597" w:rsidRPr="00BA08BB">
        <w:rPr>
          <w:rFonts w:ascii="Times New Roman" w:hAnsi="Times New Roman"/>
          <w:sz w:val="24"/>
        </w:rPr>
        <w:t>, con tutte le ricadute anche in tema di contabilizzazione (</w:t>
      </w:r>
      <w:r w:rsidR="00690597" w:rsidRPr="00BA08BB">
        <w:rPr>
          <w:rFonts w:ascii="Times New Roman" w:hAnsi="Times New Roman"/>
          <w:i/>
          <w:sz w:val="24"/>
        </w:rPr>
        <w:t>on balance</w:t>
      </w:r>
      <w:r w:rsidR="00690597" w:rsidRPr="00BA08BB">
        <w:rPr>
          <w:rFonts w:ascii="Times New Roman" w:hAnsi="Times New Roman"/>
          <w:sz w:val="24"/>
        </w:rPr>
        <w:t>) nel bilancio pubblico</w:t>
      </w:r>
      <w:r w:rsidR="00EB052E">
        <w:rPr>
          <w:rFonts w:ascii="Times New Roman" w:hAnsi="Times New Roman"/>
          <w:sz w:val="24"/>
        </w:rPr>
        <w:t xml:space="preserve"> dell’operazione.</w:t>
      </w:r>
      <w:r w:rsidR="00690597" w:rsidRPr="00BA08BB">
        <w:rPr>
          <w:rStyle w:val="Rimandonotaapidipagina"/>
          <w:rFonts w:ascii="Times New Roman" w:hAnsi="Times New Roman"/>
          <w:sz w:val="24"/>
        </w:rPr>
        <w:footnoteReference w:id="14"/>
      </w:r>
    </w:p>
    <w:p w:rsidR="00317751" w:rsidRPr="00BA08BB" w:rsidRDefault="00D963EB" w:rsidP="00BA08BB">
      <w:pPr>
        <w:spacing w:line="480" w:lineRule="auto"/>
        <w:jc w:val="both"/>
        <w:rPr>
          <w:rFonts w:ascii="Times New Roman" w:hAnsi="Times New Roman"/>
          <w:sz w:val="24"/>
        </w:rPr>
      </w:pPr>
      <w:r w:rsidRPr="00BA08BB">
        <w:rPr>
          <w:rFonts w:ascii="Times New Roman" w:hAnsi="Times New Roman"/>
          <w:sz w:val="24"/>
        </w:rPr>
        <w:t>In particolare, il modello di cooperazione in esame esige l’allocazione in capo al privato</w:t>
      </w:r>
      <w:r w:rsidR="007D1DF5" w:rsidRPr="00BA08BB">
        <w:rPr>
          <w:rFonts w:ascii="Times New Roman" w:hAnsi="Times New Roman"/>
          <w:sz w:val="24"/>
        </w:rPr>
        <w:t>,</w:t>
      </w:r>
      <w:r w:rsidR="00B13809" w:rsidRPr="00BA08BB">
        <w:rPr>
          <w:rFonts w:ascii="Times New Roman" w:hAnsi="Times New Roman"/>
          <w:sz w:val="24"/>
        </w:rPr>
        <w:t xml:space="preserve"> oltre </w:t>
      </w:r>
      <w:r w:rsidRPr="00BA08BB">
        <w:rPr>
          <w:rFonts w:ascii="Times New Roman" w:hAnsi="Times New Roman"/>
          <w:sz w:val="24"/>
        </w:rPr>
        <w:t xml:space="preserve">che del </w:t>
      </w:r>
      <w:r w:rsidR="00B13809" w:rsidRPr="00BA08BB">
        <w:rPr>
          <w:rFonts w:ascii="Times New Roman" w:hAnsi="Times New Roman"/>
          <w:sz w:val="24"/>
        </w:rPr>
        <w:t xml:space="preserve">rischio di costruzione, anche </w:t>
      </w:r>
      <w:r w:rsidRPr="00BA08BB">
        <w:rPr>
          <w:rFonts w:ascii="Times New Roman" w:hAnsi="Times New Roman"/>
          <w:sz w:val="24"/>
        </w:rPr>
        <w:t>del</w:t>
      </w:r>
      <w:r w:rsidR="00B13809" w:rsidRPr="00BA08BB">
        <w:rPr>
          <w:rFonts w:ascii="Times New Roman" w:hAnsi="Times New Roman"/>
          <w:sz w:val="24"/>
        </w:rPr>
        <w:t xml:space="preserve"> rischio di disponibilità o, nei casi di attività redditizia verso l’e</w:t>
      </w:r>
      <w:r w:rsidR="007D1DF5" w:rsidRPr="00BA08BB">
        <w:rPr>
          <w:rFonts w:ascii="Times New Roman" w:hAnsi="Times New Roman"/>
          <w:sz w:val="24"/>
        </w:rPr>
        <w:t xml:space="preserve">sterno, </w:t>
      </w:r>
      <w:r w:rsidRPr="00BA08BB">
        <w:rPr>
          <w:rFonts w:ascii="Times New Roman" w:hAnsi="Times New Roman"/>
          <w:sz w:val="24"/>
        </w:rPr>
        <w:t>del</w:t>
      </w:r>
      <w:r w:rsidR="007D1DF5" w:rsidRPr="00BA08BB">
        <w:rPr>
          <w:rFonts w:ascii="Times New Roman" w:hAnsi="Times New Roman"/>
          <w:sz w:val="24"/>
        </w:rPr>
        <w:t xml:space="preserve"> rischio di domanda </w:t>
      </w:r>
      <w:r w:rsidR="00B13809" w:rsidRPr="00BA08BB">
        <w:rPr>
          <w:rFonts w:ascii="Times New Roman" w:hAnsi="Times New Roman"/>
          <w:sz w:val="24"/>
        </w:rPr>
        <w:t>dei servizi resi (art</w:t>
      </w:r>
      <w:r w:rsidR="007D1DF5" w:rsidRPr="00BA08BB">
        <w:rPr>
          <w:rFonts w:ascii="Times New Roman" w:hAnsi="Times New Roman"/>
          <w:sz w:val="24"/>
        </w:rPr>
        <w:t>.</w:t>
      </w:r>
      <w:r w:rsidR="00B13809" w:rsidRPr="00BA08BB">
        <w:rPr>
          <w:rFonts w:ascii="Times New Roman" w:hAnsi="Times New Roman"/>
          <w:sz w:val="24"/>
        </w:rPr>
        <w:t xml:space="preserve"> 180 comma 3 </w:t>
      </w:r>
      <w:r w:rsidR="002763B8" w:rsidRPr="00BA08BB">
        <w:rPr>
          <w:rFonts w:ascii="Times New Roman" w:hAnsi="Times New Roman"/>
          <w:sz w:val="24"/>
        </w:rPr>
        <w:t xml:space="preserve">del </w:t>
      </w:r>
      <w:r w:rsidR="00B13809" w:rsidRPr="00BA08BB">
        <w:rPr>
          <w:rFonts w:ascii="Times New Roman" w:hAnsi="Times New Roman"/>
          <w:sz w:val="24"/>
        </w:rPr>
        <w:t>codice).</w:t>
      </w:r>
      <w:r w:rsidR="00317751" w:rsidRPr="00BA08BB">
        <w:rPr>
          <w:rFonts w:ascii="Times New Roman" w:hAnsi="Times New Roman"/>
          <w:sz w:val="24"/>
        </w:rPr>
        <w:t xml:space="preserve"> </w:t>
      </w:r>
    </w:p>
    <w:p w:rsidR="00B13809" w:rsidRPr="00BA08BB" w:rsidRDefault="00996022" w:rsidP="00BA08BB">
      <w:pPr>
        <w:spacing w:line="480" w:lineRule="auto"/>
        <w:jc w:val="both"/>
        <w:rPr>
          <w:rFonts w:ascii="Times New Roman" w:hAnsi="Times New Roman"/>
          <w:sz w:val="24"/>
        </w:rPr>
      </w:pPr>
      <w:r>
        <w:rPr>
          <w:rFonts w:ascii="Times New Roman" w:hAnsi="Times New Roman"/>
          <w:sz w:val="24"/>
        </w:rPr>
        <w:t xml:space="preserve">E’ </w:t>
      </w:r>
      <w:r w:rsidR="00317751" w:rsidRPr="00BA08BB">
        <w:rPr>
          <w:rFonts w:ascii="Times New Roman" w:hAnsi="Times New Roman"/>
          <w:sz w:val="24"/>
        </w:rPr>
        <w:t xml:space="preserve">proprio il trasferimento del rischio </w:t>
      </w:r>
      <w:r w:rsidR="00D963EB" w:rsidRPr="00BA08BB">
        <w:rPr>
          <w:rFonts w:ascii="Times New Roman" w:hAnsi="Times New Roman"/>
          <w:sz w:val="24"/>
        </w:rPr>
        <w:t>dal soggetto pubblico a quello privato</w:t>
      </w:r>
      <w:r w:rsidR="00317751" w:rsidRPr="00BA08BB">
        <w:rPr>
          <w:rFonts w:ascii="Times New Roman" w:hAnsi="Times New Roman"/>
          <w:sz w:val="24"/>
        </w:rPr>
        <w:t xml:space="preserve"> l’elemento che differenzia</w:t>
      </w:r>
      <w:r w:rsidR="00CE4F17" w:rsidRPr="00BA08BB">
        <w:rPr>
          <w:rFonts w:ascii="Times New Roman" w:hAnsi="Times New Roman"/>
          <w:sz w:val="24"/>
        </w:rPr>
        <w:t>, anche sul piano causale,</w:t>
      </w:r>
      <w:r w:rsidR="00317751" w:rsidRPr="00BA08BB">
        <w:rPr>
          <w:rFonts w:ascii="Times New Roman" w:hAnsi="Times New Roman"/>
          <w:sz w:val="24"/>
        </w:rPr>
        <w:t xml:space="preserve"> la concessione e le altre forme di partenariato</w:t>
      </w:r>
      <w:r w:rsidR="007D1DF5" w:rsidRPr="00BA08BB">
        <w:rPr>
          <w:rFonts w:ascii="Times New Roman" w:hAnsi="Times New Roman"/>
          <w:sz w:val="24"/>
        </w:rPr>
        <w:t xml:space="preserve"> dall’appalto</w:t>
      </w:r>
      <w:r w:rsidR="00317751" w:rsidRPr="00BA08BB">
        <w:rPr>
          <w:rFonts w:ascii="Times New Roman" w:hAnsi="Times New Roman"/>
          <w:sz w:val="24"/>
        </w:rPr>
        <w:t xml:space="preserve">. </w:t>
      </w:r>
      <w:r w:rsidR="00EB052E">
        <w:rPr>
          <w:rFonts w:ascii="Times New Roman" w:hAnsi="Times New Roman"/>
          <w:sz w:val="24"/>
        </w:rPr>
        <w:t>Come chiarito dalla</w:t>
      </w:r>
      <w:r w:rsidR="004B4C6A">
        <w:rPr>
          <w:rFonts w:ascii="Times New Roman" w:hAnsi="Times New Roman"/>
          <w:sz w:val="24"/>
        </w:rPr>
        <w:t xml:space="preserve"> Corte di Giustizia, infatti, si </w:t>
      </w:r>
      <w:r w:rsidR="00EB052E">
        <w:rPr>
          <w:rFonts w:ascii="Times New Roman" w:hAnsi="Times New Roman"/>
          <w:sz w:val="24"/>
        </w:rPr>
        <w:t>è</w:t>
      </w:r>
      <w:r w:rsidR="00317751" w:rsidRPr="00BA08BB">
        <w:rPr>
          <w:rFonts w:ascii="Times New Roman" w:hAnsi="Times New Roman"/>
          <w:sz w:val="24"/>
        </w:rPr>
        <w:t xml:space="preserve"> in presenza di una concessione di servizi allorquando le modalità di remunerazione pattuite consistono nel diritto del prestatore di sfruttare la propria</w:t>
      </w:r>
      <w:r w:rsidR="00EB052E">
        <w:rPr>
          <w:rFonts w:ascii="Times New Roman" w:hAnsi="Times New Roman"/>
          <w:sz w:val="24"/>
        </w:rPr>
        <w:t xml:space="preserve"> prestazione e</w:t>
      </w:r>
      <w:r w:rsidR="00317751" w:rsidRPr="00BA08BB">
        <w:rPr>
          <w:rFonts w:ascii="Times New Roman" w:hAnsi="Times New Roman"/>
          <w:sz w:val="24"/>
        </w:rPr>
        <w:t xml:space="preserve"> implicano che quest’ultimo assuma il rischio legato alla gestione</w:t>
      </w:r>
      <w:r w:rsidR="007C7CDF">
        <w:rPr>
          <w:rFonts w:ascii="Times New Roman" w:hAnsi="Times New Roman"/>
          <w:sz w:val="24"/>
        </w:rPr>
        <w:t xml:space="preserve"> dei servizi in questione</w:t>
      </w:r>
      <w:r>
        <w:rPr>
          <w:rStyle w:val="Rimandonotaapidipagina"/>
          <w:rFonts w:ascii="Times New Roman" w:hAnsi="Times New Roman"/>
          <w:sz w:val="24"/>
        </w:rPr>
        <w:footnoteReference w:id="15"/>
      </w:r>
      <w:r w:rsidR="00317751" w:rsidRPr="00BA08BB">
        <w:rPr>
          <w:rFonts w:ascii="Times New Roman" w:hAnsi="Times New Roman"/>
          <w:sz w:val="24"/>
        </w:rPr>
        <w:t xml:space="preserve">. </w:t>
      </w:r>
    </w:p>
    <w:p w:rsidR="002763B8" w:rsidRPr="00BA08BB" w:rsidRDefault="00290ED3" w:rsidP="00BA08BB">
      <w:pPr>
        <w:spacing w:line="480" w:lineRule="auto"/>
        <w:jc w:val="both"/>
        <w:rPr>
          <w:rFonts w:ascii="Times New Roman" w:hAnsi="Times New Roman"/>
          <w:sz w:val="24"/>
        </w:rPr>
      </w:pPr>
      <w:r w:rsidRPr="00BA08BB">
        <w:rPr>
          <w:rFonts w:ascii="Times New Roman" w:hAnsi="Times New Roman"/>
          <w:sz w:val="24"/>
        </w:rPr>
        <w:t xml:space="preserve">In linea con le indicazioni </w:t>
      </w:r>
      <w:r w:rsidR="0007186A">
        <w:rPr>
          <w:rFonts w:ascii="Times New Roman" w:hAnsi="Times New Roman"/>
          <w:sz w:val="24"/>
        </w:rPr>
        <w:t>della Corte di Giustizia</w:t>
      </w:r>
      <w:r w:rsidR="00EB052E">
        <w:rPr>
          <w:rFonts w:ascii="Times New Roman" w:hAnsi="Times New Roman"/>
          <w:sz w:val="24"/>
        </w:rPr>
        <w:t>,</w:t>
      </w:r>
      <w:r w:rsidRPr="00BA08BB">
        <w:rPr>
          <w:rFonts w:ascii="Times New Roman" w:hAnsi="Times New Roman"/>
          <w:sz w:val="24"/>
        </w:rPr>
        <w:t xml:space="preserve"> l’art. </w:t>
      </w:r>
      <w:r w:rsidR="002763B8" w:rsidRPr="00BA08BB">
        <w:rPr>
          <w:rFonts w:ascii="Times New Roman" w:hAnsi="Times New Roman"/>
          <w:sz w:val="24"/>
        </w:rPr>
        <w:t>5 comma 2 della Direttiva 2014/23/UE sull’aggiudicazione dei contratti di concessione</w:t>
      </w:r>
      <w:r w:rsidR="008B17D4" w:rsidRPr="00BA08BB">
        <w:rPr>
          <w:rFonts w:ascii="Times New Roman" w:hAnsi="Times New Roman"/>
          <w:sz w:val="24"/>
        </w:rPr>
        <w:t xml:space="preserve"> sancisce che la concessione, sia essa di lavori o servizi, comporta il trasferimento al concessionario di un rischio operativo legato alla gestione dei lavori o dei servizi, comprendente un rischio sul lato della </w:t>
      </w:r>
      <w:r w:rsidR="007C7CDF">
        <w:rPr>
          <w:rFonts w:ascii="Times New Roman" w:hAnsi="Times New Roman"/>
          <w:sz w:val="24"/>
        </w:rPr>
        <w:t>domanda o sul lato dell’offerta</w:t>
      </w:r>
      <w:r w:rsidR="008B17D4" w:rsidRPr="00BA08BB">
        <w:rPr>
          <w:rFonts w:ascii="Times New Roman" w:hAnsi="Times New Roman"/>
          <w:sz w:val="24"/>
        </w:rPr>
        <w:t xml:space="preserve"> o entrambi</w:t>
      </w:r>
      <w:r w:rsidR="007C7CDF">
        <w:rPr>
          <w:rFonts w:ascii="Times New Roman" w:hAnsi="Times New Roman"/>
          <w:sz w:val="24"/>
        </w:rPr>
        <w:t>,</w:t>
      </w:r>
      <w:r w:rsidR="008B17D4" w:rsidRPr="00BA08BB">
        <w:rPr>
          <w:rFonts w:ascii="Times New Roman" w:hAnsi="Times New Roman"/>
          <w:sz w:val="24"/>
        </w:rPr>
        <w:t xml:space="preserve"> e che si considera che il concessionario assuma il rischio operativo nel caso in cui, in condizioni operative normali, non sia garantito il recupero degli investimenti effettuati o dei costi sostenuti per la gestione dei lavori o dei servizi oggetto della concessione, con una reale esposizione alle fluttuazioni del mercato tale per cui ogni potenziale perdita stimata subita dal concessionario non sia puramente nominale o trascurabile</w:t>
      </w:r>
      <w:r w:rsidRPr="00BA08BB">
        <w:rPr>
          <w:rFonts w:ascii="Times New Roman" w:hAnsi="Times New Roman"/>
          <w:sz w:val="24"/>
        </w:rPr>
        <w:t>.</w:t>
      </w:r>
    </w:p>
    <w:p w:rsidR="00A8264F" w:rsidRPr="00BA08BB" w:rsidRDefault="00B13809" w:rsidP="00BA08BB">
      <w:pPr>
        <w:spacing w:line="480" w:lineRule="auto"/>
        <w:jc w:val="both"/>
        <w:rPr>
          <w:rFonts w:ascii="Times New Roman" w:hAnsi="Times New Roman"/>
          <w:sz w:val="24"/>
        </w:rPr>
      </w:pPr>
      <w:r w:rsidRPr="00BA08BB">
        <w:rPr>
          <w:rFonts w:ascii="Times New Roman" w:hAnsi="Times New Roman"/>
          <w:sz w:val="24"/>
        </w:rPr>
        <w:t>La corretta allocazione dei rischi nella determinazione del regolamento contrattuale è, inoltre, fondamentale per la corretta redazione del piano economico finanziario e, qu</w:t>
      </w:r>
      <w:r w:rsidR="00B2250C" w:rsidRPr="00BA08BB">
        <w:rPr>
          <w:rFonts w:ascii="Times New Roman" w:hAnsi="Times New Roman"/>
          <w:sz w:val="24"/>
        </w:rPr>
        <w:t>indi, per la sostenib</w:t>
      </w:r>
      <w:r w:rsidRPr="00BA08BB">
        <w:rPr>
          <w:rFonts w:ascii="Times New Roman" w:hAnsi="Times New Roman"/>
          <w:sz w:val="24"/>
        </w:rPr>
        <w:t xml:space="preserve">ilità a medio e lungo termine dell’operazione, in funzione dell’ammortamento dell’investimento e </w:t>
      </w:r>
      <w:r w:rsidR="00B2250C" w:rsidRPr="00BA08BB">
        <w:rPr>
          <w:rFonts w:ascii="Times New Roman" w:hAnsi="Times New Roman"/>
          <w:sz w:val="24"/>
        </w:rPr>
        <w:t>del rimborso del finanziamento</w:t>
      </w:r>
      <w:r w:rsidR="00A8264F" w:rsidRPr="00BA08BB">
        <w:rPr>
          <w:rFonts w:ascii="Times New Roman" w:hAnsi="Times New Roman"/>
          <w:sz w:val="24"/>
        </w:rPr>
        <w:t>.</w:t>
      </w:r>
    </w:p>
    <w:p w:rsidR="00B2250C" w:rsidRPr="00BA08BB" w:rsidRDefault="00A8264F" w:rsidP="00BA08BB">
      <w:pPr>
        <w:spacing w:line="480" w:lineRule="auto"/>
        <w:jc w:val="both"/>
        <w:rPr>
          <w:rFonts w:ascii="Times New Roman" w:hAnsi="Times New Roman"/>
          <w:sz w:val="24"/>
        </w:rPr>
      </w:pPr>
      <w:r w:rsidRPr="00BA08BB">
        <w:rPr>
          <w:rFonts w:ascii="Times New Roman" w:hAnsi="Times New Roman"/>
          <w:sz w:val="24"/>
        </w:rPr>
        <w:t xml:space="preserve">Allocazione dei rischi ed equilibrio economico finanziario sono, infatti, i due </w:t>
      </w:r>
      <w:r w:rsidR="007C7CDF">
        <w:rPr>
          <w:rFonts w:ascii="Times New Roman" w:hAnsi="Times New Roman"/>
          <w:sz w:val="24"/>
        </w:rPr>
        <w:t xml:space="preserve">fattori </w:t>
      </w:r>
      <w:r w:rsidR="0086561D">
        <w:rPr>
          <w:rFonts w:ascii="Times New Roman" w:hAnsi="Times New Roman"/>
          <w:sz w:val="24"/>
        </w:rPr>
        <w:t xml:space="preserve">dell’operazione </w:t>
      </w:r>
      <w:r w:rsidR="000463A6" w:rsidRPr="00BA08BB">
        <w:rPr>
          <w:rFonts w:ascii="Times New Roman" w:hAnsi="Times New Roman"/>
          <w:sz w:val="24"/>
        </w:rPr>
        <w:t xml:space="preserve">su cui porre particolare attenzione per evitare, da un lato, </w:t>
      </w:r>
      <w:r w:rsidR="00B47FAE" w:rsidRPr="00BA08BB">
        <w:rPr>
          <w:rFonts w:ascii="Times New Roman" w:hAnsi="Times New Roman"/>
          <w:sz w:val="24"/>
        </w:rPr>
        <w:t>l’</w:t>
      </w:r>
      <w:r w:rsidR="002F0FCB" w:rsidRPr="00BA08BB">
        <w:rPr>
          <w:rFonts w:ascii="Times New Roman" w:hAnsi="Times New Roman"/>
          <w:sz w:val="24"/>
        </w:rPr>
        <w:t xml:space="preserve">abuso </w:t>
      </w:r>
      <w:r w:rsidR="000463A6" w:rsidRPr="00BA08BB">
        <w:rPr>
          <w:rFonts w:ascii="Times New Roman" w:hAnsi="Times New Roman"/>
          <w:sz w:val="24"/>
        </w:rPr>
        <w:t xml:space="preserve">dello strumento (con una occulta traslazione </w:t>
      </w:r>
      <w:r w:rsidR="00B47FAE" w:rsidRPr="00BA08BB">
        <w:rPr>
          <w:rFonts w:ascii="Times New Roman" w:hAnsi="Times New Roman"/>
          <w:sz w:val="24"/>
        </w:rPr>
        <w:t>del debito</w:t>
      </w:r>
      <w:r w:rsidR="000463A6" w:rsidRPr="00BA08BB">
        <w:rPr>
          <w:rFonts w:ascii="Times New Roman" w:hAnsi="Times New Roman"/>
          <w:sz w:val="24"/>
        </w:rPr>
        <w:t xml:space="preserve"> in capo all’amministrazione), e dall’altro, </w:t>
      </w:r>
      <w:r w:rsidR="00B47FAE" w:rsidRPr="00BA08BB">
        <w:rPr>
          <w:rFonts w:ascii="Times New Roman" w:hAnsi="Times New Roman"/>
          <w:sz w:val="24"/>
        </w:rPr>
        <w:t>la</w:t>
      </w:r>
      <w:r w:rsidR="000463A6" w:rsidRPr="00BA08BB">
        <w:rPr>
          <w:rFonts w:ascii="Times New Roman" w:hAnsi="Times New Roman"/>
          <w:sz w:val="24"/>
        </w:rPr>
        <w:t xml:space="preserve"> non sostenibilità a lungo termine dell’operazione con pregiudizio per </w:t>
      </w:r>
      <w:r w:rsidR="00747323">
        <w:rPr>
          <w:rFonts w:ascii="Times New Roman" w:hAnsi="Times New Roman"/>
          <w:sz w:val="24"/>
        </w:rPr>
        <w:t>l’imprenditore</w:t>
      </w:r>
      <w:r w:rsidR="002F0FCB" w:rsidRPr="00BA08BB">
        <w:rPr>
          <w:rFonts w:ascii="Times New Roman" w:hAnsi="Times New Roman"/>
          <w:sz w:val="24"/>
        </w:rPr>
        <w:t xml:space="preserve"> </w:t>
      </w:r>
      <w:r w:rsidR="000463A6" w:rsidRPr="00BA08BB">
        <w:rPr>
          <w:rFonts w:ascii="Times New Roman" w:hAnsi="Times New Roman"/>
          <w:sz w:val="24"/>
        </w:rPr>
        <w:t xml:space="preserve">e </w:t>
      </w:r>
      <w:r w:rsidR="00B47FAE" w:rsidRPr="00BA08BB">
        <w:rPr>
          <w:rFonts w:ascii="Times New Roman" w:hAnsi="Times New Roman"/>
          <w:sz w:val="24"/>
        </w:rPr>
        <w:t xml:space="preserve">per </w:t>
      </w:r>
      <w:r w:rsidR="002F0FCB" w:rsidRPr="00BA08BB">
        <w:rPr>
          <w:rFonts w:ascii="Times New Roman" w:hAnsi="Times New Roman"/>
          <w:sz w:val="24"/>
        </w:rPr>
        <w:t>il finanziatore</w:t>
      </w:r>
      <w:r w:rsidR="000463A6" w:rsidRPr="00BA08BB">
        <w:rPr>
          <w:rFonts w:ascii="Times New Roman" w:hAnsi="Times New Roman"/>
          <w:sz w:val="24"/>
        </w:rPr>
        <w:t xml:space="preserve">, oltre che per </w:t>
      </w:r>
      <w:r w:rsidR="00724B8C">
        <w:rPr>
          <w:rFonts w:ascii="Times New Roman" w:hAnsi="Times New Roman"/>
          <w:sz w:val="24"/>
        </w:rPr>
        <w:t xml:space="preserve">la </w:t>
      </w:r>
      <w:r w:rsidR="000463A6" w:rsidRPr="00BA08BB">
        <w:rPr>
          <w:rFonts w:ascii="Times New Roman" w:hAnsi="Times New Roman"/>
          <w:sz w:val="24"/>
        </w:rPr>
        <w:t>collettività</w:t>
      </w:r>
      <w:r w:rsidR="00B47FAE" w:rsidRPr="00BA08BB">
        <w:rPr>
          <w:rFonts w:ascii="Times New Roman" w:hAnsi="Times New Roman"/>
          <w:sz w:val="24"/>
        </w:rPr>
        <w:t xml:space="preserve"> </w:t>
      </w:r>
      <w:r w:rsidR="00724B8C">
        <w:rPr>
          <w:rFonts w:ascii="Times New Roman" w:hAnsi="Times New Roman"/>
          <w:sz w:val="24"/>
        </w:rPr>
        <w:t>destinataria</w:t>
      </w:r>
      <w:r w:rsidR="00B47FAE" w:rsidRPr="00BA08BB">
        <w:rPr>
          <w:rFonts w:ascii="Times New Roman" w:hAnsi="Times New Roman"/>
          <w:sz w:val="24"/>
        </w:rPr>
        <w:t xml:space="preserve"> dell’opera o del servizio.</w:t>
      </w:r>
    </w:p>
    <w:p w:rsidR="00A71FCB" w:rsidRPr="00BA08BB" w:rsidRDefault="00B2250C" w:rsidP="00BA08BB">
      <w:pPr>
        <w:spacing w:line="480" w:lineRule="auto"/>
        <w:jc w:val="both"/>
        <w:rPr>
          <w:rFonts w:ascii="Times New Roman" w:hAnsi="Times New Roman"/>
          <w:sz w:val="24"/>
        </w:rPr>
      </w:pPr>
      <w:r w:rsidRPr="00BA08BB">
        <w:rPr>
          <w:rFonts w:ascii="Times New Roman" w:hAnsi="Times New Roman"/>
          <w:sz w:val="24"/>
        </w:rPr>
        <w:t>I rischi, elencati nell’art</w:t>
      </w:r>
      <w:r w:rsidR="00290ED3" w:rsidRPr="00BA08BB">
        <w:rPr>
          <w:rFonts w:ascii="Times New Roman" w:hAnsi="Times New Roman"/>
          <w:sz w:val="24"/>
        </w:rPr>
        <w:t>.</w:t>
      </w:r>
      <w:r w:rsidRPr="00BA08BB">
        <w:rPr>
          <w:rFonts w:ascii="Times New Roman" w:hAnsi="Times New Roman"/>
          <w:sz w:val="24"/>
        </w:rPr>
        <w:t xml:space="preserve"> 180 e definiti </w:t>
      </w:r>
      <w:r w:rsidR="005049CA">
        <w:rPr>
          <w:rFonts w:ascii="Times New Roman" w:hAnsi="Times New Roman"/>
          <w:sz w:val="24"/>
        </w:rPr>
        <w:t>n</w:t>
      </w:r>
      <w:r w:rsidRPr="00BA08BB">
        <w:rPr>
          <w:rFonts w:ascii="Times New Roman" w:hAnsi="Times New Roman"/>
          <w:sz w:val="24"/>
        </w:rPr>
        <w:t>ell’art</w:t>
      </w:r>
      <w:r w:rsidR="005049CA">
        <w:rPr>
          <w:rFonts w:ascii="Times New Roman" w:hAnsi="Times New Roman"/>
          <w:sz w:val="24"/>
        </w:rPr>
        <w:t>.</w:t>
      </w:r>
      <w:r w:rsidRPr="00BA08BB">
        <w:rPr>
          <w:rFonts w:ascii="Times New Roman" w:hAnsi="Times New Roman"/>
          <w:sz w:val="24"/>
        </w:rPr>
        <w:t xml:space="preserve"> 3 del codice, </w:t>
      </w:r>
      <w:r w:rsidR="00317751" w:rsidRPr="00BA08BB">
        <w:rPr>
          <w:rFonts w:ascii="Times New Roman" w:hAnsi="Times New Roman"/>
          <w:sz w:val="24"/>
        </w:rPr>
        <w:t>hanno carattere tassativo</w:t>
      </w:r>
      <w:r w:rsidRPr="00BA08BB">
        <w:rPr>
          <w:rFonts w:ascii="Times New Roman" w:hAnsi="Times New Roman"/>
          <w:sz w:val="24"/>
        </w:rPr>
        <w:t>, sicché l’autonomia contrattuale non può introdurre rischi diversi</w:t>
      </w:r>
      <w:r w:rsidR="00A2425A">
        <w:rPr>
          <w:rFonts w:ascii="Times New Roman" w:hAnsi="Times New Roman"/>
          <w:sz w:val="24"/>
        </w:rPr>
        <w:t>,</w:t>
      </w:r>
      <w:r w:rsidRPr="00BA08BB">
        <w:rPr>
          <w:rFonts w:ascii="Times New Roman" w:hAnsi="Times New Roman"/>
          <w:sz w:val="24"/>
        </w:rPr>
        <w:t xml:space="preserve"> ma può procedere a </w:t>
      </w:r>
      <w:r w:rsidR="00A71FCB" w:rsidRPr="00BA08BB">
        <w:rPr>
          <w:rFonts w:ascii="Times New Roman" w:hAnsi="Times New Roman"/>
          <w:sz w:val="24"/>
        </w:rPr>
        <w:t>una loro ulteriore specificazione, quale espressione della volontà contrattuale delle parti, per rendere la disciplina del partenariato coerente e adeguata con la fattispecie concreta (e con l’interesse pubblico concreto da perseguire)</w:t>
      </w:r>
      <w:r w:rsidRPr="00BA08BB">
        <w:rPr>
          <w:rStyle w:val="Rimandonotaapidipagina"/>
          <w:rFonts w:ascii="Times New Roman" w:hAnsi="Times New Roman"/>
          <w:sz w:val="24"/>
        </w:rPr>
        <w:footnoteReference w:id="16"/>
      </w:r>
      <w:r w:rsidR="00DD570F" w:rsidRPr="00BA08BB">
        <w:rPr>
          <w:rFonts w:ascii="Times New Roman" w:hAnsi="Times New Roman"/>
          <w:sz w:val="24"/>
        </w:rPr>
        <w:t>.</w:t>
      </w:r>
    </w:p>
    <w:p w:rsidR="00A71FCB" w:rsidRPr="00BA08BB" w:rsidRDefault="00D556DB" w:rsidP="00BA08BB">
      <w:pPr>
        <w:spacing w:line="480" w:lineRule="auto"/>
        <w:jc w:val="both"/>
        <w:rPr>
          <w:rFonts w:ascii="Times New Roman" w:hAnsi="Times New Roman"/>
          <w:sz w:val="24"/>
        </w:rPr>
      </w:pPr>
      <w:r w:rsidRPr="00BA08BB">
        <w:rPr>
          <w:rFonts w:ascii="Times New Roman" w:hAnsi="Times New Roman"/>
          <w:sz w:val="24"/>
        </w:rPr>
        <w:t>In particolare, l’operatore economico deve assumere uno o più dei seguenti rischi</w:t>
      </w:r>
      <w:r w:rsidR="00A71FCB" w:rsidRPr="00BA08BB">
        <w:rPr>
          <w:rFonts w:ascii="Times New Roman" w:hAnsi="Times New Roman"/>
          <w:sz w:val="24"/>
        </w:rPr>
        <w:t>:</w:t>
      </w:r>
    </w:p>
    <w:p w:rsidR="00C87432" w:rsidRPr="00BA08BB" w:rsidRDefault="00DD570F" w:rsidP="00BA08BB">
      <w:pPr>
        <w:spacing w:line="480" w:lineRule="auto"/>
        <w:jc w:val="both"/>
        <w:rPr>
          <w:rFonts w:ascii="Times New Roman" w:hAnsi="Times New Roman"/>
          <w:sz w:val="24"/>
        </w:rPr>
      </w:pPr>
      <w:r w:rsidRPr="00BA08BB">
        <w:rPr>
          <w:rFonts w:ascii="Times New Roman" w:hAnsi="Times New Roman"/>
          <w:sz w:val="24"/>
        </w:rPr>
        <w:t xml:space="preserve">-rischio di costruzione </w:t>
      </w:r>
      <w:r w:rsidR="002F0FCB" w:rsidRPr="00BA08BB">
        <w:rPr>
          <w:rFonts w:ascii="Times New Roman" w:hAnsi="Times New Roman"/>
          <w:sz w:val="24"/>
        </w:rPr>
        <w:t xml:space="preserve">ossia </w:t>
      </w:r>
      <w:r w:rsidR="00A71FCB" w:rsidRPr="00BA08BB">
        <w:rPr>
          <w:rFonts w:ascii="Times New Roman" w:hAnsi="Times New Roman"/>
          <w:sz w:val="24"/>
        </w:rPr>
        <w:t xml:space="preserve">il rischio legato al ritardo nei tempi di consegna, al non rispetto degli standard di progetto, all’aumento dei costi, </w:t>
      </w:r>
      <w:r w:rsidR="00D556DB" w:rsidRPr="00BA08BB">
        <w:rPr>
          <w:rFonts w:ascii="Times New Roman" w:hAnsi="Times New Roman"/>
          <w:sz w:val="24"/>
        </w:rPr>
        <w:t xml:space="preserve">a </w:t>
      </w:r>
      <w:r w:rsidR="002F3952" w:rsidRPr="00BA08BB">
        <w:rPr>
          <w:rFonts w:ascii="Times New Roman" w:hAnsi="Times New Roman"/>
          <w:sz w:val="24"/>
        </w:rPr>
        <w:t>inconvenienti di tipo tecnico nell'opera e al mancato completamento dell'opera</w:t>
      </w:r>
      <w:r w:rsidR="00416600" w:rsidRPr="00BA08BB">
        <w:rPr>
          <w:rStyle w:val="Rimandonotaapidipagina"/>
          <w:rFonts w:ascii="Times New Roman" w:hAnsi="Times New Roman"/>
          <w:sz w:val="24"/>
        </w:rPr>
        <w:footnoteReference w:id="17"/>
      </w:r>
      <w:r w:rsidR="00C87432" w:rsidRPr="00BA08BB">
        <w:rPr>
          <w:rFonts w:ascii="Times New Roman" w:hAnsi="Times New Roman"/>
          <w:sz w:val="24"/>
        </w:rPr>
        <w:t>.</w:t>
      </w:r>
    </w:p>
    <w:p w:rsidR="00A71FCB" w:rsidRPr="00BA08BB" w:rsidRDefault="00DD570F" w:rsidP="00BA08BB">
      <w:pPr>
        <w:spacing w:line="480" w:lineRule="auto"/>
        <w:jc w:val="both"/>
        <w:rPr>
          <w:rFonts w:ascii="Times New Roman" w:hAnsi="Times New Roman"/>
          <w:strike/>
          <w:sz w:val="24"/>
        </w:rPr>
      </w:pPr>
      <w:r w:rsidRPr="00BA08BB">
        <w:rPr>
          <w:rFonts w:ascii="Times New Roman" w:hAnsi="Times New Roman"/>
          <w:sz w:val="24"/>
        </w:rPr>
        <w:t xml:space="preserve">- </w:t>
      </w:r>
      <w:r w:rsidR="00A71FCB" w:rsidRPr="00BA08BB">
        <w:rPr>
          <w:rFonts w:ascii="Times New Roman" w:hAnsi="Times New Roman"/>
          <w:sz w:val="24"/>
        </w:rPr>
        <w:t xml:space="preserve"> </w:t>
      </w:r>
      <w:r w:rsidR="00D556DB" w:rsidRPr="00BA08BB">
        <w:rPr>
          <w:rFonts w:ascii="Times New Roman" w:hAnsi="Times New Roman"/>
          <w:sz w:val="24"/>
        </w:rPr>
        <w:t>il</w:t>
      </w:r>
      <w:r w:rsidR="00C87432" w:rsidRPr="00BA08BB">
        <w:rPr>
          <w:rFonts w:ascii="Times New Roman" w:hAnsi="Times New Roman"/>
          <w:sz w:val="24"/>
        </w:rPr>
        <w:t xml:space="preserve"> rischio operativo</w:t>
      </w:r>
      <w:r w:rsidRPr="00BA08BB">
        <w:rPr>
          <w:rFonts w:ascii="Times New Roman" w:hAnsi="Times New Roman"/>
          <w:sz w:val="24"/>
        </w:rPr>
        <w:t xml:space="preserve"> </w:t>
      </w:r>
      <w:r w:rsidR="002F0FCB" w:rsidRPr="00BA08BB">
        <w:rPr>
          <w:rFonts w:ascii="Times New Roman" w:hAnsi="Times New Roman"/>
          <w:sz w:val="24"/>
        </w:rPr>
        <w:t>ossia</w:t>
      </w:r>
      <w:r w:rsidR="00C87432" w:rsidRPr="00BA08BB">
        <w:rPr>
          <w:rFonts w:ascii="Times New Roman" w:hAnsi="Times New Roman"/>
          <w:sz w:val="24"/>
        </w:rPr>
        <w:t xml:space="preserve"> il rischio legato alla gestione dei lavori o dei servizi sul lato della domanda o sul lato dell'offerta o di entrambi, trasferito all'operatore economico. </w:t>
      </w:r>
      <w:r w:rsidR="002F0FCB" w:rsidRPr="00BA08BB">
        <w:rPr>
          <w:rFonts w:ascii="Times New Roman" w:hAnsi="Times New Roman"/>
          <w:sz w:val="24"/>
        </w:rPr>
        <w:t>L’operatore economico</w:t>
      </w:r>
      <w:r w:rsidR="00C87432" w:rsidRPr="00BA08BB">
        <w:rPr>
          <w:rFonts w:ascii="Times New Roman" w:hAnsi="Times New Roman"/>
          <w:sz w:val="24"/>
        </w:rPr>
        <w:t xml:space="preserve"> assu</w:t>
      </w:r>
      <w:r w:rsidR="00D556DB" w:rsidRPr="00BA08BB">
        <w:rPr>
          <w:rFonts w:ascii="Times New Roman" w:hAnsi="Times New Roman"/>
          <w:sz w:val="24"/>
        </w:rPr>
        <w:t>me il rischio operativo quando</w:t>
      </w:r>
      <w:r w:rsidR="00F93393" w:rsidRPr="00BA08BB">
        <w:rPr>
          <w:rFonts w:ascii="Times New Roman" w:hAnsi="Times New Roman"/>
          <w:sz w:val="24"/>
        </w:rPr>
        <w:t>, per fattori al di fuori del controllo delle parti,</w:t>
      </w:r>
      <w:r w:rsidR="00D556DB" w:rsidRPr="00BA08BB">
        <w:rPr>
          <w:rFonts w:ascii="Times New Roman" w:hAnsi="Times New Roman"/>
          <w:sz w:val="24"/>
        </w:rPr>
        <w:t xml:space="preserve"> </w:t>
      </w:r>
      <w:r w:rsidR="00C87432" w:rsidRPr="00BA08BB">
        <w:rPr>
          <w:rFonts w:ascii="Times New Roman" w:hAnsi="Times New Roman"/>
          <w:sz w:val="24"/>
        </w:rPr>
        <w:t>non sia garantito il recupero degli investimenti effettuati o dei costi sostenuti per la gestione dei lavori o dei</w:t>
      </w:r>
      <w:r w:rsidR="002F0FCB" w:rsidRPr="00BA08BB">
        <w:rPr>
          <w:rFonts w:ascii="Times New Roman" w:hAnsi="Times New Roman"/>
          <w:sz w:val="24"/>
        </w:rPr>
        <w:t xml:space="preserve"> servizi oggetto di concessione;</w:t>
      </w:r>
    </w:p>
    <w:p w:rsidR="00A71FCB" w:rsidRPr="00BA08BB" w:rsidRDefault="002F3952" w:rsidP="00BA08BB">
      <w:pPr>
        <w:spacing w:line="480" w:lineRule="auto"/>
        <w:jc w:val="both"/>
        <w:rPr>
          <w:rFonts w:ascii="Times New Roman" w:hAnsi="Times New Roman"/>
          <w:sz w:val="24"/>
        </w:rPr>
      </w:pPr>
      <w:r w:rsidRPr="00BA08BB">
        <w:rPr>
          <w:rFonts w:ascii="Times New Roman" w:hAnsi="Times New Roman"/>
          <w:sz w:val="24"/>
        </w:rPr>
        <w:t xml:space="preserve">- </w:t>
      </w:r>
      <w:r w:rsidR="00DD570F" w:rsidRPr="00BA08BB">
        <w:rPr>
          <w:rFonts w:ascii="Times New Roman" w:hAnsi="Times New Roman"/>
          <w:sz w:val="24"/>
        </w:rPr>
        <w:t xml:space="preserve">rischio di disponibilità </w:t>
      </w:r>
      <w:r w:rsidR="002F0FCB" w:rsidRPr="00BA08BB">
        <w:rPr>
          <w:rFonts w:ascii="Times New Roman" w:hAnsi="Times New Roman"/>
          <w:sz w:val="24"/>
        </w:rPr>
        <w:t>ossia</w:t>
      </w:r>
      <w:r w:rsidRPr="00BA08BB">
        <w:rPr>
          <w:rFonts w:ascii="Times New Roman" w:hAnsi="Times New Roman"/>
          <w:sz w:val="24"/>
        </w:rPr>
        <w:t xml:space="preserve"> il rischio legato alla capacità, da parte del concessionario, di erogare le prestazioni contrattuali pattuite, sia per volume che per standard di qualità previsti</w:t>
      </w:r>
      <w:r w:rsidR="002F0FCB" w:rsidRPr="00BA08BB">
        <w:rPr>
          <w:rFonts w:ascii="Times New Roman" w:hAnsi="Times New Roman"/>
          <w:sz w:val="24"/>
        </w:rPr>
        <w:t>;</w:t>
      </w:r>
    </w:p>
    <w:p w:rsidR="000F1282" w:rsidRPr="00BA08BB" w:rsidRDefault="002F3952" w:rsidP="00BA08BB">
      <w:pPr>
        <w:spacing w:line="480" w:lineRule="auto"/>
        <w:jc w:val="both"/>
        <w:rPr>
          <w:rFonts w:ascii="Times New Roman" w:hAnsi="Times New Roman"/>
          <w:sz w:val="24"/>
        </w:rPr>
      </w:pPr>
      <w:r w:rsidRPr="00BA08BB">
        <w:rPr>
          <w:rFonts w:ascii="Times New Roman" w:hAnsi="Times New Roman"/>
          <w:sz w:val="24"/>
        </w:rPr>
        <w:t xml:space="preserve">- </w:t>
      </w:r>
      <w:r w:rsidR="00DD570F" w:rsidRPr="00BA08BB">
        <w:rPr>
          <w:rFonts w:ascii="Times New Roman" w:hAnsi="Times New Roman"/>
          <w:sz w:val="24"/>
        </w:rPr>
        <w:t xml:space="preserve">rischio di domanda </w:t>
      </w:r>
      <w:r w:rsidR="00421E84" w:rsidRPr="00BA08BB">
        <w:rPr>
          <w:rFonts w:ascii="Times New Roman" w:hAnsi="Times New Roman"/>
          <w:sz w:val="24"/>
        </w:rPr>
        <w:t>ossia</w:t>
      </w:r>
      <w:r w:rsidRPr="00BA08BB">
        <w:rPr>
          <w:rFonts w:ascii="Times New Roman" w:hAnsi="Times New Roman"/>
          <w:sz w:val="24"/>
        </w:rPr>
        <w:t xml:space="preserve"> il rischio legato ai diversi volumi di domanda del servizio che il concessionario deve soddisfare, ovvero il rischio legato alla mancanza di ute</w:t>
      </w:r>
      <w:r w:rsidR="000F1282" w:rsidRPr="00BA08BB">
        <w:rPr>
          <w:rFonts w:ascii="Times New Roman" w:hAnsi="Times New Roman"/>
          <w:sz w:val="24"/>
        </w:rPr>
        <w:t>nza e quindi di flussi di cassa.</w:t>
      </w:r>
    </w:p>
    <w:p w:rsidR="00421E84" w:rsidRPr="00BA08BB" w:rsidRDefault="000F1282" w:rsidP="00BA08BB">
      <w:pPr>
        <w:spacing w:line="480" w:lineRule="auto"/>
        <w:jc w:val="both"/>
        <w:rPr>
          <w:rFonts w:ascii="Times New Roman" w:hAnsi="Times New Roman"/>
          <w:sz w:val="24"/>
        </w:rPr>
      </w:pPr>
      <w:r w:rsidRPr="00BA08BB">
        <w:rPr>
          <w:rFonts w:ascii="Times New Roman" w:hAnsi="Times New Roman"/>
          <w:sz w:val="24"/>
        </w:rPr>
        <w:t>Come evidenziato dal Consiglio di Stato</w:t>
      </w:r>
      <w:r w:rsidR="000A431B" w:rsidRPr="00BA08BB">
        <w:rPr>
          <w:rStyle w:val="Rimandonotaapidipagina"/>
          <w:rFonts w:ascii="Times New Roman" w:hAnsi="Times New Roman"/>
          <w:sz w:val="24"/>
        </w:rPr>
        <w:footnoteReference w:id="18"/>
      </w:r>
      <w:r w:rsidRPr="00BA08BB">
        <w:rPr>
          <w:rFonts w:ascii="Times New Roman" w:hAnsi="Times New Roman"/>
          <w:sz w:val="24"/>
        </w:rPr>
        <w:t xml:space="preserve"> il </w:t>
      </w:r>
      <w:r w:rsidR="002F3952" w:rsidRPr="00BA08BB">
        <w:rPr>
          <w:rFonts w:ascii="Times New Roman" w:hAnsi="Times New Roman"/>
          <w:sz w:val="24"/>
        </w:rPr>
        <w:t xml:space="preserve"> </w:t>
      </w:r>
      <w:r w:rsidRPr="00BA08BB">
        <w:rPr>
          <w:rFonts w:ascii="Times New Roman" w:hAnsi="Times New Roman"/>
          <w:sz w:val="24"/>
        </w:rPr>
        <w:t xml:space="preserve">rischio di disponibilità </w:t>
      </w:r>
      <w:r w:rsidR="00421E84" w:rsidRPr="00BA08BB">
        <w:rPr>
          <w:rFonts w:ascii="Times New Roman" w:hAnsi="Times New Roman"/>
          <w:sz w:val="24"/>
        </w:rPr>
        <w:t>è</w:t>
      </w:r>
      <w:r w:rsidRPr="00BA08BB">
        <w:rPr>
          <w:rFonts w:ascii="Times New Roman" w:hAnsi="Times New Roman"/>
          <w:sz w:val="24"/>
        </w:rPr>
        <w:t xml:space="preserve"> tipico delle concessioni associate alle opere c.d. fredde (ed ai relativi serviz</w:t>
      </w:r>
      <w:r w:rsidR="00421E84" w:rsidRPr="00BA08BB">
        <w:rPr>
          <w:rFonts w:ascii="Times New Roman" w:hAnsi="Times New Roman"/>
          <w:sz w:val="24"/>
        </w:rPr>
        <w:t xml:space="preserve">i, avvinti dalla stessa logica), </w:t>
      </w:r>
      <w:r w:rsidRPr="00BA08BB">
        <w:rPr>
          <w:rFonts w:ascii="Times New Roman" w:hAnsi="Times New Roman"/>
          <w:sz w:val="24"/>
        </w:rPr>
        <w:t xml:space="preserve">ovvero le opere che sono prive della capacità di generare reddito attraverso </w:t>
      </w:r>
      <w:r w:rsidR="00421E84" w:rsidRPr="00BA08BB">
        <w:rPr>
          <w:rFonts w:ascii="Times New Roman" w:hAnsi="Times New Roman"/>
          <w:sz w:val="24"/>
        </w:rPr>
        <w:t xml:space="preserve">la fruizione da parte dei terzi, </w:t>
      </w:r>
      <w:r w:rsidRPr="00BA08BB">
        <w:rPr>
          <w:rFonts w:ascii="Times New Roman" w:hAnsi="Times New Roman"/>
          <w:sz w:val="24"/>
        </w:rPr>
        <w:t xml:space="preserve"> e che, risultando legato alla capacità da parte del concessionario di erogare le pres</w:t>
      </w:r>
      <w:r w:rsidR="00376A0B" w:rsidRPr="00BA08BB">
        <w:rPr>
          <w:rFonts w:ascii="Times New Roman" w:hAnsi="Times New Roman"/>
          <w:sz w:val="24"/>
        </w:rPr>
        <w:t>tazioni contrattuali pattuite, sul piano quantitativo e qualitativo,</w:t>
      </w:r>
      <w:r w:rsidRPr="00BA08BB">
        <w:rPr>
          <w:rFonts w:ascii="Times New Roman" w:hAnsi="Times New Roman"/>
          <w:sz w:val="24"/>
        </w:rPr>
        <w:t xml:space="preserve"> dovrebbe legarsi alla </w:t>
      </w:r>
      <w:r w:rsidRPr="00BA08BB">
        <w:rPr>
          <w:rFonts w:ascii="Times New Roman" w:hAnsi="Times New Roman"/>
          <w:i/>
          <w:sz w:val="24"/>
        </w:rPr>
        <w:t xml:space="preserve">performance </w:t>
      </w:r>
      <w:r w:rsidRPr="00BA08BB">
        <w:rPr>
          <w:rFonts w:ascii="Times New Roman" w:hAnsi="Times New Roman"/>
          <w:sz w:val="24"/>
        </w:rPr>
        <w:t>dello stesso concessionario.</w:t>
      </w:r>
      <w:r w:rsidR="00421E84" w:rsidRPr="00BA08BB">
        <w:rPr>
          <w:rFonts w:ascii="Times New Roman" w:hAnsi="Times New Roman"/>
          <w:sz w:val="24"/>
        </w:rPr>
        <w:t xml:space="preserve"> </w:t>
      </w:r>
    </w:p>
    <w:p w:rsidR="000F1282" w:rsidRDefault="000F1282" w:rsidP="00BA08BB">
      <w:pPr>
        <w:spacing w:line="480" w:lineRule="auto"/>
        <w:jc w:val="both"/>
        <w:rPr>
          <w:rFonts w:ascii="Times New Roman" w:hAnsi="Times New Roman"/>
          <w:sz w:val="24"/>
        </w:rPr>
      </w:pPr>
      <w:r w:rsidRPr="00BA08BB">
        <w:rPr>
          <w:rFonts w:ascii="Times New Roman" w:hAnsi="Times New Roman"/>
          <w:sz w:val="24"/>
        </w:rPr>
        <w:t>Se il modello in questione può essere utilizzato anche per opere fredde, circostanza che può assumere particolare interesse nell’ambito degli interventi finanziati con il PNRR, occorre</w:t>
      </w:r>
      <w:r w:rsidR="00421E84" w:rsidRPr="00BA08BB">
        <w:rPr>
          <w:rFonts w:ascii="Times New Roman" w:hAnsi="Times New Roman"/>
          <w:sz w:val="24"/>
        </w:rPr>
        <w:t>, tuttavia,</w:t>
      </w:r>
      <w:r w:rsidRPr="00BA08BB">
        <w:rPr>
          <w:rFonts w:ascii="Times New Roman" w:hAnsi="Times New Roman"/>
          <w:sz w:val="24"/>
        </w:rPr>
        <w:t xml:space="preserve"> porre particolare attenzione, nell’ambito della redazione del regolamento contrattuale, alle clausole relative al canone a carico della pubblica amministrazione, il cui ammontare deve necessariamente essere commisurato alla disponibilità dell’opera o alla fruizione del servizio</w:t>
      </w:r>
      <w:r w:rsidR="00376A0B" w:rsidRPr="00BA08BB">
        <w:rPr>
          <w:rFonts w:ascii="Times New Roman" w:hAnsi="Times New Roman"/>
          <w:sz w:val="24"/>
        </w:rPr>
        <w:t xml:space="preserve">, attraverso la previsione di una riduzione o azzeramento del canone nei periodi di mancata o ridotta disponibilità </w:t>
      </w:r>
      <w:r w:rsidRPr="00BA08BB">
        <w:rPr>
          <w:rFonts w:ascii="Times New Roman" w:hAnsi="Times New Roman"/>
          <w:sz w:val="24"/>
        </w:rPr>
        <w:t>(art</w:t>
      </w:r>
      <w:r w:rsidR="000A431B" w:rsidRPr="00BA08BB">
        <w:rPr>
          <w:rFonts w:ascii="Times New Roman" w:hAnsi="Times New Roman"/>
          <w:sz w:val="24"/>
        </w:rPr>
        <w:t>.</w:t>
      </w:r>
      <w:r w:rsidRPr="00BA08BB">
        <w:rPr>
          <w:rFonts w:ascii="Times New Roman" w:hAnsi="Times New Roman"/>
          <w:sz w:val="24"/>
        </w:rPr>
        <w:t xml:space="preserve"> 180 comma 4)</w:t>
      </w:r>
      <w:r w:rsidR="00CC203E" w:rsidRPr="00BA08BB">
        <w:rPr>
          <w:rFonts w:ascii="Times New Roman" w:hAnsi="Times New Roman"/>
          <w:sz w:val="24"/>
        </w:rPr>
        <w:t>.</w:t>
      </w:r>
    </w:p>
    <w:p w:rsidR="00C71321" w:rsidRDefault="00602F99" w:rsidP="00BA08BB">
      <w:pPr>
        <w:spacing w:line="480" w:lineRule="auto"/>
        <w:jc w:val="both"/>
        <w:rPr>
          <w:rFonts w:ascii="Times New Roman" w:hAnsi="Times New Roman"/>
          <w:sz w:val="24"/>
        </w:rPr>
      </w:pPr>
      <w:r>
        <w:rPr>
          <w:rFonts w:ascii="Times New Roman" w:hAnsi="Times New Roman"/>
          <w:sz w:val="24"/>
        </w:rPr>
        <w:t xml:space="preserve">Quanto sopra osservato in relazione alla corretta allocazione del rischio evidenzia un ulteriore profilo di interesse </w:t>
      </w:r>
      <w:r w:rsidR="00C71321">
        <w:rPr>
          <w:rFonts w:ascii="Times New Roman" w:hAnsi="Times New Roman"/>
          <w:sz w:val="24"/>
        </w:rPr>
        <w:t>della</w:t>
      </w:r>
      <w:r>
        <w:rPr>
          <w:rFonts w:ascii="Times New Roman" w:hAnsi="Times New Roman"/>
          <w:sz w:val="24"/>
        </w:rPr>
        <w:t xml:space="preserve"> disciplina in esame: </w:t>
      </w:r>
      <w:r w:rsidR="00382F28">
        <w:rPr>
          <w:rFonts w:ascii="Times New Roman" w:hAnsi="Times New Roman"/>
          <w:sz w:val="24"/>
        </w:rPr>
        <w:t>l’utilizzo del</w:t>
      </w:r>
      <w:r>
        <w:rPr>
          <w:rFonts w:ascii="Times New Roman" w:hAnsi="Times New Roman"/>
          <w:sz w:val="24"/>
        </w:rPr>
        <w:t xml:space="preserve"> regolamento negoziale come strumento di </w:t>
      </w:r>
      <w:r w:rsidR="00C71321">
        <w:rPr>
          <w:rFonts w:ascii="Times New Roman" w:hAnsi="Times New Roman"/>
          <w:sz w:val="24"/>
        </w:rPr>
        <w:t>allocazione</w:t>
      </w:r>
      <w:r>
        <w:rPr>
          <w:rFonts w:ascii="Times New Roman" w:hAnsi="Times New Roman"/>
          <w:sz w:val="24"/>
        </w:rPr>
        <w:t xml:space="preserve"> del rischio (non solo giuridico ma) economico tra i contraenti</w:t>
      </w:r>
      <w:r w:rsidR="00C71321">
        <w:rPr>
          <w:rFonts w:ascii="Times New Roman" w:hAnsi="Times New Roman"/>
          <w:sz w:val="24"/>
        </w:rPr>
        <w:t>, allocazione che assurge ad elemento essenziale sul piano sia della causa astratta che di quella concreta.</w:t>
      </w:r>
    </w:p>
    <w:p w:rsidR="00FB2E6F" w:rsidRPr="00BA08BB" w:rsidRDefault="00FB2E6F" w:rsidP="00BA08BB">
      <w:pPr>
        <w:spacing w:line="480" w:lineRule="auto"/>
        <w:jc w:val="both"/>
        <w:rPr>
          <w:rFonts w:ascii="Times New Roman" w:hAnsi="Times New Roman"/>
          <w:sz w:val="24"/>
        </w:rPr>
      </w:pPr>
      <w:r w:rsidRPr="00BA08BB">
        <w:rPr>
          <w:rFonts w:ascii="Times New Roman" w:hAnsi="Times New Roman"/>
          <w:sz w:val="24"/>
        </w:rPr>
        <w:t xml:space="preserve">Presupposto per la corretta </w:t>
      </w:r>
      <w:r w:rsidR="00C71321">
        <w:rPr>
          <w:rFonts w:ascii="Times New Roman" w:hAnsi="Times New Roman"/>
          <w:sz w:val="24"/>
        </w:rPr>
        <w:t xml:space="preserve">distribuzione </w:t>
      </w:r>
      <w:r w:rsidRPr="00BA08BB">
        <w:rPr>
          <w:rFonts w:ascii="Times New Roman" w:hAnsi="Times New Roman"/>
          <w:sz w:val="24"/>
        </w:rPr>
        <w:t>dei rischi è</w:t>
      </w:r>
      <w:r w:rsidR="00F729AA" w:rsidRPr="00BA08BB">
        <w:rPr>
          <w:rFonts w:ascii="Times New Roman" w:hAnsi="Times New Roman"/>
          <w:sz w:val="24"/>
        </w:rPr>
        <w:t>, come precisato,</w:t>
      </w:r>
      <w:r w:rsidRPr="00BA08BB">
        <w:rPr>
          <w:rFonts w:ascii="Times New Roman" w:hAnsi="Times New Roman"/>
          <w:sz w:val="24"/>
        </w:rPr>
        <w:t xml:space="preserve"> l’equilib</w:t>
      </w:r>
      <w:r w:rsidR="00421E84" w:rsidRPr="00BA08BB">
        <w:rPr>
          <w:rFonts w:ascii="Times New Roman" w:hAnsi="Times New Roman"/>
          <w:sz w:val="24"/>
        </w:rPr>
        <w:t>rio economico finanziario dell’o</w:t>
      </w:r>
      <w:r w:rsidRPr="00BA08BB">
        <w:rPr>
          <w:rFonts w:ascii="Times New Roman" w:hAnsi="Times New Roman"/>
          <w:sz w:val="24"/>
        </w:rPr>
        <w:t>perazione, inteso come contemporanea presenza di condi</w:t>
      </w:r>
      <w:r w:rsidR="00421E84" w:rsidRPr="00BA08BB">
        <w:rPr>
          <w:rFonts w:ascii="Times New Roman" w:hAnsi="Times New Roman"/>
          <w:sz w:val="24"/>
        </w:rPr>
        <w:t>zioni di convenienza economica</w:t>
      </w:r>
      <w:r w:rsidR="00194CBF" w:rsidRPr="00BA08BB">
        <w:rPr>
          <w:rFonts w:ascii="Times New Roman" w:hAnsi="Times New Roman"/>
          <w:sz w:val="24"/>
        </w:rPr>
        <w:t xml:space="preserve">, </w:t>
      </w:r>
      <w:r w:rsidR="00A23CBF" w:rsidRPr="00BA08BB">
        <w:rPr>
          <w:rFonts w:ascii="Times New Roman" w:hAnsi="Times New Roman"/>
          <w:sz w:val="24"/>
        </w:rPr>
        <w:t>ossia</w:t>
      </w:r>
      <w:r w:rsidR="00376A0B" w:rsidRPr="00BA08BB">
        <w:rPr>
          <w:rFonts w:ascii="Times New Roman" w:hAnsi="Times New Roman"/>
          <w:sz w:val="24"/>
        </w:rPr>
        <w:t xml:space="preserve"> </w:t>
      </w:r>
      <w:r w:rsidR="00C71321">
        <w:rPr>
          <w:rFonts w:ascii="Times New Roman" w:hAnsi="Times New Roman"/>
          <w:sz w:val="24"/>
        </w:rPr>
        <w:t>del</w:t>
      </w:r>
      <w:r w:rsidR="00376A0B" w:rsidRPr="00BA08BB">
        <w:rPr>
          <w:rFonts w:ascii="Times New Roman" w:hAnsi="Times New Roman"/>
          <w:sz w:val="24"/>
        </w:rPr>
        <w:t>la</w:t>
      </w:r>
      <w:r w:rsidR="00A53DE6">
        <w:rPr>
          <w:rFonts w:ascii="Times New Roman" w:hAnsi="Times New Roman"/>
          <w:sz w:val="24"/>
        </w:rPr>
        <w:t xml:space="preserve"> capacità del progetto di generare</w:t>
      </w:r>
      <w:r w:rsidR="00376A0B" w:rsidRPr="00BA08BB">
        <w:rPr>
          <w:rFonts w:ascii="Times New Roman" w:hAnsi="Times New Roman"/>
          <w:sz w:val="24"/>
        </w:rPr>
        <w:t xml:space="preserve"> valore per l’intera durata del contratto e un livello di redditività adeguato per il capitale investito, </w:t>
      </w:r>
      <w:r w:rsidR="00194CBF" w:rsidRPr="00BA08BB">
        <w:rPr>
          <w:rFonts w:ascii="Times New Roman" w:hAnsi="Times New Roman"/>
          <w:sz w:val="24"/>
        </w:rPr>
        <w:t xml:space="preserve">e sostenibilità finanziaria, </w:t>
      </w:r>
      <w:r w:rsidR="00A23CBF" w:rsidRPr="00BA08BB">
        <w:rPr>
          <w:rFonts w:ascii="Times New Roman" w:hAnsi="Times New Roman"/>
          <w:sz w:val="24"/>
        </w:rPr>
        <w:t>consistente nella</w:t>
      </w:r>
      <w:r w:rsidR="00194CBF" w:rsidRPr="00BA08BB">
        <w:rPr>
          <w:rFonts w:ascii="Times New Roman" w:hAnsi="Times New Roman"/>
          <w:sz w:val="24"/>
        </w:rPr>
        <w:t xml:space="preserve"> capacità di generare flussi di cassa sufficienti a garantire il rimborso del finanziamento (art. </w:t>
      </w:r>
      <w:r w:rsidR="00CC203E" w:rsidRPr="00BA08BB">
        <w:rPr>
          <w:rFonts w:ascii="Times New Roman" w:hAnsi="Times New Roman"/>
          <w:sz w:val="24"/>
        </w:rPr>
        <w:t xml:space="preserve">3 </w:t>
      </w:r>
      <w:r w:rsidR="00A53DE6">
        <w:rPr>
          <w:rFonts w:ascii="Times New Roman" w:hAnsi="Times New Roman"/>
          <w:sz w:val="24"/>
        </w:rPr>
        <w:t>comma 1 lett. fff</w:t>
      </w:r>
      <w:r w:rsidR="00194CBF" w:rsidRPr="00BA08BB">
        <w:rPr>
          <w:rFonts w:ascii="Times New Roman" w:hAnsi="Times New Roman"/>
          <w:sz w:val="24"/>
        </w:rPr>
        <w:t xml:space="preserve"> del codice)</w:t>
      </w:r>
      <w:r w:rsidR="002F1C7D" w:rsidRPr="00BA08BB">
        <w:rPr>
          <w:rFonts w:ascii="Times New Roman" w:hAnsi="Times New Roman"/>
          <w:sz w:val="24"/>
        </w:rPr>
        <w:t>.</w:t>
      </w:r>
    </w:p>
    <w:p w:rsidR="00CC203E" w:rsidRPr="00BA08BB" w:rsidRDefault="00CC203E" w:rsidP="00BA08BB">
      <w:pPr>
        <w:spacing w:line="480" w:lineRule="auto"/>
        <w:jc w:val="both"/>
        <w:rPr>
          <w:rFonts w:ascii="Times New Roman" w:hAnsi="Times New Roman"/>
          <w:sz w:val="24"/>
        </w:rPr>
      </w:pPr>
      <w:r w:rsidRPr="00BA08BB">
        <w:rPr>
          <w:rFonts w:ascii="Times New Roman" w:hAnsi="Times New Roman"/>
          <w:sz w:val="24"/>
        </w:rPr>
        <w:t>L’equilibrio economico finanziario deve accompagnare l’intera durata dell’operazione e deve essere esplicitato nel piano economico</w:t>
      </w:r>
      <w:r w:rsidR="008757C9" w:rsidRPr="00BA08BB">
        <w:rPr>
          <w:rFonts w:ascii="Times New Roman" w:hAnsi="Times New Roman"/>
          <w:sz w:val="24"/>
        </w:rPr>
        <w:t xml:space="preserve"> finanziario (PEF)</w:t>
      </w:r>
      <w:r w:rsidRPr="00BA08BB">
        <w:rPr>
          <w:rFonts w:ascii="Times New Roman" w:hAnsi="Times New Roman"/>
          <w:sz w:val="24"/>
        </w:rPr>
        <w:t>, quale documento essenziale</w:t>
      </w:r>
      <w:r w:rsidR="00C92C79" w:rsidRPr="00BA08BB">
        <w:rPr>
          <w:rFonts w:ascii="Times New Roman" w:hAnsi="Times New Roman"/>
          <w:sz w:val="24"/>
        </w:rPr>
        <w:t>, accanto al progetto definitivo e allo schema di contratto (art. 181 del codice)</w:t>
      </w:r>
      <w:r w:rsidR="00C92C79" w:rsidRPr="00BA08BB">
        <w:rPr>
          <w:rStyle w:val="Rimandonotaapidipagina"/>
          <w:rFonts w:ascii="Times New Roman" w:hAnsi="Times New Roman"/>
          <w:sz w:val="24"/>
        </w:rPr>
        <w:footnoteReference w:id="19"/>
      </w:r>
      <w:r w:rsidRPr="00BA08BB">
        <w:rPr>
          <w:rFonts w:ascii="Times New Roman" w:hAnsi="Times New Roman"/>
          <w:sz w:val="24"/>
        </w:rPr>
        <w:t xml:space="preserve"> </w:t>
      </w:r>
    </w:p>
    <w:p w:rsidR="008757C9" w:rsidRPr="00BA08BB" w:rsidRDefault="00FB2E6F" w:rsidP="00BA08BB">
      <w:pPr>
        <w:spacing w:line="480" w:lineRule="auto"/>
        <w:jc w:val="both"/>
        <w:rPr>
          <w:rFonts w:ascii="Times New Roman" w:hAnsi="Times New Roman"/>
          <w:sz w:val="24"/>
        </w:rPr>
      </w:pPr>
      <w:r w:rsidRPr="00BA08BB">
        <w:rPr>
          <w:rFonts w:ascii="Times New Roman" w:hAnsi="Times New Roman"/>
          <w:sz w:val="24"/>
        </w:rPr>
        <w:t>Il PEF rappresenta</w:t>
      </w:r>
      <w:r w:rsidR="004E464E">
        <w:rPr>
          <w:rFonts w:ascii="Times New Roman" w:hAnsi="Times New Roman"/>
          <w:sz w:val="24"/>
        </w:rPr>
        <w:t xml:space="preserve"> </w:t>
      </w:r>
      <w:r w:rsidRPr="00BA08BB">
        <w:rPr>
          <w:rFonts w:ascii="Times New Roman" w:hAnsi="Times New Roman"/>
          <w:sz w:val="24"/>
        </w:rPr>
        <w:t xml:space="preserve">il documento giustificativo della sostenibilità economico-finanziaria dell’offerta, </w:t>
      </w:r>
      <w:r w:rsidR="008757C9" w:rsidRPr="00BA08BB">
        <w:rPr>
          <w:rFonts w:ascii="Times New Roman" w:hAnsi="Times New Roman"/>
          <w:sz w:val="24"/>
        </w:rPr>
        <w:t>di cui rappresenta un</w:t>
      </w:r>
      <w:r w:rsidRPr="00BA08BB">
        <w:rPr>
          <w:rFonts w:ascii="Times New Roman" w:hAnsi="Times New Roman"/>
          <w:sz w:val="24"/>
        </w:rPr>
        <w:t xml:space="preserve"> </w:t>
      </w:r>
      <w:r w:rsidR="00A53DE6">
        <w:rPr>
          <w:rFonts w:ascii="Times New Roman" w:hAnsi="Times New Roman"/>
          <w:sz w:val="24"/>
        </w:rPr>
        <w:t>elemento</w:t>
      </w:r>
      <w:r w:rsidRPr="00BA08BB">
        <w:rPr>
          <w:rFonts w:ascii="Times New Roman" w:hAnsi="Times New Roman"/>
          <w:sz w:val="24"/>
        </w:rPr>
        <w:t xml:space="preserve"> di supporto </w:t>
      </w:r>
      <w:r w:rsidR="008757C9" w:rsidRPr="00BA08BB">
        <w:rPr>
          <w:rFonts w:ascii="Times New Roman" w:hAnsi="Times New Roman"/>
          <w:sz w:val="24"/>
        </w:rPr>
        <w:t xml:space="preserve">per la </w:t>
      </w:r>
      <w:r w:rsidRPr="00BA08BB">
        <w:rPr>
          <w:rFonts w:ascii="Times New Roman" w:hAnsi="Times New Roman"/>
          <w:sz w:val="24"/>
        </w:rPr>
        <w:t>valutazione della sua congruità, e cioè dell’idoneità dei suoi contenuti ad assicurare al concessionario una fonte di utili in grado di consentire il rimborso dei prestito e la gestione proficua dell’attività oggetto di concessione</w:t>
      </w:r>
      <w:r w:rsidR="008757C9" w:rsidRPr="00BA08BB">
        <w:rPr>
          <w:rStyle w:val="Rimandonotaapidipagina"/>
          <w:rFonts w:ascii="Times New Roman" w:hAnsi="Times New Roman"/>
          <w:sz w:val="24"/>
        </w:rPr>
        <w:footnoteReference w:id="20"/>
      </w:r>
      <w:r w:rsidR="00B47FAE" w:rsidRPr="00BA08BB">
        <w:rPr>
          <w:rFonts w:ascii="Times New Roman" w:hAnsi="Times New Roman"/>
          <w:sz w:val="24"/>
        </w:rPr>
        <w:t xml:space="preserve">. </w:t>
      </w:r>
      <w:r w:rsidR="0099662F" w:rsidRPr="00BA08BB">
        <w:rPr>
          <w:rFonts w:ascii="Times New Roman" w:hAnsi="Times New Roman"/>
          <w:sz w:val="24"/>
        </w:rPr>
        <w:t xml:space="preserve"> </w:t>
      </w:r>
      <w:r w:rsidR="00C71321">
        <w:rPr>
          <w:rFonts w:ascii="Times New Roman" w:hAnsi="Times New Roman"/>
          <w:sz w:val="24"/>
        </w:rPr>
        <w:t>L’amministrazione deve, quindi, valutare la</w:t>
      </w:r>
      <w:r w:rsidR="0099662F" w:rsidRPr="00BA08BB">
        <w:rPr>
          <w:rFonts w:ascii="Times New Roman" w:hAnsi="Times New Roman"/>
          <w:sz w:val="24"/>
        </w:rPr>
        <w:t xml:space="preserve"> coerenza e soste</w:t>
      </w:r>
      <w:r w:rsidR="00421E84" w:rsidRPr="00BA08BB">
        <w:rPr>
          <w:rFonts w:ascii="Times New Roman" w:hAnsi="Times New Roman"/>
          <w:sz w:val="24"/>
        </w:rPr>
        <w:t>nibilità economica dell’offerta</w:t>
      </w:r>
      <w:r w:rsidR="008757C9" w:rsidRPr="00BA08BB">
        <w:rPr>
          <w:rFonts w:ascii="Times New Roman" w:hAnsi="Times New Roman"/>
          <w:sz w:val="24"/>
        </w:rPr>
        <w:t>, come risultante dal piano</w:t>
      </w:r>
      <w:r w:rsidR="0099662F" w:rsidRPr="00BA08BB">
        <w:rPr>
          <w:rFonts w:ascii="Times New Roman" w:hAnsi="Times New Roman"/>
          <w:sz w:val="24"/>
        </w:rPr>
        <w:t xml:space="preserve"> economico e finanziario</w:t>
      </w:r>
      <w:r w:rsidR="008757C9" w:rsidRPr="00BA08BB">
        <w:rPr>
          <w:rFonts w:ascii="Times New Roman" w:hAnsi="Times New Roman"/>
          <w:sz w:val="24"/>
        </w:rPr>
        <w:t>,</w:t>
      </w:r>
      <w:r w:rsidR="0099662F" w:rsidRPr="00BA08BB">
        <w:rPr>
          <w:rFonts w:ascii="Times New Roman" w:hAnsi="Times New Roman"/>
          <w:sz w:val="24"/>
        </w:rPr>
        <w:t xml:space="preserve"> sotto il profilo dei ricavi attesi e dei relativi flussi di cassa in rapporto ai costi di produzione e gestione </w:t>
      </w:r>
      <w:r w:rsidR="00036EF7" w:rsidRPr="00BA08BB">
        <w:rPr>
          <w:rStyle w:val="Rimandonotaapidipagina"/>
          <w:rFonts w:ascii="Times New Roman" w:hAnsi="Times New Roman"/>
          <w:sz w:val="24"/>
        </w:rPr>
        <w:footnoteReference w:id="21"/>
      </w:r>
      <w:r w:rsidR="00036EF7" w:rsidRPr="00BA08BB">
        <w:rPr>
          <w:rFonts w:ascii="Times New Roman" w:hAnsi="Times New Roman"/>
          <w:sz w:val="24"/>
        </w:rPr>
        <w:t>.</w:t>
      </w:r>
    </w:p>
    <w:p w:rsidR="00344216" w:rsidRPr="00BA08BB" w:rsidRDefault="00D26860" w:rsidP="00BA08BB">
      <w:pPr>
        <w:spacing w:line="480" w:lineRule="auto"/>
        <w:jc w:val="both"/>
        <w:rPr>
          <w:rFonts w:ascii="Times New Roman" w:hAnsi="Times New Roman"/>
          <w:sz w:val="24"/>
        </w:rPr>
      </w:pPr>
      <w:r w:rsidRPr="00BA08BB">
        <w:rPr>
          <w:rFonts w:ascii="Times New Roman" w:hAnsi="Times New Roman"/>
          <w:sz w:val="24"/>
        </w:rPr>
        <w:t>Per l’elab</w:t>
      </w:r>
      <w:r w:rsidR="00036EF7" w:rsidRPr="00BA08BB">
        <w:rPr>
          <w:rFonts w:ascii="Times New Roman" w:hAnsi="Times New Roman"/>
          <w:sz w:val="24"/>
        </w:rPr>
        <w:t xml:space="preserve">orazione di un PEF attendibile </w:t>
      </w:r>
      <w:r w:rsidRPr="00BA08BB">
        <w:rPr>
          <w:rFonts w:ascii="Times New Roman" w:hAnsi="Times New Roman"/>
          <w:sz w:val="24"/>
        </w:rPr>
        <w:t xml:space="preserve">non è sufficiente </w:t>
      </w:r>
      <w:r w:rsidR="00E15DD5" w:rsidRPr="00BA08BB">
        <w:rPr>
          <w:rFonts w:ascii="Times New Roman" w:hAnsi="Times New Roman"/>
          <w:sz w:val="24"/>
        </w:rPr>
        <w:t xml:space="preserve">che le clausole contrattali comportino il trasferimento del rischio, ma è necessario che siano specificati tutti gli oneri economici che concorrono a definire il rischio che l’operatore economico è chiamato ad assumere. Se, infatti, l’operatore non è posto a conoscenza di tutti gli oneri del servizio che dovrà svolgere, non è in condizione di valutare se, congruamente con la sua organizzazione di impresa, sarà in grado di sostenere il rischio senza incorrere in perdite di attività e la sua offerta risulterà inevitabilmente non attendibile, potendo </w:t>
      </w:r>
      <w:r w:rsidR="00C71321">
        <w:rPr>
          <w:rFonts w:ascii="Times New Roman" w:hAnsi="Times New Roman"/>
          <w:sz w:val="24"/>
        </w:rPr>
        <w:t>essere indotto</w:t>
      </w:r>
      <w:r w:rsidR="00E15DD5" w:rsidRPr="00BA08BB">
        <w:rPr>
          <w:rFonts w:ascii="Times New Roman" w:hAnsi="Times New Roman"/>
          <w:sz w:val="24"/>
        </w:rPr>
        <w:t xml:space="preserve"> a rivedere al ribasso la qualità del servizio offerto in corso di rapporto solo per evitare perdite. </w:t>
      </w:r>
    </w:p>
    <w:p w:rsidR="00D26860" w:rsidRPr="00BA08BB" w:rsidRDefault="00344216" w:rsidP="00BA08BB">
      <w:pPr>
        <w:spacing w:line="480" w:lineRule="auto"/>
        <w:jc w:val="both"/>
        <w:rPr>
          <w:rFonts w:ascii="Times New Roman" w:hAnsi="Times New Roman"/>
          <w:sz w:val="24"/>
        </w:rPr>
      </w:pPr>
      <w:r w:rsidRPr="00BA08BB">
        <w:rPr>
          <w:rFonts w:ascii="Times New Roman" w:hAnsi="Times New Roman"/>
          <w:sz w:val="24"/>
        </w:rPr>
        <w:t xml:space="preserve">In applicazione delle coordinate interpretative sopra richiamate- rivolgendo per un attimo l’attenzione ai risvolti concreti </w:t>
      </w:r>
      <w:r w:rsidR="002731A1" w:rsidRPr="00BA08BB">
        <w:rPr>
          <w:rFonts w:ascii="Times New Roman" w:hAnsi="Times New Roman"/>
          <w:sz w:val="24"/>
        </w:rPr>
        <w:t>di</w:t>
      </w:r>
      <w:r w:rsidRPr="00BA08BB">
        <w:rPr>
          <w:rFonts w:ascii="Times New Roman" w:hAnsi="Times New Roman"/>
          <w:sz w:val="24"/>
        </w:rPr>
        <w:t xml:space="preserve"> disciplina- il Consiglio di Stato </w:t>
      </w:r>
      <w:r w:rsidR="00E15DD5" w:rsidRPr="00BA08BB">
        <w:rPr>
          <w:rFonts w:ascii="Times New Roman" w:hAnsi="Times New Roman"/>
          <w:sz w:val="24"/>
        </w:rPr>
        <w:t>ha an</w:t>
      </w:r>
      <w:r w:rsidR="00B47FAE" w:rsidRPr="00BA08BB">
        <w:rPr>
          <w:rFonts w:ascii="Times New Roman" w:hAnsi="Times New Roman"/>
          <w:sz w:val="24"/>
        </w:rPr>
        <w:t>n</w:t>
      </w:r>
      <w:r w:rsidR="00E15DD5" w:rsidRPr="00BA08BB">
        <w:rPr>
          <w:rFonts w:ascii="Times New Roman" w:hAnsi="Times New Roman"/>
          <w:sz w:val="24"/>
        </w:rPr>
        <w:t>ullato un bando di gara per sottoscr</w:t>
      </w:r>
      <w:r w:rsidR="00B47FAE" w:rsidRPr="00BA08BB">
        <w:rPr>
          <w:rFonts w:ascii="Times New Roman" w:hAnsi="Times New Roman"/>
          <w:sz w:val="24"/>
        </w:rPr>
        <w:t>i</w:t>
      </w:r>
      <w:r w:rsidR="00E15DD5" w:rsidRPr="00BA08BB">
        <w:rPr>
          <w:rFonts w:ascii="Times New Roman" w:hAnsi="Times New Roman"/>
          <w:sz w:val="24"/>
        </w:rPr>
        <w:t xml:space="preserve">zione mediante </w:t>
      </w:r>
      <w:r w:rsidR="00E15DD5" w:rsidRPr="00A96709">
        <w:rPr>
          <w:rFonts w:ascii="Times New Roman" w:hAnsi="Times New Roman"/>
          <w:i/>
          <w:sz w:val="24"/>
        </w:rPr>
        <w:t>project financing</w:t>
      </w:r>
      <w:r w:rsidR="00E15DD5" w:rsidRPr="00BA08BB">
        <w:rPr>
          <w:rFonts w:ascii="Times New Roman" w:hAnsi="Times New Roman"/>
          <w:sz w:val="24"/>
        </w:rPr>
        <w:t xml:space="preserve"> di un EPC</w:t>
      </w:r>
      <w:r w:rsidRPr="00BA08BB">
        <w:rPr>
          <w:rFonts w:ascii="Times New Roman" w:hAnsi="Times New Roman"/>
          <w:sz w:val="24"/>
        </w:rPr>
        <w:t xml:space="preserve"> (</w:t>
      </w:r>
      <w:r w:rsidRPr="00BA08BB">
        <w:rPr>
          <w:rFonts w:ascii="Times New Roman" w:hAnsi="Times New Roman"/>
          <w:i/>
          <w:sz w:val="24"/>
        </w:rPr>
        <w:t>Energy Performace Contract</w:t>
      </w:r>
      <w:r w:rsidRPr="00BA08BB">
        <w:rPr>
          <w:rFonts w:ascii="Times New Roman" w:hAnsi="Times New Roman"/>
          <w:sz w:val="24"/>
        </w:rPr>
        <w:t>)</w:t>
      </w:r>
      <w:r w:rsidR="002731A1" w:rsidRPr="00BA08BB">
        <w:rPr>
          <w:rFonts w:ascii="Times New Roman" w:hAnsi="Times New Roman"/>
          <w:sz w:val="24"/>
        </w:rPr>
        <w:t>, avente ad oggetto la riqualificazione e l’ampliamento d</w:t>
      </w:r>
      <w:r w:rsidR="00A53DE6">
        <w:rPr>
          <w:rFonts w:ascii="Times New Roman" w:hAnsi="Times New Roman"/>
          <w:sz w:val="24"/>
        </w:rPr>
        <w:t xml:space="preserve">i un </w:t>
      </w:r>
      <w:r w:rsidR="002731A1" w:rsidRPr="00BA08BB">
        <w:rPr>
          <w:rFonts w:ascii="Times New Roman" w:hAnsi="Times New Roman"/>
          <w:sz w:val="24"/>
        </w:rPr>
        <w:t xml:space="preserve">impianto di illuminazione comunale, </w:t>
      </w:r>
      <w:r w:rsidR="00B47FAE" w:rsidRPr="00BA08BB">
        <w:rPr>
          <w:rFonts w:ascii="Times New Roman" w:hAnsi="Times New Roman"/>
          <w:sz w:val="24"/>
        </w:rPr>
        <w:t xml:space="preserve">poiché </w:t>
      </w:r>
      <w:r w:rsidR="00E15DD5" w:rsidRPr="00BA08BB">
        <w:rPr>
          <w:rFonts w:ascii="Times New Roman" w:hAnsi="Times New Roman"/>
          <w:sz w:val="24"/>
        </w:rPr>
        <w:t>le condizioni di esecuzione del servizio previste negli atti di gara non consenti</w:t>
      </w:r>
      <w:r w:rsidR="00B47FAE" w:rsidRPr="00BA08BB">
        <w:rPr>
          <w:rFonts w:ascii="Times New Roman" w:hAnsi="Times New Roman"/>
          <w:sz w:val="24"/>
        </w:rPr>
        <w:t>vano</w:t>
      </w:r>
      <w:r w:rsidR="00E15DD5" w:rsidRPr="00BA08BB">
        <w:rPr>
          <w:rFonts w:ascii="Times New Roman" w:hAnsi="Times New Roman"/>
          <w:sz w:val="24"/>
        </w:rPr>
        <w:t xml:space="preserve"> la formulazione di una offerta economicamente sostenibile, dato che</w:t>
      </w:r>
      <w:r w:rsidR="00A53DE6">
        <w:rPr>
          <w:rFonts w:ascii="Times New Roman" w:hAnsi="Times New Roman"/>
          <w:sz w:val="24"/>
        </w:rPr>
        <w:t>,</w:t>
      </w:r>
      <w:r w:rsidR="00E15DD5" w:rsidRPr="00BA08BB">
        <w:rPr>
          <w:rFonts w:ascii="Times New Roman" w:hAnsi="Times New Roman"/>
          <w:sz w:val="24"/>
        </w:rPr>
        <w:t xml:space="preserve"> per un verso</w:t>
      </w:r>
      <w:r w:rsidR="00A53DE6">
        <w:rPr>
          <w:rFonts w:ascii="Times New Roman" w:hAnsi="Times New Roman"/>
          <w:sz w:val="24"/>
        </w:rPr>
        <w:t>,</w:t>
      </w:r>
      <w:r w:rsidR="00E15DD5" w:rsidRPr="00BA08BB">
        <w:rPr>
          <w:rFonts w:ascii="Times New Roman" w:hAnsi="Times New Roman"/>
          <w:sz w:val="24"/>
        </w:rPr>
        <w:t xml:space="preserve"> il canone annuo era parametrato sulle somme corrisposte dal Comune per il funzionamento dell’impianto al momento dell’indizione della procedura di gara, ma</w:t>
      </w:r>
      <w:r w:rsidR="00A53DE6">
        <w:rPr>
          <w:rFonts w:ascii="Times New Roman" w:hAnsi="Times New Roman"/>
          <w:sz w:val="24"/>
        </w:rPr>
        <w:t>,</w:t>
      </w:r>
      <w:r w:rsidR="00E15DD5" w:rsidRPr="00BA08BB">
        <w:rPr>
          <w:rFonts w:ascii="Times New Roman" w:hAnsi="Times New Roman"/>
          <w:sz w:val="24"/>
        </w:rPr>
        <w:t xml:space="preserve"> per altro verso</w:t>
      </w:r>
      <w:r w:rsidR="00A53DE6">
        <w:rPr>
          <w:rFonts w:ascii="Times New Roman" w:hAnsi="Times New Roman"/>
          <w:sz w:val="24"/>
        </w:rPr>
        <w:t>,</w:t>
      </w:r>
      <w:r w:rsidR="00E15DD5" w:rsidRPr="00BA08BB">
        <w:rPr>
          <w:rFonts w:ascii="Times New Roman" w:hAnsi="Times New Roman"/>
          <w:sz w:val="24"/>
        </w:rPr>
        <w:t xml:space="preserve"> erano previsti taluni interventi di manutenzione periodica</w:t>
      </w:r>
      <w:r w:rsidR="002731A1" w:rsidRPr="00BA08BB">
        <w:rPr>
          <w:rFonts w:ascii="Times New Roman" w:hAnsi="Times New Roman"/>
          <w:sz w:val="24"/>
        </w:rPr>
        <w:t xml:space="preserve"> (quali “verniciatura di tutti i pali di sostegno” e della “sostituzione dei corpi illuminanti” -“sorgenti a LED”, analiticamente indicati dall’amministrazione</w:t>
      </w:r>
      <w:r w:rsidR="00A53DE6">
        <w:rPr>
          <w:rFonts w:ascii="Times New Roman" w:hAnsi="Times New Roman"/>
          <w:sz w:val="24"/>
        </w:rPr>
        <w:t xml:space="preserve"> che,</w:t>
      </w:r>
      <w:r w:rsidR="002731A1" w:rsidRPr="00BA08BB">
        <w:rPr>
          <w:rFonts w:ascii="Times New Roman" w:hAnsi="Times New Roman"/>
          <w:sz w:val="24"/>
        </w:rPr>
        <w:t xml:space="preserve"> tuttavia, aveva omesso di quantificarne l’onere economico)</w:t>
      </w:r>
      <w:r w:rsidR="00E15DD5" w:rsidRPr="00BA08BB">
        <w:rPr>
          <w:rFonts w:ascii="Times New Roman" w:hAnsi="Times New Roman"/>
          <w:sz w:val="24"/>
        </w:rPr>
        <w:t xml:space="preserve"> i cui costi avrebbero inciso a tal punto sull’attività del privato concessionario da rendere non più </w:t>
      </w:r>
      <w:r w:rsidR="00B47FAE" w:rsidRPr="00BA08BB">
        <w:rPr>
          <w:rFonts w:ascii="Times New Roman" w:hAnsi="Times New Roman"/>
          <w:sz w:val="24"/>
        </w:rPr>
        <w:t>remunerativo il servizio svolto.</w:t>
      </w:r>
      <w:r w:rsidRPr="00BA08BB">
        <w:rPr>
          <w:rStyle w:val="Rimandonotaapidipagina"/>
          <w:rFonts w:ascii="Times New Roman" w:hAnsi="Times New Roman"/>
          <w:sz w:val="24"/>
        </w:rPr>
        <w:footnoteReference w:id="22"/>
      </w:r>
    </w:p>
    <w:p w:rsidR="00421E84" w:rsidRPr="00BA08BB" w:rsidRDefault="00421E84" w:rsidP="00BA08BB">
      <w:pPr>
        <w:spacing w:line="480" w:lineRule="auto"/>
        <w:jc w:val="both"/>
        <w:rPr>
          <w:rFonts w:ascii="Times New Roman" w:hAnsi="Times New Roman"/>
          <w:sz w:val="24"/>
        </w:rPr>
      </w:pPr>
      <w:r w:rsidRPr="00BA08BB">
        <w:rPr>
          <w:rFonts w:ascii="Times New Roman" w:hAnsi="Times New Roman"/>
          <w:sz w:val="24"/>
        </w:rPr>
        <w:t>Corretta allocazione dei rischi e redazione di un PEF in grado di supportare, in prospettiva di medio e lungo periodo</w:t>
      </w:r>
      <w:r w:rsidR="00A53DE6">
        <w:rPr>
          <w:rFonts w:ascii="Times New Roman" w:hAnsi="Times New Roman"/>
          <w:sz w:val="24"/>
        </w:rPr>
        <w:t>,</w:t>
      </w:r>
      <w:r w:rsidRPr="00BA08BB">
        <w:rPr>
          <w:rFonts w:ascii="Times New Roman" w:hAnsi="Times New Roman"/>
          <w:sz w:val="24"/>
        </w:rPr>
        <w:t xml:space="preserve"> l’equilibrio e la remuneratività dell’operazione rendono il contratto di non facile redazione, tenuto </w:t>
      </w:r>
      <w:r w:rsidR="00A96709">
        <w:rPr>
          <w:rFonts w:ascii="Times New Roman" w:hAnsi="Times New Roman"/>
          <w:sz w:val="24"/>
        </w:rPr>
        <w:t xml:space="preserve">conto </w:t>
      </w:r>
      <w:r w:rsidR="00B05684" w:rsidRPr="00BA08BB">
        <w:rPr>
          <w:rFonts w:ascii="Times New Roman" w:hAnsi="Times New Roman"/>
          <w:sz w:val="24"/>
        </w:rPr>
        <w:t>anche della necessità di garantire un adeguato monitoraggio dell’esecuzione al fine di mantenere inalterati la distribuzione del rischio e l’equilibrio economico finanziario originari</w:t>
      </w:r>
      <w:r w:rsidR="00B05684" w:rsidRPr="00BA08BB">
        <w:rPr>
          <w:rStyle w:val="Rimandonotaapidipagina"/>
          <w:rFonts w:ascii="Times New Roman" w:hAnsi="Times New Roman"/>
          <w:sz w:val="24"/>
        </w:rPr>
        <w:footnoteReference w:id="23"/>
      </w:r>
      <w:r w:rsidR="00B05684" w:rsidRPr="00BA08BB">
        <w:rPr>
          <w:rFonts w:ascii="Times New Roman" w:hAnsi="Times New Roman"/>
          <w:sz w:val="24"/>
        </w:rPr>
        <w:t>.</w:t>
      </w:r>
    </w:p>
    <w:p w:rsidR="0098478A" w:rsidRPr="00BA08BB" w:rsidRDefault="00F33253" w:rsidP="00BA08BB">
      <w:pPr>
        <w:spacing w:line="480" w:lineRule="auto"/>
        <w:jc w:val="both"/>
        <w:rPr>
          <w:rFonts w:ascii="Times New Roman" w:hAnsi="Times New Roman"/>
          <w:sz w:val="24"/>
        </w:rPr>
      </w:pPr>
      <w:r w:rsidRPr="00BA08BB">
        <w:rPr>
          <w:rFonts w:ascii="Times New Roman" w:hAnsi="Times New Roman"/>
          <w:sz w:val="24"/>
        </w:rPr>
        <w:t xml:space="preserve">Proprio per supportare le parti nella fase di redazione del testo contrattuale sono stati elaborati schemi di contratti standard. </w:t>
      </w:r>
      <w:r w:rsidR="0098478A" w:rsidRPr="00BA08BB">
        <w:rPr>
          <w:rFonts w:ascii="Times New Roman" w:hAnsi="Times New Roman"/>
          <w:sz w:val="24"/>
        </w:rPr>
        <w:t xml:space="preserve"> </w:t>
      </w:r>
    </w:p>
    <w:p w:rsidR="00F33253" w:rsidRPr="00BA08BB" w:rsidRDefault="0098478A" w:rsidP="00BA08BB">
      <w:pPr>
        <w:spacing w:line="480" w:lineRule="auto"/>
        <w:jc w:val="both"/>
        <w:rPr>
          <w:rFonts w:ascii="Times New Roman" w:hAnsi="Times New Roman"/>
          <w:sz w:val="24"/>
        </w:rPr>
      </w:pPr>
      <w:r w:rsidRPr="00BA08BB">
        <w:rPr>
          <w:rFonts w:ascii="Times New Roman" w:hAnsi="Times New Roman"/>
          <w:sz w:val="24"/>
        </w:rPr>
        <w:t xml:space="preserve">Il </w:t>
      </w:r>
      <w:r w:rsidR="00D92CBB" w:rsidRPr="00BA08BB">
        <w:rPr>
          <w:rFonts w:ascii="Times New Roman" w:hAnsi="Times New Roman"/>
          <w:sz w:val="24"/>
        </w:rPr>
        <w:t>contratto tipo</w:t>
      </w:r>
      <w:r w:rsidR="00F33253" w:rsidRPr="00BA08BB">
        <w:rPr>
          <w:rFonts w:ascii="Times New Roman" w:hAnsi="Times New Roman"/>
          <w:sz w:val="24"/>
        </w:rPr>
        <w:t xml:space="preserve"> ha il duplice vantaggio</w:t>
      </w:r>
      <w:r w:rsidR="00D92CBB" w:rsidRPr="00BA08BB">
        <w:rPr>
          <w:rFonts w:ascii="Times New Roman" w:hAnsi="Times New Roman"/>
          <w:sz w:val="24"/>
        </w:rPr>
        <w:t>- di particolare rilievo per gli interventi del PNRR-</w:t>
      </w:r>
      <w:r w:rsidR="00F33253" w:rsidRPr="00BA08BB">
        <w:rPr>
          <w:rFonts w:ascii="Times New Roman" w:hAnsi="Times New Roman"/>
          <w:sz w:val="24"/>
        </w:rPr>
        <w:t xml:space="preserve"> di rid</w:t>
      </w:r>
      <w:r w:rsidR="00D92CBB" w:rsidRPr="00BA08BB">
        <w:rPr>
          <w:rFonts w:ascii="Times New Roman" w:hAnsi="Times New Roman"/>
          <w:sz w:val="24"/>
        </w:rPr>
        <w:t>urre i tempi di contrattazione</w:t>
      </w:r>
      <w:r w:rsidR="00F33253" w:rsidRPr="00BA08BB">
        <w:rPr>
          <w:rFonts w:ascii="Times New Roman" w:hAnsi="Times New Roman"/>
          <w:sz w:val="24"/>
        </w:rPr>
        <w:t xml:space="preserve"> e di </w:t>
      </w:r>
      <w:r w:rsidR="00D92CBB" w:rsidRPr="00BA08BB">
        <w:rPr>
          <w:rFonts w:ascii="Times New Roman" w:hAnsi="Times New Roman"/>
          <w:sz w:val="24"/>
        </w:rPr>
        <w:t>contenere</w:t>
      </w:r>
      <w:r w:rsidR="00F33253" w:rsidRPr="00BA08BB">
        <w:rPr>
          <w:rFonts w:ascii="Times New Roman" w:hAnsi="Times New Roman"/>
          <w:sz w:val="24"/>
        </w:rPr>
        <w:t xml:space="preserve"> i rischi di disfunzioni operative del contratto con l’insorgere </w:t>
      </w:r>
      <w:r w:rsidR="00EB1961" w:rsidRPr="00BA08BB">
        <w:rPr>
          <w:rFonts w:ascii="Times New Roman" w:hAnsi="Times New Roman"/>
          <w:sz w:val="24"/>
        </w:rPr>
        <w:t>di contenzioso. Come è stat</w:t>
      </w:r>
      <w:r w:rsidR="00F33253" w:rsidRPr="00BA08BB">
        <w:rPr>
          <w:rFonts w:ascii="Times New Roman" w:hAnsi="Times New Roman"/>
          <w:sz w:val="24"/>
        </w:rPr>
        <w:t>o correttamente osservato,</w:t>
      </w:r>
      <w:r w:rsidR="00D92CBB" w:rsidRPr="00BA08BB">
        <w:rPr>
          <w:rFonts w:ascii="Times New Roman" w:hAnsi="Times New Roman"/>
          <w:sz w:val="24"/>
        </w:rPr>
        <w:t xml:space="preserve"> la predisposizione di un contra</w:t>
      </w:r>
      <w:r w:rsidR="00A53DE6">
        <w:rPr>
          <w:rFonts w:ascii="Times New Roman" w:hAnsi="Times New Roman"/>
          <w:sz w:val="24"/>
        </w:rPr>
        <w:t>t</w:t>
      </w:r>
      <w:r w:rsidR="00F33253" w:rsidRPr="00BA08BB">
        <w:rPr>
          <w:rFonts w:ascii="Times New Roman" w:hAnsi="Times New Roman"/>
          <w:sz w:val="24"/>
        </w:rPr>
        <w:t xml:space="preserve">to standard </w:t>
      </w:r>
      <w:r w:rsidR="00D92CBB" w:rsidRPr="00BA08BB">
        <w:rPr>
          <w:rFonts w:ascii="Times New Roman" w:hAnsi="Times New Roman"/>
          <w:sz w:val="24"/>
        </w:rPr>
        <w:t>può cons</w:t>
      </w:r>
      <w:r w:rsidR="00EB1961" w:rsidRPr="00BA08BB">
        <w:rPr>
          <w:rFonts w:ascii="Times New Roman" w:hAnsi="Times New Roman"/>
          <w:sz w:val="24"/>
        </w:rPr>
        <w:t>entire di limitare</w:t>
      </w:r>
      <w:r w:rsidR="00F33253" w:rsidRPr="00BA08BB">
        <w:rPr>
          <w:rFonts w:ascii="Times New Roman" w:hAnsi="Times New Roman"/>
          <w:sz w:val="24"/>
        </w:rPr>
        <w:t xml:space="preserve"> i costi transattivi, inducendo certezza e ce</w:t>
      </w:r>
      <w:r w:rsidR="00EB1961" w:rsidRPr="00BA08BB">
        <w:rPr>
          <w:rFonts w:ascii="Times New Roman" w:hAnsi="Times New Roman"/>
          <w:sz w:val="24"/>
        </w:rPr>
        <w:t xml:space="preserve">lerità nei traffici giuridici, </w:t>
      </w:r>
      <w:r w:rsidR="00F33253" w:rsidRPr="00BA08BB">
        <w:rPr>
          <w:rFonts w:ascii="Times New Roman" w:hAnsi="Times New Roman"/>
          <w:sz w:val="24"/>
        </w:rPr>
        <w:t xml:space="preserve">permettendo di </w:t>
      </w:r>
      <w:r w:rsidR="00EB1961" w:rsidRPr="00BA08BB">
        <w:rPr>
          <w:rFonts w:ascii="Times New Roman" w:hAnsi="Times New Roman"/>
          <w:sz w:val="24"/>
        </w:rPr>
        <w:t>calcolare gli esiti eco</w:t>
      </w:r>
      <w:r w:rsidR="00F33253" w:rsidRPr="00BA08BB">
        <w:rPr>
          <w:rFonts w:ascii="Times New Roman" w:hAnsi="Times New Roman"/>
          <w:sz w:val="24"/>
        </w:rPr>
        <w:t xml:space="preserve">nomici del contrarre, nonché di ridurre il rischio che </w:t>
      </w:r>
      <w:r w:rsidR="00EB1961" w:rsidRPr="00BA08BB">
        <w:rPr>
          <w:rFonts w:ascii="Times New Roman" w:hAnsi="Times New Roman"/>
          <w:sz w:val="24"/>
        </w:rPr>
        <w:t>insorgano controversie sul</w:t>
      </w:r>
      <w:r w:rsidR="00F33253" w:rsidRPr="00BA08BB">
        <w:rPr>
          <w:rFonts w:ascii="Times New Roman" w:hAnsi="Times New Roman"/>
          <w:sz w:val="24"/>
        </w:rPr>
        <w:t xml:space="preserve">l’esecuzione degli obblighi contrattuali, </w:t>
      </w:r>
      <w:r w:rsidR="00303125">
        <w:rPr>
          <w:rFonts w:ascii="Times New Roman" w:hAnsi="Times New Roman"/>
          <w:sz w:val="24"/>
        </w:rPr>
        <w:t>soprattutto</w:t>
      </w:r>
      <w:r w:rsidR="00F33253" w:rsidRPr="00BA08BB">
        <w:rPr>
          <w:rFonts w:ascii="Times New Roman" w:hAnsi="Times New Roman"/>
          <w:sz w:val="24"/>
        </w:rPr>
        <w:t xml:space="preserve"> qualora le clausole contrattuali siano di natura tecnica e di elevata complessità </w:t>
      </w:r>
      <w:r w:rsidR="00F33253" w:rsidRPr="00BA08BB">
        <w:rPr>
          <w:rStyle w:val="Rimandonotaapidipagina"/>
          <w:rFonts w:ascii="Times New Roman" w:hAnsi="Times New Roman"/>
          <w:sz w:val="24"/>
        </w:rPr>
        <w:footnoteReference w:id="24"/>
      </w:r>
      <w:r w:rsidR="00EB1961" w:rsidRPr="00BA08BB">
        <w:rPr>
          <w:rFonts w:ascii="Times New Roman" w:hAnsi="Times New Roman"/>
          <w:sz w:val="24"/>
        </w:rPr>
        <w:t xml:space="preserve">. </w:t>
      </w:r>
    </w:p>
    <w:p w:rsidR="004B66CF" w:rsidRPr="00BA08BB" w:rsidRDefault="00303125" w:rsidP="00BA08BB">
      <w:pPr>
        <w:spacing w:line="480" w:lineRule="auto"/>
        <w:jc w:val="both"/>
        <w:rPr>
          <w:rFonts w:ascii="Times New Roman" w:hAnsi="Times New Roman"/>
          <w:sz w:val="24"/>
        </w:rPr>
      </w:pPr>
      <w:r>
        <w:rPr>
          <w:rFonts w:ascii="Times New Roman" w:hAnsi="Times New Roman"/>
          <w:sz w:val="24"/>
        </w:rPr>
        <w:t>La</w:t>
      </w:r>
      <w:r w:rsidR="004B66CF" w:rsidRPr="00EC3974">
        <w:rPr>
          <w:rFonts w:ascii="Times New Roman" w:hAnsi="Times New Roman"/>
          <w:sz w:val="24"/>
        </w:rPr>
        <w:t xml:space="preserve"> Ragioneria generale dello Stato</w:t>
      </w:r>
      <w:r w:rsidR="004B66CF" w:rsidRPr="00BA08BB">
        <w:rPr>
          <w:rFonts w:ascii="Times New Roman" w:hAnsi="Times New Roman"/>
          <w:sz w:val="24"/>
        </w:rPr>
        <w:t xml:space="preserve"> ha</w:t>
      </w:r>
      <w:r>
        <w:rPr>
          <w:rFonts w:ascii="Times New Roman" w:hAnsi="Times New Roman"/>
          <w:sz w:val="24"/>
        </w:rPr>
        <w:t xml:space="preserve">, </w:t>
      </w:r>
      <w:r w:rsidR="004A7888">
        <w:rPr>
          <w:rFonts w:ascii="Times New Roman" w:hAnsi="Times New Roman"/>
          <w:sz w:val="24"/>
        </w:rPr>
        <w:t>infatti</w:t>
      </w:r>
      <w:r>
        <w:rPr>
          <w:rFonts w:ascii="Times New Roman" w:hAnsi="Times New Roman"/>
          <w:sz w:val="24"/>
        </w:rPr>
        <w:t>,</w:t>
      </w:r>
      <w:r w:rsidR="004B66CF" w:rsidRPr="00BA08BB">
        <w:rPr>
          <w:rFonts w:ascii="Times New Roman" w:hAnsi="Times New Roman"/>
          <w:sz w:val="24"/>
        </w:rPr>
        <w:t xml:space="preserve"> predisposto uno schema di contrat</w:t>
      </w:r>
      <w:r w:rsidR="00A53DE6">
        <w:rPr>
          <w:rFonts w:ascii="Times New Roman" w:hAnsi="Times New Roman"/>
          <w:sz w:val="24"/>
        </w:rPr>
        <w:t>t</w:t>
      </w:r>
      <w:r w:rsidR="004B66CF" w:rsidRPr="00BA08BB">
        <w:rPr>
          <w:rFonts w:ascii="Times New Roman" w:hAnsi="Times New Roman"/>
          <w:sz w:val="24"/>
        </w:rPr>
        <w:t>o standard</w:t>
      </w:r>
      <w:r w:rsidR="009E6047">
        <w:rPr>
          <w:rStyle w:val="Rimandonotaapidipagina"/>
          <w:rFonts w:ascii="Times New Roman" w:hAnsi="Times New Roman"/>
          <w:sz w:val="24"/>
        </w:rPr>
        <w:footnoteReference w:id="25"/>
      </w:r>
      <w:r w:rsidR="004B66CF" w:rsidRPr="00BA08BB">
        <w:rPr>
          <w:rFonts w:ascii="Times New Roman" w:hAnsi="Times New Roman"/>
          <w:sz w:val="24"/>
        </w:rPr>
        <w:t xml:space="preserve"> per l'affidamento della progettazione, costruzione e gestione di opere pubbliche a diretto utilizzo della pubblica amministrazione da realizzare in partenariato pubblico-privato, su cui il Consiglio di Stato si è espresso </w:t>
      </w:r>
      <w:r w:rsidR="00A53DE6">
        <w:rPr>
          <w:rFonts w:ascii="Times New Roman" w:hAnsi="Times New Roman"/>
          <w:sz w:val="24"/>
        </w:rPr>
        <w:t>con</w:t>
      </w:r>
      <w:r w:rsidR="004B66CF" w:rsidRPr="00BA08BB">
        <w:rPr>
          <w:rFonts w:ascii="Times New Roman" w:hAnsi="Times New Roman"/>
          <w:sz w:val="24"/>
        </w:rPr>
        <w:t xml:space="preserve"> parere </w:t>
      </w:r>
      <w:r w:rsidR="00462330">
        <w:rPr>
          <w:rFonts w:ascii="Times New Roman" w:hAnsi="Times New Roman"/>
          <w:sz w:val="24"/>
        </w:rPr>
        <w:t xml:space="preserve">n. </w:t>
      </w:r>
      <w:r w:rsidR="00A9451A" w:rsidRPr="00BA08BB">
        <w:rPr>
          <w:rFonts w:ascii="Times New Roman" w:hAnsi="Times New Roman"/>
          <w:sz w:val="24"/>
        </w:rPr>
        <w:t>823/2020.</w:t>
      </w:r>
    </w:p>
    <w:p w:rsidR="00A9451A" w:rsidRPr="00BA08BB" w:rsidRDefault="00A9451A" w:rsidP="00BA08BB">
      <w:pPr>
        <w:spacing w:line="480" w:lineRule="auto"/>
        <w:jc w:val="both"/>
        <w:rPr>
          <w:rFonts w:ascii="Times New Roman" w:hAnsi="Times New Roman"/>
          <w:sz w:val="24"/>
        </w:rPr>
      </w:pPr>
      <w:r w:rsidRPr="00BA08BB">
        <w:rPr>
          <w:rFonts w:ascii="Times New Roman" w:hAnsi="Times New Roman"/>
          <w:sz w:val="24"/>
        </w:rPr>
        <w:t>Si tratta</w:t>
      </w:r>
      <w:r w:rsidR="00AB081B">
        <w:rPr>
          <w:rFonts w:ascii="Times New Roman" w:hAnsi="Times New Roman"/>
          <w:sz w:val="24"/>
        </w:rPr>
        <w:t xml:space="preserve"> </w:t>
      </w:r>
      <w:r w:rsidRPr="00BA08BB">
        <w:rPr>
          <w:rFonts w:ascii="Times New Roman" w:hAnsi="Times New Roman"/>
          <w:sz w:val="24"/>
        </w:rPr>
        <w:t xml:space="preserve">di uno strumento operativo volto a superare il </w:t>
      </w:r>
      <w:r w:rsidRPr="00BA08BB">
        <w:rPr>
          <w:rFonts w:ascii="Times New Roman" w:hAnsi="Times New Roman"/>
          <w:i/>
          <w:sz w:val="24"/>
        </w:rPr>
        <w:t>gap</w:t>
      </w:r>
      <w:r w:rsidRPr="00BA08BB">
        <w:rPr>
          <w:rFonts w:ascii="Times New Roman" w:hAnsi="Times New Roman"/>
          <w:sz w:val="24"/>
        </w:rPr>
        <w:t xml:space="preserve"> di competenze pubbliche che rappresenta un concreto ostacolo all’utilizzo </w:t>
      </w:r>
      <w:r w:rsidR="00462330">
        <w:rPr>
          <w:rFonts w:ascii="Times New Roman" w:hAnsi="Times New Roman"/>
          <w:sz w:val="24"/>
        </w:rPr>
        <w:t>del partenariato</w:t>
      </w:r>
      <w:r w:rsidRPr="00BA08BB">
        <w:rPr>
          <w:rFonts w:ascii="Times New Roman" w:hAnsi="Times New Roman"/>
          <w:sz w:val="24"/>
        </w:rPr>
        <w:t>.</w:t>
      </w:r>
    </w:p>
    <w:p w:rsidR="00EB1961" w:rsidRPr="00BA08BB" w:rsidRDefault="004A7F39" w:rsidP="00BA08BB">
      <w:pPr>
        <w:spacing w:line="480" w:lineRule="auto"/>
        <w:jc w:val="both"/>
        <w:rPr>
          <w:rFonts w:ascii="Times New Roman" w:hAnsi="Times New Roman"/>
          <w:sz w:val="24"/>
        </w:rPr>
      </w:pPr>
      <w:r w:rsidRPr="00BA08BB">
        <w:rPr>
          <w:rFonts w:ascii="Times New Roman" w:hAnsi="Times New Roman"/>
          <w:sz w:val="24"/>
        </w:rPr>
        <w:t xml:space="preserve">Nella medesima direzione dell’ampliamento </w:t>
      </w:r>
      <w:r w:rsidR="00DD1FBE" w:rsidRPr="00BA08BB">
        <w:rPr>
          <w:rFonts w:ascii="Times New Roman" w:hAnsi="Times New Roman"/>
          <w:sz w:val="24"/>
        </w:rPr>
        <w:t>d</w:t>
      </w:r>
      <w:r w:rsidR="003F059C">
        <w:rPr>
          <w:rFonts w:ascii="Times New Roman" w:hAnsi="Times New Roman"/>
          <w:sz w:val="24"/>
        </w:rPr>
        <w:t>ell’</w:t>
      </w:r>
      <w:r w:rsidRPr="00BA08BB">
        <w:rPr>
          <w:rFonts w:ascii="Times New Roman" w:hAnsi="Times New Roman"/>
          <w:sz w:val="24"/>
        </w:rPr>
        <w:t xml:space="preserve">utilizzo </w:t>
      </w:r>
      <w:r w:rsidR="003F059C">
        <w:rPr>
          <w:rFonts w:ascii="Times New Roman" w:hAnsi="Times New Roman"/>
          <w:sz w:val="24"/>
        </w:rPr>
        <w:t>del parternariato</w:t>
      </w:r>
      <w:r w:rsidRPr="00BA08BB">
        <w:rPr>
          <w:rFonts w:ascii="Times New Roman" w:hAnsi="Times New Roman"/>
          <w:sz w:val="24"/>
        </w:rPr>
        <w:t xml:space="preserve"> si collocano le più recenti modifiche introdotte dal decreto semplificazioni che rendono il modello particolarmente adatto </w:t>
      </w:r>
      <w:r w:rsidR="00017E8D" w:rsidRPr="00BA08BB">
        <w:rPr>
          <w:rFonts w:ascii="Times New Roman" w:hAnsi="Times New Roman"/>
          <w:sz w:val="24"/>
        </w:rPr>
        <w:t>a</w:t>
      </w:r>
      <w:r w:rsidRPr="00BA08BB">
        <w:rPr>
          <w:rFonts w:ascii="Times New Roman" w:hAnsi="Times New Roman"/>
          <w:sz w:val="24"/>
        </w:rPr>
        <w:t xml:space="preserve"> talune tipologie di intervento del PNRR, quali l’efficientamento energetico delle scuole</w:t>
      </w:r>
      <w:r w:rsidR="003F059C">
        <w:rPr>
          <w:rFonts w:ascii="Times New Roman" w:hAnsi="Times New Roman"/>
          <w:sz w:val="24"/>
        </w:rPr>
        <w:t>,</w:t>
      </w:r>
      <w:r w:rsidRPr="00BA08BB">
        <w:rPr>
          <w:rFonts w:ascii="Times New Roman" w:hAnsi="Times New Roman"/>
          <w:sz w:val="24"/>
        </w:rPr>
        <w:t xml:space="preserve"> degli uffici pubblici e dell’edilizia convenzionata, </w:t>
      </w:r>
      <w:r w:rsidR="00CB3262" w:rsidRPr="00BA08BB">
        <w:rPr>
          <w:rFonts w:ascii="Times New Roman" w:hAnsi="Times New Roman"/>
          <w:sz w:val="24"/>
        </w:rPr>
        <w:t>la realizzazione di infrastrutture di trasporto urbano</w:t>
      </w:r>
      <w:r w:rsidRPr="00BA08BB">
        <w:rPr>
          <w:rFonts w:ascii="Times New Roman" w:hAnsi="Times New Roman"/>
          <w:sz w:val="24"/>
        </w:rPr>
        <w:t xml:space="preserve">, </w:t>
      </w:r>
      <w:r w:rsidR="00E75D24" w:rsidRPr="00BA08BB">
        <w:rPr>
          <w:rFonts w:ascii="Times New Roman" w:hAnsi="Times New Roman"/>
          <w:sz w:val="24"/>
        </w:rPr>
        <w:t>la digitalizzazione, l’adeguamento sismico, la rigenerazione urbana.</w:t>
      </w:r>
    </w:p>
    <w:p w:rsidR="00F62169" w:rsidRPr="00BA08BB" w:rsidRDefault="003473DB" w:rsidP="00BA08BB">
      <w:pPr>
        <w:spacing w:line="480" w:lineRule="auto"/>
        <w:jc w:val="both"/>
        <w:rPr>
          <w:rFonts w:ascii="Times New Roman" w:hAnsi="Times New Roman"/>
          <w:sz w:val="24"/>
        </w:rPr>
      </w:pPr>
      <w:r w:rsidRPr="00BA08BB">
        <w:rPr>
          <w:rFonts w:ascii="Times New Roman" w:hAnsi="Times New Roman"/>
          <w:sz w:val="24"/>
        </w:rPr>
        <w:t xml:space="preserve">Il decreto semplificazioni (d.l. 76/2020) ha inciso sulla disciplina del contratti di partenariato pubblico privato contenuta nel codice in una duplice direzione: </w:t>
      </w:r>
      <w:r w:rsidRPr="00BA08BB">
        <w:rPr>
          <w:rFonts w:ascii="Times New Roman" w:hAnsi="Times New Roman"/>
          <w:i/>
          <w:sz w:val="24"/>
        </w:rPr>
        <w:t>i</w:t>
      </w:r>
      <w:r w:rsidR="00DD1FBE" w:rsidRPr="00BA08BB">
        <w:rPr>
          <w:rFonts w:ascii="Times New Roman" w:hAnsi="Times New Roman"/>
          <w:sz w:val="24"/>
        </w:rPr>
        <w:t>) ha previsto che</w:t>
      </w:r>
      <w:r w:rsidR="00017E8D" w:rsidRPr="00BA08BB">
        <w:rPr>
          <w:rFonts w:ascii="Times New Roman" w:hAnsi="Times New Roman"/>
          <w:sz w:val="24"/>
        </w:rPr>
        <w:t>,</w:t>
      </w:r>
      <w:r w:rsidR="00DD1FBE" w:rsidRPr="00BA08BB">
        <w:rPr>
          <w:rFonts w:ascii="Times New Roman" w:hAnsi="Times New Roman"/>
          <w:sz w:val="24"/>
        </w:rPr>
        <w:t xml:space="preserve"> nel caso di utilizzo del modello di PPP per i</w:t>
      </w:r>
      <w:r w:rsidRPr="00BA08BB">
        <w:rPr>
          <w:rFonts w:ascii="Times New Roman" w:hAnsi="Times New Roman"/>
          <w:sz w:val="24"/>
        </w:rPr>
        <w:t xml:space="preserve"> contratti di rendimento energetico e di prestazione energetica (EPC</w:t>
      </w:r>
      <w:r w:rsidR="00B47FAE" w:rsidRPr="00BA08BB">
        <w:rPr>
          <w:rFonts w:ascii="Times New Roman" w:hAnsi="Times New Roman"/>
          <w:sz w:val="24"/>
        </w:rPr>
        <w:t xml:space="preserve">: </w:t>
      </w:r>
      <w:r w:rsidR="00B47FAE" w:rsidRPr="00BA08BB">
        <w:rPr>
          <w:rFonts w:ascii="Times New Roman" w:hAnsi="Times New Roman"/>
          <w:i/>
          <w:sz w:val="24"/>
        </w:rPr>
        <w:t>Energy Performace Contract</w:t>
      </w:r>
      <w:r w:rsidRPr="00BA08BB">
        <w:rPr>
          <w:rFonts w:ascii="Times New Roman" w:hAnsi="Times New Roman"/>
          <w:sz w:val="24"/>
        </w:rPr>
        <w:t>)</w:t>
      </w:r>
      <w:r w:rsidR="00017E8D" w:rsidRPr="00BA08BB">
        <w:rPr>
          <w:rFonts w:ascii="Times New Roman" w:hAnsi="Times New Roman"/>
          <w:sz w:val="24"/>
        </w:rPr>
        <w:t>,</w:t>
      </w:r>
      <w:r w:rsidR="00DD1FBE" w:rsidRPr="00BA08BB">
        <w:rPr>
          <w:rFonts w:ascii="Times New Roman" w:hAnsi="Times New Roman"/>
          <w:sz w:val="24"/>
        </w:rPr>
        <w:t xml:space="preserve"> i ricavi di gestione possono essere commisurati al livello di miglioramento dell’efficienza energetica o di altri criteri di prestazione energetica stabiliti contrattualmente (art. 180 comma 2) </w:t>
      </w:r>
      <w:r w:rsidRPr="00BA08BB">
        <w:rPr>
          <w:rFonts w:ascii="Times New Roman" w:hAnsi="Times New Roman"/>
          <w:sz w:val="24"/>
        </w:rPr>
        <w:t xml:space="preserve">; </w:t>
      </w:r>
      <w:r w:rsidRPr="00BA08BB">
        <w:rPr>
          <w:rFonts w:ascii="Times New Roman" w:hAnsi="Times New Roman"/>
          <w:i/>
          <w:sz w:val="24"/>
        </w:rPr>
        <w:t>ii</w:t>
      </w:r>
      <w:r w:rsidRPr="00BA08BB">
        <w:rPr>
          <w:rFonts w:ascii="Times New Roman" w:hAnsi="Times New Roman"/>
          <w:sz w:val="24"/>
        </w:rPr>
        <w:t>) ha modificato l’art</w:t>
      </w:r>
      <w:r w:rsidR="00DD1FBE" w:rsidRPr="00BA08BB">
        <w:rPr>
          <w:rFonts w:ascii="Times New Roman" w:hAnsi="Times New Roman"/>
          <w:sz w:val="24"/>
        </w:rPr>
        <w:t>.</w:t>
      </w:r>
      <w:r w:rsidRPr="00BA08BB">
        <w:rPr>
          <w:rFonts w:ascii="Times New Roman" w:hAnsi="Times New Roman"/>
          <w:sz w:val="24"/>
        </w:rPr>
        <w:t xml:space="preserve"> 18</w:t>
      </w:r>
      <w:r w:rsidR="00017E8D" w:rsidRPr="00BA08BB">
        <w:rPr>
          <w:rFonts w:ascii="Times New Roman" w:hAnsi="Times New Roman"/>
          <w:sz w:val="24"/>
        </w:rPr>
        <w:t>3</w:t>
      </w:r>
      <w:r w:rsidRPr="00BA08BB">
        <w:rPr>
          <w:rFonts w:ascii="Times New Roman" w:hAnsi="Times New Roman"/>
          <w:sz w:val="24"/>
        </w:rPr>
        <w:t xml:space="preserve"> comma 15 </w:t>
      </w:r>
      <w:r w:rsidR="00017E8D" w:rsidRPr="00BA08BB">
        <w:rPr>
          <w:rFonts w:ascii="Times New Roman" w:hAnsi="Times New Roman"/>
          <w:sz w:val="24"/>
        </w:rPr>
        <w:t xml:space="preserve">del codice </w:t>
      </w:r>
      <w:r w:rsidRPr="00BA08BB">
        <w:rPr>
          <w:rFonts w:ascii="Times New Roman" w:hAnsi="Times New Roman"/>
          <w:sz w:val="24"/>
        </w:rPr>
        <w:t xml:space="preserve">in tema di </w:t>
      </w:r>
      <w:r w:rsidRPr="00BA08BB">
        <w:rPr>
          <w:rFonts w:ascii="Times New Roman" w:hAnsi="Times New Roman"/>
          <w:i/>
          <w:sz w:val="24"/>
        </w:rPr>
        <w:t>project financing</w:t>
      </w:r>
      <w:r w:rsidR="00017E8D" w:rsidRPr="00BA08BB">
        <w:rPr>
          <w:rFonts w:ascii="Times New Roman" w:hAnsi="Times New Roman"/>
          <w:i/>
          <w:sz w:val="24"/>
        </w:rPr>
        <w:t>,</w:t>
      </w:r>
      <w:r w:rsidRPr="00BA08BB">
        <w:rPr>
          <w:rFonts w:ascii="Times New Roman" w:hAnsi="Times New Roman"/>
          <w:sz w:val="24"/>
        </w:rPr>
        <w:t xml:space="preserve"> estendendo la possibilità per gli operatori economici di presentare proposte per la realizzazione in concessione di lavori pubblici o di lavori di pubblica utilità</w:t>
      </w:r>
      <w:r w:rsidR="00017E8D" w:rsidRPr="00BA08BB">
        <w:rPr>
          <w:rFonts w:ascii="Times New Roman" w:hAnsi="Times New Roman"/>
          <w:sz w:val="24"/>
        </w:rPr>
        <w:t xml:space="preserve"> anche ove già inclusi negli strumenti</w:t>
      </w:r>
      <w:r w:rsidRPr="00BA08BB">
        <w:rPr>
          <w:rFonts w:ascii="Times New Roman" w:hAnsi="Times New Roman"/>
          <w:sz w:val="24"/>
        </w:rPr>
        <w:t xml:space="preserve"> programmazione </w:t>
      </w:r>
      <w:r w:rsidR="00017E8D" w:rsidRPr="00BA08BB">
        <w:rPr>
          <w:rFonts w:ascii="Times New Roman" w:hAnsi="Times New Roman"/>
          <w:sz w:val="24"/>
        </w:rPr>
        <w:t>triennale (lavori) e biennale (beni e servizi) dell’amministrazione</w:t>
      </w:r>
      <w:r w:rsidRPr="00BA08BB">
        <w:rPr>
          <w:rFonts w:ascii="Times New Roman" w:hAnsi="Times New Roman"/>
          <w:sz w:val="24"/>
        </w:rPr>
        <w:t>.</w:t>
      </w:r>
    </w:p>
    <w:p w:rsidR="00D85ECD" w:rsidRPr="00BA08BB" w:rsidRDefault="00D85ECD" w:rsidP="00BA08BB">
      <w:pPr>
        <w:spacing w:line="480" w:lineRule="auto"/>
        <w:jc w:val="both"/>
        <w:rPr>
          <w:rFonts w:ascii="Times New Roman" w:hAnsi="Times New Roman"/>
          <w:sz w:val="24"/>
        </w:rPr>
      </w:pPr>
      <w:r w:rsidRPr="00BA08BB">
        <w:rPr>
          <w:rFonts w:ascii="Times New Roman" w:hAnsi="Times New Roman"/>
          <w:sz w:val="24"/>
        </w:rPr>
        <w:t xml:space="preserve">Sotto il primo profilo </w:t>
      </w:r>
      <w:r w:rsidR="00017E8D" w:rsidRPr="00BA08BB">
        <w:rPr>
          <w:rFonts w:ascii="Times New Roman" w:hAnsi="Times New Roman"/>
          <w:sz w:val="24"/>
        </w:rPr>
        <w:t>è stata</w:t>
      </w:r>
      <w:r w:rsidR="003F059C">
        <w:rPr>
          <w:rFonts w:ascii="Times New Roman" w:hAnsi="Times New Roman"/>
          <w:sz w:val="24"/>
        </w:rPr>
        <w:t xml:space="preserve"> </w:t>
      </w:r>
      <w:r w:rsidR="00017E8D" w:rsidRPr="00BA08BB">
        <w:rPr>
          <w:rFonts w:ascii="Times New Roman" w:hAnsi="Times New Roman"/>
          <w:sz w:val="24"/>
        </w:rPr>
        <w:t>introdotta una</w:t>
      </w:r>
      <w:r w:rsidRPr="00BA08BB">
        <w:rPr>
          <w:rFonts w:ascii="Times New Roman" w:hAnsi="Times New Roman"/>
          <w:sz w:val="24"/>
        </w:rPr>
        <w:t xml:space="preserve"> specifica </w:t>
      </w:r>
      <w:r w:rsidR="00B47FAE" w:rsidRPr="00BA08BB">
        <w:rPr>
          <w:rFonts w:ascii="Times New Roman" w:hAnsi="Times New Roman"/>
          <w:sz w:val="24"/>
        </w:rPr>
        <w:t xml:space="preserve">previsione </w:t>
      </w:r>
      <w:r w:rsidR="00017E8D" w:rsidRPr="00BA08BB">
        <w:rPr>
          <w:rFonts w:ascii="Times New Roman" w:hAnsi="Times New Roman"/>
          <w:sz w:val="24"/>
        </w:rPr>
        <w:t>per i</w:t>
      </w:r>
      <w:r w:rsidRPr="00BA08BB">
        <w:rPr>
          <w:rFonts w:ascii="Times New Roman" w:hAnsi="Times New Roman"/>
          <w:sz w:val="24"/>
        </w:rPr>
        <w:t xml:space="preserve"> contratti di rendimento energetico</w:t>
      </w:r>
      <w:r w:rsidR="003F059C">
        <w:rPr>
          <w:rFonts w:ascii="Times New Roman" w:hAnsi="Times New Roman"/>
          <w:sz w:val="24"/>
        </w:rPr>
        <w:t>,</w:t>
      </w:r>
      <w:r w:rsidRPr="00BA08BB">
        <w:rPr>
          <w:rFonts w:ascii="Times New Roman" w:hAnsi="Times New Roman"/>
          <w:sz w:val="24"/>
        </w:rPr>
        <w:t xml:space="preserve"> </w:t>
      </w:r>
      <w:r w:rsidR="00017E8D" w:rsidRPr="00BA08BB">
        <w:rPr>
          <w:rFonts w:ascii="Times New Roman" w:hAnsi="Times New Roman"/>
          <w:sz w:val="24"/>
        </w:rPr>
        <w:t xml:space="preserve">già </w:t>
      </w:r>
      <w:r w:rsidRPr="00BA08BB">
        <w:rPr>
          <w:rFonts w:ascii="Times New Roman" w:hAnsi="Times New Roman"/>
          <w:sz w:val="24"/>
        </w:rPr>
        <w:t>disciplinat</w:t>
      </w:r>
      <w:r w:rsidR="00B47FAE" w:rsidRPr="00BA08BB">
        <w:rPr>
          <w:rFonts w:ascii="Times New Roman" w:hAnsi="Times New Roman"/>
          <w:sz w:val="24"/>
        </w:rPr>
        <w:t>i</w:t>
      </w:r>
      <w:r w:rsidRPr="00BA08BB">
        <w:rPr>
          <w:rFonts w:ascii="Times New Roman" w:hAnsi="Times New Roman"/>
          <w:sz w:val="24"/>
        </w:rPr>
        <w:t xml:space="preserve"> dal </w:t>
      </w:r>
      <w:r w:rsidR="00017E8D" w:rsidRPr="00BA08BB">
        <w:rPr>
          <w:rFonts w:ascii="Times New Roman" w:hAnsi="Times New Roman"/>
          <w:sz w:val="24"/>
        </w:rPr>
        <w:t xml:space="preserve">d.lgs 4 luglio 2014, n. 102 </w:t>
      </w:r>
      <w:r w:rsidRPr="00BA08BB">
        <w:rPr>
          <w:rFonts w:ascii="Times New Roman" w:hAnsi="Times New Roman"/>
          <w:sz w:val="24"/>
        </w:rPr>
        <w:t>al fine di dare attuazione alla politica di efficientamento energetico adottata dall’Unione europea (Direttiva 2006/32/CE, successivamente abrogata dalla Direttiva 2012/27/UE). Si tratta di uno strumento fondamentale per la riqualificazione energetica degli immobili di proprietà pubblica e per il miglioramento dell’efficienza energetica a lungo termine</w:t>
      </w:r>
      <w:r w:rsidR="00EA5033" w:rsidRPr="00BA08BB">
        <w:rPr>
          <w:rFonts w:ascii="Times New Roman" w:hAnsi="Times New Roman"/>
          <w:sz w:val="24"/>
        </w:rPr>
        <w:t>, finalizzat</w:t>
      </w:r>
      <w:r w:rsidR="00723AA6" w:rsidRPr="00BA08BB">
        <w:rPr>
          <w:rFonts w:ascii="Times New Roman" w:hAnsi="Times New Roman"/>
          <w:sz w:val="24"/>
        </w:rPr>
        <w:t>o</w:t>
      </w:r>
      <w:r w:rsidR="00EA5033" w:rsidRPr="00BA08BB">
        <w:rPr>
          <w:rFonts w:ascii="Times New Roman" w:hAnsi="Times New Roman"/>
          <w:sz w:val="24"/>
        </w:rPr>
        <w:t xml:space="preserve"> all’attuazione del principio europeo che pone l’efficienza energetica al primo posto</w:t>
      </w:r>
      <w:r w:rsidR="003A2383" w:rsidRPr="00BA08BB">
        <w:rPr>
          <w:rFonts w:ascii="Times New Roman" w:hAnsi="Times New Roman"/>
          <w:sz w:val="24"/>
        </w:rPr>
        <w:t xml:space="preserve"> </w:t>
      </w:r>
      <w:r w:rsidR="00723AA6" w:rsidRPr="00BA08BB">
        <w:rPr>
          <w:rFonts w:ascii="Times New Roman" w:hAnsi="Times New Roman"/>
          <w:sz w:val="24"/>
        </w:rPr>
        <w:t>(</w:t>
      </w:r>
      <w:r w:rsidR="00EA5033" w:rsidRPr="00BA08BB">
        <w:rPr>
          <w:rFonts w:ascii="Times New Roman" w:hAnsi="Times New Roman"/>
          <w:sz w:val="24"/>
        </w:rPr>
        <w:t>art</w:t>
      </w:r>
      <w:r w:rsidR="00ED00C5">
        <w:rPr>
          <w:rFonts w:ascii="Times New Roman" w:hAnsi="Times New Roman"/>
          <w:sz w:val="24"/>
        </w:rPr>
        <w:t>.</w:t>
      </w:r>
      <w:r w:rsidR="00EA5033" w:rsidRPr="00BA08BB">
        <w:rPr>
          <w:rFonts w:ascii="Times New Roman" w:hAnsi="Times New Roman"/>
          <w:sz w:val="24"/>
        </w:rPr>
        <w:t xml:space="preserve"> 5 </w:t>
      </w:r>
      <w:r w:rsidR="003A2383" w:rsidRPr="00BA08BB">
        <w:rPr>
          <w:rFonts w:ascii="Times New Roman" w:hAnsi="Times New Roman"/>
          <w:sz w:val="24"/>
        </w:rPr>
        <w:t>d</w:t>
      </w:r>
      <w:r w:rsidR="00AB3431" w:rsidRPr="00BA08BB">
        <w:rPr>
          <w:rFonts w:ascii="Times New Roman" w:hAnsi="Times New Roman"/>
          <w:sz w:val="24"/>
        </w:rPr>
        <w:t>.</w:t>
      </w:r>
      <w:r w:rsidR="003A2383" w:rsidRPr="00BA08BB">
        <w:rPr>
          <w:rFonts w:ascii="Times New Roman" w:hAnsi="Times New Roman"/>
          <w:sz w:val="24"/>
        </w:rPr>
        <w:t xml:space="preserve"> lgs 102/2014</w:t>
      </w:r>
      <w:r w:rsidR="00723AA6" w:rsidRPr="00BA08BB">
        <w:rPr>
          <w:rFonts w:ascii="Times New Roman" w:hAnsi="Times New Roman"/>
          <w:sz w:val="24"/>
        </w:rPr>
        <w:t>)</w:t>
      </w:r>
      <w:r w:rsidR="00ED00C5">
        <w:rPr>
          <w:rFonts w:ascii="Times New Roman" w:hAnsi="Times New Roman"/>
          <w:sz w:val="24"/>
        </w:rPr>
        <w:t>.</w:t>
      </w:r>
    </w:p>
    <w:p w:rsidR="002941CF" w:rsidRPr="00BA08BB" w:rsidRDefault="00AB3431" w:rsidP="00BA08BB">
      <w:pPr>
        <w:spacing w:line="480" w:lineRule="auto"/>
        <w:jc w:val="both"/>
        <w:rPr>
          <w:rFonts w:ascii="Times New Roman" w:hAnsi="Times New Roman"/>
          <w:sz w:val="24"/>
        </w:rPr>
      </w:pPr>
      <w:r w:rsidRPr="00BA08BB">
        <w:rPr>
          <w:rFonts w:ascii="Times New Roman" w:hAnsi="Times New Roman"/>
          <w:sz w:val="24"/>
        </w:rPr>
        <w:t>L’efficienza energetica e la riqualificazione degli edifici è un obiettivo fondamentale del PNRR</w:t>
      </w:r>
      <w:r w:rsidR="003A7128" w:rsidRPr="00BA08BB">
        <w:rPr>
          <w:rFonts w:ascii="Times New Roman" w:hAnsi="Times New Roman"/>
          <w:sz w:val="24"/>
        </w:rPr>
        <w:t xml:space="preserve"> </w:t>
      </w:r>
      <w:r w:rsidRPr="00BA08BB">
        <w:rPr>
          <w:rFonts w:ascii="Times New Roman" w:hAnsi="Times New Roman"/>
          <w:sz w:val="24"/>
        </w:rPr>
        <w:t>(Missione 2</w:t>
      </w:r>
      <w:r w:rsidR="00E37093" w:rsidRPr="00BA08BB">
        <w:rPr>
          <w:rFonts w:ascii="Times New Roman" w:hAnsi="Times New Roman"/>
          <w:sz w:val="24"/>
        </w:rPr>
        <w:t>, Componente 3</w:t>
      </w:r>
      <w:r w:rsidRPr="00BA08BB">
        <w:rPr>
          <w:rFonts w:ascii="Times New Roman" w:hAnsi="Times New Roman"/>
          <w:sz w:val="24"/>
        </w:rPr>
        <w:t xml:space="preserve">), </w:t>
      </w:r>
      <w:r w:rsidR="00E37093" w:rsidRPr="00BA08BB">
        <w:rPr>
          <w:rFonts w:ascii="Times New Roman" w:hAnsi="Times New Roman"/>
          <w:sz w:val="24"/>
        </w:rPr>
        <w:t>tenuto conto che</w:t>
      </w:r>
      <w:r w:rsidR="00177D15">
        <w:rPr>
          <w:rFonts w:ascii="Times New Roman" w:hAnsi="Times New Roman"/>
          <w:sz w:val="24"/>
        </w:rPr>
        <w:t>, come evidenziato dal Piano,</w:t>
      </w:r>
      <w:r w:rsidR="00E37093" w:rsidRPr="00BA08BB">
        <w:rPr>
          <w:rFonts w:ascii="Times New Roman" w:hAnsi="Times New Roman"/>
          <w:sz w:val="24"/>
        </w:rPr>
        <w:t xml:space="preserve"> </w:t>
      </w:r>
      <w:r w:rsidR="00177D15">
        <w:rPr>
          <w:rFonts w:ascii="Times New Roman" w:hAnsi="Times New Roman"/>
          <w:sz w:val="24"/>
        </w:rPr>
        <w:t>“</w:t>
      </w:r>
      <w:r w:rsidR="00E37093" w:rsidRPr="00177D15">
        <w:rPr>
          <w:rFonts w:ascii="Times New Roman" w:hAnsi="Times New Roman"/>
          <w:i/>
          <w:sz w:val="24"/>
        </w:rPr>
        <w:t>l’incremento del livello di efficienza degli edifici rappresenta una delle leve più virtuose per la riduzione delle emissioni e che nel nostro Paese soffre di un parco edifici con oltre il 60 per cento dello stock superiore a 45 anni, sia negli edifici pubblici (es. scuole, cittadelle giudiziarie), sia negli edifici privati</w:t>
      </w:r>
      <w:r w:rsidR="00177D15">
        <w:rPr>
          <w:rFonts w:ascii="Times New Roman" w:hAnsi="Times New Roman"/>
          <w:sz w:val="24"/>
        </w:rPr>
        <w:t>”</w:t>
      </w:r>
      <w:r w:rsidR="00E37093" w:rsidRPr="00BA08BB">
        <w:rPr>
          <w:rFonts w:ascii="Times New Roman" w:hAnsi="Times New Roman"/>
          <w:sz w:val="24"/>
        </w:rPr>
        <w:t>.</w:t>
      </w:r>
      <w:r w:rsidR="00E37093" w:rsidRPr="00BA08BB">
        <w:rPr>
          <w:rStyle w:val="Rimandonotaapidipagina"/>
          <w:rFonts w:ascii="Times New Roman" w:hAnsi="Times New Roman"/>
          <w:sz w:val="24"/>
        </w:rPr>
        <w:footnoteReference w:id="26"/>
      </w:r>
    </w:p>
    <w:p w:rsidR="007F75D5" w:rsidRPr="00BA08BB" w:rsidRDefault="002941CF" w:rsidP="00BA08BB">
      <w:pPr>
        <w:spacing w:line="480" w:lineRule="auto"/>
        <w:jc w:val="both"/>
        <w:rPr>
          <w:rFonts w:ascii="Times New Roman" w:hAnsi="Times New Roman"/>
          <w:sz w:val="24"/>
        </w:rPr>
      </w:pPr>
      <w:r w:rsidRPr="00BA08BB">
        <w:rPr>
          <w:rFonts w:ascii="Times New Roman" w:hAnsi="Times New Roman"/>
          <w:sz w:val="24"/>
        </w:rPr>
        <w:t>Sul piano strutturale, il c</w:t>
      </w:r>
      <w:r w:rsidR="003A2383" w:rsidRPr="00BA08BB">
        <w:rPr>
          <w:rFonts w:ascii="Times New Roman" w:hAnsi="Times New Roman"/>
          <w:sz w:val="24"/>
        </w:rPr>
        <w:t xml:space="preserve">ontratto di rendimento energetico </w:t>
      </w:r>
      <w:r w:rsidR="00723AA6" w:rsidRPr="00BA08BB">
        <w:rPr>
          <w:rFonts w:ascii="Times New Roman" w:hAnsi="Times New Roman"/>
          <w:sz w:val="24"/>
        </w:rPr>
        <w:t>e</w:t>
      </w:r>
      <w:r w:rsidR="003A2383" w:rsidRPr="00BA08BB">
        <w:rPr>
          <w:rFonts w:ascii="Times New Roman" w:hAnsi="Times New Roman"/>
          <w:sz w:val="24"/>
        </w:rPr>
        <w:t xml:space="preserve"> di prestazione energetica </w:t>
      </w:r>
      <w:r w:rsidRPr="00BA08BB">
        <w:rPr>
          <w:rFonts w:ascii="Times New Roman" w:hAnsi="Times New Roman"/>
          <w:sz w:val="24"/>
        </w:rPr>
        <w:t>è</w:t>
      </w:r>
      <w:r w:rsidR="00723AA6" w:rsidRPr="00BA08BB">
        <w:rPr>
          <w:rFonts w:ascii="Times New Roman" w:hAnsi="Times New Roman"/>
          <w:sz w:val="24"/>
        </w:rPr>
        <w:t xml:space="preserve"> un</w:t>
      </w:r>
      <w:r w:rsidR="003A2383" w:rsidRPr="00BA08BB">
        <w:rPr>
          <w:rFonts w:ascii="Times New Roman" w:hAnsi="Times New Roman"/>
          <w:sz w:val="24"/>
        </w:rPr>
        <w:t xml:space="preserve"> accordo contrattuale tra il beneficiario o chi per esso esercita il potere negoziale e il fornitore di una misura di miglioramento dell'efficienza energetica</w:t>
      </w:r>
      <w:r w:rsidR="001A7588" w:rsidRPr="00BA08BB">
        <w:rPr>
          <w:rFonts w:ascii="Times New Roman" w:hAnsi="Times New Roman"/>
          <w:sz w:val="24"/>
        </w:rPr>
        <w:t xml:space="preserve"> (una società di servizi energetici o ESCO- </w:t>
      </w:r>
      <w:r w:rsidR="001A7588" w:rsidRPr="00BA08BB">
        <w:rPr>
          <w:rFonts w:ascii="Times New Roman" w:hAnsi="Times New Roman"/>
          <w:i/>
          <w:sz w:val="24"/>
        </w:rPr>
        <w:t>Energy Service Company</w:t>
      </w:r>
      <w:r w:rsidR="001A7588" w:rsidRPr="00BA08BB">
        <w:rPr>
          <w:rFonts w:ascii="Times New Roman" w:hAnsi="Times New Roman"/>
          <w:sz w:val="24"/>
        </w:rPr>
        <w:t>)</w:t>
      </w:r>
      <w:r w:rsidR="003A2383" w:rsidRPr="00BA08BB">
        <w:rPr>
          <w:rFonts w:ascii="Times New Roman" w:hAnsi="Times New Roman"/>
          <w:sz w:val="24"/>
        </w:rPr>
        <w:t>, verificata e monitorata durante l'intera durata del contratto, dove gli investimenti (lavori, forniture o servizi) realizzati sono pagati in funzione del livello di miglioramento dell'efficienza energetica stabilito contrattualmente o di altri criteri di prestazione energetica concordati,</w:t>
      </w:r>
      <w:r w:rsidRPr="00BA08BB">
        <w:rPr>
          <w:rFonts w:ascii="Times New Roman" w:hAnsi="Times New Roman"/>
          <w:sz w:val="24"/>
        </w:rPr>
        <w:t xml:space="preserve"> quali risparmi finan</w:t>
      </w:r>
      <w:r w:rsidR="007F75D5" w:rsidRPr="00BA08BB">
        <w:rPr>
          <w:rFonts w:ascii="Times New Roman" w:hAnsi="Times New Roman"/>
          <w:sz w:val="24"/>
        </w:rPr>
        <w:t>ziari (art</w:t>
      </w:r>
      <w:r w:rsidRPr="00BA08BB">
        <w:rPr>
          <w:rFonts w:ascii="Times New Roman" w:hAnsi="Times New Roman"/>
          <w:sz w:val="24"/>
        </w:rPr>
        <w:t>.</w:t>
      </w:r>
      <w:r w:rsidR="00ED00C5">
        <w:rPr>
          <w:rFonts w:ascii="Times New Roman" w:hAnsi="Times New Roman"/>
          <w:sz w:val="24"/>
        </w:rPr>
        <w:t xml:space="preserve"> 2 comma 2 lett. n</w:t>
      </w:r>
      <w:r w:rsidR="007F75D5" w:rsidRPr="00BA08BB">
        <w:rPr>
          <w:rFonts w:ascii="Times New Roman" w:hAnsi="Times New Roman"/>
          <w:sz w:val="24"/>
        </w:rPr>
        <w:t xml:space="preserve"> d</w:t>
      </w:r>
      <w:r w:rsidR="00ED00C5">
        <w:rPr>
          <w:rFonts w:ascii="Times New Roman" w:hAnsi="Times New Roman"/>
          <w:sz w:val="24"/>
        </w:rPr>
        <w:t>.</w:t>
      </w:r>
      <w:r w:rsidR="007F75D5" w:rsidRPr="00BA08BB">
        <w:rPr>
          <w:rFonts w:ascii="Times New Roman" w:hAnsi="Times New Roman"/>
          <w:sz w:val="24"/>
        </w:rPr>
        <w:t xml:space="preserve"> lgs 102/2014)</w:t>
      </w:r>
      <w:r w:rsidR="00ED00C5">
        <w:rPr>
          <w:rFonts w:ascii="Times New Roman" w:hAnsi="Times New Roman"/>
          <w:sz w:val="24"/>
        </w:rPr>
        <w:t>.</w:t>
      </w:r>
    </w:p>
    <w:p w:rsidR="00973B5E" w:rsidRPr="00BA08BB" w:rsidRDefault="00973B5E" w:rsidP="00BA08BB">
      <w:pPr>
        <w:spacing w:line="480" w:lineRule="auto"/>
        <w:jc w:val="both"/>
        <w:rPr>
          <w:rFonts w:ascii="Times New Roman" w:hAnsi="Times New Roman"/>
          <w:sz w:val="24"/>
        </w:rPr>
      </w:pPr>
      <w:r w:rsidRPr="00BA08BB">
        <w:rPr>
          <w:rFonts w:ascii="Times New Roman" w:hAnsi="Times New Roman"/>
          <w:sz w:val="24"/>
        </w:rPr>
        <w:t>Se stipulato con una pubblica amministrazione, il contraente privato assume l’impegno al miglioramento dell’efficienza energetica e ne riceve in cambio una remunerazione variamente calcolata in ragione del risparmio energetico conseguito</w:t>
      </w:r>
      <w:r w:rsidR="00177D15">
        <w:rPr>
          <w:rFonts w:ascii="Times New Roman" w:hAnsi="Times New Roman"/>
          <w:sz w:val="24"/>
        </w:rPr>
        <w:t xml:space="preserve"> e della riduzione del costo dell’energia.</w:t>
      </w:r>
    </w:p>
    <w:p w:rsidR="00973B5E" w:rsidRPr="00BA08BB" w:rsidRDefault="00177D15" w:rsidP="00BA08BB">
      <w:pPr>
        <w:spacing w:line="480" w:lineRule="auto"/>
        <w:jc w:val="both"/>
        <w:rPr>
          <w:rFonts w:ascii="Times New Roman" w:hAnsi="Times New Roman"/>
          <w:sz w:val="24"/>
        </w:rPr>
      </w:pPr>
      <w:r>
        <w:rPr>
          <w:rFonts w:ascii="Times New Roman" w:hAnsi="Times New Roman"/>
          <w:sz w:val="24"/>
        </w:rPr>
        <w:t xml:space="preserve">L’art. </w:t>
      </w:r>
      <w:r w:rsidR="002F5FF7" w:rsidRPr="00BA08BB">
        <w:rPr>
          <w:rFonts w:ascii="Times New Roman" w:hAnsi="Times New Roman"/>
          <w:sz w:val="24"/>
        </w:rPr>
        <w:t>180 comma 2</w:t>
      </w:r>
      <w:r>
        <w:rPr>
          <w:rFonts w:ascii="Times New Roman" w:hAnsi="Times New Roman"/>
          <w:sz w:val="24"/>
        </w:rPr>
        <w:t xml:space="preserve"> del codice, come modificato dall’art</w:t>
      </w:r>
      <w:r w:rsidRPr="00177D15">
        <w:rPr>
          <w:rFonts w:ascii="Times New Roman" w:hAnsi="Times New Roman"/>
          <w:sz w:val="24"/>
        </w:rPr>
        <w:t>. 8, com</w:t>
      </w:r>
      <w:r>
        <w:rPr>
          <w:rFonts w:ascii="Times New Roman" w:hAnsi="Times New Roman"/>
          <w:sz w:val="24"/>
        </w:rPr>
        <w:t>ma 5 lett c-</w:t>
      </w:r>
      <w:r w:rsidRPr="00ED00C5">
        <w:rPr>
          <w:rFonts w:ascii="Times New Roman" w:hAnsi="Times New Roman"/>
          <w:i/>
          <w:sz w:val="24"/>
        </w:rPr>
        <w:t>quater</w:t>
      </w:r>
      <w:r>
        <w:rPr>
          <w:rFonts w:ascii="Times New Roman" w:hAnsi="Times New Roman"/>
          <w:sz w:val="24"/>
        </w:rPr>
        <w:t xml:space="preserve"> d.l. 76/2020, statuisce che</w:t>
      </w:r>
      <w:r w:rsidR="00882ADB" w:rsidRPr="00BA08BB">
        <w:rPr>
          <w:rFonts w:ascii="Times New Roman" w:hAnsi="Times New Roman"/>
          <w:sz w:val="24"/>
        </w:rPr>
        <w:t xml:space="preserve"> i ricavi di gestione di un contratto di efficientamento energetico realizzato tramite PPP </w:t>
      </w:r>
      <w:r w:rsidR="00101FD2">
        <w:rPr>
          <w:rFonts w:ascii="Times New Roman" w:hAnsi="Times New Roman"/>
          <w:sz w:val="24"/>
        </w:rPr>
        <w:t xml:space="preserve">possono </w:t>
      </w:r>
      <w:r>
        <w:rPr>
          <w:rFonts w:ascii="Times New Roman" w:hAnsi="Times New Roman"/>
          <w:sz w:val="24"/>
        </w:rPr>
        <w:t xml:space="preserve">essere determinati </w:t>
      </w:r>
      <w:r w:rsidR="00882ADB" w:rsidRPr="00BA08BB">
        <w:rPr>
          <w:rFonts w:ascii="Times New Roman" w:hAnsi="Times New Roman"/>
          <w:sz w:val="24"/>
        </w:rPr>
        <w:t>e pagati in funzione del miglioramento dell’efficienza energetica o di altri criteri di prestazione energetica stabiliti contrattualmente purch</w:t>
      </w:r>
      <w:r w:rsidR="002F5FF7" w:rsidRPr="00BA08BB">
        <w:rPr>
          <w:rFonts w:ascii="Times New Roman" w:hAnsi="Times New Roman"/>
          <w:sz w:val="24"/>
        </w:rPr>
        <w:t>é</w:t>
      </w:r>
      <w:r w:rsidR="00882ADB" w:rsidRPr="00BA08BB">
        <w:rPr>
          <w:rFonts w:ascii="Times New Roman" w:hAnsi="Times New Roman"/>
          <w:sz w:val="24"/>
        </w:rPr>
        <w:t xml:space="preserve"> qu</w:t>
      </w:r>
      <w:r w:rsidR="002F5FF7" w:rsidRPr="00BA08BB">
        <w:rPr>
          <w:rFonts w:ascii="Times New Roman" w:hAnsi="Times New Roman"/>
          <w:sz w:val="24"/>
        </w:rPr>
        <w:t>antificabili in relazi</w:t>
      </w:r>
      <w:r w:rsidR="00882ADB" w:rsidRPr="00BA08BB">
        <w:rPr>
          <w:rFonts w:ascii="Times New Roman" w:hAnsi="Times New Roman"/>
          <w:sz w:val="24"/>
        </w:rPr>
        <w:t xml:space="preserve">one ai consumi: di qui </w:t>
      </w:r>
      <w:r w:rsidR="002F5FF7" w:rsidRPr="00BA08BB">
        <w:rPr>
          <w:rFonts w:ascii="Times New Roman" w:hAnsi="Times New Roman"/>
          <w:sz w:val="24"/>
        </w:rPr>
        <w:t>l’importanza della quantificazione del miglioramento energetico che l’operatore economico ha l’obbligo di rendere disponibile all’amministrazione e che</w:t>
      </w:r>
      <w:r w:rsidR="00ED00C5">
        <w:rPr>
          <w:rFonts w:ascii="Times New Roman" w:hAnsi="Times New Roman"/>
          <w:sz w:val="24"/>
        </w:rPr>
        <w:t>, come già previsto dal sopra richiamato art. 2 d.lgs 102/2014,</w:t>
      </w:r>
      <w:r w:rsidR="002F5FF7" w:rsidRPr="00BA08BB">
        <w:rPr>
          <w:rFonts w:ascii="Times New Roman" w:hAnsi="Times New Roman"/>
          <w:sz w:val="24"/>
        </w:rPr>
        <w:t xml:space="preserve"> deve essere verificata e monitorata per tutta la durata del contratto, anche mediante piattaforme informatiche dedicate alla raccolta, organizzazione, gestione, elaborazione, valutazione e monitoraggio dei consumi energetici.</w:t>
      </w:r>
      <w:r w:rsidR="00ED00C5">
        <w:rPr>
          <w:rFonts w:ascii="Times New Roman" w:hAnsi="Times New Roman"/>
          <w:sz w:val="24"/>
        </w:rPr>
        <w:t xml:space="preserve"> La novella, pertanto, inserisce il contrat</w:t>
      </w:r>
      <w:r w:rsidR="00735565">
        <w:rPr>
          <w:rFonts w:ascii="Times New Roman" w:hAnsi="Times New Roman"/>
          <w:sz w:val="24"/>
        </w:rPr>
        <w:t>t</w:t>
      </w:r>
      <w:r w:rsidR="00ED00C5">
        <w:rPr>
          <w:rFonts w:ascii="Times New Roman" w:hAnsi="Times New Roman"/>
          <w:sz w:val="24"/>
        </w:rPr>
        <w:t>o di efficientamento energetico, come disciplinato dal d.lgs 102/2014, tra i contratti di partenariato nominativamente indicati dall’art 180.</w:t>
      </w:r>
    </w:p>
    <w:p w:rsidR="004D6686" w:rsidRPr="00BA08BB" w:rsidRDefault="003A2383" w:rsidP="00BA08BB">
      <w:pPr>
        <w:spacing w:line="480" w:lineRule="auto"/>
        <w:jc w:val="both"/>
        <w:rPr>
          <w:rFonts w:ascii="Times New Roman" w:hAnsi="Times New Roman"/>
          <w:sz w:val="24"/>
        </w:rPr>
      </w:pPr>
      <w:r w:rsidRPr="00BA08BB">
        <w:rPr>
          <w:rFonts w:ascii="Times New Roman" w:hAnsi="Times New Roman"/>
          <w:sz w:val="24"/>
        </w:rPr>
        <w:t xml:space="preserve"> </w:t>
      </w:r>
      <w:r w:rsidR="004D6686" w:rsidRPr="00BA08BB">
        <w:rPr>
          <w:rFonts w:ascii="Times New Roman" w:hAnsi="Times New Roman"/>
          <w:sz w:val="24"/>
        </w:rPr>
        <w:t xml:space="preserve">Il Consiglio di Stato </w:t>
      </w:r>
      <w:r w:rsidR="002F5FF7" w:rsidRPr="00BA08BB">
        <w:rPr>
          <w:rStyle w:val="Rimandonotaapidipagina"/>
          <w:rFonts w:ascii="Times New Roman" w:hAnsi="Times New Roman"/>
          <w:sz w:val="24"/>
        </w:rPr>
        <w:footnoteReference w:id="27"/>
      </w:r>
      <w:r w:rsidR="004D6686" w:rsidRPr="00BA08BB">
        <w:rPr>
          <w:rFonts w:ascii="Times New Roman" w:hAnsi="Times New Roman"/>
          <w:sz w:val="24"/>
        </w:rPr>
        <w:t xml:space="preserve">ha precisato che </w:t>
      </w:r>
      <w:r w:rsidR="004B7C82" w:rsidRPr="00BA08BB">
        <w:rPr>
          <w:rFonts w:ascii="Times New Roman" w:hAnsi="Times New Roman"/>
          <w:sz w:val="24"/>
        </w:rPr>
        <w:t xml:space="preserve">l’EPC </w:t>
      </w:r>
      <w:r w:rsidR="004D6686" w:rsidRPr="00BA08BB">
        <w:rPr>
          <w:rFonts w:ascii="Times New Roman" w:hAnsi="Times New Roman"/>
          <w:sz w:val="24"/>
        </w:rPr>
        <w:t xml:space="preserve">è </w:t>
      </w:r>
      <w:r w:rsidR="004B7C82" w:rsidRPr="00BA08BB">
        <w:rPr>
          <w:rFonts w:ascii="Times New Roman" w:hAnsi="Times New Roman"/>
          <w:sz w:val="24"/>
        </w:rPr>
        <w:t xml:space="preserve">volto al </w:t>
      </w:r>
      <w:r w:rsidR="004D6686" w:rsidRPr="00BA08BB">
        <w:rPr>
          <w:rFonts w:ascii="Times New Roman" w:hAnsi="Times New Roman"/>
          <w:sz w:val="24"/>
        </w:rPr>
        <w:t>perseguimento del risparmio energetico come oggetto della prestazione caratteristica del</w:t>
      </w:r>
      <w:r w:rsidR="00723AA6" w:rsidRPr="00BA08BB">
        <w:rPr>
          <w:rFonts w:ascii="Times New Roman" w:hAnsi="Times New Roman"/>
          <w:sz w:val="24"/>
        </w:rPr>
        <w:t xml:space="preserve">la </w:t>
      </w:r>
      <w:r w:rsidR="004B7C82" w:rsidRPr="00BA08BB">
        <w:rPr>
          <w:rFonts w:ascii="Times New Roman" w:hAnsi="Times New Roman"/>
          <w:sz w:val="24"/>
        </w:rPr>
        <w:t>ESCO (</w:t>
      </w:r>
      <w:r w:rsidR="004B7C82" w:rsidRPr="00101FD2">
        <w:rPr>
          <w:rFonts w:ascii="Times New Roman" w:hAnsi="Times New Roman"/>
          <w:i/>
          <w:sz w:val="24"/>
        </w:rPr>
        <w:t>Energy S</w:t>
      </w:r>
      <w:r w:rsidR="004D6686" w:rsidRPr="00101FD2">
        <w:rPr>
          <w:rFonts w:ascii="Times New Roman" w:hAnsi="Times New Roman"/>
          <w:i/>
          <w:sz w:val="24"/>
        </w:rPr>
        <w:t>ervice Company</w:t>
      </w:r>
      <w:r w:rsidR="004D6686" w:rsidRPr="00BA08BB">
        <w:rPr>
          <w:rFonts w:ascii="Times New Roman" w:hAnsi="Times New Roman"/>
          <w:sz w:val="24"/>
        </w:rPr>
        <w:t>)</w:t>
      </w:r>
      <w:r w:rsidR="004B7C82" w:rsidRPr="00BA08BB">
        <w:rPr>
          <w:rFonts w:ascii="Times New Roman" w:hAnsi="Times New Roman"/>
          <w:sz w:val="24"/>
        </w:rPr>
        <w:t xml:space="preserve"> ed è dunque sinallagmaticamente costruito sul paradigma </w:t>
      </w:r>
      <w:r w:rsidR="004B7C82" w:rsidRPr="00BA08BB">
        <w:rPr>
          <w:rFonts w:ascii="Times New Roman" w:hAnsi="Times New Roman"/>
          <w:i/>
          <w:sz w:val="24"/>
        </w:rPr>
        <w:t>do ut facias</w:t>
      </w:r>
      <w:r w:rsidR="004B7C82" w:rsidRPr="00BA08BB">
        <w:rPr>
          <w:rFonts w:ascii="Times New Roman" w:hAnsi="Times New Roman"/>
          <w:sz w:val="24"/>
        </w:rPr>
        <w:t>, incompatibile con la categoria della prestazione (qualitativamente) prevalente alla base dell’operatività della disciplina del contratto misto. L’EPC, pur presentando requisiti propri della concessione di lavori e della concessione di servizi</w:t>
      </w:r>
      <w:r w:rsidR="004D7986" w:rsidRPr="00BA08BB">
        <w:rPr>
          <w:rFonts w:ascii="Times New Roman" w:hAnsi="Times New Roman"/>
          <w:sz w:val="24"/>
        </w:rPr>
        <w:t>, evidenzia come tratto differenziale e specializzante quello per cui il corrispettivo è parametrato al risparmio energetico conseguito per effetto dell’intervento. Da ciò il corretto riferimento al PPP come strumento di cooperazione tra pubblico e privato</w:t>
      </w:r>
      <w:r w:rsidR="00886698" w:rsidRPr="00BA08BB">
        <w:rPr>
          <w:rFonts w:ascii="Times New Roman" w:hAnsi="Times New Roman"/>
          <w:sz w:val="24"/>
        </w:rPr>
        <w:t>.</w:t>
      </w:r>
    </w:p>
    <w:p w:rsidR="002F5FF7" w:rsidRPr="00BA08BB" w:rsidRDefault="002F5FF7" w:rsidP="00BA08BB">
      <w:pPr>
        <w:spacing w:line="480" w:lineRule="auto"/>
        <w:jc w:val="both"/>
        <w:rPr>
          <w:rFonts w:ascii="Times New Roman" w:hAnsi="Times New Roman"/>
          <w:sz w:val="24"/>
        </w:rPr>
      </w:pPr>
      <w:r w:rsidRPr="00BA08BB">
        <w:rPr>
          <w:rFonts w:ascii="Times New Roman" w:hAnsi="Times New Roman"/>
          <w:sz w:val="24"/>
        </w:rPr>
        <w:t xml:space="preserve">La ESCO è, quindi, tenuta ad una prestazione di risultato, oggetto di misurazione, da cui </w:t>
      </w:r>
      <w:r w:rsidR="0087098D" w:rsidRPr="00BA08BB">
        <w:rPr>
          <w:rFonts w:ascii="Times New Roman" w:hAnsi="Times New Roman"/>
          <w:sz w:val="24"/>
        </w:rPr>
        <w:t>dipende l’ammontare dei ricavi, in considerazione della flessibilità e della dinamicità che è la caratteristica del PPP, ove il rapporto contrattuale si conforma all’operazione economica che ne è alla base.</w:t>
      </w:r>
    </w:p>
    <w:p w:rsidR="00886698" w:rsidRPr="00BA08BB" w:rsidRDefault="00886698" w:rsidP="00BA08BB">
      <w:pPr>
        <w:spacing w:line="480" w:lineRule="auto"/>
        <w:jc w:val="both"/>
        <w:rPr>
          <w:rFonts w:ascii="Times New Roman" w:hAnsi="Times New Roman"/>
          <w:sz w:val="24"/>
        </w:rPr>
      </w:pPr>
      <w:r w:rsidRPr="00BA08BB">
        <w:rPr>
          <w:rFonts w:ascii="Times New Roman" w:hAnsi="Times New Roman"/>
          <w:sz w:val="24"/>
        </w:rPr>
        <w:t>La seconda novità introdotta dal d.</w:t>
      </w:r>
      <w:r w:rsidR="00D20C82">
        <w:rPr>
          <w:rFonts w:ascii="Times New Roman" w:hAnsi="Times New Roman"/>
          <w:sz w:val="24"/>
        </w:rPr>
        <w:t>l.</w:t>
      </w:r>
      <w:r w:rsidRPr="00BA08BB">
        <w:rPr>
          <w:rFonts w:ascii="Times New Roman" w:hAnsi="Times New Roman"/>
          <w:sz w:val="24"/>
        </w:rPr>
        <w:t>76/2020</w:t>
      </w:r>
      <w:r w:rsidR="0087098D" w:rsidRPr="00BA08BB">
        <w:rPr>
          <w:rStyle w:val="Rimandonotaapidipagina"/>
          <w:rFonts w:ascii="Times New Roman" w:hAnsi="Times New Roman"/>
          <w:sz w:val="24"/>
        </w:rPr>
        <w:footnoteReference w:id="28"/>
      </w:r>
      <w:r w:rsidRPr="00BA08BB">
        <w:rPr>
          <w:rFonts w:ascii="Times New Roman" w:hAnsi="Times New Roman"/>
          <w:sz w:val="24"/>
        </w:rPr>
        <w:t xml:space="preserve"> è l’</w:t>
      </w:r>
      <w:r w:rsidR="00DD56DE" w:rsidRPr="00BA08BB">
        <w:rPr>
          <w:rFonts w:ascii="Times New Roman" w:hAnsi="Times New Roman"/>
          <w:sz w:val="24"/>
        </w:rPr>
        <w:t xml:space="preserve">ampliamento del </w:t>
      </w:r>
      <w:r w:rsidR="00DD56DE" w:rsidRPr="00BA08BB">
        <w:rPr>
          <w:rFonts w:ascii="Times New Roman" w:hAnsi="Times New Roman"/>
          <w:i/>
          <w:sz w:val="24"/>
        </w:rPr>
        <w:t>project finan</w:t>
      </w:r>
      <w:r w:rsidRPr="00BA08BB">
        <w:rPr>
          <w:rFonts w:ascii="Times New Roman" w:hAnsi="Times New Roman"/>
          <w:i/>
          <w:sz w:val="24"/>
        </w:rPr>
        <w:t>cing</w:t>
      </w:r>
      <w:r w:rsidRPr="00BA08BB">
        <w:rPr>
          <w:rFonts w:ascii="Times New Roman" w:hAnsi="Times New Roman"/>
          <w:sz w:val="24"/>
        </w:rPr>
        <w:t xml:space="preserve"> ad iniziativa privata con </w:t>
      </w:r>
      <w:r w:rsidR="00DD56DE" w:rsidRPr="00BA08BB">
        <w:rPr>
          <w:rFonts w:ascii="Times New Roman" w:hAnsi="Times New Roman"/>
          <w:sz w:val="24"/>
        </w:rPr>
        <w:t xml:space="preserve">possibilità per i privati di avanzare proposte, a mezzo di progetti di fattibilità, relative alla realizzazione di lavori pubblici o di pubblica utilità anche ove inseriti negli strumenti di programmazione approvati dalle amministrazioni aggiudicatrici. L’iniziativa privata </w:t>
      </w:r>
      <w:r w:rsidR="006D7A13" w:rsidRPr="00BA08BB">
        <w:rPr>
          <w:rFonts w:ascii="Times New Roman" w:hAnsi="Times New Roman"/>
          <w:sz w:val="24"/>
        </w:rPr>
        <w:t>diviene uno strumento di</w:t>
      </w:r>
      <w:r w:rsidR="00DD56DE" w:rsidRPr="00BA08BB">
        <w:rPr>
          <w:rFonts w:ascii="Times New Roman" w:hAnsi="Times New Roman"/>
          <w:sz w:val="24"/>
        </w:rPr>
        <w:t xml:space="preserve"> stimolo all’amministrazione </w:t>
      </w:r>
      <w:r w:rsidR="006D7A13" w:rsidRPr="00BA08BB">
        <w:rPr>
          <w:rFonts w:ascii="Times New Roman" w:hAnsi="Times New Roman"/>
          <w:sz w:val="24"/>
        </w:rPr>
        <w:t>per quelle opere che,</w:t>
      </w:r>
      <w:r w:rsidR="00DD56DE" w:rsidRPr="00BA08BB">
        <w:rPr>
          <w:rFonts w:ascii="Times New Roman" w:hAnsi="Times New Roman"/>
          <w:sz w:val="24"/>
        </w:rPr>
        <w:t xml:space="preserve"> pur essendo inserite nella programmazione</w:t>
      </w:r>
      <w:r w:rsidR="006D7A13" w:rsidRPr="00BA08BB">
        <w:rPr>
          <w:rFonts w:ascii="Times New Roman" w:hAnsi="Times New Roman"/>
          <w:sz w:val="24"/>
        </w:rPr>
        <w:t xml:space="preserve">, </w:t>
      </w:r>
      <w:r w:rsidR="00DD56DE" w:rsidRPr="00BA08BB">
        <w:rPr>
          <w:rFonts w:ascii="Times New Roman" w:hAnsi="Times New Roman"/>
          <w:sz w:val="24"/>
        </w:rPr>
        <w:t>ritardano nella realizzazione per difetto di risorse o per mancanza di soluzioni tecnicamente adeguate</w:t>
      </w:r>
      <w:r w:rsidR="006D7A13" w:rsidRPr="00BA08BB">
        <w:rPr>
          <w:rStyle w:val="Rimandonotaapidipagina"/>
          <w:rFonts w:ascii="Times New Roman" w:hAnsi="Times New Roman"/>
          <w:sz w:val="24"/>
        </w:rPr>
        <w:footnoteReference w:id="29"/>
      </w:r>
      <w:r w:rsidR="00DD56DE" w:rsidRPr="00BA08BB">
        <w:rPr>
          <w:rFonts w:ascii="Times New Roman" w:hAnsi="Times New Roman"/>
          <w:sz w:val="24"/>
        </w:rPr>
        <w:t>.</w:t>
      </w:r>
    </w:p>
    <w:p w:rsidR="00E679B3" w:rsidRPr="00BA08BB" w:rsidRDefault="00DD56DE" w:rsidP="00BA08BB">
      <w:pPr>
        <w:spacing w:line="480" w:lineRule="auto"/>
        <w:jc w:val="both"/>
        <w:rPr>
          <w:rFonts w:ascii="Times New Roman" w:hAnsi="Times New Roman"/>
          <w:sz w:val="24"/>
        </w:rPr>
      </w:pPr>
      <w:r w:rsidRPr="00BA08BB">
        <w:rPr>
          <w:rFonts w:ascii="Times New Roman" w:hAnsi="Times New Roman"/>
          <w:sz w:val="24"/>
        </w:rPr>
        <w:t xml:space="preserve">La modifica ha reso più flessibile lo strumento ampliando la collaborazione con il privato già nella fase </w:t>
      </w:r>
      <w:r w:rsidR="00723AA6" w:rsidRPr="00BA08BB">
        <w:rPr>
          <w:rFonts w:ascii="Times New Roman" w:hAnsi="Times New Roman"/>
          <w:sz w:val="24"/>
        </w:rPr>
        <w:t xml:space="preserve">prodromica </w:t>
      </w:r>
      <w:r w:rsidRPr="00BA08BB">
        <w:rPr>
          <w:rFonts w:ascii="Times New Roman" w:hAnsi="Times New Roman"/>
          <w:sz w:val="24"/>
        </w:rPr>
        <w:t xml:space="preserve">dell’iniziativa. La proposta </w:t>
      </w:r>
      <w:r w:rsidR="00723AA6" w:rsidRPr="00BA08BB">
        <w:rPr>
          <w:rFonts w:ascii="Times New Roman" w:hAnsi="Times New Roman"/>
          <w:sz w:val="24"/>
        </w:rPr>
        <w:t>deve contenere</w:t>
      </w:r>
      <w:r w:rsidRPr="00BA08BB">
        <w:rPr>
          <w:rFonts w:ascii="Times New Roman" w:hAnsi="Times New Roman"/>
          <w:sz w:val="24"/>
        </w:rPr>
        <w:t xml:space="preserve"> un progetto di fattibilità, una bozza di convenzione, il piano economico-finanziario asseverato </w:t>
      </w:r>
      <w:r w:rsidR="006F5222" w:rsidRPr="00BA08BB">
        <w:rPr>
          <w:rFonts w:ascii="Times New Roman" w:hAnsi="Times New Roman"/>
          <w:sz w:val="24"/>
        </w:rPr>
        <w:t xml:space="preserve">e </w:t>
      </w:r>
      <w:r w:rsidRPr="00BA08BB">
        <w:rPr>
          <w:rFonts w:ascii="Times New Roman" w:hAnsi="Times New Roman"/>
          <w:sz w:val="24"/>
        </w:rPr>
        <w:t xml:space="preserve">la specificazione delle caratteristiche del servizio e della gestione. </w:t>
      </w:r>
      <w:r w:rsidR="006F5222" w:rsidRPr="00BA08BB">
        <w:rPr>
          <w:rFonts w:ascii="Times New Roman" w:hAnsi="Times New Roman"/>
          <w:sz w:val="24"/>
        </w:rPr>
        <w:t>Il</w:t>
      </w:r>
      <w:r w:rsidRPr="00BA08BB">
        <w:rPr>
          <w:rFonts w:ascii="Times New Roman" w:hAnsi="Times New Roman"/>
          <w:sz w:val="24"/>
        </w:rPr>
        <w:t xml:space="preserve"> piano economico-finanziario comprende </w:t>
      </w:r>
      <w:r w:rsidR="006F5222" w:rsidRPr="00BA08BB">
        <w:rPr>
          <w:rFonts w:ascii="Times New Roman" w:hAnsi="Times New Roman"/>
          <w:sz w:val="24"/>
        </w:rPr>
        <w:t xml:space="preserve">anche </w:t>
      </w:r>
      <w:r w:rsidRPr="00BA08BB">
        <w:rPr>
          <w:rFonts w:ascii="Times New Roman" w:hAnsi="Times New Roman"/>
          <w:sz w:val="24"/>
        </w:rPr>
        <w:t xml:space="preserve">l'importo delle spese sostenute per la predisposizione della proposta, comprensivo anche dei diritti sulle opere dell'ingegno di cui all' articolo 2578 del codice civile. </w:t>
      </w:r>
    </w:p>
    <w:p w:rsidR="00BC3AC5" w:rsidRDefault="006F5222" w:rsidP="00BA08BB">
      <w:pPr>
        <w:spacing w:line="480" w:lineRule="auto"/>
        <w:jc w:val="both"/>
        <w:rPr>
          <w:rFonts w:ascii="Times New Roman" w:hAnsi="Times New Roman"/>
          <w:sz w:val="24"/>
        </w:rPr>
      </w:pPr>
      <w:r w:rsidRPr="00BA08BB">
        <w:rPr>
          <w:rFonts w:ascii="Times New Roman" w:hAnsi="Times New Roman"/>
          <w:sz w:val="24"/>
        </w:rPr>
        <w:t>La</w:t>
      </w:r>
      <w:r w:rsidR="00E679B3" w:rsidRPr="00BA08BB">
        <w:rPr>
          <w:rFonts w:ascii="Times New Roman" w:hAnsi="Times New Roman"/>
          <w:sz w:val="24"/>
        </w:rPr>
        <w:t xml:space="preserve"> proposta </w:t>
      </w:r>
      <w:r w:rsidRPr="00BA08BB">
        <w:rPr>
          <w:rFonts w:ascii="Times New Roman" w:hAnsi="Times New Roman"/>
          <w:sz w:val="24"/>
        </w:rPr>
        <w:t>del privato è soggetta ad una prima valutazione</w:t>
      </w:r>
      <w:r w:rsidR="00E679B3" w:rsidRPr="00BA08BB">
        <w:rPr>
          <w:rFonts w:ascii="Times New Roman" w:hAnsi="Times New Roman"/>
          <w:sz w:val="24"/>
        </w:rPr>
        <w:t xml:space="preserve"> e una preliminare </w:t>
      </w:r>
      <w:r w:rsidR="00C425D4">
        <w:rPr>
          <w:rFonts w:ascii="Times New Roman" w:hAnsi="Times New Roman"/>
          <w:sz w:val="24"/>
        </w:rPr>
        <w:t xml:space="preserve">deliberazione sulla fattibilità </w:t>
      </w:r>
      <w:r w:rsidR="00E679B3" w:rsidRPr="00BA08BB">
        <w:rPr>
          <w:rFonts w:ascii="Times New Roman" w:hAnsi="Times New Roman"/>
          <w:sz w:val="24"/>
        </w:rPr>
        <w:t>e sull’interesse pubblico alla realizzazione della stessa</w:t>
      </w:r>
      <w:r w:rsidRPr="00BA08BB">
        <w:rPr>
          <w:rFonts w:ascii="Times New Roman" w:hAnsi="Times New Roman"/>
          <w:sz w:val="24"/>
        </w:rPr>
        <w:t xml:space="preserve">; segue il successivo </w:t>
      </w:r>
      <w:r w:rsidR="00E679B3" w:rsidRPr="00BA08BB">
        <w:rPr>
          <w:rFonts w:ascii="Times New Roman" w:hAnsi="Times New Roman"/>
          <w:sz w:val="24"/>
        </w:rPr>
        <w:t>approfondimento e la possibile modifica del progetto</w:t>
      </w:r>
      <w:r w:rsidRPr="00BA08BB">
        <w:rPr>
          <w:rFonts w:ascii="Times New Roman" w:hAnsi="Times New Roman"/>
          <w:sz w:val="24"/>
        </w:rPr>
        <w:t xml:space="preserve"> con l’espressa</w:t>
      </w:r>
      <w:r w:rsidR="00E679B3" w:rsidRPr="00BA08BB">
        <w:rPr>
          <w:rFonts w:ascii="Times New Roman" w:hAnsi="Times New Roman"/>
          <w:sz w:val="24"/>
        </w:rPr>
        <w:t xml:space="preserve"> possibilità di porre a gara un progetto modificato e radicalmente diverso da quello inizialmente presentato</w:t>
      </w:r>
      <w:r w:rsidRPr="00BA08BB">
        <w:rPr>
          <w:rFonts w:ascii="Times New Roman" w:hAnsi="Times New Roman"/>
          <w:sz w:val="24"/>
        </w:rPr>
        <w:t xml:space="preserve"> (art. 183 comma 15 del codice)</w:t>
      </w:r>
      <w:r w:rsidR="00E679B3" w:rsidRPr="00BA08BB">
        <w:rPr>
          <w:rFonts w:ascii="Times New Roman" w:hAnsi="Times New Roman"/>
          <w:sz w:val="24"/>
        </w:rPr>
        <w:t xml:space="preserve">. Solo all’esito della completa definizione della proposta progettuale e dell’approvazione della stessa nell’ambito dell’esercizio della discrezionalità tecnica di cui è titolare l’amministrazione </w:t>
      </w:r>
      <w:r w:rsidR="00723AA6" w:rsidRPr="00BA08BB">
        <w:rPr>
          <w:rFonts w:ascii="Times New Roman" w:hAnsi="Times New Roman"/>
          <w:sz w:val="24"/>
        </w:rPr>
        <w:t>il progetto sarà</w:t>
      </w:r>
      <w:r w:rsidR="00E679B3" w:rsidRPr="00BA08BB">
        <w:rPr>
          <w:rFonts w:ascii="Times New Roman" w:hAnsi="Times New Roman"/>
          <w:sz w:val="24"/>
        </w:rPr>
        <w:t xml:space="preserve"> inserito nella programmazione, ove non ancora presente, e posto alla base di gara a cui è invitato il proponente</w:t>
      </w:r>
      <w:r w:rsidR="00BC3AC5" w:rsidRPr="00BA08BB">
        <w:rPr>
          <w:rFonts w:ascii="Times New Roman" w:hAnsi="Times New Roman"/>
          <w:sz w:val="24"/>
        </w:rPr>
        <w:t>.</w:t>
      </w:r>
      <w:r w:rsidR="00BC3AC5" w:rsidRPr="00BA08BB">
        <w:rPr>
          <w:rStyle w:val="Rimandonotaapidipagina"/>
          <w:rFonts w:ascii="Times New Roman" w:hAnsi="Times New Roman"/>
          <w:sz w:val="24"/>
        </w:rPr>
        <w:footnoteReference w:id="30"/>
      </w:r>
    </w:p>
    <w:p w:rsidR="00735565" w:rsidRDefault="00735565" w:rsidP="00BA08BB">
      <w:pPr>
        <w:spacing w:line="480" w:lineRule="auto"/>
        <w:jc w:val="both"/>
        <w:rPr>
          <w:rFonts w:ascii="Times New Roman" w:hAnsi="Times New Roman"/>
          <w:sz w:val="24"/>
        </w:rPr>
      </w:pPr>
      <w:r>
        <w:rPr>
          <w:rFonts w:ascii="Times New Roman" w:hAnsi="Times New Roman"/>
          <w:sz w:val="24"/>
        </w:rPr>
        <w:t>E’ evidente come la sopra indicata modifica abbia ampliato ulteriormente le possibilità per l’amministrazione di avvalersi delle capacità progettuali e professionali del privato, utilizzo che rappresenta un indubbio vantaggio sotteso a tutte le operazioni di parternariato a prescindere dal diverso modello di cooperazione, ivi compreso quello istituzionalizzato.</w:t>
      </w:r>
    </w:p>
    <w:p w:rsidR="00C425D4" w:rsidRDefault="00C425D4" w:rsidP="00BA08BB">
      <w:pPr>
        <w:spacing w:line="480" w:lineRule="auto"/>
        <w:jc w:val="both"/>
        <w:rPr>
          <w:rFonts w:ascii="Times New Roman" w:hAnsi="Times New Roman"/>
          <w:sz w:val="24"/>
        </w:rPr>
      </w:pPr>
      <w:r>
        <w:rPr>
          <w:rFonts w:ascii="Times New Roman" w:hAnsi="Times New Roman"/>
          <w:sz w:val="24"/>
        </w:rPr>
        <w:t>Nel parternariato pubblico privato istituzionalizzato la cooperazione t</w:t>
      </w:r>
      <w:r w:rsidR="007A5F51">
        <w:rPr>
          <w:rFonts w:ascii="Times New Roman" w:hAnsi="Times New Roman"/>
          <w:sz w:val="24"/>
        </w:rPr>
        <w:t>ra</w:t>
      </w:r>
      <w:r>
        <w:rPr>
          <w:rFonts w:ascii="Times New Roman" w:hAnsi="Times New Roman"/>
          <w:sz w:val="24"/>
        </w:rPr>
        <w:t xml:space="preserve"> pubblico e privato</w:t>
      </w:r>
      <w:r w:rsidR="0087383A">
        <w:rPr>
          <w:rFonts w:ascii="Times New Roman" w:hAnsi="Times New Roman"/>
          <w:sz w:val="24"/>
        </w:rPr>
        <w:t xml:space="preserve"> </w:t>
      </w:r>
      <w:r w:rsidR="00FB3C6E">
        <w:rPr>
          <w:rFonts w:ascii="Times New Roman" w:hAnsi="Times New Roman"/>
          <w:sz w:val="24"/>
        </w:rPr>
        <w:t xml:space="preserve">si attua mediante il </w:t>
      </w:r>
      <w:r>
        <w:rPr>
          <w:rFonts w:ascii="Times New Roman" w:hAnsi="Times New Roman"/>
          <w:sz w:val="24"/>
        </w:rPr>
        <w:t>contratto di società</w:t>
      </w:r>
      <w:r w:rsidR="007A5F51">
        <w:rPr>
          <w:rFonts w:ascii="Times New Roman" w:hAnsi="Times New Roman"/>
          <w:sz w:val="24"/>
        </w:rPr>
        <w:t>, con la creazione di una società mista pubblico privata.</w:t>
      </w:r>
    </w:p>
    <w:p w:rsidR="00E751A6" w:rsidRDefault="007A5F51" w:rsidP="00121E6B">
      <w:pPr>
        <w:spacing w:line="480" w:lineRule="auto"/>
        <w:jc w:val="both"/>
        <w:rPr>
          <w:rFonts w:ascii="Times New Roman" w:hAnsi="Times New Roman"/>
          <w:sz w:val="24"/>
        </w:rPr>
      </w:pPr>
      <w:r>
        <w:rPr>
          <w:rFonts w:ascii="Times New Roman" w:hAnsi="Times New Roman"/>
          <w:sz w:val="24"/>
        </w:rPr>
        <w:t xml:space="preserve">E’ stato osservato che </w:t>
      </w:r>
      <w:r w:rsidR="00121E6B">
        <w:rPr>
          <w:rFonts w:ascii="Times New Roman" w:hAnsi="Times New Roman"/>
          <w:sz w:val="24"/>
        </w:rPr>
        <w:t xml:space="preserve">proprio in siffatta ipotesi si </w:t>
      </w:r>
      <w:r>
        <w:rPr>
          <w:rFonts w:ascii="Times New Roman" w:hAnsi="Times New Roman"/>
          <w:sz w:val="24"/>
        </w:rPr>
        <w:t>realizza “</w:t>
      </w:r>
      <w:r w:rsidRPr="00121E6B">
        <w:rPr>
          <w:rFonts w:ascii="Times New Roman" w:hAnsi="Times New Roman"/>
          <w:i/>
          <w:sz w:val="24"/>
        </w:rPr>
        <w:t>il maggior scontro t</w:t>
      </w:r>
      <w:r w:rsidR="00121E6B" w:rsidRPr="00121E6B">
        <w:rPr>
          <w:rFonts w:ascii="Times New Roman" w:hAnsi="Times New Roman"/>
          <w:i/>
          <w:sz w:val="24"/>
        </w:rPr>
        <w:t>ra</w:t>
      </w:r>
      <w:r w:rsidRPr="00121E6B">
        <w:rPr>
          <w:rFonts w:ascii="Times New Roman" w:hAnsi="Times New Roman"/>
          <w:i/>
          <w:sz w:val="24"/>
        </w:rPr>
        <w:t xml:space="preserve"> il diritto ammin</w:t>
      </w:r>
      <w:r w:rsidR="00121E6B" w:rsidRPr="00121E6B">
        <w:rPr>
          <w:rFonts w:ascii="Times New Roman" w:hAnsi="Times New Roman"/>
          <w:i/>
          <w:sz w:val="24"/>
        </w:rPr>
        <w:t>is</w:t>
      </w:r>
      <w:r w:rsidRPr="00121E6B">
        <w:rPr>
          <w:rFonts w:ascii="Times New Roman" w:hAnsi="Times New Roman"/>
          <w:i/>
          <w:sz w:val="24"/>
        </w:rPr>
        <w:t xml:space="preserve">trativo </w:t>
      </w:r>
      <w:r w:rsidR="003A7ADE">
        <w:rPr>
          <w:rFonts w:ascii="Times New Roman" w:hAnsi="Times New Roman"/>
          <w:i/>
          <w:sz w:val="24"/>
        </w:rPr>
        <w:t>e il diritto privato</w:t>
      </w:r>
      <w:r w:rsidR="00121E6B" w:rsidRPr="00121E6B">
        <w:rPr>
          <w:rFonts w:ascii="Times New Roman" w:hAnsi="Times New Roman"/>
          <w:i/>
          <w:sz w:val="24"/>
        </w:rPr>
        <w:t>, in quanto la stipulazione di un contratto di società tra un soggetto pubblico e un soggetto privato mette in discussione la stessa nozione di contratto con comunione di scopo in cui esso rientra</w:t>
      </w:r>
      <w:r w:rsidR="00121E6B">
        <w:rPr>
          <w:rFonts w:ascii="Times New Roman" w:hAnsi="Times New Roman"/>
          <w:sz w:val="24"/>
        </w:rPr>
        <w:t xml:space="preserve">” e che l’apparente ossimoro di una società a partecipazione pubblico privata si dissolve </w:t>
      </w:r>
      <w:r w:rsidR="00E751A6">
        <w:rPr>
          <w:rFonts w:ascii="Times New Roman" w:hAnsi="Times New Roman"/>
          <w:sz w:val="24"/>
        </w:rPr>
        <w:t>ove si consideri l’</w:t>
      </w:r>
      <w:r w:rsidR="00121E6B" w:rsidRPr="00121E6B">
        <w:rPr>
          <w:rFonts w:ascii="Times New Roman" w:hAnsi="Times New Roman"/>
          <w:sz w:val="24"/>
        </w:rPr>
        <w:t>indef</w:t>
      </w:r>
      <w:r w:rsidR="00121E6B">
        <w:rPr>
          <w:rFonts w:ascii="Times New Roman" w:hAnsi="Times New Roman"/>
          <w:sz w:val="24"/>
        </w:rPr>
        <w:t xml:space="preserve">ettibile presenza del requisito </w:t>
      </w:r>
      <w:r w:rsidR="00121E6B" w:rsidRPr="00121E6B">
        <w:rPr>
          <w:rFonts w:ascii="Times New Roman" w:hAnsi="Times New Roman"/>
          <w:sz w:val="24"/>
        </w:rPr>
        <w:t>dell’economicità del servizio, ossia la necessità di coprir</w:t>
      </w:r>
      <w:r w:rsidR="00121E6B">
        <w:rPr>
          <w:rFonts w:ascii="Times New Roman" w:hAnsi="Times New Roman"/>
          <w:sz w:val="24"/>
        </w:rPr>
        <w:t xml:space="preserve">e comunque i costi con i ricavi </w:t>
      </w:r>
      <w:r w:rsidR="00121E6B" w:rsidRPr="00121E6B">
        <w:rPr>
          <w:rFonts w:ascii="Times New Roman" w:hAnsi="Times New Roman"/>
          <w:sz w:val="24"/>
        </w:rPr>
        <w:t>derivanti dalla gestione</w:t>
      </w:r>
      <w:r w:rsidR="00121E6B">
        <w:rPr>
          <w:rFonts w:ascii="Times New Roman" w:hAnsi="Times New Roman"/>
          <w:sz w:val="24"/>
        </w:rPr>
        <w:t>.</w:t>
      </w:r>
      <w:r w:rsidR="00121E6B">
        <w:rPr>
          <w:rStyle w:val="Rimandonotaapidipagina"/>
          <w:rFonts w:ascii="Times New Roman" w:hAnsi="Times New Roman"/>
          <w:sz w:val="24"/>
        </w:rPr>
        <w:footnoteReference w:id="31"/>
      </w:r>
    </w:p>
    <w:p w:rsidR="002820D5" w:rsidRDefault="00E751A6" w:rsidP="007B3288">
      <w:pPr>
        <w:spacing w:line="480" w:lineRule="auto"/>
        <w:jc w:val="both"/>
        <w:rPr>
          <w:rFonts w:ascii="Times New Roman" w:hAnsi="Times New Roman"/>
          <w:sz w:val="24"/>
        </w:rPr>
      </w:pPr>
      <w:r>
        <w:rPr>
          <w:rFonts w:ascii="Times New Roman" w:hAnsi="Times New Roman"/>
          <w:sz w:val="24"/>
        </w:rPr>
        <w:t xml:space="preserve">Sul piano generale si tratta di una forma di collaborazione che soggiace alla disciplina contenuta nel </w:t>
      </w:r>
      <w:r w:rsidR="00F44B22">
        <w:rPr>
          <w:rFonts w:ascii="Times New Roman" w:hAnsi="Times New Roman"/>
          <w:sz w:val="24"/>
        </w:rPr>
        <w:t>t</w:t>
      </w:r>
      <w:r w:rsidRPr="00E751A6">
        <w:rPr>
          <w:rFonts w:ascii="Times New Roman" w:hAnsi="Times New Roman"/>
          <w:sz w:val="24"/>
        </w:rPr>
        <w:t>esto unico in materia di società a partecipazione pubblica</w:t>
      </w:r>
      <w:r>
        <w:rPr>
          <w:rFonts w:ascii="Times New Roman" w:hAnsi="Times New Roman"/>
          <w:sz w:val="24"/>
        </w:rPr>
        <w:t xml:space="preserve"> (</w:t>
      </w:r>
      <w:r w:rsidR="003A7ADE">
        <w:rPr>
          <w:rFonts w:ascii="Times New Roman" w:hAnsi="Times New Roman"/>
          <w:sz w:val="24"/>
        </w:rPr>
        <w:t>d.lgs</w:t>
      </w:r>
      <w:r w:rsidRPr="00E751A6">
        <w:rPr>
          <w:rFonts w:ascii="Times New Roman" w:hAnsi="Times New Roman"/>
          <w:sz w:val="24"/>
        </w:rPr>
        <w:t xml:space="preserve"> 19 agosto 2016, n. 175</w:t>
      </w:r>
      <w:r>
        <w:rPr>
          <w:rFonts w:ascii="Times New Roman" w:hAnsi="Times New Roman"/>
          <w:sz w:val="24"/>
        </w:rPr>
        <w:t>)</w:t>
      </w:r>
      <w:r w:rsidR="00242B56">
        <w:rPr>
          <w:rFonts w:ascii="Times New Roman" w:hAnsi="Times New Roman"/>
          <w:sz w:val="24"/>
        </w:rPr>
        <w:t xml:space="preserve">, sia con riferimento </w:t>
      </w:r>
      <w:r w:rsidR="007B3288">
        <w:rPr>
          <w:rFonts w:ascii="Times New Roman" w:hAnsi="Times New Roman"/>
          <w:sz w:val="24"/>
        </w:rPr>
        <w:t>vincolo finalistico della stretta inerenza all’attività istituzionale dell’attività svolta (art</w:t>
      </w:r>
      <w:r w:rsidR="003A7ADE">
        <w:rPr>
          <w:rFonts w:ascii="Times New Roman" w:hAnsi="Times New Roman"/>
          <w:sz w:val="24"/>
        </w:rPr>
        <w:t>.</w:t>
      </w:r>
      <w:r w:rsidR="007B3288">
        <w:rPr>
          <w:rFonts w:ascii="Times New Roman" w:hAnsi="Times New Roman"/>
          <w:sz w:val="24"/>
        </w:rPr>
        <w:t xml:space="preserve"> 4 che, al comma 2 lett. c, contempla espressamente la costituzione di società per la “</w:t>
      </w:r>
      <w:r w:rsidR="007B3288" w:rsidRPr="007B3288">
        <w:rPr>
          <w:rFonts w:ascii="Times New Roman" w:hAnsi="Times New Roman"/>
          <w:i/>
          <w:sz w:val="24"/>
        </w:rPr>
        <w:t>realizzazione e gestione di un'opera pubblica ovvero organizzazione e gestione di un servizio d'interesse generale attraverso un contratto di partenariato di cui all'articolo 180 del decreto legislativo n.50 del 2016 con un imprenditore selezionato con le modalità di cui all'articolo 17, commi 1 e 2</w:t>
      </w:r>
      <w:r w:rsidR="007B3288">
        <w:rPr>
          <w:rFonts w:ascii="Times New Roman" w:hAnsi="Times New Roman"/>
          <w:sz w:val="24"/>
        </w:rPr>
        <w:t xml:space="preserve">”) </w:t>
      </w:r>
      <w:r w:rsidR="009D46C7">
        <w:rPr>
          <w:rFonts w:ascii="Times New Roman" w:hAnsi="Times New Roman"/>
          <w:sz w:val="24"/>
        </w:rPr>
        <w:t>sia con riferimento all’onere di motivazione analitica della scelta del modello societario (art</w:t>
      </w:r>
      <w:r w:rsidR="003A7ADE">
        <w:rPr>
          <w:rFonts w:ascii="Times New Roman" w:hAnsi="Times New Roman"/>
          <w:sz w:val="24"/>
        </w:rPr>
        <w:t>.</w:t>
      </w:r>
      <w:r w:rsidR="009D46C7">
        <w:rPr>
          <w:rFonts w:ascii="Times New Roman" w:hAnsi="Times New Roman"/>
          <w:sz w:val="24"/>
        </w:rPr>
        <w:t xml:space="preserve"> 5), un onere motivazionale aggravato </w:t>
      </w:r>
      <w:r w:rsidR="00BF4E4E">
        <w:rPr>
          <w:rFonts w:ascii="Times New Roman" w:hAnsi="Times New Roman"/>
          <w:sz w:val="24"/>
        </w:rPr>
        <w:t xml:space="preserve">e </w:t>
      </w:r>
      <w:r w:rsidR="009D46C7">
        <w:rPr>
          <w:rFonts w:ascii="Times New Roman" w:hAnsi="Times New Roman"/>
          <w:sz w:val="24"/>
        </w:rPr>
        <w:t xml:space="preserve">analogo a quello necessario per l’affidamento </w:t>
      </w:r>
      <w:r w:rsidR="009D46C7" w:rsidRPr="009D2E74">
        <w:rPr>
          <w:rFonts w:ascii="Times New Roman" w:hAnsi="Times New Roman"/>
          <w:i/>
          <w:sz w:val="24"/>
        </w:rPr>
        <w:t>in house</w:t>
      </w:r>
      <w:r w:rsidR="009D46C7">
        <w:rPr>
          <w:rFonts w:ascii="Times New Roman" w:hAnsi="Times New Roman"/>
          <w:sz w:val="24"/>
        </w:rPr>
        <w:t xml:space="preserve"> in luogo del ricorso al mercato (art</w:t>
      </w:r>
      <w:r w:rsidR="003A7ADE">
        <w:rPr>
          <w:rFonts w:ascii="Times New Roman" w:hAnsi="Times New Roman"/>
          <w:sz w:val="24"/>
        </w:rPr>
        <w:t>.</w:t>
      </w:r>
      <w:r w:rsidR="009D46C7">
        <w:rPr>
          <w:rFonts w:ascii="Times New Roman" w:hAnsi="Times New Roman"/>
          <w:sz w:val="24"/>
        </w:rPr>
        <w:t xml:space="preserve"> 192 comma 2 del codice dei contratti, su cui cfr</w:t>
      </w:r>
      <w:r w:rsidR="00194DD5">
        <w:rPr>
          <w:rFonts w:ascii="Times New Roman" w:hAnsi="Times New Roman"/>
          <w:sz w:val="24"/>
        </w:rPr>
        <w:t>.</w:t>
      </w:r>
      <w:r w:rsidR="009D46C7">
        <w:rPr>
          <w:rFonts w:ascii="Times New Roman" w:hAnsi="Times New Roman"/>
          <w:sz w:val="24"/>
        </w:rPr>
        <w:t xml:space="preserve"> </w:t>
      </w:r>
      <w:r w:rsidR="009D46C7" w:rsidRPr="007B3288">
        <w:rPr>
          <w:rFonts w:ascii="Times New Roman" w:hAnsi="Times New Roman"/>
          <w:i/>
          <w:sz w:val="24"/>
        </w:rPr>
        <w:t>infra</w:t>
      </w:r>
      <w:r w:rsidR="009D46C7">
        <w:rPr>
          <w:rFonts w:ascii="Times New Roman" w:hAnsi="Times New Roman"/>
          <w:sz w:val="24"/>
        </w:rPr>
        <w:t>)</w:t>
      </w:r>
      <w:r w:rsidR="007B3288">
        <w:rPr>
          <w:rFonts w:ascii="Times New Roman" w:hAnsi="Times New Roman"/>
          <w:sz w:val="24"/>
        </w:rPr>
        <w:t>.</w:t>
      </w:r>
    </w:p>
    <w:p w:rsidR="00194DD5" w:rsidRDefault="00194DD5" w:rsidP="00E751A6">
      <w:pPr>
        <w:spacing w:line="480" w:lineRule="auto"/>
        <w:jc w:val="both"/>
        <w:rPr>
          <w:rFonts w:ascii="Times New Roman" w:hAnsi="Times New Roman"/>
          <w:sz w:val="24"/>
        </w:rPr>
      </w:pPr>
      <w:r>
        <w:rPr>
          <w:rFonts w:ascii="Times New Roman" w:hAnsi="Times New Roman"/>
          <w:sz w:val="24"/>
        </w:rPr>
        <w:t xml:space="preserve">Con specifico riferimento alla partecipazione del </w:t>
      </w:r>
      <w:r w:rsidRPr="003A7ADE">
        <w:rPr>
          <w:rFonts w:ascii="Times New Roman" w:hAnsi="Times New Roman"/>
          <w:i/>
          <w:sz w:val="24"/>
        </w:rPr>
        <w:t>partner</w:t>
      </w:r>
      <w:r>
        <w:rPr>
          <w:rFonts w:ascii="Times New Roman" w:hAnsi="Times New Roman"/>
          <w:sz w:val="24"/>
        </w:rPr>
        <w:t xml:space="preserve"> privato, la disciplina normativa (art. 5 comma 9 del codice dei contratti e art</w:t>
      </w:r>
      <w:r w:rsidR="003A7ADE">
        <w:rPr>
          <w:rFonts w:ascii="Times New Roman" w:hAnsi="Times New Roman"/>
          <w:sz w:val="24"/>
        </w:rPr>
        <w:t>.</w:t>
      </w:r>
      <w:r>
        <w:rPr>
          <w:rFonts w:ascii="Times New Roman" w:hAnsi="Times New Roman"/>
          <w:sz w:val="24"/>
        </w:rPr>
        <w:t xml:space="preserve"> 17 del </w:t>
      </w:r>
      <w:r w:rsidR="003A7ADE">
        <w:rPr>
          <w:rFonts w:ascii="Times New Roman" w:hAnsi="Times New Roman"/>
          <w:sz w:val="24"/>
        </w:rPr>
        <w:t>Testo unico</w:t>
      </w:r>
      <w:r>
        <w:rPr>
          <w:rFonts w:ascii="Times New Roman" w:hAnsi="Times New Roman"/>
          <w:sz w:val="24"/>
        </w:rPr>
        <w:t>) ha recepito i principi elaborati dalla giurisprudenza</w:t>
      </w:r>
      <w:r w:rsidR="00AD1C12">
        <w:rPr>
          <w:rStyle w:val="Rimandonotaapidipagina"/>
          <w:rFonts w:ascii="Times New Roman" w:hAnsi="Times New Roman"/>
          <w:sz w:val="24"/>
        </w:rPr>
        <w:footnoteReference w:id="32"/>
      </w:r>
      <w:r>
        <w:rPr>
          <w:rFonts w:ascii="Times New Roman" w:hAnsi="Times New Roman"/>
          <w:sz w:val="24"/>
        </w:rPr>
        <w:t xml:space="preserve"> prevedendo: </w:t>
      </w:r>
      <w:r w:rsidRPr="00831A00">
        <w:rPr>
          <w:rFonts w:ascii="Times New Roman" w:hAnsi="Times New Roman"/>
          <w:i/>
          <w:sz w:val="24"/>
        </w:rPr>
        <w:t>i</w:t>
      </w:r>
      <w:r>
        <w:rPr>
          <w:rFonts w:ascii="Times New Roman" w:hAnsi="Times New Roman"/>
          <w:sz w:val="24"/>
        </w:rPr>
        <w:t xml:space="preserve">) la selezione del socio mediante una gara a doppio oggetto, relativa sia </w:t>
      </w:r>
      <w:r w:rsidR="00633AAC">
        <w:rPr>
          <w:rFonts w:ascii="Times New Roman" w:hAnsi="Times New Roman"/>
          <w:sz w:val="24"/>
        </w:rPr>
        <w:t xml:space="preserve">alla partecipazione societaria che all’affidamento dell’appalto o della concessione oggetto del contratto; </w:t>
      </w:r>
      <w:r w:rsidR="00633AAC" w:rsidRPr="00831A00">
        <w:rPr>
          <w:rFonts w:ascii="Times New Roman" w:hAnsi="Times New Roman"/>
          <w:i/>
          <w:sz w:val="24"/>
        </w:rPr>
        <w:t>ii</w:t>
      </w:r>
      <w:r w:rsidR="00633AAC">
        <w:rPr>
          <w:rFonts w:ascii="Times New Roman" w:hAnsi="Times New Roman"/>
          <w:sz w:val="24"/>
        </w:rPr>
        <w:t xml:space="preserve">) la connotazione dell’operatore economico non </w:t>
      </w:r>
      <w:r w:rsidR="00A34519">
        <w:rPr>
          <w:rFonts w:ascii="Times New Roman" w:hAnsi="Times New Roman"/>
          <w:sz w:val="24"/>
        </w:rPr>
        <w:t>solo</w:t>
      </w:r>
      <w:r w:rsidR="00633AAC">
        <w:rPr>
          <w:rFonts w:ascii="Times New Roman" w:hAnsi="Times New Roman"/>
          <w:sz w:val="24"/>
        </w:rPr>
        <w:t xml:space="preserve"> </w:t>
      </w:r>
      <w:r w:rsidR="00A34519">
        <w:rPr>
          <w:rFonts w:ascii="Times New Roman" w:hAnsi="Times New Roman"/>
          <w:sz w:val="24"/>
        </w:rPr>
        <w:t xml:space="preserve">come </w:t>
      </w:r>
      <w:r w:rsidR="00633AAC">
        <w:rPr>
          <w:rFonts w:ascii="Times New Roman" w:hAnsi="Times New Roman"/>
          <w:sz w:val="24"/>
        </w:rPr>
        <w:t xml:space="preserve">socio azionista o finanziatore, ma </w:t>
      </w:r>
      <w:r w:rsidR="00A34519">
        <w:rPr>
          <w:rFonts w:ascii="Times New Roman" w:hAnsi="Times New Roman"/>
          <w:sz w:val="24"/>
        </w:rPr>
        <w:t xml:space="preserve">anche </w:t>
      </w:r>
      <w:r w:rsidR="00633AAC">
        <w:rPr>
          <w:rFonts w:ascii="Times New Roman" w:hAnsi="Times New Roman"/>
          <w:sz w:val="24"/>
        </w:rPr>
        <w:t>come socio industriale o</w:t>
      </w:r>
      <w:r w:rsidR="00A34519">
        <w:rPr>
          <w:rFonts w:ascii="Times New Roman" w:hAnsi="Times New Roman"/>
          <w:sz w:val="24"/>
        </w:rPr>
        <w:t>d</w:t>
      </w:r>
      <w:r w:rsidR="00633AAC">
        <w:rPr>
          <w:rFonts w:ascii="Times New Roman" w:hAnsi="Times New Roman"/>
          <w:sz w:val="24"/>
        </w:rPr>
        <w:t xml:space="preserve"> operativo; </w:t>
      </w:r>
      <w:r w:rsidR="00633AAC" w:rsidRPr="00831A00">
        <w:rPr>
          <w:rFonts w:ascii="Times New Roman" w:hAnsi="Times New Roman"/>
          <w:i/>
          <w:sz w:val="24"/>
        </w:rPr>
        <w:t>iii</w:t>
      </w:r>
      <w:r w:rsidR="00633AAC">
        <w:rPr>
          <w:rFonts w:ascii="Times New Roman" w:hAnsi="Times New Roman"/>
          <w:sz w:val="24"/>
        </w:rPr>
        <w:t>) il carattere temporaneo della partecipazione privata alla società che non può essere superiore alla durata dell’appalto o della concessione</w:t>
      </w:r>
      <w:r w:rsidR="009D2E74">
        <w:rPr>
          <w:rFonts w:ascii="Times New Roman" w:hAnsi="Times New Roman"/>
          <w:sz w:val="24"/>
        </w:rPr>
        <w:t xml:space="preserve">; </w:t>
      </w:r>
      <w:r w:rsidR="009D2E74" w:rsidRPr="00831A00">
        <w:rPr>
          <w:rFonts w:ascii="Times New Roman" w:hAnsi="Times New Roman"/>
          <w:i/>
          <w:sz w:val="24"/>
        </w:rPr>
        <w:t>iv</w:t>
      </w:r>
      <w:r w:rsidR="009D2E74">
        <w:rPr>
          <w:rFonts w:ascii="Times New Roman" w:hAnsi="Times New Roman"/>
          <w:sz w:val="24"/>
        </w:rPr>
        <w:t>) l’impossibilità di configurare una società mista generalista, ossia aperta all’affidamento di ulteriori appalti o concessioni, diversi da quelli oggetto della procedura selettiva.</w:t>
      </w:r>
    </w:p>
    <w:p w:rsidR="00D7183E" w:rsidRDefault="009A267E" w:rsidP="00E751A6">
      <w:pPr>
        <w:spacing w:line="480" w:lineRule="auto"/>
        <w:jc w:val="both"/>
        <w:rPr>
          <w:rFonts w:ascii="Times New Roman" w:hAnsi="Times New Roman"/>
          <w:sz w:val="24"/>
        </w:rPr>
      </w:pPr>
      <w:r>
        <w:rPr>
          <w:rFonts w:ascii="Times New Roman" w:hAnsi="Times New Roman"/>
          <w:sz w:val="24"/>
        </w:rPr>
        <w:t>Il duplice ruolo di</w:t>
      </w:r>
      <w:r w:rsidR="00D7183E">
        <w:rPr>
          <w:rFonts w:ascii="Times New Roman" w:hAnsi="Times New Roman"/>
          <w:sz w:val="24"/>
        </w:rPr>
        <w:t xml:space="preserve"> socio finanziario e </w:t>
      </w:r>
      <w:r>
        <w:rPr>
          <w:rFonts w:ascii="Times New Roman" w:hAnsi="Times New Roman"/>
          <w:sz w:val="24"/>
        </w:rPr>
        <w:t>di</w:t>
      </w:r>
      <w:r w:rsidR="00D7183E">
        <w:rPr>
          <w:rFonts w:ascii="Times New Roman" w:hAnsi="Times New Roman"/>
          <w:sz w:val="24"/>
        </w:rPr>
        <w:t xml:space="preserve"> socio operativo </w:t>
      </w:r>
      <w:r w:rsidR="00CA571B">
        <w:rPr>
          <w:rFonts w:ascii="Times New Roman" w:hAnsi="Times New Roman"/>
          <w:sz w:val="24"/>
        </w:rPr>
        <w:t>incentiva</w:t>
      </w:r>
      <w:r w:rsidR="00A34519">
        <w:rPr>
          <w:rFonts w:ascii="Times New Roman" w:hAnsi="Times New Roman"/>
          <w:sz w:val="24"/>
        </w:rPr>
        <w:t xml:space="preserve"> l’imprenditore privato</w:t>
      </w:r>
      <w:r w:rsidR="00CA571B">
        <w:rPr>
          <w:rFonts w:ascii="Times New Roman" w:hAnsi="Times New Roman"/>
          <w:sz w:val="24"/>
        </w:rPr>
        <w:t xml:space="preserve"> al</w:t>
      </w:r>
      <w:r w:rsidR="00A34519">
        <w:rPr>
          <w:rFonts w:ascii="Times New Roman" w:hAnsi="Times New Roman"/>
          <w:sz w:val="24"/>
        </w:rPr>
        <w:t>la</w:t>
      </w:r>
      <w:r w:rsidR="00CA571B">
        <w:rPr>
          <w:rFonts w:ascii="Times New Roman" w:hAnsi="Times New Roman"/>
          <w:sz w:val="24"/>
        </w:rPr>
        <w:t xml:space="preserve"> gestione efficiente dell’opera o del servizio, essendo direttamente esposto al rischio di domanda in relazione al proprio investimento sotto forma di </w:t>
      </w:r>
      <w:r w:rsidR="00CA571B" w:rsidRPr="00CA571B">
        <w:rPr>
          <w:rFonts w:ascii="Times New Roman" w:hAnsi="Times New Roman"/>
          <w:i/>
          <w:sz w:val="24"/>
        </w:rPr>
        <w:t>equity</w:t>
      </w:r>
      <w:r w:rsidR="00CA571B">
        <w:rPr>
          <w:rFonts w:ascii="Times New Roman" w:hAnsi="Times New Roman"/>
          <w:sz w:val="24"/>
        </w:rPr>
        <w:t>.</w:t>
      </w:r>
    </w:p>
    <w:p w:rsidR="00D82029" w:rsidRDefault="00A34519" w:rsidP="00BA08BB">
      <w:pPr>
        <w:spacing w:line="480" w:lineRule="auto"/>
        <w:jc w:val="both"/>
        <w:rPr>
          <w:rFonts w:ascii="Times New Roman" w:hAnsi="Times New Roman"/>
          <w:sz w:val="24"/>
        </w:rPr>
      </w:pPr>
      <w:r>
        <w:rPr>
          <w:rFonts w:ascii="Times New Roman" w:hAnsi="Times New Roman"/>
          <w:sz w:val="24"/>
        </w:rPr>
        <w:t xml:space="preserve">Altro tratto caratterizzante l’istituto, al pari del partenariato pubblico privato contrattualizzato, è il perseguimento del risultato economico, strumentale al soddisfacimento dell’interesse pubblico, attraverso la capacità tecnico-organizzativa </w:t>
      </w:r>
      <w:r w:rsidRPr="00D7183E">
        <w:rPr>
          <w:rFonts w:ascii="Times New Roman" w:hAnsi="Times New Roman"/>
          <w:sz w:val="24"/>
        </w:rPr>
        <w:t xml:space="preserve">e </w:t>
      </w:r>
      <w:r>
        <w:rPr>
          <w:rFonts w:ascii="Times New Roman" w:hAnsi="Times New Roman"/>
          <w:sz w:val="24"/>
        </w:rPr>
        <w:t xml:space="preserve">manageriale del privato. Quest’ultimo, infatti, </w:t>
      </w:r>
      <w:r w:rsidRPr="00D7183E">
        <w:rPr>
          <w:rFonts w:ascii="Times New Roman" w:hAnsi="Times New Roman"/>
          <w:sz w:val="24"/>
        </w:rPr>
        <w:t>rende il servizio</w:t>
      </w:r>
      <w:r w:rsidRPr="00A34519">
        <w:rPr>
          <w:rFonts w:ascii="Times New Roman" w:hAnsi="Times New Roman"/>
          <w:sz w:val="24"/>
        </w:rPr>
        <w:t xml:space="preserve"> </w:t>
      </w:r>
      <w:r w:rsidRPr="00D7183E">
        <w:rPr>
          <w:rFonts w:ascii="Times New Roman" w:hAnsi="Times New Roman"/>
          <w:sz w:val="24"/>
        </w:rPr>
        <w:t>del quale assume l'intera alea</w:t>
      </w:r>
      <w:r>
        <w:rPr>
          <w:rFonts w:ascii="Times New Roman" w:hAnsi="Times New Roman"/>
          <w:sz w:val="24"/>
        </w:rPr>
        <w:t xml:space="preserve"> economica</w:t>
      </w:r>
      <w:r w:rsidRPr="00A34519">
        <w:rPr>
          <w:rFonts w:ascii="Times New Roman" w:hAnsi="Times New Roman"/>
          <w:sz w:val="24"/>
        </w:rPr>
        <w:t xml:space="preserve"> </w:t>
      </w:r>
      <w:r w:rsidRPr="00D7183E">
        <w:rPr>
          <w:rFonts w:ascii="Times New Roman" w:hAnsi="Times New Roman"/>
          <w:sz w:val="24"/>
        </w:rPr>
        <w:t>non direttamente, ma attrav</w:t>
      </w:r>
      <w:r>
        <w:rPr>
          <w:rFonts w:ascii="Times New Roman" w:hAnsi="Times New Roman"/>
          <w:sz w:val="24"/>
        </w:rPr>
        <w:t xml:space="preserve">erso la gestione del </w:t>
      </w:r>
      <w:r w:rsidRPr="003A7ADE">
        <w:rPr>
          <w:rFonts w:ascii="Times New Roman" w:hAnsi="Times New Roman"/>
          <w:i/>
          <w:sz w:val="24"/>
        </w:rPr>
        <w:t>management</w:t>
      </w:r>
      <w:r>
        <w:rPr>
          <w:rFonts w:ascii="Times New Roman" w:hAnsi="Times New Roman"/>
          <w:sz w:val="24"/>
        </w:rPr>
        <w:t xml:space="preserve"> </w:t>
      </w:r>
      <w:r w:rsidRPr="00D7183E">
        <w:rPr>
          <w:rFonts w:ascii="Times New Roman" w:hAnsi="Times New Roman"/>
          <w:sz w:val="24"/>
        </w:rPr>
        <w:t>della società mista</w:t>
      </w:r>
      <w:r>
        <w:rPr>
          <w:rStyle w:val="Rimandonotaapidipagina"/>
          <w:rFonts w:ascii="Times New Roman" w:hAnsi="Times New Roman"/>
          <w:sz w:val="24"/>
        </w:rPr>
        <w:footnoteReference w:id="33"/>
      </w:r>
      <w:r>
        <w:rPr>
          <w:rFonts w:ascii="Times New Roman" w:hAnsi="Times New Roman"/>
          <w:sz w:val="24"/>
        </w:rPr>
        <w:t>.</w:t>
      </w:r>
    </w:p>
    <w:p w:rsidR="00D82029" w:rsidRDefault="00D82029" w:rsidP="00BA08BB">
      <w:pPr>
        <w:spacing w:line="480" w:lineRule="auto"/>
        <w:jc w:val="both"/>
        <w:rPr>
          <w:rFonts w:ascii="Times New Roman" w:hAnsi="Times New Roman"/>
          <w:sz w:val="24"/>
        </w:rPr>
      </w:pPr>
      <w:r>
        <w:rPr>
          <w:rFonts w:ascii="Times New Roman" w:hAnsi="Times New Roman"/>
          <w:sz w:val="24"/>
        </w:rPr>
        <w:t>Il diretto coinvolgimento del socio privato nella gestione manageriale della società mista presuppone che la quota di partecipazione sia adeguata a determinarne il concreto coinvolgimento nella realizzazione dell’oggetto sociale e l’esposizione al rischio economico dell’operazione.</w:t>
      </w:r>
    </w:p>
    <w:p w:rsidR="00D82029" w:rsidRDefault="00D82029" w:rsidP="00BA08BB">
      <w:pPr>
        <w:spacing w:line="480" w:lineRule="auto"/>
        <w:jc w:val="both"/>
        <w:rPr>
          <w:rFonts w:ascii="Times New Roman" w:hAnsi="Times New Roman"/>
          <w:sz w:val="24"/>
        </w:rPr>
      </w:pPr>
      <w:r>
        <w:rPr>
          <w:rFonts w:ascii="Times New Roman" w:hAnsi="Times New Roman"/>
          <w:sz w:val="24"/>
        </w:rPr>
        <w:t>Per tale ragione l’art. 17 comma 1 del testo unico ha previsto che la quota di partecipazione del soggetto privato non può essere inferiore al trenta per cento.</w:t>
      </w:r>
      <w:r w:rsidR="00B8144F">
        <w:rPr>
          <w:rFonts w:ascii="Times New Roman" w:hAnsi="Times New Roman"/>
          <w:sz w:val="24"/>
        </w:rPr>
        <w:t xml:space="preserve"> </w:t>
      </w:r>
    </w:p>
    <w:p w:rsidR="00BC3AC5" w:rsidRDefault="00B8144F" w:rsidP="00BA08BB">
      <w:pPr>
        <w:spacing w:line="480" w:lineRule="auto"/>
        <w:jc w:val="both"/>
        <w:rPr>
          <w:rFonts w:ascii="Times New Roman" w:hAnsi="Times New Roman"/>
          <w:sz w:val="24"/>
        </w:rPr>
      </w:pPr>
      <w:r>
        <w:rPr>
          <w:rFonts w:ascii="Times New Roman" w:hAnsi="Times New Roman"/>
          <w:sz w:val="24"/>
        </w:rPr>
        <w:t xml:space="preserve">Una quota inferiore al limite, infatti, renderebbe la società mista inidonea a realizzare quella sinergia tra pubblico e privato che rappresenta l’essenza di ogni forma di parternariato consentendo all’amministrazione di fruire del </w:t>
      </w:r>
      <w:r w:rsidRPr="00B8144F">
        <w:rPr>
          <w:rFonts w:ascii="Times New Roman" w:hAnsi="Times New Roman"/>
          <w:i/>
          <w:sz w:val="24"/>
        </w:rPr>
        <w:t>know how</w:t>
      </w:r>
      <w:r>
        <w:rPr>
          <w:rFonts w:ascii="Times New Roman" w:hAnsi="Times New Roman"/>
          <w:sz w:val="24"/>
        </w:rPr>
        <w:t xml:space="preserve"> dell’imprenditore privato e di attuare una corretta allocazione, secondo i principi comunitari, del rischio economico tra le parti</w:t>
      </w:r>
      <w:r>
        <w:rPr>
          <w:rStyle w:val="Rimandonotaapidipagina"/>
          <w:rFonts w:ascii="Times New Roman" w:hAnsi="Times New Roman"/>
          <w:sz w:val="24"/>
        </w:rPr>
        <w:footnoteReference w:id="34"/>
      </w:r>
      <w:r w:rsidR="003A7ADE">
        <w:rPr>
          <w:rFonts w:ascii="Times New Roman" w:hAnsi="Times New Roman"/>
          <w:sz w:val="24"/>
        </w:rPr>
        <w:t>.</w:t>
      </w:r>
    </w:p>
    <w:p w:rsidR="00CA1430" w:rsidRDefault="00CA1430" w:rsidP="00BA08BB">
      <w:pPr>
        <w:spacing w:line="480" w:lineRule="auto"/>
        <w:jc w:val="both"/>
        <w:rPr>
          <w:rFonts w:ascii="Times New Roman" w:hAnsi="Times New Roman"/>
          <w:sz w:val="24"/>
        </w:rPr>
      </w:pPr>
    </w:p>
    <w:p w:rsidR="00CA1430" w:rsidRDefault="00CA1430" w:rsidP="00BA08BB">
      <w:pPr>
        <w:spacing w:line="480" w:lineRule="auto"/>
        <w:jc w:val="both"/>
        <w:rPr>
          <w:rFonts w:ascii="Times New Roman" w:hAnsi="Times New Roman"/>
          <w:sz w:val="24"/>
        </w:rPr>
      </w:pPr>
    </w:p>
    <w:p w:rsidR="00CA1430" w:rsidRPr="00BA08BB" w:rsidRDefault="00CA1430" w:rsidP="00BA08BB">
      <w:pPr>
        <w:spacing w:line="480" w:lineRule="auto"/>
        <w:jc w:val="both"/>
        <w:rPr>
          <w:rFonts w:ascii="Times New Roman" w:hAnsi="Times New Roman"/>
          <w:sz w:val="24"/>
        </w:rPr>
      </w:pPr>
    </w:p>
    <w:p w:rsidR="00CA1430" w:rsidRDefault="003745C0" w:rsidP="00BA08BB">
      <w:pPr>
        <w:spacing w:line="480" w:lineRule="auto"/>
        <w:jc w:val="both"/>
        <w:rPr>
          <w:rFonts w:ascii="Times New Roman" w:hAnsi="Times New Roman"/>
          <w:b/>
          <w:sz w:val="24"/>
        </w:rPr>
      </w:pPr>
      <w:r>
        <w:rPr>
          <w:rFonts w:ascii="Times New Roman" w:hAnsi="Times New Roman"/>
          <w:b/>
          <w:sz w:val="24"/>
        </w:rPr>
        <w:t>3</w:t>
      </w:r>
      <w:r w:rsidR="002C1E8C">
        <w:rPr>
          <w:rFonts w:ascii="Times New Roman" w:hAnsi="Times New Roman"/>
          <w:b/>
          <w:sz w:val="24"/>
        </w:rPr>
        <w:t xml:space="preserve">. </w:t>
      </w:r>
      <w:r w:rsidR="0091305E" w:rsidRPr="00BA08BB">
        <w:rPr>
          <w:rFonts w:ascii="Times New Roman" w:hAnsi="Times New Roman"/>
          <w:b/>
          <w:sz w:val="24"/>
        </w:rPr>
        <w:t>L’</w:t>
      </w:r>
      <w:r w:rsidR="0091305E" w:rsidRPr="003745C0">
        <w:rPr>
          <w:rFonts w:ascii="Times New Roman" w:hAnsi="Times New Roman"/>
          <w:b/>
          <w:i/>
          <w:sz w:val="24"/>
        </w:rPr>
        <w:t xml:space="preserve">in house </w:t>
      </w:r>
      <w:r>
        <w:rPr>
          <w:rFonts w:ascii="Times New Roman" w:hAnsi="Times New Roman"/>
          <w:b/>
          <w:sz w:val="24"/>
        </w:rPr>
        <w:t>come</w:t>
      </w:r>
      <w:r w:rsidR="0091305E" w:rsidRPr="00BA08BB">
        <w:rPr>
          <w:rFonts w:ascii="Times New Roman" w:hAnsi="Times New Roman"/>
          <w:b/>
          <w:sz w:val="24"/>
        </w:rPr>
        <w:t xml:space="preserve"> strumento </w:t>
      </w:r>
      <w:r w:rsidR="00CE4448" w:rsidRPr="00BA08BB">
        <w:rPr>
          <w:rFonts w:ascii="Times New Roman" w:hAnsi="Times New Roman"/>
          <w:b/>
          <w:sz w:val="24"/>
        </w:rPr>
        <w:t>di attuazione del PNRR.</w:t>
      </w:r>
    </w:p>
    <w:p w:rsidR="00CE4448" w:rsidRPr="00CA1430" w:rsidRDefault="00D34CC3" w:rsidP="00BA08BB">
      <w:pPr>
        <w:spacing w:line="480" w:lineRule="auto"/>
        <w:jc w:val="both"/>
        <w:rPr>
          <w:rFonts w:ascii="Times New Roman" w:hAnsi="Times New Roman"/>
          <w:b/>
          <w:sz w:val="24"/>
        </w:rPr>
      </w:pPr>
      <w:r>
        <w:rPr>
          <w:rFonts w:ascii="Times New Roman" w:hAnsi="Times New Roman"/>
          <w:sz w:val="24"/>
        </w:rPr>
        <w:t>Il</w:t>
      </w:r>
      <w:r w:rsidR="00CE4448" w:rsidRPr="00BA08BB">
        <w:rPr>
          <w:rFonts w:ascii="Times New Roman" w:hAnsi="Times New Roman"/>
          <w:sz w:val="24"/>
        </w:rPr>
        <w:t xml:space="preserve"> fenomeno dell’</w:t>
      </w:r>
      <w:r w:rsidR="00CE4448" w:rsidRPr="00351ABE">
        <w:rPr>
          <w:rFonts w:ascii="Times New Roman" w:hAnsi="Times New Roman"/>
          <w:i/>
          <w:sz w:val="24"/>
        </w:rPr>
        <w:t>in</w:t>
      </w:r>
      <w:r w:rsidR="00CE4448" w:rsidRPr="00BA08BB">
        <w:rPr>
          <w:rFonts w:ascii="Times New Roman" w:hAnsi="Times New Roman"/>
          <w:sz w:val="24"/>
        </w:rPr>
        <w:t xml:space="preserve"> </w:t>
      </w:r>
      <w:r w:rsidR="00CE4448" w:rsidRPr="00BC24D7">
        <w:rPr>
          <w:rFonts w:ascii="Times New Roman" w:hAnsi="Times New Roman"/>
          <w:i/>
          <w:sz w:val="24"/>
        </w:rPr>
        <w:t>house providing</w:t>
      </w:r>
      <w:r w:rsidR="00CE4448" w:rsidRPr="00BA08BB">
        <w:rPr>
          <w:rFonts w:ascii="Times New Roman" w:hAnsi="Times New Roman"/>
          <w:sz w:val="24"/>
        </w:rPr>
        <w:t xml:space="preserve">, </w:t>
      </w:r>
      <w:r w:rsidR="00BC28BF" w:rsidRPr="00BA08BB">
        <w:rPr>
          <w:rFonts w:ascii="Times New Roman" w:hAnsi="Times New Roman"/>
          <w:sz w:val="24"/>
        </w:rPr>
        <w:t>elaborato dalla giurisprudenza</w:t>
      </w:r>
      <w:r w:rsidR="00CE4448" w:rsidRPr="00BA08BB">
        <w:rPr>
          <w:rFonts w:ascii="Times New Roman" w:hAnsi="Times New Roman"/>
          <w:sz w:val="24"/>
        </w:rPr>
        <w:t xml:space="preserve"> a partire dalla </w:t>
      </w:r>
      <w:r>
        <w:rPr>
          <w:rFonts w:ascii="Times New Roman" w:hAnsi="Times New Roman"/>
          <w:sz w:val="24"/>
        </w:rPr>
        <w:t xml:space="preserve">nota </w:t>
      </w:r>
      <w:r w:rsidR="00CE4448" w:rsidRPr="00BA08BB">
        <w:rPr>
          <w:rFonts w:ascii="Times New Roman" w:hAnsi="Times New Roman"/>
          <w:sz w:val="24"/>
        </w:rPr>
        <w:t xml:space="preserve">sentenza </w:t>
      </w:r>
      <w:r w:rsidR="00CE4448" w:rsidRPr="00BA08BB">
        <w:rPr>
          <w:rFonts w:ascii="Times New Roman" w:hAnsi="Times New Roman"/>
          <w:i/>
          <w:sz w:val="24"/>
        </w:rPr>
        <w:t>Teckal</w:t>
      </w:r>
      <w:r w:rsidR="00CE4448" w:rsidRPr="00BA08BB">
        <w:rPr>
          <w:rFonts w:ascii="Times New Roman" w:hAnsi="Times New Roman"/>
          <w:sz w:val="24"/>
        </w:rPr>
        <w:t xml:space="preserve"> della Corte di Giustizia</w:t>
      </w:r>
      <w:r w:rsidR="00CE4448" w:rsidRPr="00BA08BB">
        <w:rPr>
          <w:rStyle w:val="Rimandonotaapidipagina"/>
          <w:rFonts w:ascii="Times New Roman" w:hAnsi="Times New Roman"/>
          <w:sz w:val="24"/>
        </w:rPr>
        <w:footnoteReference w:id="35"/>
      </w:r>
      <w:r w:rsidR="008B4830" w:rsidRPr="00BA08BB">
        <w:rPr>
          <w:rFonts w:ascii="Times New Roman" w:hAnsi="Times New Roman"/>
          <w:sz w:val="24"/>
        </w:rPr>
        <w:t xml:space="preserve">, è </w:t>
      </w:r>
      <w:r w:rsidR="001843AD">
        <w:rPr>
          <w:rFonts w:ascii="Times New Roman" w:hAnsi="Times New Roman"/>
          <w:sz w:val="24"/>
        </w:rPr>
        <w:t xml:space="preserve">stato </w:t>
      </w:r>
      <w:r w:rsidR="008B4830" w:rsidRPr="00BA08BB">
        <w:rPr>
          <w:rFonts w:ascii="Times New Roman" w:hAnsi="Times New Roman"/>
          <w:sz w:val="24"/>
        </w:rPr>
        <w:t>disciplinato, sul piano del diritto positivo, dagli artt. 5 e 192 del codice dei contratti e dall’art</w:t>
      </w:r>
      <w:r w:rsidR="00BC28BF" w:rsidRPr="00BA08BB">
        <w:rPr>
          <w:rFonts w:ascii="Times New Roman" w:hAnsi="Times New Roman"/>
          <w:sz w:val="24"/>
        </w:rPr>
        <w:t>.</w:t>
      </w:r>
      <w:r w:rsidR="008B4830" w:rsidRPr="00BA08BB">
        <w:rPr>
          <w:rFonts w:ascii="Times New Roman" w:hAnsi="Times New Roman"/>
          <w:sz w:val="24"/>
        </w:rPr>
        <w:t xml:space="preserve"> 16 del testo unico </w:t>
      </w:r>
      <w:r w:rsidR="00400A97" w:rsidRPr="00BA08BB">
        <w:rPr>
          <w:rFonts w:ascii="Times New Roman" w:hAnsi="Times New Roman"/>
          <w:sz w:val="24"/>
        </w:rPr>
        <w:t>in materia di società a partecipazione pubblica</w:t>
      </w:r>
      <w:r w:rsidR="008B4830" w:rsidRPr="00BA08BB">
        <w:rPr>
          <w:rStyle w:val="Rimandonotaapidipagina"/>
          <w:rFonts w:ascii="Times New Roman" w:hAnsi="Times New Roman"/>
          <w:sz w:val="24"/>
        </w:rPr>
        <w:footnoteReference w:id="36"/>
      </w:r>
      <w:r w:rsidR="008B4830" w:rsidRPr="00BA08BB">
        <w:rPr>
          <w:rFonts w:ascii="Times New Roman" w:hAnsi="Times New Roman"/>
          <w:sz w:val="24"/>
        </w:rPr>
        <w:t>.</w:t>
      </w:r>
    </w:p>
    <w:p w:rsidR="0046196D" w:rsidRDefault="00BC28BF" w:rsidP="00BA08BB">
      <w:pPr>
        <w:spacing w:line="480" w:lineRule="auto"/>
        <w:jc w:val="both"/>
        <w:rPr>
          <w:rFonts w:ascii="Times New Roman" w:hAnsi="Times New Roman"/>
          <w:sz w:val="24"/>
        </w:rPr>
      </w:pPr>
      <w:r w:rsidRPr="00BA08BB">
        <w:rPr>
          <w:rFonts w:ascii="Times New Roman" w:hAnsi="Times New Roman"/>
          <w:sz w:val="24"/>
        </w:rPr>
        <w:t>In particolare, l’</w:t>
      </w:r>
      <w:r w:rsidR="001A4F4D" w:rsidRPr="00BA08BB">
        <w:rPr>
          <w:rFonts w:ascii="Times New Roman" w:hAnsi="Times New Roman"/>
          <w:sz w:val="24"/>
        </w:rPr>
        <w:t>art. 192, comma</w:t>
      </w:r>
      <w:r w:rsidR="00DE2745" w:rsidRPr="00BA08BB">
        <w:rPr>
          <w:rFonts w:ascii="Times New Roman" w:hAnsi="Times New Roman"/>
          <w:sz w:val="24"/>
        </w:rPr>
        <w:t xml:space="preserve"> </w:t>
      </w:r>
      <w:r w:rsidR="001A4F4D" w:rsidRPr="00BA08BB">
        <w:rPr>
          <w:rFonts w:ascii="Times New Roman" w:hAnsi="Times New Roman"/>
          <w:sz w:val="24"/>
        </w:rPr>
        <w:t xml:space="preserve">2, </w:t>
      </w:r>
      <w:r w:rsidRPr="00BA08BB">
        <w:rPr>
          <w:rFonts w:ascii="Times New Roman" w:hAnsi="Times New Roman"/>
          <w:sz w:val="24"/>
        </w:rPr>
        <w:t>del codice subordina il ricorso all’</w:t>
      </w:r>
      <w:r w:rsidRPr="0046196D">
        <w:rPr>
          <w:rFonts w:ascii="Times New Roman" w:hAnsi="Times New Roman"/>
          <w:i/>
          <w:sz w:val="24"/>
        </w:rPr>
        <w:t xml:space="preserve">in house </w:t>
      </w:r>
      <w:r w:rsidRPr="00BA08BB">
        <w:rPr>
          <w:rFonts w:ascii="Times New Roman" w:hAnsi="Times New Roman"/>
          <w:sz w:val="24"/>
        </w:rPr>
        <w:t xml:space="preserve">ad un onere </w:t>
      </w:r>
      <w:r w:rsidR="00983D7E">
        <w:rPr>
          <w:rFonts w:ascii="Times New Roman" w:hAnsi="Times New Roman"/>
          <w:sz w:val="24"/>
        </w:rPr>
        <w:t>di motivazione</w:t>
      </w:r>
      <w:r w:rsidRPr="00BA08BB">
        <w:rPr>
          <w:rFonts w:ascii="Times New Roman" w:hAnsi="Times New Roman"/>
          <w:sz w:val="24"/>
        </w:rPr>
        <w:t xml:space="preserve"> </w:t>
      </w:r>
      <w:r w:rsidR="00983D7E">
        <w:rPr>
          <w:rFonts w:ascii="Times New Roman" w:hAnsi="Times New Roman"/>
          <w:sz w:val="24"/>
        </w:rPr>
        <w:t xml:space="preserve">rafforzata e </w:t>
      </w:r>
      <w:r w:rsidRPr="00BA08BB">
        <w:rPr>
          <w:rFonts w:ascii="Times New Roman" w:hAnsi="Times New Roman"/>
          <w:sz w:val="24"/>
        </w:rPr>
        <w:t>stringente</w:t>
      </w:r>
      <w:r w:rsidR="001A4F4D" w:rsidRPr="00BA08BB">
        <w:rPr>
          <w:rFonts w:ascii="Times New Roman" w:hAnsi="Times New Roman"/>
          <w:sz w:val="24"/>
        </w:rPr>
        <w:t xml:space="preserve">, imponendo alle stazioni appaltanti: </w:t>
      </w:r>
      <w:r w:rsidR="001A4F4D" w:rsidRPr="0046196D">
        <w:rPr>
          <w:rFonts w:ascii="Times New Roman" w:hAnsi="Times New Roman"/>
          <w:i/>
          <w:sz w:val="24"/>
        </w:rPr>
        <w:t>i</w:t>
      </w:r>
      <w:r w:rsidR="001A4F4D" w:rsidRPr="00BA08BB">
        <w:rPr>
          <w:rFonts w:ascii="Times New Roman" w:hAnsi="Times New Roman"/>
          <w:sz w:val="24"/>
        </w:rPr>
        <w:t>) una valutazione preventiva</w:t>
      </w:r>
      <w:r w:rsidR="00A712F1">
        <w:rPr>
          <w:rFonts w:ascii="Times New Roman" w:hAnsi="Times New Roman"/>
          <w:sz w:val="24"/>
        </w:rPr>
        <w:t xml:space="preserve"> sulla congruità economica dell’</w:t>
      </w:r>
      <w:r w:rsidR="001A4F4D" w:rsidRPr="00BA08BB">
        <w:rPr>
          <w:rFonts w:ascii="Times New Roman" w:hAnsi="Times New Roman"/>
          <w:sz w:val="24"/>
        </w:rPr>
        <w:t xml:space="preserve">offerta dei soggetti </w:t>
      </w:r>
      <w:r w:rsidR="001A4F4D" w:rsidRPr="00BC24D7">
        <w:rPr>
          <w:rFonts w:ascii="Times New Roman" w:hAnsi="Times New Roman"/>
          <w:i/>
          <w:sz w:val="24"/>
        </w:rPr>
        <w:t>in house</w:t>
      </w:r>
      <w:r w:rsidR="00351ABE">
        <w:rPr>
          <w:rFonts w:ascii="Times New Roman" w:hAnsi="Times New Roman"/>
          <w:sz w:val="24"/>
        </w:rPr>
        <w:t>, avuto riguardo all’</w:t>
      </w:r>
      <w:r w:rsidR="001A4F4D" w:rsidRPr="00BA08BB">
        <w:rPr>
          <w:rFonts w:ascii="Times New Roman" w:hAnsi="Times New Roman"/>
          <w:sz w:val="24"/>
        </w:rPr>
        <w:t xml:space="preserve">oggetto e al valore della prestazione; </w:t>
      </w:r>
      <w:r w:rsidR="001A4F4D" w:rsidRPr="0046196D">
        <w:rPr>
          <w:rFonts w:ascii="Times New Roman" w:hAnsi="Times New Roman"/>
          <w:i/>
          <w:sz w:val="24"/>
        </w:rPr>
        <w:t>ii</w:t>
      </w:r>
      <w:r w:rsidR="001A4F4D" w:rsidRPr="00BA08BB">
        <w:rPr>
          <w:rFonts w:ascii="Times New Roman" w:hAnsi="Times New Roman"/>
          <w:sz w:val="24"/>
        </w:rPr>
        <w:t>) la specificazione nella motivazione del provvedimento di affidamento delle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w:t>
      </w:r>
      <w:r w:rsidR="00C61D53" w:rsidRPr="00BA08BB">
        <w:rPr>
          <w:rStyle w:val="Rimandonotaapidipagina"/>
          <w:rFonts w:ascii="Times New Roman" w:hAnsi="Times New Roman"/>
          <w:sz w:val="24"/>
        </w:rPr>
        <w:footnoteReference w:id="37"/>
      </w:r>
      <w:r w:rsidR="001A4F4D" w:rsidRPr="00BA08BB">
        <w:rPr>
          <w:rFonts w:ascii="Times New Roman" w:hAnsi="Times New Roman"/>
          <w:sz w:val="24"/>
        </w:rPr>
        <w:t>.</w:t>
      </w:r>
      <w:r w:rsidR="0046196D">
        <w:rPr>
          <w:rFonts w:ascii="Times New Roman" w:hAnsi="Times New Roman"/>
          <w:sz w:val="24"/>
        </w:rPr>
        <w:t xml:space="preserve"> </w:t>
      </w:r>
    </w:p>
    <w:p w:rsidR="00BC24D7" w:rsidRDefault="00A57469" w:rsidP="00BA08BB">
      <w:pPr>
        <w:spacing w:line="480" w:lineRule="auto"/>
        <w:jc w:val="both"/>
        <w:rPr>
          <w:rFonts w:ascii="Times New Roman" w:hAnsi="Times New Roman"/>
          <w:sz w:val="24"/>
        </w:rPr>
      </w:pPr>
      <w:r w:rsidRPr="00BA08BB">
        <w:rPr>
          <w:rFonts w:ascii="Times New Roman" w:hAnsi="Times New Roman"/>
          <w:sz w:val="24"/>
        </w:rPr>
        <w:t xml:space="preserve">L’onere di motivazione rafforzata imposto dall’articolo in esame ha superato sia le censure di legittimità costituzionale per eccesso di delega </w:t>
      </w:r>
      <w:r w:rsidR="00E73C8C">
        <w:rPr>
          <w:rFonts w:ascii="Times New Roman" w:hAnsi="Times New Roman"/>
          <w:sz w:val="24"/>
        </w:rPr>
        <w:t xml:space="preserve">in relazione al </w:t>
      </w:r>
      <w:r w:rsidRPr="00BA08BB">
        <w:rPr>
          <w:rFonts w:ascii="Times New Roman" w:hAnsi="Times New Roman"/>
          <w:sz w:val="24"/>
        </w:rPr>
        <w:t xml:space="preserve">divieto di </w:t>
      </w:r>
      <w:r w:rsidRPr="00BC24D7">
        <w:rPr>
          <w:rFonts w:ascii="Times New Roman" w:hAnsi="Times New Roman"/>
          <w:i/>
          <w:sz w:val="24"/>
        </w:rPr>
        <w:t>gold plating</w:t>
      </w:r>
      <w:r w:rsidR="00093F73">
        <w:rPr>
          <w:rFonts w:ascii="Times New Roman" w:hAnsi="Times New Roman"/>
          <w:i/>
          <w:sz w:val="24"/>
        </w:rPr>
        <w:t xml:space="preserve">, </w:t>
      </w:r>
      <w:r w:rsidR="00E73C8C">
        <w:rPr>
          <w:rFonts w:ascii="Times New Roman" w:hAnsi="Times New Roman"/>
          <w:sz w:val="24"/>
        </w:rPr>
        <w:t>contenuto nell’art 1, comma 1, lettera a</w:t>
      </w:r>
      <w:r w:rsidR="00093F73">
        <w:rPr>
          <w:rFonts w:ascii="Times New Roman" w:hAnsi="Times New Roman"/>
          <w:sz w:val="24"/>
        </w:rPr>
        <w:t>)</w:t>
      </w:r>
      <w:r w:rsidR="00E73C8C">
        <w:rPr>
          <w:rFonts w:ascii="Times New Roman" w:hAnsi="Times New Roman"/>
          <w:sz w:val="24"/>
        </w:rPr>
        <w:t xml:space="preserve"> della l</w:t>
      </w:r>
      <w:r w:rsidR="00093F73">
        <w:rPr>
          <w:rFonts w:ascii="Times New Roman" w:hAnsi="Times New Roman"/>
          <w:sz w:val="24"/>
        </w:rPr>
        <w:t xml:space="preserve">egge delega n. 11 del 2016, </w:t>
      </w:r>
      <w:r w:rsidR="00E73C8C" w:rsidRPr="00BA08BB">
        <w:rPr>
          <w:rStyle w:val="Rimandonotaapidipagina"/>
          <w:rFonts w:ascii="Times New Roman" w:hAnsi="Times New Roman"/>
          <w:sz w:val="24"/>
        </w:rPr>
        <w:footnoteReference w:id="38"/>
      </w:r>
      <w:r w:rsidRPr="00BA08BB">
        <w:rPr>
          <w:rFonts w:ascii="Times New Roman" w:hAnsi="Times New Roman"/>
          <w:sz w:val="24"/>
        </w:rPr>
        <w:t xml:space="preserve"> sia i dubbi di compatibilità comunitaria in relazione al principio di libera amministrazione delle autorità pubbliche e al principio di sostanziale equivalenza fra le diverse modalità di affidamento e di gestione dei servizi di interesse delle amministrazioni pubbliche.</w:t>
      </w:r>
      <w:r w:rsidR="009D6097" w:rsidRPr="00BA08BB">
        <w:rPr>
          <w:rFonts w:ascii="Times New Roman" w:hAnsi="Times New Roman"/>
          <w:sz w:val="24"/>
        </w:rPr>
        <w:t xml:space="preserve"> </w:t>
      </w:r>
    </w:p>
    <w:p w:rsidR="00A57469" w:rsidRPr="00BA08BB" w:rsidRDefault="00A57469" w:rsidP="00BA08BB">
      <w:pPr>
        <w:spacing w:line="480" w:lineRule="auto"/>
        <w:jc w:val="both"/>
        <w:rPr>
          <w:rFonts w:ascii="Times New Roman" w:hAnsi="Times New Roman"/>
          <w:sz w:val="24"/>
        </w:rPr>
      </w:pPr>
      <w:r w:rsidRPr="00BA08BB">
        <w:rPr>
          <w:rFonts w:ascii="Times New Roman" w:hAnsi="Times New Roman"/>
          <w:sz w:val="24"/>
        </w:rPr>
        <w:t>La Corte di Giustizia, in particolare, ha sancito che la disposizione sopra richiamata</w:t>
      </w:r>
      <w:r w:rsidR="00E73C8C" w:rsidRPr="00BA08BB">
        <w:rPr>
          <w:rStyle w:val="Rimandonotaapidipagina"/>
          <w:rFonts w:ascii="Times New Roman" w:hAnsi="Times New Roman"/>
          <w:sz w:val="24"/>
        </w:rPr>
        <w:footnoteReference w:id="39"/>
      </w:r>
      <w:r w:rsidRPr="00BA08BB">
        <w:rPr>
          <w:rFonts w:ascii="Times New Roman" w:hAnsi="Times New Roman"/>
          <w:sz w:val="24"/>
        </w:rPr>
        <w:t xml:space="preserve">, nel subordinare l’affidamento </w:t>
      </w:r>
      <w:r w:rsidRPr="00BA08BB">
        <w:rPr>
          <w:rFonts w:ascii="Times New Roman" w:hAnsi="Times New Roman"/>
          <w:i/>
          <w:sz w:val="24"/>
        </w:rPr>
        <w:t>in house</w:t>
      </w:r>
      <w:r w:rsidRPr="00BA08BB">
        <w:rPr>
          <w:rFonts w:ascii="Times New Roman" w:hAnsi="Times New Roman"/>
          <w:sz w:val="24"/>
        </w:rPr>
        <w:t xml:space="preserve"> alla dimostrazione, da parte dell’amministrazione aggiudicatrice, dei vantaggi per la collettività specificamente connessi al ricorso all’operazione interna non contrasta </w:t>
      </w:r>
      <w:r w:rsidR="00987716">
        <w:rPr>
          <w:rFonts w:ascii="Times New Roman" w:hAnsi="Times New Roman"/>
          <w:sz w:val="24"/>
        </w:rPr>
        <w:t xml:space="preserve">con l’art. </w:t>
      </w:r>
      <w:r w:rsidRPr="00BA08BB">
        <w:rPr>
          <w:rFonts w:ascii="Times New Roman" w:hAnsi="Times New Roman"/>
          <w:sz w:val="24"/>
        </w:rPr>
        <w:t>12, paragrafo 3, della direttiva 2014/24/UE e i principi sopra richiamati.</w:t>
      </w:r>
      <w:r w:rsidRPr="00BA08BB">
        <w:rPr>
          <w:rStyle w:val="Rimandonotaapidipagina"/>
          <w:rFonts w:ascii="Times New Roman" w:hAnsi="Times New Roman"/>
          <w:sz w:val="24"/>
        </w:rPr>
        <w:footnoteReference w:id="40"/>
      </w:r>
    </w:p>
    <w:p w:rsidR="00A57469" w:rsidRDefault="0085656E" w:rsidP="00BA08BB">
      <w:pPr>
        <w:spacing w:line="480" w:lineRule="auto"/>
        <w:jc w:val="both"/>
        <w:rPr>
          <w:rFonts w:ascii="Times New Roman" w:hAnsi="Times New Roman"/>
          <w:sz w:val="24"/>
        </w:rPr>
      </w:pPr>
      <w:r w:rsidRPr="00BA08BB">
        <w:rPr>
          <w:rFonts w:ascii="Times New Roman" w:hAnsi="Times New Roman"/>
          <w:sz w:val="24"/>
        </w:rPr>
        <w:t xml:space="preserve">Come chiarito dalla Corte costituzionale, </w:t>
      </w:r>
      <w:r w:rsidR="00C61D53" w:rsidRPr="00BA08BB">
        <w:rPr>
          <w:rFonts w:ascii="Times New Roman" w:hAnsi="Times New Roman"/>
          <w:sz w:val="24"/>
        </w:rPr>
        <w:t>l’articolo</w:t>
      </w:r>
      <w:r w:rsidRPr="00BA08BB">
        <w:rPr>
          <w:rFonts w:ascii="Times New Roman" w:hAnsi="Times New Roman"/>
          <w:sz w:val="24"/>
        </w:rPr>
        <w:t xml:space="preserve"> “</w:t>
      </w:r>
      <w:r w:rsidRPr="00BA08BB">
        <w:rPr>
          <w:rFonts w:ascii="Times New Roman" w:hAnsi="Times New Roman"/>
          <w:i/>
          <w:sz w:val="24"/>
        </w:rPr>
        <w:t>è espressione di una linea restrittiva del ricorso all'affidamento diretto che è costante nel nostro ordinamento da oltre dieci anni, e che costituisce la risposta all'abuso di tale istituto da parte delle amministrazioni nazionali e locali, come emerge dalla relazione AIR dell'Autorità nazionale anticorruzione (ANAC), relativa alle Linee guida per l'istituzione dell'elenco delle amministrazioni aggiudicatrici e degli enti aggiudicatori che operano mediante affidamenti diretti nei confronti di proprie società in house, ai sensi dell'art. 192 del codice dei contratti pubblici</w:t>
      </w:r>
      <w:r w:rsidRPr="00BA08BB">
        <w:rPr>
          <w:rFonts w:ascii="Times New Roman" w:hAnsi="Times New Roman"/>
          <w:sz w:val="24"/>
        </w:rPr>
        <w:t>”.</w:t>
      </w:r>
      <w:r w:rsidR="00F3514A" w:rsidRPr="00BA08BB">
        <w:rPr>
          <w:rStyle w:val="Rimandonotaapidipagina"/>
          <w:rFonts w:ascii="Times New Roman" w:hAnsi="Times New Roman"/>
          <w:sz w:val="24"/>
        </w:rPr>
        <w:footnoteReference w:id="41"/>
      </w:r>
    </w:p>
    <w:p w:rsidR="0046196D" w:rsidRPr="00BA08BB" w:rsidRDefault="002A77D2" w:rsidP="000B7C42">
      <w:pPr>
        <w:spacing w:line="480" w:lineRule="auto"/>
        <w:jc w:val="both"/>
        <w:rPr>
          <w:rFonts w:ascii="Times New Roman" w:hAnsi="Times New Roman"/>
          <w:sz w:val="24"/>
        </w:rPr>
      </w:pPr>
      <w:r>
        <w:rPr>
          <w:rFonts w:ascii="Times New Roman" w:hAnsi="Times New Roman"/>
          <w:sz w:val="24"/>
        </w:rPr>
        <w:t>Il</w:t>
      </w:r>
      <w:r w:rsidR="000B7C42">
        <w:rPr>
          <w:rFonts w:ascii="Times New Roman" w:hAnsi="Times New Roman"/>
          <w:sz w:val="24"/>
        </w:rPr>
        <w:t xml:space="preserve"> ricorso all’</w:t>
      </w:r>
      <w:r w:rsidR="000B7C42" w:rsidRPr="00A45BA1">
        <w:rPr>
          <w:rFonts w:ascii="Times New Roman" w:hAnsi="Times New Roman"/>
          <w:i/>
          <w:sz w:val="24"/>
        </w:rPr>
        <w:t>in house</w:t>
      </w:r>
      <w:r w:rsidR="00C24D91">
        <w:rPr>
          <w:rFonts w:ascii="Times New Roman" w:hAnsi="Times New Roman"/>
          <w:sz w:val="24"/>
        </w:rPr>
        <w:t>, quindi,</w:t>
      </w:r>
      <w:r w:rsidR="00154FA3" w:rsidRPr="00A45BA1">
        <w:rPr>
          <w:rFonts w:ascii="Times New Roman" w:hAnsi="Times New Roman"/>
          <w:i/>
          <w:sz w:val="24"/>
        </w:rPr>
        <w:t xml:space="preserve"> </w:t>
      </w:r>
      <w:r w:rsidR="00154FA3">
        <w:rPr>
          <w:rFonts w:ascii="Times New Roman" w:hAnsi="Times New Roman"/>
          <w:sz w:val="24"/>
        </w:rPr>
        <w:t xml:space="preserve">è subordinato alla prova, se non di una vera e propria </w:t>
      </w:r>
      <w:r w:rsidR="00A45BA1">
        <w:rPr>
          <w:rFonts w:ascii="Times New Roman" w:hAnsi="Times New Roman"/>
          <w:sz w:val="24"/>
        </w:rPr>
        <w:t xml:space="preserve">condizione </w:t>
      </w:r>
      <w:r w:rsidR="00154FA3">
        <w:rPr>
          <w:rFonts w:ascii="Times New Roman" w:hAnsi="Times New Roman"/>
          <w:sz w:val="24"/>
        </w:rPr>
        <w:t xml:space="preserve">di fallimento del mercato che rende l’affidamento diretto una soluzione obbligata, </w:t>
      </w:r>
      <w:r w:rsidR="000B7C42">
        <w:rPr>
          <w:rFonts w:ascii="Times New Roman" w:hAnsi="Times New Roman"/>
          <w:sz w:val="24"/>
        </w:rPr>
        <w:t xml:space="preserve"> </w:t>
      </w:r>
      <w:r w:rsidR="00154FA3">
        <w:rPr>
          <w:rFonts w:ascii="Times New Roman" w:hAnsi="Times New Roman"/>
          <w:sz w:val="24"/>
        </w:rPr>
        <w:t>quanto meno della</w:t>
      </w:r>
      <w:r w:rsidR="000B7C42">
        <w:rPr>
          <w:rFonts w:ascii="Times New Roman" w:hAnsi="Times New Roman"/>
          <w:sz w:val="24"/>
        </w:rPr>
        <w:t xml:space="preserve"> ragionevolezza economica della scelta compiuta, </w:t>
      </w:r>
      <w:r w:rsidR="000B7C42" w:rsidRPr="000B7C42">
        <w:rPr>
          <w:rFonts w:ascii="Times New Roman" w:hAnsi="Times New Roman"/>
          <w:sz w:val="24"/>
        </w:rPr>
        <w:t>attraverso una comparazione tra dati da svolgersi</w:t>
      </w:r>
      <w:r w:rsidR="000B7C42">
        <w:rPr>
          <w:rFonts w:ascii="Times New Roman" w:hAnsi="Times New Roman"/>
          <w:sz w:val="24"/>
        </w:rPr>
        <w:t xml:space="preserve"> mettendo a confronto operatori </w:t>
      </w:r>
      <w:r w:rsidR="000B7C42" w:rsidRPr="000B7C42">
        <w:rPr>
          <w:rFonts w:ascii="Times New Roman" w:hAnsi="Times New Roman"/>
          <w:sz w:val="24"/>
        </w:rPr>
        <w:t>privati operanti nel medesimo territorio</w:t>
      </w:r>
      <w:r w:rsidR="000B7C42">
        <w:rPr>
          <w:rStyle w:val="Rimandonotaapidipagina"/>
          <w:rFonts w:ascii="Times New Roman" w:hAnsi="Times New Roman"/>
          <w:sz w:val="24"/>
        </w:rPr>
        <w:footnoteReference w:id="42"/>
      </w:r>
      <w:r w:rsidR="001C6B70">
        <w:rPr>
          <w:rFonts w:ascii="Times New Roman" w:hAnsi="Times New Roman"/>
          <w:sz w:val="24"/>
        </w:rPr>
        <w:t>.</w:t>
      </w:r>
    </w:p>
    <w:p w:rsidR="001C6B70" w:rsidRDefault="005177AB" w:rsidP="00BA08BB">
      <w:pPr>
        <w:spacing w:line="480" w:lineRule="auto"/>
        <w:jc w:val="both"/>
        <w:rPr>
          <w:rFonts w:ascii="Times New Roman" w:hAnsi="Times New Roman"/>
          <w:sz w:val="24"/>
        </w:rPr>
      </w:pPr>
      <w:r>
        <w:rPr>
          <w:rFonts w:ascii="Times New Roman" w:hAnsi="Times New Roman"/>
          <w:sz w:val="24"/>
        </w:rPr>
        <w:t>Nella più recente disciplina relativa all’utilizzo dell’</w:t>
      </w:r>
      <w:r w:rsidRPr="005177AB">
        <w:rPr>
          <w:rFonts w:ascii="Times New Roman" w:hAnsi="Times New Roman"/>
          <w:i/>
          <w:sz w:val="24"/>
        </w:rPr>
        <w:t xml:space="preserve">in house </w:t>
      </w:r>
      <w:r>
        <w:rPr>
          <w:rFonts w:ascii="Times New Roman" w:hAnsi="Times New Roman"/>
          <w:sz w:val="24"/>
        </w:rPr>
        <w:t xml:space="preserve">per gli interventi del PNRR il legislatore sembra aver </w:t>
      </w:r>
      <w:r w:rsidR="00093F73">
        <w:rPr>
          <w:rFonts w:ascii="Times New Roman" w:hAnsi="Times New Roman"/>
          <w:sz w:val="24"/>
        </w:rPr>
        <w:t>superato</w:t>
      </w:r>
      <w:r>
        <w:rPr>
          <w:rFonts w:ascii="Times New Roman" w:hAnsi="Times New Roman"/>
          <w:sz w:val="24"/>
        </w:rPr>
        <w:t xml:space="preserve"> </w:t>
      </w:r>
      <w:r w:rsidR="00093F73">
        <w:rPr>
          <w:rFonts w:ascii="Times New Roman" w:hAnsi="Times New Roman"/>
          <w:sz w:val="24"/>
        </w:rPr>
        <w:t>la precedente diffidenza manifestata verso l’istituto</w:t>
      </w:r>
      <w:r w:rsidR="00C61D53" w:rsidRPr="00BA08BB">
        <w:rPr>
          <w:rFonts w:ascii="Times New Roman" w:hAnsi="Times New Roman"/>
          <w:sz w:val="24"/>
        </w:rPr>
        <w:t xml:space="preserve">, trasformandolo in uno strumento di ammodernamento e </w:t>
      </w:r>
      <w:r w:rsidR="00B71B42">
        <w:rPr>
          <w:rFonts w:ascii="Times New Roman" w:hAnsi="Times New Roman"/>
          <w:sz w:val="24"/>
        </w:rPr>
        <w:t>rafforzamento</w:t>
      </w:r>
      <w:r w:rsidR="00C61D53" w:rsidRPr="00BA08BB">
        <w:rPr>
          <w:rFonts w:ascii="Times New Roman" w:hAnsi="Times New Roman"/>
          <w:sz w:val="24"/>
        </w:rPr>
        <w:t xml:space="preserve"> dell</w:t>
      </w:r>
      <w:r w:rsidR="004467FD">
        <w:rPr>
          <w:rFonts w:ascii="Times New Roman" w:hAnsi="Times New Roman"/>
          <w:sz w:val="24"/>
        </w:rPr>
        <w:t>a</w:t>
      </w:r>
      <w:r w:rsidR="00C61D53" w:rsidRPr="00BA08BB">
        <w:rPr>
          <w:rFonts w:ascii="Times New Roman" w:hAnsi="Times New Roman"/>
          <w:sz w:val="24"/>
        </w:rPr>
        <w:t xml:space="preserve"> capacità amministrativ</w:t>
      </w:r>
      <w:r w:rsidR="004467FD">
        <w:rPr>
          <w:rFonts w:ascii="Times New Roman" w:hAnsi="Times New Roman"/>
          <w:sz w:val="24"/>
        </w:rPr>
        <w:t>a</w:t>
      </w:r>
      <w:r w:rsidR="00C61D53" w:rsidRPr="00BA08BB">
        <w:rPr>
          <w:rFonts w:ascii="Times New Roman" w:hAnsi="Times New Roman"/>
          <w:sz w:val="24"/>
        </w:rPr>
        <w:t xml:space="preserve"> dei soggetti pubblici, in vista dell’attuazione degli interventi </w:t>
      </w:r>
      <w:r w:rsidR="004467FD">
        <w:rPr>
          <w:rFonts w:ascii="Times New Roman" w:hAnsi="Times New Roman"/>
          <w:sz w:val="24"/>
        </w:rPr>
        <w:t xml:space="preserve">contemplati </w:t>
      </w:r>
      <w:r w:rsidR="00C24D91">
        <w:rPr>
          <w:rFonts w:ascii="Times New Roman" w:hAnsi="Times New Roman"/>
          <w:sz w:val="24"/>
        </w:rPr>
        <w:t>d</w:t>
      </w:r>
      <w:r w:rsidR="004467FD">
        <w:rPr>
          <w:rFonts w:ascii="Times New Roman" w:hAnsi="Times New Roman"/>
          <w:sz w:val="24"/>
        </w:rPr>
        <w:t>a</w:t>
      </w:r>
      <w:r w:rsidR="00C24D91">
        <w:rPr>
          <w:rFonts w:ascii="Times New Roman" w:hAnsi="Times New Roman"/>
          <w:sz w:val="24"/>
        </w:rPr>
        <w:t xml:space="preserve">l Piano </w:t>
      </w:r>
      <w:r w:rsidR="00C61D53" w:rsidRPr="00BA08BB">
        <w:rPr>
          <w:rFonts w:ascii="Times New Roman" w:hAnsi="Times New Roman"/>
          <w:sz w:val="24"/>
        </w:rPr>
        <w:t>e non solo.</w:t>
      </w:r>
      <w:r>
        <w:rPr>
          <w:rFonts w:ascii="Times New Roman" w:hAnsi="Times New Roman"/>
          <w:sz w:val="24"/>
        </w:rPr>
        <w:t xml:space="preserve"> </w:t>
      </w:r>
    </w:p>
    <w:p w:rsidR="00B85B05" w:rsidRPr="00BA08BB" w:rsidRDefault="00B85B05" w:rsidP="00BA08BB">
      <w:pPr>
        <w:spacing w:line="480" w:lineRule="auto"/>
        <w:jc w:val="both"/>
        <w:rPr>
          <w:rFonts w:ascii="Times New Roman" w:hAnsi="Times New Roman"/>
          <w:sz w:val="24"/>
        </w:rPr>
      </w:pPr>
      <w:r w:rsidRPr="00BA08BB">
        <w:rPr>
          <w:rFonts w:ascii="Times New Roman" w:hAnsi="Times New Roman"/>
          <w:sz w:val="24"/>
        </w:rPr>
        <w:t>Viene in rilievo, sotto tale profilo, il d.l.</w:t>
      </w:r>
      <w:r w:rsidR="0091305E" w:rsidRPr="00BA08BB">
        <w:rPr>
          <w:rFonts w:ascii="Times New Roman" w:hAnsi="Times New Roman"/>
          <w:sz w:val="24"/>
        </w:rPr>
        <w:t xml:space="preserve"> 31 maggio 2021, n. 77 convertito, con modificazioni, dal</w:t>
      </w:r>
      <w:r w:rsidR="006F0923" w:rsidRPr="00BA08BB">
        <w:rPr>
          <w:rFonts w:ascii="Times New Roman" w:hAnsi="Times New Roman"/>
          <w:sz w:val="24"/>
        </w:rPr>
        <w:t>la</w:t>
      </w:r>
      <w:r w:rsidR="0091305E" w:rsidRPr="00BA08BB">
        <w:rPr>
          <w:rFonts w:ascii="Times New Roman" w:hAnsi="Times New Roman"/>
          <w:sz w:val="24"/>
        </w:rPr>
        <w:t xml:space="preserve"> l. 29 luglio 2021, n. 108</w:t>
      </w:r>
      <w:r w:rsidRPr="00BA08BB">
        <w:rPr>
          <w:rFonts w:ascii="Times New Roman" w:hAnsi="Times New Roman"/>
          <w:sz w:val="24"/>
        </w:rPr>
        <w:t>.</w:t>
      </w:r>
    </w:p>
    <w:p w:rsidR="0091305E" w:rsidRPr="00BA08BB" w:rsidRDefault="00B85B05" w:rsidP="00BA08BB">
      <w:pPr>
        <w:spacing w:line="480" w:lineRule="auto"/>
        <w:jc w:val="both"/>
        <w:rPr>
          <w:rFonts w:ascii="Times New Roman" w:hAnsi="Times New Roman"/>
          <w:sz w:val="24"/>
        </w:rPr>
      </w:pPr>
      <w:r w:rsidRPr="00BA08BB">
        <w:rPr>
          <w:rFonts w:ascii="Times New Roman" w:hAnsi="Times New Roman"/>
          <w:sz w:val="24"/>
        </w:rPr>
        <w:t xml:space="preserve">Il decreto reca </w:t>
      </w:r>
      <w:r w:rsidR="00B84C50" w:rsidRPr="00BA08BB">
        <w:rPr>
          <w:rFonts w:ascii="Times New Roman" w:hAnsi="Times New Roman"/>
          <w:sz w:val="24"/>
        </w:rPr>
        <w:t xml:space="preserve">la disciplina della </w:t>
      </w:r>
      <w:r w:rsidR="00B84C50" w:rsidRPr="00BA08BB">
        <w:rPr>
          <w:rFonts w:ascii="Times New Roman" w:hAnsi="Times New Roman"/>
          <w:i/>
          <w:sz w:val="24"/>
        </w:rPr>
        <w:t>Governance</w:t>
      </w:r>
      <w:r w:rsidR="00B84C50" w:rsidRPr="00BA08BB">
        <w:rPr>
          <w:rFonts w:ascii="Times New Roman" w:hAnsi="Times New Roman"/>
          <w:sz w:val="24"/>
        </w:rPr>
        <w:t xml:space="preserve"> per il PNRR (titolo I) con la previsione di una cabina di regia e di una segreteria tecnica presso la Presidenza del Consiglio dei Ministri </w:t>
      </w:r>
      <w:r w:rsidR="006F0923" w:rsidRPr="00BA08BB">
        <w:rPr>
          <w:rFonts w:ascii="Times New Roman" w:hAnsi="Times New Roman"/>
          <w:sz w:val="24"/>
        </w:rPr>
        <w:t>nonch</w:t>
      </w:r>
      <w:r w:rsidR="00987716">
        <w:rPr>
          <w:rFonts w:ascii="Times New Roman" w:hAnsi="Times New Roman"/>
          <w:sz w:val="24"/>
        </w:rPr>
        <w:t>é</w:t>
      </w:r>
      <w:r w:rsidR="00B84C50" w:rsidRPr="00BA08BB">
        <w:rPr>
          <w:rFonts w:ascii="Times New Roman" w:hAnsi="Times New Roman"/>
          <w:sz w:val="24"/>
        </w:rPr>
        <w:t xml:space="preserve"> </w:t>
      </w:r>
      <w:r w:rsidR="009B4F09" w:rsidRPr="00BA08BB">
        <w:rPr>
          <w:rFonts w:ascii="Times New Roman" w:hAnsi="Times New Roman"/>
          <w:sz w:val="24"/>
        </w:rPr>
        <w:t>una disciplina</w:t>
      </w:r>
      <w:r w:rsidR="00B84C50" w:rsidRPr="00BA08BB">
        <w:rPr>
          <w:rFonts w:ascii="Times New Roman" w:hAnsi="Times New Roman"/>
          <w:sz w:val="24"/>
        </w:rPr>
        <w:t xml:space="preserve"> </w:t>
      </w:r>
      <w:r w:rsidR="00E855CA">
        <w:rPr>
          <w:rFonts w:ascii="Times New Roman" w:hAnsi="Times New Roman"/>
          <w:sz w:val="24"/>
        </w:rPr>
        <w:t xml:space="preserve">di </w:t>
      </w:r>
      <w:r w:rsidR="00B84C50" w:rsidRPr="00BA08BB">
        <w:rPr>
          <w:rFonts w:ascii="Times New Roman" w:hAnsi="Times New Roman"/>
          <w:sz w:val="24"/>
        </w:rPr>
        <w:t>accelerazione e snellimento delle procedure e di rafforzamento della capacità amministrativa (titolo II)</w:t>
      </w:r>
      <w:r w:rsidR="00B84C50" w:rsidRPr="00BA08BB">
        <w:rPr>
          <w:rStyle w:val="Rimandonotaapidipagina"/>
          <w:rFonts w:ascii="Times New Roman" w:hAnsi="Times New Roman"/>
          <w:sz w:val="24"/>
        </w:rPr>
        <w:footnoteReference w:id="43"/>
      </w:r>
      <w:r w:rsidR="00B84C50" w:rsidRPr="00BA08BB">
        <w:rPr>
          <w:rFonts w:ascii="Times New Roman" w:hAnsi="Times New Roman"/>
          <w:sz w:val="24"/>
        </w:rPr>
        <w:t>.</w:t>
      </w:r>
    </w:p>
    <w:p w:rsidR="00D52090" w:rsidRDefault="00987716" w:rsidP="00BA08BB">
      <w:pPr>
        <w:spacing w:line="480" w:lineRule="auto"/>
        <w:jc w:val="both"/>
        <w:rPr>
          <w:rFonts w:ascii="Times New Roman" w:hAnsi="Times New Roman"/>
          <w:sz w:val="24"/>
        </w:rPr>
      </w:pPr>
      <w:r>
        <w:rPr>
          <w:rFonts w:ascii="Times New Roman" w:hAnsi="Times New Roman"/>
          <w:sz w:val="24"/>
        </w:rPr>
        <w:t xml:space="preserve">L’art. 10, in particolare, </w:t>
      </w:r>
      <w:r w:rsidR="00327FF9" w:rsidRPr="00BA08BB">
        <w:rPr>
          <w:rFonts w:ascii="Times New Roman" w:hAnsi="Times New Roman"/>
          <w:sz w:val="24"/>
        </w:rPr>
        <w:t xml:space="preserve">consente alle amministrazioni di avvalersi, mediante la sottoscrizione di apposite convenzioni, del supporto tecnico operativo di società </w:t>
      </w:r>
      <w:r w:rsidR="00327FF9" w:rsidRPr="00BA08BB">
        <w:rPr>
          <w:rFonts w:ascii="Times New Roman" w:hAnsi="Times New Roman"/>
          <w:i/>
          <w:sz w:val="24"/>
        </w:rPr>
        <w:t>in house</w:t>
      </w:r>
      <w:r w:rsidR="00327FF9" w:rsidRPr="00BA08BB">
        <w:rPr>
          <w:rFonts w:ascii="Times New Roman" w:hAnsi="Times New Roman"/>
          <w:sz w:val="24"/>
        </w:rPr>
        <w:t xml:space="preserve"> qualificate</w:t>
      </w:r>
      <w:r w:rsidR="006F0923" w:rsidRPr="00BA08BB">
        <w:rPr>
          <w:rFonts w:ascii="Times New Roman" w:hAnsi="Times New Roman"/>
          <w:sz w:val="24"/>
        </w:rPr>
        <w:t xml:space="preserve"> ai sensi dell'</w:t>
      </w:r>
      <w:r w:rsidR="00327FF9" w:rsidRPr="00BA08BB">
        <w:rPr>
          <w:rFonts w:ascii="Times New Roman" w:hAnsi="Times New Roman"/>
          <w:sz w:val="24"/>
        </w:rPr>
        <w:t xml:space="preserve">articolo 38 del </w:t>
      </w:r>
      <w:r w:rsidR="003D1A65">
        <w:rPr>
          <w:rFonts w:ascii="Times New Roman" w:hAnsi="Times New Roman"/>
          <w:sz w:val="24"/>
        </w:rPr>
        <w:t>codice dei contratti pubblici</w:t>
      </w:r>
      <w:r w:rsidR="00327FF9" w:rsidRPr="00BA08BB">
        <w:rPr>
          <w:rStyle w:val="Rimandonotaapidipagina"/>
          <w:rFonts w:ascii="Times New Roman" w:hAnsi="Times New Roman"/>
          <w:sz w:val="24"/>
        </w:rPr>
        <w:footnoteReference w:id="44"/>
      </w:r>
      <w:r w:rsidR="006F0923" w:rsidRPr="00BA08BB">
        <w:rPr>
          <w:rFonts w:ascii="Times New Roman" w:hAnsi="Times New Roman"/>
          <w:sz w:val="24"/>
        </w:rPr>
        <w:t xml:space="preserve">. </w:t>
      </w:r>
    </w:p>
    <w:p w:rsidR="00320AD4" w:rsidRPr="00BA08BB" w:rsidRDefault="009B4F09" w:rsidP="00BA08BB">
      <w:pPr>
        <w:spacing w:line="480" w:lineRule="auto"/>
        <w:jc w:val="both"/>
        <w:rPr>
          <w:rFonts w:ascii="Times New Roman" w:hAnsi="Times New Roman"/>
          <w:sz w:val="24"/>
        </w:rPr>
      </w:pPr>
      <w:r w:rsidRPr="00BA08BB">
        <w:rPr>
          <w:rFonts w:ascii="Times New Roman" w:hAnsi="Times New Roman"/>
          <w:sz w:val="24"/>
        </w:rPr>
        <w:t xml:space="preserve">Secondo una condivisibile interpretazione, </w:t>
      </w:r>
      <w:r w:rsidR="00A45DA0" w:rsidRPr="00BA08BB">
        <w:rPr>
          <w:rFonts w:ascii="Times New Roman" w:hAnsi="Times New Roman"/>
          <w:sz w:val="24"/>
        </w:rPr>
        <w:t xml:space="preserve">la disposizione </w:t>
      </w:r>
      <w:r w:rsidRPr="00BA08BB">
        <w:rPr>
          <w:rFonts w:ascii="Times New Roman" w:hAnsi="Times New Roman"/>
          <w:sz w:val="24"/>
        </w:rPr>
        <w:t>prevede</w:t>
      </w:r>
      <w:r w:rsidR="00A45DA0" w:rsidRPr="00BA08BB">
        <w:rPr>
          <w:rFonts w:ascii="Times New Roman" w:hAnsi="Times New Roman"/>
          <w:sz w:val="24"/>
        </w:rPr>
        <w:t xml:space="preserve"> un ampliamen</w:t>
      </w:r>
      <w:r w:rsidRPr="00BA08BB">
        <w:rPr>
          <w:rFonts w:ascii="Times New Roman" w:hAnsi="Times New Roman"/>
          <w:sz w:val="24"/>
        </w:rPr>
        <w:t>to dell’ambito di utilizzo dell’</w:t>
      </w:r>
      <w:r w:rsidR="00A45DA0" w:rsidRPr="00BA08BB">
        <w:rPr>
          <w:rFonts w:ascii="Times New Roman" w:hAnsi="Times New Roman"/>
          <w:i/>
          <w:sz w:val="24"/>
        </w:rPr>
        <w:t>in house</w:t>
      </w:r>
      <w:r w:rsidR="00A45DA0" w:rsidRPr="00BA08BB">
        <w:rPr>
          <w:rFonts w:ascii="Times New Roman" w:hAnsi="Times New Roman"/>
          <w:sz w:val="24"/>
        </w:rPr>
        <w:t xml:space="preserve">, consentendo il ricorso a convenzioni con società diverse da quelle su cui l’ente esercita il controllo analogo, ossia con società </w:t>
      </w:r>
      <w:r w:rsidR="00A45DA0" w:rsidRPr="00BA08BB">
        <w:rPr>
          <w:rFonts w:ascii="Times New Roman" w:hAnsi="Times New Roman"/>
          <w:i/>
          <w:sz w:val="24"/>
        </w:rPr>
        <w:t>in house</w:t>
      </w:r>
      <w:r w:rsidR="00A45DA0" w:rsidRPr="00BA08BB">
        <w:rPr>
          <w:rFonts w:ascii="Times New Roman" w:hAnsi="Times New Roman"/>
          <w:sz w:val="24"/>
        </w:rPr>
        <w:t xml:space="preserve"> di altre amministrazioni. </w:t>
      </w:r>
      <w:r w:rsidR="00E855CA">
        <w:rPr>
          <w:rFonts w:ascii="Times New Roman" w:hAnsi="Times New Roman"/>
          <w:sz w:val="24"/>
        </w:rPr>
        <w:t>La norma</w:t>
      </w:r>
      <w:r w:rsidRPr="00BA08BB">
        <w:rPr>
          <w:rFonts w:ascii="Times New Roman" w:hAnsi="Times New Roman"/>
          <w:sz w:val="24"/>
        </w:rPr>
        <w:t xml:space="preserve"> </w:t>
      </w:r>
      <w:r w:rsidR="00A45DA0" w:rsidRPr="00BA08BB">
        <w:rPr>
          <w:rFonts w:ascii="Times New Roman" w:hAnsi="Times New Roman"/>
          <w:sz w:val="24"/>
        </w:rPr>
        <w:t xml:space="preserve">consente, in ultima analisi, un affidamento senza gara in favore di organismi nei cui confronti non sussiste una relazione </w:t>
      </w:r>
      <w:r w:rsidR="00A45DA0" w:rsidRPr="00987716">
        <w:rPr>
          <w:rFonts w:ascii="Times New Roman" w:hAnsi="Times New Roman"/>
          <w:i/>
          <w:sz w:val="24"/>
        </w:rPr>
        <w:t>in house</w:t>
      </w:r>
      <w:r w:rsidR="00A45DA0" w:rsidRPr="00BA08BB">
        <w:rPr>
          <w:rFonts w:ascii="Times New Roman" w:hAnsi="Times New Roman"/>
          <w:sz w:val="24"/>
        </w:rPr>
        <w:t xml:space="preserve"> con l’ente conferente</w:t>
      </w:r>
      <w:r w:rsidR="00DE21B2" w:rsidRPr="00BA08BB">
        <w:rPr>
          <w:rStyle w:val="Rimandonotaapidipagina"/>
          <w:rFonts w:ascii="Times New Roman" w:hAnsi="Times New Roman"/>
          <w:sz w:val="24"/>
        </w:rPr>
        <w:footnoteReference w:id="45"/>
      </w:r>
      <w:r w:rsidR="00A45DA0" w:rsidRPr="00BA08BB">
        <w:rPr>
          <w:rFonts w:ascii="Times New Roman" w:hAnsi="Times New Roman"/>
          <w:sz w:val="24"/>
        </w:rPr>
        <w:t>.</w:t>
      </w:r>
    </w:p>
    <w:p w:rsidR="00D52090" w:rsidRPr="00BA08BB" w:rsidRDefault="00DE21B2" w:rsidP="00BA08BB">
      <w:pPr>
        <w:spacing w:line="480" w:lineRule="auto"/>
        <w:jc w:val="both"/>
        <w:rPr>
          <w:rFonts w:ascii="Times New Roman" w:hAnsi="Times New Roman"/>
          <w:sz w:val="24"/>
        </w:rPr>
      </w:pPr>
      <w:r w:rsidRPr="00BA08BB">
        <w:rPr>
          <w:rFonts w:ascii="Times New Roman" w:hAnsi="Times New Roman"/>
          <w:sz w:val="24"/>
        </w:rPr>
        <w:t xml:space="preserve">Una diversa </w:t>
      </w:r>
      <w:r w:rsidR="009B4F09" w:rsidRPr="00BA08BB">
        <w:rPr>
          <w:rFonts w:ascii="Times New Roman" w:hAnsi="Times New Roman"/>
          <w:sz w:val="24"/>
        </w:rPr>
        <w:t xml:space="preserve">opzione ermeneutica </w:t>
      </w:r>
      <w:r w:rsidRPr="00BA08BB">
        <w:rPr>
          <w:rFonts w:ascii="Times New Roman" w:hAnsi="Times New Roman"/>
          <w:sz w:val="24"/>
        </w:rPr>
        <w:t>non solo renderebbe la previsione sostanzialmente inutile</w:t>
      </w:r>
      <w:r w:rsidR="000022B7" w:rsidRPr="00BA08BB">
        <w:rPr>
          <w:rFonts w:ascii="Times New Roman" w:hAnsi="Times New Roman"/>
          <w:sz w:val="24"/>
        </w:rPr>
        <w:t>,</w:t>
      </w:r>
      <w:r w:rsidRPr="00BA08BB">
        <w:rPr>
          <w:rFonts w:ascii="Times New Roman" w:hAnsi="Times New Roman"/>
          <w:sz w:val="24"/>
        </w:rPr>
        <w:t xml:space="preserve"> ma depotenziere</w:t>
      </w:r>
      <w:r w:rsidR="00093F73">
        <w:rPr>
          <w:rFonts w:ascii="Times New Roman" w:hAnsi="Times New Roman"/>
          <w:sz w:val="24"/>
        </w:rPr>
        <w:t xml:space="preserve">bbe l’efficacia dello strumento, </w:t>
      </w:r>
      <w:r w:rsidR="004F554A" w:rsidRPr="00BA08BB">
        <w:rPr>
          <w:rFonts w:ascii="Times New Roman" w:hAnsi="Times New Roman"/>
          <w:sz w:val="24"/>
        </w:rPr>
        <w:t>in quanto è proprio l’</w:t>
      </w:r>
      <w:r w:rsidR="00E04B66">
        <w:rPr>
          <w:rFonts w:ascii="Times New Roman" w:hAnsi="Times New Roman"/>
          <w:sz w:val="24"/>
        </w:rPr>
        <w:t>ampliamento</w:t>
      </w:r>
      <w:r w:rsidR="004F554A" w:rsidRPr="00BA08BB">
        <w:rPr>
          <w:rFonts w:ascii="Times New Roman" w:hAnsi="Times New Roman"/>
          <w:sz w:val="24"/>
        </w:rPr>
        <w:t xml:space="preserve"> della platea dei soggetti </w:t>
      </w:r>
      <w:r w:rsidR="004F554A" w:rsidRPr="00987716">
        <w:rPr>
          <w:rFonts w:ascii="Times New Roman" w:hAnsi="Times New Roman"/>
          <w:i/>
          <w:sz w:val="24"/>
        </w:rPr>
        <w:t>in house</w:t>
      </w:r>
      <w:r w:rsidR="00436889">
        <w:rPr>
          <w:rFonts w:ascii="Times New Roman" w:hAnsi="Times New Roman"/>
          <w:sz w:val="24"/>
        </w:rPr>
        <w:t xml:space="preserve"> di cui l’amministrazione può avvalersi</w:t>
      </w:r>
      <w:r w:rsidR="004F554A" w:rsidRPr="00BA08BB">
        <w:rPr>
          <w:rFonts w:ascii="Times New Roman" w:hAnsi="Times New Roman"/>
          <w:sz w:val="24"/>
        </w:rPr>
        <w:t xml:space="preserve"> </w:t>
      </w:r>
      <w:r w:rsidR="00987716">
        <w:rPr>
          <w:rFonts w:ascii="Times New Roman" w:hAnsi="Times New Roman"/>
          <w:sz w:val="24"/>
        </w:rPr>
        <w:t xml:space="preserve">che consente </w:t>
      </w:r>
      <w:r w:rsidR="00436889">
        <w:rPr>
          <w:rFonts w:ascii="Times New Roman" w:hAnsi="Times New Roman"/>
          <w:sz w:val="24"/>
        </w:rPr>
        <w:t>di selezionare il</w:t>
      </w:r>
      <w:r w:rsidR="000022B7" w:rsidRPr="00BA08BB">
        <w:rPr>
          <w:rFonts w:ascii="Times New Roman" w:hAnsi="Times New Roman"/>
          <w:sz w:val="24"/>
        </w:rPr>
        <w:t xml:space="preserve"> </w:t>
      </w:r>
      <w:r w:rsidR="000022B7" w:rsidRPr="00987716">
        <w:rPr>
          <w:rFonts w:ascii="Times New Roman" w:hAnsi="Times New Roman"/>
          <w:i/>
          <w:sz w:val="24"/>
        </w:rPr>
        <w:t>partner</w:t>
      </w:r>
      <w:r w:rsidR="004F554A" w:rsidRPr="00BA08BB">
        <w:rPr>
          <w:rFonts w:ascii="Times New Roman" w:hAnsi="Times New Roman"/>
          <w:sz w:val="24"/>
        </w:rPr>
        <w:t xml:space="preserve"> più adeguato in relazione </w:t>
      </w:r>
      <w:r w:rsidR="003431F2">
        <w:rPr>
          <w:rFonts w:ascii="Times New Roman" w:hAnsi="Times New Roman"/>
          <w:sz w:val="24"/>
        </w:rPr>
        <w:t>all’intervento</w:t>
      </w:r>
      <w:r w:rsidR="004F554A" w:rsidRPr="00BA08BB">
        <w:rPr>
          <w:rFonts w:ascii="Times New Roman" w:hAnsi="Times New Roman"/>
          <w:sz w:val="24"/>
        </w:rPr>
        <w:t xml:space="preserve"> da realizzare.</w:t>
      </w:r>
    </w:p>
    <w:p w:rsidR="003C3D6E" w:rsidRPr="00BA08BB" w:rsidRDefault="00C24D91" w:rsidP="00BA08BB">
      <w:pPr>
        <w:spacing w:line="480" w:lineRule="auto"/>
        <w:jc w:val="both"/>
        <w:rPr>
          <w:rFonts w:ascii="Times New Roman" w:hAnsi="Times New Roman"/>
          <w:sz w:val="24"/>
        </w:rPr>
      </w:pPr>
      <w:r>
        <w:rPr>
          <w:rFonts w:ascii="Times New Roman" w:hAnsi="Times New Roman"/>
          <w:sz w:val="24"/>
        </w:rPr>
        <w:t xml:space="preserve">L’estensione dell’ambito applicativo dell’istituto si riflette anche </w:t>
      </w:r>
      <w:r w:rsidR="00D56C28">
        <w:rPr>
          <w:rFonts w:ascii="Times New Roman" w:hAnsi="Times New Roman"/>
          <w:sz w:val="24"/>
        </w:rPr>
        <w:t>sull’</w:t>
      </w:r>
      <w:r>
        <w:rPr>
          <w:rFonts w:ascii="Times New Roman" w:hAnsi="Times New Roman"/>
          <w:sz w:val="24"/>
        </w:rPr>
        <w:t>onere motivazionale che v</w:t>
      </w:r>
      <w:r w:rsidR="00661EFD">
        <w:rPr>
          <w:rFonts w:ascii="Times New Roman" w:hAnsi="Times New Roman"/>
          <w:sz w:val="24"/>
        </w:rPr>
        <w:t>iene notevolmente</w:t>
      </w:r>
      <w:r w:rsidR="000022B7" w:rsidRPr="00BA08BB">
        <w:rPr>
          <w:rFonts w:ascii="Times New Roman" w:hAnsi="Times New Roman"/>
          <w:sz w:val="24"/>
        </w:rPr>
        <w:t xml:space="preserve"> </w:t>
      </w:r>
      <w:r>
        <w:rPr>
          <w:rFonts w:ascii="Times New Roman" w:hAnsi="Times New Roman"/>
          <w:sz w:val="24"/>
        </w:rPr>
        <w:t>semplificato</w:t>
      </w:r>
      <w:r w:rsidR="000022B7" w:rsidRPr="00BA08BB">
        <w:rPr>
          <w:rFonts w:ascii="Times New Roman" w:hAnsi="Times New Roman"/>
          <w:sz w:val="24"/>
        </w:rPr>
        <w:t xml:space="preserve"> rispetto al paradigma dell’art</w:t>
      </w:r>
      <w:r w:rsidR="00F63B49">
        <w:rPr>
          <w:rFonts w:ascii="Times New Roman" w:hAnsi="Times New Roman"/>
          <w:sz w:val="24"/>
        </w:rPr>
        <w:t>.</w:t>
      </w:r>
      <w:r w:rsidR="000022B7" w:rsidRPr="00BA08BB">
        <w:rPr>
          <w:rFonts w:ascii="Times New Roman" w:hAnsi="Times New Roman"/>
          <w:sz w:val="24"/>
        </w:rPr>
        <w:t xml:space="preserve"> 192 comma 2 del codice</w:t>
      </w:r>
      <w:r w:rsidR="003D1A65">
        <w:rPr>
          <w:rFonts w:ascii="Times New Roman" w:hAnsi="Times New Roman"/>
          <w:sz w:val="24"/>
        </w:rPr>
        <w:t xml:space="preserve"> dei contratti</w:t>
      </w:r>
      <w:r w:rsidR="003C3D6E" w:rsidRPr="00BA08BB">
        <w:rPr>
          <w:rFonts w:ascii="Times New Roman" w:hAnsi="Times New Roman"/>
          <w:sz w:val="24"/>
        </w:rPr>
        <w:t xml:space="preserve">. </w:t>
      </w:r>
    </w:p>
    <w:p w:rsidR="003C3D6E" w:rsidRPr="00BA08BB" w:rsidRDefault="000022B7" w:rsidP="00BA08BB">
      <w:pPr>
        <w:spacing w:line="480" w:lineRule="auto"/>
        <w:jc w:val="both"/>
        <w:rPr>
          <w:rFonts w:ascii="Times New Roman" w:hAnsi="Times New Roman"/>
          <w:sz w:val="24"/>
        </w:rPr>
      </w:pPr>
      <w:r w:rsidRPr="00BA08BB">
        <w:rPr>
          <w:rFonts w:ascii="Times New Roman" w:hAnsi="Times New Roman"/>
          <w:sz w:val="24"/>
        </w:rPr>
        <w:t>La</w:t>
      </w:r>
      <w:r w:rsidR="003C3D6E" w:rsidRPr="00BA08BB">
        <w:rPr>
          <w:rFonts w:ascii="Times New Roman" w:hAnsi="Times New Roman"/>
          <w:sz w:val="24"/>
        </w:rPr>
        <w:t xml:space="preserve"> motivazione del provvedimento di affidamento</w:t>
      </w:r>
      <w:r w:rsidRPr="00BA08BB">
        <w:rPr>
          <w:rFonts w:ascii="Times New Roman" w:hAnsi="Times New Roman"/>
          <w:sz w:val="24"/>
        </w:rPr>
        <w:t>, infatti,</w:t>
      </w:r>
      <w:r w:rsidR="003C3D6E" w:rsidRPr="00BA08BB">
        <w:rPr>
          <w:rFonts w:ascii="Times New Roman" w:hAnsi="Times New Roman"/>
          <w:sz w:val="24"/>
        </w:rPr>
        <w:t xml:space="preserve"> </w:t>
      </w:r>
      <w:r w:rsidR="005C4AD8">
        <w:rPr>
          <w:rFonts w:ascii="Times New Roman" w:hAnsi="Times New Roman"/>
          <w:sz w:val="24"/>
        </w:rPr>
        <w:t>deve limitarsi a dar</w:t>
      </w:r>
      <w:r w:rsidRPr="00BA08BB">
        <w:rPr>
          <w:rFonts w:ascii="Times New Roman" w:hAnsi="Times New Roman"/>
          <w:sz w:val="24"/>
        </w:rPr>
        <w:t xml:space="preserve"> conto dei</w:t>
      </w:r>
      <w:r w:rsidR="003C3D6E" w:rsidRPr="00BA08BB">
        <w:rPr>
          <w:rFonts w:ascii="Times New Roman" w:hAnsi="Times New Roman"/>
          <w:sz w:val="24"/>
        </w:rPr>
        <w:t xml:space="preserve"> vantaggi, rispetto al ricorso al mercato, derivanti dal risparmio di tempo e di risorse economiche, mediante comparazione degli </w:t>
      </w:r>
      <w:r w:rsidR="003C3D6E" w:rsidRPr="00F63B49">
        <w:rPr>
          <w:rFonts w:ascii="Times New Roman" w:hAnsi="Times New Roman"/>
          <w:i/>
          <w:sz w:val="24"/>
        </w:rPr>
        <w:t>standard</w:t>
      </w:r>
      <w:r w:rsidR="003C3D6E" w:rsidRPr="00BA08BB">
        <w:rPr>
          <w:rFonts w:ascii="Times New Roman" w:hAnsi="Times New Roman"/>
          <w:sz w:val="24"/>
        </w:rPr>
        <w:t xml:space="preserve"> di riferimento della società Consip S.p.A. e delle centrali di committenza regionali (comma 3).</w:t>
      </w:r>
    </w:p>
    <w:p w:rsidR="000022B7" w:rsidRDefault="000022B7" w:rsidP="00BA08BB">
      <w:pPr>
        <w:spacing w:line="480" w:lineRule="auto"/>
        <w:jc w:val="both"/>
        <w:rPr>
          <w:rFonts w:ascii="Times New Roman" w:hAnsi="Times New Roman"/>
          <w:sz w:val="24"/>
        </w:rPr>
      </w:pPr>
      <w:r w:rsidRPr="00BA08BB">
        <w:rPr>
          <w:rFonts w:ascii="Times New Roman" w:hAnsi="Times New Roman"/>
          <w:sz w:val="24"/>
        </w:rPr>
        <w:t xml:space="preserve">Da notare il rilievo che assume, </w:t>
      </w:r>
      <w:r w:rsidR="00F63B49">
        <w:rPr>
          <w:rFonts w:ascii="Times New Roman" w:hAnsi="Times New Roman"/>
          <w:sz w:val="24"/>
        </w:rPr>
        <w:t>nella motivazione del</w:t>
      </w:r>
      <w:r w:rsidRPr="00BA08BB">
        <w:rPr>
          <w:rFonts w:ascii="Times New Roman" w:hAnsi="Times New Roman"/>
          <w:sz w:val="24"/>
        </w:rPr>
        <w:t xml:space="preserve"> ricorso all’</w:t>
      </w:r>
      <w:r w:rsidRPr="00465048">
        <w:rPr>
          <w:rFonts w:ascii="Times New Roman" w:hAnsi="Times New Roman"/>
          <w:i/>
          <w:sz w:val="24"/>
        </w:rPr>
        <w:t>i</w:t>
      </w:r>
      <w:r w:rsidRPr="00F63B49">
        <w:rPr>
          <w:rFonts w:ascii="Times New Roman" w:hAnsi="Times New Roman"/>
          <w:i/>
          <w:sz w:val="24"/>
        </w:rPr>
        <w:t>n house</w:t>
      </w:r>
      <w:r w:rsidRPr="00BA08BB">
        <w:rPr>
          <w:rFonts w:ascii="Times New Roman" w:hAnsi="Times New Roman"/>
          <w:sz w:val="24"/>
        </w:rPr>
        <w:t>, il fattore tempo, accanto al risparmio di risorse</w:t>
      </w:r>
      <w:r w:rsidR="002D6793" w:rsidRPr="00BA08BB">
        <w:rPr>
          <w:rFonts w:ascii="Times New Roman" w:hAnsi="Times New Roman"/>
          <w:sz w:val="24"/>
        </w:rPr>
        <w:t xml:space="preserve"> economiche</w:t>
      </w:r>
      <w:r w:rsidRPr="00BA08BB">
        <w:rPr>
          <w:rFonts w:ascii="Times New Roman" w:hAnsi="Times New Roman"/>
          <w:sz w:val="24"/>
        </w:rPr>
        <w:t xml:space="preserve">, fattore </w:t>
      </w:r>
      <w:r w:rsidR="002D6793" w:rsidRPr="00BA08BB">
        <w:rPr>
          <w:rFonts w:ascii="Times New Roman" w:hAnsi="Times New Roman"/>
          <w:sz w:val="24"/>
        </w:rPr>
        <w:t>fondamentale n</w:t>
      </w:r>
      <w:r w:rsidRPr="00BA08BB">
        <w:rPr>
          <w:rFonts w:ascii="Times New Roman" w:hAnsi="Times New Roman"/>
          <w:sz w:val="24"/>
        </w:rPr>
        <w:t>ell’attuazione del PNRR.</w:t>
      </w:r>
    </w:p>
    <w:p w:rsidR="00441836" w:rsidRDefault="00D52090" w:rsidP="00BA08BB">
      <w:pPr>
        <w:spacing w:line="480" w:lineRule="auto"/>
        <w:jc w:val="both"/>
        <w:rPr>
          <w:rFonts w:ascii="Times New Roman" w:hAnsi="Times New Roman"/>
          <w:sz w:val="24"/>
        </w:rPr>
      </w:pPr>
      <w:r>
        <w:rPr>
          <w:rFonts w:ascii="Times New Roman" w:hAnsi="Times New Roman"/>
          <w:sz w:val="24"/>
        </w:rPr>
        <w:t>L’affidamento mediante convenzione non è, tuttavia, limitat</w:t>
      </w:r>
      <w:r w:rsidR="00441836">
        <w:rPr>
          <w:rFonts w:ascii="Times New Roman" w:hAnsi="Times New Roman"/>
          <w:sz w:val="24"/>
        </w:rPr>
        <w:t>o</w:t>
      </w:r>
      <w:r>
        <w:rPr>
          <w:rFonts w:ascii="Times New Roman" w:hAnsi="Times New Roman"/>
          <w:sz w:val="24"/>
        </w:rPr>
        <w:t xml:space="preserve"> agli interventi del PNRR, </w:t>
      </w:r>
      <w:r w:rsidR="00441836">
        <w:rPr>
          <w:rFonts w:ascii="Times New Roman" w:hAnsi="Times New Roman"/>
          <w:sz w:val="24"/>
        </w:rPr>
        <w:t xml:space="preserve">ma </w:t>
      </w:r>
      <w:r w:rsidR="00A51FC8">
        <w:rPr>
          <w:rFonts w:ascii="Times New Roman" w:hAnsi="Times New Roman"/>
          <w:sz w:val="24"/>
        </w:rPr>
        <w:t xml:space="preserve">investe un più ampio spettro di piani e progetti finanziati da fondi nazionali ed europei </w:t>
      </w:r>
      <w:r w:rsidR="00441836">
        <w:rPr>
          <w:rFonts w:ascii="Times New Roman" w:hAnsi="Times New Roman"/>
          <w:sz w:val="24"/>
        </w:rPr>
        <w:t>che ne evidenzia la peculiare caratterizzazione</w:t>
      </w:r>
      <w:r w:rsidR="00A51FC8">
        <w:rPr>
          <w:rFonts w:ascii="Times New Roman" w:hAnsi="Times New Roman"/>
          <w:sz w:val="24"/>
        </w:rPr>
        <w:t xml:space="preserve"> </w:t>
      </w:r>
      <w:r w:rsidR="0068529C">
        <w:rPr>
          <w:rFonts w:ascii="Times New Roman" w:hAnsi="Times New Roman"/>
          <w:sz w:val="24"/>
        </w:rPr>
        <w:t>di</w:t>
      </w:r>
      <w:r w:rsidR="00A51FC8">
        <w:rPr>
          <w:rFonts w:ascii="Times New Roman" w:hAnsi="Times New Roman"/>
          <w:sz w:val="24"/>
        </w:rPr>
        <w:t xml:space="preserve"> strumento</w:t>
      </w:r>
      <w:r w:rsidR="00441836">
        <w:rPr>
          <w:rFonts w:ascii="Times New Roman" w:hAnsi="Times New Roman"/>
          <w:sz w:val="24"/>
        </w:rPr>
        <w:t xml:space="preserve"> di stimolo </w:t>
      </w:r>
      <w:r w:rsidR="00F124B9">
        <w:rPr>
          <w:rFonts w:ascii="Times New Roman" w:hAnsi="Times New Roman"/>
          <w:sz w:val="24"/>
        </w:rPr>
        <w:t>all’efficiente e tempestivo impiego degli</w:t>
      </w:r>
      <w:r w:rsidR="0033576B">
        <w:rPr>
          <w:rFonts w:ascii="Times New Roman" w:hAnsi="Times New Roman"/>
          <w:sz w:val="24"/>
        </w:rPr>
        <w:t xml:space="preserve"> investimenti pubblici</w:t>
      </w:r>
      <w:r w:rsidR="00415A95">
        <w:rPr>
          <w:rFonts w:ascii="Times New Roman" w:hAnsi="Times New Roman"/>
          <w:sz w:val="24"/>
        </w:rPr>
        <w:t>.</w:t>
      </w:r>
    </w:p>
    <w:p w:rsidR="00D52090" w:rsidRDefault="0068529C" w:rsidP="00BA08BB">
      <w:pPr>
        <w:spacing w:line="480" w:lineRule="auto"/>
        <w:jc w:val="both"/>
        <w:rPr>
          <w:rFonts w:ascii="Times New Roman" w:hAnsi="Times New Roman"/>
          <w:sz w:val="24"/>
        </w:rPr>
      </w:pPr>
      <w:r>
        <w:rPr>
          <w:rFonts w:ascii="Times New Roman" w:hAnsi="Times New Roman"/>
          <w:sz w:val="24"/>
        </w:rPr>
        <w:t>In particolare, vengono contemplate due</w:t>
      </w:r>
      <w:r w:rsidR="00D52090">
        <w:rPr>
          <w:rFonts w:ascii="Times New Roman" w:hAnsi="Times New Roman"/>
          <w:sz w:val="24"/>
        </w:rPr>
        <w:t xml:space="preserve"> ipotesi di </w:t>
      </w:r>
      <w:r>
        <w:rPr>
          <w:rFonts w:ascii="Times New Roman" w:hAnsi="Times New Roman"/>
          <w:sz w:val="24"/>
        </w:rPr>
        <w:t>convenzione, distinte sul piano soggettivo e oggettivo</w:t>
      </w:r>
      <w:r w:rsidR="00D52090">
        <w:rPr>
          <w:rFonts w:ascii="Times New Roman" w:hAnsi="Times New Roman"/>
          <w:sz w:val="24"/>
        </w:rPr>
        <w:t xml:space="preserve">: </w:t>
      </w:r>
      <w:r w:rsidR="00D52090" w:rsidRPr="00561875">
        <w:rPr>
          <w:rFonts w:ascii="Times New Roman" w:hAnsi="Times New Roman"/>
          <w:i/>
          <w:sz w:val="24"/>
        </w:rPr>
        <w:t>i</w:t>
      </w:r>
      <w:r w:rsidR="00D52090">
        <w:rPr>
          <w:rFonts w:ascii="Times New Roman" w:hAnsi="Times New Roman"/>
          <w:sz w:val="24"/>
        </w:rPr>
        <w:t xml:space="preserve">) </w:t>
      </w:r>
      <w:r>
        <w:rPr>
          <w:rFonts w:ascii="Times New Roman" w:hAnsi="Times New Roman"/>
          <w:sz w:val="24"/>
        </w:rPr>
        <w:t>le</w:t>
      </w:r>
      <w:r w:rsidR="00D52090">
        <w:rPr>
          <w:rFonts w:ascii="Times New Roman" w:hAnsi="Times New Roman"/>
          <w:sz w:val="24"/>
        </w:rPr>
        <w:t xml:space="preserve"> convenzioni </w:t>
      </w:r>
      <w:r>
        <w:rPr>
          <w:rFonts w:ascii="Times New Roman" w:hAnsi="Times New Roman"/>
          <w:sz w:val="24"/>
        </w:rPr>
        <w:t>che, in generale, possono stipulare le “amministrazioni interessate” e che hanno ad oggetto</w:t>
      </w:r>
      <w:r w:rsidR="00D52090">
        <w:rPr>
          <w:rFonts w:ascii="Times New Roman" w:hAnsi="Times New Roman"/>
          <w:sz w:val="24"/>
        </w:rPr>
        <w:t xml:space="preserve"> il supporto tecnico-operativo della società </w:t>
      </w:r>
      <w:r w:rsidR="00D52090" w:rsidRPr="00B13926">
        <w:rPr>
          <w:rFonts w:ascii="Times New Roman" w:hAnsi="Times New Roman"/>
          <w:i/>
          <w:sz w:val="24"/>
        </w:rPr>
        <w:t>in house</w:t>
      </w:r>
      <w:r w:rsidR="00D52090">
        <w:rPr>
          <w:rFonts w:ascii="Times New Roman" w:hAnsi="Times New Roman"/>
          <w:sz w:val="24"/>
        </w:rPr>
        <w:t xml:space="preserve"> </w:t>
      </w:r>
      <w:r w:rsidR="00B13926">
        <w:rPr>
          <w:rFonts w:ascii="Times New Roman" w:hAnsi="Times New Roman"/>
          <w:sz w:val="24"/>
        </w:rPr>
        <w:t>per sostenere la definizione e l’avvio delle procedure di affidamento e accelerare l’attuazione degli investimenti pubblici, in particolare (</w:t>
      </w:r>
      <w:r w:rsidR="00F124B9">
        <w:rPr>
          <w:rFonts w:ascii="Times New Roman" w:hAnsi="Times New Roman"/>
          <w:sz w:val="24"/>
        </w:rPr>
        <w:t>e, quindi,</w:t>
      </w:r>
      <w:r w:rsidR="00B13926">
        <w:rPr>
          <w:rFonts w:ascii="Times New Roman" w:hAnsi="Times New Roman"/>
          <w:sz w:val="24"/>
        </w:rPr>
        <w:t xml:space="preserve"> non solo) di quelli previsti dal PNRR e dai cicli di programmazione nazionale e dell’Unione europea 2014-2020 e 2021-2017</w:t>
      </w:r>
      <w:r w:rsidR="00561875">
        <w:rPr>
          <w:rFonts w:ascii="Times New Roman" w:hAnsi="Times New Roman"/>
          <w:sz w:val="24"/>
        </w:rPr>
        <w:t xml:space="preserve"> (art</w:t>
      </w:r>
      <w:r w:rsidR="000E7BE4">
        <w:rPr>
          <w:rFonts w:ascii="Times New Roman" w:hAnsi="Times New Roman"/>
          <w:sz w:val="24"/>
        </w:rPr>
        <w:t>.</w:t>
      </w:r>
      <w:r w:rsidR="00561875">
        <w:rPr>
          <w:rFonts w:ascii="Times New Roman" w:hAnsi="Times New Roman"/>
          <w:sz w:val="24"/>
        </w:rPr>
        <w:t xml:space="preserve"> 10 comma 1)</w:t>
      </w:r>
      <w:r w:rsidR="00B13926">
        <w:rPr>
          <w:rFonts w:ascii="Times New Roman" w:hAnsi="Times New Roman"/>
          <w:sz w:val="24"/>
        </w:rPr>
        <w:t xml:space="preserve">; </w:t>
      </w:r>
      <w:r w:rsidR="00B13926" w:rsidRPr="00561875">
        <w:rPr>
          <w:rFonts w:ascii="Times New Roman" w:hAnsi="Times New Roman"/>
          <w:i/>
          <w:sz w:val="24"/>
        </w:rPr>
        <w:t>ii</w:t>
      </w:r>
      <w:r w:rsidR="00B13926">
        <w:rPr>
          <w:rFonts w:ascii="Times New Roman" w:hAnsi="Times New Roman"/>
          <w:sz w:val="24"/>
        </w:rPr>
        <w:t>)</w:t>
      </w:r>
      <w:r w:rsidR="00561875">
        <w:rPr>
          <w:rFonts w:ascii="Times New Roman" w:hAnsi="Times New Roman"/>
          <w:sz w:val="24"/>
        </w:rPr>
        <w:t xml:space="preserve"> le convenzioni che le Regioni, le Province autonome di Trento e Bolzano e gli enti locali possono sottoscrivere, per il tramite delle ammin</w:t>
      </w:r>
      <w:r w:rsidR="00F124B9">
        <w:rPr>
          <w:rFonts w:ascii="Times New Roman" w:hAnsi="Times New Roman"/>
          <w:sz w:val="24"/>
        </w:rPr>
        <w:t>istrazioni centrali dello Stato e</w:t>
      </w:r>
      <w:r w:rsidR="00561875">
        <w:rPr>
          <w:rFonts w:ascii="Times New Roman" w:hAnsi="Times New Roman"/>
          <w:sz w:val="24"/>
        </w:rPr>
        <w:t xml:space="preserve"> aventi ad oggetto il supporto tecnico operativo delle società </w:t>
      </w:r>
      <w:r w:rsidR="00561875" w:rsidRPr="00F124B9">
        <w:rPr>
          <w:rFonts w:ascii="Times New Roman" w:hAnsi="Times New Roman"/>
          <w:i/>
          <w:sz w:val="24"/>
        </w:rPr>
        <w:t>in house</w:t>
      </w:r>
      <w:r w:rsidR="00561875">
        <w:rPr>
          <w:rFonts w:ascii="Times New Roman" w:hAnsi="Times New Roman"/>
          <w:sz w:val="24"/>
        </w:rPr>
        <w:t xml:space="preserve"> per la promozione e </w:t>
      </w:r>
      <w:r w:rsidR="00441836">
        <w:rPr>
          <w:rFonts w:ascii="Times New Roman" w:hAnsi="Times New Roman"/>
          <w:sz w:val="24"/>
        </w:rPr>
        <w:t>la realizzazione di progetti di sviluppo territoriale finanziati da fondi europei e nazionali (art. 10 comma 4).</w:t>
      </w:r>
      <w:r w:rsidR="00561875">
        <w:rPr>
          <w:rFonts w:ascii="Times New Roman" w:hAnsi="Times New Roman"/>
          <w:sz w:val="24"/>
        </w:rPr>
        <w:t xml:space="preserve">  </w:t>
      </w:r>
    </w:p>
    <w:p w:rsidR="00B73DF7" w:rsidRDefault="00B73DF7" w:rsidP="00BA08BB">
      <w:pPr>
        <w:spacing w:line="480" w:lineRule="auto"/>
        <w:jc w:val="both"/>
        <w:rPr>
          <w:rFonts w:ascii="Times New Roman" w:hAnsi="Times New Roman"/>
          <w:sz w:val="24"/>
        </w:rPr>
      </w:pPr>
      <w:r>
        <w:rPr>
          <w:rFonts w:ascii="Times New Roman" w:hAnsi="Times New Roman"/>
          <w:sz w:val="24"/>
        </w:rPr>
        <w:t>La seconda tipologia di convenzioni è volta in via precipua a sopperire, attraverso il ricorso a</w:t>
      </w:r>
      <w:r w:rsidR="00F124B9">
        <w:rPr>
          <w:rFonts w:ascii="Times New Roman" w:hAnsi="Times New Roman"/>
          <w:sz w:val="24"/>
        </w:rPr>
        <w:t xml:space="preserve"> società </w:t>
      </w:r>
      <w:r w:rsidRPr="00F124B9">
        <w:rPr>
          <w:rFonts w:ascii="Times New Roman" w:hAnsi="Times New Roman"/>
          <w:i/>
          <w:sz w:val="24"/>
        </w:rPr>
        <w:t>in house</w:t>
      </w:r>
      <w:r>
        <w:rPr>
          <w:rFonts w:ascii="Times New Roman" w:hAnsi="Times New Roman"/>
          <w:sz w:val="24"/>
        </w:rPr>
        <w:t xml:space="preserve"> statali, </w:t>
      </w:r>
      <w:r w:rsidR="00F42FAC">
        <w:rPr>
          <w:rFonts w:ascii="Times New Roman" w:hAnsi="Times New Roman"/>
          <w:sz w:val="24"/>
        </w:rPr>
        <w:t>a quelle</w:t>
      </w:r>
      <w:r>
        <w:rPr>
          <w:rFonts w:ascii="Times New Roman" w:hAnsi="Times New Roman"/>
          <w:sz w:val="24"/>
        </w:rPr>
        <w:t xml:space="preserve"> carenze di professionalità delle amministrazioni regionali e locali che </w:t>
      </w:r>
      <w:r w:rsidR="00F124B9">
        <w:rPr>
          <w:rFonts w:ascii="Times New Roman" w:hAnsi="Times New Roman"/>
          <w:sz w:val="24"/>
        </w:rPr>
        <w:t xml:space="preserve">spesso rappresentano </w:t>
      </w:r>
      <w:r>
        <w:rPr>
          <w:rFonts w:ascii="Times New Roman" w:hAnsi="Times New Roman"/>
          <w:sz w:val="24"/>
        </w:rPr>
        <w:t xml:space="preserve">un fattore ostativo all’attuazione </w:t>
      </w:r>
      <w:r w:rsidR="007674B8">
        <w:rPr>
          <w:rFonts w:ascii="Times New Roman" w:hAnsi="Times New Roman"/>
          <w:sz w:val="24"/>
        </w:rPr>
        <w:t>dei progetti</w:t>
      </w:r>
      <w:r>
        <w:rPr>
          <w:rFonts w:ascii="Times New Roman" w:hAnsi="Times New Roman"/>
          <w:sz w:val="24"/>
        </w:rPr>
        <w:t xml:space="preserve"> di sviluppo territoriale.</w:t>
      </w:r>
    </w:p>
    <w:p w:rsidR="00A22CD9" w:rsidRDefault="00F124B9" w:rsidP="00BA08BB">
      <w:pPr>
        <w:spacing w:line="480" w:lineRule="auto"/>
        <w:jc w:val="both"/>
        <w:rPr>
          <w:rFonts w:ascii="Times New Roman" w:hAnsi="Times New Roman"/>
          <w:sz w:val="24"/>
        </w:rPr>
      </w:pPr>
      <w:r>
        <w:rPr>
          <w:rFonts w:ascii="Times New Roman" w:hAnsi="Times New Roman"/>
          <w:sz w:val="24"/>
        </w:rPr>
        <w:t xml:space="preserve">La società </w:t>
      </w:r>
      <w:r w:rsidRPr="00835162">
        <w:rPr>
          <w:rFonts w:ascii="Times New Roman" w:hAnsi="Times New Roman"/>
          <w:i/>
          <w:sz w:val="24"/>
        </w:rPr>
        <w:t>in house</w:t>
      </w:r>
      <w:r>
        <w:rPr>
          <w:rFonts w:ascii="Times New Roman" w:hAnsi="Times New Roman"/>
          <w:sz w:val="24"/>
        </w:rPr>
        <w:t xml:space="preserve"> può affiancare l’amministrazione in</w:t>
      </w:r>
      <w:r w:rsidR="00A22CD9">
        <w:rPr>
          <w:rFonts w:ascii="Times New Roman" w:hAnsi="Times New Roman"/>
          <w:sz w:val="24"/>
        </w:rPr>
        <w:t xml:space="preserve"> tutte le fasi dell’inter</w:t>
      </w:r>
      <w:r>
        <w:rPr>
          <w:rFonts w:ascii="Times New Roman" w:hAnsi="Times New Roman"/>
          <w:sz w:val="24"/>
        </w:rPr>
        <w:t>vento, dalla definizione e attuazione</w:t>
      </w:r>
      <w:r w:rsidR="00A22CD9">
        <w:rPr>
          <w:rFonts w:ascii="Times New Roman" w:hAnsi="Times New Roman"/>
          <w:sz w:val="24"/>
        </w:rPr>
        <w:t xml:space="preserve"> </w:t>
      </w:r>
      <w:r w:rsidR="00121CF9">
        <w:rPr>
          <w:rFonts w:ascii="Times New Roman" w:hAnsi="Times New Roman"/>
          <w:sz w:val="24"/>
        </w:rPr>
        <w:t>al</w:t>
      </w:r>
      <w:r>
        <w:rPr>
          <w:rFonts w:ascii="Times New Roman" w:hAnsi="Times New Roman"/>
          <w:sz w:val="24"/>
        </w:rPr>
        <w:t xml:space="preserve"> monitoraggio, rafforzando</w:t>
      </w:r>
      <w:r w:rsidR="00A22CD9">
        <w:rPr>
          <w:rFonts w:ascii="Times New Roman" w:hAnsi="Times New Roman"/>
          <w:sz w:val="24"/>
        </w:rPr>
        <w:t xml:space="preserve"> </w:t>
      </w:r>
      <w:r>
        <w:rPr>
          <w:rFonts w:ascii="Times New Roman" w:hAnsi="Times New Roman"/>
          <w:sz w:val="24"/>
        </w:rPr>
        <w:t>la</w:t>
      </w:r>
      <w:r w:rsidR="00A22CD9">
        <w:rPr>
          <w:rFonts w:ascii="Times New Roman" w:hAnsi="Times New Roman"/>
          <w:sz w:val="24"/>
        </w:rPr>
        <w:t xml:space="preserve"> capacità amministrativa </w:t>
      </w:r>
      <w:r>
        <w:rPr>
          <w:rFonts w:ascii="Times New Roman" w:hAnsi="Times New Roman"/>
          <w:sz w:val="24"/>
        </w:rPr>
        <w:t xml:space="preserve">anche sul piano delle risorse umane, </w:t>
      </w:r>
      <w:r w:rsidR="00A22CD9">
        <w:rPr>
          <w:rFonts w:ascii="Times New Roman" w:hAnsi="Times New Roman"/>
          <w:sz w:val="24"/>
        </w:rPr>
        <w:t>attraverso la messa a disposizion</w:t>
      </w:r>
      <w:r>
        <w:rPr>
          <w:rFonts w:ascii="Times New Roman" w:hAnsi="Times New Roman"/>
          <w:sz w:val="24"/>
        </w:rPr>
        <w:t>e</w:t>
      </w:r>
      <w:r w:rsidR="00A22CD9">
        <w:rPr>
          <w:rFonts w:ascii="Times New Roman" w:hAnsi="Times New Roman"/>
          <w:sz w:val="24"/>
        </w:rPr>
        <w:t xml:space="preserve"> di esperti qualificati</w:t>
      </w:r>
      <w:r>
        <w:rPr>
          <w:rFonts w:ascii="Times New Roman" w:hAnsi="Times New Roman"/>
          <w:sz w:val="24"/>
        </w:rPr>
        <w:t>, che possono esser</w:t>
      </w:r>
      <w:r w:rsidR="009F2C4F">
        <w:rPr>
          <w:rFonts w:ascii="Times New Roman" w:hAnsi="Times New Roman"/>
          <w:sz w:val="24"/>
        </w:rPr>
        <w:t xml:space="preserve">e interni o esterni alla società </w:t>
      </w:r>
      <w:r w:rsidR="00A22CD9">
        <w:rPr>
          <w:rFonts w:ascii="Times New Roman" w:hAnsi="Times New Roman"/>
          <w:sz w:val="24"/>
        </w:rPr>
        <w:t>(</w:t>
      </w:r>
      <w:r w:rsidR="003223F5">
        <w:rPr>
          <w:rFonts w:ascii="Times New Roman" w:hAnsi="Times New Roman"/>
          <w:sz w:val="24"/>
        </w:rPr>
        <w:t>alla quale, quindi, compete</w:t>
      </w:r>
      <w:r w:rsidR="003E4B26">
        <w:rPr>
          <w:rFonts w:ascii="Times New Roman" w:hAnsi="Times New Roman"/>
          <w:sz w:val="24"/>
        </w:rPr>
        <w:t xml:space="preserve"> </w:t>
      </w:r>
      <w:r w:rsidR="003223F5">
        <w:rPr>
          <w:rFonts w:ascii="Times New Roman" w:hAnsi="Times New Roman"/>
          <w:sz w:val="24"/>
        </w:rPr>
        <w:t>la selezione delle</w:t>
      </w:r>
      <w:r w:rsidR="003E4B26">
        <w:rPr>
          <w:rFonts w:ascii="Times New Roman" w:hAnsi="Times New Roman"/>
          <w:sz w:val="24"/>
        </w:rPr>
        <w:t xml:space="preserve"> competenze necessarie in relazione all</w:t>
      </w:r>
      <w:r w:rsidR="00121CF9">
        <w:rPr>
          <w:rFonts w:ascii="Times New Roman" w:hAnsi="Times New Roman"/>
          <w:sz w:val="24"/>
        </w:rPr>
        <w:t>o specifico progetto</w:t>
      </w:r>
      <w:r w:rsidR="00835162">
        <w:rPr>
          <w:rFonts w:ascii="Times New Roman" w:hAnsi="Times New Roman"/>
          <w:sz w:val="24"/>
        </w:rPr>
        <w:t xml:space="preserve">: </w:t>
      </w:r>
      <w:r w:rsidR="00A22CD9">
        <w:rPr>
          <w:rFonts w:ascii="Times New Roman" w:hAnsi="Times New Roman"/>
          <w:sz w:val="24"/>
        </w:rPr>
        <w:t>comm</w:t>
      </w:r>
      <w:r w:rsidR="009F2C4F">
        <w:rPr>
          <w:rFonts w:ascii="Times New Roman" w:hAnsi="Times New Roman"/>
          <w:sz w:val="24"/>
        </w:rPr>
        <w:t>i</w:t>
      </w:r>
      <w:r w:rsidR="00A22CD9">
        <w:rPr>
          <w:rFonts w:ascii="Times New Roman" w:hAnsi="Times New Roman"/>
          <w:sz w:val="24"/>
        </w:rPr>
        <w:t xml:space="preserve"> 2</w:t>
      </w:r>
      <w:r w:rsidR="009F2C4F">
        <w:rPr>
          <w:rFonts w:ascii="Times New Roman" w:hAnsi="Times New Roman"/>
          <w:sz w:val="24"/>
        </w:rPr>
        <w:t xml:space="preserve"> e 6</w:t>
      </w:r>
      <w:r w:rsidR="00A22CD9">
        <w:rPr>
          <w:rFonts w:ascii="Times New Roman" w:hAnsi="Times New Roman"/>
          <w:sz w:val="24"/>
        </w:rPr>
        <w:t>)</w:t>
      </w:r>
      <w:r w:rsidR="003E4B26">
        <w:rPr>
          <w:rFonts w:ascii="Times New Roman" w:hAnsi="Times New Roman"/>
          <w:sz w:val="24"/>
        </w:rPr>
        <w:t>.</w:t>
      </w:r>
    </w:p>
    <w:p w:rsidR="006358BD" w:rsidRDefault="006358BD" w:rsidP="00BA08BB">
      <w:pPr>
        <w:spacing w:line="480" w:lineRule="auto"/>
        <w:jc w:val="both"/>
        <w:rPr>
          <w:rFonts w:ascii="Times New Roman" w:hAnsi="Times New Roman"/>
          <w:sz w:val="24"/>
        </w:rPr>
      </w:pPr>
      <w:r>
        <w:rPr>
          <w:rFonts w:ascii="Times New Roman" w:hAnsi="Times New Roman"/>
          <w:sz w:val="24"/>
        </w:rPr>
        <w:t xml:space="preserve">La </w:t>
      </w:r>
      <w:r w:rsidR="00121CF9">
        <w:rPr>
          <w:rFonts w:ascii="Times New Roman" w:hAnsi="Times New Roman"/>
          <w:sz w:val="24"/>
        </w:rPr>
        <w:t>previsione</w:t>
      </w:r>
      <w:r>
        <w:rPr>
          <w:rFonts w:ascii="Times New Roman" w:hAnsi="Times New Roman"/>
          <w:sz w:val="24"/>
        </w:rPr>
        <w:t>, che</w:t>
      </w:r>
      <w:r w:rsidR="007E59B6">
        <w:rPr>
          <w:rFonts w:ascii="Times New Roman" w:hAnsi="Times New Roman"/>
          <w:sz w:val="24"/>
        </w:rPr>
        <w:t xml:space="preserve">, </w:t>
      </w:r>
      <w:r w:rsidR="00EA1998">
        <w:rPr>
          <w:rFonts w:ascii="Times New Roman" w:hAnsi="Times New Roman"/>
          <w:sz w:val="24"/>
        </w:rPr>
        <w:t>secondo</w:t>
      </w:r>
      <w:r w:rsidR="007E59B6">
        <w:rPr>
          <w:rFonts w:ascii="Times New Roman" w:hAnsi="Times New Roman"/>
          <w:sz w:val="24"/>
        </w:rPr>
        <w:t xml:space="preserve"> l’interpretazione sopra ricordata, </w:t>
      </w:r>
      <w:r>
        <w:rPr>
          <w:rFonts w:ascii="Times New Roman" w:hAnsi="Times New Roman"/>
          <w:sz w:val="24"/>
        </w:rPr>
        <w:t>si presenta come eccezionale e derogatoria rispetto alla regola generale dell’</w:t>
      </w:r>
      <w:r w:rsidRPr="006358BD">
        <w:rPr>
          <w:rFonts w:ascii="Times New Roman" w:hAnsi="Times New Roman"/>
          <w:i/>
          <w:sz w:val="24"/>
        </w:rPr>
        <w:t>in house</w:t>
      </w:r>
      <w:r>
        <w:rPr>
          <w:rFonts w:ascii="Times New Roman" w:hAnsi="Times New Roman"/>
          <w:sz w:val="24"/>
        </w:rPr>
        <w:t xml:space="preserve">, </w:t>
      </w:r>
      <w:r w:rsidR="00963158">
        <w:rPr>
          <w:rFonts w:ascii="Times New Roman" w:hAnsi="Times New Roman"/>
          <w:sz w:val="24"/>
        </w:rPr>
        <w:t>non chiarisce se il ricorso alla convenzione debba avvenire nel rispetto del limite dell’attività prevalente contemplato dall’</w:t>
      </w:r>
      <w:r w:rsidR="00963158" w:rsidRPr="00465048">
        <w:rPr>
          <w:rFonts w:ascii="Times New Roman" w:hAnsi="Times New Roman"/>
          <w:sz w:val="24"/>
        </w:rPr>
        <w:t>art. 5 comma 1 lett</w:t>
      </w:r>
      <w:r w:rsidR="00963158">
        <w:rPr>
          <w:rFonts w:ascii="Times New Roman" w:hAnsi="Times New Roman"/>
          <w:sz w:val="24"/>
        </w:rPr>
        <w:t>.</w:t>
      </w:r>
      <w:r w:rsidR="00963158" w:rsidRPr="00465048">
        <w:rPr>
          <w:rFonts w:ascii="Times New Roman" w:hAnsi="Times New Roman"/>
          <w:sz w:val="24"/>
        </w:rPr>
        <w:t xml:space="preserve"> b) del codice dei contratti e dall’art</w:t>
      </w:r>
      <w:r w:rsidR="00963158">
        <w:rPr>
          <w:rFonts w:ascii="Times New Roman" w:hAnsi="Times New Roman"/>
          <w:sz w:val="24"/>
        </w:rPr>
        <w:t>.</w:t>
      </w:r>
      <w:r w:rsidR="00963158" w:rsidRPr="00465048">
        <w:rPr>
          <w:rFonts w:ascii="Times New Roman" w:hAnsi="Times New Roman"/>
          <w:sz w:val="24"/>
        </w:rPr>
        <w:t xml:space="preserve"> 16 comma 3 del T.U. società a partecipazione pubblica</w:t>
      </w:r>
      <w:r w:rsidR="00963158">
        <w:rPr>
          <w:rFonts w:ascii="Times New Roman" w:hAnsi="Times New Roman"/>
          <w:sz w:val="24"/>
        </w:rPr>
        <w:t xml:space="preserve"> </w:t>
      </w:r>
      <w:r w:rsidR="000E7BE4">
        <w:rPr>
          <w:rStyle w:val="Rimandonotaapidipagina"/>
          <w:rFonts w:ascii="Times New Roman" w:hAnsi="Times New Roman"/>
          <w:sz w:val="24"/>
        </w:rPr>
        <w:footnoteReference w:id="46"/>
      </w:r>
      <w:r w:rsidR="00963158">
        <w:rPr>
          <w:rFonts w:ascii="Times New Roman" w:hAnsi="Times New Roman"/>
          <w:sz w:val="24"/>
        </w:rPr>
        <w:t xml:space="preserve">oppure se anche siffatto requisito possa essere derogato. La disposizione non chiarisce, in altri termini, se il ricorso alla convenzione debba avvenire nel limite del 20% dell’attività </w:t>
      </w:r>
      <w:r w:rsidR="00963158" w:rsidRPr="00121CF9">
        <w:rPr>
          <w:rFonts w:ascii="Times New Roman" w:hAnsi="Times New Roman"/>
          <w:i/>
          <w:sz w:val="24"/>
        </w:rPr>
        <w:t>extra house</w:t>
      </w:r>
      <w:r w:rsidR="00963158">
        <w:rPr>
          <w:rFonts w:ascii="Times New Roman" w:hAnsi="Times New Roman"/>
          <w:sz w:val="24"/>
        </w:rPr>
        <w:t>, con conseguente mantenimento dell’80%</w:t>
      </w:r>
      <w:r w:rsidR="00121CF9">
        <w:rPr>
          <w:rFonts w:ascii="Times New Roman" w:hAnsi="Times New Roman"/>
          <w:sz w:val="24"/>
        </w:rPr>
        <w:t xml:space="preserve"> dell’attività della società</w:t>
      </w:r>
      <w:r w:rsidR="00963158">
        <w:rPr>
          <w:rFonts w:ascii="Times New Roman" w:hAnsi="Times New Roman"/>
          <w:sz w:val="24"/>
        </w:rPr>
        <w:t xml:space="preserve"> nei confronti dell’amministrazione di riferimento.</w:t>
      </w:r>
    </w:p>
    <w:p w:rsidR="00121CF9" w:rsidRPr="00963158" w:rsidRDefault="007E59B6" w:rsidP="00BA08BB">
      <w:pPr>
        <w:spacing w:line="480" w:lineRule="auto"/>
        <w:jc w:val="both"/>
        <w:rPr>
          <w:rFonts w:ascii="Times New Roman" w:hAnsi="Times New Roman"/>
          <w:sz w:val="24"/>
        </w:rPr>
      </w:pPr>
      <w:r>
        <w:rPr>
          <w:rFonts w:ascii="Times New Roman" w:hAnsi="Times New Roman"/>
          <w:sz w:val="24"/>
        </w:rPr>
        <w:t>L’assenza di</w:t>
      </w:r>
      <w:r w:rsidR="00121CF9">
        <w:rPr>
          <w:rFonts w:ascii="Times New Roman" w:hAnsi="Times New Roman"/>
          <w:sz w:val="24"/>
        </w:rPr>
        <w:t xml:space="preserve"> una previsione espressa, analoga a quella relativa all’onere motivazionale</w:t>
      </w:r>
      <w:r w:rsidR="000E7BE4">
        <w:rPr>
          <w:rFonts w:ascii="Times New Roman" w:hAnsi="Times New Roman"/>
          <w:sz w:val="24"/>
        </w:rPr>
        <w:t xml:space="preserve"> semplificato</w:t>
      </w:r>
      <w:r w:rsidR="00121CF9">
        <w:rPr>
          <w:rFonts w:ascii="Times New Roman" w:hAnsi="Times New Roman"/>
          <w:sz w:val="24"/>
        </w:rPr>
        <w:t xml:space="preserve">, </w:t>
      </w:r>
      <w:r w:rsidR="000D4834">
        <w:rPr>
          <w:rFonts w:ascii="Times New Roman" w:hAnsi="Times New Roman"/>
          <w:sz w:val="24"/>
        </w:rPr>
        <w:t>unitamente al carattere derogatorio</w:t>
      </w:r>
      <w:r w:rsidR="00E60E0C">
        <w:rPr>
          <w:rFonts w:ascii="Times New Roman" w:hAnsi="Times New Roman"/>
          <w:sz w:val="24"/>
        </w:rPr>
        <w:t xml:space="preserve"> della disciplina</w:t>
      </w:r>
      <w:r w:rsidR="000D4834">
        <w:rPr>
          <w:rFonts w:ascii="Times New Roman" w:hAnsi="Times New Roman"/>
          <w:sz w:val="24"/>
        </w:rPr>
        <w:t>,</w:t>
      </w:r>
      <w:r w:rsidR="00121CF9">
        <w:rPr>
          <w:rFonts w:ascii="Times New Roman" w:hAnsi="Times New Roman"/>
          <w:sz w:val="24"/>
        </w:rPr>
        <w:t xml:space="preserve"> </w:t>
      </w:r>
      <w:r>
        <w:rPr>
          <w:rFonts w:ascii="Times New Roman" w:hAnsi="Times New Roman"/>
          <w:sz w:val="24"/>
        </w:rPr>
        <w:t>pare suggerir</w:t>
      </w:r>
      <w:r w:rsidR="004A60DA">
        <w:rPr>
          <w:rFonts w:ascii="Times New Roman" w:hAnsi="Times New Roman"/>
          <w:sz w:val="24"/>
        </w:rPr>
        <w:t>ne</w:t>
      </w:r>
      <w:r w:rsidR="000D4834">
        <w:rPr>
          <w:rFonts w:ascii="Times New Roman" w:hAnsi="Times New Roman"/>
          <w:sz w:val="24"/>
        </w:rPr>
        <w:t xml:space="preserve"> </w:t>
      </w:r>
      <w:r w:rsidR="00121CF9">
        <w:rPr>
          <w:rFonts w:ascii="Times New Roman" w:hAnsi="Times New Roman"/>
          <w:sz w:val="24"/>
        </w:rPr>
        <w:t xml:space="preserve">una lettura restrittiva, in linea con </w:t>
      </w:r>
      <w:r w:rsidR="000E7BE4">
        <w:rPr>
          <w:rFonts w:ascii="Times New Roman" w:hAnsi="Times New Roman"/>
          <w:sz w:val="24"/>
        </w:rPr>
        <w:t xml:space="preserve">l’esigenza di </w:t>
      </w:r>
      <w:r w:rsidR="00121CF9">
        <w:rPr>
          <w:rFonts w:ascii="Times New Roman" w:hAnsi="Times New Roman"/>
          <w:sz w:val="24"/>
        </w:rPr>
        <w:t xml:space="preserve">tutela della concorrenza </w:t>
      </w:r>
      <w:r w:rsidR="00052F63">
        <w:rPr>
          <w:rFonts w:ascii="Times New Roman" w:hAnsi="Times New Roman"/>
          <w:sz w:val="24"/>
        </w:rPr>
        <w:t>sottesa all’istituto</w:t>
      </w:r>
      <w:r w:rsidR="00121CF9">
        <w:rPr>
          <w:rFonts w:ascii="Times New Roman" w:hAnsi="Times New Roman"/>
          <w:sz w:val="24"/>
        </w:rPr>
        <w:t xml:space="preserve"> </w:t>
      </w:r>
      <w:r w:rsidR="000E7BE4">
        <w:rPr>
          <w:rFonts w:ascii="Times New Roman" w:hAnsi="Times New Roman"/>
          <w:sz w:val="24"/>
        </w:rPr>
        <w:t>dell’</w:t>
      </w:r>
      <w:r w:rsidR="000E7BE4" w:rsidRPr="000E7BE4">
        <w:rPr>
          <w:rFonts w:ascii="Times New Roman" w:hAnsi="Times New Roman"/>
          <w:i/>
          <w:sz w:val="24"/>
        </w:rPr>
        <w:t>in house</w:t>
      </w:r>
      <w:r w:rsidR="00121CF9">
        <w:rPr>
          <w:rFonts w:ascii="Times New Roman" w:hAnsi="Times New Roman"/>
          <w:sz w:val="24"/>
        </w:rPr>
        <w:t>, al fine di non indebolire eccessivamente il legame tra l’organismo societario e l’amministrazione di riferimento.</w:t>
      </w:r>
    </w:p>
    <w:p w:rsidR="00466B6E" w:rsidRPr="00BA08BB" w:rsidRDefault="00121CF9" w:rsidP="009013FD">
      <w:pPr>
        <w:spacing w:line="480" w:lineRule="auto"/>
        <w:jc w:val="both"/>
        <w:rPr>
          <w:rFonts w:ascii="Times New Roman" w:hAnsi="Times New Roman"/>
          <w:sz w:val="24"/>
        </w:rPr>
      </w:pPr>
      <w:r>
        <w:rPr>
          <w:rFonts w:ascii="Times New Roman" w:hAnsi="Times New Roman"/>
          <w:sz w:val="24"/>
        </w:rPr>
        <w:t>Sul piano del concreto regolamento negoziale la</w:t>
      </w:r>
      <w:r w:rsidR="009013FD">
        <w:rPr>
          <w:rFonts w:ascii="Times New Roman" w:hAnsi="Times New Roman"/>
          <w:sz w:val="24"/>
        </w:rPr>
        <w:t xml:space="preserve"> </w:t>
      </w:r>
      <w:r w:rsidR="00925F9A" w:rsidRPr="009013FD">
        <w:rPr>
          <w:rFonts w:ascii="Times New Roman" w:hAnsi="Times New Roman"/>
          <w:sz w:val="24"/>
        </w:rPr>
        <w:t>direttiva 17 gennaio 2022 del Ministero dell'economia e delle fina</w:t>
      </w:r>
      <w:r>
        <w:rPr>
          <w:rFonts w:ascii="Times New Roman" w:hAnsi="Times New Roman"/>
          <w:sz w:val="24"/>
        </w:rPr>
        <w:t>nze, a</w:t>
      </w:r>
      <w:r w:rsidR="00645BCE" w:rsidRPr="009013FD">
        <w:rPr>
          <w:rFonts w:ascii="Times New Roman" w:hAnsi="Times New Roman"/>
          <w:sz w:val="24"/>
        </w:rPr>
        <w:t>dottata a</w:t>
      </w:r>
      <w:r w:rsidR="00925F9A" w:rsidRPr="009013FD">
        <w:rPr>
          <w:rFonts w:ascii="Times New Roman" w:hAnsi="Times New Roman"/>
          <w:sz w:val="24"/>
        </w:rPr>
        <w:t>i</w:t>
      </w:r>
      <w:r w:rsidR="00925F9A">
        <w:rPr>
          <w:rFonts w:ascii="Times New Roman" w:hAnsi="Times New Roman"/>
          <w:sz w:val="24"/>
        </w:rPr>
        <w:t xml:space="preserve"> sensi dell’art</w:t>
      </w:r>
      <w:r w:rsidR="000E7BE4">
        <w:rPr>
          <w:rFonts w:ascii="Times New Roman" w:hAnsi="Times New Roman"/>
          <w:sz w:val="24"/>
        </w:rPr>
        <w:t>.</w:t>
      </w:r>
      <w:r w:rsidR="00925F9A">
        <w:rPr>
          <w:rFonts w:ascii="Times New Roman" w:hAnsi="Times New Roman"/>
          <w:sz w:val="24"/>
        </w:rPr>
        <w:t xml:space="preserve"> 10 comma 6 </w:t>
      </w:r>
      <w:r w:rsidR="004A60DA">
        <w:rPr>
          <w:rFonts w:ascii="Times New Roman" w:hAnsi="Times New Roman"/>
          <w:sz w:val="24"/>
        </w:rPr>
        <w:t>del decreto</w:t>
      </w:r>
      <w:r w:rsidR="00925F9A">
        <w:rPr>
          <w:rFonts w:ascii="Times New Roman" w:hAnsi="Times New Roman"/>
          <w:sz w:val="24"/>
        </w:rPr>
        <w:t xml:space="preserve">, </w:t>
      </w:r>
      <w:r w:rsidR="00645BCE">
        <w:rPr>
          <w:rFonts w:ascii="Times New Roman" w:hAnsi="Times New Roman"/>
          <w:sz w:val="24"/>
        </w:rPr>
        <w:t xml:space="preserve">disciplina </w:t>
      </w:r>
      <w:r>
        <w:rPr>
          <w:rFonts w:ascii="Times New Roman" w:hAnsi="Times New Roman"/>
          <w:sz w:val="24"/>
        </w:rPr>
        <w:t>la convenzione tip</w:t>
      </w:r>
      <w:r w:rsidR="000E7BE4">
        <w:rPr>
          <w:rFonts w:ascii="Times New Roman" w:hAnsi="Times New Roman"/>
          <w:sz w:val="24"/>
        </w:rPr>
        <w:t>o che le regioni e le amministra</w:t>
      </w:r>
      <w:r>
        <w:rPr>
          <w:rFonts w:ascii="Times New Roman" w:hAnsi="Times New Roman"/>
          <w:sz w:val="24"/>
        </w:rPr>
        <w:t xml:space="preserve">zioni locali possono sottoscrivere con le società </w:t>
      </w:r>
      <w:r w:rsidRPr="000E7BE4">
        <w:rPr>
          <w:rFonts w:ascii="Times New Roman" w:hAnsi="Times New Roman"/>
          <w:i/>
          <w:sz w:val="24"/>
        </w:rPr>
        <w:t>in house</w:t>
      </w:r>
      <w:r>
        <w:rPr>
          <w:rFonts w:ascii="Times New Roman" w:hAnsi="Times New Roman"/>
          <w:sz w:val="24"/>
        </w:rPr>
        <w:t xml:space="preserve"> statali. </w:t>
      </w:r>
      <w:r w:rsidR="00925F9A" w:rsidRPr="00BA08BB">
        <w:rPr>
          <w:rFonts w:ascii="Times New Roman" w:hAnsi="Times New Roman"/>
          <w:sz w:val="24"/>
        </w:rPr>
        <w:t xml:space="preserve"> </w:t>
      </w:r>
      <w:r>
        <w:rPr>
          <w:rFonts w:ascii="Times New Roman" w:hAnsi="Times New Roman"/>
          <w:sz w:val="24"/>
        </w:rPr>
        <w:t>Le convenzioni in questione, devono, in particolare, contenere</w:t>
      </w:r>
      <w:r w:rsidR="00645BCE">
        <w:rPr>
          <w:rFonts w:ascii="Times New Roman" w:hAnsi="Times New Roman"/>
          <w:sz w:val="24"/>
        </w:rPr>
        <w:t>:</w:t>
      </w:r>
      <w:r w:rsidR="00925F9A">
        <w:rPr>
          <w:rFonts w:ascii="Times New Roman" w:hAnsi="Times New Roman"/>
          <w:sz w:val="24"/>
        </w:rPr>
        <w:t xml:space="preserve"> </w:t>
      </w:r>
      <w:r w:rsidR="00645BCE">
        <w:rPr>
          <w:rFonts w:ascii="Times New Roman" w:hAnsi="Times New Roman"/>
          <w:sz w:val="24"/>
        </w:rPr>
        <w:t>l’</w:t>
      </w:r>
      <w:r w:rsidR="00466B6E" w:rsidRPr="00BA08BB">
        <w:rPr>
          <w:rFonts w:ascii="Times New Roman" w:hAnsi="Times New Roman"/>
          <w:sz w:val="24"/>
        </w:rPr>
        <w:t>autorizzazione</w:t>
      </w:r>
      <w:r w:rsidR="002D6793" w:rsidRPr="00BA08BB">
        <w:rPr>
          <w:rFonts w:ascii="Times New Roman" w:hAnsi="Times New Roman"/>
          <w:sz w:val="24"/>
        </w:rPr>
        <w:t>, ai fini della sottoscrizione,</w:t>
      </w:r>
      <w:r w:rsidR="00466B6E" w:rsidRPr="00BA08BB">
        <w:rPr>
          <w:rFonts w:ascii="Times New Roman" w:hAnsi="Times New Roman"/>
          <w:sz w:val="24"/>
        </w:rPr>
        <w:t xml:space="preserve"> delle ammini</w:t>
      </w:r>
      <w:r w:rsidR="002D6793" w:rsidRPr="00BA08BB">
        <w:rPr>
          <w:rFonts w:ascii="Times New Roman" w:hAnsi="Times New Roman"/>
          <w:sz w:val="24"/>
        </w:rPr>
        <w:t>strazioni centrali in relazione alle quali le societ</w:t>
      </w:r>
      <w:r w:rsidR="00F63B49">
        <w:rPr>
          <w:rFonts w:ascii="Times New Roman" w:hAnsi="Times New Roman"/>
          <w:sz w:val="24"/>
        </w:rPr>
        <w:t>à</w:t>
      </w:r>
      <w:r w:rsidR="002D6793" w:rsidRPr="00BA08BB">
        <w:rPr>
          <w:rFonts w:ascii="Times New Roman" w:hAnsi="Times New Roman"/>
          <w:sz w:val="24"/>
        </w:rPr>
        <w:t xml:space="preserve"> risultino </w:t>
      </w:r>
      <w:r w:rsidR="002D6793" w:rsidRPr="009013FD">
        <w:rPr>
          <w:rFonts w:ascii="Times New Roman" w:hAnsi="Times New Roman"/>
          <w:i/>
          <w:sz w:val="24"/>
        </w:rPr>
        <w:t xml:space="preserve">in </w:t>
      </w:r>
      <w:r w:rsidR="00545ECB" w:rsidRPr="009013FD">
        <w:rPr>
          <w:rFonts w:ascii="Times New Roman" w:hAnsi="Times New Roman"/>
          <w:i/>
          <w:sz w:val="24"/>
        </w:rPr>
        <w:t>house</w:t>
      </w:r>
      <w:r w:rsidR="00545ECB">
        <w:rPr>
          <w:rFonts w:ascii="Times New Roman" w:hAnsi="Times New Roman"/>
          <w:sz w:val="24"/>
        </w:rPr>
        <w:t xml:space="preserve">; </w:t>
      </w:r>
      <w:r w:rsidR="009013FD">
        <w:rPr>
          <w:rFonts w:ascii="Times New Roman" w:hAnsi="Times New Roman"/>
          <w:sz w:val="24"/>
        </w:rPr>
        <w:t xml:space="preserve">il </w:t>
      </w:r>
      <w:r w:rsidR="009013FD" w:rsidRPr="009013FD">
        <w:rPr>
          <w:rFonts w:ascii="Times New Roman" w:hAnsi="Times New Roman"/>
          <w:sz w:val="24"/>
        </w:rPr>
        <w:t>richiamo della clausola statuta</w:t>
      </w:r>
      <w:r w:rsidR="009013FD">
        <w:rPr>
          <w:rFonts w:ascii="Times New Roman" w:hAnsi="Times New Roman"/>
          <w:sz w:val="24"/>
        </w:rPr>
        <w:t xml:space="preserve">ria che obbliga le società </w:t>
      </w:r>
      <w:r w:rsidR="009013FD" w:rsidRPr="009013FD">
        <w:rPr>
          <w:rFonts w:ascii="Times New Roman" w:hAnsi="Times New Roman"/>
          <w:i/>
          <w:sz w:val="24"/>
        </w:rPr>
        <w:t>in house</w:t>
      </w:r>
      <w:r w:rsidR="000E7BE4">
        <w:rPr>
          <w:rFonts w:ascii="Times New Roman" w:hAnsi="Times New Roman"/>
          <w:sz w:val="24"/>
        </w:rPr>
        <w:t xml:space="preserve"> ad effettuare oltre l’</w:t>
      </w:r>
      <w:r w:rsidR="009013FD" w:rsidRPr="009013FD">
        <w:rPr>
          <w:rFonts w:ascii="Times New Roman" w:hAnsi="Times New Roman"/>
          <w:sz w:val="24"/>
        </w:rPr>
        <w:t>80% del pr</w:t>
      </w:r>
      <w:r w:rsidR="009013FD">
        <w:rPr>
          <w:rFonts w:ascii="Times New Roman" w:hAnsi="Times New Roman"/>
          <w:sz w:val="24"/>
        </w:rPr>
        <w:t xml:space="preserve">oprio fatturato  attraverso  lo </w:t>
      </w:r>
      <w:r w:rsidR="009013FD" w:rsidRPr="009013FD">
        <w:rPr>
          <w:rFonts w:ascii="Times New Roman" w:hAnsi="Times New Roman"/>
          <w:sz w:val="24"/>
        </w:rPr>
        <w:t>svolgimento  di  compiti  ad  esse  af</w:t>
      </w:r>
      <w:r w:rsidR="009013FD">
        <w:rPr>
          <w:rFonts w:ascii="Times New Roman" w:hAnsi="Times New Roman"/>
          <w:sz w:val="24"/>
        </w:rPr>
        <w:t xml:space="preserve">fidati  dalle   amministrazioni </w:t>
      </w:r>
      <w:r w:rsidR="009013FD" w:rsidRPr="009013FD">
        <w:rPr>
          <w:rFonts w:ascii="Times New Roman" w:hAnsi="Times New Roman"/>
          <w:sz w:val="24"/>
        </w:rPr>
        <w:t xml:space="preserve">centrali; </w:t>
      </w:r>
      <w:r w:rsidR="00645BCE">
        <w:rPr>
          <w:rFonts w:ascii="Times New Roman" w:hAnsi="Times New Roman"/>
          <w:sz w:val="24"/>
        </w:rPr>
        <w:t>l’</w:t>
      </w:r>
      <w:r w:rsidR="00466B6E" w:rsidRPr="00BA08BB">
        <w:rPr>
          <w:rFonts w:ascii="Times New Roman" w:hAnsi="Times New Roman"/>
          <w:sz w:val="24"/>
        </w:rPr>
        <w:t>indicazione, da parte delle societ</w:t>
      </w:r>
      <w:r w:rsidR="00F63B49">
        <w:rPr>
          <w:rFonts w:ascii="Times New Roman" w:hAnsi="Times New Roman"/>
          <w:sz w:val="24"/>
        </w:rPr>
        <w:t>à</w:t>
      </w:r>
      <w:r w:rsidR="00545ECB">
        <w:rPr>
          <w:rFonts w:ascii="Times New Roman" w:hAnsi="Times New Roman"/>
          <w:sz w:val="24"/>
        </w:rPr>
        <w:t xml:space="preserve"> </w:t>
      </w:r>
      <w:r w:rsidR="00545ECB" w:rsidRPr="00545ECB">
        <w:rPr>
          <w:rFonts w:ascii="Times New Roman" w:hAnsi="Times New Roman"/>
          <w:i/>
          <w:sz w:val="24"/>
        </w:rPr>
        <w:t>in house</w:t>
      </w:r>
      <w:r w:rsidR="00545ECB">
        <w:rPr>
          <w:rFonts w:ascii="Times New Roman" w:hAnsi="Times New Roman"/>
          <w:sz w:val="24"/>
        </w:rPr>
        <w:t xml:space="preserve">, </w:t>
      </w:r>
      <w:r w:rsidR="000E7BE4">
        <w:rPr>
          <w:rFonts w:ascii="Times New Roman" w:hAnsi="Times New Roman"/>
          <w:sz w:val="24"/>
        </w:rPr>
        <w:t>dell’</w:t>
      </w:r>
      <w:r w:rsidR="00466B6E" w:rsidRPr="00BA08BB">
        <w:rPr>
          <w:rFonts w:ascii="Times New Roman" w:hAnsi="Times New Roman"/>
          <w:sz w:val="24"/>
        </w:rPr>
        <w:t>eventuale svolgimento,  nella  misura  inferi</w:t>
      </w:r>
      <w:r w:rsidR="002D6793" w:rsidRPr="00BA08BB">
        <w:rPr>
          <w:rFonts w:ascii="Times New Roman" w:hAnsi="Times New Roman"/>
          <w:sz w:val="24"/>
        </w:rPr>
        <w:t xml:space="preserve">ore  al  20%  del  fatturato,  </w:t>
      </w:r>
      <w:r w:rsidR="00466B6E" w:rsidRPr="00BA08BB">
        <w:rPr>
          <w:rFonts w:ascii="Times New Roman" w:hAnsi="Times New Roman"/>
          <w:sz w:val="24"/>
        </w:rPr>
        <w:t>di attivit</w:t>
      </w:r>
      <w:r w:rsidR="002D6793" w:rsidRPr="00BA08BB">
        <w:rPr>
          <w:rFonts w:ascii="Times New Roman" w:hAnsi="Times New Roman"/>
          <w:sz w:val="24"/>
        </w:rPr>
        <w:t>à</w:t>
      </w:r>
      <w:r w:rsidR="00466B6E" w:rsidRPr="00BA08BB">
        <w:rPr>
          <w:rFonts w:ascii="Times New Roman" w:hAnsi="Times New Roman"/>
          <w:sz w:val="24"/>
        </w:rPr>
        <w:t xml:space="preserve"> ad esse affidate da soggetti diversi dalle  amministrazioni centrali dello Stato;</w:t>
      </w:r>
      <w:r w:rsidR="00826798" w:rsidRPr="00BA08BB">
        <w:rPr>
          <w:rFonts w:ascii="Times New Roman" w:hAnsi="Times New Roman"/>
          <w:sz w:val="24"/>
        </w:rPr>
        <w:t xml:space="preserve"> </w:t>
      </w:r>
      <w:r w:rsidR="00645BCE">
        <w:rPr>
          <w:rFonts w:ascii="Times New Roman" w:hAnsi="Times New Roman"/>
          <w:sz w:val="24"/>
        </w:rPr>
        <w:t>la</w:t>
      </w:r>
      <w:r w:rsidR="002D6793" w:rsidRPr="00BA08BB">
        <w:rPr>
          <w:rFonts w:ascii="Times New Roman" w:hAnsi="Times New Roman"/>
          <w:sz w:val="24"/>
        </w:rPr>
        <w:t xml:space="preserve"> </w:t>
      </w:r>
      <w:r w:rsidR="00545ECB">
        <w:rPr>
          <w:rFonts w:ascii="Times New Roman" w:hAnsi="Times New Roman"/>
          <w:sz w:val="24"/>
        </w:rPr>
        <w:t>specificazione dell’</w:t>
      </w:r>
      <w:r w:rsidR="00826798" w:rsidRPr="00BA08BB">
        <w:rPr>
          <w:rFonts w:ascii="Times New Roman" w:hAnsi="Times New Roman"/>
          <w:sz w:val="24"/>
        </w:rPr>
        <w:t>og</w:t>
      </w:r>
      <w:r w:rsidR="000E7BE4">
        <w:rPr>
          <w:rFonts w:ascii="Times New Roman" w:hAnsi="Times New Roman"/>
          <w:sz w:val="24"/>
        </w:rPr>
        <w:t>getto dell’</w:t>
      </w:r>
      <w:r w:rsidR="00645BCE">
        <w:rPr>
          <w:rFonts w:ascii="Times New Roman" w:hAnsi="Times New Roman"/>
          <w:sz w:val="24"/>
        </w:rPr>
        <w:t>atto</w:t>
      </w:r>
      <w:r w:rsidR="00545ECB">
        <w:rPr>
          <w:rFonts w:ascii="Times New Roman" w:hAnsi="Times New Roman"/>
          <w:sz w:val="24"/>
        </w:rPr>
        <w:t xml:space="preserve"> convenzionale, </w:t>
      </w:r>
      <w:r w:rsidR="00826798" w:rsidRPr="00BA08BB">
        <w:rPr>
          <w:rFonts w:ascii="Times New Roman" w:hAnsi="Times New Roman"/>
          <w:sz w:val="24"/>
        </w:rPr>
        <w:t>articolato in piani di attivit</w:t>
      </w:r>
      <w:r w:rsidR="002D6793" w:rsidRPr="00BA08BB">
        <w:rPr>
          <w:rFonts w:ascii="Times New Roman" w:hAnsi="Times New Roman"/>
          <w:sz w:val="24"/>
        </w:rPr>
        <w:t>à</w:t>
      </w:r>
      <w:r w:rsidR="00826798" w:rsidRPr="00BA08BB">
        <w:rPr>
          <w:rFonts w:ascii="Times New Roman" w:hAnsi="Times New Roman"/>
          <w:sz w:val="24"/>
        </w:rPr>
        <w:t>, completo di  un  cronoprogramma  di massima della spesa  prevista  per  annualit</w:t>
      </w:r>
      <w:r w:rsidR="002D6793" w:rsidRPr="00BA08BB">
        <w:rPr>
          <w:rFonts w:ascii="Times New Roman" w:hAnsi="Times New Roman"/>
          <w:sz w:val="24"/>
        </w:rPr>
        <w:t>à</w:t>
      </w:r>
      <w:r w:rsidR="00826798" w:rsidRPr="00BA08BB">
        <w:rPr>
          <w:rFonts w:ascii="Times New Roman" w:hAnsi="Times New Roman"/>
          <w:sz w:val="24"/>
        </w:rPr>
        <w:t>,  calco</w:t>
      </w:r>
      <w:r w:rsidR="000E7BE4">
        <w:rPr>
          <w:rFonts w:ascii="Times New Roman" w:hAnsi="Times New Roman"/>
          <w:sz w:val="24"/>
        </w:rPr>
        <w:t>lata  al  netto dell’</w:t>
      </w:r>
      <w:r w:rsidR="00545ECB">
        <w:rPr>
          <w:rFonts w:ascii="Times New Roman" w:hAnsi="Times New Roman"/>
          <w:sz w:val="24"/>
        </w:rPr>
        <w:t>IVA, nell’</w:t>
      </w:r>
      <w:r w:rsidR="00826798" w:rsidRPr="00BA08BB">
        <w:rPr>
          <w:rFonts w:ascii="Times New Roman" w:hAnsi="Times New Roman"/>
          <w:sz w:val="24"/>
        </w:rPr>
        <w:t>ambito  del</w:t>
      </w:r>
      <w:r w:rsidR="002D6793" w:rsidRPr="00BA08BB">
        <w:rPr>
          <w:rFonts w:ascii="Times New Roman" w:hAnsi="Times New Roman"/>
          <w:sz w:val="24"/>
        </w:rPr>
        <w:t xml:space="preserve">  corrispettivo   complessivo  </w:t>
      </w:r>
      <w:r w:rsidR="00826798" w:rsidRPr="00BA08BB">
        <w:rPr>
          <w:rFonts w:ascii="Times New Roman" w:hAnsi="Times New Roman"/>
          <w:sz w:val="24"/>
        </w:rPr>
        <w:t>stabilito, unitamente alle corrispondenti modalit</w:t>
      </w:r>
      <w:r w:rsidR="002D6793" w:rsidRPr="00BA08BB">
        <w:rPr>
          <w:rFonts w:ascii="Times New Roman" w:hAnsi="Times New Roman"/>
          <w:sz w:val="24"/>
        </w:rPr>
        <w:t>à</w:t>
      </w:r>
      <w:r w:rsidR="00826798" w:rsidRPr="00BA08BB">
        <w:rPr>
          <w:rFonts w:ascii="Times New Roman" w:hAnsi="Times New Roman"/>
          <w:sz w:val="24"/>
        </w:rPr>
        <w:t xml:space="preserve"> di  pagamento,  al  fine  di agevolare  la  pianificazione  finanziaria  connessa   alle   singole attivit</w:t>
      </w:r>
      <w:r w:rsidR="002D6793" w:rsidRPr="00BA08BB">
        <w:rPr>
          <w:rFonts w:ascii="Times New Roman" w:hAnsi="Times New Roman"/>
          <w:sz w:val="24"/>
        </w:rPr>
        <w:t xml:space="preserve">à; </w:t>
      </w:r>
      <w:r w:rsidR="00645BCE">
        <w:rPr>
          <w:rFonts w:ascii="Times New Roman" w:hAnsi="Times New Roman"/>
          <w:sz w:val="24"/>
        </w:rPr>
        <w:t>l’</w:t>
      </w:r>
      <w:r w:rsidR="00826798" w:rsidRPr="00BA08BB">
        <w:rPr>
          <w:rFonts w:ascii="Times New Roman" w:hAnsi="Times New Roman"/>
          <w:sz w:val="24"/>
        </w:rPr>
        <w:t>impegno</w:t>
      </w:r>
      <w:r w:rsidR="00545ECB">
        <w:rPr>
          <w:rFonts w:ascii="Times New Roman" w:hAnsi="Times New Roman"/>
          <w:sz w:val="24"/>
        </w:rPr>
        <w:t xml:space="preserve">,  da  parte  delle  regioni, </w:t>
      </w:r>
      <w:r w:rsidR="00826798" w:rsidRPr="00BA08BB">
        <w:rPr>
          <w:rFonts w:ascii="Times New Roman" w:hAnsi="Times New Roman"/>
          <w:sz w:val="24"/>
        </w:rPr>
        <w:t>delle Province autonome  di  Trento  e  Bolzano  e  degli  enti  locali,  a trasmettere, con cadenza annuale, alle amministrazioni  centrali  cui le  societ</w:t>
      </w:r>
      <w:r w:rsidR="00B14580" w:rsidRPr="00BA08BB">
        <w:rPr>
          <w:rFonts w:ascii="Times New Roman" w:hAnsi="Times New Roman"/>
          <w:sz w:val="24"/>
        </w:rPr>
        <w:t>à</w:t>
      </w:r>
      <w:r w:rsidR="00826798" w:rsidRPr="00BA08BB">
        <w:rPr>
          <w:rFonts w:ascii="Times New Roman" w:hAnsi="Times New Roman"/>
          <w:sz w:val="24"/>
        </w:rPr>
        <w:t xml:space="preserve">  risultino  </w:t>
      </w:r>
      <w:r w:rsidR="00826798" w:rsidRPr="00545ECB">
        <w:rPr>
          <w:rFonts w:ascii="Times New Roman" w:hAnsi="Times New Roman"/>
          <w:i/>
          <w:sz w:val="24"/>
        </w:rPr>
        <w:t>in  house</w:t>
      </w:r>
      <w:r w:rsidR="00826798" w:rsidRPr="00BA08BB">
        <w:rPr>
          <w:rFonts w:ascii="Times New Roman" w:hAnsi="Times New Roman"/>
          <w:sz w:val="24"/>
        </w:rPr>
        <w:t>,</w:t>
      </w:r>
      <w:r w:rsidR="006E02CE">
        <w:rPr>
          <w:rFonts w:ascii="Times New Roman" w:hAnsi="Times New Roman"/>
          <w:sz w:val="24"/>
        </w:rPr>
        <w:t xml:space="preserve">  un  resoconto  sullo stato </w:t>
      </w:r>
      <w:r w:rsidR="00826798" w:rsidRPr="00BA08BB">
        <w:rPr>
          <w:rFonts w:ascii="Times New Roman" w:hAnsi="Times New Roman"/>
          <w:sz w:val="24"/>
        </w:rPr>
        <w:t xml:space="preserve">di attuazione delle convenzioni, con indicazione </w:t>
      </w:r>
      <w:r w:rsidR="006E02CE">
        <w:rPr>
          <w:rFonts w:ascii="Times New Roman" w:hAnsi="Times New Roman"/>
          <w:sz w:val="24"/>
        </w:rPr>
        <w:t xml:space="preserve">delle somme erogate </w:t>
      </w:r>
      <w:r w:rsidR="00826798" w:rsidRPr="00BA08BB">
        <w:rPr>
          <w:rFonts w:ascii="Times New Roman" w:hAnsi="Times New Roman"/>
          <w:sz w:val="24"/>
        </w:rPr>
        <w:t>e di quelle eventualmente ancora da erogare,  nonch</w:t>
      </w:r>
      <w:r w:rsidR="00545ECB">
        <w:rPr>
          <w:rFonts w:ascii="Times New Roman" w:hAnsi="Times New Roman"/>
          <w:sz w:val="24"/>
        </w:rPr>
        <w:t>é</w:t>
      </w:r>
      <w:r w:rsidR="00826798" w:rsidRPr="00BA08BB">
        <w:rPr>
          <w:rFonts w:ascii="Times New Roman" w:hAnsi="Times New Roman"/>
          <w:sz w:val="24"/>
        </w:rPr>
        <w:t xml:space="preserve">  delle  ulteriori informazioni utili ai</w:t>
      </w:r>
      <w:r w:rsidR="00545ECB">
        <w:rPr>
          <w:rFonts w:ascii="Times New Roman" w:hAnsi="Times New Roman"/>
          <w:sz w:val="24"/>
        </w:rPr>
        <w:t xml:space="preserve">  fini  del  monitoraggio  sull’</w:t>
      </w:r>
      <w:r w:rsidR="006E02CE">
        <w:rPr>
          <w:rFonts w:ascii="Times New Roman" w:hAnsi="Times New Roman"/>
          <w:sz w:val="24"/>
        </w:rPr>
        <w:t xml:space="preserve">andamento </w:t>
      </w:r>
      <w:r w:rsidR="00826798" w:rsidRPr="00BA08BB">
        <w:rPr>
          <w:rFonts w:ascii="Times New Roman" w:hAnsi="Times New Roman"/>
          <w:sz w:val="24"/>
        </w:rPr>
        <w:t>delle attivit</w:t>
      </w:r>
      <w:r w:rsidR="00B14580" w:rsidRPr="00BA08BB">
        <w:rPr>
          <w:rFonts w:ascii="Times New Roman" w:hAnsi="Times New Roman"/>
          <w:sz w:val="24"/>
        </w:rPr>
        <w:t xml:space="preserve">à delle società </w:t>
      </w:r>
      <w:r w:rsidR="00B14580" w:rsidRPr="00545ECB">
        <w:rPr>
          <w:rFonts w:ascii="Times New Roman" w:hAnsi="Times New Roman"/>
          <w:i/>
          <w:sz w:val="24"/>
        </w:rPr>
        <w:t>in house</w:t>
      </w:r>
      <w:r w:rsidR="00B14580" w:rsidRPr="00BA08BB">
        <w:rPr>
          <w:rFonts w:ascii="Times New Roman" w:hAnsi="Times New Roman"/>
          <w:sz w:val="24"/>
        </w:rPr>
        <w:t>.</w:t>
      </w:r>
    </w:p>
    <w:p w:rsidR="00F614AE" w:rsidRDefault="00F614AE" w:rsidP="00F614AE">
      <w:pPr>
        <w:spacing w:line="480" w:lineRule="auto"/>
        <w:jc w:val="both"/>
        <w:rPr>
          <w:rFonts w:ascii="Times New Roman" w:hAnsi="Times New Roman"/>
          <w:sz w:val="24"/>
        </w:rPr>
      </w:pPr>
      <w:r>
        <w:rPr>
          <w:rFonts w:ascii="Times New Roman" w:hAnsi="Times New Roman"/>
          <w:sz w:val="24"/>
        </w:rPr>
        <w:t>La novità normativa evidenzia</w:t>
      </w:r>
      <w:r w:rsidR="009013FD">
        <w:rPr>
          <w:rFonts w:ascii="Times New Roman" w:hAnsi="Times New Roman"/>
          <w:sz w:val="24"/>
        </w:rPr>
        <w:t>, in conclusione,</w:t>
      </w:r>
      <w:r>
        <w:rPr>
          <w:rFonts w:ascii="Times New Roman" w:hAnsi="Times New Roman"/>
          <w:sz w:val="24"/>
        </w:rPr>
        <w:t xml:space="preserve"> una peculiare dimensione operativa dell’</w:t>
      </w:r>
      <w:r w:rsidRPr="0001731F">
        <w:rPr>
          <w:rFonts w:ascii="Times New Roman" w:hAnsi="Times New Roman"/>
          <w:i/>
          <w:sz w:val="24"/>
        </w:rPr>
        <w:t xml:space="preserve">in house </w:t>
      </w:r>
      <w:r>
        <w:rPr>
          <w:rFonts w:ascii="Times New Roman" w:hAnsi="Times New Roman"/>
          <w:sz w:val="24"/>
        </w:rPr>
        <w:t>non solo come mezzo di acquisizione di servizi (di consulenza, professionali, tecnici) alternativo al mercato, ma soprattutto come strumento di ammodernamento</w:t>
      </w:r>
      <w:r w:rsidR="007674B8">
        <w:rPr>
          <w:rFonts w:ascii="Times New Roman" w:hAnsi="Times New Roman"/>
          <w:sz w:val="24"/>
        </w:rPr>
        <w:t xml:space="preserve"> </w:t>
      </w:r>
      <w:r w:rsidR="004A60DA">
        <w:rPr>
          <w:rFonts w:ascii="Times New Roman" w:hAnsi="Times New Roman"/>
          <w:sz w:val="24"/>
        </w:rPr>
        <w:t>dell’amministrazione</w:t>
      </w:r>
      <w:r w:rsidR="007674B8">
        <w:rPr>
          <w:rFonts w:ascii="Times New Roman" w:hAnsi="Times New Roman"/>
          <w:sz w:val="24"/>
        </w:rPr>
        <w:t>, consentendole di acquisire quelle doti di dinamicità, competenza e conoscenza essenziali per il ruolo protagonista assoluta della ripresa economica del Paese che il PNRR le assegna.</w:t>
      </w:r>
    </w:p>
    <w:p w:rsidR="000F6181" w:rsidRDefault="000F6181" w:rsidP="00F614AE">
      <w:pPr>
        <w:spacing w:line="480" w:lineRule="auto"/>
        <w:jc w:val="both"/>
        <w:rPr>
          <w:rFonts w:ascii="Times New Roman" w:hAnsi="Times New Roman"/>
          <w:sz w:val="24"/>
        </w:rPr>
      </w:pPr>
    </w:p>
    <w:p w:rsidR="000F6181" w:rsidRDefault="004A60DA" w:rsidP="00F614AE">
      <w:pPr>
        <w:spacing w:line="480" w:lineRule="auto"/>
        <w:jc w:val="both"/>
        <w:rPr>
          <w:rFonts w:ascii="Times New Roman" w:hAnsi="Times New Roman"/>
          <w:sz w:val="24"/>
        </w:rPr>
      </w:pPr>
      <w:r>
        <w:rPr>
          <w:rFonts w:ascii="Times New Roman" w:hAnsi="Times New Roman"/>
          <w:sz w:val="24"/>
        </w:rPr>
        <w:t>29</w:t>
      </w:r>
      <w:r w:rsidR="000F6181">
        <w:rPr>
          <w:rFonts w:ascii="Times New Roman" w:hAnsi="Times New Roman"/>
          <w:sz w:val="24"/>
        </w:rPr>
        <w:t xml:space="preserve"> giugno 2022</w:t>
      </w:r>
    </w:p>
    <w:p w:rsidR="000F6181" w:rsidRPr="00F73DCB" w:rsidRDefault="000F6181" w:rsidP="00F614AE">
      <w:pPr>
        <w:spacing w:line="480" w:lineRule="auto"/>
        <w:jc w:val="both"/>
        <w:rPr>
          <w:rFonts w:ascii="Times New Roman" w:hAnsi="Times New Roman"/>
          <w:b/>
          <w:sz w:val="32"/>
          <w:szCs w:val="32"/>
        </w:rPr>
      </w:pPr>
      <w:bookmarkStart w:id="0" w:name="_GoBack"/>
    </w:p>
    <w:p w:rsidR="000F6181" w:rsidRPr="00F73DCB" w:rsidRDefault="000F6181" w:rsidP="00F614AE">
      <w:pPr>
        <w:spacing w:line="480" w:lineRule="auto"/>
        <w:jc w:val="both"/>
        <w:rPr>
          <w:rFonts w:ascii="Times New Roman" w:hAnsi="Times New Roman"/>
          <w:b/>
          <w:sz w:val="32"/>
          <w:szCs w:val="32"/>
        </w:rPr>
      </w:pPr>
      <w:r w:rsidRPr="00F73DCB">
        <w:rPr>
          <w:rFonts w:ascii="Times New Roman" w:hAnsi="Times New Roman"/>
          <w:b/>
          <w:sz w:val="32"/>
          <w:szCs w:val="32"/>
        </w:rPr>
        <w:tab/>
      </w:r>
      <w:r w:rsidRPr="00F73DCB">
        <w:rPr>
          <w:rFonts w:ascii="Times New Roman" w:hAnsi="Times New Roman"/>
          <w:b/>
          <w:sz w:val="32"/>
          <w:szCs w:val="32"/>
        </w:rPr>
        <w:tab/>
      </w:r>
      <w:r w:rsidRPr="00F73DCB">
        <w:rPr>
          <w:rFonts w:ascii="Times New Roman" w:hAnsi="Times New Roman"/>
          <w:b/>
          <w:sz w:val="32"/>
          <w:szCs w:val="32"/>
        </w:rPr>
        <w:tab/>
      </w:r>
      <w:r w:rsidRPr="00F73DCB">
        <w:rPr>
          <w:rFonts w:ascii="Times New Roman" w:hAnsi="Times New Roman"/>
          <w:b/>
          <w:sz w:val="32"/>
          <w:szCs w:val="32"/>
        </w:rPr>
        <w:tab/>
      </w:r>
      <w:r w:rsidRPr="00F73DCB">
        <w:rPr>
          <w:rFonts w:ascii="Times New Roman" w:hAnsi="Times New Roman"/>
          <w:b/>
          <w:sz w:val="32"/>
          <w:szCs w:val="32"/>
        </w:rPr>
        <w:tab/>
      </w:r>
      <w:r w:rsidRPr="00F73DCB">
        <w:rPr>
          <w:rFonts w:ascii="Times New Roman" w:hAnsi="Times New Roman"/>
          <w:b/>
          <w:sz w:val="32"/>
          <w:szCs w:val="32"/>
        </w:rPr>
        <w:tab/>
      </w:r>
      <w:r w:rsidRPr="00F73DCB">
        <w:rPr>
          <w:rFonts w:ascii="Times New Roman" w:hAnsi="Times New Roman"/>
          <w:b/>
          <w:sz w:val="32"/>
          <w:szCs w:val="32"/>
        </w:rPr>
        <w:tab/>
      </w:r>
      <w:r w:rsidRPr="00F73DCB">
        <w:rPr>
          <w:rFonts w:ascii="Times New Roman" w:hAnsi="Times New Roman"/>
          <w:b/>
          <w:sz w:val="32"/>
          <w:szCs w:val="32"/>
        </w:rPr>
        <w:tab/>
      </w:r>
      <w:r w:rsidRPr="00F73DCB">
        <w:rPr>
          <w:rFonts w:ascii="Times New Roman" w:hAnsi="Times New Roman"/>
          <w:b/>
          <w:sz w:val="32"/>
          <w:szCs w:val="32"/>
        </w:rPr>
        <w:tab/>
        <w:t>Carmelina Addesso</w:t>
      </w:r>
    </w:p>
    <w:bookmarkEnd w:id="0"/>
    <w:p w:rsidR="000F6181" w:rsidRDefault="000F6181" w:rsidP="00F614AE">
      <w:pPr>
        <w:spacing w:line="48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Consigliere di Stato</w:t>
      </w:r>
    </w:p>
    <w:p w:rsidR="00F73DCB" w:rsidRPr="00BA08BB" w:rsidRDefault="00F73DCB" w:rsidP="00F73DCB">
      <w:pPr>
        <w:spacing w:line="480" w:lineRule="auto"/>
        <w:jc w:val="right"/>
        <w:rPr>
          <w:rFonts w:ascii="Times New Roman" w:hAnsi="Times New Roman"/>
          <w:sz w:val="24"/>
        </w:rPr>
      </w:pPr>
      <w:r>
        <w:rPr>
          <w:rFonts w:ascii="Times New Roman" w:hAnsi="Times New Roman"/>
          <w:sz w:val="24"/>
        </w:rPr>
        <w:t>Pubblicato il 5 luglio 2022</w:t>
      </w:r>
    </w:p>
    <w:p w:rsidR="005A1CC9" w:rsidRPr="00BA08BB" w:rsidRDefault="005A1CC9" w:rsidP="00BA08BB">
      <w:pPr>
        <w:spacing w:line="480" w:lineRule="auto"/>
        <w:jc w:val="both"/>
        <w:rPr>
          <w:rFonts w:ascii="Times New Roman" w:hAnsi="Times New Roman"/>
          <w:sz w:val="24"/>
        </w:rPr>
      </w:pPr>
    </w:p>
    <w:sectPr w:rsidR="005A1CC9" w:rsidRPr="00BA08B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FBF" w:rsidRDefault="00BA3FBF" w:rsidP="00A76625">
      <w:pPr>
        <w:spacing w:after="0" w:line="240" w:lineRule="auto"/>
      </w:pPr>
      <w:r>
        <w:separator/>
      </w:r>
    </w:p>
  </w:endnote>
  <w:endnote w:type="continuationSeparator" w:id="0">
    <w:p w:rsidR="00BA3FBF" w:rsidRDefault="00BA3FBF" w:rsidP="00A7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362024"/>
      <w:docPartObj>
        <w:docPartGallery w:val="Page Numbers (Bottom of Page)"/>
        <w:docPartUnique/>
      </w:docPartObj>
    </w:sdtPr>
    <w:sdtEndPr/>
    <w:sdtContent>
      <w:p w:rsidR="00D04B34" w:rsidRDefault="00D04B34">
        <w:pPr>
          <w:pStyle w:val="Pidipagina"/>
          <w:jc w:val="right"/>
        </w:pPr>
        <w:r>
          <w:fldChar w:fldCharType="begin"/>
        </w:r>
        <w:r>
          <w:instrText>PAGE   \* MERGEFORMAT</w:instrText>
        </w:r>
        <w:r>
          <w:fldChar w:fldCharType="separate"/>
        </w:r>
        <w:r w:rsidR="001C2DCD">
          <w:rPr>
            <w:noProof/>
          </w:rPr>
          <w:t>26</w:t>
        </w:r>
        <w:r>
          <w:fldChar w:fldCharType="end"/>
        </w:r>
      </w:p>
    </w:sdtContent>
  </w:sdt>
  <w:p w:rsidR="00D04B34" w:rsidRDefault="00D04B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FBF" w:rsidRDefault="00BA3FBF" w:rsidP="00A76625">
      <w:pPr>
        <w:spacing w:after="0" w:line="240" w:lineRule="auto"/>
      </w:pPr>
      <w:r>
        <w:separator/>
      </w:r>
    </w:p>
  </w:footnote>
  <w:footnote w:type="continuationSeparator" w:id="0">
    <w:p w:rsidR="00BA3FBF" w:rsidRDefault="00BA3FBF" w:rsidP="00A76625">
      <w:pPr>
        <w:spacing w:after="0" w:line="240" w:lineRule="auto"/>
      </w:pPr>
      <w:r>
        <w:continuationSeparator/>
      </w:r>
    </w:p>
  </w:footnote>
  <w:footnote w:id="1">
    <w:p w:rsidR="007F4288" w:rsidRDefault="007F4288">
      <w:pPr>
        <w:pStyle w:val="Testonotaapidipagina"/>
      </w:pPr>
      <w:r>
        <w:rPr>
          <w:rStyle w:val="Rimandonotaapidipagina"/>
        </w:rPr>
        <w:footnoteRef/>
      </w:r>
      <w:r>
        <w:t xml:space="preserve"> Relazione in occasione del convegno “</w:t>
      </w:r>
      <w:r w:rsidRPr="007F4288">
        <w:rPr>
          <w:i/>
        </w:rPr>
        <w:t>5° rassegna di diritto pubblico dell’economia</w:t>
      </w:r>
      <w:r>
        <w:t>”, Varese 17 e 18 giugno 2022.</w:t>
      </w:r>
    </w:p>
  </w:footnote>
  <w:footnote w:id="2">
    <w:p w:rsidR="00B84C50" w:rsidRPr="00EC3974" w:rsidRDefault="00B84C50" w:rsidP="005B154A">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Piano Nazionale di Ripresa e Resilienza pagg. 248 e 249</w:t>
      </w:r>
      <w:r w:rsidR="00EC3974" w:rsidRPr="00EC3974">
        <w:rPr>
          <w:rFonts w:ascii="Times New Roman" w:hAnsi="Times New Roman"/>
        </w:rPr>
        <w:t>.</w:t>
      </w:r>
    </w:p>
  </w:footnote>
  <w:footnote w:id="3">
    <w:p w:rsidR="00B84C50" w:rsidRPr="00EC3974" w:rsidRDefault="00B84C50" w:rsidP="005B154A">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Domenico Siclari, </w:t>
      </w:r>
      <w:r w:rsidR="006E02CE" w:rsidRPr="006E02CE">
        <w:rPr>
          <w:rFonts w:ascii="Times New Roman" w:hAnsi="Times New Roman"/>
          <w:i/>
        </w:rPr>
        <w:t>Il r</w:t>
      </w:r>
      <w:r w:rsidRPr="006E02CE">
        <w:rPr>
          <w:rFonts w:ascii="Times New Roman" w:hAnsi="Times New Roman"/>
          <w:i/>
        </w:rPr>
        <w:t>uolo del partenariato pubblico-privato alla luce del PNRR</w:t>
      </w:r>
      <w:r w:rsidRPr="00EC3974">
        <w:rPr>
          <w:rFonts w:ascii="Times New Roman" w:hAnsi="Times New Roman"/>
        </w:rPr>
        <w:t>, in Dialoghi di diritto dell’economia, aprile 2022</w:t>
      </w:r>
      <w:r w:rsidR="00EC3974" w:rsidRPr="00EC3974">
        <w:rPr>
          <w:rFonts w:ascii="Times New Roman" w:hAnsi="Times New Roman"/>
        </w:rPr>
        <w:t>.</w:t>
      </w:r>
    </w:p>
  </w:footnote>
  <w:footnote w:id="4">
    <w:p w:rsidR="00B84C50" w:rsidRPr="00EC3974" w:rsidRDefault="00B84C50" w:rsidP="005B154A">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Consiglio di Stato, Adunanza della Commissione speciale, 29/3/2017 n. 775</w:t>
      </w:r>
      <w:r w:rsidR="006E02CE">
        <w:rPr>
          <w:rFonts w:ascii="Times New Roman" w:hAnsi="Times New Roman"/>
        </w:rPr>
        <w:t>,</w:t>
      </w:r>
      <w:r w:rsidRPr="00EC3974">
        <w:rPr>
          <w:rFonts w:ascii="Times New Roman" w:hAnsi="Times New Roman"/>
        </w:rPr>
        <w:t xml:space="preserve"> Parere sullo schema di linee guida recanti “</w:t>
      </w:r>
      <w:r w:rsidRPr="006E02CE">
        <w:rPr>
          <w:rFonts w:ascii="Times New Roman" w:hAnsi="Times New Roman"/>
          <w:i/>
        </w:rPr>
        <w:t>Monitoraggio delle amministrazioni aggiudicatrici sull’attività dell’operatore economico nei contratti di partenariato pubblico privato</w:t>
      </w:r>
      <w:r w:rsidRPr="00EC3974">
        <w:rPr>
          <w:rFonts w:ascii="Times New Roman" w:hAnsi="Times New Roman"/>
        </w:rPr>
        <w:t>”.</w:t>
      </w:r>
    </w:p>
  </w:footnote>
  <w:footnote w:id="5">
    <w:p w:rsidR="000E01B6" w:rsidRPr="00EC3974" w:rsidRDefault="000E01B6" w:rsidP="00EC3974">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 xml:space="preserve">Gianpiero Paolo Cirillo, </w:t>
      </w:r>
      <w:r w:rsidRPr="006E02CE">
        <w:rPr>
          <w:rFonts w:ascii="Times New Roman" w:hAnsi="Times New Roman"/>
          <w:i/>
        </w:rPr>
        <w:t>Sistema istituzionale di diritto comune</w:t>
      </w:r>
      <w:r w:rsidRPr="00EC3974">
        <w:rPr>
          <w:rFonts w:ascii="Times New Roman" w:hAnsi="Times New Roman"/>
        </w:rPr>
        <w:t xml:space="preserve">, seconda edizione, CEDAM, pag. 105; </w:t>
      </w:r>
      <w:r w:rsidRPr="00EC3974">
        <w:rPr>
          <w:rFonts w:ascii="Times New Roman" w:hAnsi="Times New Roman"/>
          <w:i/>
        </w:rPr>
        <w:t xml:space="preserve">id, </w:t>
      </w:r>
      <w:r w:rsidRPr="006E02CE">
        <w:rPr>
          <w:rFonts w:ascii="Times New Roman" w:hAnsi="Times New Roman"/>
          <w:i/>
        </w:rPr>
        <w:t>Modelli societari e organizzazione dei servizi pubblici</w:t>
      </w:r>
      <w:r w:rsidRPr="00EC3974">
        <w:rPr>
          <w:rFonts w:ascii="Times New Roman" w:hAnsi="Times New Roman"/>
        </w:rPr>
        <w:t xml:space="preserve">, </w:t>
      </w:r>
      <w:r w:rsidR="003A652A" w:rsidRPr="00EC3974">
        <w:rPr>
          <w:rFonts w:ascii="Times New Roman" w:hAnsi="Times New Roman"/>
        </w:rPr>
        <w:t xml:space="preserve">in </w:t>
      </w:r>
      <w:r w:rsidR="003A652A" w:rsidRPr="006E02CE">
        <w:rPr>
          <w:rFonts w:ascii="Times New Roman" w:hAnsi="Times New Roman"/>
          <w:i/>
        </w:rPr>
        <w:t>www. giustizia-amministrativa.it</w:t>
      </w:r>
    </w:p>
  </w:footnote>
  <w:footnote w:id="6">
    <w:p w:rsidR="00B84C50" w:rsidRPr="00EC3974" w:rsidRDefault="00B84C50" w:rsidP="00EC3974">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Art. 190 del codice dei contratti pubblici. Sul partenariato sociale cfr: Rosanna De Nictolis, </w:t>
      </w:r>
      <w:r w:rsidRPr="006E02CE">
        <w:rPr>
          <w:rFonts w:ascii="Times New Roman" w:hAnsi="Times New Roman"/>
          <w:i/>
        </w:rPr>
        <w:t>Il baratto amministrativo (o partenariato sociale)</w:t>
      </w:r>
      <w:r w:rsidR="006E02CE">
        <w:rPr>
          <w:rFonts w:ascii="Times New Roman" w:hAnsi="Times New Roman"/>
          <w:i/>
        </w:rPr>
        <w:t>,</w:t>
      </w:r>
      <w:r w:rsidRPr="00EC3974">
        <w:rPr>
          <w:rFonts w:ascii="Times New Roman" w:hAnsi="Times New Roman"/>
        </w:rPr>
        <w:t xml:space="preserve"> che ne sottolinea la non riconducibilità al parternariato pubblico privato contrattualizzato; Antonella Manz</w:t>
      </w:r>
      <w:r w:rsidR="006E02CE">
        <w:rPr>
          <w:rFonts w:ascii="Times New Roman" w:hAnsi="Times New Roman"/>
        </w:rPr>
        <w:t xml:space="preserve">ione, </w:t>
      </w:r>
      <w:r w:rsidR="006E02CE" w:rsidRPr="006E02CE">
        <w:rPr>
          <w:rFonts w:ascii="Times New Roman" w:hAnsi="Times New Roman"/>
          <w:i/>
        </w:rPr>
        <w:t>Dal b</w:t>
      </w:r>
      <w:r w:rsidRPr="006E02CE">
        <w:rPr>
          <w:rFonts w:ascii="Times New Roman" w:hAnsi="Times New Roman"/>
          <w:i/>
        </w:rPr>
        <w:t>aratto amministrativo al partenariato sociale e oltre nel solco della atipicità</w:t>
      </w:r>
      <w:r w:rsidRPr="00EC3974">
        <w:rPr>
          <w:rFonts w:ascii="Times New Roman" w:hAnsi="Times New Roman"/>
        </w:rPr>
        <w:t>, entramb</w:t>
      </w:r>
      <w:r w:rsidR="006E02CE">
        <w:rPr>
          <w:rFonts w:ascii="Times New Roman" w:hAnsi="Times New Roman"/>
        </w:rPr>
        <w:t>i</w:t>
      </w:r>
      <w:r w:rsidRPr="00EC3974">
        <w:rPr>
          <w:rFonts w:ascii="Times New Roman" w:hAnsi="Times New Roman"/>
        </w:rPr>
        <w:t xml:space="preserve"> in La co-città, Diritto urbano e politiche pubbliche per i beni comuni e la rigenerazione urbana, a cura di Paola Chirulli-Christian Iaione, Jovene editore, 2018.</w:t>
      </w:r>
    </w:p>
  </w:footnote>
  <w:footnote w:id="7">
    <w:p w:rsidR="00B84C50" w:rsidRPr="00EC3974" w:rsidRDefault="00B84C50" w:rsidP="00EC3974">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Art</w:t>
      </w:r>
      <w:r w:rsidR="00EC3974">
        <w:rPr>
          <w:rFonts w:ascii="Times New Roman" w:hAnsi="Times New Roman"/>
        </w:rPr>
        <w:t>.</w:t>
      </w:r>
      <w:r w:rsidRPr="00EC3974">
        <w:rPr>
          <w:rFonts w:ascii="Times New Roman" w:hAnsi="Times New Roman"/>
        </w:rPr>
        <w:t xml:space="preserve"> 151 del codice dei</w:t>
      </w:r>
      <w:r w:rsidR="00EC3974" w:rsidRPr="00EC3974">
        <w:rPr>
          <w:rFonts w:ascii="Times New Roman" w:hAnsi="Times New Roman"/>
        </w:rPr>
        <w:t xml:space="preserve"> contratti pubblici rubricato “</w:t>
      </w:r>
      <w:r w:rsidRPr="006E02CE">
        <w:rPr>
          <w:rFonts w:ascii="Times New Roman" w:hAnsi="Times New Roman"/>
          <w:i/>
        </w:rPr>
        <w:t>Sponsorizzazioni e forme speciali di partenariato</w:t>
      </w:r>
      <w:r w:rsidRPr="00EC3974">
        <w:rPr>
          <w:rFonts w:ascii="Times New Roman" w:hAnsi="Times New Roman"/>
        </w:rPr>
        <w:t>”, il cui ambito di appli</w:t>
      </w:r>
      <w:r w:rsidR="006E02CE">
        <w:rPr>
          <w:rFonts w:ascii="Times New Roman" w:hAnsi="Times New Roman"/>
        </w:rPr>
        <w:t xml:space="preserve">cazione è stato esteso dal d.l. </w:t>
      </w:r>
      <w:r w:rsidRPr="00EC3974">
        <w:rPr>
          <w:rFonts w:ascii="Times New Roman" w:hAnsi="Times New Roman"/>
        </w:rPr>
        <w:t>16 luglio 2020, n. 76 (c.d. “</w:t>
      </w:r>
      <w:r w:rsidRPr="006E02CE">
        <w:rPr>
          <w:rFonts w:ascii="Times New Roman" w:hAnsi="Times New Roman"/>
          <w:i/>
        </w:rPr>
        <w:t>decreto semplificazioni</w:t>
      </w:r>
      <w:r w:rsidRPr="00EC3974">
        <w:rPr>
          <w:rFonts w:ascii="Times New Roman" w:hAnsi="Times New Roman"/>
        </w:rPr>
        <w:t xml:space="preserve">”), convertito, con modificazioni, dalla </w:t>
      </w:r>
      <w:r w:rsidR="00EC3974" w:rsidRPr="00EC3974">
        <w:rPr>
          <w:rFonts w:ascii="Times New Roman" w:hAnsi="Times New Roman"/>
        </w:rPr>
        <w:t>l</w:t>
      </w:r>
      <w:r w:rsidRPr="00EC3974">
        <w:rPr>
          <w:rFonts w:ascii="Times New Roman" w:hAnsi="Times New Roman"/>
        </w:rPr>
        <w:t>. 11 settembre 2020, n. 120 con l’attribuzione agli enti locali, accanto allo Stato e alle regioni, della possibilità di attivare forme speciali di partenariato dirette a consentire il recupero, il restauro, la manutenzione programmata, la gestione, l'apertura alla pubblica fruizione e la valorizzazione di beni culturali immobili e con la previsione di procedure semplificate di individuazione del partner privato.</w:t>
      </w:r>
    </w:p>
  </w:footnote>
  <w:footnote w:id="8">
    <w:p w:rsidR="00400681" w:rsidRDefault="00400681" w:rsidP="00400681">
      <w:pPr>
        <w:pStyle w:val="Testonotaapidipagina"/>
      </w:pPr>
      <w:r>
        <w:rPr>
          <w:rStyle w:val="Rimandonotaapidipagina"/>
        </w:rPr>
        <w:footnoteRef/>
      </w:r>
      <w:r>
        <w:t xml:space="preserve"> </w:t>
      </w:r>
      <w:r w:rsidRPr="00EC3974">
        <w:rPr>
          <w:rFonts w:ascii="Times" w:hAnsi="Times"/>
        </w:rPr>
        <w:t>Libro verde della Commissione europea relativo ai partenariati pubblico-privati e al diritto comunitario degli appalti pubblici e delle concessioni del 30 aprile 2004.</w:t>
      </w:r>
    </w:p>
  </w:footnote>
  <w:footnote w:id="9">
    <w:p w:rsidR="00B84C50" w:rsidRPr="00EC3974" w:rsidRDefault="00B84C50" w:rsidP="00EC3974">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 xml:space="preserve">Massimo Ricchi, </w:t>
      </w:r>
      <w:r w:rsidR="00EC3974" w:rsidRPr="006E02CE">
        <w:rPr>
          <w:rFonts w:ascii="Times New Roman" w:hAnsi="Times New Roman"/>
          <w:i/>
        </w:rPr>
        <w:t>L’a</w:t>
      </w:r>
      <w:r w:rsidRPr="006E02CE">
        <w:rPr>
          <w:rFonts w:ascii="Times New Roman" w:hAnsi="Times New Roman"/>
          <w:i/>
        </w:rPr>
        <w:t>rchitettura dei Contratti di Concessione e di PPP nel Nuovo Codice dei Contratti Pubblici D.Lgs. 50/2016</w:t>
      </w:r>
      <w:r w:rsidRPr="00EC3974">
        <w:rPr>
          <w:rFonts w:ascii="Times New Roman" w:hAnsi="Times New Roman"/>
        </w:rPr>
        <w:t xml:space="preserve">, in </w:t>
      </w:r>
      <w:r w:rsidR="006E02CE" w:rsidRPr="006E02CE">
        <w:rPr>
          <w:rFonts w:ascii="Times New Roman" w:hAnsi="Times New Roman"/>
          <w:i/>
        </w:rPr>
        <w:t>www.giustizia-ammini</w:t>
      </w:r>
      <w:r w:rsidR="006E02CE">
        <w:rPr>
          <w:rFonts w:ascii="Times New Roman" w:hAnsi="Times New Roman"/>
          <w:i/>
        </w:rPr>
        <w:t>s</w:t>
      </w:r>
      <w:r w:rsidR="006E02CE" w:rsidRPr="006E02CE">
        <w:rPr>
          <w:rFonts w:ascii="Times New Roman" w:hAnsi="Times New Roman"/>
          <w:i/>
        </w:rPr>
        <w:t>trativa.it</w:t>
      </w:r>
      <w:r w:rsidRPr="006E02CE">
        <w:rPr>
          <w:rFonts w:ascii="Times New Roman" w:hAnsi="Times New Roman"/>
        </w:rPr>
        <w:t>,</w:t>
      </w:r>
      <w:r w:rsidRPr="00EC3974">
        <w:rPr>
          <w:rFonts w:ascii="Times New Roman" w:hAnsi="Times New Roman"/>
        </w:rPr>
        <w:t xml:space="preserve"> che sottolinea la confusione, nell’ambito dell’art</w:t>
      </w:r>
      <w:r w:rsidR="006E02CE">
        <w:rPr>
          <w:rFonts w:ascii="Times New Roman" w:hAnsi="Times New Roman"/>
        </w:rPr>
        <w:t>.</w:t>
      </w:r>
      <w:r w:rsidRPr="00EC3974">
        <w:rPr>
          <w:rFonts w:ascii="Times New Roman" w:hAnsi="Times New Roman"/>
        </w:rPr>
        <w:t xml:space="preserve"> 180 d.lgs 50/2016 tra procedimenti e contratti laddove la finanza di progetto, disciplinata nell’art. 183 del Codice, è un procedimento di individuazione dell’affidatario e non un contratto</w:t>
      </w:r>
      <w:r w:rsidR="006E02CE">
        <w:rPr>
          <w:rFonts w:ascii="Times New Roman" w:hAnsi="Times New Roman"/>
        </w:rPr>
        <w:t>.</w:t>
      </w:r>
    </w:p>
  </w:footnote>
  <w:footnote w:id="10">
    <w:p w:rsidR="00B84C50" w:rsidRPr="00EC3974" w:rsidRDefault="00B84C50" w:rsidP="00EC3974">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Stefano Fantini, </w:t>
      </w:r>
      <w:r w:rsidRPr="006E02CE">
        <w:rPr>
          <w:rFonts w:ascii="Times New Roman" w:hAnsi="Times New Roman"/>
          <w:i/>
        </w:rPr>
        <w:t>Il partenariato pubblico privato con particolare riguardo al project financing e al contratto di disponibilità</w:t>
      </w:r>
      <w:r w:rsidRPr="00EC3974">
        <w:rPr>
          <w:rFonts w:ascii="Times New Roman" w:hAnsi="Times New Roman"/>
        </w:rPr>
        <w:t xml:space="preserve">, in </w:t>
      </w:r>
      <w:r w:rsidR="006E02CE">
        <w:rPr>
          <w:rFonts w:ascii="Times New Roman" w:hAnsi="Times New Roman"/>
          <w:i/>
        </w:rPr>
        <w:t>www.giustizia-amministra</w:t>
      </w:r>
      <w:r w:rsidRPr="006E02CE">
        <w:rPr>
          <w:rFonts w:ascii="Times New Roman" w:hAnsi="Times New Roman"/>
          <w:i/>
        </w:rPr>
        <w:t>tiva.it</w:t>
      </w:r>
    </w:p>
  </w:footnote>
  <w:footnote w:id="11">
    <w:p w:rsidR="00B84C50" w:rsidRPr="00EC3974" w:rsidRDefault="00B84C50" w:rsidP="00EC3974">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Cons</w:t>
      </w:r>
      <w:r w:rsidR="00EC3974" w:rsidRPr="00EC3974">
        <w:rPr>
          <w:rFonts w:ascii="Times New Roman" w:hAnsi="Times New Roman"/>
        </w:rPr>
        <w:t>.</w:t>
      </w:r>
      <w:r w:rsidRPr="00EC3974">
        <w:rPr>
          <w:rFonts w:ascii="Times New Roman" w:hAnsi="Times New Roman"/>
        </w:rPr>
        <w:t xml:space="preserve"> Stato, parere della Commissione speciale n. 855 del 21 marzo 2016 reso sullo schema di decreto legislativo recante "</w:t>
      </w:r>
      <w:r w:rsidRPr="00AB4075">
        <w:rPr>
          <w:rFonts w:ascii="Times New Roman" w:hAnsi="Times New Roman"/>
          <w:i/>
        </w:rPr>
        <w:t>Codice degli appalti pubblici e dei contratti di concessione</w:t>
      </w:r>
      <w:r w:rsidR="00AB4075">
        <w:rPr>
          <w:rFonts w:ascii="Times New Roman" w:hAnsi="Times New Roman"/>
        </w:rPr>
        <w:t>”</w:t>
      </w:r>
      <w:r w:rsidRPr="00EC3974">
        <w:rPr>
          <w:rFonts w:ascii="Times New Roman" w:hAnsi="Times New Roman"/>
        </w:rPr>
        <w:t>; Consiglio di Stato, Adunanza della Commissione speciale, parere 29/3/2017 n. 775, cit.</w:t>
      </w:r>
    </w:p>
  </w:footnote>
  <w:footnote w:id="12">
    <w:p w:rsidR="00B84C50" w:rsidRPr="00EC3974" w:rsidRDefault="00B84C50" w:rsidP="00106449">
      <w:pPr>
        <w:pStyle w:val="Testonotaapidipagina"/>
        <w:rPr>
          <w:rFonts w:ascii="Times New Roman" w:hAnsi="Times New Roman"/>
        </w:rPr>
      </w:pPr>
      <w:r>
        <w:rPr>
          <w:rStyle w:val="Rimandonotaapidipagina"/>
        </w:rPr>
        <w:footnoteRef/>
      </w:r>
      <w:r w:rsidRPr="00EC3974">
        <w:rPr>
          <w:rFonts w:ascii="Times New Roman" w:hAnsi="Times New Roman"/>
        </w:rPr>
        <w:t>Consiglio di Stato, parere della Commissione speciale 29/03/2017 n. 775, cit.</w:t>
      </w:r>
    </w:p>
  </w:footnote>
  <w:footnote w:id="13">
    <w:p w:rsidR="00B84C50" w:rsidRPr="00EC3974" w:rsidRDefault="00B84C50" w:rsidP="007D768B">
      <w:pPr>
        <w:pStyle w:val="Testonotaapidipagina"/>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Cons</w:t>
      </w:r>
      <w:r w:rsidR="00EC3974" w:rsidRPr="00EC3974">
        <w:rPr>
          <w:rFonts w:ascii="Times New Roman" w:hAnsi="Times New Roman"/>
        </w:rPr>
        <w:t>.</w:t>
      </w:r>
      <w:r w:rsidRPr="00EC3974">
        <w:rPr>
          <w:rFonts w:ascii="Times New Roman" w:hAnsi="Times New Roman"/>
        </w:rPr>
        <w:t xml:space="preserve"> Stato sez</w:t>
      </w:r>
      <w:r w:rsidR="00AB4075">
        <w:rPr>
          <w:rFonts w:ascii="Times New Roman" w:hAnsi="Times New Roman"/>
        </w:rPr>
        <w:t xml:space="preserve">. V, 13 aprile </w:t>
      </w:r>
      <w:r w:rsidRPr="00EC3974">
        <w:rPr>
          <w:rFonts w:ascii="Times New Roman" w:hAnsi="Times New Roman"/>
        </w:rPr>
        <w:t>2022 n. 2809</w:t>
      </w:r>
      <w:r w:rsidR="00EC3974" w:rsidRPr="00EC3974">
        <w:rPr>
          <w:rFonts w:ascii="Times New Roman" w:hAnsi="Times New Roman"/>
        </w:rPr>
        <w:t>.</w:t>
      </w:r>
    </w:p>
  </w:footnote>
  <w:footnote w:id="14">
    <w:p w:rsidR="00B84C50" w:rsidRPr="00EC3974" w:rsidRDefault="00B84C50">
      <w:pPr>
        <w:pStyle w:val="Testonotaapidipagina"/>
        <w:rPr>
          <w:rFonts w:ascii="Times New Roman" w:hAnsi="Times New Roman"/>
        </w:rPr>
      </w:pPr>
      <w:r>
        <w:rPr>
          <w:rStyle w:val="Rimandonotaapidipagina"/>
        </w:rPr>
        <w:footnoteRef/>
      </w:r>
      <w:r>
        <w:t xml:space="preserve"> </w:t>
      </w:r>
      <w:r w:rsidRPr="00AB4075">
        <w:rPr>
          <w:rFonts w:ascii="Times New Roman" w:hAnsi="Times New Roman"/>
        </w:rPr>
        <w:t>SEC 2010 nella versione approvata dal Parlamento e dal Consiglio europeo con il Regolamento n. 549/2013</w:t>
      </w:r>
      <w:r w:rsidR="00EC3974" w:rsidRPr="00AB4075">
        <w:rPr>
          <w:rFonts w:ascii="Times New Roman" w:hAnsi="Times New Roman"/>
        </w:rPr>
        <w:t>.</w:t>
      </w:r>
    </w:p>
  </w:footnote>
  <w:footnote w:id="15">
    <w:p w:rsidR="00996022" w:rsidRPr="00EC3974" w:rsidRDefault="00996022">
      <w:pPr>
        <w:pStyle w:val="Testonotaapidipagina"/>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Corte di Giustizia, 15/10/2009, sentenza C-196/08</w:t>
      </w:r>
      <w:r w:rsidRPr="00AB4075">
        <w:rPr>
          <w:rFonts w:ascii="Times New Roman" w:hAnsi="Times New Roman"/>
          <w:i/>
        </w:rPr>
        <w:t>, Acoset S.p.A.</w:t>
      </w:r>
      <w:r w:rsidRPr="00EC3974">
        <w:rPr>
          <w:rFonts w:ascii="Times New Roman" w:hAnsi="Times New Roman"/>
        </w:rPr>
        <w:t xml:space="preserve"> punto 39.</w:t>
      </w:r>
    </w:p>
  </w:footnote>
  <w:footnote w:id="16">
    <w:p w:rsidR="00B84C50" w:rsidRPr="00EC3974" w:rsidRDefault="00B84C50" w:rsidP="00EC3974">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 xml:space="preserve">Consiglio </w:t>
      </w:r>
      <w:r w:rsidRPr="00AB4075">
        <w:rPr>
          <w:rFonts w:ascii="Times New Roman" w:hAnsi="Times New Roman"/>
        </w:rPr>
        <w:t xml:space="preserve">di Stato, </w:t>
      </w:r>
      <w:r w:rsidRPr="00EC3974">
        <w:rPr>
          <w:rFonts w:ascii="Times New Roman" w:hAnsi="Times New Roman"/>
        </w:rPr>
        <w:t xml:space="preserve">Adunanza della Commissione </w:t>
      </w:r>
      <w:r w:rsidRPr="00AB4075">
        <w:rPr>
          <w:rFonts w:ascii="Times New Roman" w:hAnsi="Times New Roman"/>
        </w:rPr>
        <w:t>speciale parere</w:t>
      </w:r>
      <w:r w:rsidRPr="00EC3974">
        <w:rPr>
          <w:rFonts w:ascii="Times New Roman" w:hAnsi="Times New Roman"/>
        </w:rPr>
        <w:t xml:space="preserve"> 775/2017, cit.</w:t>
      </w:r>
    </w:p>
  </w:footnote>
  <w:footnote w:id="17">
    <w:p w:rsidR="00B84C50" w:rsidRPr="00EC3974" w:rsidRDefault="00B84C50" w:rsidP="00EC3974">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Il rischio può ritenersi allocato al </w:t>
      </w:r>
      <w:r w:rsidRPr="00AB4075">
        <w:rPr>
          <w:rFonts w:ascii="Times New Roman" w:hAnsi="Times New Roman"/>
          <w:i/>
        </w:rPr>
        <w:t xml:space="preserve">partner </w:t>
      </w:r>
      <w:r w:rsidRPr="00EC3974">
        <w:rPr>
          <w:rFonts w:ascii="Times New Roman" w:hAnsi="Times New Roman"/>
        </w:rPr>
        <w:t>privato se il soggetto pubblico corrispond</w:t>
      </w:r>
      <w:r w:rsidR="00AB4075">
        <w:rPr>
          <w:rFonts w:ascii="Times New Roman" w:hAnsi="Times New Roman"/>
        </w:rPr>
        <w:t>a</w:t>
      </w:r>
      <w:r w:rsidRPr="00EC3974">
        <w:rPr>
          <w:rFonts w:ascii="Times New Roman" w:hAnsi="Times New Roman"/>
        </w:rPr>
        <w:t xml:space="preserve"> quanto contrattualmente stabilito o ripiani ogni costo aggiuntivo previa verifica dello stato di avanzamento effettivo della realizzazione dell’infrastruttura e dei fattori che hanno determinato sovraccosti o allungamenti dei tempi di realizzazione: cfr. Cons</w:t>
      </w:r>
      <w:r w:rsidR="00AB4075">
        <w:rPr>
          <w:rFonts w:ascii="Times New Roman" w:hAnsi="Times New Roman"/>
        </w:rPr>
        <w:t>.</w:t>
      </w:r>
      <w:r w:rsidRPr="00EC3974">
        <w:rPr>
          <w:rFonts w:ascii="Times New Roman" w:hAnsi="Times New Roman"/>
        </w:rPr>
        <w:t xml:space="preserve"> Stato parere 775/2017, cit.</w:t>
      </w:r>
    </w:p>
  </w:footnote>
  <w:footnote w:id="18">
    <w:p w:rsidR="00B84C50" w:rsidRDefault="00B84C50" w:rsidP="00EC3974">
      <w:pPr>
        <w:pStyle w:val="Testonotaapidipagina"/>
        <w:jc w:val="both"/>
      </w:pPr>
      <w:r>
        <w:rPr>
          <w:rStyle w:val="Rimandonotaapidipagina"/>
        </w:rPr>
        <w:footnoteRef/>
      </w:r>
      <w:r>
        <w:t xml:space="preserve"> </w:t>
      </w:r>
      <w:r w:rsidRPr="00EC3974">
        <w:rPr>
          <w:rFonts w:ascii="Times New Roman" w:hAnsi="Times New Roman"/>
        </w:rPr>
        <w:t>Con Stato, sez</w:t>
      </w:r>
      <w:r w:rsidR="00AB4075">
        <w:rPr>
          <w:rFonts w:ascii="Times New Roman" w:hAnsi="Times New Roman"/>
        </w:rPr>
        <w:t>.</w:t>
      </w:r>
      <w:r w:rsidRPr="00EC3974">
        <w:rPr>
          <w:rFonts w:ascii="Times New Roman" w:hAnsi="Times New Roman"/>
        </w:rPr>
        <w:t xml:space="preserve"> </w:t>
      </w:r>
      <w:r w:rsidR="00AB4075">
        <w:rPr>
          <w:rFonts w:ascii="Times New Roman" w:hAnsi="Times New Roman"/>
        </w:rPr>
        <w:t xml:space="preserve">I, </w:t>
      </w:r>
      <w:r w:rsidRPr="00EC3974">
        <w:rPr>
          <w:rFonts w:ascii="Times New Roman" w:hAnsi="Times New Roman"/>
        </w:rPr>
        <w:t xml:space="preserve"> parere n. 823/2020 cit.</w:t>
      </w:r>
    </w:p>
  </w:footnote>
  <w:footnote w:id="19">
    <w:p w:rsidR="00B84C50" w:rsidRPr="00EC3974" w:rsidRDefault="00B84C50" w:rsidP="00EC3974">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Le linee guida ANAC recanti “</w:t>
      </w:r>
      <w:r w:rsidRPr="00EC3974">
        <w:rPr>
          <w:rFonts w:ascii="Times New Roman" w:hAnsi="Times New Roman"/>
          <w:i/>
        </w:rPr>
        <w:t>Monitoraggio delle amministrazioni aggiudicatrici sull’attività dell’operatore economico nei contratti di partenariato pubblico privato</w:t>
      </w:r>
      <w:r w:rsidRPr="00EC3974">
        <w:rPr>
          <w:rFonts w:ascii="Times New Roman" w:hAnsi="Times New Roman"/>
        </w:rPr>
        <w:t>”, adottate ai sensi dell’art</w:t>
      </w:r>
      <w:r w:rsidR="00AB4075">
        <w:rPr>
          <w:rFonts w:ascii="Times New Roman" w:hAnsi="Times New Roman"/>
        </w:rPr>
        <w:t>.</w:t>
      </w:r>
      <w:r w:rsidRPr="00EC3974">
        <w:rPr>
          <w:rFonts w:ascii="Times New Roman" w:hAnsi="Times New Roman"/>
        </w:rPr>
        <w:t xml:space="preserve"> 181 comma 4 del codice, introducono, accanto al piano economico finanziario, anche la matrice dei rischi, di cui il Consiglio di Stato</w:t>
      </w:r>
      <w:r w:rsidR="00AB4075">
        <w:rPr>
          <w:rFonts w:ascii="Times New Roman" w:hAnsi="Times New Roman"/>
        </w:rPr>
        <w:t>,</w:t>
      </w:r>
      <w:r w:rsidRPr="00EC3974">
        <w:rPr>
          <w:rFonts w:ascii="Times New Roman" w:hAnsi="Times New Roman"/>
        </w:rPr>
        <w:t xml:space="preserve"> nel già citato parere 775/2017</w:t>
      </w:r>
      <w:r w:rsidR="00AB4075">
        <w:rPr>
          <w:rFonts w:ascii="Times New Roman" w:hAnsi="Times New Roman"/>
        </w:rPr>
        <w:t>,</w:t>
      </w:r>
      <w:r w:rsidRPr="00EC3974">
        <w:rPr>
          <w:rFonts w:ascii="Times New Roman" w:hAnsi="Times New Roman"/>
        </w:rPr>
        <w:t xml:space="preserve"> ha confermato la compatibilità con la norma primaria (art. 181 comma 3) e con la configurazione dello strumento del PPP come economico, prima ancora che giuridico.</w:t>
      </w:r>
    </w:p>
  </w:footnote>
  <w:footnote w:id="20">
    <w:p w:rsidR="00B84C50" w:rsidRPr="00EC3974" w:rsidRDefault="00B84C50" w:rsidP="00EC3974">
      <w:pPr>
        <w:pStyle w:val="Testonotaapidipagina"/>
        <w:jc w:val="both"/>
        <w:rPr>
          <w:rFonts w:ascii="Times New Roman" w:hAnsi="Times New Roman"/>
        </w:rPr>
      </w:pPr>
      <w:r w:rsidRPr="00EC3974">
        <w:rPr>
          <w:rStyle w:val="Rimandonotaapidipagina"/>
          <w:rFonts w:ascii="Times New Roman" w:hAnsi="Times New Roman"/>
        </w:rPr>
        <w:footnoteRef/>
      </w:r>
      <w:r w:rsidR="00EC3974" w:rsidRPr="00EC3974">
        <w:rPr>
          <w:rFonts w:ascii="Times New Roman" w:hAnsi="Times New Roman"/>
        </w:rPr>
        <w:t xml:space="preserve"> </w:t>
      </w:r>
      <w:r w:rsidRPr="00EC3974">
        <w:rPr>
          <w:rFonts w:ascii="Times New Roman" w:hAnsi="Times New Roman"/>
        </w:rPr>
        <w:t xml:space="preserve">Cons Stato </w:t>
      </w:r>
      <w:r w:rsidR="00AB4075">
        <w:rPr>
          <w:rFonts w:ascii="Times New Roman" w:hAnsi="Times New Roman"/>
        </w:rPr>
        <w:t xml:space="preserve">sez. </w:t>
      </w:r>
      <w:r w:rsidRPr="00EC3974">
        <w:rPr>
          <w:rFonts w:ascii="Times New Roman" w:hAnsi="Times New Roman"/>
        </w:rPr>
        <w:t>III, 16 gennaio 2017, n.116.</w:t>
      </w:r>
    </w:p>
  </w:footnote>
  <w:footnote w:id="21">
    <w:p w:rsidR="00B84C50" w:rsidRPr="00EC3974" w:rsidRDefault="00B84C50" w:rsidP="00EC3974">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Cons. Stato, sez. V, 10 febbraio 2020 n. 1005.</w:t>
      </w:r>
    </w:p>
  </w:footnote>
  <w:footnote w:id="22">
    <w:p w:rsidR="00B84C50" w:rsidRPr="00EC3974" w:rsidRDefault="00B84C50">
      <w:pPr>
        <w:pStyle w:val="Testonotaapidipagina"/>
        <w:rPr>
          <w:rFonts w:ascii="Times New Roman" w:hAnsi="Times New Roman"/>
        </w:rPr>
      </w:pPr>
      <w:r>
        <w:rPr>
          <w:rStyle w:val="Rimandonotaapidipagina"/>
        </w:rPr>
        <w:footnoteRef/>
      </w:r>
      <w:r>
        <w:t xml:space="preserve"> </w:t>
      </w:r>
      <w:r w:rsidR="00EC3974" w:rsidRPr="00EC3974">
        <w:rPr>
          <w:rFonts w:ascii="Times New Roman" w:hAnsi="Times New Roman"/>
        </w:rPr>
        <w:t xml:space="preserve">Cons Stato sez. </w:t>
      </w:r>
      <w:r w:rsidRPr="00EC3974">
        <w:rPr>
          <w:rFonts w:ascii="Times New Roman" w:hAnsi="Times New Roman"/>
        </w:rPr>
        <w:t>V, 13 aprile 2022 n. 2809</w:t>
      </w:r>
      <w:r w:rsidR="00EC3974" w:rsidRPr="00EC3974">
        <w:rPr>
          <w:rFonts w:ascii="Times New Roman" w:hAnsi="Times New Roman"/>
        </w:rPr>
        <w:t>.</w:t>
      </w:r>
    </w:p>
  </w:footnote>
  <w:footnote w:id="23">
    <w:p w:rsidR="00B84C50" w:rsidRPr="00EC3974" w:rsidRDefault="00B84C50" w:rsidP="00017E8D">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L’alterazione dell’equilibrio economico finanziario per fatti non riconducibili al privato, specificatamente indicati nel contratto, può determinare la revisione del PEF, da attuare mediante la rideterminazione delle condizioni di equilibrio (artt. 165 comma 6 e 182 comma 3). Proprio la prospettiva di medio e lungo periodo della durata del contratto può, infatti, rendere necessario un riequilibrio del PEF al fine di assicurane la sostenibilità originaria. La revisione deve consentire la permanenza dei rischi trasferiti in capo all'operatore economico e delle condizioni di equilibrio economico finanziario relative al contratto. </w:t>
      </w:r>
    </w:p>
  </w:footnote>
  <w:footnote w:id="24">
    <w:p w:rsidR="00B84C50" w:rsidRPr="00EC3974" w:rsidRDefault="00B84C50" w:rsidP="00017E8D">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 xml:space="preserve">Domenico Siclari, </w:t>
      </w:r>
      <w:r w:rsidR="00AB4075">
        <w:rPr>
          <w:rFonts w:ascii="Times New Roman" w:hAnsi="Times New Roman"/>
          <w:i/>
        </w:rPr>
        <w:t>Il r</w:t>
      </w:r>
      <w:r w:rsidRPr="00AB4075">
        <w:rPr>
          <w:rFonts w:ascii="Times New Roman" w:hAnsi="Times New Roman"/>
          <w:i/>
        </w:rPr>
        <w:t>uolo del partenariato pubblico-privato alla luce del PNRR</w:t>
      </w:r>
      <w:r w:rsidRPr="00EC3974">
        <w:rPr>
          <w:rFonts w:ascii="Times New Roman" w:hAnsi="Times New Roman"/>
        </w:rPr>
        <w:t>, cit.</w:t>
      </w:r>
    </w:p>
  </w:footnote>
  <w:footnote w:id="25">
    <w:p w:rsidR="009E6047" w:rsidRDefault="009E6047" w:rsidP="009E6047">
      <w:pPr>
        <w:pStyle w:val="Testonotaapidipagina"/>
        <w:jc w:val="both"/>
      </w:pPr>
      <w:r w:rsidRPr="00EC3974">
        <w:rPr>
          <w:rStyle w:val="Rimandonotaapidipagina"/>
          <w:rFonts w:ascii="Times New Roman" w:hAnsi="Times New Roman"/>
        </w:rPr>
        <w:footnoteRef/>
      </w:r>
      <w:r w:rsidRPr="00EC3974">
        <w:rPr>
          <w:rFonts w:ascii="Times New Roman" w:hAnsi="Times New Roman"/>
        </w:rPr>
        <w:t xml:space="preserve"> Nella allegata “guida operativa” si precisa che lo schema di contratto è stato strutturato con riferimento a una Operazione di Partenariato Pubblico-Privato (PPP), aggiudicata sulla base di un progetto definitivo, nella quale, a fronte di prestazioni rese dal concessionario, l’Amministrazione concedente paga un canone di disponibilità dell’opera, canoni per i servizi accessori e, ove previsto, un contributo pubblico a titolo di prezzo dei lavori realizzati ai sensi degli artt. 165, comma 2 e 180, comma 6, del Codice dei contratti pubblici e che si è ritenuto preferibile elaborare uno Schema di contratto di concessione per contratti di PPP a tariffazione sulla P.A. in considerazione della necessità di allocare correttamente, a livello giuridico, i rischi propri delle Operazioni di PPP, nel rispetto dei principi della Direttiva 2014/23/UE, delle indicazioni fornite da Eurostat per la contabilizzazione fuori bilancio delle medesime Operazioni nonché delle previsioni del Codice dei contratti pubblici</w:t>
      </w:r>
      <w:r w:rsidRPr="009E6047">
        <w:t>.</w:t>
      </w:r>
    </w:p>
  </w:footnote>
  <w:footnote w:id="26">
    <w:p w:rsidR="00B84C50" w:rsidRDefault="00B84C50">
      <w:pPr>
        <w:pStyle w:val="Testonotaapidipagina"/>
      </w:pPr>
      <w:r>
        <w:rPr>
          <w:rStyle w:val="Rimandonotaapidipagina"/>
        </w:rPr>
        <w:footnoteRef/>
      </w:r>
      <w:r>
        <w:t xml:space="preserve"> </w:t>
      </w:r>
      <w:r w:rsidRPr="00EC3974">
        <w:rPr>
          <w:rFonts w:ascii="Times New Roman" w:hAnsi="Times New Roman"/>
        </w:rPr>
        <w:t>PNRR pag. 122.</w:t>
      </w:r>
    </w:p>
  </w:footnote>
  <w:footnote w:id="27">
    <w:p w:rsidR="00B84C50" w:rsidRPr="00EC3974" w:rsidRDefault="00B84C50" w:rsidP="00EC3974">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Cons. Stato sez. V, 21 febbraio 2020 n.1327.</w:t>
      </w:r>
    </w:p>
  </w:footnote>
  <w:footnote w:id="28">
    <w:p w:rsidR="00B84C50" w:rsidRPr="00EC3974" w:rsidRDefault="00B84C50" w:rsidP="0087098D">
      <w:pPr>
        <w:pStyle w:val="Testonotaapidipagina"/>
        <w:rPr>
          <w:rFonts w:ascii="Times New Roman" w:hAnsi="Times New Roman"/>
        </w:rPr>
      </w:pPr>
      <w:r>
        <w:rPr>
          <w:rStyle w:val="Rimandonotaapidipagina"/>
        </w:rPr>
        <w:footnoteRef/>
      </w:r>
      <w:r w:rsidR="00C425D4">
        <w:t xml:space="preserve">  </w:t>
      </w:r>
      <w:r w:rsidR="00C425D4" w:rsidRPr="00EC3974">
        <w:rPr>
          <w:rFonts w:ascii="Times New Roman" w:hAnsi="Times New Roman"/>
        </w:rPr>
        <w:t>A</w:t>
      </w:r>
      <w:r w:rsidRPr="00EC3974">
        <w:rPr>
          <w:rFonts w:ascii="Times New Roman" w:hAnsi="Times New Roman"/>
        </w:rPr>
        <w:t xml:space="preserve">rt. 8, comma 5, lett. d), nn. 1) e 2), D.L. 16 luglio 2020, n. 76, convertito, con modificazioni, dalla L. 11 settembre 2020, n. 120 </w:t>
      </w:r>
    </w:p>
  </w:footnote>
  <w:footnote w:id="29">
    <w:p w:rsidR="00B84C50" w:rsidRDefault="00B84C50" w:rsidP="00CF794C">
      <w:pPr>
        <w:pStyle w:val="Testonotaapidipagina"/>
        <w:jc w:val="both"/>
      </w:pPr>
      <w:r w:rsidRPr="00EC3974">
        <w:rPr>
          <w:rStyle w:val="Rimandonotaapidipagina"/>
          <w:rFonts w:ascii="Times New Roman" w:hAnsi="Times New Roman"/>
        </w:rPr>
        <w:footnoteRef/>
      </w:r>
      <w:r w:rsidRPr="00EC3974">
        <w:rPr>
          <w:rFonts w:ascii="Times New Roman" w:hAnsi="Times New Roman"/>
        </w:rPr>
        <w:t xml:space="preserve"> La relazione illustrativa al decreto precisa che con la novella si intende "</w:t>
      </w:r>
      <w:r w:rsidRPr="00AB4075">
        <w:rPr>
          <w:rFonts w:ascii="Times New Roman" w:hAnsi="Times New Roman"/>
          <w:i/>
        </w:rPr>
        <w:t>assicurare la migliore fattibilità dei progetti ovvero rimediare alla potenziale inerzia dell’amministrazione</w:t>
      </w:r>
      <w:r w:rsidRPr="00EC3974">
        <w:rPr>
          <w:rFonts w:ascii="Times New Roman" w:hAnsi="Times New Roman"/>
        </w:rPr>
        <w:t>" riguardo alla possibilità che i progetti già inseriti negli strumenti di programmazione non siano pienamente adeguati o, se adeguati, potrebbero non essere messi a gara per inerzia. La novella prevede</w:t>
      </w:r>
      <w:r w:rsidR="00AB4075">
        <w:rPr>
          <w:rFonts w:ascii="Times New Roman" w:hAnsi="Times New Roman"/>
        </w:rPr>
        <w:t>,</w:t>
      </w:r>
      <w:r w:rsidRPr="00EC3974">
        <w:rPr>
          <w:rFonts w:ascii="Times New Roman" w:hAnsi="Times New Roman"/>
        </w:rPr>
        <w:t xml:space="preserve"> quindi</w:t>
      </w:r>
      <w:r w:rsidR="00AB4075">
        <w:rPr>
          <w:rFonts w:ascii="Times New Roman" w:hAnsi="Times New Roman"/>
        </w:rPr>
        <w:t>,</w:t>
      </w:r>
      <w:r w:rsidRPr="00EC3974">
        <w:rPr>
          <w:rFonts w:ascii="Times New Roman" w:hAnsi="Times New Roman"/>
        </w:rPr>
        <w:t xml:space="preserve"> la possibilità di presentare progetti "</w:t>
      </w:r>
      <w:r w:rsidRPr="00AB4075">
        <w:rPr>
          <w:rFonts w:ascii="Times New Roman" w:hAnsi="Times New Roman"/>
          <w:i/>
        </w:rPr>
        <w:t>alternativi, migliorati e affinati</w:t>
      </w:r>
      <w:r w:rsidRPr="00EC3974">
        <w:rPr>
          <w:rFonts w:ascii="Times New Roman" w:hAnsi="Times New Roman"/>
        </w:rPr>
        <w:t>" rispetto a quelli già previsti dai citati strumenti. Tale disposizione, continua la relazione, "</w:t>
      </w:r>
      <w:r w:rsidRPr="00AB4075">
        <w:rPr>
          <w:rFonts w:ascii="Times New Roman" w:hAnsi="Times New Roman"/>
          <w:i/>
        </w:rPr>
        <w:t>amplia così l’ambito applicativo dell’istituto del promotore, valorizzando gli strumenti di partenariato pubblico privato nella prospettiva di una più efficiente infrastrutturazione del Paese</w:t>
      </w:r>
      <w:r w:rsidRPr="00EC3974">
        <w:rPr>
          <w:rFonts w:ascii="Times New Roman" w:hAnsi="Times New Roman"/>
        </w:rPr>
        <w:t>".</w:t>
      </w:r>
    </w:p>
  </w:footnote>
  <w:footnote w:id="30">
    <w:p w:rsidR="00B84C50" w:rsidRPr="00EC3974" w:rsidRDefault="00B84C50" w:rsidP="00CF794C">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Cons</w:t>
      </w:r>
      <w:r w:rsidR="00EC3974" w:rsidRPr="00EC3974">
        <w:rPr>
          <w:rFonts w:ascii="Times New Roman" w:hAnsi="Times New Roman"/>
        </w:rPr>
        <w:t>.</w:t>
      </w:r>
      <w:r w:rsidRPr="00EC3974">
        <w:rPr>
          <w:rFonts w:ascii="Times New Roman" w:hAnsi="Times New Roman"/>
        </w:rPr>
        <w:t xml:space="preserve"> Stato sez. V, 14 gennaio 2022 n. 263. La giurisprudenza si è occupata anche dell’accesso difensivo agli atti alla base del progetto di fattibilità, in particolare PEF e documentazione tecnica</w:t>
      </w:r>
      <w:r w:rsidR="00AB4075">
        <w:rPr>
          <w:rFonts w:ascii="Times New Roman" w:hAnsi="Times New Roman"/>
        </w:rPr>
        <w:t>,</w:t>
      </w:r>
      <w:r w:rsidRPr="00EC3974">
        <w:rPr>
          <w:rFonts w:ascii="Times New Roman" w:hAnsi="Times New Roman"/>
        </w:rPr>
        <w:t xml:space="preserve"> in relazione ad un giudizio per l’annullamento della deliberazione di giunta comunale di dichiarazione di interesse pubblico della proposta di partenariato pubblico privato formulata ai sensi dell'art. 183, comma 15 del codice per la realizzazione di un nuovo plesso scolastico mediante accorpa</w:t>
      </w:r>
      <w:r w:rsidR="00AB4075">
        <w:rPr>
          <w:rFonts w:ascii="Times New Roman" w:hAnsi="Times New Roman"/>
        </w:rPr>
        <w:t>mento delle scuole dell'obbligo</w:t>
      </w:r>
      <w:r w:rsidRPr="00EC3974">
        <w:rPr>
          <w:rFonts w:ascii="Times New Roman" w:hAnsi="Times New Roman"/>
        </w:rPr>
        <w:t>: Cons. Stato, sez. V, 14 gennaio 2022 n. 263.</w:t>
      </w:r>
    </w:p>
  </w:footnote>
  <w:footnote w:id="31">
    <w:p w:rsidR="00121E6B" w:rsidRPr="00EC3974" w:rsidRDefault="00121E6B">
      <w:pPr>
        <w:pStyle w:val="Testonotaapidipagina"/>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G.P</w:t>
      </w:r>
      <w:r w:rsidR="00EC3974" w:rsidRPr="00EC3974">
        <w:rPr>
          <w:rFonts w:ascii="Times New Roman" w:hAnsi="Times New Roman"/>
        </w:rPr>
        <w:t>.</w:t>
      </w:r>
      <w:r w:rsidR="00AB4075">
        <w:rPr>
          <w:rFonts w:ascii="Times New Roman" w:hAnsi="Times New Roman"/>
        </w:rPr>
        <w:t xml:space="preserve"> Cirillo, </w:t>
      </w:r>
      <w:r w:rsidR="00AB4075" w:rsidRPr="00AB4075">
        <w:rPr>
          <w:rFonts w:ascii="Times New Roman" w:hAnsi="Times New Roman"/>
          <w:i/>
        </w:rPr>
        <w:t>M</w:t>
      </w:r>
      <w:r w:rsidRPr="00AB4075">
        <w:rPr>
          <w:rFonts w:ascii="Times New Roman" w:hAnsi="Times New Roman"/>
          <w:i/>
        </w:rPr>
        <w:t>odelli societari e organizzazione dei servizi pubblici</w:t>
      </w:r>
      <w:r w:rsidR="00EC3974" w:rsidRPr="00EC3974">
        <w:rPr>
          <w:rFonts w:ascii="Times New Roman" w:hAnsi="Times New Roman"/>
        </w:rPr>
        <w:t>, cit.</w:t>
      </w:r>
    </w:p>
  </w:footnote>
  <w:footnote w:id="32">
    <w:p w:rsidR="00AD1C12" w:rsidRPr="00EC3974" w:rsidRDefault="00AD1C12" w:rsidP="00AB4075">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 xml:space="preserve">Corte di Giustizia, 15 ottobre 2009, in causa C-196/08, </w:t>
      </w:r>
      <w:r w:rsidRPr="00AB4075">
        <w:rPr>
          <w:rFonts w:ascii="Times New Roman" w:hAnsi="Times New Roman"/>
          <w:i/>
        </w:rPr>
        <w:t>Acoset SpA</w:t>
      </w:r>
      <w:r w:rsidR="00AB4075">
        <w:rPr>
          <w:rFonts w:ascii="Times New Roman" w:hAnsi="Times New Roman"/>
        </w:rPr>
        <w:t>;</w:t>
      </w:r>
      <w:r w:rsidRPr="00EC3974">
        <w:rPr>
          <w:rFonts w:ascii="Times New Roman" w:hAnsi="Times New Roman"/>
        </w:rPr>
        <w:t xml:space="preserve"> Cons</w:t>
      </w:r>
      <w:r w:rsidR="00AB4075">
        <w:rPr>
          <w:rFonts w:ascii="Times New Roman" w:hAnsi="Times New Roman"/>
        </w:rPr>
        <w:t>.</w:t>
      </w:r>
      <w:r w:rsidRPr="00EC3974">
        <w:rPr>
          <w:rFonts w:ascii="Times New Roman" w:hAnsi="Times New Roman"/>
        </w:rPr>
        <w:t xml:space="preserve"> Stato Ad Plen. 3 marzo 2008 n. 1; </w:t>
      </w:r>
      <w:r w:rsidR="00C01E71" w:rsidRPr="00EC3974">
        <w:rPr>
          <w:rFonts w:ascii="Times New Roman" w:hAnsi="Times New Roman"/>
        </w:rPr>
        <w:t>Con. Stato, sez. V, 4 agosto 2010 n. 5214; Cons. Stato, Sez. V, 30 settembre 2010, n. 7214; Corte cost. 3 novembre 2010 n. 325.</w:t>
      </w:r>
    </w:p>
  </w:footnote>
  <w:footnote w:id="33">
    <w:p w:rsidR="00831A00" w:rsidRPr="00EC3974" w:rsidRDefault="00A34519" w:rsidP="00B8144F">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Cons. Stato, sez. V, 31 gennaio 2018, n. 655</w:t>
      </w:r>
      <w:r w:rsidR="00831A00" w:rsidRPr="00EC3974">
        <w:rPr>
          <w:rFonts w:ascii="Times New Roman" w:hAnsi="Times New Roman"/>
        </w:rPr>
        <w:t>.</w:t>
      </w:r>
    </w:p>
  </w:footnote>
  <w:footnote w:id="34">
    <w:p w:rsidR="00B8144F" w:rsidRPr="00EC3974" w:rsidRDefault="00B8144F" w:rsidP="00B8144F">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Con</w:t>
      </w:r>
      <w:r w:rsidR="00EC3974" w:rsidRPr="00EC3974">
        <w:rPr>
          <w:rFonts w:ascii="Times New Roman" w:hAnsi="Times New Roman"/>
        </w:rPr>
        <w:t>s</w:t>
      </w:r>
      <w:r w:rsidRPr="00EC3974">
        <w:rPr>
          <w:rFonts w:ascii="Times New Roman" w:hAnsi="Times New Roman"/>
        </w:rPr>
        <w:t>.</w:t>
      </w:r>
      <w:r w:rsidR="00EC3974" w:rsidRPr="00EC3974">
        <w:rPr>
          <w:rFonts w:ascii="Times New Roman" w:hAnsi="Times New Roman"/>
        </w:rPr>
        <w:t xml:space="preserve"> </w:t>
      </w:r>
      <w:r w:rsidRPr="00EC3974">
        <w:rPr>
          <w:rFonts w:ascii="Times New Roman" w:hAnsi="Times New Roman"/>
        </w:rPr>
        <w:t>Stato, sez. V ord</w:t>
      </w:r>
      <w:r w:rsidR="00EC3974" w:rsidRPr="00EC3974">
        <w:rPr>
          <w:rFonts w:ascii="Times New Roman" w:hAnsi="Times New Roman"/>
        </w:rPr>
        <w:t>.</w:t>
      </w:r>
      <w:r w:rsidRPr="00EC3974">
        <w:rPr>
          <w:rFonts w:ascii="Times New Roman" w:hAnsi="Times New Roman"/>
        </w:rPr>
        <w:t xml:space="preserve"> 11 maggio 2020 n. 2929 ha rimesso alla Corte di Giustizia la questione se, i fini della individuazione del limite minimo del 30% della partecipazione del socio privato ad una costituenda società mista pubblico – privata, debba tenersi conto esclusivamente della composizione formale/cartolare del predetto socio ovvero se l’amministrazione che indice la gara possa – o anzi debba – tener conto della sua partecipazione indiretta nel socio privato concorrente.</w:t>
      </w:r>
    </w:p>
  </w:footnote>
  <w:footnote w:id="35">
    <w:p w:rsidR="00CE4448" w:rsidRPr="00EC3974" w:rsidRDefault="00CE4448" w:rsidP="00895165">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Corte di Giustizia, 18 novembre 1999, in causa C-107/98, </w:t>
      </w:r>
      <w:r w:rsidRPr="00895165">
        <w:rPr>
          <w:rFonts w:ascii="Times New Roman" w:hAnsi="Times New Roman"/>
          <w:i/>
        </w:rPr>
        <w:t xml:space="preserve">Teckal </w:t>
      </w:r>
      <w:r w:rsidRPr="00EC3974">
        <w:rPr>
          <w:rFonts w:ascii="Times New Roman" w:hAnsi="Times New Roman"/>
        </w:rPr>
        <w:t>s.r.l.</w:t>
      </w:r>
    </w:p>
  </w:footnote>
  <w:footnote w:id="36">
    <w:p w:rsidR="008B4830" w:rsidRPr="00EC3974" w:rsidRDefault="008B4830" w:rsidP="00895165">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Per una analitica ricostruzione dei caratteri dell’istituto si rinvia a Claudio Contessa, </w:t>
      </w:r>
      <w:r w:rsidRPr="00895165">
        <w:rPr>
          <w:rFonts w:ascii="Times New Roman" w:hAnsi="Times New Roman"/>
          <w:i/>
        </w:rPr>
        <w:t>Lo stato dell’arte in tema di affidamenti in house</w:t>
      </w:r>
      <w:r w:rsidRPr="00EC3974">
        <w:rPr>
          <w:rFonts w:ascii="Times New Roman" w:hAnsi="Times New Roman"/>
        </w:rPr>
        <w:t xml:space="preserve">, in </w:t>
      </w:r>
      <w:r w:rsidRPr="00895165">
        <w:rPr>
          <w:rFonts w:ascii="Times New Roman" w:hAnsi="Times New Roman"/>
          <w:i/>
        </w:rPr>
        <w:t>www.giustizia-amministrativa.it</w:t>
      </w:r>
    </w:p>
  </w:footnote>
  <w:footnote w:id="37">
    <w:p w:rsidR="00C61D53" w:rsidRPr="00EC3974" w:rsidRDefault="00C61D53" w:rsidP="00895165">
      <w:pPr>
        <w:pStyle w:val="Testonotaapidipagina"/>
        <w:jc w:val="both"/>
        <w:rPr>
          <w:rFonts w:ascii="Times New Roman" w:hAnsi="Times New Roman"/>
        </w:rPr>
      </w:pPr>
      <w:r>
        <w:rPr>
          <w:rStyle w:val="Rimandonotaapidipagina"/>
        </w:rPr>
        <w:footnoteRef/>
      </w:r>
      <w:r>
        <w:t xml:space="preserve"> </w:t>
      </w:r>
      <w:r w:rsidRPr="00EC3974">
        <w:rPr>
          <w:rFonts w:ascii="Times New Roman" w:hAnsi="Times New Roman"/>
        </w:rPr>
        <w:t>Sul punto cfr. Consiglio di Stato, sezione consultiva per gli atti normativi, parere n. 1614 del 7/10/2021 sulle Linee guida recanti «</w:t>
      </w:r>
      <w:r w:rsidRPr="00895165">
        <w:rPr>
          <w:rFonts w:ascii="Times New Roman" w:hAnsi="Times New Roman"/>
          <w:i/>
        </w:rPr>
        <w:t>Indicazioni in materia di affidamenti in house di contratti aventi ad oggetto lavori, servizi o forniture disponibili sul mercato in regime di concorrenza ai sensi dell'articolo 192, comma 2, del decreto legislativo 18 aprile 2016 n. 50 e s.m.i.»;</w:t>
      </w:r>
    </w:p>
  </w:footnote>
  <w:footnote w:id="38">
    <w:p w:rsidR="00E73C8C" w:rsidRPr="00EC3974" w:rsidRDefault="00E73C8C" w:rsidP="00E73C8C">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Cons. Stato, ord. 7 gennaio 2019 n. 138.</w:t>
      </w:r>
    </w:p>
  </w:footnote>
  <w:footnote w:id="39">
    <w:p w:rsidR="00E73C8C" w:rsidRPr="00EC3974" w:rsidRDefault="00E73C8C" w:rsidP="00E73C8C">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Corte cost. 27 maggio 2020 n. 100.</w:t>
      </w:r>
    </w:p>
  </w:footnote>
  <w:footnote w:id="40">
    <w:p w:rsidR="00A57469" w:rsidRPr="00EC3974" w:rsidRDefault="00A57469">
      <w:pPr>
        <w:pStyle w:val="Testonotaapidipagina"/>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Corte di giustizia europea 6 febbraio 2020, in cause n. C-89/19 e C-91/19, </w:t>
      </w:r>
      <w:r w:rsidRPr="00895165">
        <w:rPr>
          <w:rFonts w:ascii="Times New Roman" w:hAnsi="Times New Roman"/>
          <w:i/>
        </w:rPr>
        <w:t>Rieco S.p.A</w:t>
      </w:r>
      <w:r w:rsidRPr="00EC3974">
        <w:rPr>
          <w:rFonts w:ascii="Times New Roman" w:hAnsi="Times New Roman"/>
        </w:rPr>
        <w:t>.</w:t>
      </w:r>
    </w:p>
  </w:footnote>
  <w:footnote w:id="41">
    <w:p w:rsidR="00F3514A" w:rsidRPr="00987716" w:rsidRDefault="00F3514A" w:rsidP="00F3514A">
      <w:pPr>
        <w:pStyle w:val="Testonotaapidipagina"/>
        <w:jc w:val="both"/>
        <w:rPr>
          <w:rFonts w:ascii="Times New Roman" w:hAnsi="Times New Roman"/>
        </w:rPr>
      </w:pPr>
      <w:r w:rsidRPr="00EC3974">
        <w:rPr>
          <w:rStyle w:val="Rimandonotaapidipagina"/>
          <w:rFonts w:ascii="Times New Roman" w:hAnsi="Times New Roman"/>
        </w:rPr>
        <w:footnoteRef/>
      </w:r>
      <w:r w:rsidRPr="00EC3974">
        <w:rPr>
          <w:rFonts w:ascii="Times New Roman" w:hAnsi="Times New Roman"/>
        </w:rPr>
        <w:t xml:space="preserve"> </w:t>
      </w:r>
      <w:r w:rsidR="00987716" w:rsidRPr="00EC3974">
        <w:rPr>
          <w:rFonts w:ascii="Times New Roman" w:hAnsi="Times New Roman"/>
        </w:rPr>
        <w:t>Corte cost., sent. 27 maggio 2020 n. 100, punto n. 9 della motivazione.  Di interesse in questa sede anche Cons. S</w:t>
      </w:r>
      <w:r w:rsidRPr="00EC3974">
        <w:rPr>
          <w:rFonts w:ascii="Times New Roman" w:hAnsi="Times New Roman"/>
        </w:rPr>
        <w:t>tato, sez</w:t>
      </w:r>
      <w:r w:rsidR="00837170" w:rsidRPr="00EC3974">
        <w:rPr>
          <w:rFonts w:ascii="Times New Roman" w:hAnsi="Times New Roman"/>
        </w:rPr>
        <w:t>.</w:t>
      </w:r>
      <w:r w:rsidRPr="00EC3974">
        <w:rPr>
          <w:rFonts w:ascii="Times New Roman" w:hAnsi="Times New Roman"/>
        </w:rPr>
        <w:t xml:space="preserve"> III, 12 marzo 2021 n. 2102 che evidenzia come l’onere motivazionale imposto dall’art 192 comma 2 del codice si riverberi sul piano istruttorio, imponendo “</w:t>
      </w:r>
      <w:r w:rsidRPr="00EC3974">
        <w:rPr>
          <w:rFonts w:ascii="Times New Roman" w:hAnsi="Times New Roman"/>
          <w:i/>
        </w:rPr>
        <w:t>all’Amministrazione di prendere in considerazione sia la soluzione organizzativa e gestionale praticabile attraverso il soggetto in house (al fine, appunto, di enucleare i “benefici per la collettività” da essa attesi), sia la capacità del mercato di offrirne una equivalente, se non maggiormente apprezzabile,</w:t>
      </w:r>
      <w:r w:rsidRPr="00987716">
        <w:rPr>
          <w:rFonts w:ascii="Times New Roman" w:hAnsi="Times New Roman"/>
          <w:i/>
        </w:rPr>
        <w:t xml:space="preserve"> sotto i profili della “universalità e socialità, efficienza, economicità, qualità del servizio e ottimale impiego delle risorse pubbliche</w:t>
      </w:r>
      <w:r w:rsidRPr="00987716">
        <w:rPr>
          <w:rFonts w:ascii="Times New Roman" w:hAnsi="Times New Roman"/>
        </w:rPr>
        <w:t>”.</w:t>
      </w:r>
    </w:p>
  </w:footnote>
  <w:footnote w:id="42">
    <w:p w:rsidR="000B7C42" w:rsidRDefault="000B7C42">
      <w:pPr>
        <w:pStyle w:val="Testonotaapidipagina"/>
      </w:pPr>
      <w:r>
        <w:rPr>
          <w:rStyle w:val="Rimandonotaapidipagina"/>
        </w:rPr>
        <w:footnoteRef/>
      </w:r>
      <w:r>
        <w:t xml:space="preserve"> </w:t>
      </w:r>
      <w:r w:rsidRPr="00465048">
        <w:rPr>
          <w:rFonts w:ascii="Times New Roman" w:hAnsi="Times New Roman"/>
        </w:rPr>
        <w:t>Cons. Stato</w:t>
      </w:r>
      <w:r w:rsidR="00154FA3" w:rsidRPr="00465048">
        <w:rPr>
          <w:rFonts w:ascii="Times New Roman" w:hAnsi="Times New Roman"/>
        </w:rPr>
        <w:t xml:space="preserve"> sez</w:t>
      </w:r>
      <w:r w:rsidR="00895165">
        <w:rPr>
          <w:rFonts w:ascii="Times New Roman" w:hAnsi="Times New Roman"/>
        </w:rPr>
        <w:t>.</w:t>
      </w:r>
      <w:r w:rsidR="00154FA3" w:rsidRPr="00465048">
        <w:rPr>
          <w:rFonts w:ascii="Times New Roman" w:hAnsi="Times New Roman"/>
        </w:rPr>
        <w:t xml:space="preserve"> IV 15 luglio 2021 n. 5351;</w:t>
      </w:r>
      <w:r w:rsidRPr="00465048">
        <w:rPr>
          <w:rFonts w:ascii="Times New Roman" w:hAnsi="Times New Roman"/>
        </w:rPr>
        <w:t xml:space="preserve"> </w:t>
      </w:r>
      <w:r w:rsidR="00A45BA1" w:rsidRPr="00465048">
        <w:rPr>
          <w:rFonts w:ascii="Times New Roman" w:hAnsi="Times New Roman"/>
        </w:rPr>
        <w:t>sez</w:t>
      </w:r>
      <w:r w:rsidR="00895165">
        <w:rPr>
          <w:rFonts w:ascii="Times New Roman" w:hAnsi="Times New Roman"/>
        </w:rPr>
        <w:t>.</w:t>
      </w:r>
      <w:r w:rsidR="00A45BA1" w:rsidRPr="00465048">
        <w:rPr>
          <w:rFonts w:ascii="Times New Roman" w:hAnsi="Times New Roman"/>
        </w:rPr>
        <w:t xml:space="preserve"> III, 10 maggio 2021 n. 3682, </w:t>
      </w:r>
      <w:r w:rsidR="00154FA3" w:rsidRPr="00465048">
        <w:rPr>
          <w:rFonts w:ascii="Times New Roman" w:hAnsi="Times New Roman"/>
        </w:rPr>
        <w:t>sez</w:t>
      </w:r>
      <w:r w:rsidR="00895165">
        <w:rPr>
          <w:rFonts w:ascii="Times New Roman" w:hAnsi="Times New Roman"/>
        </w:rPr>
        <w:t>.</w:t>
      </w:r>
      <w:r w:rsidR="00154FA3" w:rsidRPr="00465048">
        <w:rPr>
          <w:rFonts w:ascii="Times New Roman" w:hAnsi="Times New Roman"/>
        </w:rPr>
        <w:t xml:space="preserve"> V, 16 novembre 2018 n. 6456</w:t>
      </w:r>
      <w:r w:rsidR="00465048">
        <w:rPr>
          <w:rFonts w:ascii="Times New Roman" w:hAnsi="Times New Roman"/>
        </w:rPr>
        <w:t>.</w:t>
      </w:r>
    </w:p>
  </w:footnote>
  <w:footnote w:id="43">
    <w:p w:rsidR="00B84C50" w:rsidRPr="00987716" w:rsidRDefault="00B84C50">
      <w:pPr>
        <w:pStyle w:val="Testonotaapidipagina"/>
        <w:rPr>
          <w:rFonts w:ascii="Times New Roman" w:hAnsi="Times New Roman"/>
        </w:rPr>
      </w:pPr>
      <w:r w:rsidRPr="00987716">
        <w:rPr>
          <w:rStyle w:val="Rimandonotaapidipagina"/>
          <w:rFonts w:ascii="Times New Roman" w:hAnsi="Times New Roman"/>
        </w:rPr>
        <w:footnoteRef/>
      </w:r>
      <w:r w:rsidRPr="00987716">
        <w:rPr>
          <w:rFonts w:ascii="Times New Roman" w:hAnsi="Times New Roman"/>
        </w:rPr>
        <w:t xml:space="preserve"> Per un’analisi dettagliata delle novità in materia di contratti pubblici, cfr. Rosanna De Nictolis, </w:t>
      </w:r>
      <w:r w:rsidRPr="00895165">
        <w:rPr>
          <w:rFonts w:ascii="Times New Roman" w:hAnsi="Times New Roman"/>
          <w:i/>
        </w:rPr>
        <w:t>Gli appalti pubblici del PNRR tra semplificazioni e complicazioni</w:t>
      </w:r>
      <w:r w:rsidRPr="00987716">
        <w:rPr>
          <w:rFonts w:ascii="Times New Roman" w:hAnsi="Times New Roman"/>
        </w:rPr>
        <w:t xml:space="preserve"> e Claudio Contessa, </w:t>
      </w:r>
      <w:r w:rsidRPr="00895165">
        <w:rPr>
          <w:rFonts w:ascii="Times New Roman" w:hAnsi="Times New Roman"/>
          <w:i/>
        </w:rPr>
        <w:t>La nuova governance del PNRR e gli interventi in tema di contratti pubblici</w:t>
      </w:r>
      <w:r w:rsidRPr="00987716">
        <w:rPr>
          <w:rFonts w:ascii="Times New Roman" w:hAnsi="Times New Roman"/>
        </w:rPr>
        <w:t>, entrambi in Urbanistica e appalti, 6/2021 pagg. 729 e ss.</w:t>
      </w:r>
    </w:p>
  </w:footnote>
  <w:footnote w:id="44">
    <w:p w:rsidR="00327FF9" w:rsidRPr="00987716" w:rsidRDefault="00327FF9">
      <w:pPr>
        <w:pStyle w:val="Testonotaapidipagina"/>
        <w:rPr>
          <w:rFonts w:ascii="Times New Roman" w:hAnsi="Times New Roman"/>
        </w:rPr>
      </w:pPr>
      <w:r w:rsidRPr="00987716">
        <w:rPr>
          <w:rStyle w:val="Rimandonotaapidipagina"/>
          <w:rFonts w:ascii="Times New Roman" w:hAnsi="Times New Roman"/>
        </w:rPr>
        <w:footnoteRef/>
      </w:r>
      <w:r w:rsidRPr="00987716">
        <w:rPr>
          <w:rFonts w:ascii="Times New Roman" w:hAnsi="Times New Roman"/>
        </w:rPr>
        <w:t xml:space="preserve"> Con delibera n. 141 del 30 marzo 2022 sono state approvate dall’ANAC le linee guida di qualificazione delle stazioni appaltanti</w:t>
      </w:r>
      <w:r w:rsidR="00895165">
        <w:rPr>
          <w:rFonts w:ascii="Times New Roman" w:hAnsi="Times New Roman"/>
        </w:rPr>
        <w:t>.</w:t>
      </w:r>
    </w:p>
  </w:footnote>
  <w:footnote w:id="45">
    <w:p w:rsidR="00DE21B2" w:rsidRPr="00EC3974" w:rsidRDefault="00DE21B2" w:rsidP="00EC3974">
      <w:pPr>
        <w:pStyle w:val="Testonotaapidipagina"/>
        <w:jc w:val="both"/>
        <w:rPr>
          <w:rFonts w:ascii="Times" w:hAnsi="Times"/>
        </w:rPr>
      </w:pPr>
      <w:r>
        <w:rPr>
          <w:rStyle w:val="Rimandonotaapidipagina"/>
        </w:rPr>
        <w:footnoteRef/>
      </w:r>
      <w:r>
        <w:t xml:space="preserve"> </w:t>
      </w:r>
      <w:r w:rsidRPr="00EC3974">
        <w:rPr>
          <w:rFonts w:ascii="Times" w:hAnsi="Times"/>
        </w:rPr>
        <w:t xml:space="preserve">Claudio Contessa, Il </w:t>
      </w:r>
      <w:r w:rsidRPr="00895165">
        <w:rPr>
          <w:rFonts w:ascii="Times" w:hAnsi="Times"/>
          <w:i/>
        </w:rPr>
        <w:t>sistema italiano del Codice dei contratti al tempo del PNRR. Quali scenari futuri?</w:t>
      </w:r>
      <w:r w:rsidRPr="00EC3974">
        <w:rPr>
          <w:rFonts w:ascii="Times" w:hAnsi="Times"/>
        </w:rPr>
        <w:t xml:space="preserve"> in </w:t>
      </w:r>
      <w:r w:rsidRPr="00EC3974">
        <w:rPr>
          <w:rFonts w:ascii="Times" w:hAnsi="Times"/>
          <w:i/>
        </w:rPr>
        <w:t>www.giustizia-amministrativa.it</w:t>
      </w:r>
    </w:p>
  </w:footnote>
  <w:footnote w:id="46">
    <w:p w:rsidR="000E7BE4" w:rsidRDefault="000E7BE4" w:rsidP="000E7BE4">
      <w:pPr>
        <w:pStyle w:val="Testonotaapidipagina"/>
        <w:jc w:val="both"/>
      </w:pPr>
      <w:r>
        <w:rPr>
          <w:rStyle w:val="Rimandonotaapidipagina"/>
        </w:rPr>
        <w:footnoteRef/>
      </w:r>
      <w:r>
        <w:t xml:space="preserve"> L’art 16 comma 3 d.lgs 175/2016 sancisce: </w:t>
      </w:r>
      <w:r w:rsidRPr="000E7BE4">
        <w:rPr>
          <w:i/>
        </w:rPr>
        <w:t>Gli statuti delle società di cui al presente articolo devono prevedere che oltre l'ottanta per cento del loro fatturato sia effettuato nello svolgimento dei compiti a esse affidati dall'ente pubblico o dagli enti pubblici soci.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44EB"/>
    <w:multiLevelType w:val="hybridMultilevel"/>
    <w:tmpl w:val="033A0A7C"/>
    <w:lvl w:ilvl="0" w:tplc="666CC8C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E2B3E42"/>
    <w:multiLevelType w:val="hybridMultilevel"/>
    <w:tmpl w:val="578E53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F5"/>
    <w:rsid w:val="000022B7"/>
    <w:rsid w:val="0000785A"/>
    <w:rsid w:val="0001731F"/>
    <w:rsid w:val="00017E8D"/>
    <w:rsid w:val="00020878"/>
    <w:rsid w:val="00025CAA"/>
    <w:rsid w:val="00033418"/>
    <w:rsid w:val="00034E3F"/>
    <w:rsid w:val="00036EF7"/>
    <w:rsid w:val="000463A6"/>
    <w:rsid w:val="00052F63"/>
    <w:rsid w:val="0007186A"/>
    <w:rsid w:val="00093F73"/>
    <w:rsid w:val="000A431B"/>
    <w:rsid w:val="000B551D"/>
    <w:rsid w:val="000B7C42"/>
    <w:rsid w:val="000C04F3"/>
    <w:rsid w:val="000D0956"/>
    <w:rsid w:val="000D4834"/>
    <w:rsid w:val="000D7B45"/>
    <w:rsid w:val="000E01B6"/>
    <w:rsid w:val="000E7BE4"/>
    <w:rsid w:val="000F1282"/>
    <w:rsid w:val="000F6181"/>
    <w:rsid w:val="00101FD2"/>
    <w:rsid w:val="00106449"/>
    <w:rsid w:val="001069BE"/>
    <w:rsid w:val="00110959"/>
    <w:rsid w:val="00111958"/>
    <w:rsid w:val="00121CF9"/>
    <w:rsid w:val="00121E6B"/>
    <w:rsid w:val="00123C21"/>
    <w:rsid w:val="00124A10"/>
    <w:rsid w:val="00137258"/>
    <w:rsid w:val="00146527"/>
    <w:rsid w:val="00147CCB"/>
    <w:rsid w:val="00154FA3"/>
    <w:rsid w:val="00160A61"/>
    <w:rsid w:val="0016621E"/>
    <w:rsid w:val="001761C7"/>
    <w:rsid w:val="00177D15"/>
    <w:rsid w:val="00180388"/>
    <w:rsid w:val="00182A94"/>
    <w:rsid w:val="001843AD"/>
    <w:rsid w:val="0019209E"/>
    <w:rsid w:val="00194CBF"/>
    <w:rsid w:val="00194DD5"/>
    <w:rsid w:val="001953D7"/>
    <w:rsid w:val="001A4F4D"/>
    <w:rsid w:val="001A7588"/>
    <w:rsid w:val="001B7E89"/>
    <w:rsid w:val="001C2DCD"/>
    <w:rsid w:val="001C6B70"/>
    <w:rsid w:val="001D1D25"/>
    <w:rsid w:val="001E10D6"/>
    <w:rsid w:val="001E46D4"/>
    <w:rsid w:val="001E7DD3"/>
    <w:rsid w:val="001F2E36"/>
    <w:rsid w:val="0020248F"/>
    <w:rsid w:val="002165E2"/>
    <w:rsid w:val="002243F9"/>
    <w:rsid w:val="00242B56"/>
    <w:rsid w:val="002473B8"/>
    <w:rsid w:val="00272CD3"/>
    <w:rsid w:val="002731A1"/>
    <w:rsid w:val="002763B8"/>
    <w:rsid w:val="00277F89"/>
    <w:rsid w:val="00280435"/>
    <w:rsid w:val="002820D5"/>
    <w:rsid w:val="00290ED3"/>
    <w:rsid w:val="002941CF"/>
    <w:rsid w:val="002A77D2"/>
    <w:rsid w:val="002C080B"/>
    <w:rsid w:val="002C1E8C"/>
    <w:rsid w:val="002D1D73"/>
    <w:rsid w:val="002D284B"/>
    <w:rsid w:val="002D6793"/>
    <w:rsid w:val="002F0FCB"/>
    <w:rsid w:val="002F1C7D"/>
    <w:rsid w:val="002F3952"/>
    <w:rsid w:val="002F5FF7"/>
    <w:rsid w:val="002F67B9"/>
    <w:rsid w:val="00303125"/>
    <w:rsid w:val="003057A2"/>
    <w:rsid w:val="003115AE"/>
    <w:rsid w:val="00317751"/>
    <w:rsid w:val="00320AD4"/>
    <w:rsid w:val="003223F5"/>
    <w:rsid w:val="00327FF9"/>
    <w:rsid w:val="0033576B"/>
    <w:rsid w:val="003415A6"/>
    <w:rsid w:val="003431F2"/>
    <w:rsid w:val="00344216"/>
    <w:rsid w:val="003473DB"/>
    <w:rsid w:val="00351ABE"/>
    <w:rsid w:val="00351B05"/>
    <w:rsid w:val="00362739"/>
    <w:rsid w:val="00370294"/>
    <w:rsid w:val="003745C0"/>
    <w:rsid w:val="00376A0B"/>
    <w:rsid w:val="00380D5F"/>
    <w:rsid w:val="00380DD7"/>
    <w:rsid w:val="00382F28"/>
    <w:rsid w:val="0038319E"/>
    <w:rsid w:val="0039733D"/>
    <w:rsid w:val="003A2383"/>
    <w:rsid w:val="003A652A"/>
    <w:rsid w:val="003A7128"/>
    <w:rsid w:val="003A7ADE"/>
    <w:rsid w:val="003C3D6E"/>
    <w:rsid w:val="003C6EF0"/>
    <w:rsid w:val="003D1A65"/>
    <w:rsid w:val="003D4451"/>
    <w:rsid w:val="003E0F22"/>
    <w:rsid w:val="003E4B26"/>
    <w:rsid w:val="003F059C"/>
    <w:rsid w:val="00400681"/>
    <w:rsid w:val="00400A97"/>
    <w:rsid w:val="00415A95"/>
    <w:rsid w:val="00416600"/>
    <w:rsid w:val="00421E84"/>
    <w:rsid w:val="0042232A"/>
    <w:rsid w:val="004245ED"/>
    <w:rsid w:val="004276CC"/>
    <w:rsid w:val="00436889"/>
    <w:rsid w:val="00441836"/>
    <w:rsid w:val="0044489B"/>
    <w:rsid w:val="004467FD"/>
    <w:rsid w:val="00447B9C"/>
    <w:rsid w:val="0046196D"/>
    <w:rsid w:val="00462330"/>
    <w:rsid w:val="00465048"/>
    <w:rsid w:val="00466B6E"/>
    <w:rsid w:val="0047318B"/>
    <w:rsid w:val="00477242"/>
    <w:rsid w:val="00477F98"/>
    <w:rsid w:val="004870BA"/>
    <w:rsid w:val="004A60DA"/>
    <w:rsid w:val="004A7888"/>
    <w:rsid w:val="004A7903"/>
    <w:rsid w:val="004A7F39"/>
    <w:rsid w:val="004A7F5E"/>
    <w:rsid w:val="004B4C6A"/>
    <w:rsid w:val="004B66CF"/>
    <w:rsid w:val="004B7C82"/>
    <w:rsid w:val="004C4EC7"/>
    <w:rsid w:val="004D6686"/>
    <w:rsid w:val="004D6B4E"/>
    <w:rsid w:val="004D7986"/>
    <w:rsid w:val="004E464E"/>
    <w:rsid w:val="004E7C6A"/>
    <w:rsid w:val="004F03AC"/>
    <w:rsid w:val="004F4C60"/>
    <w:rsid w:val="004F554A"/>
    <w:rsid w:val="004F6E6D"/>
    <w:rsid w:val="00503C6E"/>
    <w:rsid w:val="005049CA"/>
    <w:rsid w:val="00507686"/>
    <w:rsid w:val="005177AB"/>
    <w:rsid w:val="00530E9D"/>
    <w:rsid w:val="0053203F"/>
    <w:rsid w:val="00532B1E"/>
    <w:rsid w:val="00545ECB"/>
    <w:rsid w:val="00550E8D"/>
    <w:rsid w:val="0056057D"/>
    <w:rsid w:val="00561875"/>
    <w:rsid w:val="005715F1"/>
    <w:rsid w:val="005923DB"/>
    <w:rsid w:val="005A1CC9"/>
    <w:rsid w:val="005B0709"/>
    <w:rsid w:val="005B154A"/>
    <w:rsid w:val="005C0FEE"/>
    <w:rsid w:val="005C4AD8"/>
    <w:rsid w:val="00602F99"/>
    <w:rsid w:val="00607D6C"/>
    <w:rsid w:val="00633AAC"/>
    <w:rsid w:val="006358BD"/>
    <w:rsid w:val="00645B19"/>
    <w:rsid w:val="00645BCE"/>
    <w:rsid w:val="00661EFD"/>
    <w:rsid w:val="00664351"/>
    <w:rsid w:val="0066591B"/>
    <w:rsid w:val="006731DC"/>
    <w:rsid w:val="0067357B"/>
    <w:rsid w:val="006850B7"/>
    <w:rsid w:val="0068529C"/>
    <w:rsid w:val="00690597"/>
    <w:rsid w:val="006C6853"/>
    <w:rsid w:val="006D7A13"/>
    <w:rsid w:val="006D7D3F"/>
    <w:rsid w:val="006E02CE"/>
    <w:rsid w:val="006F0923"/>
    <w:rsid w:val="006F1929"/>
    <w:rsid w:val="006F5222"/>
    <w:rsid w:val="00723AA6"/>
    <w:rsid w:val="00724B8C"/>
    <w:rsid w:val="00733CF5"/>
    <w:rsid w:val="00735565"/>
    <w:rsid w:val="00737673"/>
    <w:rsid w:val="00740189"/>
    <w:rsid w:val="00740471"/>
    <w:rsid w:val="00746138"/>
    <w:rsid w:val="00747323"/>
    <w:rsid w:val="00751401"/>
    <w:rsid w:val="00756E78"/>
    <w:rsid w:val="007665E7"/>
    <w:rsid w:val="007674B8"/>
    <w:rsid w:val="00767E18"/>
    <w:rsid w:val="007A5F51"/>
    <w:rsid w:val="007B3288"/>
    <w:rsid w:val="007C2260"/>
    <w:rsid w:val="007C7CDF"/>
    <w:rsid w:val="007D1DF5"/>
    <w:rsid w:val="007D768B"/>
    <w:rsid w:val="007E4E63"/>
    <w:rsid w:val="007E59B6"/>
    <w:rsid w:val="007E5A33"/>
    <w:rsid w:val="007F4288"/>
    <w:rsid w:val="007F75D5"/>
    <w:rsid w:val="00804FA9"/>
    <w:rsid w:val="008111B5"/>
    <w:rsid w:val="00826798"/>
    <w:rsid w:val="00831A00"/>
    <w:rsid w:val="00835162"/>
    <w:rsid w:val="00835356"/>
    <w:rsid w:val="00835833"/>
    <w:rsid w:val="00836164"/>
    <w:rsid w:val="00837170"/>
    <w:rsid w:val="00841709"/>
    <w:rsid w:val="00842B1F"/>
    <w:rsid w:val="00843B15"/>
    <w:rsid w:val="0085656E"/>
    <w:rsid w:val="0086561D"/>
    <w:rsid w:val="0087098D"/>
    <w:rsid w:val="008726BB"/>
    <w:rsid w:val="008728A0"/>
    <w:rsid w:val="0087383A"/>
    <w:rsid w:val="008757C9"/>
    <w:rsid w:val="00882ADB"/>
    <w:rsid w:val="008853C4"/>
    <w:rsid w:val="00886698"/>
    <w:rsid w:val="0089271C"/>
    <w:rsid w:val="00895165"/>
    <w:rsid w:val="008B12D0"/>
    <w:rsid w:val="008B17D4"/>
    <w:rsid w:val="008B4830"/>
    <w:rsid w:val="008C1FED"/>
    <w:rsid w:val="008E781D"/>
    <w:rsid w:val="009013FD"/>
    <w:rsid w:val="009033D3"/>
    <w:rsid w:val="0091305E"/>
    <w:rsid w:val="00914C1A"/>
    <w:rsid w:val="00925F9A"/>
    <w:rsid w:val="00941ACE"/>
    <w:rsid w:val="00947981"/>
    <w:rsid w:val="0096252A"/>
    <w:rsid w:val="00963158"/>
    <w:rsid w:val="009708AA"/>
    <w:rsid w:val="009710F6"/>
    <w:rsid w:val="009727CE"/>
    <w:rsid w:val="00973B5E"/>
    <w:rsid w:val="00976D6E"/>
    <w:rsid w:val="00983D7E"/>
    <w:rsid w:val="0098478A"/>
    <w:rsid w:val="009875AE"/>
    <w:rsid w:val="00987716"/>
    <w:rsid w:val="00996022"/>
    <w:rsid w:val="0099662F"/>
    <w:rsid w:val="00996E3D"/>
    <w:rsid w:val="009A267E"/>
    <w:rsid w:val="009B0DE3"/>
    <w:rsid w:val="009B4F09"/>
    <w:rsid w:val="009B5DEF"/>
    <w:rsid w:val="009B7E4E"/>
    <w:rsid w:val="009C2099"/>
    <w:rsid w:val="009C329A"/>
    <w:rsid w:val="009D2E74"/>
    <w:rsid w:val="009D46C7"/>
    <w:rsid w:val="009D6097"/>
    <w:rsid w:val="009E49B6"/>
    <w:rsid w:val="009E6047"/>
    <w:rsid w:val="009F2C4F"/>
    <w:rsid w:val="009F530E"/>
    <w:rsid w:val="009F67E0"/>
    <w:rsid w:val="00A137A9"/>
    <w:rsid w:val="00A22CD9"/>
    <w:rsid w:val="00A23CBF"/>
    <w:rsid w:val="00A2425A"/>
    <w:rsid w:val="00A34519"/>
    <w:rsid w:val="00A34C4E"/>
    <w:rsid w:val="00A45BA1"/>
    <w:rsid w:val="00A45DA0"/>
    <w:rsid w:val="00A51FC8"/>
    <w:rsid w:val="00A53DE6"/>
    <w:rsid w:val="00A57469"/>
    <w:rsid w:val="00A712F1"/>
    <w:rsid w:val="00A71FCB"/>
    <w:rsid w:val="00A76625"/>
    <w:rsid w:val="00A8264F"/>
    <w:rsid w:val="00A90395"/>
    <w:rsid w:val="00A9451A"/>
    <w:rsid w:val="00A96709"/>
    <w:rsid w:val="00A97925"/>
    <w:rsid w:val="00AB081B"/>
    <w:rsid w:val="00AB3431"/>
    <w:rsid w:val="00AB4075"/>
    <w:rsid w:val="00AD1C12"/>
    <w:rsid w:val="00AD5097"/>
    <w:rsid w:val="00B05684"/>
    <w:rsid w:val="00B13809"/>
    <w:rsid w:val="00B13926"/>
    <w:rsid w:val="00B14580"/>
    <w:rsid w:val="00B2011A"/>
    <w:rsid w:val="00B2250C"/>
    <w:rsid w:val="00B41B08"/>
    <w:rsid w:val="00B47FAE"/>
    <w:rsid w:val="00B6422A"/>
    <w:rsid w:val="00B71B42"/>
    <w:rsid w:val="00B73DF7"/>
    <w:rsid w:val="00B7479D"/>
    <w:rsid w:val="00B8144F"/>
    <w:rsid w:val="00B84C50"/>
    <w:rsid w:val="00B85B05"/>
    <w:rsid w:val="00B90475"/>
    <w:rsid w:val="00B92F87"/>
    <w:rsid w:val="00B96BF6"/>
    <w:rsid w:val="00BA08BB"/>
    <w:rsid w:val="00BA2B04"/>
    <w:rsid w:val="00BA3A73"/>
    <w:rsid w:val="00BA3B12"/>
    <w:rsid w:val="00BA3FBF"/>
    <w:rsid w:val="00BB15D3"/>
    <w:rsid w:val="00BC24D7"/>
    <w:rsid w:val="00BC28BF"/>
    <w:rsid w:val="00BC3AC5"/>
    <w:rsid w:val="00BC6379"/>
    <w:rsid w:val="00BE54D3"/>
    <w:rsid w:val="00BF12C7"/>
    <w:rsid w:val="00BF3181"/>
    <w:rsid w:val="00BF4E4E"/>
    <w:rsid w:val="00BF6AFD"/>
    <w:rsid w:val="00C01E71"/>
    <w:rsid w:val="00C06549"/>
    <w:rsid w:val="00C07C85"/>
    <w:rsid w:val="00C17660"/>
    <w:rsid w:val="00C21F04"/>
    <w:rsid w:val="00C24D91"/>
    <w:rsid w:val="00C35DEE"/>
    <w:rsid w:val="00C425D4"/>
    <w:rsid w:val="00C4709D"/>
    <w:rsid w:val="00C47321"/>
    <w:rsid w:val="00C61D53"/>
    <w:rsid w:val="00C70A44"/>
    <w:rsid w:val="00C71321"/>
    <w:rsid w:val="00C726CF"/>
    <w:rsid w:val="00C86AA8"/>
    <w:rsid w:val="00C87432"/>
    <w:rsid w:val="00C92C79"/>
    <w:rsid w:val="00CA1430"/>
    <w:rsid w:val="00CA571B"/>
    <w:rsid w:val="00CB1A95"/>
    <w:rsid w:val="00CB3262"/>
    <w:rsid w:val="00CC203E"/>
    <w:rsid w:val="00CD26BA"/>
    <w:rsid w:val="00CD75CF"/>
    <w:rsid w:val="00CE2E2B"/>
    <w:rsid w:val="00CE4448"/>
    <w:rsid w:val="00CE4F17"/>
    <w:rsid w:val="00CF40C9"/>
    <w:rsid w:val="00CF47C8"/>
    <w:rsid w:val="00CF794C"/>
    <w:rsid w:val="00D04B34"/>
    <w:rsid w:val="00D17B67"/>
    <w:rsid w:val="00D20C82"/>
    <w:rsid w:val="00D21D44"/>
    <w:rsid w:val="00D26860"/>
    <w:rsid w:val="00D3070B"/>
    <w:rsid w:val="00D34CC3"/>
    <w:rsid w:val="00D4404D"/>
    <w:rsid w:val="00D46840"/>
    <w:rsid w:val="00D52090"/>
    <w:rsid w:val="00D556DB"/>
    <w:rsid w:val="00D56C28"/>
    <w:rsid w:val="00D62670"/>
    <w:rsid w:val="00D70BC2"/>
    <w:rsid w:val="00D71207"/>
    <w:rsid w:val="00D7183E"/>
    <w:rsid w:val="00D72A04"/>
    <w:rsid w:val="00D733F3"/>
    <w:rsid w:val="00D82029"/>
    <w:rsid w:val="00D85ECD"/>
    <w:rsid w:val="00D86A1A"/>
    <w:rsid w:val="00D92CBB"/>
    <w:rsid w:val="00D963EB"/>
    <w:rsid w:val="00DB4F72"/>
    <w:rsid w:val="00DC3808"/>
    <w:rsid w:val="00DD1FBE"/>
    <w:rsid w:val="00DD335D"/>
    <w:rsid w:val="00DD56DE"/>
    <w:rsid w:val="00DD570F"/>
    <w:rsid w:val="00DE0B01"/>
    <w:rsid w:val="00DE21B2"/>
    <w:rsid w:val="00DE2745"/>
    <w:rsid w:val="00E030EF"/>
    <w:rsid w:val="00E041FC"/>
    <w:rsid w:val="00E04B66"/>
    <w:rsid w:val="00E15DD5"/>
    <w:rsid w:val="00E23F5B"/>
    <w:rsid w:val="00E27184"/>
    <w:rsid w:val="00E3442B"/>
    <w:rsid w:val="00E37093"/>
    <w:rsid w:val="00E50B8B"/>
    <w:rsid w:val="00E60E0C"/>
    <w:rsid w:val="00E62484"/>
    <w:rsid w:val="00E679B3"/>
    <w:rsid w:val="00E73C8C"/>
    <w:rsid w:val="00E749C5"/>
    <w:rsid w:val="00E751A6"/>
    <w:rsid w:val="00E75D24"/>
    <w:rsid w:val="00E855CA"/>
    <w:rsid w:val="00E910E1"/>
    <w:rsid w:val="00EA1998"/>
    <w:rsid w:val="00EA5033"/>
    <w:rsid w:val="00EA512A"/>
    <w:rsid w:val="00EB052E"/>
    <w:rsid w:val="00EB1961"/>
    <w:rsid w:val="00EC0B4E"/>
    <w:rsid w:val="00EC3974"/>
    <w:rsid w:val="00ED00C5"/>
    <w:rsid w:val="00ED5138"/>
    <w:rsid w:val="00ED65A2"/>
    <w:rsid w:val="00EF7421"/>
    <w:rsid w:val="00F03F4D"/>
    <w:rsid w:val="00F124B9"/>
    <w:rsid w:val="00F17018"/>
    <w:rsid w:val="00F33253"/>
    <w:rsid w:val="00F3514A"/>
    <w:rsid w:val="00F40278"/>
    <w:rsid w:val="00F42FAC"/>
    <w:rsid w:val="00F44B22"/>
    <w:rsid w:val="00F614AE"/>
    <w:rsid w:val="00F62169"/>
    <w:rsid w:val="00F63B49"/>
    <w:rsid w:val="00F729AA"/>
    <w:rsid w:val="00F73DCB"/>
    <w:rsid w:val="00F83C9B"/>
    <w:rsid w:val="00F84EDA"/>
    <w:rsid w:val="00F93393"/>
    <w:rsid w:val="00FA0B01"/>
    <w:rsid w:val="00FB2E6F"/>
    <w:rsid w:val="00FB3C6E"/>
    <w:rsid w:val="00FB5587"/>
    <w:rsid w:val="00FB6024"/>
    <w:rsid w:val="00FB6BAC"/>
    <w:rsid w:val="00FC1299"/>
    <w:rsid w:val="00FD0A20"/>
    <w:rsid w:val="00FE25E3"/>
    <w:rsid w:val="00FF70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F0DD"/>
  <w15:chartTrackingRefBased/>
  <w15:docId w15:val="{D5D59739-34DB-47C6-A29A-62279EB2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766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76625"/>
    <w:rPr>
      <w:sz w:val="20"/>
      <w:szCs w:val="20"/>
    </w:rPr>
  </w:style>
  <w:style w:type="character" w:styleId="Rimandonotaapidipagina">
    <w:name w:val="footnote reference"/>
    <w:basedOn w:val="Carpredefinitoparagrafo"/>
    <w:uiPriority w:val="99"/>
    <w:semiHidden/>
    <w:unhideWhenUsed/>
    <w:rsid w:val="00A76625"/>
    <w:rPr>
      <w:vertAlign w:val="superscript"/>
    </w:rPr>
  </w:style>
  <w:style w:type="paragraph" w:styleId="Paragrafoelenco">
    <w:name w:val="List Paragraph"/>
    <w:basedOn w:val="Normale"/>
    <w:uiPriority w:val="34"/>
    <w:qFormat/>
    <w:rsid w:val="00ED65A2"/>
    <w:pPr>
      <w:ind w:left="720"/>
      <w:contextualSpacing/>
    </w:pPr>
  </w:style>
  <w:style w:type="character" w:styleId="Collegamentoipertestuale">
    <w:name w:val="Hyperlink"/>
    <w:basedOn w:val="Carpredefinitoparagrafo"/>
    <w:uiPriority w:val="99"/>
    <w:unhideWhenUsed/>
    <w:rsid w:val="00477F98"/>
    <w:rPr>
      <w:color w:val="0563C1" w:themeColor="hyperlink"/>
      <w:u w:val="single"/>
    </w:rPr>
  </w:style>
  <w:style w:type="paragraph" w:styleId="Intestazione">
    <w:name w:val="header"/>
    <w:basedOn w:val="Normale"/>
    <w:link w:val="IntestazioneCarattere"/>
    <w:uiPriority w:val="99"/>
    <w:unhideWhenUsed/>
    <w:rsid w:val="006D7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7A13"/>
  </w:style>
  <w:style w:type="paragraph" w:styleId="Pidipagina">
    <w:name w:val="footer"/>
    <w:basedOn w:val="Normale"/>
    <w:link w:val="PidipaginaCarattere"/>
    <w:uiPriority w:val="99"/>
    <w:unhideWhenUsed/>
    <w:rsid w:val="006D7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2F1F-F2BE-47CB-9846-C2ADAC84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7135</Words>
  <Characters>40676</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ADDESSO Carmelina</dc:creator>
  <cp:keywords/>
  <dc:description/>
  <cp:lastModifiedBy>FERRARI Giulia</cp:lastModifiedBy>
  <cp:revision>2</cp:revision>
  <dcterms:created xsi:type="dcterms:W3CDTF">2022-07-05T11:48:00Z</dcterms:created>
  <dcterms:modified xsi:type="dcterms:W3CDTF">2022-07-05T11:48:00Z</dcterms:modified>
</cp:coreProperties>
</file>