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49199" w14:textId="0B714351" w:rsidR="00D0115D" w:rsidRDefault="00D0115D" w:rsidP="00E467FE">
      <w:pPr>
        <w:spacing w:line="360" w:lineRule="auto"/>
        <w:jc w:val="center"/>
        <w:rPr>
          <w:sz w:val="28"/>
          <w:szCs w:val="28"/>
        </w:rPr>
      </w:pPr>
      <w:bookmarkStart w:id="0" w:name="_GoBack"/>
      <w:r w:rsidRPr="00E467FE">
        <w:rPr>
          <w:b/>
          <w:sz w:val="28"/>
          <w:szCs w:val="28"/>
        </w:rPr>
        <w:t>Rapporti tra il giudizio sulla legittimità dell'informativa antimafia e l'istituto del controllo giudiziario</w:t>
      </w:r>
      <w:bookmarkEnd w:id="0"/>
      <w:r>
        <w:rPr>
          <w:sz w:val="28"/>
          <w:szCs w:val="28"/>
        </w:rPr>
        <w:t>*</w:t>
      </w:r>
    </w:p>
    <w:p w14:paraId="580E6936" w14:textId="77777777" w:rsidR="00B51C8A" w:rsidRDefault="00B51C8A" w:rsidP="00D16F96">
      <w:pPr>
        <w:spacing w:line="360" w:lineRule="auto"/>
        <w:jc w:val="both"/>
        <w:rPr>
          <w:i/>
          <w:iCs/>
          <w:sz w:val="28"/>
          <w:szCs w:val="28"/>
        </w:rPr>
      </w:pPr>
    </w:p>
    <w:p w14:paraId="13303134" w14:textId="3BE7285D" w:rsidR="007C45DE" w:rsidRDefault="007C45DE" w:rsidP="00D16F96">
      <w:pPr>
        <w:spacing w:line="360" w:lineRule="auto"/>
        <w:jc w:val="both"/>
        <w:rPr>
          <w:i/>
          <w:iCs/>
          <w:sz w:val="28"/>
          <w:szCs w:val="28"/>
        </w:rPr>
      </w:pPr>
      <w:r w:rsidRPr="00B51C8A">
        <w:rPr>
          <w:i/>
          <w:iCs/>
          <w:sz w:val="28"/>
          <w:szCs w:val="28"/>
        </w:rPr>
        <w:t xml:space="preserve">Sommario. 1. Premessa di inquadramento. 2. </w:t>
      </w:r>
      <w:r w:rsidR="00B51C8A" w:rsidRPr="00B51C8A">
        <w:rPr>
          <w:i/>
          <w:iCs/>
          <w:sz w:val="28"/>
          <w:szCs w:val="28"/>
        </w:rPr>
        <w:t xml:space="preserve">Il percorso verso una mitigazione del sistema di prevenzione: l’art. 34-bis del codice antimafia. </w:t>
      </w:r>
      <w:r w:rsidRPr="00B51C8A">
        <w:rPr>
          <w:i/>
          <w:iCs/>
          <w:sz w:val="28"/>
          <w:szCs w:val="28"/>
        </w:rPr>
        <w:t>3. La riforma del 2021. 4. Conclusioni.</w:t>
      </w:r>
    </w:p>
    <w:p w14:paraId="2E045945" w14:textId="77777777" w:rsidR="00B51C8A" w:rsidRPr="00B51C8A" w:rsidRDefault="00B51C8A" w:rsidP="00D16F96">
      <w:pPr>
        <w:spacing w:line="360" w:lineRule="auto"/>
        <w:jc w:val="both"/>
        <w:rPr>
          <w:i/>
          <w:iCs/>
          <w:sz w:val="28"/>
          <w:szCs w:val="28"/>
        </w:rPr>
      </w:pPr>
    </w:p>
    <w:p w14:paraId="5DBFEB1D" w14:textId="6523620A" w:rsidR="005A20A2" w:rsidRPr="0080394E" w:rsidRDefault="001E68F3" w:rsidP="00D16F96">
      <w:pPr>
        <w:spacing w:line="360" w:lineRule="auto"/>
        <w:jc w:val="both"/>
        <w:rPr>
          <w:sz w:val="28"/>
          <w:szCs w:val="28"/>
        </w:rPr>
      </w:pPr>
      <w:r>
        <w:rPr>
          <w:b/>
          <w:bCs/>
          <w:sz w:val="28"/>
          <w:szCs w:val="28"/>
        </w:rPr>
        <w:t xml:space="preserve">1. </w:t>
      </w:r>
      <w:r w:rsidRPr="001E68F3">
        <w:rPr>
          <w:b/>
          <w:bCs/>
          <w:sz w:val="28"/>
          <w:szCs w:val="28"/>
        </w:rPr>
        <w:t>Premessa</w:t>
      </w:r>
      <w:r w:rsidR="008B4D02">
        <w:rPr>
          <w:b/>
          <w:bCs/>
          <w:sz w:val="28"/>
          <w:szCs w:val="28"/>
        </w:rPr>
        <w:t xml:space="preserve"> di inquadramento</w:t>
      </w:r>
      <w:r w:rsidRPr="001E68F3">
        <w:rPr>
          <w:b/>
          <w:bCs/>
          <w:sz w:val="28"/>
          <w:szCs w:val="28"/>
        </w:rPr>
        <w:t>.</w:t>
      </w:r>
      <w:r>
        <w:rPr>
          <w:sz w:val="28"/>
          <w:szCs w:val="28"/>
        </w:rPr>
        <w:t xml:space="preserve"> </w:t>
      </w:r>
      <w:r w:rsidR="005A20A2" w:rsidRPr="0080394E">
        <w:rPr>
          <w:sz w:val="28"/>
          <w:szCs w:val="28"/>
        </w:rPr>
        <w:t xml:space="preserve">Le misure di prevenzione </w:t>
      </w:r>
      <w:r w:rsidR="000B4DE8" w:rsidRPr="0080394E">
        <w:rPr>
          <w:sz w:val="28"/>
          <w:szCs w:val="28"/>
        </w:rPr>
        <w:t xml:space="preserve">amministrativa </w:t>
      </w:r>
      <w:r w:rsidR="005A20A2" w:rsidRPr="0080394E">
        <w:rPr>
          <w:sz w:val="28"/>
          <w:szCs w:val="28"/>
        </w:rPr>
        <w:t>antimafia sono al centro del dibattito scientifico e giurisprudenziale. Negli ultimi anni</w:t>
      </w:r>
      <w:r w:rsidR="000B4DE8" w:rsidRPr="0080394E">
        <w:rPr>
          <w:sz w:val="28"/>
          <w:szCs w:val="28"/>
        </w:rPr>
        <w:t>,</w:t>
      </w:r>
      <w:r w:rsidR="005A20A2" w:rsidRPr="0080394E">
        <w:rPr>
          <w:sz w:val="28"/>
          <w:szCs w:val="28"/>
        </w:rPr>
        <w:t xml:space="preserve"> le informazioni interdittive</w:t>
      </w:r>
      <w:r w:rsidR="008B4D02">
        <w:rPr>
          <w:rStyle w:val="Rimandonotaapidipagina"/>
          <w:sz w:val="28"/>
          <w:szCs w:val="28"/>
        </w:rPr>
        <w:footnoteReference w:id="1"/>
      </w:r>
      <w:r w:rsidR="005A20A2" w:rsidRPr="0080394E">
        <w:rPr>
          <w:sz w:val="28"/>
          <w:szCs w:val="28"/>
        </w:rPr>
        <w:t xml:space="preserve"> sono passate da poche centinaia a quasi due migliaia e </w:t>
      </w:r>
      <w:r w:rsidR="008B0604" w:rsidRPr="0080394E">
        <w:rPr>
          <w:sz w:val="28"/>
          <w:szCs w:val="28"/>
        </w:rPr>
        <w:t xml:space="preserve">il raggiungimento di un giusto punto di equilibrio tra la primaria esigenza di tutela dell’ordine </w:t>
      </w:r>
      <w:r w:rsidR="00921D23">
        <w:rPr>
          <w:sz w:val="28"/>
          <w:szCs w:val="28"/>
        </w:rPr>
        <w:t xml:space="preserve">pubblico economico, </w:t>
      </w:r>
      <w:r w:rsidR="008B0604" w:rsidRPr="0080394E">
        <w:rPr>
          <w:sz w:val="28"/>
          <w:szCs w:val="28"/>
        </w:rPr>
        <w:t xml:space="preserve">della sicurezza </w:t>
      </w:r>
      <w:r w:rsidR="00921D23">
        <w:rPr>
          <w:sz w:val="28"/>
          <w:szCs w:val="28"/>
        </w:rPr>
        <w:t xml:space="preserve">sociale e della libera concorrenza </w:t>
      </w:r>
      <w:r w:rsidR="008B0604" w:rsidRPr="0080394E">
        <w:rPr>
          <w:sz w:val="28"/>
          <w:szCs w:val="28"/>
        </w:rPr>
        <w:t xml:space="preserve">che esse perseguono e l’altrettanto innegabile esigenza di tutela dei diritti degli operatori economici su cui esse pesantemente incidono acquista ancora maggiore rilevanza in </w:t>
      </w:r>
      <w:r w:rsidR="008B0604" w:rsidRPr="0080394E">
        <w:rPr>
          <w:sz w:val="28"/>
          <w:szCs w:val="28"/>
        </w:rPr>
        <w:lastRenderedPageBreak/>
        <w:t xml:space="preserve">relazione agli obiettivi del PNRR e, più in generale, alla irrinunciabile </w:t>
      </w:r>
      <w:r w:rsidR="000B4DE8" w:rsidRPr="0080394E">
        <w:rPr>
          <w:sz w:val="28"/>
          <w:szCs w:val="28"/>
        </w:rPr>
        <w:t>esigenza di combattere i diversi fattori di crisi economica</w:t>
      </w:r>
      <w:r w:rsidR="008B0604" w:rsidRPr="0080394E">
        <w:rPr>
          <w:sz w:val="28"/>
          <w:szCs w:val="28"/>
        </w:rPr>
        <w:t xml:space="preserve">. </w:t>
      </w:r>
    </w:p>
    <w:p w14:paraId="30FB24E4" w14:textId="6C01FBA4" w:rsidR="00E52F35" w:rsidRPr="0080394E" w:rsidRDefault="00501543" w:rsidP="00D16F96">
      <w:pPr>
        <w:spacing w:line="360" w:lineRule="auto"/>
        <w:jc w:val="both"/>
        <w:rPr>
          <w:sz w:val="28"/>
          <w:szCs w:val="28"/>
        </w:rPr>
      </w:pPr>
      <w:r w:rsidRPr="0080394E">
        <w:rPr>
          <w:sz w:val="28"/>
          <w:szCs w:val="28"/>
        </w:rPr>
        <w:t>Come ripetutamente segnalato dalla dottrina, sia accademica che togata, e ben avvertito anche dalla più recente giurisprudenza, l’</w:t>
      </w:r>
      <w:r w:rsidR="008B0604" w:rsidRPr="0080394E">
        <w:rPr>
          <w:sz w:val="28"/>
          <w:szCs w:val="28"/>
        </w:rPr>
        <w:t>informa</w:t>
      </w:r>
      <w:r w:rsidR="000B4DE8" w:rsidRPr="0080394E">
        <w:rPr>
          <w:sz w:val="28"/>
          <w:szCs w:val="28"/>
        </w:rPr>
        <w:t>zione</w:t>
      </w:r>
      <w:r w:rsidR="008B0604" w:rsidRPr="0080394E">
        <w:rPr>
          <w:sz w:val="28"/>
          <w:szCs w:val="28"/>
        </w:rPr>
        <w:t xml:space="preserve"> </w:t>
      </w:r>
      <w:r w:rsidRPr="0080394E">
        <w:rPr>
          <w:sz w:val="28"/>
          <w:szCs w:val="28"/>
        </w:rPr>
        <w:t xml:space="preserve">interdittiva </w:t>
      </w:r>
      <w:r w:rsidR="008B0604" w:rsidRPr="0080394E">
        <w:rPr>
          <w:sz w:val="28"/>
          <w:szCs w:val="28"/>
        </w:rPr>
        <w:t xml:space="preserve">antimafia </w:t>
      </w:r>
      <w:r w:rsidRPr="0080394E">
        <w:rPr>
          <w:sz w:val="28"/>
          <w:szCs w:val="28"/>
        </w:rPr>
        <w:t xml:space="preserve">-nonostante la sua, formale, provvisorietà- </w:t>
      </w:r>
      <w:r w:rsidR="00E52F35" w:rsidRPr="0080394E">
        <w:rPr>
          <w:sz w:val="28"/>
          <w:szCs w:val="28"/>
        </w:rPr>
        <w:t>può avere un effetto esiziale sull’impresa che ne è attinta</w:t>
      </w:r>
      <w:r w:rsidRPr="0080394E">
        <w:rPr>
          <w:sz w:val="28"/>
          <w:szCs w:val="28"/>
        </w:rPr>
        <w:t xml:space="preserve">. </w:t>
      </w:r>
    </w:p>
    <w:p w14:paraId="68BD556D" w14:textId="2110D487" w:rsidR="00E52F35" w:rsidRPr="0080394E" w:rsidRDefault="000B4DE8" w:rsidP="00D16F96">
      <w:pPr>
        <w:spacing w:line="360" w:lineRule="auto"/>
        <w:jc w:val="both"/>
        <w:rPr>
          <w:sz w:val="28"/>
          <w:szCs w:val="28"/>
        </w:rPr>
      </w:pPr>
      <w:r w:rsidRPr="0080394E">
        <w:rPr>
          <w:sz w:val="28"/>
          <w:szCs w:val="28"/>
        </w:rPr>
        <w:t xml:space="preserve">Concepita </w:t>
      </w:r>
      <w:r w:rsidR="008B0604" w:rsidRPr="0080394E">
        <w:rPr>
          <w:sz w:val="28"/>
          <w:szCs w:val="28"/>
        </w:rPr>
        <w:t>come una misura di nicchia</w:t>
      </w:r>
      <w:r w:rsidRPr="0080394E">
        <w:rPr>
          <w:sz w:val="28"/>
          <w:szCs w:val="28"/>
        </w:rPr>
        <w:t>,</w:t>
      </w:r>
      <w:r w:rsidR="008B0604" w:rsidRPr="0080394E">
        <w:rPr>
          <w:sz w:val="28"/>
          <w:szCs w:val="28"/>
        </w:rPr>
        <w:t xml:space="preserve"> essenzialmente focalizzata sui rapporti contrattuali della pubblica amministrazione e </w:t>
      </w:r>
      <w:r w:rsidR="009C1D11" w:rsidRPr="0080394E">
        <w:rPr>
          <w:sz w:val="28"/>
          <w:szCs w:val="28"/>
        </w:rPr>
        <w:t xml:space="preserve">come tale in qualche modo giustificata dal diritto del committente (pubblico e privato) di scegliere contraenti </w:t>
      </w:r>
      <w:r w:rsidR="00E52F35" w:rsidRPr="0080394E">
        <w:rPr>
          <w:sz w:val="28"/>
          <w:szCs w:val="28"/>
        </w:rPr>
        <w:t>-</w:t>
      </w:r>
      <w:r w:rsidR="009C1D11" w:rsidRPr="0080394E">
        <w:rPr>
          <w:sz w:val="28"/>
          <w:szCs w:val="28"/>
        </w:rPr>
        <w:t>almeno apparentemente</w:t>
      </w:r>
      <w:r w:rsidR="00E52F35" w:rsidRPr="0080394E">
        <w:rPr>
          <w:sz w:val="28"/>
          <w:szCs w:val="28"/>
        </w:rPr>
        <w:t>-</w:t>
      </w:r>
      <w:r w:rsidR="009C1D11" w:rsidRPr="0080394E">
        <w:rPr>
          <w:sz w:val="28"/>
          <w:szCs w:val="28"/>
        </w:rPr>
        <w:t xml:space="preserve"> “sicuri”, la misura </w:t>
      </w:r>
      <w:r w:rsidR="008264A0">
        <w:rPr>
          <w:sz w:val="28"/>
          <w:szCs w:val="28"/>
        </w:rPr>
        <w:t xml:space="preserve">ha acquistato sempre maggiore valenza </w:t>
      </w:r>
      <w:r w:rsidR="008B0604" w:rsidRPr="0080394E">
        <w:rPr>
          <w:sz w:val="28"/>
          <w:szCs w:val="28"/>
        </w:rPr>
        <w:t>quando</w:t>
      </w:r>
      <w:r w:rsidR="006601B4" w:rsidRPr="0080394E">
        <w:rPr>
          <w:sz w:val="28"/>
          <w:szCs w:val="28"/>
        </w:rPr>
        <w:t xml:space="preserve">, come ben evidenziato anche in un </w:t>
      </w:r>
      <w:r w:rsidR="00873CD8" w:rsidRPr="0080394E">
        <w:rPr>
          <w:sz w:val="28"/>
          <w:szCs w:val="28"/>
        </w:rPr>
        <w:t xml:space="preserve">recente </w:t>
      </w:r>
      <w:r w:rsidRPr="0080394E">
        <w:rPr>
          <w:sz w:val="28"/>
          <w:szCs w:val="28"/>
        </w:rPr>
        <w:t xml:space="preserve">convegno </w:t>
      </w:r>
      <w:r w:rsidR="006601B4" w:rsidRPr="0080394E">
        <w:rPr>
          <w:sz w:val="28"/>
          <w:szCs w:val="28"/>
        </w:rPr>
        <w:t>d</w:t>
      </w:r>
      <w:r w:rsidRPr="0080394E">
        <w:rPr>
          <w:sz w:val="28"/>
          <w:szCs w:val="28"/>
        </w:rPr>
        <w:t>a</w:t>
      </w:r>
      <w:r w:rsidR="006601B4" w:rsidRPr="0080394E">
        <w:rPr>
          <w:sz w:val="28"/>
          <w:szCs w:val="28"/>
        </w:rPr>
        <w:t>l consigliere di Stato Giulio VELTRI</w:t>
      </w:r>
      <w:r w:rsidR="008264A0">
        <w:rPr>
          <w:rStyle w:val="Rimandonotaapidipagina"/>
          <w:sz w:val="28"/>
          <w:szCs w:val="28"/>
        </w:rPr>
        <w:footnoteReference w:id="2"/>
      </w:r>
      <w:r w:rsidR="006601B4" w:rsidRPr="0080394E">
        <w:rPr>
          <w:sz w:val="28"/>
          <w:szCs w:val="28"/>
        </w:rPr>
        <w:t>,</w:t>
      </w:r>
      <w:r w:rsidR="008B0604" w:rsidRPr="0080394E">
        <w:rPr>
          <w:sz w:val="28"/>
          <w:szCs w:val="28"/>
        </w:rPr>
        <w:t xml:space="preserve"> il legislatore </w:t>
      </w:r>
      <w:r w:rsidR="00EB24AC" w:rsidRPr="0080394E">
        <w:rPr>
          <w:sz w:val="28"/>
          <w:szCs w:val="28"/>
        </w:rPr>
        <w:t xml:space="preserve">ne ha </w:t>
      </w:r>
      <w:r w:rsidR="008B0604" w:rsidRPr="0080394E">
        <w:rPr>
          <w:sz w:val="28"/>
          <w:szCs w:val="28"/>
        </w:rPr>
        <w:t>este</w:t>
      </w:r>
      <w:r w:rsidR="00EB24AC" w:rsidRPr="0080394E">
        <w:rPr>
          <w:sz w:val="28"/>
          <w:szCs w:val="28"/>
        </w:rPr>
        <w:t>so</w:t>
      </w:r>
      <w:r w:rsidR="008B0604" w:rsidRPr="0080394E">
        <w:rPr>
          <w:sz w:val="28"/>
          <w:szCs w:val="28"/>
        </w:rPr>
        <w:t xml:space="preserve"> l'ambito di applicazione alle autorizzazioni commerciali</w:t>
      </w:r>
      <w:r w:rsidR="00EB24AC" w:rsidRPr="0080394E">
        <w:rPr>
          <w:sz w:val="28"/>
          <w:szCs w:val="28"/>
        </w:rPr>
        <w:t xml:space="preserve"> e</w:t>
      </w:r>
      <w:r w:rsidR="00CD0124">
        <w:rPr>
          <w:sz w:val="28"/>
          <w:szCs w:val="28"/>
        </w:rPr>
        <w:t>, attraverso i protocolli di legalità, alla contrattazione privata,</w:t>
      </w:r>
      <w:r w:rsidR="00EB24AC" w:rsidRPr="0080394E">
        <w:rPr>
          <w:sz w:val="28"/>
          <w:szCs w:val="28"/>
        </w:rPr>
        <w:t xml:space="preserve"> </w:t>
      </w:r>
      <w:r w:rsidR="00E06C12">
        <w:rPr>
          <w:sz w:val="28"/>
          <w:szCs w:val="28"/>
        </w:rPr>
        <w:t xml:space="preserve">e </w:t>
      </w:r>
      <w:r w:rsidR="008B0604" w:rsidRPr="0080394E">
        <w:rPr>
          <w:sz w:val="28"/>
          <w:szCs w:val="28"/>
        </w:rPr>
        <w:t xml:space="preserve">la giurisprudenza ha traslato </w:t>
      </w:r>
      <w:r w:rsidR="00EB24AC" w:rsidRPr="0080394E">
        <w:rPr>
          <w:sz w:val="28"/>
          <w:szCs w:val="28"/>
        </w:rPr>
        <w:t xml:space="preserve">i principi e le linee interpretative maturati </w:t>
      </w:r>
      <w:r w:rsidR="008B0604" w:rsidRPr="0080394E">
        <w:rPr>
          <w:sz w:val="28"/>
          <w:szCs w:val="28"/>
        </w:rPr>
        <w:t xml:space="preserve">quando </w:t>
      </w:r>
      <w:r w:rsidR="00EB24AC" w:rsidRPr="0080394E">
        <w:rPr>
          <w:sz w:val="28"/>
          <w:szCs w:val="28"/>
        </w:rPr>
        <w:t>l’</w:t>
      </w:r>
      <w:r w:rsidR="008B0604" w:rsidRPr="0080394E">
        <w:rPr>
          <w:sz w:val="28"/>
          <w:szCs w:val="28"/>
        </w:rPr>
        <w:t xml:space="preserve">informativa era riferita ai soli rapporti contrattuali </w:t>
      </w:r>
      <w:r w:rsidR="00CD0124">
        <w:rPr>
          <w:sz w:val="28"/>
          <w:szCs w:val="28"/>
        </w:rPr>
        <w:t xml:space="preserve">con la </w:t>
      </w:r>
      <w:proofErr w:type="spellStart"/>
      <w:r w:rsidR="00CD0124">
        <w:rPr>
          <w:sz w:val="28"/>
          <w:szCs w:val="28"/>
        </w:rPr>
        <w:t>p.A.</w:t>
      </w:r>
      <w:proofErr w:type="spellEnd"/>
      <w:r w:rsidR="00CD0124">
        <w:rPr>
          <w:sz w:val="28"/>
          <w:szCs w:val="28"/>
        </w:rPr>
        <w:t xml:space="preserve"> </w:t>
      </w:r>
      <w:r w:rsidR="008B0604" w:rsidRPr="0080394E">
        <w:rPr>
          <w:sz w:val="28"/>
          <w:szCs w:val="28"/>
        </w:rPr>
        <w:t xml:space="preserve">anche a questa nuova e più ampia area </w:t>
      </w:r>
      <w:r w:rsidR="00EB24AC" w:rsidRPr="0080394E">
        <w:rPr>
          <w:sz w:val="28"/>
          <w:szCs w:val="28"/>
        </w:rPr>
        <w:t xml:space="preserve">di </w:t>
      </w:r>
      <w:r w:rsidR="006601B4" w:rsidRPr="0080394E">
        <w:rPr>
          <w:sz w:val="28"/>
          <w:szCs w:val="28"/>
        </w:rPr>
        <w:t xml:space="preserve">incidenza </w:t>
      </w:r>
      <w:r w:rsidR="00EB24AC" w:rsidRPr="0080394E">
        <w:rPr>
          <w:sz w:val="28"/>
          <w:szCs w:val="28"/>
        </w:rPr>
        <w:t>dello strumento</w:t>
      </w:r>
      <w:r w:rsidR="006601B4" w:rsidRPr="0080394E">
        <w:rPr>
          <w:sz w:val="28"/>
          <w:szCs w:val="28"/>
        </w:rPr>
        <w:t xml:space="preserve">. </w:t>
      </w:r>
    </w:p>
    <w:p w14:paraId="1D1B5C6B" w14:textId="5E21ACC1" w:rsidR="00015217" w:rsidRPr="0080394E" w:rsidRDefault="006601B4" w:rsidP="00D16F96">
      <w:pPr>
        <w:spacing w:line="360" w:lineRule="auto"/>
        <w:jc w:val="both"/>
        <w:rPr>
          <w:rFonts w:cstheme="minorHAnsi"/>
          <w:sz w:val="28"/>
          <w:szCs w:val="28"/>
        </w:rPr>
      </w:pPr>
      <w:r w:rsidRPr="0080394E">
        <w:rPr>
          <w:sz w:val="28"/>
          <w:szCs w:val="28"/>
        </w:rPr>
        <w:t>L’</w:t>
      </w:r>
      <w:r w:rsidR="000A6361">
        <w:rPr>
          <w:sz w:val="28"/>
          <w:szCs w:val="28"/>
        </w:rPr>
        <w:t>operatore</w:t>
      </w:r>
      <w:r w:rsidRPr="0080394E">
        <w:rPr>
          <w:sz w:val="28"/>
          <w:szCs w:val="28"/>
        </w:rPr>
        <w:t xml:space="preserve"> colpit</w:t>
      </w:r>
      <w:r w:rsidR="000A6361">
        <w:rPr>
          <w:sz w:val="28"/>
          <w:szCs w:val="28"/>
        </w:rPr>
        <w:t>o</w:t>
      </w:r>
      <w:r w:rsidRPr="0080394E">
        <w:rPr>
          <w:sz w:val="28"/>
          <w:szCs w:val="28"/>
        </w:rPr>
        <w:t xml:space="preserve"> dall’interdittiva perché l’autorità prefettizia</w:t>
      </w:r>
      <w:r w:rsidR="00AE4890" w:rsidRPr="0080394E">
        <w:rPr>
          <w:sz w:val="28"/>
          <w:szCs w:val="28"/>
        </w:rPr>
        <w:t>,</w:t>
      </w:r>
      <w:r w:rsidRPr="0080394E">
        <w:rPr>
          <w:sz w:val="28"/>
          <w:szCs w:val="28"/>
        </w:rPr>
        <w:t xml:space="preserve"> da una serie di elementi puramente indiziari</w:t>
      </w:r>
      <w:r w:rsidR="00AE4890" w:rsidRPr="0080394E">
        <w:rPr>
          <w:sz w:val="28"/>
          <w:szCs w:val="28"/>
        </w:rPr>
        <w:t>,</w:t>
      </w:r>
      <w:r w:rsidRPr="0080394E">
        <w:rPr>
          <w:sz w:val="28"/>
          <w:szCs w:val="28"/>
        </w:rPr>
        <w:t xml:space="preserve"> </w:t>
      </w:r>
      <w:r w:rsidR="00AE4890" w:rsidRPr="0080394E">
        <w:rPr>
          <w:sz w:val="28"/>
          <w:szCs w:val="28"/>
        </w:rPr>
        <w:t xml:space="preserve">ha rinvenuto </w:t>
      </w:r>
      <w:r w:rsidRPr="0080394E">
        <w:rPr>
          <w:sz w:val="28"/>
          <w:szCs w:val="28"/>
        </w:rPr>
        <w:t xml:space="preserve">un rischio di potenziale pericolo non </w:t>
      </w:r>
      <w:r w:rsidR="009254A7" w:rsidRPr="0080394E">
        <w:rPr>
          <w:sz w:val="28"/>
          <w:szCs w:val="28"/>
        </w:rPr>
        <w:t>si vedrà invero più soltanto precluso l’accesso ai contratti pubblici, ma si troverà più generalmente impossibilitat</w:t>
      </w:r>
      <w:r w:rsidR="000A6361">
        <w:rPr>
          <w:sz w:val="28"/>
          <w:szCs w:val="28"/>
        </w:rPr>
        <w:t>o</w:t>
      </w:r>
      <w:r w:rsidR="009254A7" w:rsidRPr="0080394E">
        <w:rPr>
          <w:sz w:val="28"/>
          <w:szCs w:val="28"/>
        </w:rPr>
        <w:t xml:space="preserve"> ad avviare qualsivoglia attività economica</w:t>
      </w:r>
      <w:r w:rsidR="000A6361">
        <w:rPr>
          <w:sz w:val="28"/>
          <w:szCs w:val="28"/>
        </w:rPr>
        <w:t xml:space="preserve"> (tanto che si è parlato di “ergastolo imprenditoriale”)</w:t>
      </w:r>
      <w:r w:rsidR="009254A7" w:rsidRPr="0080394E">
        <w:rPr>
          <w:sz w:val="28"/>
          <w:szCs w:val="28"/>
        </w:rPr>
        <w:t xml:space="preserve">. Il che, verosimilmente, lo esporrà al </w:t>
      </w:r>
      <w:r w:rsidR="007051B6" w:rsidRPr="0080394E">
        <w:rPr>
          <w:sz w:val="28"/>
          <w:szCs w:val="28"/>
        </w:rPr>
        <w:t xml:space="preserve">dissesto o al </w:t>
      </w:r>
      <w:r w:rsidR="009254A7" w:rsidRPr="0080394E">
        <w:rPr>
          <w:sz w:val="28"/>
          <w:szCs w:val="28"/>
        </w:rPr>
        <w:t xml:space="preserve">fallimento, anche se all’esito del giudizio -amministrativo e/o penale- intentato </w:t>
      </w:r>
      <w:r w:rsidR="000A6361">
        <w:rPr>
          <w:sz w:val="28"/>
          <w:szCs w:val="28"/>
        </w:rPr>
        <w:t>per reagire allo strumento</w:t>
      </w:r>
      <w:r w:rsidR="009254A7" w:rsidRPr="0080394E">
        <w:rPr>
          <w:sz w:val="28"/>
          <w:szCs w:val="28"/>
        </w:rPr>
        <w:t xml:space="preserve">, </w:t>
      </w:r>
      <w:r w:rsidR="00495881" w:rsidRPr="0080394E">
        <w:rPr>
          <w:sz w:val="28"/>
          <w:szCs w:val="28"/>
        </w:rPr>
        <w:t xml:space="preserve">il pericolo si rivelasse </w:t>
      </w:r>
      <w:r w:rsidR="00421126" w:rsidRPr="0080394E">
        <w:rPr>
          <w:sz w:val="28"/>
          <w:szCs w:val="28"/>
        </w:rPr>
        <w:t>in</w:t>
      </w:r>
      <w:r w:rsidR="00873CD8" w:rsidRPr="0080394E">
        <w:rPr>
          <w:sz w:val="28"/>
          <w:szCs w:val="28"/>
        </w:rPr>
        <w:t xml:space="preserve">sussistente o comunque </w:t>
      </w:r>
      <w:r w:rsidR="00495881" w:rsidRPr="0080394E">
        <w:rPr>
          <w:sz w:val="28"/>
          <w:szCs w:val="28"/>
        </w:rPr>
        <w:t>evitabile</w:t>
      </w:r>
      <w:r w:rsidR="00873CD8" w:rsidRPr="0080394E">
        <w:rPr>
          <w:sz w:val="28"/>
          <w:szCs w:val="28"/>
        </w:rPr>
        <w:t xml:space="preserve"> attraverso la sottoposizione a misure di prevenzione</w:t>
      </w:r>
      <w:r w:rsidR="00366BAE" w:rsidRPr="0080394E">
        <w:rPr>
          <w:sz w:val="28"/>
          <w:szCs w:val="28"/>
        </w:rPr>
        <w:t xml:space="preserve"> meno r</w:t>
      </w:r>
      <w:r w:rsidR="0080394E">
        <w:rPr>
          <w:sz w:val="28"/>
          <w:szCs w:val="28"/>
        </w:rPr>
        <w:t>adicali</w:t>
      </w:r>
      <w:r w:rsidR="00495881" w:rsidRPr="0080394E">
        <w:rPr>
          <w:sz w:val="28"/>
          <w:szCs w:val="28"/>
        </w:rPr>
        <w:t xml:space="preserve">. </w:t>
      </w:r>
      <w:r w:rsidR="00D67A25" w:rsidRPr="0080394E">
        <w:rPr>
          <w:sz w:val="28"/>
          <w:szCs w:val="28"/>
        </w:rPr>
        <w:t xml:space="preserve">Ricordo a tale </w:t>
      </w:r>
      <w:r w:rsidR="00D67A25" w:rsidRPr="0080394E">
        <w:rPr>
          <w:sz w:val="28"/>
          <w:szCs w:val="28"/>
        </w:rPr>
        <w:lastRenderedPageBreak/>
        <w:t xml:space="preserve">proposito che la Corte costituzionale, con la </w:t>
      </w:r>
      <w:proofErr w:type="spellStart"/>
      <w:r w:rsidR="00D67A25" w:rsidRPr="0080394E">
        <w:rPr>
          <w:sz w:val="28"/>
          <w:szCs w:val="28"/>
        </w:rPr>
        <w:t>sent</w:t>
      </w:r>
      <w:proofErr w:type="spellEnd"/>
      <w:r w:rsidR="00D67A25" w:rsidRPr="0080394E">
        <w:rPr>
          <w:sz w:val="28"/>
          <w:szCs w:val="28"/>
        </w:rPr>
        <w:t>. n. 57/2020</w:t>
      </w:r>
      <w:r w:rsidR="009D2251">
        <w:rPr>
          <w:rStyle w:val="Rimandonotaapidipagina"/>
          <w:sz w:val="28"/>
          <w:szCs w:val="28"/>
        </w:rPr>
        <w:footnoteReference w:id="3"/>
      </w:r>
      <w:r w:rsidR="00D67A25" w:rsidRPr="0080394E">
        <w:rPr>
          <w:sz w:val="28"/>
          <w:szCs w:val="28"/>
        </w:rPr>
        <w:t>, per giustificare la conformità dell’istituto dell’interdittiva ai principi sostanzial</w:t>
      </w:r>
      <w:r w:rsidR="002F2215" w:rsidRPr="0080394E">
        <w:rPr>
          <w:sz w:val="28"/>
          <w:szCs w:val="28"/>
        </w:rPr>
        <w:t>i</w:t>
      </w:r>
      <w:r w:rsidR="00D67A25" w:rsidRPr="0080394E">
        <w:rPr>
          <w:sz w:val="28"/>
          <w:szCs w:val="28"/>
        </w:rPr>
        <w:t xml:space="preserve"> e procedimental</w:t>
      </w:r>
      <w:r w:rsidR="002F2215" w:rsidRPr="0080394E">
        <w:rPr>
          <w:sz w:val="28"/>
          <w:szCs w:val="28"/>
        </w:rPr>
        <w:t>i a tutela dei diritti fondamentali de</w:t>
      </w:r>
      <w:r w:rsidR="00F232B7" w:rsidRPr="0080394E">
        <w:rPr>
          <w:sz w:val="28"/>
          <w:szCs w:val="28"/>
        </w:rPr>
        <w:t>i soggetti colpiti</w:t>
      </w:r>
      <w:r w:rsidR="00D67A25" w:rsidRPr="0080394E">
        <w:rPr>
          <w:sz w:val="28"/>
          <w:szCs w:val="28"/>
        </w:rPr>
        <w:t xml:space="preserve">, ha </w:t>
      </w:r>
      <w:r w:rsidR="002F2215" w:rsidRPr="0080394E">
        <w:rPr>
          <w:sz w:val="28"/>
          <w:szCs w:val="28"/>
        </w:rPr>
        <w:t xml:space="preserve">riconosciuto </w:t>
      </w:r>
      <w:r w:rsidR="00D67A25" w:rsidRPr="0080394E">
        <w:rPr>
          <w:sz w:val="28"/>
          <w:szCs w:val="28"/>
        </w:rPr>
        <w:t>“</w:t>
      </w:r>
      <w:r w:rsidR="00D67A25" w:rsidRPr="0080394E">
        <w:rPr>
          <w:i/>
          <w:iCs/>
          <w:sz w:val="28"/>
          <w:szCs w:val="28"/>
        </w:rPr>
        <w:t>un ruolo particolarmente rilevante</w:t>
      </w:r>
      <w:r w:rsidR="00D67A25" w:rsidRPr="0080394E">
        <w:rPr>
          <w:sz w:val="28"/>
          <w:szCs w:val="28"/>
        </w:rPr>
        <w:t xml:space="preserve"> </w:t>
      </w:r>
      <w:r w:rsidR="002F2215" w:rsidRPr="0080394E">
        <w:rPr>
          <w:sz w:val="28"/>
          <w:szCs w:val="28"/>
        </w:rPr>
        <w:t xml:space="preserve">[al] </w:t>
      </w:r>
      <w:r w:rsidR="00D67A25" w:rsidRPr="0080394E">
        <w:rPr>
          <w:i/>
          <w:iCs/>
          <w:sz w:val="28"/>
          <w:szCs w:val="28"/>
        </w:rPr>
        <w:t>carattere provvisorio della misura</w:t>
      </w:r>
      <w:r w:rsidR="00F232B7" w:rsidRPr="0080394E">
        <w:rPr>
          <w:sz w:val="28"/>
          <w:szCs w:val="28"/>
        </w:rPr>
        <w:t xml:space="preserve">”, </w:t>
      </w:r>
      <w:r w:rsidR="000427B5" w:rsidRPr="0080394E">
        <w:rPr>
          <w:sz w:val="28"/>
          <w:szCs w:val="28"/>
        </w:rPr>
        <w:t>propugnando una lettura rigorosa del termine annuale di validità previsto dall’art. 86 del codice</w:t>
      </w:r>
      <w:r w:rsidR="00AE73B0">
        <w:rPr>
          <w:sz w:val="28"/>
          <w:szCs w:val="28"/>
        </w:rPr>
        <w:t xml:space="preserve">: </w:t>
      </w:r>
      <w:r w:rsidR="00F232B7" w:rsidRPr="0080394E">
        <w:rPr>
          <w:sz w:val="28"/>
          <w:szCs w:val="28"/>
        </w:rPr>
        <w:t>“</w:t>
      </w:r>
      <w:r w:rsidR="00D67A25" w:rsidRPr="0080394E">
        <w:rPr>
          <w:i/>
          <w:iCs/>
          <w:sz w:val="28"/>
          <w:szCs w:val="28"/>
        </w:rPr>
        <w:t>È questo il senso della disposizione dell’art. 86, comma 2, del d.lgs. n. 159 del 2011, secondo il quale l’informativa antimafia ha una validità limitata di dodici mesi, cosicché alla scadenza del termine occorre procedere alla verifica della persistenza o meno delle circostanze poste a fondamento dell’interdittiva, con l’effetto, in caso di conclusione positiva, della reiscrizione nell’albo delle imprese artigiane, nella specie, e in generale del recupero dell’impresa al mercato. E va sottolineata al riguardo la necessità di un’applicazione puntuale e sostanziale della norma, per scongiurare il rischio della persistenza di una misura non più giustificata e quindi di un danno realmente irreversibile…</w:t>
      </w:r>
      <w:r w:rsidR="00D67A25" w:rsidRPr="0080394E">
        <w:rPr>
          <w:sz w:val="28"/>
          <w:szCs w:val="28"/>
        </w:rPr>
        <w:t>”.</w:t>
      </w:r>
      <w:r w:rsidR="00F232B7" w:rsidRPr="0080394E">
        <w:rPr>
          <w:sz w:val="28"/>
          <w:szCs w:val="28"/>
        </w:rPr>
        <w:t xml:space="preserve"> </w:t>
      </w:r>
      <w:r w:rsidR="003F4B6C">
        <w:rPr>
          <w:sz w:val="28"/>
          <w:szCs w:val="28"/>
        </w:rPr>
        <w:t>Merita sul punto rimarcare che l</w:t>
      </w:r>
      <w:r w:rsidR="00D117D5" w:rsidRPr="0080394E">
        <w:rPr>
          <w:sz w:val="28"/>
          <w:szCs w:val="28"/>
        </w:rPr>
        <w:t xml:space="preserve">a giurisprudenza amministrativa </w:t>
      </w:r>
      <w:r w:rsidR="003C5B43" w:rsidRPr="0080394E">
        <w:rPr>
          <w:sz w:val="28"/>
          <w:szCs w:val="28"/>
        </w:rPr>
        <w:t xml:space="preserve">è consolidata nell’affermare </w:t>
      </w:r>
      <w:r w:rsidR="00D117D5" w:rsidRPr="0080394E">
        <w:rPr>
          <w:sz w:val="28"/>
          <w:szCs w:val="28"/>
        </w:rPr>
        <w:t xml:space="preserve">che </w:t>
      </w:r>
      <w:r w:rsidR="00FA16B0" w:rsidRPr="0080394E">
        <w:rPr>
          <w:sz w:val="28"/>
          <w:szCs w:val="28"/>
        </w:rPr>
        <w:t>il decorso d</w:t>
      </w:r>
      <w:r w:rsidR="00F232B7" w:rsidRPr="0080394E">
        <w:rPr>
          <w:sz w:val="28"/>
          <w:szCs w:val="28"/>
        </w:rPr>
        <w:t>el termine annuale indicato dall’art. 86</w:t>
      </w:r>
      <w:r w:rsidR="00FA16B0" w:rsidRPr="0080394E">
        <w:rPr>
          <w:sz w:val="28"/>
          <w:szCs w:val="28"/>
        </w:rPr>
        <w:t xml:space="preserve"> non implica</w:t>
      </w:r>
      <w:r w:rsidR="00BF3734" w:rsidRPr="0080394E">
        <w:rPr>
          <w:sz w:val="28"/>
          <w:szCs w:val="28"/>
        </w:rPr>
        <w:t xml:space="preserve"> </w:t>
      </w:r>
      <w:r w:rsidR="00D117D5" w:rsidRPr="0080394E">
        <w:rPr>
          <w:sz w:val="28"/>
          <w:szCs w:val="28"/>
        </w:rPr>
        <w:t xml:space="preserve">la decadenza </w:t>
      </w:r>
      <w:r w:rsidR="00FA16B0" w:rsidRPr="0080394E">
        <w:rPr>
          <w:sz w:val="28"/>
          <w:szCs w:val="28"/>
        </w:rPr>
        <w:t>automatica</w:t>
      </w:r>
      <w:r w:rsidR="00D117D5" w:rsidRPr="0080394E">
        <w:rPr>
          <w:sz w:val="28"/>
          <w:szCs w:val="28"/>
        </w:rPr>
        <w:t xml:space="preserve"> dell</w:t>
      </w:r>
      <w:r w:rsidR="00BF3734" w:rsidRPr="0080394E">
        <w:rPr>
          <w:sz w:val="28"/>
          <w:szCs w:val="28"/>
        </w:rPr>
        <w:t xml:space="preserve">’eventuale misura </w:t>
      </w:r>
      <w:r w:rsidR="00D117D5" w:rsidRPr="0080394E">
        <w:rPr>
          <w:sz w:val="28"/>
          <w:szCs w:val="28"/>
        </w:rPr>
        <w:t xml:space="preserve">interdittiva, ma </w:t>
      </w:r>
      <w:r w:rsidR="00BF3734" w:rsidRPr="0080394E">
        <w:rPr>
          <w:sz w:val="28"/>
          <w:szCs w:val="28"/>
        </w:rPr>
        <w:t xml:space="preserve">impone soltanto di procedere alla verifica della persistenza o meno delle circostanze poste a fondamento dell’interdittiva, con l’effetto, in caso di conclusione positiva, della reiscrizione </w:t>
      </w:r>
      <w:r w:rsidR="00366BAE" w:rsidRPr="0080394E">
        <w:rPr>
          <w:sz w:val="28"/>
          <w:szCs w:val="28"/>
        </w:rPr>
        <w:t xml:space="preserve">dell’impresa </w:t>
      </w:r>
      <w:r w:rsidR="00BF3734" w:rsidRPr="0080394E">
        <w:rPr>
          <w:sz w:val="28"/>
          <w:szCs w:val="28"/>
        </w:rPr>
        <w:t>nell’albo le imprese e</w:t>
      </w:r>
      <w:r w:rsidR="00366BAE" w:rsidRPr="0080394E">
        <w:rPr>
          <w:sz w:val="28"/>
          <w:szCs w:val="28"/>
        </w:rPr>
        <w:t>,</w:t>
      </w:r>
      <w:r w:rsidR="00BF3734" w:rsidRPr="0080394E">
        <w:rPr>
          <w:sz w:val="28"/>
          <w:szCs w:val="28"/>
        </w:rPr>
        <w:t xml:space="preserve"> in generale</w:t>
      </w:r>
      <w:r w:rsidR="00366BAE" w:rsidRPr="0080394E">
        <w:rPr>
          <w:sz w:val="28"/>
          <w:szCs w:val="28"/>
        </w:rPr>
        <w:t>,</w:t>
      </w:r>
      <w:r w:rsidR="00BF3734" w:rsidRPr="0080394E">
        <w:rPr>
          <w:sz w:val="28"/>
          <w:szCs w:val="28"/>
        </w:rPr>
        <w:t xml:space="preserve"> del </w:t>
      </w:r>
      <w:r w:rsidR="00366BAE" w:rsidRPr="0080394E">
        <w:rPr>
          <w:sz w:val="28"/>
          <w:szCs w:val="28"/>
        </w:rPr>
        <w:t xml:space="preserve">suo </w:t>
      </w:r>
      <w:r w:rsidR="00BF3734" w:rsidRPr="0080394E">
        <w:rPr>
          <w:sz w:val="28"/>
          <w:szCs w:val="28"/>
        </w:rPr>
        <w:t>recupero al mercato</w:t>
      </w:r>
      <w:r w:rsidR="00FB7884" w:rsidRPr="0080394E">
        <w:rPr>
          <w:sz w:val="28"/>
          <w:szCs w:val="28"/>
        </w:rPr>
        <w:t xml:space="preserve">. Il principio è ribadito, citando anche l’Adunanza Plenaria n. 23 del 2020, </w:t>
      </w:r>
      <w:r w:rsidR="003F4B6C">
        <w:rPr>
          <w:sz w:val="28"/>
          <w:szCs w:val="28"/>
        </w:rPr>
        <w:t xml:space="preserve">in un </w:t>
      </w:r>
      <w:r w:rsidR="005D7CBF" w:rsidRPr="0080394E">
        <w:rPr>
          <w:sz w:val="28"/>
          <w:szCs w:val="28"/>
        </w:rPr>
        <w:t>ampio e puntuale scritto del consigliere di Stato Massimiliano NOCCELLI</w:t>
      </w:r>
      <w:r w:rsidR="00FB7884" w:rsidRPr="0080394E">
        <w:rPr>
          <w:sz w:val="28"/>
          <w:szCs w:val="28"/>
        </w:rPr>
        <w:t>,</w:t>
      </w:r>
      <w:r w:rsidR="005D7CBF" w:rsidRPr="0080394E">
        <w:rPr>
          <w:sz w:val="28"/>
          <w:szCs w:val="28"/>
        </w:rPr>
        <w:t xml:space="preserve"> pubblicato nel 2021 sul sito della giustizia amministrativa</w:t>
      </w:r>
      <w:r w:rsidR="0080394E">
        <w:rPr>
          <w:rStyle w:val="Rimandonotaapidipagina"/>
          <w:sz w:val="28"/>
          <w:szCs w:val="28"/>
        </w:rPr>
        <w:footnoteReference w:id="4"/>
      </w:r>
      <w:r w:rsidR="003224A3" w:rsidRPr="0080394E">
        <w:rPr>
          <w:sz w:val="28"/>
          <w:szCs w:val="28"/>
        </w:rPr>
        <w:t>, il quale</w:t>
      </w:r>
      <w:r w:rsidR="00FB7884" w:rsidRPr="0080394E">
        <w:rPr>
          <w:sz w:val="28"/>
          <w:szCs w:val="28"/>
        </w:rPr>
        <w:t xml:space="preserve"> </w:t>
      </w:r>
      <w:r w:rsidR="00EC41AD">
        <w:rPr>
          <w:sz w:val="28"/>
          <w:szCs w:val="28"/>
        </w:rPr>
        <w:t xml:space="preserve">sottolinea </w:t>
      </w:r>
      <w:r w:rsidR="003224A3" w:rsidRPr="0080394E">
        <w:rPr>
          <w:sz w:val="28"/>
          <w:szCs w:val="28"/>
        </w:rPr>
        <w:t xml:space="preserve">che </w:t>
      </w:r>
      <w:r w:rsidR="003C5B43" w:rsidRPr="0080394E">
        <w:rPr>
          <w:sz w:val="28"/>
          <w:szCs w:val="28"/>
        </w:rPr>
        <w:t>la durata annuale della misura non implica che</w:t>
      </w:r>
      <w:r w:rsidR="000818AE" w:rsidRPr="0080394E">
        <w:rPr>
          <w:sz w:val="28"/>
          <w:szCs w:val="28"/>
        </w:rPr>
        <w:t>,</w:t>
      </w:r>
      <w:r w:rsidR="003C5B43" w:rsidRPr="0080394E">
        <w:rPr>
          <w:sz w:val="28"/>
          <w:szCs w:val="28"/>
        </w:rPr>
        <w:t xml:space="preserve"> </w:t>
      </w:r>
      <w:r w:rsidR="000818AE" w:rsidRPr="0080394E">
        <w:rPr>
          <w:sz w:val="28"/>
          <w:szCs w:val="28"/>
        </w:rPr>
        <w:t xml:space="preserve">alla scadenza dei 12 mesi, </w:t>
      </w:r>
      <w:r w:rsidR="003C5B43" w:rsidRPr="0080394E">
        <w:rPr>
          <w:sz w:val="28"/>
          <w:szCs w:val="28"/>
        </w:rPr>
        <w:t xml:space="preserve">gli elementi posti a base dell’originario provvedimento perdano di attualità, </w:t>
      </w:r>
      <w:r w:rsidR="003C5B43" w:rsidRPr="0080394E">
        <w:rPr>
          <w:sz w:val="28"/>
          <w:szCs w:val="28"/>
        </w:rPr>
        <w:lastRenderedPageBreak/>
        <w:t>poiché essi, in mancanza di elementi sopravvenuti di segno contrario, mantengono inalterata la loro valenza indiziaria e ben possono giustificare il rinnovo del provvedimento interdittivo negli anni a seguire</w:t>
      </w:r>
      <w:r w:rsidR="000818AE" w:rsidRPr="0080394E">
        <w:rPr>
          <w:sz w:val="28"/>
          <w:szCs w:val="28"/>
        </w:rPr>
        <w:t>. L</w:t>
      </w:r>
      <w:r w:rsidR="00FB7884" w:rsidRPr="0080394E">
        <w:rPr>
          <w:sz w:val="28"/>
          <w:szCs w:val="28"/>
        </w:rPr>
        <w:t>’A. richiama</w:t>
      </w:r>
      <w:r w:rsidR="003C5B43" w:rsidRPr="0080394E">
        <w:rPr>
          <w:sz w:val="28"/>
          <w:szCs w:val="28"/>
        </w:rPr>
        <w:t xml:space="preserve"> </w:t>
      </w:r>
      <w:r w:rsidR="00EC41AD">
        <w:rPr>
          <w:sz w:val="28"/>
          <w:szCs w:val="28"/>
        </w:rPr>
        <w:t xml:space="preserve">in proposito </w:t>
      </w:r>
      <w:r w:rsidR="003C5B43" w:rsidRPr="0080394E">
        <w:rPr>
          <w:sz w:val="28"/>
          <w:szCs w:val="28"/>
        </w:rPr>
        <w:t>Cons. St., sez. III, 5 ottobre 2016, n. 4121</w:t>
      </w:r>
      <w:r w:rsidR="00FB7884" w:rsidRPr="0080394E">
        <w:rPr>
          <w:sz w:val="28"/>
          <w:szCs w:val="28"/>
        </w:rPr>
        <w:t xml:space="preserve">, </w:t>
      </w:r>
      <w:r w:rsidR="00EC41AD">
        <w:rPr>
          <w:sz w:val="28"/>
          <w:szCs w:val="28"/>
        </w:rPr>
        <w:t>nel senso che</w:t>
      </w:r>
      <w:r w:rsidR="003C5B43" w:rsidRPr="0080394E">
        <w:rPr>
          <w:sz w:val="28"/>
          <w:szCs w:val="28"/>
        </w:rPr>
        <w:t xml:space="preserve"> la persistente </w:t>
      </w:r>
      <w:r w:rsidR="003224A3" w:rsidRPr="0080394E">
        <w:rPr>
          <w:rFonts w:cstheme="minorHAnsi"/>
          <w:sz w:val="28"/>
          <w:szCs w:val="28"/>
        </w:rPr>
        <w:t xml:space="preserve">rilevanza degli elementi indiziari posti a base dell’informativa affermata dalla giurisprudenza, anche dopo il decorso </w:t>
      </w:r>
      <w:r w:rsidR="00EC41AD">
        <w:rPr>
          <w:rFonts w:cstheme="minorHAnsi"/>
          <w:sz w:val="28"/>
          <w:szCs w:val="28"/>
        </w:rPr>
        <w:t>de</w:t>
      </w:r>
      <w:r w:rsidR="003224A3" w:rsidRPr="0080394E">
        <w:rPr>
          <w:rFonts w:cstheme="minorHAnsi"/>
          <w:sz w:val="28"/>
          <w:szCs w:val="28"/>
        </w:rPr>
        <w:t xml:space="preserve">l termine annuale previsto dall'art. 86, co 2, </w:t>
      </w:r>
      <w:r w:rsidR="00FB7884" w:rsidRPr="0080394E">
        <w:rPr>
          <w:rFonts w:cstheme="minorHAnsi"/>
          <w:sz w:val="28"/>
          <w:szCs w:val="28"/>
        </w:rPr>
        <w:t>cit.</w:t>
      </w:r>
      <w:r w:rsidR="003224A3" w:rsidRPr="0080394E">
        <w:rPr>
          <w:rFonts w:cstheme="minorHAnsi"/>
          <w:sz w:val="28"/>
          <w:szCs w:val="28"/>
        </w:rPr>
        <w:t xml:space="preserve">, non è l’effetto di una non prevista ultrattività dell'informativa positiva, a differenza di quella c.d. negativa </w:t>
      </w:r>
      <w:r w:rsidR="000818AE" w:rsidRPr="0080394E">
        <w:rPr>
          <w:rFonts w:cstheme="minorHAnsi"/>
          <w:sz w:val="28"/>
          <w:szCs w:val="28"/>
        </w:rPr>
        <w:t>(</w:t>
      </w:r>
      <w:r w:rsidR="003224A3" w:rsidRPr="0080394E">
        <w:rPr>
          <w:rFonts w:cstheme="minorHAnsi"/>
          <w:sz w:val="28"/>
          <w:szCs w:val="28"/>
        </w:rPr>
        <w:t>o liberatoria</w:t>
      </w:r>
      <w:r w:rsidR="000818AE" w:rsidRPr="0080394E">
        <w:rPr>
          <w:rFonts w:cstheme="minorHAnsi"/>
          <w:sz w:val="28"/>
          <w:szCs w:val="28"/>
        </w:rPr>
        <w:t>)</w:t>
      </w:r>
      <w:r w:rsidR="003224A3" w:rsidRPr="0080394E">
        <w:rPr>
          <w:rFonts w:cstheme="minorHAnsi"/>
          <w:sz w:val="28"/>
          <w:szCs w:val="28"/>
        </w:rPr>
        <w:t xml:space="preserve">, né tantomeno il frutto di una non consentita interpretazione </w:t>
      </w:r>
      <w:r w:rsidR="003224A3" w:rsidRPr="0080394E">
        <w:rPr>
          <w:rFonts w:cstheme="minorHAnsi"/>
          <w:i/>
          <w:sz w:val="28"/>
          <w:szCs w:val="28"/>
        </w:rPr>
        <w:t xml:space="preserve">in </w:t>
      </w:r>
      <w:proofErr w:type="spellStart"/>
      <w:r w:rsidR="003224A3" w:rsidRPr="0080394E">
        <w:rPr>
          <w:rFonts w:cstheme="minorHAnsi"/>
          <w:i/>
          <w:sz w:val="28"/>
          <w:szCs w:val="28"/>
        </w:rPr>
        <w:t>malam</w:t>
      </w:r>
      <w:proofErr w:type="spellEnd"/>
      <w:r w:rsidR="003224A3" w:rsidRPr="0080394E">
        <w:rPr>
          <w:rFonts w:cstheme="minorHAnsi"/>
          <w:i/>
          <w:sz w:val="28"/>
          <w:szCs w:val="28"/>
        </w:rPr>
        <w:t xml:space="preserve"> </w:t>
      </w:r>
      <w:proofErr w:type="spellStart"/>
      <w:r w:rsidR="003224A3" w:rsidRPr="0080394E">
        <w:rPr>
          <w:rFonts w:cstheme="minorHAnsi"/>
          <w:i/>
          <w:sz w:val="28"/>
          <w:szCs w:val="28"/>
        </w:rPr>
        <w:t>partem</w:t>
      </w:r>
      <w:proofErr w:type="spellEnd"/>
      <w:r w:rsidR="003224A3" w:rsidRPr="0080394E">
        <w:rPr>
          <w:rFonts w:cstheme="minorHAnsi"/>
          <w:sz w:val="28"/>
          <w:szCs w:val="28"/>
        </w:rPr>
        <w:t>, come pure si è ritenuto, ma l’oggetto di una precisa disposizione normativa e, in particolare, dell’art. 91, comma 5, dello stesso d. lgs. n. 159 del 2011, per il quale «</w:t>
      </w:r>
      <w:r w:rsidR="003224A3" w:rsidRPr="0080394E">
        <w:rPr>
          <w:rFonts w:cstheme="minorHAnsi"/>
          <w:i/>
          <w:sz w:val="28"/>
          <w:szCs w:val="28"/>
        </w:rPr>
        <w:t xml:space="preserve">il </w:t>
      </w:r>
      <w:r w:rsidR="0000747F">
        <w:rPr>
          <w:rFonts w:cstheme="minorHAnsi"/>
          <w:i/>
          <w:sz w:val="28"/>
          <w:szCs w:val="28"/>
        </w:rPr>
        <w:t>Prefetto</w:t>
      </w:r>
      <w:r w:rsidR="003224A3" w:rsidRPr="0080394E">
        <w:rPr>
          <w:rFonts w:cstheme="minorHAnsi"/>
          <w:i/>
          <w:sz w:val="28"/>
          <w:szCs w:val="28"/>
        </w:rPr>
        <w:t>, anche sulla documentata richiesta dell’interessato, aggiorna l’esito dell’informazione al venir meno delle circostanze rilevanti ai fini dell’accertamento dei tentativi di infiltrazione mafiosa</w:t>
      </w:r>
      <w:r w:rsidR="003224A3" w:rsidRPr="0080394E">
        <w:rPr>
          <w:rFonts w:cstheme="minorHAnsi"/>
          <w:sz w:val="28"/>
          <w:szCs w:val="28"/>
        </w:rPr>
        <w:t xml:space="preserve">». </w:t>
      </w:r>
      <w:r w:rsidR="00015217" w:rsidRPr="0080394E">
        <w:rPr>
          <w:rFonts w:cstheme="minorHAnsi"/>
          <w:sz w:val="28"/>
          <w:szCs w:val="28"/>
        </w:rPr>
        <w:t>Secondo la giurisprudenza amministrativa, t</w:t>
      </w:r>
      <w:r w:rsidR="003224A3" w:rsidRPr="0080394E">
        <w:rPr>
          <w:rFonts w:cstheme="minorHAnsi"/>
          <w:sz w:val="28"/>
          <w:szCs w:val="28"/>
        </w:rPr>
        <w:t>ale disposizione ha evidentemente considerato che gli elementi posti a base dell’informativa antimafia a effetto interdittivo non “scadono” per il decorso del termine annuale, in quanto l’aggiornamento “liberatorio” dell’informativa può esservi solo quando essi perdano la loro rilevanza indiziaria del pericolo di infiltrazione</w:t>
      </w:r>
      <w:r w:rsidR="00700188" w:rsidRPr="0080394E">
        <w:rPr>
          <w:rFonts w:cstheme="minorHAnsi"/>
          <w:sz w:val="28"/>
          <w:szCs w:val="28"/>
        </w:rPr>
        <w:t xml:space="preserve"> (così ad es. TAR La</w:t>
      </w:r>
      <w:r w:rsidR="00EC41AD">
        <w:rPr>
          <w:rFonts w:cstheme="minorHAnsi"/>
          <w:sz w:val="28"/>
          <w:szCs w:val="28"/>
        </w:rPr>
        <w:t>zio, La</w:t>
      </w:r>
      <w:r w:rsidR="00700188" w:rsidRPr="0080394E">
        <w:rPr>
          <w:rFonts w:cstheme="minorHAnsi"/>
          <w:sz w:val="28"/>
          <w:szCs w:val="28"/>
        </w:rPr>
        <w:t xml:space="preserve">tina, </w:t>
      </w:r>
      <w:r w:rsidR="00EC41AD">
        <w:rPr>
          <w:rFonts w:cstheme="minorHAnsi"/>
          <w:sz w:val="28"/>
          <w:szCs w:val="28"/>
        </w:rPr>
        <w:t xml:space="preserve">Sez. </w:t>
      </w:r>
      <w:r w:rsidR="00700188" w:rsidRPr="0080394E">
        <w:rPr>
          <w:rFonts w:cstheme="minorHAnsi"/>
          <w:sz w:val="28"/>
          <w:szCs w:val="28"/>
        </w:rPr>
        <w:t>I, n. 32 del 2021)</w:t>
      </w:r>
      <w:r w:rsidR="003224A3" w:rsidRPr="0080394E">
        <w:rPr>
          <w:rFonts w:cstheme="minorHAnsi"/>
          <w:sz w:val="28"/>
          <w:szCs w:val="28"/>
        </w:rPr>
        <w:t xml:space="preserve">. </w:t>
      </w:r>
      <w:r w:rsidR="00015217" w:rsidRPr="0080394E">
        <w:rPr>
          <w:rFonts w:cstheme="minorHAnsi"/>
          <w:sz w:val="28"/>
          <w:szCs w:val="28"/>
        </w:rPr>
        <w:t>A conferma e sostegno di tale chiave di lettura, il Collegio ha aggiunto che s</w:t>
      </w:r>
      <w:r w:rsidR="003224A3" w:rsidRPr="0080394E">
        <w:rPr>
          <w:rFonts w:cstheme="minorHAnsi"/>
          <w:sz w:val="28"/>
          <w:szCs w:val="28"/>
        </w:rPr>
        <w:t xml:space="preserve">arebbe del resto irragionevole e contrario alla </w:t>
      </w:r>
      <w:r w:rsidR="003224A3" w:rsidRPr="0080394E">
        <w:rPr>
          <w:rFonts w:cstheme="minorHAnsi"/>
          <w:i/>
          <w:sz w:val="28"/>
          <w:szCs w:val="28"/>
        </w:rPr>
        <w:t>ratio</w:t>
      </w:r>
      <w:r w:rsidR="003224A3" w:rsidRPr="0080394E">
        <w:rPr>
          <w:rFonts w:cstheme="minorHAnsi"/>
          <w:sz w:val="28"/>
          <w:szCs w:val="28"/>
        </w:rPr>
        <w:t xml:space="preserve"> della normativa antimafia</w:t>
      </w:r>
      <w:r w:rsidR="00015217" w:rsidRPr="0080394E">
        <w:rPr>
          <w:rFonts w:cstheme="minorHAnsi"/>
          <w:sz w:val="28"/>
          <w:szCs w:val="28"/>
        </w:rPr>
        <w:t xml:space="preserve"> </w:t>
      </w:r>
      <w:r w:rsidR="003224A3" w:rsidRPr="0080394E">
        <w:rPr>
          <w:rFonts w:cstheme="minorHAnsi"/>
          <w:sz w:val="28"/>
          <w:szCs w:val="28"/>
        </w:rPr>
        <w:t>«</w:t>
      </w:r>
      <w:r w:rsidR="003224A3" w:rsidRPr="0080394E">
        <w:rPr>
          <w:rFonts w:cstheme="minorHAnsi"/>
          <w:i/>
          <w:sz w:val="28"/>
          <w:szCs w:val="28"/>
        </w:rPr>
        <w:t>sostenere che elementi di consistente gravità, quali ad esempio l’assidua frequentazione, nel tempo, di soggetti pregiudicati o l’altrettanto costante collaborazione economica dell’impresa con la mafia o, addirittura, la presenza di soggetti controindicati nelle cariche societarie, perdano la loro efficacia indiziante solo perché l'informativa sia “scaduta” decorso l’anno dalla sua emanazione</w:t>
      </w:r>
      <w:r w:rsidR="003224A3" w:rsidRPr="0080394E">
        <w:rPr>
          <w:rFonts w:cstheme="minorHAnsi"/>
          <w:sz w:val="28"/>
          <w:szCs w:val="28"/>
        </w:rPr>
        <w:t>».</w:t>
      </w:r>
      <w:r w:rsidR="00C12499" w:rsidRPr="0080394E">
        <w:rPr>
          <w:rFonts w:cstheme="minorHAnsi"/>
          <w:sz w:val="28"/>
          <w:szCs w:val="28"/>
        </w:rPr>
        <w:t xml:space="preserve"> </w:t>
      </w:r>
    </w:p>
    <w:p w14:paraId="50CAAA66" w14:textId="145353B2" w:rsidR="00700188" w:rsidRPr="0080394E" w:rsidRDefault="00015217" w:rsidP="00D16F96">
      <w:pPr>
        <w:spacing w:line="360" w:lineRule="auto"/>
        <w:jc w:val="both"/>
        <w:rPr>
          <w:sz w:val="28"/>
          <w:szCs w:val="28"/>
        </w:rPr>
      </w:pPr>
      <w:r w:rsidRPr="0080394E">
        <w:rPr>
          <w:sz w:val="28"/>
          <w:szCs w:val="28"/>
        </w:rPr>
        <w:t>Nei fatti</w:t>
      </w:r>
      <w:r w:rsidR="005D7CBF" w:rsidRPr="0080394E">
        <w:rPr>
          <w:sz w:val="28"/>
          <w:szCs w:val="28"/>
        </w:rPr>
        <w:t xml:space="preserve">, </w:t>
      </w:r>
      <w:r w:rsidR="00D117D5" w:rsidRPr="0080394E">
        <w:rPr>
          <w:sz w:val="28"/>
          <w:szCs w:val="28"/>
        </w:rPr>
        <w:t xml:space="preserve">a quanto mi si dice, </w:t>
      </w:r>
      <w:r w:rsidR="005154C1" w:rsidRPr="0080394E">
        <w:rPr>
          <w:sz w:val="28"/>
          <w:szCs w:val="28"/>
        </w:rPr>
        <w:t>l’interdittiva viene tendenzialmente confermata</w:t>
      </w:r>
      <w:r w:rsidR="00587D5B" w:rsidRPr="0080394E">
        <w:rPr>
          <w:sz w:val="28"/>
          <w:szCs w:val="28"/>
        </w:rPr>
        <w:t xml:space="preserve">. </w:t>
      </w:r>
    </w:p>
    <w:p w14:paraId="4102FC8A" w14:textId="5AEAF52E" w:rsidR="008B0604" w:rsidRPr="0080394E" w:rsidRDefault="00587D5B" w:rsidP="00D16F96">
      <w:pPr>
        <w:spacing w:line="360" w:lineRule="auto"/>
        <w:jc w:val="both"/>
        <w:rPr>
          <w:sz w:val="28"/>
          <w:szCs w:val="28"/>
        </w:rPr>
      </w:pPr>
      <w:r w:rsidRPr="0080394E">
        <w:rPr>
          <w:sz w:val="28"/>
          <w:szCs w:val="28"/>
        </w:rPr>
        <w:t>Sicché</w:t>
      </w:r>
      <w:r w:rsidR="009E41CA" w:rsidRPr="0080394E">
        <w:rPr>
          <w:sz w:val="28"/>
          <w:szCs w:val="28"/>
        </w:rPr>
        <w:t xml:space="preserve"> -</w:t>
      </w:r>
      <w:r w:rsidRPr="0080394E">
        <w:rPr>
          <w:sz w:val="28"/>
          <w:szCs w:val="28"/>
        </w:rPr>
        <w:t xml:space="preserve">nonostante il carattere formalmente </w:t>
      </w:r>
      <w:r w:rsidR="003224A3" w:rsidRPr="0080394E">
        <w:rPr>
          <w:sz w:val="28"/>
          <w:szCs w:val="28"/>
        </w:rPr>
        <w:t xml:space="preserve">preventivo e </w:t>
      </w:r>
      <w:r w:rsidRPr="0080394E">
        <w:rPr>
          <w:sz w:val="28"/>
          <w:szCs w:val="28"/>
        </w:rPr>
        <w:t xml:space="preserve">provvisorio, sul quale la giurisprudenza </w:t>
      </w:r>
      <w:r w:rsidR="00101725" w:rsidRPr="0080394E">
        <w:rPr>
          <w:sz w:val="28"/>
          <w:szCs w:val="28"/>
        </w:rPr>
        <w:t>amministrativa e costituzionale a</w:t>
      </w:r>
      <w:r w:rsidR="000A6361">
        <w:rPr>
          <w:sz w:val="28"/>
          <w:szCs w:val="28"/>
        </w:rPr>
        <w:t xml:space="preserve">ppoggia anche </w:t>
      </w:r>
      <w:r w:rsidR="00101725" w:rsidRPr="0080394E">
        <w:rPr>
          <w:sz w:val="28"/>
          <w:szCs w:val="28"/>
        </w:rPr>
        <w:t>la suffic</w:t>
      </w:r>
      <w:r w:rsidR="00E84C6F">
        <w:rPr>
          <w:sz w:val="28"/>
          <w:szCs w:val="28"/>
        </w:rPr>
        <w:t>i</w:t>
      </w:r>
      <w:r w:rsidR="00101725" w:rsidRPr="0080394E">
        <w:rPr>
          <w:sz w:val="28"/>
          <w:szCs w:val="28"/>
        </w:rPr>
        <w:t xml:space="preserve">enza della cd </w:t>
      </w:r>
      <w:proofErr w:type="spellStart"/>
      <w:r w:rsidR="00101725" w:rsidRPr="0080394E">
        <w:rPr>
          <w:sz w:val="28"/>
          <w:szCs w:val="28"/>
        </w:rPr>
        <w:lastRenderedPageBreak/>
        <w:t>tassativizzazione</w:t>
      </w:r>
      <w:proofErr w:type="spellEnd"/>
      <w:r w:rsidR="00101725" w:rsidRPr="0080394E">
        <w:rPr>
          <w:sz w:val="28"/>
          <w:szCs w:val="28"/>
        </w:rPr>
        <w:t xml:space="preserve"> giurisprudenziale dei presupposti indiziari</w:t>
      </w:r>
      <w:r w:rsidR="00A83D27" w:rsidRPr="0080394E">
        <w:rPr>
          <w:sz w:val="28"/>
          <w:szCs w:val="28"/>
        </w:rPr>
        <w:t>,</w:t>
      </w:r>
      <w:r w:rsidR="00101725" w:rsidRPr="0080394E">
        <w:rPr>
          <w:sz w:val="28"/>
          <w:szCs w:val="28"/>
        </w:rPr>
        <w:t xml:space="preserve"> incompatibile con uno strumento </w:t>
      </w:r>
      <w:r w:rsidR="00A83D27" w:rsidRPr="0080394E">
        <w:rPr>
          <w:sz w:val="28"/>
          <w:szCs w:val="28"/>
        </w:rPr>
        <w:t xml:space="preserve">di tipo </w:t>
      </w:r>
      <w:r w:rsidR="00101725" w:rsidRPr="0080394E">
        <w:rPr>
          <w:sz w:val="28"/>
          <w:szCs w:val="28"/>
        </w:rPr>
        <w:t>sanzionatorio</w:t>
      </w:r>
      <w:r w:rsidR="00E84C6F">
        <w:rPr>
          <w:rStyle w:val="Rimandonotaapidipagina"/>
          <w:sz w:val="28"/>
          <w:szCs w:val="28"/>
        </w:rPr>
        <w:footnoteReference w:id="5"/>
      </w:r>
      <w:r w:rsidR="009E41CA" w:rsidRPr="0080394E">
        <w:rPr>
          <w:sz w:val="28"/>
          <w:szCs w:val="28"/>
        </w:rPr>
        <w:t>-</w:t>
      </w:r>
      <w:r w:rsidR="00101725" w:rsidRPr="0080394E">
        <w:rPr>
          <w:sz w:val="28"/>
          <w:szCs w:val="28"/>
        </w:rPr>
        <w:t xml:space="preserve"> </w:t>
      </w:r>
      <w:r w:rsidR="005154C1" w:rsidRPr="0080394E">
        <w:rPr>
          <w:sz w:val="28"/>
          <w:szCs w:val="28"/>
        </w:rPr>
        <w:t>essa finisce</w:t>
      </w:r>
      <w:r w:rsidR="00101725" w:rsidRPr="0080394E">
        <w:rPr>
          <w:sz w:val="28"/>
          <w:szCs w:val="28"/>
        </w:rPr>
        <w:t xml:space="preserve"> in buona sostanza </w:t>
      </w:r>
      <w:r w:rsidR="005154C1" w:rsidRPr="0080394E">
        <w:rPr>
          <w:sz w:val="28"/>
          <w:szCs w:val="28"/>
        </w:rPr>
        <w:t>per</w:t>
      </w:r>
      <w:r w:rsidR="00101725" w:rsidRPr="0080394E">
        <w:rPr>
          <w:sz w:val="28"/>
          <w:szCs w:val="28"/>
        </w:rPr>
        <w:t xml:space="preserve"> limitare </w:t>
      </w:r>
      <w:r w:rsidRPr="0080394E">
        <w:rPr>
          <w:sz w:val="28"/>
          <w:szCs w:val="28"/>
        </w:rPr>
        <w:t>in via permanente l'</w:t>
      </w:r>
      <w:r w:rsidR="005154C1" w:rsidRPr="0080394E">
        <w:rPr>
          <w:sz w:val="28"/>
          <w:szCs w:val="28"/>
        </w:rPr>
        <w:t>esercizio dell’</w:t>
      </w:r>
      <w:r w:rsidRPr="0080394E">
        <w:rPr>
          <w:sz w:val="28"/>
          <w:szCs w:val="28"/>
        </w:rPr>
        <w:t>attività di impresa</w:t>
      </w:r>
      <w:r w:rsidR="005D7CBF" w:rsidRPr="0080394E">
        <w:rPr>
          <w:sz w:val="28"/>
          <w:szCs w:val="28"/>
        </w:rPr>
        <w:t>. Limite</w:t>
      </w:r>
      <w:r w:rsidR="007D4926" w:rsidRPr="0080394E">
        <w:rPr>
          <w:sz w:val="28"/>
          <w:szCs w:val="28"/>
        </w:rPr>
        <w:t xml:space="preserve"> che viene</w:t>
      </w:r>
      <w:r w:rsidR="000A6361">
        <w:rPr>
          <w:sz w:val="28"/>
          <w:szCs w:val="28"/>
        </w:rPr>
        <w:t>, come noto,</w:t>
      </w:r>
      <w:r w:rsidR="007D4926" w:rsidRPr="0080394E">
        <w:rPr>
          <w:sz w:val="28"/>
          <w:szCs w:val="28"/>
        </w:rPr>
        <w:t xml:space="preserve"> “</w:t>
      </w:r>
      <w:r w:rsidR="009E41CA" w:rsidRPr="0080394E">
        <w:rPr>
          <w:i/>
          <w:iCs/>
          <w:sz w:val="28"/>
          <w:szCs w:val="28"/>
        </w:rPr>
        <w:t>giustificato dalla considerazione che il metodo mafioso, per sua stessa ragion di essere, costituisce un «danno alla sicurezza, alla libertà, alla dignità umana» (art. 41, comma secondo, Cost.), già sul piano dei rapporti tra privati (prima ancora che in quello con le pubbliche amministrazioni), oltre a porsi in contrasto, ovviamente, con l’utilità sociale, limite, quest’ultimo, allo stesso esercizio della proprietà privata. Il metodo mafioso è e resta tale, per un essenziale principio di eguaglianza sostanziale prima ancora che di logica giuridica, non solo nelle contrattazioni con la pubblica amministrazione, ma anche tra privati, nello svolgimento della libera iniziativa economica</w:t>
      </w:r>
      <w:r w:rsidR="009E41CA" w:rsidRPr="0080394E">
        <w:rPr>
          <w:sz w:val="28"/>
          <w:szCs w:val="28"/>
        </w:rPr>
        <w:t>”</w:t>
      </w:r>
      <w:r w:rsidR="007D4926" w:rsidRPr="0080394E">
        <w:rPr>
          <w:sz w:val="28"/>
          <w:szCs w:val="28"/>
        </w:rPr>
        <w:t xml:space="preserve"> (Cons. Stato, </w:t>
      </w:r>
      <w:proofErr w:type="spellStart"/>
      <w:r w:rsidR="007D4926" w:rsidRPr="0080394E">
        <w:rPr>
          <w:sz w:val="28"/>
          <w:szCs w:val="28"/>
        </w:rPr>
        <w:t>sent</w:t>
      </w:r>
      <w:proofErr w:type="spellEnd"/>
      <w:r w:rsidR="007D4926" w:rsidRPr="0080394E">
        <w:rPr>
          <w:sz w:val="28"/>
          <w:szCs w:val="28"/>
        </w:rPr>
        <w:t>. 565/2017)</w:t>
      </w:r>
      <w:r w:rsidR="009E41CA" w:rsidRPr="0080394E">
        <w:rPr>
          <w:sz w:val="28"/>
          <w:szCs w:val="28"/>
        </w:rPr>
        <w:t>.</w:t>
      </w:r>
      <w:r w:rsidRPr="0080394E">
        <w:rPr>
          <w:sz w:val="28"/>
          <w:szCs w:val="28"/>
        </w:rPr>
        <w:t xml:space="preserve"> </w:t>
      </w:r>
    </w:p>
    <w:p w14:paraId="155E3FA6" w14:textId="5C71E67A" w:rsidR="007D4926" w:rsidRPr="0080394E" w:rsidRDefault="007D4926" w:rsidP="00D16F96">
      <w:pPr>
        <w:spacing w:line="360" w:lineRule="auto"/>
        <w:jc w:val="both"/>
        <w:rPr>
          <w:sz w:val="28"/>
          <w:szCs w:val="28"/>
        </w:rPr>
      </w:pPr>
      <w:r w:rsidRPr="0080394E">
        <w:rPr>
          <w:sz w:val="28"/>
          <w:szCs w:val="28"/>
        </w:rPr>
        <w:t>Nell</w:t>
      </w:r>
      <w:r w:rsidR="0070144D" w:rsidRPr="0080394E">
        <w:rPr>
          <w:sz w:val="28"/>
          <w:szCs w:val="28"/>
        </w:rPr>
        <w:t xml:space="preserve">a </w:t>
      </w:r>
      <w:r w:rsidRPr="0080394E">
        <w:rPr>
          <w:sz w:val="28"/>
          <w:szCs w:val="28"/>
        </w:rPr>
        <w:t xml:space="preserve">Relazione della DIA al Parlamento </w:t>
      </w:r>
      <w:r w:rsidR="0070144D" w:rsidRPr="0080394E">
        <w:rPr>
          <w:sz w:val="28"/>
          <w:szCs w:val="28"/>
        </w:rPr>
        <w:t>sul I semestre 2021 si legge infatti significativamente che con l’interdittiva, “</w:t>
      </w:r>
      <w:r w:rsidR="0070144D" w:rsidRPr="0080394E">
        <w:rPr>
          <w:i/>
          <w:iCs/>
          <w:sz w:val="28"/>
          <w:szCs w:val="28"/>
        </w:rPr>
        <w:t>in termini generali, si impedisce quindi alle imprese interessate di stipulare contratti con la pubblica amministrazione in ossequio al principio costituzionale di assicurare il buon andamento e l’imparzialità dell’amministrazione</w:t>
      </w:r>
      <w:r w:rsidR="0070144D" w:rsidRPr="0080394E">
        <w:rPr>
          <w:sz w:val="28"/>
          <w:szCs w:val="28"/>
        </w:rPr>
        <w:t>” e, “</w:t>
      </w:r>
      <w:r w:rsidR="0070144D" w:rsidRPr="0080394E">
        <w:rPr>
          <w:i/>
          <w:iCs/>
          <w:sz w:val="28"/>
          <w:szCs w:val="28"/>
        </w:rPr>
        <w:t>nel contempo si concorre al mantenimento di un sano regime concorrenziale ed alla difesa dell’ordine pubblico economico che ha la funzione di garantire, proteggere e dirigere l’attività economica nazionale</w:t>
      </w:r>
      <w:r w:rsidR="0070144D" w:rsidRPr="0080394E">
        <w:rPr>
          <w:sz w:val="28"/>
          <w:szCs w:val="28"/>
        </w:rPr>
        <w:t xml:space="preserve">”. Nella </w:t>
      </w:r>
      <w:r w:rsidR="00B675AF">
        <w:rPr>
          <w:sz w:val="28"/>
          <w:szCs w:val="28"/>
        </w:rPr>
        <w:t xml:space="preserve">precedente </w:t>
      </w:r>
      <w:r w:rsidR="0070144D" w:rsidRPr="0080394E">
        <w:rPr>
          <w:sz w:val="28"/>
          <w:szCs w:val="28"/>
        </w:rPr>
        <w:t>Relazione per il I semestre 2020</w:t>
      </w:r>
      <w:r w:rsidR="00B675AF">
        <w:rPr>
          <w:sz w:val="28"/>
          <w:szCs w:val="28"/>
        </w:rPr>
        <w:t>,</w:t>
      </w:r>
      <w:r w:rsidR="0070144D" w:rsidRPr="0080394E">
        <w:rPr>
          <w:sz w:val="28"/>
          <w:szCs w:val="28"/>
        </w:rPr>
        <w:t xml:space="preserve"> la stessa Direzione rimarcava che la misura </w:t>
      </w:r>
      <w:r w:rsidR="00761AD9" w:rsidRPr="0080394E">
        <w:rPr>
          <w:sz w:val="28"/>
          <w:szCs w:val="28"/>
        </w:rPr>
        <w:t>r</w:t>
      </w:r>
      <w:r w:rsidRPr="0080394E">
        <w:rPr>
          <w:sz w:val="28"/>
          <w:szCs w:val="28"/>
        </w:rPr>
        <w:t>appresenta “</w:t>
      </w:r>
      <w:r w:rsidRPr="0080394E">
        <w:rPr>
          <w:i/>
          <w:iCs/>
          <w:sz w:val="28"/>
          <w:szCs w:val="28"/>
        </w:rPr>
        <w:t xml:space="preserve">la massima anticipazione della tutela preventiva dello Stato dal crimine organizzato (...) in quanto comporta l'esclusione di un soggetto, ritenuto potenzialmente infiltrato dalla criminalità organizzata, dalla possibilità di intrattenere </w:t>
      </w:r>
      <w:r w:rsidRPr="0080394E">
        <w:rPr>
          <w:i/>
          <w:iCs/>
          <w:sz w:val="28"/>
          <w:szCs w:val="28"/>
        </w:rPr>
        <w:lastRenderedPageBreak/>
        <w:t>rapporti con le pubbliche amministrazioni</w:t>
      </w:r>
      <w:r w:rsidRPr="0080394E">
        <w:rPr>
          <w:sz w:val="28"/>
          <w:szCs w:val="28"/>
        </w:rPr>
        <w:t>”</w:t>
      </w:r>
      <w:r w:rsidR="003A4A72" w:rsidRPr="0080394E">
        <w:rPr>
          <w:sz w:val="28"/>
          <w:szCs w:val="28"/>
        </w:rPr>
        <w:t xml:space="preserve">, esplicitando che essa </w:t>
      </w:r>
      <w:r w:rsidRPr="0080394E">
        <w:rPr>
          <w:sz w:val="28"/>
          <w:szCs w:val="28"/>
        </w:rPr>
        <w:t xml:space="preserve"> è </w:t>
      </w:r>
      <w:r w:rsidR="00761AD9" w:rsidRPr="0080394E">
        <w:rPr>
          <w:sz w:val="28"/>
          <w:szCs w:val="28"/>
        </w:rPr>
        <w:t xml:space="preserve">l’esito </w:t>
      </w:r>
      <w:r w:rsidRPr="0080394E">
        <w:rPr>
          <w:sz w:val="28"/>
          <w:szCs w:val="28"/>
        </w:rPr>
        <w:t>di un</w:t>
      </w:r>
      <w:r w:rsidR="00761AD9" w:rsidRPr="0080394E">
        <w:rPr>
          <w:sz w:val="28"/>
          <w:szCs w:val="28"/>
        </w:rPr>
        <w:t xml:space="preserve">’apposita </w:t>
      </w:r>
      <w:r w:rsidRPr="0080394E">
        <w:rPr>
          <w:sz w:val="28"/>
          <w:szCs w:val="28"/>
        </w:rPr>
        <w:t xml:space="preserve">istruttoria </w:t>
      </w:r>
      <w:r w:rsidR="00761AD9" w:rsidRPr="0080394E">
        <w:rPr>
          <w:sz w:val="28"/>
          <w:szCs w:val="28"/>
        </w:rPr>
        <w:t xml:space="preserve">effettuata in riferimento a </w:t>
      </w:r>
      <w:r w:rsidRPr="0080394E">
        <w:rPr>
          <w:sz w:val="28"/>
          <w:szCs w:val="28"/>
        </w:rPr>
        <w:t>“</w:t>
      </w:r>
      <w:r w:rsidRPr="0080394E">
        <w:rPr>
          <w:i/>
          <w:iCs/>
          <w:sz w:val="28"/>
          <w:szCs w:val="28"/>
        </w:rPr>
        <w:t>condizioni che non costituiscono un numero chiuso e non consistono solo in circostanze desumibili dalle sentenze di condanna per particolari delitti e dalle misure di prevenzione antimafia</w:t>
      </w:r>
      <w:r w:rsidRPr="0080394E">
        <w:rPr>
          <w:sz w:val="28"/>
          <w:szCs w:val="28"/>
        </w:rPr>
        <w:t>”, nella quale possono rilevare anche le “</w:t>
      </w:r>
      <w:r w:rsidRPr="0080394E">
        <w:rPr>
          <w:i/>
          <w:iCs/>
          <w:sz w:val="28"/>
          <w:szCs w:val="28"/>
        </w:rPr>
        <w:t>motivazioni che lumeggino situazioni di infiltrazione mafiosa da provvedimenti giudiziari non ancora definitivi</w:t>
      </w:r>
      <w:r w:rsidRPr="0080394E">
        <w:rPr>
          <w:sz w:val="28"/>
          <w:szCs w:val="28"/>
        </w:rPr>
        <w:t>”, o</w:t>
      </w:r>
      <w:r w:rsidR="00761AD9" w:rsidRPr="0080394E">
        <w:rPr>
          <w:sz w:val="28"/>
          <w:szCs w:val="28"/>
        </w:rPr>
        <w:t>vvero</w:t>
      </w:r>
      <w:r w:rsidRPr="0080394E">
        <w:rPr>
          <w:sz w:val="28"/>
          <w:szCs w:val="28"/>
        </w:rPr>
        <w:t xml:space="preserve"> i “</w:t>
      </w:r>
      <w:r w:rsidRPr="0080394E">
        <w:rPr>
          <w:i/>
          <w:iCs/>
          <w:sz w:val="28"/>
          <w:szCs w:val="28"/>
        </w:rPr>
        <w:t>rapporti di parentela, amicizia e collaborazione con soggetti controindicati e che indichino un verosimile pericolo di condizionamento criminale per intensità e durata</w:t>
      </w:r>
      <w:r w:rsidR="00761AD9" w:rsidRPr="0080394E">
        <w:rPr>
          <w:sz w:val="28"/>
          <w:szCs w:val="28"/>
        </w:rPr>
        <w:t>”</w:t>
      </w:r>
      <w:r w:rsidRPr="0080394E">
        <w:rPr>
          <w:sz w:val="28"/>
          <w:szCs w:val="28"/>
        </w:rPr>
        <w:t xml:space="preserve">, </w:t>
      </w:r>
      <w:r w:rsidR="00761AD9" w:rsidRPr="0080394E">
        <w:rPr>
          <w:sz w:val="28"/>
          <w:szCs w:val="28"/>
        </w:rPr>
        <w:t>nonché</w:t>
      </w:r>
      <w:r w:rsidRPr="0080394E">
        <w:rPr>
          <w:sz w:val="28"/>
          <w:szCs w:val="28"/>
        </w:rPr>
        <w:t xml:space="preserve"> “</w:t>
      </w:r>
      <w:r w:rsidRPr="0080394E">
        <w:rPr>
          <w:i/>
          <w:iCs/>
          <w:sz w:val="28"/>
          <w:szCs w:val="28"/>
        </w:rPr>
        <w:t>aspetti anomali nella composizione e gestione dell’impresa sintomatici di cointeressenza dell’azienda e dei soci con il fenomeno mafioso</w:t>
      </w:r>
      <w:r w:rsidRPr="0080394E">
        <w:rPr>
          <w:sz w:val="28"/>
          <w:szCs w:val="28"/>
        </w:rPr>
        <w:t>”.</w:t>
      </w:r>
      <w:r w:rsidR="00761AD9" w:rsidRPr="0080394E">
        <w:rPr>
          <w:sz w:val="28"/>
          <w:szCs w:val="28"/>
        </w:rPr>
        <w:t xml:space="preserve"> Si tratta, come si vede e come noto, di elementi </w:t>
      </w:r>
      <w:r w:rsidR="00B675AF">
        <w:rPr>
          <w:sz w:val="28"/>
          <w:szCs w:val="28"/>
        </w:rPr>
        <w:t xml:space="preserve">necessariamente </w:t>
      </w:r>
      <w:r w:rsidR="00761AD9" w:rsidRPr="0080394E">
        <w:rPr>
          <w:sz w:val="28"/>
          <w:szCs w:val="28"/>
        </w:rPr>
        <w:t>indiziari che</w:t>
      </w:r>
      <w:r w:rsidR="0089446B" w:rsidRPr="0080394E">
        <w:rPr>
          <w:sz w:val="28"/>
          <w:szCs w:val="28"/>
        </w:rPr>
        <w:t>, per di più,</w:t>
      </w:r>
      <w:r w:rsidR="00761AD9" w:rsidRPr="0080394E">
        <w:rPr>
          <w:sz w:val="28"/>
          <w:szCs w:val="28"/>
        </w:rPr>
        <w:t xml:space="preserve"> </w:t>
      </w:r>
      <w:r w:rsidR="001A4C77" w:rsidRPr="0080394E">
        <w:rPr>
          <w:sz w:val="28"/>
          <w:szCs w:val="28"/>
        </w:rPr>
        <w:t xml:space="preserve">il </w:t>
      </w:r>
      <w:r w:rsidR="0000747F">
        <w:rPr>
          <w:sz w:val="28"/>
          <w:szCs w:val="28"/>
        </w:rPr>
        <w:t>Prefetto</w:t>
      </w:r>
      <w:r w:rsidR="001A4C77" w:rsidRPr="0080394E">
        <w:rPr>
          <w:sz w:val="28"/>
          <w:szCs w:val="28"/>
        </w:rPr>
        <w:t xml:space="preserve"> valuta con un forte </w:t>
      </w:r>
      <w:r w:rsidR="001A4C77" w:rsidRPr="0080394E">
        <w:rPr>
          <w:i/>
          <w:iCs/>
          <w:sz w:val="28"/>
          <w:szCs w:val="28"/>
        </w:rPr>
        <w:t>deficit</w:t>
      </w:r>
      <w:r w:rsidR="001A4C77" w:rsidRPr="0080394E">
        <w:rPr>
          <w:sz w:val="28"/>
          <w:szCs w:val="28"/>
        </w:rPr>
        <w:t xml:space="preserve"> di contraddittorio e che </w:t>
      </w:r>
      <w:r w:rsidR="00761AD9" w:rsidRPr="0080394E">
        <w:rPr>
          <w:sz w:val="28"/>
          <w:szCs w:val="28"/>
        </w:rPr>
        <w:t xml:space="preserve">il giudice amministrativo </w:t>
      </w:r>
      <w:r w:rsidR="001A4C77" w:rsidRPr="0080394E">
        <w:rPr>
          <w:sz w:val="28"/>
          <w:szCs w:val="28"/>
        </w:rPr>
        <w:t>sindaca</w:t>
      </w:r>
      <w:r w:rsidR="00761AD9" w:rsidRPr="0080394E">
        <w:rPr>
          <w:sz w:val="28"/>
          <w:szCs w:val="28"/>
        </w:rPr>
        <w:t>, alla luce della richiamata tipizzazione giurisprudenziale</w:t>
      </w:r>
      <w:r w:rsidR="0089446B" w:rsidRPr="0080394E">
        <w:rPr>
          <w:sz w:val="28"/>
          <w:szCs w:val="28"/>
        </w:rPr>
        <w:t xml:space="preserve"> e</w:t>
      </w:r>
      <w:r w:rsidR="00761AD9" w:rsidRPr="0080394E">
        <w:rPr>
          <w:sz w:val="28"/>
          <w:szCs w:val="28"/>
        </w:rPr>
        <w:t xml:space="preserve"> secondo la regola del “</w:t>
      </w:r>
      <w:r w:rsidR="00761AD9" w:rsidRPr="0080394E">
        <w:rPr>
          <w:i/>
          <w:iCs/>
          <w:sz w:val="28"/>
          <w:szCs w:val="28"/>
        </w:rPr>
        <w:t>più probabile che non</w:t>
      </w:r>
      <w:r w:rsidR="00761AD9" w:rsidRPr="0080394E">
        <w:rPr>
          <w:sz w:val="28"/>
          <w:szCs w:val="28"/>
        </w:rPr>
        <w:t>”</w:t>
      </w:r>
      <w:r w:rsidR="0089446B" w:rsidRPr="0080394E">
        <w:rPr>
          <w:sz w:val="28"/>
          <w:szCs w:val="28"/>
        </w:rPr>
        <w:t xml:space="preserve"> (</w:t>
      </w:r>
      <w:r w:rsidR="00761AD9" w:rsidRPr="0080394E">
        <w:rPr>
          <w:sz w:val="28"/>
          <w:szCs w:val="28"/>
        </w:rPr>
        <w:t>affatto diversa da quella dell’“</w:t>
      </w:r>
      <w:r w:rsidR="00761AD9" w:rsidRPr="0080394E">
        <w:rPr>
          <w:i/>
          <w:iCs/>
          <w:sz w:val="28"/>
          <w:szCs w:val="28"/>
        </w:rPr>
        <w:t xml:space="preserve">in </w:t>
      </w:r>
      <w:proofErr w:type="spellStart"/>
      <w:r w:rsidR="00761AD9" w:rsidRPr="0080394E">
        <w:rPr>
          <w:i/>
          <w:iCs/>
          <w:sz w:val="28"/>
          <w:szCs w:val="28"/>
        </w:rPr>
        <w:t>dubio</w:t>
      </w:r>
      <w:proofErr w:type="spellEnd"/>
      <w:r w:rsidR="00761AD9" w:rsidRPr="0080394E">
        <w:rPr>
          <w:i/>
          <w:iCs/>
          <w:sz w:val="28"/>
          <w:szCs w:val="28"/>
        </w:rPr>
        <w:t xml:space="preserve"> pro reo</w:t>
      </w:r>
      <w:r w:rsidR="00761AD9" w:rsidRPr="0080394E">
        <w:rPr>
          <w:sz w:val="28"/>
          <w:szCs w:val="28"/>
        </w:rPr>
        <w:t>”</w:t>
      </w:r>
      <w:r w:rsidR="0089446B" w:rsidRPr="0080394E">
        <w:rPr>
          <w:sz w:val="28"/>
          <w:szCs w:val="28"/>
        </w:rPr>
        <w:t>)</w:t>
      </w:r>
      <w:r w:rsidR="000A7E8E">
        <w:rPr>
          <w:rStyle w:val="Rimandonotaapidipagina"/>
          <w:sz w:val="28"/>
          <w:szCs w:val="28"/>
        </w:rPr>
        <w:footnoteReference w:id="6"/>
      </w:r>
      <w:r w:rsidR="0089446B" w:rsidRPr="0080394E">
        <w:rPr>
          <w:sz w:val="28"/>
          <w:szCs w:val="28"/>
        </w:rPr>
        <w:t xml:space="preserve">, </w:t>
      </w:r>
      <w:r w:rsidR="001A4C77" w:rsidRPr="0080394E">
        <w:rPr>
          <w:sz w:val="28"/>
          <w:szCs w:val="28"/>
        </w:rPr>
        <w:t xml:space="preserve">con i limiti che inevitabilmente derivano da un procedimento </w:t>
      </w:r>
      <w:r w:rsidR="00B675AF">
        <w:rPr>
          <w:sz w:val="28"/>
          <w:szCs w:val="28"/>
        </w:rPr>
        <w:t xml:space="preserve">che, per garantire l’effetto “sorpresa” </w:t>
      </w:r>
      <w:r w:rsidR="001A4C77" w:rsidRPr="0080394E">
        <w:rPr>
          <w:sz w:val="28"/>
          <w:szCs w:val="28"/>
        </w:rPr>
        <w:t xml:space="preserve">non </w:t>
      </w:r>
      <w:r w:rsidR="00B675AF">
        <w:rPr>
          <w:sz w:val="28"/>
          <w:szCs w:val="28"/>
        </w:rPr>
        <w:t xml:space="preserve">era e, nonostante la riforma del 2021, non è </w:t>
      </w:r>
      <w:r w:rsidR="001A4C77" w:rsidRPr="0080394E">
        <w:rPr>
          <w:sz w:val="28"/>
          <w:szCs w:val="28"/>
        </w:rPr>
        <w:t>pienamente trasparente</w:t>
      </w:r>
      <w:r w:rsidR="00B675AF">
        <w:rPr>
          <w:rStyle w:val="Rimandonotaapidipagina"/>
          <w:sz w:val="28"/>
          <w:szCs w:val="28"/>
        </w:rPr>
        <w:footnoteReference w:id="7"/>
      </w:r>
      <w:r w:rsidR="001A4C77" w:rsidRPr="0080394E">
        <w:rPr>
          <w:sz w:val="28"/>
          <w:szCs w:val="28"/>
        </w:rPr>
        <w:t xml:space="preserve">. </w:t>
      </w:r>
    </w:p>
    <w:p w14:paraId="00107A69" w14:textId="1334CF2F" w:rsidR="001A4C77" w:rsidRPr="0080394E" w:rsidRDefault="001A4C77" w:rsidP="00F61B8D">
      <w:pPr>
        <w:spacing w:line="360" w:lineRule="auto"/>
        <w:jc w:val="center"/>
        <w:rPr>
          <w:sz w:val="28"/>
          <w:szCs w:val="28"/>
        </w:rPr>
      </w:pPr>
      <w:r w:rsidRPr="0080394E">
        <w:rPr>
          <w:sz w:val="28"/>
          <w:szCs w:val="28"/>
        </w:rPr>
        <w:t>*</w:t>
      </w:r>
    </w:p>
    <w:p w14:paraId="307FC335" w14:textId="3BA3F20F" w:rsidR="00862508" w:rsidRPr="0080394E" w:rsidRDefault="001E68F3" w:rsidP="00D16F96">
      <w:pPr>
        <w:spacing w:line="360" w:lineRule="auto"/>
        <w:jc w:val="both"/>
        <w:rPr>
          <w:sz w:val="28"/>
          <w:szCs w:val="28"/>
        </w:rPr>
      </w:pPr>
      <w:r w:rsidRPr="00D074A1">
        <w:rPr>
          <w:b/>
          <w:bCs/>
          <w:sz w:val="28"/>
          <w:szCs w:val="28"/>
        </w:rPr>
        <w:t xml:space="preserve">2. Il percorso verso </w:t>
      </w:r>
      <w:r w:rsidR="00D074A1" w:rsidRPr="00D074A1">
        <w:rPr>
          <w:b/>
          <w:bCs/>
          <w:sz w:val="28"/>
          <w:szCs w:val="28"/>
        </w:rPr>
        <w:t>un</w:t>
      </w:r>
      <w:r w:rsidR="000A7E8E">
        <w:rPr>
          <w:b/>
          <w:bCs/>
          <w:sz w:val="28"/>
          <w:szCs w:val="28"/>
        </w:rPr>
        <w:t xml:space="preserve">a mitigazione del sistema di prevenzione: </w:t>
      </w:r>
      <w:r w:rsidR="00B51C8A">
        <w:rPr>
          <w:b/>
          <w:bCs/>
          <w:sz w:val="28"/>
          <w:szCs w:val="28"/>
        </w:rPr>
        <w:t xml:space="preserve">l’art. 34-bis del codice antimafia. </w:t>
      </w:r>
      <w:r w:rsidR="00862508" w:rsidRPr="0080394E">
        <w:rPr>
          <w:sz w:val="28"/>
          <w:szCs w:val="28"/>
        </w:rPr>
        <w:t>Pur nella consapevolezza della massima importanza che assume l’effettività della lotta alla criminalità organizzata</w:t>
      </w:r>
      <w:r w:rsidR="0089446B" w:rsidRPr="0080394E">
        <w:rPr>
          <w:sz w:val="28"/>
          <w:szCs w:val="28"/>
        </w:rPr>
        <w:t xml:space="preserve"> e dell’apprezzamento che merita chiunque vi sia impegnato</w:t>
      </w:r>
      <w:r w:rsidR="00862508" w:rsidRPr="0080394E">
        <w:rPr>
          <w:sz w:val="28"/>
          <w:szCs w:val="28"/>
        </w:rPr>
        <w:t xml:space="preserve">, </w:t>
      </w:r>
      <w:r w:rsidR="00862508" w:rsidRPr="004460AF">
        <w:rPr>
          <w:sz w:val="28"/>
          <w:szCs w:val="28"/>
        </w:rPr>
        <w:t>i principi di proporzionalità</w:t>
      </w:r>
      <w:r w:rsidR="00862508" w:rsidRPr="0080394E">
        <w:rPr>
          <w:sz w:val="28"/>
          <w:szCs w:val="28"/>
        </w:rPr>
        <w:t xml:space="preserve"> e di e</w:t>
      </w:r>
      <w:r w:rsidR="0024572C" w:rsidRPr="0080394E">
        <w:rPr>
          <w:sz w:val="28"/>
          <w:szCs w:val="28"/>
        </w:rPr>
        <w:t xml:space="preserve">quo bilanciamento dei diversi interessi primari -pubblici e privati- che devono guidare l’azione </w:t>
      </w:r>
      <w:r w:rsidR="0089446B" w:rsidRPr="0080394E">
        <w:rPr>
          <w:sz w:val="28"/>
          <w:szCs w:val="28"/>
        </w:rPr>
        <w:t>dei poteri pubblici -</w:t>
      </w:r>
      <w:r w:rsidR="00863099" w:rsidRPr="0080394E">
        <w:rPr>
          <w:sz w:val="28"/>
          <w:szCs w:val="28"/>
        </w:rPr>
        <w:t xml:space="preserve">in sede </w:t>
      </w:r>
      <w:r w:rsidR="0024572C" w:rsidRPr="0080394E">
        <w:rPr>
          <w:sz w:val="28"/>
          <w:szCs w:val="28"/>
        </w:rPr>
        <w:t xml:space="preserve">legislativa </w:t>
      </w:r>
      <w:r w:rsidR="00863099" w:rsidRPr="0080394E">
        <w:rPr>
          <w:sz w:val="28"/>
          <w:szCs w:val="28"/>
        </w:rPr>
        <w:t xml:space="preserve">e amministrativa- </w:t>
      </w:r>
      <w:r w:rsidR="00A9418D" w:rsidRPr="0080394E">
        <w:rPr>
          <w:sz w:val="28"/>
          <w:szCs w:val="28"/>
        </w:rPr>
        <w:t xml:space="preserve">stanno, come noto, spingendo a </w:t>
      </w:r>
      <w:r w:rsidR="0024572C" w:rsidRPr="0080394E">
        <w:rPr>
          <w:sz w:val="28"/>
          <w:szCs w:val="28"/>
        </w:rPr>
        <w:t>una ri</w:t>
      </w:r>
      <w:r w:rsidR="00A9418D" w:rsidRPr="0080394E">
        <w:rPr>
          <w:sz w:val="28"/>
          <w:szCs w:val="28"/>
        </w:rPr>
        <w:t xml:space="preserve">considerazione del sistema e </w:t>
      </w:r>
      <w:r w:rsidR="00B2303F" w:rsidRPr="0080394E">
        <w:rPr>
          <w:sz w:val="28"/>
          <w:szCs w:val="28"/>
        </w:rPr>
        <w:t>a una più attenta ri</w:t>
      </w:r>
      <w:r w:rsidR="0024572C" w:rsidRPr="0080394E">
        <w:rPr>
          <w:sz w:val="28"/>
          <w:szCs w:val="28"/>
        </w:rPr>
        <w:t>flessione sulla effettiva necessità</w:t>
      </w:r>
      <w:r w:rsidR="004460AF">
        <w:rPr>
          <w:sz w:val="28"/>
          <w:szCs w:val="28"/>
        </w:rPr>
        <w:t xml:space="preserve"> e opportunità</w:t>
      </w:r>
      <w:r w:rsidR="0024572C" w:rsidRPr="0080394E">
        <w:rPr>
          <w:sz w:val="28"/>
          <w:szCs w:val="28"/>
        </w:rPr>
        <w:t xml:space="preserve"> di una misura così </w:t>
      </w:r>
      <w:r w:rsidR="00952ADB">
        <w:rPr>
          <w:sz w:val="28"/>
          <w:szCs w:val="28"/>
        </w:rPr>
        <w:t>drastica</w:t>
      </w:r>
      <w:r w:rsidR="0024572C" w:rsidRPr="0080394E">
        <w:rPr>
          <w:sz w:val="28"/>
          <w:szCs w:val="28"/>
        </w:rPr>
        <w:t>.</w:t>
      </w:r>
    </w:p>
    <w:p w14:paraId="34F6BC5F" w14:textId="338E697A" w:rsidR="00742920" w:rsidRPr="0080394E" w:rsidRDefault="005A20A2" w:rsidP="00D16F96">
      <w:pPr>
        <w:spacing w:line="360" w:lineRule="auto"/>
        <w:jc w:val="both"/>
        <w:rPr>
          <w:sz w:val="28"/>
          <w:szCs w:val="28"/>
        </w:rPr>
      </w:pPr>
      <w:r w:rsidRPr="0080394E">
        <w:rPr>
          <w:sz w:val="28"/>
          <w:szCs w:val="28"/>
        </w:rPr>
        <w:lastRenderedPageBreak/>
        <w:t>Il tema sul quale</w:t>
      </w:r>
      <w:r w:rsidR="00F97E91">
        <w:rPr>
          <w:sz w:val="28"/>
          <w:szCs w:val="28"/>
        </w:rPr>
        <w:t xml:space="preserve"> </w:t>
      </w:r>
      <w:r w:rsidRPr="0080394E">
        <w:rPr>
          <w:sz w:val="28"/>
          <w:szCs w:val="28"/>
        </w:rPr>
        <w:t xml:space="preserve">concentrerò il mio intervento è, </w:t>
      </w:r>
      <w:r w:rsidR="00873CD8" w:rsidRPr="0080394E">
        <w:rPr>
          <w:sz w:val="28"/>
          <w:szCs w:val="28"/>
        </w:rPr>
        <w:t>proprio, legato al</w:t>
      </w:r>
      <w:r w:rsidR="00B2303F" w:rsidRPr="0080394E">
        <w:rPr>
          <w:sz w:val="28"/>
          <w:szCs w:val="28"/>
        </w:rPr>
        <w:t xml:space="preserve"> </w:t>
      </w:r>
      <w:r w:rsidR="008C115A" w:rsidRPr="0080394E">
        <w:rPr>
          <w:sz w:val="28"/>
          <w:szCs w:val="28"/>
        </w:rPr>
        <w:t xml:space="preserve">percorso legislativo </w:t>
      </w:r>
      <w:r w:rsidR="004460AF">
        <w:rPr>
          <w:sz w:val="28"/>
          <w:szCs w:val="28"/>
        </w:rPr>
        <w:t xml:space="preserve">che ha portato a un progressivo </w:t>
      </w:r>
      <w:r w:rsidR="00F94107">
        <w:rPr>
          <w:sz w:val="28"/>
          <w:szCs w:val="28"/>
        </w:rPr>
        <w:t xml:space="preserve">alleggerimento </w:t>
      </w:r>
      <w:r w:rsidR="008C115A" w:rsidRPr="0080394E">
        <w:rPr>
          <w:sz w:val="28"/>
          <w:szCs w:val="28"/>
        </w:rPr>
        <w:t>de</w:t>
      </w:r>
      <w:r w:rsidR="00254DF1" w:rsidRPr="0080394E">
        <w:rPr>
          <w:sz w:val="28"/>
          <w:szCs w:val="28"/>
        </w:rPr>
        <w:t>l sistema di prevenzione antimafia</w:t>
      </w:r>
      <w:r w:rsidR="0078389B" w:rsidRPr="0080394E">
        <w:rPr>
          <w:sz w:val="28"/>
          <w:szCs w:val="28"/>
        </w:rPr>
        <w:t xml:space="preserve"> nei casi in cui </w:t>
      </w:r>
      <w:r w:rsidR="00BC36D4" w:rsidRPr="0080394E">
        <w:rPr>
          <w:sz w:val="28"/>
          <w:szCs w:val="28"/>
        </w:rPr>
        <w:t xml:space="preserve">il richiamato </w:t>
      </w:r>
      <w:r w:rsidR="00873CD8" w:rsidRPr="0080394E">
        <w:rPr>
          <w:sz w:val="28"/>
          <w:szCs w:val="28"/>
        </w:rPr>
        <w:t>obiettivo di tutelare l</w:t>
      </w:r>
      <w:r w:rsidR="00F94107">
        <w:rPr>
          <w:sz w:val="28"/>
          <w:szCs w:val="28"/>
        </w:rPr>
        <w:t>e imprese e l</w:t>
      </w:r>
      <w:r w:rsidR="00873CD8" w:rsidRPr="0080394E">
        <w:rPr>
          <w:sz w:val="28"/>
          <w:szCs w:val="28"/>
        </w:rPr>
        <w:t>a coll</w:t>
      </w:r>
      <w:r w:rsidR="00BC36D4" w:rsidRPr="0080394E">
        <w:rPr>
          <w:sz w:val="28"/>
          <w:szCs w:val="28"/>
        </w:rPr>
        <w:t xml:space="preserve">ettività dall’espansione dei fenomeni di criminalità organizzata nelle attività economiche </w:t>
      </w:r>
      <w:r w:rsidR="0078389B" w:rsidRPr="0080394E">
        <w:rPr>
          <w:sz w:val="28"/>
          <w:szCs w:val="28"/>
        </w:rPr>
        <w:t xml:space="preserve">possa essere più proporzionalmente perseguito </w:t>
      </w:r>
      <w:r w:rsidR="00BC36D4" w:rsidRPr="0080394E">
        <w:rPr>
          <w:sz w:val="28"/>
          <w:szCs w:val="28"/>
        </w:rPr>
        <w:t xml:space="preserve">attraverso strumenti </w:t>
      </w:r>
      <w:r w:rsidR="00A20C2E" w:rsidRPr="0080394E">
        <w:rPr>
          <w:sz w:val="28"/>
          <w:szCs w:val="28"/>
        </w:rPr>
        <w:t xml:space="preserve">di </w:t>
      </w:r>
      <w:r w:rsidR="00855A42" w:rsidRPr="0080394E">
        <w:rPr>
          <w:sz w:val="28"/>
          <w:szCs w:val="28"/>
        </w:rPr>
        <w:t>“vigilanza prescrittiva”, in forma di monitoraggio e</w:t>
      </w:r>
      <w:r w:rsidR="00352B20" w:rsidRPr="0080394E">
        <w:rPr>
          <w:sz w:val="28"/>
          <w:szCs w:val="28"/>
        </w:rPr>
        <w:t>/o</w:t>
      </w:r>
      <w:r w:rsidR="00855A42" w:rsidRPr="0080394E">
        <w:rPr>
          <w:sz w:val="28"/>
          <w:szCs w:val="28"/>
        </w:rPr>
        <w:t xml:space="preserve"> </w:t>
      </w:r>
      <w:r w:rsidR="00A20C2E" w:rsidRPr="0080394E">
        <w:rPr>
          <w:sz w:val="28"/>
          <w:szCs w:val="28"/>
        </w:rPr>
        <w:t>tutoraggio</w:t>
      </w:r>
      <w:r w:rsidR="009B539B" w:rsidRPr="0080394E">
        <w:rPr>
          <w:sz w:val="28"/>
          <w:szCs w:val="28"/>
        </w:rPr>
        <w:t>,</w:t>
      </w:r>
      <w:r w:rsidR="00A20C2E" w:rsidRPr="0080394E">
        <w:rPr>
          <w:sz w:val="28"/>
          <w:szCs w:val="28"/>
        </w:rPr>
        <w:t xml:space="preserve"> </w:t>
      </w:r>
      <w:r w:rsidR="00BC36D4" w:rsidRPr="0080394E">
        <w:rPr>
          <w:sz w:val="28"/>
          <w:szCs w:val="28"/>
        </w:rPr>
        <w:t>de</w:t>
      </w:r>
      <w:r w:rsidR="002A49D3" w:rsidRPr="0080394E">
        <w:rPr>
          <w:sz w:val="28"/>
          <w:szCs w:val="28"/>
        </w:rPr>
        <w:t>i</w:t>
      </w:r>
      <w:r w:rsidR="00BC36D4" w:rsidRPr="0080394E">
        <w:rPr>
          <w:sz w:val="28"/>
          <w:szCs w:val="28"/>
        </w:rPr>
        <w:t xml:space="preserve"> soggett</w:t>
      </w:r>
      <w:r w:rsidR="002A49D3" w:rsidRPr="0080394E">
        <w:rPr>
          <w:sz w:val="28"/>
          <w:szCs w:val="28"/>
        </w:rPr>
        <w:t>i</w:t>
      </w:r>
      <w:r w:rsidR="00BC36D4" w:rsidRPr="0080394E">
        <w:rPr>
          <w:sz w:val="28"/>
          <w:szCs w:val="28"/>
        </w:rPr>
        <w:t xml:space="preserve"> ritenut</w:t>
      </w:r>
      <w:r w:rsidR="002A49D3" w:rsidRPr="0080394E">
        <w:rPr>
          <w:sz w:val="28"/>
          <w:szCs w:val="28"/>
        </w:rPr>
        <w:t>i</w:t>
      </w:r>
      <w:r w:rsidR="00BC36D4" w:rsidRPr="0080394E">
        <w:rPr>
          <w:sz w:val="28"/>
          <w:szCs w:val="28"/>
        </w:rPr>
        <w:t xml:space="preserve"> a rischio di </w:t>
      </w:r>
      <w:r w:rsidR="00254DF1" w:rsidRPr="0080394E">
        <w:rPr>
          <w:sz w:val="28"/>
          <w:szCs w:val="28"/>
        </w:rPr>
        <w:t xml:space="preserve">favorire le </w:t>
      </w:r>
      <w:r w:rsidR="00BC36D4" w:rsidRPr="0080394E">
        <w:rPr>
          <w:sz w:val="28"/>
          <w:szCs w:val="28"/>
        </w:rPr>
        <w:t>cd infiltrazion</w:t>
      </w:r>
      <w:r w:rsidR="002A49D3" w:rsidRPr="0080394E">
        <w:rPr>
          <w:sz w:val="28"/>
          <w:szCs w:val="28"/>
        </w:rPr>
        <w:t>i</w:t>
      </w:r>
      <w:r w:rsidR="00BC36D4" w:rsidRPr="0080394E">
        <w:rPr>
          <w:sz w:val="28"/>
          <w:szCs w:val="28"/>
        </w:rPr>
        <w:t xml:space="preserve"> mafios</w:t>
      </w:r>
      <w:r w:rsidR="002A49D3" w:rsidRPr="0080394E">
        <w:rPr>
          <w:sz w:val="28"/>
          <w:szCs w:val="28"/>
        </w:rPr>
        <w:t>e</w:t>
      </w:r>
      <w:r w:rsidR="00254DF1" w:rsidRPr="0080394E">
        <w:rPr>
          <w:sz w:val="28"/>
          <w:szCs w:val="28"/>
        </w:rPr>
        <w:t xml:space="preserve"> nelle suddette attività</w:t>
      </w:r>
      <w:r w:rsidR="002A49D3" w:rsidRPr="0080394E">
        <w:rPr>
          <w:sz w:val="28"/>
          <w:szCs w:val="28"/>
        </w:rPr>
        <w:t xml:space="preserve">, </w:t>
      </w:r>
      <w:r w:rsidR="00BC36D4" w:rsidRPr="0080394E">
        <w:rPr>
          <w:sz w:val="28"/>
          <w:szCs w:val="28"/>
        </w:rPr>
        <w:t>consent</w:t>
      </w:r>
      <w:r w:rsidR="002A49D3" w:rsidRPr="0080394E">
        <w:rPr>
          <w:sz w:val="28"/>
          <w:szCs w:val="28"/>
        </w:rPr>
        <w:t xml:space="preserve">endo </w:t>
      </w:r>
      <w:r w:rsidR="00BC36D4" w:rsidRPr="0080394E">
        <w:rPr>
          <w:sz w:val="28"/>
          <w:szCs w:val="28"/>
        </w:rPr>
        <w:t xml:space="preserve">comunque </w:t>
      </w:r>
      <w:r w:rsidR="002A49D3" w:rsidRPr="0080394E">
        <w:rPr>
          <w:sz w:val="28"/>
          <w:szCs w:val="28"/>
        </w:rPr>
        <w:t>loro di continuare a espletare le loro attività</w:t>
      </w:r>
      <w:r w:rsidR="0078389B" w:rsidRPr="0080394E">
        <w:rPr>
          <w:sz w:val="28"/>
          <w:szCs w:val="28"/>
        </w:rPr>
        <w:t xml:space="preserve"> e di dimostrare</w:t>
      </w:r>
      <w:r w:rsidR="00F61B8D" w:rsidRPr="0080394E">
        <w:rPr>
          <w:sz w:val="28"/>
          <w:szCs w:val="28"/>
        </w:rPr>
        <w:t>, se non</w:t>
      </w:r>
      <w:r w:rsidR="0078389B" w:rsidRPr="0080394E">
        <w:rPr>
          <w:sz w:val="28"/>
          <w:szCs w:val="28"/>
        </w:rPr>
        <w:t xml:space="preserve"> </w:t>
      </w:r>
      <w:r w:rsidR="00CB4E6C" w:rsidRPr="0080394E">
        <w:rPr>
          <w:sz w:val="28"/>
          <w:szCs w:val="28"/>
        </w:rPr>
        <w:t>la sostanziale insussistenza</w:t>
      </w:r>
      <w:r w:rsidR="00F61B8D" w:rsidRPr="0080394E">
        <w:rPr>
          <w:sz w:val="28"/>
          <w:szCs w:val="28"/>
        </w:rPr>
        <w:t>,</w:t>
      </w:r>
      <w:r w:rsidR="00CB4E6C" w:rsidRPr="0080394E">
        <w:rPr>
          <w:sz w:val="28"/>
          <w:szCs w:val="28"/>
        </w:rPr>
        <w:t xml:space="preserve"> quanto meno il superamento </w:t>
      </w:r>
      <w:r w:rsidR="0078389B" w:rsidRPr="0080394E">
        <w:rPr>
          <w:sz w:val="28"/>
          <w:szCs w:val="28"/>
        </w:rPr>
        <w:t>di un tale rischio</w:t>
      </w:r>
      <w:r w:rsidR="002A49D3" w:rsidRPr="0080394E">
        <w:rPr>
          <w:sz w:val="28"/>
          <w:szCs w:val="28"/>
        </w:rPr>
        <w:t xml:space="preserve">. </w:t>
      </w:r>
      <w:r w:rsidR="00A20C2E" w:rsidRPr="0080394E">
        <w:rPr>
          <w:sz w:val="28"/>
          <w:szCs w:val="28"/>
        </w:rPr>
        <w:t>Si sta in altri termini “</w:t>
      </w:r>
      <w:r w:rsidR="00A20C2E" w:rsidRPr="0080394E">
        <w:rPr>
          <w:i/>
          <w:iCs/>
          <w:sz w:val="28"/>
          <w:szCs w:val="28"/>
        </w:rPr>
        <w:t>abbandonando progressivamente un approccio punitivo repressivo, preferendo strumenti di matrice preventiva e di controllo capaci di modularsi in base al differente grado di infiltrazione e di salvaguardare la continuità operativa dell'attività imprenditoriale mediante un'operazione di bonifica dall'inquinamento mafioso</w:t>
      </w:r>
      <w:r w:rsidR="00A20C2E" w:rsidRPr="0080394E">
        <w:rPr>
          <w:sz w:val="28"/>
          <w:szCs w:val="28"/>
        </w:rPr>
        <w:t>”</w:t>
      </w:r>
      <w:r w:rsidR="004460AF">
        <w:rPr>
          <w:rStyle w:val="Rimandonotaapidipagina"/>
          <w:sz w:val="28"/>
          <w:szCs w:val="28"/>
        </w:rPr>
        <w:footnoteReference w:id="8"/>
      </w:r>
      <w:r w:rsidR="00F61B8D" w:rsidRPr="0080394E">
        <w:rPr>
          <w:sz w:val="28"/>
          <w:szCs w:val="28"/>
        </w:rPr>
        <w:t>.</w:t>
      </w:r>
    </w:p>
    <w:p w14:paraId="1D323D5D" w14:textId="4E0F25FC" w:rsidR="00576C56" w:rsidRPr="0080394E" w:rsidRDefault="002A49D3" w:rsidP="00D16F96">
      <w:pPr>
        <w:spacing w:line="360" w:lineRule="auto"/>
        <w:jc w:val="both"/>
        <w:rPr>
          <w:sz w:val="28"/>
          <w:szCs w:val="28"/>
        </w:rPr>
      </w:pPr>
      <w:r w:rsidRPr="0080394E">
        <w:rPr>
          <w:sz w:val="28"/>
          <w:szCs w:val="28"/>
        </w:rPr>
        <w:t xml:space="preserve">Il </w:t>
      </w:r>
      <w:r w:rsidR="00151F60" w:rsidRPr="0080394E">
        <w:rPr>
          <w:sz w:val="28"/>
          <w:szCs w:val="28"/>
        </w:rPr>
        <w:t>profilo</w:t>
      </w:r>
      <w:r w:rsidR="00CC6F33">
        <w:rPr>
          <w:sz w:val="28"/>
          <w:szCs w:val="28"/>
        </w:rPr>
        <w:t xml:space="preserve"> -</w:t>
      </w:r>
      <w:r w:rsidR="00151F60" w:rsidRPr="0080394E">
        <w:rPr>
          <w:sz w:val="28"/>
          <w:szCs w:val="28"/>
        </w:rPr>
        <w:t xml:space="preserve">che, </w:t>
      </w:r>
      <w:r w:rsidR="005A20A2" w:rsidRPr="0080394E">
        <w:rPr>
          <w:sz w:val="28"/>
          <w:szCs w:val="28"/>
        </w:rPr>
        <w:t xml:space="preserve">come </w:t>
      </w:r>
      <w:r w:rsidR="00151F60" w:rsidRPr="0080394E">
        <w:rPr>
          <w:sz w:val="28"/>
          <w:szCs w:val="28"/>
        </w:rPr>
        <w:t xml:space="preserve">emerso anche dai confronti tra </w:t>
      </w:r>
      <w:r w:rsidR="00742920" w:rsidRPr="0080394E">
        <w:rPr>
          <w:sz w:val="28"/>
          <w:szCs w:val="28"/>
        </w:rPr>
        <w:t xml:space="preserve">giudici amministrativi e penali in </w:t>
      </w:r>
      <w:r w:rsidR="00151F60" w:rsidRPr="0080394E">
        <w:rPr>
          <w:sz w:val="28"/>
          <w:szCs w:val="28"/>
        </w:rPr>
        <w:t xml:space="preserve">precedenti </w:t>
      </w:r>
      <w:r w:rsidR="00742920" w:rsidRPr="0080394E">
        <w:rPr>
          <w:sz w:val="28"/>
          <w:szCs w:val="28"/>
        </w:rPr>
        <w:t>incontri di studio</w:t>
      </w:r>
      <w:r w:rsidR="00CC6F33">
        <w:rPr>
          <w:rStyle w:val="Rimandonotaapidipagina"/>
          <w:sz w:val="28"/>
          <w:szCs w:val="28"/>
        </w:rPr>
        <w:footnoteReference w:id="9"/>
      </w:r>
      <w:r w:rsidR="005A20A2" w:rsidRPr="0080394E">
        <w:rPr>
          <w:sz w:val="28"/>
          <w:szCs w:val="28"/>
        </w:rPr>
        <w:t xml:space="preserve">, </w:t>
      </w:r>
      <w:r w:rsidR="00742920" w:rsidRPr="0080394E">
        <w:rPr>
          <w:sz w:val="28"/>
          <w:szCs w:val="28"/>
        </w:rPr>
        <w:t xml:space="preserve">è </w:t>
      </w:r>
      <w:r w:rsidR="00151F60" w:rsidRPr="0080394E">
        <w:rPr>
          <w:sz w:val="28"/>
          <w:szCs w:val="28"/>
        </w:rPr>
        <w:t>di grande interesse</w:t>
      </w:r>
      <w:r w:rsidR="00CC6F33">
        <w:rPr>
          <w:sz w:val="28"/>
          <w:szCs w:val="28"/>
        </w:rPr>
        <w:t>-</w:t>
      </w:r>
      <w:r w:rsidR="00151F60" w:rsidRPr="0080394E">
        <w:rPr>
          <w:sz w:val="28"/>
          <w:szCs w:val="28"/>
        </w:rPr>
        <w:t xml:space="preserve"> è </w:t>
      </w:r>
      <w:r w:rsidR="005A20A2" w:rsidRPr="0080394E">
        <w:rPr>
          <w:sz w:val="28"/>
          <w:szCs w:val="28"/>
        </w:rPr>
        <w:t xml:space="preserve">particolarmente </w:t>
      </w:r>
      <w:r w:rsidR="00151F60" w:rsidRPr="0080394E">
        <w:rPr>
          <w:sz w:val="28"/>
          <w:szCs w:val="28"/>
        </w:rPr>
        <w:t>attuale alla luce delle modifiche introdotte</w:t>
      </w:r>
      <w:r w:rsidR="00BF4395" w:rsidRPr="0080394E">
        <w:rPr>
          <w:sz w:val="28"/>
          <w:szCs w:val="28"/>
        </w:rPr>
        <w:t>, a margine delle disposizioni urgenti per l’attuazione del PNRR,</w:t>
      </w:r>
      <w:r w:rsidR="00151F60" w:rsidRPr="0080394E">
        <w:rPr>
          <w:sz w:val="28"/>
          <w:szCs w:val="28"/>
        </w:rPr>
        <w:t xml:space="preserve"> </w:t>
      </w:r>
      <w:r w:rsidR="004303BE" w:rsidRPr="0080394E">
        <w:rPr>
          <w:sz w:val="28"/>
          <w:szCs w:val="28"/>
        </w:rPr>
        <w:t>da</w:t>
      </w:r>
      <w:r w:rsidR="00ED122F" w:rsidRPr="0080394E">
        <w:rPr>
          <w:sz w:val="28"/>
          <w:szCs w:val="28"/>
        </w:rPr>
        <w:t>gli artt. 47, 48 e 49 de</w:t>
      </w:r>
      <w:r w:rsidR="004303BE" w:rsidRPr="0080394E">
        <w:rPr>
          <w:sz w:val="28"/>
          <w:szCs w:val="28"/>
        </w:rPr>
        <w:t xml:space="preserve">l </w:t>
      </w:r>
      <w:proofErr w:type="spellStart"/>
      <w:r w:rsidR="00CF2883" w:rsidRPr="0080394E">
        <w:rPr>
          <w:sz w:val="28"/>
          <w:szCs w:val="28"/>
        </w:rPr>
        <w:t>d</w:t>
      </w:r>
      <w:r w:rsidR="004303BE" w:rsidRPr="0080394E">
        <w:rPr>
          <w:sz w:val="28"/>
          <w:szCs w:val="28"/>
        </w:rPr>
        <w:t>.</w:t>
      </w:r>
      <w:r w:rsidR="00CF2883" w:rsidRPr="0080394E">
        <w:rPr>
          <w:sz w:val="28"/>
          <w:szCs w:val="28"/>
        </w:rPr>
        <w:t>l</w:t>
      </w:r>
      <w:r w:rsidR="004303BE" w:rsidRPr="0080394E">
        <w:rPr>
          <w:sz w:val="28"/>
          <w:szCs w:val="28"/>
        </w:rPr>
        <w:t>.</w:t>
      </w:r>
      <w:proofErr w:type="spellEnd"/>
      <w:r w:rsidR="00CF2883" w:rsidRPr="0080394E">
        <w:rPr>
          <w:sz w:val="28"/>
          <w:szCs w:val="28"/>
        </w:rPr>
        <w:t xml:space="preserve"> n. 152</w:t>
      </w:r>
      <w:r w:rsidR="004303BE" w:rsidRPr="0080394E">
        <w:rPr>
          <w:sz w:val="28"/>
          <w:szCs w:val="28"/>
        </w:rPr>
        <w:t>, convertito nella l. n. 233</w:t>
      </w:r>
      <w:r w:rsidR="00CF2883" w:rsidRPr="0080394E">
        <w:rPr>
          <w:sz w:val="28"/>
          <w:szCs w:val="28"/>
        </w:rPr>
        <w:t xml:space="preserve"> del 2021.</w:t>
      </w:r>
    </w:p>
    <w:p w14:paraId="17EE6034" w14:textId="2EED6B55" w:rsidR="00B2303F" w:rsidRPr="0080394E" w:rsidRDefault="00B2303F" w:rsidP="00B2303F">
      <w:pPr>
        <w:spacing w:line="360" w:lineRule="auto"/>
        <w:jc w:val="center"/>
        <w:rPr>
          <w:sz w:val="28"/>
          <w:szCs w:val="28"/>
        </w:rPr>
      </w:pPr>
      <w:r w:rsidRPr="0080394E">
        <w:rPr>
          <w:sz w:val="28"/>
          <w:szCs w:val="28"/>
        </w:rPr>
        <w:t>*</w:t>
      </w:r>
    </w:p>
    <w:p w14:paraId="3B127FFA" w14:textId="70D1DF68" w:rsidR="00576C56" w:rsidRPr="0080394E" w:rsidRDefault="00683989" w:rsidP="00D16F96">
      <w:pPr>
        <w:spacing w:line="360" w:lineRule="auto"/>
        <w:jc w:val="both"/>
        <w:rPr>
          <w:rFonts w:cstheme="minorHAnsi"/>
          <w:sz w:val="28"/>
          <w:szCs w:val="28"/>
        </w:rPr>
      </w:pPr>
      <w:r w:rsidRPr="0080394E">
        <w:rPr>
          <w:rFonts w:cstheme="minorHAnsi"/>
          <w:sz w:val="28"/>
          <w:szCs w:val="28"/>
        </w:rPr>
        <w:t xml:space="preserve">Il “percorso” parte però, come noto, dal sistema penale. </w:t>
      </w:r>
      <w:r w:rsidR="007552BF" w:rsidRPr="0080394E">
        <w:rPr>
          <w:rFonts w:cstheme="minorHAnsi"/>
          <w:sz w:val="28"/>
          <w:szCs w:val="28"/>
        </w:rPr>
        <w:t>G</w:t>
      </w:r>
      <w:r w:rsidR="00576C56" w:rsidRPr="0080394E">
        <w:rPr>
          <w:rFonts w:cstheme="minorHAnsi"/>
          <w:sz w:val="28"/>
          <w:szCs w:val="28"/>
        </w:rPr>
        <w:t>li articoli 34 e 34-</w:t>
      </w:r>
      <w:r w:rsidR="00576C56" w:rsidRPr="0080394E">
        <w:rPr>
          <w:rFonts w:cstheme="minorHAnsi"/>
          <w:i/>
          <w:iCs/>
          <w:sz w:val="28"/>
          <w:szCs w:val="28"/>
        </w:rPr>
        <w:t>bis</w:t>
      </w:r>
      <w:r w:rsidR="00576C56" w:rsidRPr="0080394E">
        <w:rPr>
          <w:rFonts w:cstheme="minorHAnsi"/>
          <w:sz w:val="28"/>
          <w:szCs w:val="28"/>
        </w:rPr>
        <w:t xml:space="preserve"> del codice antimafia prevedono</w:t>
      </w:r>
      <w:r w:rsidR="007552BF" w:rsidRPr="0080394E">
        <w:rPr>
          <w:rFonts w:cstheme="minorHAnsi"/>
          <w:sz w:val="28"/>
          <w:szCs w:val="28"/>
        </w:rPr>
        <w:t xml:space="preserve"> infatti</w:t>
      </w:r>
      <w:r w:rsidR="00576C56" w:rsidRPr="0080394E">
        <w:rPr>
          <w:rFonts w:cstheme="minorHAnsi"/>
          <w:sz w:val="28"/>
          <w:szCs w:val="28"/>
        </w:rPr>
        <w:t xml:space="preserve">, ove ne ricorrano i </w:t>
      </w:r>
      <w:r w:rsidR="00576C56" w:rsidRPr="000A7E8E">
        <w:rPr>
          <w:rFonts w:cstheme="minorHAnsi"/>
          <w:sz w:val="28"/>
          <w:szCs w:val="28"/>
        </w:rPr>
        <w:t>presupposti e in luogo del</w:t>
      </w:r>
      <w:r w:rsidR="00576C56" w:rsidRPr="0080394E">
        <w:rPr>
          <w:rFonts w:cstheme="minorHAnsi"/>
          <w:sz w:val="28"/>
          <w:szCs w:val="28"/>
        </w:rPr>
        <w:t xml:space="preserve"> sequestro e della confisca dei beni del soggetto proposto, </w:t>
      </w:r>
      <w:r w:rsidR="00576C56" w:rsidRPr="00B47B9C">
        <w:rPr>
          <w:rFonts w:cstheme="minorHAnsi"/>
          <w:sz w:val="28"/>
          <w:szCs w:val="28"/>
        </w:rPr>
        <w:t xml:space="preserve">l'applicazione, a seconda del livello di rischio, di due </w:t>
      </w:r>
      <w:r w:rsidR="007552BF" w:rsidRPr="00B47B9C">
        <w:rPr>
          <w:rFonts w:cstheme="minorHAnsi"/>
          <w:sz w:val="28"/>
          <w:szCs w:val="28"/>
        </w:rPr>
        <w:t xml:space="preserve">diverse </w:t>
      </w:r>
      <w:r w:rsidR="00576C56" w:rsidRPr="00B47B9C">
        <w:rPr>
          <w:rFonts w:cstheme="minorHAnsi"/>
          <w:sz w:val="28"/>
          <w:szCs w:val="28"/>
        </w:rPr>
        <w:t>misure di prevenzione penale</w:t>
      </w:r>
      <w:r w:rsidR="00576C56" w:rsidRPr="0080394E">
        <w:rPr>
          <w:rFonts w:cstheme="minorHAnsi"/>
          <w:sz w:val="28"/>
          <w:szCs w:val="28"/>
        </w:rPr>
        <w:t>: l'amministrazione giudiziaria dei beni connessi ad attività economiche e delle aziende e il cd controllo giudiziario di queste ultime. In dottrina si è rimarcato che tali misure, “</w:t>
      </w:r>
      <w:r w:rsidR="00576C56" w:rsidRPr="0080394E">
        <w:rPr>
          <w:rFonts w:cstheme="minorHAnsi"/>
          <w:i/>
          <w:iCs/>
          <w:sz w:val="28"/>
          <w:szCs w:val="28"/>
        </w:rPr>
        <w:t xml:space="preserve">raramente </w:t>
      </w:r>
      <w:r w:rsidR="00576C56" w:rsidRPr="0080394E">
        <w:rPr>
          <w:rFonts w:cstheme="minorHAnsi"/>
          <w:i/>
          <w:iCs/>
          <w:sz w:val="28"/>
          <w:szCs w:val="28"/>
        </w:rPr>
        <w:lastRenderedPageBreak/>
        <w:t>adottate dal giudice che decide sul sequestro o sulla confisca, e raramente invocate dai difensori in via subordinata rispetto alle richieste di rigetto/revoca del sequestro o della confisca</w:t>
      </w:r>
      <w:r w:rsidR="00576C56" w:rsidRPr="0080394E">
        <w:rPr>
          <w:rFonts w:cstheme="minorHAnsi"/>
          <w:sz w:val="28"/>
          <w:szCs w:val="28"/>
        </w:rPr>
        <w:t>”, sono state qualificate dalla Cassazione penale come “</w:t>
      </w:r>
      <w:r w:rsidR="00576C56" w:rsidRPr="0080394E">
        <w:rPr>
          <w:rFonts w:cstheme="minorHAnsi"/>
          <w:i/>
          <w:iCs/>
          <w:sz w:val="28"/>
          <w:szCs w:val="28"/>
        </w:rPr>
        <w:t>modalità di intervento potenzialmente alternativo rispetto all'ordinario binomio sequestro/confisca dei beni del soggetto portatore di pericolosità</w:t>
      </w:r>
      <w:r w:rsidR="00576C56" w:rsidRPr="0080394E">
        <w:rPr>
          <w:rFonts w:cstheme="minorHAnsi"/>
          <w:sz w:val="28"/>
          <w:szCs w:val="28"/>
        </w:rPr>
        <w:t>” (</w:t>
      </w:r>
      <w:proofErr w:type="spellStart"/>
      <w:r w:rsidR="00576C56" w:rsidRPr="0080394E">
        <w:rPr>
          <w:rFonts w:cstheme="minorHAnsi"/>
          <w:sz w:val="28"/>
          <w:szCs w:val="28"/>
        </w:rPr>
        <w:t>sent</w:t>
      </w:r>
      <w:proofErr w:type="spellEnd"/>
      <w:r w:rsidR="00576C56" w:rsidRPr="0080394E">
        <w:rPr>
          <w:rFonts w:cstheme="minorHAnsi"/>
          <w:sz w:val="28"/>
          <w:szCs w:val="28"/>
        </w:rPr>
        <w:t xml:space="preserve">. n. 24678/21), delle quali - come aggiunge la </w:t>
      </w:r>
      <w:proofErr w:type="spellStart"/>
      <w:r w:rsidR="00576C56" w:rsidRPr="0080394E">
        <w:rPr>
          <w:rFonts w:cstheme="minorHAnsi"/>
          <w:sz w:val="28"/>
          <w:szCs w:val="28"/>
        </w:rPr>
        <w:t>sent</w:t>
      </w:r>
      <w:proofErr w:type="spellEnd"/>
      <w:r w:rsidR="00576C56" w:rsidRPr="0080394E">
        <w:rPr>
          <w:rFonts w:cstheme="minorHAnsi"/>
          <w:sz w:val="28"/>
          <w:szCs w:val="28"/>
        </w:rPr>
        <w:t>. n. 21412/21 - “</w:t>
      </w:r>
      <w:r w:rsidR="00576C56" w:rsidRPr="0080394E">
        <w:rPr>
          <w:rFonts w:cstheme="minorHAnsi"/>
          <w:i/>
          <w:iCs/>
          <w:sz w:val="28"/>
          <w:szCs w:val="28"/>
        </w:rPr>
        <w:t>il legislatore, ricorrendone i presupposti, ha inteso privilegiare l'applicazione in attuazione del principio di proporzionalità e in vista del possibile recupero dell'impresa alle fisiologiche regole del mercato, una volta ridotta l'ingerenza dei soggetti portatori di pericolosità</w:t>
      </w:r>
      <w:r w:rsidR="00576C56" w:rsidRPr="0080394E">
        <w:rPr>
          <w:rFonts w:cstheme="minorHAnsi"/>
          <w:sz w:val="28"/>
          <w:szCs w:val="28"/>
        </w:rPr>
        <w:t>”</w:t>
      </w:r>
      <w:r w:rsidR="00CC6F33">
        <w:rPr>
          <w:rStyle w:val="Rimandonotaapidipagina"/>
          <w:rFonts w:cstheme="minorHAnsi"/>
          <w:sz w:val="28"/>
          <w:szCs w:val="28"/>
        </w:rPr>
        <w:footnoteReference w:id="10"/>
      </w:r>
      <w:r w:rsidR="00576C56" w:rsidRPr="0080394E">
        <w:rPr>
          <w:rFonts w:cstheme="minorHAnsi"/>
          <w:sz w:val="28"/>
          <w:szCs w:val="28"/>
        </w:rPr>
        <w:t>. In particolare, seguendo un approccio gradualistico “a scalare” in relazione ai diversi livelli di contaminazione dell’operatore economico, il controllo è stato introdotto dalla riforma codicistica di cui alla l. n. 161 del 2017 mediante l’inserimento del richiamato art. 34-</w:t>
      </w:r>
      <w:r w:rsidR="00576C56" w:rsidRPr="0080394E">
        <w:rPr>
          <w:rFonts w:cstheme="minorHAnsi"/>
          <w:i/>
          <w:iCs/>
          <w:sz w:val="28"/>
          <w:szCs w:val="28"/>
        </w:rPr>
        <w:t>bis</w:t>
      </w:r>
      <w:r w:rsidR="00576C56" w:rsidRPr="0080394E">
        <w:rPr>
          <w:rFonts w:cstheme="minorHAnsi"/>
          <w:sz w:val="28"/>
          <w:szCs w:val="28"/>
        </w:rPr>
        <w:t xml:space="preserve">, per intervenire in via conservativa </w:t>
      </w:r>
      <w:r w:rsidR="00952ADB">
        <w:rPr>
          <w:rFonts w:cstheme="minorHAnsi"/>
          <w:sz w:val="28"/>
          <w:szCs w:val="28"/>
        </w:rPr>
        <w:t xml:space="preserve">e recuperatoria </w:t>
      </w:r>
      <w:r w:rsidR="00576C56" w:rsidRPr="0080394E">
        <w:rPr>
          <w:rFonts w:cstheme="minorHAnsi"/>
          <w:sz w:val="28"/>
          <w:szCs w:val="28"/>
        </w:rPr>
        <w:t>nelle ipotesi in cui i comportamenti a rischio d</w:t>
      </w:r>
      <w:r w:rsidR="009B539B" w:rsidRPr="0080394E">
        <w:rPr>
          <w:rFonts w:cstheme="minorHAnsi"/>
          <w:sz w:val="28"/>
          <w:szCs w:val="28"/>
        </w:rPr>
        <w:t xml:space="preserve">i </w:t>
      </w:r>
      <w:r w:rsidR="00576C56" w:rsidRPr="0080394E">
        <w:rPr>
          <w:rFonts w:cstheme="minorHAnsi"/>
          <w:sz w:val="28"/>
          <w:szCs w:val="28"/>
        </w:rPr>
        <w:t>infiltrazione sono stati meramente occasionali</w:t>
      </w:r>
      <w:r w:rsidR="009B539B" w:rsidRPr="0080394E">
        <w:rPr>
          <w:rFonts w:cstheme="minorHAnsi"/>
          <w:sz w:val="28"/>
          <w:szCs w:val="28"/>
        </w:rPr>
        <w:t xml:space="preserve"> e il </w:t>
      </w:r>
      <w:r w:rsidR="00576C56" w:rsidRPr="0080394E">
        <w:rPr>
          <w:rFonts w:cstheme="minorHAnsi"/>
          <w:sz w:val="28"/>
          <w:szCs w:val="28"/>
        </w:rPr>
        <w:t xml:space="preserve">condizionamento </w:t>
      </w:r>
      <w:r w:rsidR="00352B20" w:rsidRPr="0080394E">
        <w:rPr>
          <w:rFonts w:cstheme="minorHAnsi"/>
          <w:sz w:val="28"/>
          <w:szCs w:val="28"/>
        </w:rPr>
        <w:t xml:space="preserve">subito dall’impresa </w:t>
      </w:r>
      <w:r w:rsidR="009B539B" w:rsidRPr="0080394E">
        <w:rPr>
          <w:rFonts w:cstheme="minorHAnsi"/>
          <w:sz w:val="28"/>
          <w:szCs w:val="28"/>
        </w:rPr>
        <w:t xml:space="preserve">sia a un livello ancora embrionale e suscettibile di </w:t>
      </w:r>
      <w:r w:rsidR="00352B20" w:rsidRPr="0080394E">
        <w:rPr>
          <w:rFonts w:cstheme="minorHAnsi"/>
          <w:sz w:val="28"/>
          <w:szCs w:val="28"/>
        </w:rPr>
        <w:t>agevole rimozione</w:t>
      </w:r>
      <w:r w:rsidR="00262F91">
        <w:rPr>
          <w:rStyle w:val="Rimandonotaapidipagina"/>
          <w:rFonts w:cstheme="minorHAnsi"/>
          <w:sz w:val="28"/>
          <w:szCs w:val="28"/>
        </w:rPr>
        <w:footnoteReference w:id="11"/>
      </w:r>
      <w:r w:rsidR="00576C56" w:rsidRPr="0080394E">
        <w:rPr>
          <w:rFonts w:cstheme="minorHAnsi"/>
          <w:sz w:val="28"/>
          <w:szCs w:val="28"/>
        </w:rPr>
        <w:t>. Esso persegue una prioritaria finalità di cd “bonifica” delle imprese che versino in una situazione di assoggettamento o intimidazione o si siano occasionalmente prestate per agevolare le associazioni di natura mafiosa, consentendo loro di continuare ad operare in una economia sana e di salvaguardare i livelli occupazionali</w:t>
      </w:r>
      <w:r w:rsidR="001079CF">
        <w:rPr>
          <w:rFonts w:cstheme="minorHAnsi"/>
          <w:sz w:val="28"/>
          <w:szCs w:val="28"/>
        </w:rPr>
        <w:t xml:space="preserve"> e così </w:t>
      </w:r>
      <w:r w:rsidR="00576C56" w:rsidRPr="0080394E">
        <w:rPr>
          <w:rFonts w:cstheme="minorHAnsi"/>
          <w:sz w:val="28"/>
          <w:szCs w:val="28"/>
        </w:rPr>
        <w:t>favorendo il loro ritorno a un regime di piena legalità.</w:t>
      </w:r>
      <w:r w:rsidR="00532DAF" w:rsidRPr="0080394E">
        <w:rPr>
          <w:rFonts w:cstheme="minorHAnsi"/>
          <w:sz w:val="28"/>
          <w:szCs w:val="28"/>
        </w:rPr>
        <w:t xml:space="preserve"> </w:t>
      </w:r>
      <w:r w:rsidR="005A69A8">
        <w:rPr>
          <w:rFonts w:cstheme="minorHAnsi"/>
          <w:sz w:val="28"/>
          <w:szCs w:val="28"/>
        </w:rPr>
        <w:t>Come efficacemente evidenziato, si tratta di “</w:t>
      </w:r>
      <w:r w:rsidR="001079CF" w:rsidRPr="005A69A8">
        <w:rPr>
          <w:rFonts w:cstheme="minorHAnsi"/>
          <w:i/>
          <w:iCs/>
          <w:sz w:val="28"/>
          <w:szCs w:val="28"/>
        </w:rPr>
        <w:t>un delicatissimo ‘istituto cerniera’</w:t>
      </w:r>
      <w:r w:rsidR="005A69A8" w:rsidRPr="005A69A8">
        <w:rPr>
          <w:rFonts w:cstheme="minorHAnsi"/>
          <w:i/>
          <w:iCs/>
          <w:sz w:val="28"/>
          <w:szCs w:val="28"/>
        </w:rPr>
        <w:t>,</w:t>
      </w:r>
      <w:r w:rsidR="001079CF" w:rsidRPr="005A69A8">
        <w:rPr>
          <w:rFonts w:cstheme="minorHAnsi"/>
          <w:i/>
          <w:iCs/>
          <w:sz w:val="28"/>
          <w:szCs w:val="28"/>
        </w:rPr>
        <w:t xml:space="preserve"> in cui trovano risoluzione equilibrata le possibili frizioni tra la giurisdizione amministrativa e la giurisdizione ordinaria e si saldano in modo armonico le contrapposte esigenze sottese alle interdittive antimafia, da un lato, della tutela dell’ordine pubblico e dei valori fondanti della </w:t>
      </w:r>
      <w:r w:rsidR="001079CF" w:rsidRPr="005A69A8">
        <w:rPr>
          <w:rFonts w:cstheme="minorHAnsi"/>
          <w:i/>
          <w:iCs/>
          <w:sz w:val="28"/>
          <w:szCs w:val="28"/>
        </w:rPr>
        <w:lastRenderedPageBreak/>
        <w:t>democrazia avverso i tentativi di infiltrazione mafiosa nelle attività economiche lecite e, dall’altro, della libertà di impresa e del diritto di proprietà del destinatario del provvedimento prefettizio</w:t>
      </w:r>
      <w:r w:rsidR="005A69A8">
        <w:rPr>
          <w:rFonts w:cstheme="minorHAnsi"/>
          <w:sz w:val="28"/>
          <w:szCs w:val="28"/>
        </w:rPr>
        <w:t>”</w:t>
      </w:r>
      <w:r w:rsidR="005A69A8">
        <w:rPr>
          <w:rStyle w:val="Rimandonotaapidipagina"/>
          <w:rFonts w:cstheme="minorHAnsi"/>
          <w:sz w:val="28"/>
          <w:szCs w:val="28"/>
        </w:rPr>
        <w:footnoteReference w:id="12"/>
      </w:r>
      <w:r w:rsidR="001079CF" w:rsidRPr="001079CF">
        <w:rPr>
          <w:rFonts w:cstheme="minorHAnsi"/>
          <w:sz w:val="28"/>
          <w:szCs w:val="28"/>
        </w:rPr>
        <w:t>.</w:t>
      </w:r>
    </w:p>
    <w:p w14:paraId="734FC0B9" w14:textId="04F9AD2E" w:rsidR="00576C56" w:rsidRPr="0080394E" w:rsidRDefault="00576C56" w:rsidP="00D16F96">
      <w:pPr>
        <w:spacing w:line="360" w:lineRule="auto"/>
        <w:jc w:val="both"/>
        <w:rPr>
          <w:sz w:val="28"/>
          <w:szCs w:val="28"/>
        </w:rPr>
      </w:pPr>
      <w:r w:rsidRPr="0080394E">
        <w:rPr>
          <w:sz w:val="28"/>
          <w:szCs w:val="28"/>
        </w:rPr>
        <w:t>Il comma 2 dell’art. 34-</w:t>
      </w:r>
      <w:r w:rsidRPr="0080394E">
        <w:rPr>
          <w:i/>
          <w:iCs/>
          <w:sz w:val="28"/>
          <w:szCs w:val="28"/>
        </w:rPr>
        <w:t>bis</w:t>
      </w:r>
      <w:r w:rsidRPr="0080394E">
        <w:rPr>
          <w:sz w:val="28"/>
          <w:szCs w:val="28"/>
        </w:rPr>
        <w:t xml:space="preserve"> prevede che il controllo possa essere attuato in due</w:t>
      </w:r>
      <w:r w:rsidR="00F61B8D" w:rsidRPr="0080394E">
        <w:rPr>
          <w:sz w:val="28"/>
          <w:szCs w:val="28"/>
        </w:rPr>
        <w:t xml:space="preserve"> modalità </w:t>
      </w:r>
      <w:r w:rsidRPr="0080394E">
        <w:rPr>
          <w:sz w:val="28"/>
          <w:szCs w:val="28"/>
        </w:rPr>
        <w:t>diverse:</w:t>
      </w:r>
    </w:p>
    <w:p w14:paraId="55A169C0" w14:textId="428972E5" w:rsidR="00576C56" w:rsidRPr="0080394E" w:rsidRDefault="00576C56" w:rsidP="00D16F96">
      <w:pPr>
        <w:spacing w:line="360" w:lineRule="auto"/>
        <w:jc w:val="both"/>
        <w:rPr>
          <w:sz w:val="28"/>
          <w:szCs w:val="28"/>
        </w:rPr>
      </w:pPr>
      <w:r w:rsidRPr="0080394E">
        <w:rPr>
          <w:sz w:val="28"/>
          <w:szCs w:val="28"/>
        </w:rPr>
        <w:t xml:space="preserve">-una modalità meno invasiva, consistente in un obbligo di comunicazione periodica al Questore e al nucleo di polizia tributaria degli atti di disposizione patrimoniale o di altri atti o contratti individuati dal </w:t>
      </w:r>
      <w:r w:rsidR="0000747F">
        <w:rPr>
          <w:sz w:val="28"/>
          <w:szCs w:val="28"/>
        </w:rPr>
        <w:t>Tribunale</w:t>
      </w:r>
      <w:r w:rsidRPr="0080394E">
        <w:rPr>
          <w:sz w:val="28"/>
          <w:szCs w:val="28"/>
        </w:rPr>
        <w:t xml:space="preserve"> (</w:t>
      </w:r>
      <w:proofErr w:type="spellStart"/>
      <w:r w:rsidRPr="0080394E">
        <w:rPr>
          <w:sz w:val="28"/>
          <w:szCs w:val="28"/>
        </w:rPr>
        <w:t>lett</w:t>
      </w:r>
      <w:proofErr w:type="spellEnd"/>
      <w:r w:rsidRPr="0080394E">
        <w:rPr>
          <w:sz w:val="28"/>
          <w:szCs w:val="28"/>
        </w:rPr>
        <w:t xml:space="preserve"> </w:t>
      </w:r>
      <w:r w:rsidRPr="0080394E">
        <w:rPr>
          <w:i/>
          <w:iCs/>
          <w:sz w:val="28"/>
          <w:szCs w:val="28"/>
        </w:rPr>
        <w:t>a</w:t>
      </w:r>
      <w:r w:rsidRPr="0080394E">
        <w:rPr>
          <w:sz w:val="28"/>
          <w:szCs w:val="28"/>
        </w:rPr>
        <w:t>);</w:t>
      </w:r>
    </w:p>
    <w:p w14:paraId="2C62BDFF" w14:textId="2C1092C1" w:rsidR="00576C56" w:rsidRPr="0080394E" w:rsidRDefault="00576C56" w:rsidP="00D16F96">
      <w:pPr>
        <w:spacing w:line="360" w:lineRule="auto"/>
        <w:jc w:val="both"/>
        <w:rPr>
          <w:sz w:val="28"/>
          <w:szCs w:val="28"/>
        </w:rPr>
      </w:pPr>
      <w:r w:rsidRPr="0080394E">
        <w:rPr>
          <w:sz w:val="28"/>
          <w:szCs w:val="28"/>
        </w:rPr>
        <w:t xml:space="preserve">-e una modalità più invasiva, attraverso la nomina di un amministratore giudiziario, che però, diversamente da quanto avviene nell’amministrazione giudiziaria, non si sostituisce all’impresa, ma ha soltanto funzione di </w:t>
      </w:r>
      <w:r w:rsidR="00DC430D" w:rsidRPr="0080394E">
        <w:rPr>
          <w:sz w:val="28"/>
          <w:szCs w:val="28"/>
        </w:rPr>
        <w:t xml:space="preserve">tutoraggio </w:t>
      </w:r>
      <w:r w:rsidRPr="0080394E">
        <w:rPr>
          <w:sz w:val="28"/>
          <w:szCs w:val="28"/>
        </w:rPr>
        <w:t xml:space="preserve">e </w:t>
      </w:r>
      <w:r w:rsidR="00DC430D" w:rsidRPr="0080394E">
        <w:rPr>
          <w:sz w:val="28"/>
          <w:szCs w:val="28"/>
        </w:rPr>
        <w:t>di bonifica</w:t>
      </w:r>
      <w:r w:rsidRPr="0080394E">
        <w:rPr>
          <w:sz w:val="28"/>
          <w:szCs w:val="28"/>
        </w:rPr>
        <w:t xml:space="preserve"> e riferisce periodicamente</w:t>
      </w:r>
      <w:r w:rsidR="00DC430D" w:rsidRPr="0080394E">
        <w:rPr>
          <w:sz w:val="28"/>
          <w:szCs w:val="28"/>
        </w:rPr>
        <w:t>, con relazioni scritte bimestrali,</w:t>
      </w:r>
      <w:r w:rsidRPr="0080394E">
        <w:rPr>
          <w:sz w:val="28"/>
          <w:szCs w:val="28"/>
        </w:rPr>
        <w:t xml:space="preserve"> al giudice delegato e al pubblico ministero (</w:t>
      </w:r>
      <w:proofErr w:type="spellStart"/>
      <w:r w:rsidRPr="0080394E">
        <w:rPr>
          <w:sz w:val="28"/>
          <w:szCs w:val="28"/>
        </w:rPr>
        <w:t>lett</w:t>
      </w:r>
      <w:proofErr w:type="spellEnd"/>
      <w:r w:rsidRPr="0080394E">
        <w:rPr>
          <w:sz w:val="28"/>
          <w:szCs w:val="28"/>
        </w:rPr>
        <w:t xml:space="preserve"> </w:t>
      </w:r>
      <w:r w:rsidR="00F61B8D" w:rsidRPr="0080394E">
        <w:rPr>
          <w:i/>
          <w:iCs/>
          <w:sz w:val="28"/>
          <w:szCs w:val="28"/>
        </w:rPr>
        <w:t>b</w:t>
      </w:r>
      <w:r w:rsidRPr="0080394E">
        <w:rPr>
          <w:sz w:val="28"/>
          <w:szCs w:val="28"/>
        </w:rPr>
        <w:t xml:space="preserve">). </w:t>
      </w:r>
    </w:p>
    <w:p w14:paraId="631FB1E8" w14:textId="3484F63F" w:rsidR="00576C56" w:rsidRPr="0080394E" w:rsidRDefault="00576C56" w:rsidP="00D16F96">
      <w:pPr>
        <w:spacing w:line="360" w:lineRule="auto"/>
        <w:jc w:val="both"/>
        <w:rPr>
          <w:sz w:val="28"/>
          <w:szCs w:val="28"/>
        </w:rPr>
      </w:pPr>
      <w:r w:rsidRPr="0080394E">
        <w:rPr>
          <w:sz w:val="28"/>
          <w:szCs w:val="28"/>
        </w:rPr>
        <w:t>In entrambi i casi, comunque, anche se nel secondo</w:t>
      </w:r>
      <w:r w:rsidR="00D16F96" w:rsidRPr="0080394E">
        <w:rPr>
          <w:sz w:val="28"/>
          <w:szCs w:val="28"/>
        </w:rPr>
        <w:t xml:space="preserve"> caso</w:t>
      </w:r>
      <w:r w:rsidRPr="0080394E">
        <w:rPr>
          <w:sz w:val="28"/>
          <w:szCs w:val="28"/>
        </w:rPr>
        <w:t xml:space="preserve"> “</w:t>
      </w:r>
      <w:r w:rsidRPr="0080394E">
        <w:rPr>
          <w:i/>
          <w:iCs/>
          <w:sz w:val="28"/>
          <w:szCs w:val="28"/>
        </w:rPr>
        <w:t>sotto controllo</w:t>
      </w:r>
      <w:r w:rsidRPr="0080394E">
        <w:rPr>
          <w:sz w:val="28"/>
          <w:szCs w:val="28"/>
        </w:rPr>
        <w:t>”</w:t>
      </w:r>
      <w:r w:rsidR="00D16F96" w:rsidRPr="0080394E">
        <w:rPr>
          <w:sz w:val="28"/>
          <w:szCs w:val="28"/>
        </w:rPr>
        <w:t xml:space="preserve"> dell’amministratore</w:t>
      </w:r>
      <w:r w:rsidRPr="0080394E">
        <w:rPr>
          <w:sz w:val="28"/>
          <w:szCs w:val="28"/>
        </w:rPr>
        <w:t xml:space="preserve">, </w:t>
      </w:r>
      <w:r w:rsidR="00855A42" w:rsidRPr="0080394E">
        <w:rPr>
          <w:sz w:val="28"/>
          <w:szCs w:val="28"/>
        </w:rPr>
        <w:t xml:space="preserve">che adotterà le opportune cautele, </w:t>
      </w:r>
      <w:r w:rsidRPr="0080394E">
        <w:rPr>
          <w:sz w:val="28"/>
          <w:szCs w:val="28"/>
        </w:rPr>
        <w:t xml:space="preserve">l’impresa </w:t>
      </w:r>
      <w:r w:rsidR="00D16F96" w:rsidRPr="0080394E">
        <w:rPr>
          <w:sz w:val="28"/>
          <w:szCs w:val="28"/>
        </w:rPr>
        <w:t xml:space="preserve">rimane quindi titolare della gestione e </w:t>
      </w:r>
      <w:r w:rsidRPr="0080394E">
        <w:rPr>
          <w:sz w:val="28"/>
          <w:szCs w:val="28"/>
        </w:rPr>
        <w:t xml:space="preserve">può continuare </w:t>
      </w:r>
      <w:r w:rsidR="00D16F96" w:rsidRPr="0080394E">
        <w:rPr>
          <w:sz w:val="28"/>
          <w:szCs w:val="28"/>
        </w:rPr>
        <w:t xml:space="preserve">direttamente </w:t>
      </w:r>
      <w:r w:rsidRPr="0080394E">
        <w:rPr>
          <w:sz w:val="28"/>
          <w:szCs w:val="28"/>
        </w:rPr>
        <w:t>a operare anche in rapporto con l’amministrazione.</w:t>
      </w:r>
    </w:p>
    <w:p w14:paraId="51F8FC0E" w14:textId="3F9EB17A" w:rsidR="00576C56" w:rsidRPr="0080394E" w:rsidRDefault="00576C56" w:rsidP="00D16F96">
      <w:pPr>
        <w:spacing w:line="360" w:lineRule="auto"/>
        <w:jc w:val="both"/>
        <w:rPr>
          <w:sz w:val="28"/>
          <w:szCs w:val="28"/>
        </w:rPr>
      </w:pPr>
      <w:r w:rsidRPr="0080394E">
        <w:rPr>
          <w:sz w:val="28"/>
          <w:szCs w:val="28"/>
        </w:rPr>
        <w:t xml:space="preserve">Il </w:t>
      </w:r>
      <w:r w:rsidR="0000747F">
        <w:rPr>
          <w:sz w:val="28"/>
          <w:szCs w:val="28"/>
        </w:rPr>
        <w:t>Tribunale</w:t>
      </w:r>
      <w:r w:rsidRPr="0080394E">
        <w:rPr>
          <w:sz w:val="28"/>
          <w:szCs w:val="28"/>
        </w:rPr>
        <w:t xml:space="preserve"> può poi autorizzare la polizia giudiziaria all’accesso negli uffici dell’impresa per l’acquisizione di documenti o disporre il passaggio all’amministrazione giudiziaria di cui all’art 34 dello stesso codice.</w:t>
      </w:r>
    </w:p>
    <w:p w14:paraId="701DBAC5" w14:textId="400FA0D1" w:rsidR="00457134" w:rsidRPr="0080394E" w:rsidRDefault="00827AE5" w:rsidP="00D16F96">
      <w:pPr>
        <w:spacing w:line="360" w:lineRule="auto"/>
        <w:jc w:val="both"/>
        <w:rPr>
          <w:sz w:val="28"/>
          <w:szCs w:val="28"/>
        </w:rPr>
      </w:pPr>
      <w:r w:rsidRPr="0080394E">
        <w:rPr>
          <w:sz w:val="28"/>
          <w:szCs w:val="28"/>
        </w:rPr>
        <w:t xml:space="preserve">È dunque evidente la differenza rispetto all’informazione prefettizia interdittiva, che, come detto, inibendo qualsiasi rapporto con la </w:t>
      </w:r>
      <w:proofErr w:type="spellStart"/>
      <w:r w:rsidRPr="0080394E">
        <w:rPr>
          <w:sz w:val="28"/>
          <w:szCs w:val="28"/>
        </w:rPr>
        <w:t>p.A.</w:t>
      </w:r>
      <w:proofErr w:type="spellEnd"/>
      <w:r w:rsidRPr="0080394E">
        <w:rPr>
          <w:sz w:val="28"/>
          <w:szCs w:val="28"/>
        </w:rPr>
        <w:t>, non soltanto contrattuale, ma anche autorizzatorio, determina spesso la chiusura dell’impresa. Sicché, come è stato esattamente rilevato anche dalla dottrina toga</w:t>
      </w:r>
      <w:r w:rsidR="00457134" w:rsidRPr="0080394E">
        <w:rPr>
          <w:sz w:val="28"/>
          <w:szCs w:val="28"/>
        </w:rPr>
        <w:t>ta amministrativa</w:t>
      </w:r>
      <w:r w:rsidR="00157CDF">
        <w:rPr>
          <w:rStyle w:val="Rimandonotaapidipagina"/>
          <w:sz w:val="28"/>
          <w:szCs w:val="28"/>
        </w:rPr>
        <w:footnoteReference w:id="13"/>
      </w:r>
      <w:r w:rsidR="00157CDF">
        <w:rPr>
          <w:sz w:val="28"/>
          <w:szCs w:val="28"/>
        </w:rPr>
        <w:t xml:space="preserve">, </w:t>
      </w:r>
      <w:r w:rsidR="00B1003D" w:rsidRPr="0080394E">
        <w:rPr>
          <w:sz w:val="28"/>
          <w:szCs w:val="28"/>
        </w:rPr>
        <w:t xml:space="preserve">è chiaro che </w:t>
      </w:r>
      <w:r w:rsidR="00457134" w:rsidRPr="0080394E">
        <w:rPr>
          <w:sz w:val="28"/>
          <w:szCs w:val="28"/>
        </w:rPr>
        <w:t>“</w:t>
      </w:r>
      <w:r w:rsidR="00B1003D" w:rsidRPr="0080394E">
        <w:rPr>
          <w:i/>
          <w:iCs/>
          <w:sz w:val="28"/>
          <w:szCs w:val="28"/>
        </w:rPr>
        <w:t xml:space="preserve">visto </w:t>
      </w:r>
      <w:r w:rsidR="00B1003D" w:rsidRPr="0080394E">
        <w:rPr>
          <w:i/>
          <w:iCs/>
          <w:sz w:val="28"/>
          <w:szCs w:val="28"/>
        </w:rPr>
        <w:lastRenderedPageBreak/>
        <w:t xml:space="preserve">dal lato delle imprese </w:t>
      </w:r>
      <w:r w:rsidR="00457134" w:rsidRPr="0080394E">
        <w:rPr>
          <w:i/>
          <w:iCs/>
          <w:sz w:val="28"/>
          <w:szCs w:val="28"/>
        </w:rPr>
        <w:t xml:space="preserve">è </w:t>
      </w:r>
      <w:r w:rsidR="00B1003D" w:rsidRPr="0080394E">
        <w:rPr>
          <w:i/>
          <w:iCs/>
          <w:sz w:val="28"/>
          <w:szCs w:val="28"/>
        </w:rPr>
        <w:t>meglio essere colpiti dalla prevenzione antimafia penale che non dalla misura interdittiva amministrativa</w:t>
      </w:r>
      <w:r w:rsidR="00457134" w:rsidRPr="0080394E">
        <w:rPr>
          <w:sz w:val="28"/>
          <w:szCs w:val="28"/>
        </w:rPr>
        <w:t>”.</w:t>
      </w:r>
      <w:r w:rsidR="00B1003D" w:rsidRPr="0080394E">
        <w:rPr>
          <w:sz w:val="28"/>
          <w:szCs w:val="28"/>
        </w:rPr>
        <w:t xml:space="preserve"> </w:t>
      </w:r>
    </w:p>
    <w:p w14:paraId="6C5D387B" w14:textId="77777777" w:rsidR="00724ACE" w:rsidRPr="00157CDF" w:rsidRDefault="00457134" w:rsidP="00D16F96">
      <w:pPr>
        <w:spacing w:line="360" w:lineRule="auto"/>
        <w:jc w:val="both"/>
        <w:rPr>
          <w:sz w:val="28"/>
          <w:szCs w:val="28"/>
        </w:rPr>
      </w:pPr>
      <w:r w:rsidRPr="00157CDF">
        <w:rPr>
          <w:sz w:val="28"/>
          <w:szCs w:val="28"/>
        </w:rPr>
        <w:t xml:space="preserve">L’accento si sposta allora inevitabilmente sul rapporto tra i due sistemi di prevenzione. </w:t>
      </w:r>
    </w:p>
    <w:p w14:paraId="1119414D" w14:textId="169E75F9" w:rsidR="00724ACE" w:rsidRPr="0080394E" w:rsidRDefault="004878A2" w:rsidP="00D16F96">
      <w:pPr>
        <w:spacing w:line="360" w:lineRule="auto"/>
        <w:jc w:val="both"/>
        <w:rPr>
          <w:sz w:val="28"/>
          <w:szCs w:val="28"/>
        </w:rPr>
      </w:pPr>
      <w:r w:rsidRPr="0080394E">
        <w:rPr>
          <w:sz w:val="28"/>
          <w:szCs w:val="28"/>
        </w:rPr>
        <w:t xml:space="preserve">Il legislatore </w:t>
      </w:r>
      <w:r w:rsidR="003A4D4E" w:rsidRPr="0080394E">
        <w:rPr>
          <w:sz w:val="28"/>
          <w:szCs w:val="28"/>
        </w:rPr>
        <w:t xml:space="preserve">del 2017 </w:t>
      </w:r>
      <w:r w:rsidR="00B1003D" w:rsidRPr="0080394E">
        <w:rPr>
          <w:sz w:val="28"/>
          <w:szCs w:val="28"/>
        </w:rPr>
        <w:t xml:space="preserve">ha </w:t>
      </w:r>
      <w:r w:rsidRPr="0080394E">
        <w:rPr>
          <w:sz w:val="28"/>
          <w:szCs w:val="28"/>
        </w:rPr>
        <w:t xml:space="preserve">espressamente disposto </w:t>
      </w:r>
      <w:r w:rsidR="00B1003D" w:rsidRPr="0080394E">
        <w:rPr>
          <w:sz w:val="28"/>
          <w:szCs w:val="28"/>
        </w:rPr>
        <w:t>che l</w:t>
      </w:r>
      <w:r w:rsidRPr="0080394E">
        <w:rPr>
          <w:sz w:val="28"/>
          <w:szCs w:val="28"/>
        </w:rPr>
        <w:t xml:space="preserve">’applicazione delle riferite misure di prevenzione penale -tanto di </w:t>
      </w:r>
      <w:r w:rsidR="00B1003D" w:rsidRPr="0080394E">
        <w:rPr>
          <w:sz w:val="28"/>
          <w:szCs w:val="28"/>
        </w:rPr>
        <w:t xml:space="preserve">amministrazione </w:t>
      </w:r>
      <w:r w:rsidRPr="0080394E">
        <w:rPr>
          <w:sz w:val="28"/>
          <w:szCs w:val="28"/>
        </w:rPr>
        <w:t xml:space="preserve">che di </w:t>
      </w:r>
      <w:r w:rsidR="00B1003D" w:rsidRPr="0080394E">
        <w:rPr>
          <w:sz w:val="28"/>
          <w:szCs w:val="28"/>
        </w:rPr>
        <w:t>controllo giudiziario</w:t>
      </w:r>
      <w:r w:rsidRPr="0080394E">
        <w:rPr>
          <w:sz w:val="28"/>
          <w:szCs w:val="28"/>
        </w:rPr>
        <w:t>-</w:t>
      </w:r>
      <w:r w:rsidR="00B1003D" w:rsidRPr="0080394E">
        <w:rPr>
          <w:sz w:val="28"/>
          <w:szCs w:val="28"/>
        </w:rPr>
        <w:t xml:space="preserve"> sospend</w:t>
      </w:r>
      <w:r w:rsidRPr="0080394E">
        <w:rPr>
          <w:sz w:val="28"/>
          <w:szCs w:val="28"/>
        </w:rPr>
        <w:t xml:space="preserve">e </w:t>
      </w:r>
      <w:r w:rsidR="00B1003D" w:rsidRPr="0080394E">
        <w:rPr>
          <w:sz w:val="28"/>
          <w:szCs w:val="28"/>
        </w:rPr>
        <w:t>gli effetti dell'informativa</w:t>
      </w:r>
      <w:r w:rsidRPr="0080394E">
        <w:rPr>
          <w:sz w:val="28"/>
          <w:szCs w:val="28"/>
        </w:rPr>
        <w:t xml:space="preserve"> amministrativa, at</w:t>
      </w:r>
      <w:r w:rsidR="00B1003D" w:rsidRPr="0080394E">
        <w:rPr>
          <w:sz w:val="28"/>
          <w:szCs w:val="28"/>
        </w:rPr>
        <w:t>testa</w:t>
      </w:r>
      <w:r w:rsidRPr="0080394E">
        <w:rPr>
          <w:sz w:val="28"/>
          <w:szCs w:val="28"/>
        </w:rPr>
        <w:t>ndo in tal modo</w:t>
      </w:r>
      <w:r w:rsidR="00B1003D" w:rsidRPr="0080394E">
        <w:rPr>
          <w:sz w:val="28"/>
          <w:szCs w:val="28"/>
        </w:rPr>
        <w:t xml:space="preserve"> la prevalenza del</w:t>
      </w:r>
      <w:r w:rsidRPr="0080394E">
        <w:rPr>
          <w:sz w:val="28"/>
          <w:szCs w:val="28"/>
        </w:rPr>
        <w:t>la prevenzione penale.</w:t>
      </w:r>
      <w:r w:rsidR="00B1003D" w:rsidRPr="0080394E">
        <w:rPr>
          <w:sz w:val="28"/>
          <w:szCs w:val="28"/>
        </w:rPr>
        <w:t xml:space="preserve"> </w:t>
      </w:r>
    </w:p>
    <w:p w14:paraId="61DAA1D6" w14:textId="342C1834" w:rsidR="0083332B" w:rsidRPr="0080394E" w:rsidRDefault="004878A2" w:rsidP="00D16F96">
      <w:pPr>
        <w:spacing w:line="360" w:lineRule="auto"/>
        <w:jc w:val="both"/>
        <w:rPr>
          <w:sz w:val="28"/>
          <w:szCs w:val="28"/>
        </w:rPr>
      </w:pPr>
      <w:r w:rsidRPr="0080394E">
        <w:rPr>
          <w:sz w:val="28"/>
          <w:szCs w:val="28"/>
        </w:rPr>
        <w:t xml:space="preserve">La peculiarità del sistema è </w:t>
      </w:r>
      <w:r w:rsidR="00B1003D" w:rsidRPr="0080394E">
        <w:rPr>
          <w:sz w:val="28"/>
          <w:szCs w:val="28"/>
        </w:rPr>
        <w:t xml:space="preserve">però </w:t>
      </w:r>
      <w:r w:rsidRPr="0080394E">
        <w:rPr>
          <w:sz w:val="28"/>
          <w:szCs w:val="28"/>
        </w:rPr>
        <w:t xml:space="preserve">determinata dal fatto che esso ha </w:t>
      </w:r>
      <w:r w:rsidR="00B1003D" w:rsidRPr="0080394E">
        <w:rPr>
          <w:sz w:val="28"/>
          <w:szCs w:val="28"/>
        </w:rPr>
        <w:t>crea</w:t>
      </w:r>
      <w:r w:rsidRPr="0080394E">
        <w:rPr>
          <w:sz w:val="28"/>
          <w:szCs w:val="28"/>
        </w:rPr>
        <w:t>to</w:t>
      </w:r>
      <w:r w:rsidR="00B1003D" w:rsidRPr="0080394E">
        <w:rPr>
          <w:sz w:val="28"/>
          <w:szCs w:val="28"/>
        </w:rPr>
        <w:t xml:space="preserve"> un</w:t>
      </w:r>
      <w:r w:rsidRPr="0080394E">
        <w:rPr>
          <w:sz w:val="28"/>
          <w:szCs w:val="28"/>
        </w:rPr>
        <w:t>’</w:t>
      </w:r>
      <w:r w:rsidR="00B1003D" w:rsidRPr="0080394E">
        <w:rPr>
          <w:sz w:val="28"/>
          <w:szCs w:val="28"/>
        </w:rPr>
        <w:t>osmosi</w:t>
      </w:r>
      <w:r w:rsidRPr="0080394E">
        <w:rPr>
          <w:sz w:val="28"/>
          <w:szCs w:val="28"/>
        </w:rPr>
        <w:t>,</w:t>
      </w:r>
      <w:r w:rsidR="00B1003D" w:rsidRPr="0080394E">
        <w:rPr>
          <w:sz w:val="28"/>
          <w:szCs w:val="28"/>
        </w:rPr>
        <w:t xml:space="preserve"> un ponte fra </w:t>
      </w:r>
      <w:r w:rsidR="00474441" w:rsidRPr="0080394E">
        <w:rPr>
          <w:sz w:val="28"/>
          <w:szCs w:val="28"/>
        </w:rPr>
        <w:t xml:space="preserve">le </w:t>
      </w:r>
      <w:r w:rsidR="00B1003D" w:rsidRPr="0080394E">
        <w:rPr>
          <w:sz w:val="28"/>
          <w:szCs w:val="28"/>
        </w:rPr>
        <w:t>due aree</w:t>
      </w:r>
      <w:r w:rsidR="00474441" w:rsidRPr="0080394E">
        <w:rPr>
          <w:sz w:val="28"/>
          <w:szCs w:val="28"/>
        </w:rPr>
        <w:t xml:space="preserve">, introducendo uno strumento assolutamente atipico e sicuramente </w:t>
      </w:r>
      <w:r w:rsidR="00B1003D" w:rsidRPr="0080394E">
        <w:rPr>
          <w:sz w:val="28"/>
          <w:szCs w:val="28"/>
        </w:rPr>
        <w:t xml:space="preserve">anomalo </w:t>
      </w:r>
      <w:r w:rsidR="00474441" w:rsidRPr="0080394E">
        <w:rPr>
          <w:sz w:val="28"/>
          <w:szCs w:val="28"/>
        </w:rPr>
        <w:t>in ambito penale: per raccordare in qualche modo i due sistemi di prevenzione, l’art. 34-</w:t>
      </w:r>
      <w:r w:rsidR="00474441" w:rsidRPr="0080394E">
        <w:rPr>
          <w:i/>
          <w:iCs/>
          <w:sz w:val="28"/>
          <w:szCs w:val="28"/>
        </w:rPr>
        <w:t>bis</w:t>
      </w:r>
      <w:r w:rsidR="00C07B56" w:rsidRPr="0080394E">
        <w:rPr>
          <w:i/>
          <w:iCs/>
          <w:sz w:val="28"/>
          <w:szCs w:val="28"/>
        </w:rPr>
        <w:t xml:space="preserve"> </w:t>
      </w:r>
      <w:r w:rsidR="001A1CF3" w:rsidRPr="0080394E">
        <w:rPr>
          <w:sz w:val="28"/>
          <w:szCs w:val="28"/>
        </w:rPr>
        <w:t>ha infatti stabilito</w:t>
      </w:r>
      <w:r w:rsidR="00C07B56" w:rsidRPr="0080394E">
        <w:rPr>
          <w:sz w:val="28"/>
          <w:szCs w:val="28"/>
        </w:rPr>
        <w:t xml:space="preserve">, al co 6, </w:t>
      </w:r>
      <w:r w:rsidR="00474441" w:rsidRPr="0080394E">
        <w:rPr>
          <w:sz w:val="28"/>
          <w:szCs w:val="28"/>
        </w:rPr>
        <w:t xml:space="preserve">che l’imprenditore colpito </w:t>
      </w:r>
      <w:r w:rsidR="00B1003D" w:rsidRPr="0080394E">
        <w:rPr>
          <w:sz w:val="28"/>
          <w:szCs w:val="28"/>
        </w:rPr>
        <w:t xml:space="preserve">da </w:t>
      </w:r>
      <w:r w:rsidR="00474441" w:rsidRPr="0080394E">
        <w:rPr>
          <w:sz w:val="28"/>
          <w:szCs w:val="28"/>
        </w:rPr>
        <w:t>un’</w:t>
      </w:r>
      <w:r w:rsidR="00B1003D" w:rsidRPr="0080394E">
        <w:rPr>
          <w:sz w:val="28"/>
          <w:szCs w:val="28"/>
        </w:rPr>
        <w:t xml:space="preserve">informativa antimafia </w:t>
      </w:r>
      <w:r w:rsidR="00474441" w:rsidRPr="0080394E">
        <w:rPr>
          <w:sz w:val="28"/>
          <w:szCs w:val="28"/>
        </w:rPr>
        <w:t>possa, in parallelo all’impugnazione della misura davanti al giudice amministrativo</w:t>
      </w:r>
      <w:r w:rsidR="003356A6" w:rsidRPr="0080394E">
        <w:rPr>
          <w:sz w:val="28"/>
          <w:szCs w:val="28"/>
        </w:rPr>
        <w:t xml:space="preserve"> e nelle more della sua decisione</w:t>
      </w:r>
      <w:r w:rsidR="00474441" w:rsidRPr="0080394E">
        <w:rPr>
          <w:sz w:val="28"/>
          <w:szCs w:val="28"/>
        </w:rPr>
        <w:t xml:space="preserve">, chiedere </w:t>
      </w:r>
      <w:r w:rsidR="00C750EC" w:rsidRPr="0080394E">
        <w:rPr>
          <w:sz w:val="28"/>
          <w:szCs w:val="28"/>
        </w:rPr>
        <w:t xml:space="preserve">al </w:t>
      </w:r>
      <w:r w:rsidR="0000747F">
        <w:rPr>
          <w:sz w:val="28"/>
          <w:szCs w:val="28"/>
        </w:rPr>
        <w:t>Tribunale</w:t>
      </w:r>
      <w:r w:rsidR="00C750EC" w:rsidRPr="0080394E">
        <w:rPr>
          <w:sz w:val="28"/>
          <w:szCs w:val="28"/>
        </w:rPr>
        <w:t xml:space="preserve"> di prevenzione </w:t>
      </w:r>
      <w:r w:rsidR="007552BF" w:rsidRPr="0080394E">
        <w:rPr>
          <w:sz w:val="28"/>
          <w:szCs w:val="28"/>
        </w:rPr>
        <w:t>di essere sottoposto a</w:t>
      </w:r>
      <w:r w:rsidR="00C750EC" w:rsidRPr="0080394E">
        <w:rPr>
          <w:sz w:val="28"/>
          <w:szCs w:val="28"/>
        </w:rPr>
        <w:t xml:space="preserve">l controllo giudiziario nella forma </w:t>
      </w:r>
      <w:r w:rsidR="006F60FA" w:rsidRPr="0080394E">
        <w:rPr>
          <w:sz w:val="28"/>
          <w:szCs w:val="28"/>
        </w:rPr>
        <w:t xml:space="preserve">prevista dalla </w:t>
      </w:r>
      <w:r w:rsidR="00C750EC" w:rsidRPr="0080394E">
        <w:rPr>
          <w:sz w:val="28"/>
          <w:szCs w:val="28"/>
        </w:rPr>
        <w:t>lett</w:t>
      </w:r>
      <w:r w:rsidR="00F61B8D" w:rsidRPr="0080394E">
        <w:rPr>
          <w:sz w:val="28"/>
          <w:szCs w:val="28"/>
        </w:rPr>
        <w:t>.</w:t>
      </w:r>
      <w:r w:rsidR="00C750EC" w:rsidRPr="0080394E">
        <w:rPr>
          <w:i/>
          <w:iCs/>
          <w:sz w:val="28"/>
          <w:szCs w:val="28"/>
        </w:rPr>
        <w:t xml:space="preserve"> b</w:t>
      </w:r>
      <w:r w:rsidR="00211D8E" w:rsidRPr="0080394E">
        <w:rPr>
          <w:sz w:val="28"/>
          <w:szCs w:val="28"/>
        </w:rPr>
        <w:t>)</w:t>
      </w:r>
      <w:r w:rsidR="00C750EC" w:rsidRPr="0080394E">
        <w:rPr>
          <w:sz w:val="28"/>
          <w:szCs w:val="28"/>
        </w:rPr>
        <w:t xml:space="preserve"> dello stesso articolo, con sottoposizione </w:t>
      </w:r>
      <w:r w:rsidR="006F60FA" w:rsidRPr="0080394E">
        <w:rPr>
          <w:sz w:val="28"/>
          <w:szCs w:val="28"/>
        </w:rPr>
        <w:t xml:space="preserve">cioè </w:t>
      </w:r>
      <w:r w:rsidR="00C750EC" w:rsidRPr="0080394E">
        <w:rPr>
          <w:sz w:val="28"/>
          <w:szCs w:val="28"/>
        </w:rPr>
        <w:t>al solo controllo dell'amministratore giudiziario e non anche agli obblighi di comunicazione indicati alla lett</w:t>
      </w:r>
      <w:r w:rsidR="00F61B8D" w:rsidRPr="0080394E">
        <w:rPr>
          <w:sz w:val="28"/>
          <w:szCs w:val="28"/>
        </w:rPr>
        <w:t>.</w:t>
      </w:r>
      <w:r w:rsidR="00C750EC" w:rsidRPr="0080394E">
        <w:rPr>
          <w:sz w:val="28"/>
          <w:szCs w:val="28"/>
        </w:rPr>
        <w:t xml:space="preserve"> </w:t>
      </w:r>
      <w:r w:rsidR="00C750EC" w:rsidRPr="0080394E">
        <w:rPr>
          <w:i/>
          <w:iCs/>
          <w:sz w:val="28"/>
          <w:szCs w:val="28"/>
        </w:rPr>
        <w:t>a</w:t>
      </w:r>
      <w:r w:rsidR="00F61B8D" w:rsidRPr="0080394E">
        <w:rPr>
          <w:sz w:val="28"/>
          <w:szCs w:val="28"/>
        </w:rPr>
        <w:t>)</w:t>
      </w:r>
      <w:r w:rsidR="00D17CB5">
        <w:rPr>
          <w:rStyle w:val="Rimandonotaapidipagina"/>
          <w:sz w:val="28"/>
          <w:szCs w:val="28"/>
        </w:rPr>
        <w:footnoteReference w:id="14"/>
      </w:r>
      <w:r w:rsidR="00C750EC" w:rsidRPr="0080394E">
        <w:rPr>
          <w:sz w:val="28"/>
          <w:szCs w:val="28"/>
        </w:rPr>
        <w:t xml:space="preserve">. L’applicazione del controllo </w:t>
      </w:r>
      <w:r w:rsidR="003356A6" w:rsidRPr="0080394E">
        <w:rPr>
          <w:sz w:val="28"/>
          <w:szCs w:val="28"/>
        </w:rPr>
        <w:t>determina</w:t>
      </w:r>
      <w:r w:rsidR="00211D8E" w:rsidRPr="0080394E">
        <w:rPr>
          <w:sz w:val="28"/>
          <w:szCs w:val="28"/>
        </w:rPr>
        <w:t>, anche in questo caso,</w:t>
      </w:r>
      <w:r w:rsidR="003356A6" w:rsidRPr="0080394E">
        <w:rPr>
          <w:sz w:val="28"/>
          <w:szCs w:val="28"/>
        </w:rPr>
        <w:t xml:space="preserve"> </w:t>
      </w:r>
      <w:r w:rsidR="009B7DDD" w:rsidRPr="0080394E">
        <w:rPr>
          <w:sz w:val="28"/>
          <w:szCs w:val="28"/>
        </w:rPr>
        <w:t>l’effetto sospensivo automatic</w:t>
      </w:r>
      <w:r w:rsidR="003356A6" w:rsidRPr="0080394E">
        <w:rPr>
          <w:sz w:val="28"/>
          <w:szCs w:val="28"/>
        </w:rPr>
        <w:t>o</w:t>
      </w:r>
      <w:r w:rsidR="009B7DDD" w:rsidRPr="0080394E">
        <w:rPr>
          <w:sz w:val="28"/>
          <w:szCs w:val="28"/>
        </w:rPr>
        <w:t xml:space="preserve"> </w:t>
      </w:r>
      <w:r w:rsidR="00B1003D" w:rsidRPr="0080394E">
        <w:rPr>
          <w:sz w:val="28"/>
          <w:szCs w:val="28"/>
        </w:rPr>
        <w:t>dell'in</w:t>
      </w:r>
      <w:r w:rsidR="009B7DDD" w:rsidRPr="0080394E">
        <w:rPr>
          <w:sz w:val="28"/>
          <w:szCs w:val="28"/>
        </w:rPr>
        <w:t>terdittiva prefettizia</w:t>
      </w:r>
      <w:r w:rsidR="003356A6" w:rsidRPr="0080394E">
        <w:rPr>
          <w:sz w:val="28"/>
          <w:szCs w:val="28"/>
        </w:rPr>
        <w:t>, fermo che, qualora</w:t>
      </w:r>
      <w:r w:rsidR="007051B6" w:rsidRPr="0080394E">
        <w:rPr>
          <w:sz w:val="28"/>
          <w:szCs w:val="28"/>
        </w:rPr>
        <w:t>,</w:t>
      </w:r>
      <w:r w:rsidR="003356A6" w:rsidRPr="0080394E">
        <w:rPr>
          <w:sz w:val="28"/>
          <w:szCs w:val="28"/>
        </w:rPr>
        <w:t xml:space="preserve"> </w:t>
      </w:r>
      <w:r w:rsidR="007051B6" w:rsidRPr="0080394E">
        <w:rPr>
          <w:sz w:val="28"/>
          <w:szCs w:val="28"/>
        </w:rPr>
        <w:t xml:space="preserve">nelle more del periodo di controllo, </w:t>
      </w:r>
      <w:r w:rsidR="003356A6" w:rsidRPr="0080394E">
        <w:rPr>
          <w:sz w:val="28"/>
          <w:szCs w:val="28"/>
        </w:rPr>
        <w:t xml:space="preserve">il giudice amministrativo </w:t>
      </w:r>
      <w:r w:rsidR="007051B6" w:rsidRPr="0080394E">
        <w:rPr>
          <w:sz w:val="28"/>
          <w:szCs w:val="28"/>
        </w:rPr>
        <w:t xml:space="preserve">accolga il ricorso e </w:t>
      </w:r>
      <w:r w:rsidR="003356A6" w:rsidRPr="0080394E">
        <w:rPr>
          <w:sz w:val="28"/>
          <w:szCs w:val="28"/>
        </w:rPr>
        <w:t>annull</w:t>
      </w:r>
      <w:r w:rsidR="004D7264" w:rsidRPr="0080394E">
        <w:rPr>
          <w:sz w:val="28"/>
          <w:szCs w:val="28"/>
        </w:rPr>
        <w:t xml:space="preserve">i </w:t>
      </w:r>
      <w:r w:rsidR="007051B6" w:rsidRPr="0080394E">
        <w:rPr>
          <w:sz w:val="28"/>
          <w:szCs w:val="28"/>
        </w:rPr>
        <w:t>l’interdittiva</w:t>
      </w:r>
      <w:r w:rsidR="003356A6" w:rsidRPr="0080394E">
        <w:rPr>
          <w:sz w:val="28"/>
          <w:szCs w:val="28"/>
        </w:rPr>
        <w:t xml:space="preserve">, l’imprenditore potrà chiedere al </w:t>
      </w:r>
      <w:r w:rsidR="0000747F">
        <w:rPr>
          <w:sz w:val="28"/>
          <w:szCs w:val="28"/>
        </w:rPr>
        <w:t>Tribunale</w:t>
      </w:r>
      <w:r w:rsidR="003356A6" w:rsidRPr="0080394E">
        <w:rPr>
          <w:sz w:val="28"/>
          <w:szCs w:val="28"/>
        </w:rPr>
        <w:t xml:space="preserve"> della prevenzione</w:t>
      </w:r>
      <w:r w:rsidR="007051B6" w:rsidRPr="0080394E">
        <w:rPr>
          <w:sz w:val="28"/>
          <w:szCs w:val="28"/>
        </w:rPr>
        <w:t xml:space="preserve"> la revoca del controllo</w:t>
      </w:r>
      <w:r w:rsidR="003356A6" w:rsidRPr="0080394E">
        <w:rPr>
          <w:sz w:val="28"/>
          <w:szCs w:val="28"/>
        </w:rPr>
        <w:t xml:space="preserve">. </w:t>
      </w:r>
      <w:r w:rsidR="000C0634" w:rsidRPr="0080394E">
        <w:rPr>
          <w:sz w:val="28"/>
          <w:szCs w:val="28"/>
        </w:rPr>
        <w:t xml:space="preserve">Ci si è dunque interrogati se l’istituto non sia piuttosto configurabile come un </w:t>
      </w:r>
      <w:r w:rsidR="000C0634" w:rsidRPr="0080394E">
        <w:rPr>
          <w:sz w:val="28"/>
          <w:szCs w:val="28"/>
        </w:rPr>
        <w:lastRenderedPageBreak/>
        <w:t>“beneficio”, proponendo un paragone con l'ipotesi della messa alla prova in senso proprio, prevista per l'imputato minorenne dall'art. 28 D.P.R. 448/88 sulla base del progetto elaborato ai sensi dell'art. 27 d.lgs. 272/89, il cui esito positivo comporta l'estinzione di qualunque reato, anche se astrattamente punibile con l'ergastolo</w:t>
      </w:r>
      <w:r w:rsidR="0083332B" w:rsidRPr="0080394E">
        <w:rPr>
          <w:sz w:val="28"/>
          <w:szCs w:val="28"/>
        </w:rPr>
        <w:t>, o, analogamente, per quella dell'imputato maggiorenne introdotta dagli artt. 168-bis ss. c.p. e 141-bis ss. c.p.p.</w:t>
      </w:r>
      <w:r w:rsidR="00ED24A2">
        <w:rPr>
          <w:rStyle w:val="Rimandonotaapidipagina"/>
          <w:sz w:val="28"/>
          <w:szCs w:val="28"/>
        </w:rPr>
        <w:footnoteReference w:id="15"/>
      </w:r>
      <w:r w:rsidR="000C0634" w:rsidRPr="0080394E">
        <w:rPr>
          <w:sz w:val="28"/>
          <w:szCs w:val="28"/>
        </w:rPr>
        <w:t xml:space="preserve">. </w:t>
      </w:r>
    </w:p>
    <w:p w14:paraId="4606122A" w14:textId="77777777" w:rsidR="004D7264" w:rsidRPr="0080394E" w:rsidRDefault="000C0634" w:rsidP="00D16F96">
      <w:pPr>
        <w:spacing w:line="360" w:lineRule="auto"/>
        <w:jc w:val="both"/>
        <w:rPr>
          <w:sz w:val="28"/>
          <w:szCs w:val="28"/>
        </w:rPr>
      </w:pPr>
      <w:r w:rsidRPr="0080394E">
        <w:rPr>
          <w:sz w:val="28"/>
          <w:szCs w:val="28"/>
        </w:rPr>
        <w:t xml:space="preserve">La misura lascia peraltro aperte varie incertezze. </w:t>
      </w:r>
    </w:p>
    <w:p w14:paraId="29B3E8C3" w14:textId="5FA131F3" w:rsidR="001933D4" w:rsidRPr="0080394E" w:rsidRDefault="000C0634" w:rsidP="00D16F96">
      <w:pPr>
        <w:spacing w:line="360" w:lineRule="auto"/>
        <w:jc w:val="both"/>
        <w:rPr>
          <w:sz w:val="28"/>
          <w:szCs w:val="28"/>
        </w:rPr>
      </w:pPr>
      <w:r w:rsidRPr="0080394E">
        <w:rPr>
          <w:sz w:val="28"/>
          <w:szCs w:val="28"/>
        </w:rPr>
        <w:t>Il</w:t>
      </w:r>
      <w:r w:rsidR="001A1CF3" w:rsidRPr="0080394E">
        <w:rPr>
          <w:sz w:val="28"/>
          <w:szCs w:val="28"/>
        </w:rPr>
        <w:t xml:space="preserve"> legislatore ha </w:t>
      </w:r>
      <w:r w:rsidRPr="0080394E">
        <w:rPr>
          <w:sz w:val="28"/>
          <w:szCs w:val="28"/>
        </w:rPr>
        <w:t xml:space="preserve">infatti </w:t>
      </w:r>
      <w:r w:rsidR="003356A6" w:rsidRPr="0080394E">
        <w:rPr>
          <w:sz w:val="28"/>
          <w:szCs w:val="28"/>
        </w:rPr>
        <w:t xml:space="preserve">dimenticato di </w:t>
      </w:r>
      <w:r w:rsidR="001A1CF3" w:rsidRPr="0080394E">
        <w:rPr>
          <w:sz w:val="28"/>
          <w:szCs w:val="28"/>
        </w:rPr>
        <w:t>chiari</w:t>
      </w:r>
      <w:r w:rsidR="003356A6" w:rsidRPr="0080394E">
        <w:rPr>
          <w:sz w:val="28"/>
          <w:szCs w:val="28"/>
        </w:rPr>
        <w:t>re</w:t>
      </w:r>
      <w:r w:rsidR="001A1CF3" w:rsidRPr="0080394E">
        <w:rPr>
          <w:sz w:val="28"/>
          <w:szCs w:val="28"/>
        </w:rPr>
        <w:t xml:space="preserve"> cosa accade al</w:t>
      </w:r>
      <w:r w:rsidR="00C07B56" w:rsidRPr="0080394E">
        <w:rPr>
          <w:sz w:val="28"/>
          <w:szCs w:val="28"/>
        </w:rPr>
        <w:t xml:space="preserve"> termine</w:t>
      </w:r>
      <w:r w:rsidR="00D77393" w:rsidRPr="0080394E">
        <w:rPr>
          <w:sz w:val="28"/>
          <w:szCs w:val="28"/>
        </w:rPr>
        <w:t>, con esito favorevole,</w:t>
      </w:r>
      <w:r w:rsidR="001A1CF3" w:rsidRPr="0080394E">
        <w:rPr>
          <w:sz w:val="28"/>
          <w:szCs w:val="28"/>
        </w:rPr>
        <w:t xml:space="preserve"> del periodo di controllo, </w:t>
      </w:r>
      <w:r w:rsidR="003356A6" w:rsidRPr="0080394E">
        <w:rPr>
          <w:sz w:val="28"/>
          <w:szCs w:val="28"/>
        </w:rPr>
        <w:t xml:space="preserve">e </w:t>
      </w:r>
      <w:r w:rsidR="001A1CF3" w:rsidRPr="0080394E">
        <w:rPr>
          <w:sz w:val="28"/>
          <w:szCs w:val="28"/>
        </w:rPr>
        <w:t xml:space="preserve">quale effetto abbia sul controllo la sentenza amministrativa </w:t>
      </w:r>
      <w:r w:rsidR="001933D4" w:rsidRPr="0080394E">
        <w:rPr>
          <w:sz w:val="28"/>
          <w:szCs w:val="28"/>
        </w:rPr>
        <w:t>-</w:t>
      </w:r>
      <w:r w:rsidR="001A1CF3" w:rsidRPr="0080394E">
        <w:rPr>
          <w:sz w:val="28"/>
          <w:szCs w:val="28"/>
        </w:rPr>
        <w:t xml:space="preserve">di </w:t>
      </w:r>
      <w:r w:rsidR="008112F9" w:rsidRPr="0080394E">
        <w:rPr>
          <w:sz w:val="28"/>
          <w:szCs w:val="28"/>
        </w:rPr>
        <w:t xml:space="preserve">accoglimento o di </w:t>
      </w:r>
      <w:r w:rsidR="001A1CF3" w:rsidRPr="0080394E">
        <w:rPr>
          <w:sz w:val="28"/>
          <w:szCs w:val="28"/>
        </w:rPr>
        <w:t>rigetto</w:t>
      </w:r>
      <w:r w:rsidR="001933D4" w:rsidRPr="0080394E">
        <w:rPr>
          <w:sz w:val="28"/>
          <w:szCs w:val="28"/>
        </w:rPr>
        <w:t>-</w:t>
      </w:r>
      <w:r w:rsidR="001A1CF3" w:rsidRPr="0080394E">
        <w:rPr>
          <w:sz w:val="28"/>
          <w:szCs w:val="28"/>
        </w:rPr>
        <w:t xml:space="preserve"> dell’impugnazione dell’interdittiva. </w:t>
      </w:r>
    </w:p>
    <w:p w14:paraId="283332D1" w14:textId="65B21B5A" w:rsidR="0074391C" w:rsidRPr="0080394E" w:rsidRDefault="001A304E" w:rsidP="00D16F96">
      <w:pPr>
        <w:spacing w:line="360" w:lineRule="auto"/>
        <w:jc w:val="both"/>
        <w:rPr>
          <w:sz w:val="28"/>
          <w:szCs w:val="28"/>
        </w:rPr>
      </w:pPr>
      <w:r w:rsidRPr="0080394E">
        <w:rPr>
          <w:sz w:val="28"/>
          <w:szCs w:val="28"/>
        </w:rPr>
        <w:t>Nel primo caso mi sembra abbastanza</w:t>
      </w:r>
      <w:r w:rsidR="001A1CF3" w:rsidRPr="0080394E">
        <w:rPr>
          <w:sz w:val="28"/>
          <w:szCs w:val="28"/>
        </w:rPr>
        <w:t xml:space="preserve"> evidente che</w:t>
      </w:r>
      <w:r w:rsidR="004D7264" w:rsidRPr="0080394E">
        <w:rPr>
          <w:sz w:val="28"/>
          <w:szCs w:val="28"/>
        </w:rPr>
        <w:t xml:space="preserve"> </w:t>
      </w:r>
      <w:r w:rsidR="001A1CF3" w:rsidRPr="0080394E">
        <w:rPr>
          <w:sz w:val="28"/>
          <w:szCs w:val="28"/>
        </w:rPr>
        <w:t xml:space="preserve">il </w:t>
      </w:r>
      <w:r w:rsidR="0000747F">
        <w:rPr>
          <w:sz w:val="28"/>
          <w:szCs w:val="28"/>
        </w:rPr>
        <w:t>Prefetto</w:t>
      </w:r>
      <w:r w:rsidR="001A1CF3" w:rsidRPr="0080394E">
        <w:rPr>
          <w:sz w:val="28"/>
          <w:szCs w:val="28"/>
        </w:rPr>
        <w:t xml:space="preserve"> d</w:t>
      </w:r>
      <w:r w:rsidRPr="0080394E">
        <w:rPr>
          <w:sz w:val="28"/>
          <w:szCs w:val="28"/>
        </w:rPr>
        <w:t>ebba</w:t>
      </w:r>
      <w:r w:rsidR="004D7264" w:rsidRPr="0080394E">
        <w:rPr>
          <w:sz w:val="28"/>
          <w:szCs w:val="28"/>
        </w:rPr>
        <w:t xml:space="preserve">, quantomeno, </w:t>
      </w:r>
      <w:r w:rsidR="001A1CF3" w:rsidRPr="0080394E">
        <w:rPr>
          <w:sz w:val="28"/>
          <w:szCs w:val="28"/>
        </w:rPr>
        <w:t xml:space="preserve">rivalutare la situazione </w:t>
      </w:r>
      <w:r w:rsidRPr="0080394E">
        <w:rPr>
          <w:sz w:val="28"/>
          <w:szCs w:val="28"/>
        </w:rPr>
        <w:t>alla luce degli esiti d</w:t>
      </w:r>
      <w:r w:rsidR="001A1CF3" w:rsidRPr="0080394E">
        <w:rPr>
          <w:sz w:val="28"/>
          <w:szCs w:val="28"/>
        </w:rPr>
        <w:t>e</w:t>
      </w:r>
      <w:r w:rsidRPr="0080394E">
        <w:rPr>
          <w:sz w:val="28"/>
          <w:szCs w:val="28"/>
        </w:rPr>
        <w:t xml:space="preserve">l controllo, che, diversamente, avrebbe soltanto l’effetto di </w:t>
      </w:r>
      <w:r w:rsidR="007051B6" w:rsidRPr="0080394E">
        <w:rPr>
          <w:sz w:val="28"/>
          <w:szCs w:val="28"/>
        </w:rPr>
        <w:t>posticip</w:t>
      </w:r>
      <w:r w:rsidRPr="0080394E">
        <w:rPr>
          <w:sz w:val="28"/>
          <w:szCs w:val="28"/>
        </w:rPr>
        <w:t>are l’</w:t>
      </w:r>
      <w:r w:rsidR="007051B6" w:rsidRPr="0080394E">
        <w:rPr>
          <w:sz w:val="28"/>
          <w:szCs w:val="28"/>
        </w:rPr>
        <w:t>effetto dell’</w:t>
      </w:r>
      <w:r w:rsidRPr="0080394E">
        <w:rPr>
          <w:sz w:val="28"/>
          <w:szCs w:val="28"/>
        </w:rPr>
        <w:t xml:space="preserve">interdittiva. </w:t>
      </w:r>
      <w:r w:rsidR="00556E04" w:rsidRPr="0080394E">
        <w:rPr>
          <w:sz w:val="28"/>
          <w:szCs w:val="28"/>
        </w:rPr>
        <w:t>Si dovrebbe, dunque, aprire un procedimento di r</w:t>
      </w:r>
      <w:r w:rsidR="009C077E" w:rsidRPr="0080394E">
        <w:rPr>
          <w:sz w:val="28"/>
          <w:szCs w:val="28"/>
        </w:rPr>
        <w:t xml:space="preserve">iesame </w:t>
      </w:r>
      <w:r w:rsidR="00556E04" w:rsidRPr="0080394E">
        <w:rPr>
          <w:sz w:val="28"/>
          <w:szCs w:val="28"/>
        </w:rPr>
        <w:t xml:space="preserve">di quest’ultima, </w:t>
      </w:r>
      <w:r w:rsidR="00E056B5" w:rsidRPr="0080394E">
        <w:rPr>
          <w:sz w:val="28"/>
          <w:szCs w:val="28"/>
        </w:rPr>
        <w:t xml:space="preserve">nel frattempo sospesa, </w:t>
      </w:r>
      <w:r w:rsidR="009C077E" w:rsidRPr="0080394E">
        <w:rPr>
          <w:sz w:val="28"/>
          <w:szCs w:val="28"/>
        </w:rPr>
        <w:t>nelle forme dell’autotutela revocatoria, per valutar</w:t>
      </w:r>
      <w:r w:rsidR="004D7264" w:rsidRPr="0080394E">
        <w:rPr>
          <w:sz w:val="28"/>
          <w:szCs w:val="28"/>
        </w:rPr>
        <w:t>n</w:t>
      </w:r>
      <w:r w:rsidR="009C077E" w:rsidRPr="0080394E">
        <w:rPr>
          <w:sz w:val="28"/>
          <w:szCs w:val="28"/>
        </w:rPr>
        <w:t xml:space="preserve">e, attraverso un’adeguata istruttoria e </w:t>
      </w:r>
      <w:r w:rsidR="00D77393" w:rsidRPr="0080394E">
        <w:rPr>
          <w:sz w:val="28"/>
          <w:szCs w:val="28"/>
        </w:rPr>
        <w:t xml:space="preserve">con </w:t>
      </w:r>
      <w:r w:rsidR="009C077E" w:rsidRPr="0080394E">
        <w:rPr>
          <w:sz w:val="28"/>
          <w:szCs w:val="28"/>
        </w:rPr>
        <w:t xml:space="preserve">le </w:t>
      </w:r>
      <w:r w:rsidR="00E056B5" w:rsidRPr="0080394E">
        <w:rPr>
          <w:sz w:val="28"/>
          <w:szCs w:val="28"/>
        </w:rPr>
        <w:t xml:space="preserve">opportune </w:t>
      </w:r>
      <w:r w:rsidR="00D77393" w:rsidRPr="0080394E">
        <w:rPr>
          <w:sz w:val="28"/>
          <w:szCs w:val="28"/>
        </w:rPr>
        <w:t>garanzie di contraddittorio</w:t>
      </w:r>
      <w:r w:rsidR="009C077E" w:rsidRPr="0080394E">
        <w:rPr>
          <w:sz w:val="28"/>
          <w:szCs w:val="28"/>
        </w:rPr>
        <w:t xml:space="preserve">, la perdurante </w:t>
      </w:r>
      <w:r w:rsidR="00E056B5" w:rsidRPr="0080394E">
        <w:rPr>
          <w:sz w:val="28"/>
          <w:szCs w:val="28"/>
        </w:rPr>
        <w:t>necessit</w:t>
      </w:r>
      <w:r w:rsidR="009C077E" w:rsidRPr="0080394E">
        <w:rPr>
          <w:sz w:val="28"/>
          <w:szCs w:val="28"/>
        </w:rPr>
        <w:t>à. Con</w:t>
      </w:r>
      <w:r w:rsidR="00E056B5" w:rsidRPr="0080394E">
        <w:rPr>
          <w:sz w:val="28"/>
          <w:szCs w:val="28"/>
        </w:rPr>
        <w:t xml:space="preserve"> </w:t>
      </w:r>
      <w:r w:rsidR="00781B93" w:rsidRPr="0080394E">
        <w:rPr>
          <w:sz w:val="28"/>
          <w:szCs w:val="28"/>
        </w:rPr>
        <w:t>conseguente possibilità del destinatario di adire il giudice amministrativo con</w:t>
      </w:r>
      <w:r w:rsidR="009C077E" w:rsidRPr="0080394E">
        <w:rPr>
          <w:sz w:val="28"/>
          <w:szCs w:val="28"/>
        </w:rPr>
        <w:t xml:space="preserve">tro il provvedimento </w:t>
      </w:r>
      <w:r w:rsidR="00E056B5" w:rsidRPr="0080394E">
        <w:rPr>
          <w:sz w:val="28"/>
          <w:szCs w:val="28"/>
        </w:rPr>
        <w:t>confermativo della misura</w:t>
      </w:r>
      <w:r w:rsidR="00781B93" w:rsidRPr="0080394E">
        <w:rPr>
          <w:sz w:val="28"/>
          <w:szCs w:val="28"/>
        </w:rPr>
        <w:t xml:space="preserve"> o</w:t>
      </w:r>
      <w:r w:rsidR="00E056B5" w:rsidRPr="0080394E">
        <w:rPr>
          <w:sz w:val="28"/>
          <w:szCs w:val="28"/>
        </w:rPr>
        <w:t xml:space="preserve"> contro l’eventuale inerzia sull’istanza d</w:t>
      </w:r>
      <w:r w:rsidR="00781B93" w:rsidRPr="0080394E">
        <w:rPr>
          <w:sz w:val="28"/>
          <w:szCs w:val="28"/>
        </w:rPr>
        <w:t>el suo</w:t>
      </w:r>
      <w:r w:rsidR="00E056B5" w:rsidRPr="0080394E">
        <w:rPr>
          <w:sz w:val="28"/>
          <w:szCs w:val="28"/>
        </w:rPr>
        <w:t xml:space="preserve"> riesame</w:t>
      </w:r>
      <w:r w:rsidR="00781B93" w:rsidRPr="0080394E">
        <w:rPr>
          <w:sz w:val="28"/>
          <w:szCs w:val="28"/>
        </w:rPr>
        <w:t xml:space="preserve">. </w:t>
      </w:r>
      <w:r w:rsidR="00C76065" w:rsidRPr="00316C61">
        <w:rPr>
          <w:sz w:val="28"/>
          <w:szCs w:val="28"/>
        </w:rPr>
        <w:t>Ho parlato di revoca</w:t>
      </w:r>
      <w:r w:rsidR="00C76065" w:rsidRPr="0080394E">
        <w:rPr>
          <w:sz w:val="28"/>
          <w:szCs w:val="28"/>
        </w:rPr>
        <w:t xml:space="preserve"> </w:t>
      </w:r>
      <w:r w:rsidR="00976761" w:rsidRPr="0080394E">
        <w:rPr>
          <w:sz w:val="28"/>
          <w:szCs w:val="28"/>
        </w:rPr>
        <w:t xml:space="preserve">e non di annullamento </w:t>
      </w:r>
      <w:r w:rsidR="00C76065" w:rsidRPr="0080394E">
        <w:rPr>
          <w:sz w:val="28"/>
          <w:szCs w:val="28"/>
        </w:rPr>
        <w:t>in considerazione della differenza tra i presupposti delle due misure</w:t>
      </w:r>
      <w:r w:rsidR="00976761" w:rsidRPr="0080394E">
        <w:rPr>
          <w:sz w:val="28"/>
          <w:szCs w:val="28"/>
        </w:rPr>
        <w:t>,</w:t>
      </w:r>
      <w:r w:rsidR="00C76065" w:rsidRPr="0080394E">
        <w:rPr>
          <w:sz w:val="28"/>
          <w:szCs w:val="28"/>
        </w:rPr>
        <w:t xml:space="preserve"> </w:t>
      </w:r>
      <w:r w:rsidR="005B47D1" w:rsidRPr="0080394E">
        <w:rPr>
          <w:sz w:val="28"/>
          <w:szCs w:val="28"/>
        </w:rPr>
        <w:t>tendenzialmente sottolineat</w:t>
      </w:r>
      <w:r w:rsidR="00976761" w:rsidRPr="0080394E">
        <w:rPr>
          <w:sz w:val="28"/>
          <w:szCs w:val="28"/>
        </w:rPr>
        <w:t>a</w:t>
      </w:r>
      <w:r w:rsidR="005B47D1" w:rsidRPr="0080394E">
        <w:rPr>
          <w:sz w:val="28"/>
          <w:szCs w:val="28"/>
        </w:rPr>
        <w:t xml:space="preserve"> </w:t>
      </w:r>
      <w:r w:rsidR="00976761" w:rsidRPr="0080394E">
        <w:rPr>
          <w:sz w:val="28"/>
          <w:szCs w:val="28"/>
        </w:rPr>
        <w:t xml:space="preserve">anche </w:t>
      </w:r>
      <w:r w:rsidR="00C76065" w:rsidRPr="0080394E">
        <w:rPr>
          <w:sz w:val="28"/>
          <w:szCs w:val="28"/>
        </w:rPr>
        <w:t>dalla giurisprudenza</w:t>
      </w:r>
      <w:r w:rsidR="000E5D9D" w:rsidRPr="0080394E">
        <w:rPr>
          <w:sz w:val="28"/>
          <w:szCs w:val="28"/>
        </w:rPr>
        <w:t>. In particolare, c</w:t>
      </w:r>
      <w:r w:rsidR="00D77393" w:rsidRPr="0080394E">
        <w:rPr>
          <w:sz w:val="28"/>
          <w:szCs w:val="28"/>
        </w:rPr>
        <w:t>on riferimento</w:t>
      </w:r>
      <w:r w:rsidR="005B47D1" w:rsidRPr="0080394E">
        <w:rPr>
          <w:sz w:val="28"/>
          <w:szCs w:val="28"/>
        </w:rPr>
        <w:t xml:space="preserve"> </w:t>
      </w:r>
      <w:r w:rsidR="00D77393" w:rsidRPr="0080394E">
        <w:rPr>
          <w:sz w:val="28"/>
          <w:szCs w:val="28"/>
        </w:rPr>
        <w:t>agli effetti dell’</w:t>
      </w:r>
      <w:r w:rsidR="005B47D1" w:rsidRPr="0080394E">
        <w:rPr>
          <w:sz w:val="28"/>
          <w:szCs w:val="28"/>
        </w:rPr>
        <w:t>ammissione a</w:t>
      </w:r>
      <w:r w:rsidR="00D77393" w:rsidRPr="0080394E">
        <w:rPr>
          <w:sz w:val="28"/>
          <w:szCs w:val="28"/>
        </w:rPr>
        <w:t xml:space="preserve">l controllo </w:t>
      </w:r>
      <w:r w:rsidR="000E5D9D" w:rsidRPr="0080394E">
        <w:rPr>
          <w:sz w:val="28"/>
          <w:szCs w:val="28"/>
        </w:rPr>
        <w:t xml:space="preserve">e dei suoi esiti </w:t>
      </w:r>
      <w:r w:rsidR="00D77393" w:rsidRPr="0080394E">
        <w:rPr>
          <w:sz w:val="28"/>
          <w:szCs w:val="28"/>
        </w:rPr>
        <w:t>sul giudizio amministrativo</w:t>
      </w:r>
      <w:r w:rsidR="000E5D9D" w:rsidRPr="0080394E">
        <w:rPr>
          <w:sz w:val="28"/>
          <w:szCs w:val="28"/>
        </w:rPr>
        <w:t xml:space="preserve"> di impugnazione dell’interdittiva</w:t>
      </w:r>
      <w:r w:rsidR="00D77393" w:rsidRPr="0080394E">
        <w:rPr>
          <w:sz w:val="28"/>
          <w:szCs w:val="28"/>
        </w:rPr>
        <w:t xml:space="preserve">, il </w:t>
      </w:r>
      <w:r w:rsidR="00556E04" w:rsidRPr="0080394E">
        <w:rPr>
          <w:sz w:val="28"/>
          <w:szCs w:val="28"/>
        </w:rPr>
        <w:t>Consiglio di Stato ha affermato che “</w:t>
      </w:r>
      <w:r w:rsidR="00556E04" w:rsidRPr="0080394E">
        <w:rPr>
          <w:i/>
          <w:iCs/>
          <w:sz w:val="28"/>
          <w:szCs w:val="28"/>
        </w:rPr>
        <w:t xml:space="preserve">il controllo giudiziario presuppone l’adozione dell’informativa, rispetto alla quale rappresenta un </w:t>
      </w:r>
      <w:r w:rsidR="00556E04" w:rsidRPr="0080394E">
        <w:rPr>
          <w:sz w:val="28"/>
          <w:szCs w:val="28"/>
        </w:rPr>
        <w:t>post factum</w:t>
      </w:r>
      <w:r w:rsidR="00556E04" w:rsidRPr="0080394E">
        <w:rPr>
          <w:i/>
          <w:iCs/>
          <w:sz w:val="28"/>
          <w:szCs w:val="28"/>
        </w:rPr>
        <w:t xml:space="preserve">” (…) perché inevitabilmente diversi sono gli elementi fattuali considerati anche sul piano diacronico nelle due diverse sedi (…) la valutazione finale del giudice della prevenzione </w:t>
      </w:r>
      <w:r w:rsidR="00556E04" w:rsidRPr="0080394E">
        <w:rPr>
          <w:i/>
          <w:iCs/>
          <w:sz w:val="28"/>
          <w:szCs w:val="28"/>
        </w:rPr>
        <w:lastRenderedPageBreak/>
        <w:t>penale si riferisce dunque alla funzione tipica di tale istituto, che è un controllo successivo all’adozione dell’interdittiva, ed ha riguardo alle sopravvenienze rispetto a tale provvedimento</w:t>
      </w:r>
      <w:r w:rsidR="00556E04" w:rsidRPr="0080394E">
        <w:rPr>
          <w:sz w:val="28"/>
          <w:szCs w:val="28"/>
        </w:rPr>
        <w:t xml:space="preserve">”, </w:t>
      </w:r>
      <w:r w:rsidR="00D77393" w:rsidRPr="0080394E">
        <w:rPr>
          <w:sz w:val="28"/>
          <w:szCs w:val="28"/>
        </w:rPr>
        <w:t xml:space="preserve">concludendo </w:t>
      </w:r>
      <w:r w:rsidR="00556E04" w:rsidRPr="0080394E">
        <w:rPr>
          <w:sz w:val="28"/>
          <w:szCs w:val="28"/>
        </w:rPr>
        <w:t>che l'esito favorevole del controllo a richiesta e l'eliminazione del rischio di infiltrazione non rilevano nel giudizio amministrativo, che riguarda gli elementi esistenti al momento dell'</w:t>
      </w:r>
      <w:proofErr w:type="spellStart"/>
      <w:r w:rsidR="00556E04" w:rsidRPr="0080394E">
        <w:rPr>
          <w:sz w:val="28"/>
          <w:szCs w:val="28"/>
        </w:rPr>
        <w:t>interdittiva</w:t>
      </w:r>
      <w:proofErr w:type="spellEnd"/>
      <w:r w:rsidR="00D77393" w:rsidRPr="0080394E">
        <w:rPr>
          <w:sz w:val="28"/>
          <w:szCs w:val="28"/>
        </w:rPr>
        <w:t xml:space="preserve"> (</w:t>
      </w:r>
      <w:proofErr w:type="spellStart"/>
      <w:r w:rsidR="00D77393" w:rsidRPr="0080394E">
        <w:rPr>
          <w:sz w:val="28"/>
          <w:szCs w:val="28"/>
        </w:rPr>
        <w:t>sent</w:t>
      </w:r>
      <w:proofErr w:type="spellEnd"/>
      <w:r w:rsidR="00316C61">
        <w:rPr>
          <w:sz w:val="28"/>
          <w:szCs w:val="28"/>
        </w:rPr>
        <w:t>.</w:t>
      </w:r>
      <w:r w:rsidR="00D77393" w:rsidRPr="0080394E">
        <w:rPr>
          <w:sz w:val="28"/>
          <w:szCs w:val="28"/>
        </w:rPr>
        <w:t xml:space="preserve"> 3</w:t>
      </w:r>
      <w:r w:rsidR="00DC4F20" w:rsidRPr="0080394E">
        <w:rPr>
          <w:sz w:val="28"/>
          <w:szCs w:val="28"/>
        </w:rPr>
        <w:t>19</w:t>
      </w:r>
      <w:r w:rsidR="00D77393" w:rsidRPr="0080394E">
        <w:rPr>
          <w:sz w:val="28"/>
          <w:szCs w:val="28"/>
        </w:rPr>
        <w:t>/21)</w:t>
      </w:r>
      <w:r w:rsidR="00556E04" w:rsidRPr="0080394E">
        <w:rPr>
          <w:sz w:val="28"/>
          <w:szCs w:val="28"/>
        </w:rPr>
        <w:t>.</w:t>
      </w:r>
      <w:r w:rsidR="008E0ED6" w:rsidRPr="0080394E">
        <w:rPr>
          <w:sz w:val="28"/>
          <w:szCs w:val="28"/>
        </w:rPr>
        <w:t xml:space="preserve"> </w:t>
      </w:r>
    </w:p>
    <w:p w14:paraId="6D39D3E0" w14:textId="13B96E5D" w:rsidR="00576C56" w:rsidRPr="0080394E" w:rsidRDefault="0074391C" w:rsidP="00507FDA">
      <w:pPr>
        <w:spacing w:line="360" w:lineRule="auto"/>
        <w:jc w:val="both"/>
        <w:rPr>
          <w:rFonts w:cstheme="minorHAnsi"/>
          <w:sz w:val="28"/>
          <w:szCs w:val="28"/>
        </w:rPr>
      </w:pPr>
      <w:r w:rsidRPr="0080394E">
        <w:rPr>
          <w:sz w:val="28"/>
          <w:szCs w:val="28"/>
        </w:rPr>
        <w:t xml:space="preserve">In </w:t>
      </w:r>
      <w:r w:rsidR="00976761" w:rsidRPr="0080394E">
        <w:rPr>
          <w:sz w:val="28"/>
          <w:szCs w:val="28"/>
        </w:rPr>
        <w:t>buona sostanza</w:t>
      </w:r>
      <w:r w:rsidRPr="0080394E">
        <w:rPr>
          <w:sz w:val="28"/>
          <w:szCs w:val="28"/>
        </w:rPr>
        <w:t xml:space="preserve">, </w:t>
      </w:r>
      <w:r w:rsidR="00C963A7" w:rsidRPr="0080394E">
        <w:rPr>
          <w:sz w:val="28"/>
          <w:szCs w:val="28"/>
        </w:rPr>
        <w:t xml:space="preserve">si è chiarito </w:t>
      </w:r>
      <w:r w:rsidR="00BD4261" w:rsidRPr="0080394E">
        <w:rPr>
          <w:sz w:val="28"/>
          <w:szCs w:val="28"/>
        </w:rPr>
        <w:t xml:space="preserve">che </w:t>
      </w:r>
      <w:r w:rsidRPr="0080394E">
        <w:rPr>
          <w:sz w:val="28"/>
          <w:szCs w:val="28"/>
        </w:rPr>
        <w:t>il provvedimento interdittivo valuta il passato e</w:t>
      </w:r>
      <w:r w:rsidR="00B3122C" w:rsidRPr="0080394E">
        <w:rPr>
          <w:sz w:val="28"/>
          <w:szCs w:val="28"/>
        </w:rPr>
        <w:t>,</w:t>
      </w:r>
      <w:r w:rsidRPr="0080394E">
        <w:rPr>
          <w:sz w:val="28"/>
          <w:szCs w:val="28"/>
        </w:rPr>
        <w:t xml:space="preserve"> in base a ciò che l’imprenditore è stato e a come si è comportato</w:t>
      </w:r>
      <w:r w:rsidR="00B3122C" w:rsidRPr="0080394E">
        <w:rPr>
          <w:sz w:val="28"/>
          <w:szCs w:val="28"/>
        </w:rPr>
        <w:t>,</w:t>
      </w:r>
      <w:r w:rsidRPr="0080394E">
        <w:rPr>
          <w:sz w:val="28"/>
          <w:szCs w:val="28"/>
        </w:rPr>
        <w:t xml:space="preserve"> ne inibisce i rapporti con la pubblica amministrazione, mentre il controllo giudiziario si colloca in una dimensione dinamica, proiettata alla </w:t>
      </w:r>
      <w:r w:rsidR="00B3122C" w:rsidRPr="0080394E">
        <w:rPr>
          <w:sz w:val="28"/>
          <w:szCs w:val="28"/>
        </w:rPr>
        <w:t xml:space="preserve">riferita </w:t>
      </w:r>
      <w:r w:rsidRPr="0080394E">
        <w:rPr>
          <w:sz w:val="28"/>
          <w:szCs w:val="28"/>
        </w:rPr>
        <w:t xml:space="preserve">possibilità di risanamento dell'impresa per rimetterla nell'economia legale. </w:t>
      </w:r>
      <w:r w:rsidR="00507FDA" w:rsidRPr="0080394E">
        <w:rPr>
          <w:rFonts w:cstheme="minorHAnsi"/>
          <w:sz w:val="28"/>
          <w:szCs w:val="28"/>
        </w:rPr>
        <w:t>Come messo efficacemente in evidenza dal TAR Calabria, Catanzaro, nell’ordinanza Sez. I, n. 658 del 2019</w:t>
      </w:r>
      <w:r w:rsidR="00316C61">
        <w:rPr>
          <w:rFonts w:cstheme="minorHAnsi"/>
          <w:sz w:val="28"/>
          <w:szCs w:val="28"/>
        </w:rPr>
        <w:t xml:space="preserve">, </w:t>
      </w:r>
      <w:r w:rsidR="00507FDA" w:rsidRPr="0080394E">
        <w:rPr>
          <w:rFonts w:cstheme="minorHAnsi"/>
          <w:sz w:val="28"/>
          <w:szCs w:val="28"/>
        </w:rPr>
        <w:t>“</w:t>
      </w:r>
      <w:r w:rsidR="00507FDA" w:rsidRPr="0080394E">
        <w:rPr>
          <w:rFonts w:cstheme="minorHAnsi"/>
          <w:i/>
          <w:iCs/>
          <w:sz w:val="28"/>
          <w:szCs w:val="28"/>
        </w:rPr>
        <w:t xml:space="preserve">l’ammissione al controllo non sconfessa la legittimità dell’informativa in punto di sussistenza di </w:t>
      </w:r>
      <w:r w:rsidR="00507FDA" w:rsidRPr="0080394E">
        <w:rPr>
          <w:rFonts w:cstheme="minorHAnsi"/>
          <w:sz w:val="28"/>
          <w:szCs w:val="28"/>
        </w:rPr>
        <w:t>pericolo di infiltrazione non costituendone un superamento, ma in un certo modo conferma</w:t>
      </w:r>
      <w:r w:rsidR="00507FDA" w:rsidRPr="0080394E">
        <w:rPr>
          <w:rFonts w:cstheme="minorHAnsi"/>
          <w:i/>
          <w:iCs/>
          <w:sz w:val="28"/>
          <w:szCs w:val="28"/>
        </w:rPr>
        <w:t>[</w:t>
      </w:r>
      <w:proofErr w:type="spellStart"/>
      <w:r w:rsidR="00507FDA" w:rsidRPr="0080394E">
        <w:rPr>
          <w:rFonts w:cstheme="minorHAnsi"/>
          <w:i/>
          <w:iCs/>
          <w:sz w:val="28"/>
          <w:szCs w:val="28"/>
        </w:rPr>
        <w:t>ndone</w:t>
      </w:r>
      <w:proofErr w:type="spellEnd"/>
      <w:r w:rsidR="00507FDA" w:rsidRPr="0080394E">
        <w:rPr>
          <w:rFonts w:cstheme="minorHAnsi"/>
          <w:i/>
          <w:iCs/>
          <w:sz w:val="28"/>
          <w:szCs w:val="28"/>
        </w:rPr>
        <w:t xml:space="preserve">] </w:t>
      </w:r>
      <w:r w:rsidR="00507FDA" w:rsidRPr="0080394E">
        <w:rPr>
          <w:rFonts w:cstheme="minorHAnsi"/>
          <w:sz w:val="28"/>
          <w:szCs w:val="28"/>
        </w:rPr>
        <w:t>la sussistenza</w:t>
      </w:r>
      <w:r w:rsidR="00507FDA" w:rsidRPr="0080394E">
        <w:rPr>
          <w:rFonts w:cstheme="minorHAnsi"/>
          <w:i/>
          <w:iCs/>
          <w:sz w:val="28"/>
          <w:szCs w:val="28"/>
        </w:rPr>
        <w:t xml:space="preserve"> (v. Cons. Stato, n. 6377/2018; 3268/ 2018)</w:t>
      </w:r>
      <w:r w:rsidR="00507FDA" w:rsidRPr="0080394E">
        <w:rPr>
          <w:rFonts w:cstheme="minorHAnsi"/>
          <w:sz w:val="28"/>
          <w:szCs w:val="28"/>
        </w:rPr>
        <w:t>”, ma rappresenta “</w:t>
      </w:r>
      <w:r w:rsidR="00507FDA" w:rsidRPr="0080394E">
        <w:rPr>
          <w:rFonts w:cstheme="minorHAnsi"/>
          <w:i/>
          <w:iCs/>
          <w:sz w:val="28"/>
          <w:szCs w:val="28"/>
        </w:rPr>
        <w:t>un sostegno previsto dall'ordinamento per l'imprenditore che sia marginalmente toccato dai clan e che individualmente (specie in realtà piccole e contaminate e ad economia scarsa non sia in grado di reagire alla criminalità)</w:t>
      </w:r>
      <w:r w:rsidR="00507FDA" w:rsidRPr="0080394E">
        <w:rPr>
          <w:rFonts w:cstheme="minorHAnsi"/>
          <w:sz w:val="28"/>
          <w:szCs w:val="28"/>
        </w:rPr>
        <w:t>”.</w:t>
      </w:r>
      <w:r w:rsidR="00C963A7" w:rsidRPr="0080394E">
        <w:rPr>
          <w:rFonts w:cstheme="minorHAnsi"/>
          <w:sz w:val="28"/>
          <w:szCs w:val="28"/>
        </w:rPr>
        <w:t xml:space="preserve"> </w:t>
      </w:r>
    </w:p>
    <w:p w14:paraId="1BC64D08" w14:textId="6823D94D" w:rsidR="008E0ED6" w:rsidRPr="0080394E" w:rsidRDefault="008E0ED6" w:rsidP="00D16F96">
      <w:pPr>
        <w:spacing w:line="360" w:lineRule="auto"/>
        <w:jc w:val="both"/>
        <w:rPr>
          <w:sz w:val="28"/>
          <w:szCs w:val="28"/>
        </w:rPr>
      </w:pPr>
      <w:r w:rsidRPr="0080394E">
        <w:rPr>
          <w:sz w:val="28"/>
          <w:szCs w:val="28"/>
        </w:rPr>
        <w:t>Anche l</w:t>
      </w:r>
      <w:r w:rsidR="00B26337" w:rsidRPr="0080394E">
        <w:rPr>
          <w:sz w:val="28"/>
          <w:szCs w:val="28"/>
        </w:rPr>
        <w:t>e Sezioni Unite penali della Corte di</w:t>
      </w:r>
      <w:r w:rsidRPr="0080394E">
        <w:rPr>
          <w:sz w:val="28"/>
          <w:szCs w:val="28"/>
        </w:rPr>
        <w:t xml:space="preserve"> </w:t>
      </w:r>
      <w:r w:rsidR="00316C61">
        <w:rPr>
          <w:sz w:val="28"/>
          <w:szCs w:val="28"/>
        </w:rPr>
        <w:t>C</w:t>
      </w:r>
      <w:r w:rsidRPr="0080394E">
        <w:rPr>
          <w:sz w:val="28"/>
          <w:szCs w:val="28"/>
        </w:rPr>
        <w:t>assazione ha</w:t>
      </w:r>
      <w:r w:rsidR="00B26337" w:rsidRPr="0080394E">
        <w:rPr>
          <w:sz w:val="28"/>
          <w:szCs w:val="28"/>
        </w:rPr>
        <w:t>nno</w:t>
      </w:r>
      <w:r w:rsidRPr="0080394E">
        <w:rPr>
          <w:sz w:val="28"/>
          <w:szCs w:val="28"/>
        </w:rPr>
        <w:t xml:space="preserve"> del resto significativamente </w:t>
      </w:r>
      <w:r w:rsidR="00B26337" w:rsidRPr="0080394E">
        <w:rPr>
          <w:sz w:val="28"/>
          <w:szCs w:val="28"/>
        </w:rPr>
        <w:t xml:space="preserve">affermato </w:t>
      </w:r>
      <w:r w:rsidRPr="0080394E">
        <w:rPr>
          <w:sz w:val="28"/>
          <w:szCs w:val="28"/>
        </w:rPr>
        <w:t>che</w:t>
      </w:r>
      <w:r w:rsidR="00B26337" w:rsidRPr="0080394E">
        <w:rPr>
          <w:sz w:val="28"/>
          <w:szCs w:val="28"/>
        </w:rPr>
        <w:t>,</w:t>
      </w:r>
      <w:r w:rsidRPr="0080394E">
        <w:rPr>
          <w:sz w:val="28"/>
          <w:szCs w:val="28"/>
        </w:rPr>
        <w:t xml:space="preserve"> nel controllo a richiesta, </w:t>
      </w:r>
      <w:r w:rsidR="0074391C" w:rsidRPr="0080394E">
        <w:rPr>
          <w:sz w:val="28"/>
          <w:szCs w:val="28"/>
        </w:rPr>
        <w:t>il giudizio sul</w:t>
      </w:r>
      <w:r w:rsidRPr="0080394E">
        <w:rPr>
          <w:sz w:val="28"/>
          <w:szCs w:val="28"/>
        </w:rPr>
        <w:t>l'occasionalità non riguarda esclusivamente o prevalentemente la pregressa attività di impresa (momento diagnostico), ma si riferisce anche alle prospettive di recupero all'economia sana (momento prognostico), guardando alle quali può valutarsi in modo concreto la contingenza o meno del fenomeno di agevolazione (</w:t>
      </w:r>
      <w:proofErr w:type="spellStart"/>
      <w:r w:rsidRPr="0080394E">
        <w:rPr>
          <w:sz w:val="28"/>
          <w:szCs w:val="28"/>
        </w:rPr>
        <w:t>sent</w:t>
      </w:r>
      <w:proofErr w:type="spellEnd"/>
      <w:r w:rsidR="0017793E" w:rsidRPr="0080394E">
        <w:rPr>
          <w:sz w:val="28"/>
          <w:szCs w:val="28"/>
        </w:rPr>
        <w:t>. n.</w:t>
      </w:r>
      <w:r w:rsidRPr="0080394E">
        <w:rPr>
          <w:sz w:val="28"/>
          <w:szCs w:val="28"/>
        </w:rPr>
        <w:t xml:space="preserve"> 46898/19, Ricchiuto). E</w:t>
      </w:r>
      <w:r w:rsidR="00B26337" w:rsidRPr="0080394E">
        <w:rPr>
          <w:sz w:val="28"/>
          <w:szCs w:val="28"/>
        </w:rPr>
        <w:t xml:space="preserve">, nel richiamare tale giurisprudenza, la stessa Corte di </w:t>
      </w:r>
      <w:r w:rsidR="00316C61">
        <w:rPr>
          <w:sz w:val="28"/>
          <w:szCs w:val="28"/>
        </w:rPr>
        <w:t>C</w:t>
      </w:r>
      <w:r w:rsidR="00B26337" w:rsidRPr="0080394E">
        <w:rPr>
          <w:sz w:val="28"/>
          <w:szCs w:val="28"/>
        </w:rPr>
        <w:t>assazione, ha coerentemente sottolineato che, con la relativa richiesta, “</w:t>
      </w:r>
      <w:r w:rsidRPr="0080394E">
        <w:rPr>
          <w:i/>
          <w:iCs/>
          <w:sz w:val="28"/>
          <w:szCs w:val="28"/>
        </w:rPr>
        <w:t xml:space="preserve">l'istante è chiamata a (necessariamente) dedurre solo quegli elementi, favorevoli, utili a giudicare recuperabile una situazione di condizionamento che può essere data per scontata, in quanto ritenuta in un diverso provvedimento (amministrativo), che la </w:t>
      </w:r>
      <w:r w:rsidRPr="0080394E">
        <w:rPr>
          <w:i/>
          <w:iCs/>
          <w:sz w:val="28"/>
          <w:szCs w:val="28"/>
        </w:rPr>
        <w:lastRenderedPageBreak/>
        <w:t>presuppone. Situazione di condizionamento che dunque, pur potendo essere apprezzata (specie nella sua intensità) dal giudice ordinario, non entra nel fuoco dell'accertamento necessario ai fini dell'ammissione all'istituto in esame (cfr. S.U. Ricchiuto, sopra richiamate), volto piuttosto alla disamina del profilo della recuperabilità dell'azienda all'economia sana</w:t>
      </w:r>
      <w:r w:rsidRPr="0080394E">
        <w:rPr>
          <w:sz w:val="28"/>
          <w:szCs w:val="28"/>
        </w:rPr>
        <w:t>”</w:t>
      </w:r>
      <w:r w:rsidR="00D05562" w:rsidRPr="0080394E">
        <w:rPr>
          <w:sz w:val="28"/>
          <w:szCs w:val="28"/>
        </w:rPr>
        <w:t xml:space="preserve"> (</w:t>
      </w:r>
      <w:proofErr w:type="spellStart"/>
      <w:r w:rsidR="00D05562" w:rsidRPr="0080394E">
        <w:rPr>
          <w:sz w:val="28"/>
          <w:szCs w:val="28"/>
        </w:rPr>
        <w:t>sent</w:t>
      </w:r>
      <w:proofErr w:type="spellEnd"/>
      <w:r w:rsidR="00D05562" w:rsidRPr="0080394E">
        <w:rPr>
          <w:sz w:val="28"/>
          <w:szCs w:val="28"/>
        </w:rPr>
        <w:t>. n</w:t>
      </w:r>
      <w:r w:rsidRPr="0080394E">
        <w:rPr>
          <w:sz w:val="28"/>
          <w:szCs w:val="28"/>
        </w:rPr>
        <w:t>.</w:t>
      </w:r>
      <w:r w:rsidR="00D05562" w:rsidRPr="0080394E">
        <w:rPr>
          <w:sz w:val="28"/>
          <w:szCs w:val="28"/>
        </w:rPr>
        <w:t xml:space="preserve"> 21412/21).</w:t>
      </w:r>
      <w:r w:rsidR="0083332B" w:rsidRPr="0080394E">
        <w:rPr>
          <w:sz w:val="28"/>
          <w:szCs w:val="28"/>
        </w:rPr>
        <w:t xml:space="preserve"> </w:t>
      </w:r>
    </w:p>
    <w:p w14:paraId="6909BCC3" w14:textId="3EFB65E7" w:rsidR="00D05562" w:rsidRPr="0080394E" w:rsidRDefault="00D05562" w:rsidP="00D16F96">
      <w:pPr>
        <w:spacing w:line="360" w:lineRule="auto"/>
        <w:jc w:val="both"/>
        <w:rPr>
          <w:sz w:val="28"/>
          <w:szCs w:val="28"/>
        </w:rPr>
      </w:pPr>
      <w:r w:rsidRPr="0080394E">
        <w:rPr>
          <w:sz w:val="28"/>
          <w:szCs w:val="28"/>
        </w:rPr>
        <w:t>Come è stato giustamente osservato dalla dottrina, il concorso di giurisdizioni, amministrativa sull'atto di interdittiva e ordinaria sul rapporto tra impresa a rischio ed economia sana, ha del resto ragion d</w:t>
      </w:r>
      <w:r w:rsidR="000F14F8" w:rsidRPr="0080394E">
        <w:rPr>
          <w:sz w:val="28"/>
          <w:szCs w:val="28"/>
        </w:rPr>
        <w:t>’</w:t>
      </w:r>
      <w:r w:rsidRPr="0080394E">
        <w:rPr>
          <w:sz w:val="28"/>
          <w:szCs w:val="28"/>
        </w:rPr>
        <w:t xml:space="preserve">essere </w:t>
      </w:r>
      <w:r w:rsidR="004139F4" w:rsidRPr="0080394E">
        <w:rPr>
          <w:sz w:val="28"/>
          <w:szCs w:val="28"/>
        </w:rPr>
        <w:t>“</w:t>
      </w:r>
      <w:r w:rsidRPr="0080394E">
        <w:rPr>
          <w:i/>
          <w:iCs/>
          <w:sz w:val="28"/>
          <w:szCs w:val="28"/>
        </w:rPr>
        <w:t>solo se l</w:t>
      </w:r>
      <w:r w:rsidR="000F14F8" w:rsidRPr="0080394E">
        <w:rPr>
          <w:i/>
          <w:iCs/>
          <w:sz w:val="28"/>
          <w:szCs w:val="28"/>
        </w:rPr>
        <w:t>’</w:t>
      </w:r>
      <w:r w:rsidRPr="0080394E">
        <w:rPr>
          <w:i/>
          <w:iCs/>
          <w:sz w:val="28"/>
          <w:szCs w:val="28"/>
        </w:rPr>
        <w:t>oggetto dei due giudizi è diverso e tale da non comportare un rischio sistemico di contrasto di pronunce, in un ordinamento policentrico che, pur limitando l'efficacia diretta del giudicato in altri giudizi, persegue pur sempre l'obiettivo della tendenziale coerenza e complementarietà degli accertamenti di giudici diversi</w:t>
      </w:r>
      <w:r w:rsidR="004139F4" w:rsidRPr="0080394E">
        <w:rPr>
          <w:sz w:val="28"/>
          <w:szCs w:val="28"/>
        </w:rPr>
        <w:t>”</w:t>
      </w:r>
      <w:r w:rsidR="00ED24A2">
        <w:rPr>
          <w:rStyle w:val="Rimandonotaapidipagina"/>
          <w:sz w:val="28"/>
          <w:szCs w:val="28"/>
        </w:rPr>
        <w:footnoteReference w:id="16"/>
      </w:r>
      <w:r w:rsidR="00E500CF" w:rsidRPr="0080394E">
        <w:rPr>
          <w:sz w:val="28"/>
          <w:szCs w:val="28"/>
        </w:rPr>
        <w:t>.</w:t>
      </w:r>
      <w:r w:rsidR="002C7E2D" w:rsidRPr="0080394E">
        <w:rPr>
          <w:sz w:val="28"/>
          <w:szCs w:val="28"/>
        </w:rPr>
        <w:t xml:space="preserve"> </w:t>
      </w:r>
    </w:p>
    <w:p w14:paraId="2A35E587" w14:textId="3C518E51" w:rsidR="00B97B8E" w:rsidRPr="0080394E" w:rsidRDefault="00B97B8E" w:rsidP="00D16F96">
      <w:pPr>
        <w:spacing w:line="360" w:lineRule="auto"/>
        <w:jc w:val="both"/>
        <w:rPr>
          <w:sz w:val="28"/>
          <w:szCs w:val="28"/>
        </w:rPr>
      </w:pPr>
      <w:r w:rsidRPr="0080394E">
        <w:rPr>
          <w:rFonts w:cstheme="minorHAnsi"/>
          <w:sz w:val="28"/>
          <w:szCs w:val="28"/>
        </w:rPr>
        <w:t>Non convince tuttavia l’affermazione, in una recentissima pronuncia del TAR Catania (1° maggio 2022 n. 1219), che la richiesta di controllo giudiziario presupporrebbe l’ammissione del</w:t>
      </w:r>
      <w:r w:rsidR="00A25647" w:rsidRPr="0080394E">
        <w:rPr>
          <w:rFonts w:cstheme="minorHAnsi"/>
          <w:sz w:val="28"/>
          <w:szCs w:val="28"/>
        </w:rPr>
        <w:t xml:space="preserve"> contagio mafioso, sia pure nei limiti dell’occasionalità. Il ragionamento</w:t>
      </w:r>
      <w:r w:rsidR="00E95B03" w:rsidRPr="0080394E">
        <w:rPr>
          <w:rFonts w:cstheme="minorHAnsi"/>
          <w:sz w:val="28"/>
          <w:szCs w:val="28"/>
        </w:rPr>
        <w:t xml:space="preserve"> condotto</w:t>
      </w:r>
      <w:r w:rsidR="00A25647" w:rsidRPr="0080394E">
        <w:rPr>
          <w:rFonts w:cstheme="minorHAnsi"/>
          <w:sz w:val="28"/>
          <w:szCs w:val="28"/>
        </w:rPr>
        <w:t xml:space="preserve">, </w:t>
      </w:r>
      <w:r w:rsidR="001B64E9" w:rsidRPr="0080394E">
        <w:rPr>
          <w:rFonts w:cstheme="minorHAnsi"/>
          <w:sz w:val="28"/>
          <w:szCs w:val="28"/>
        </w:rPr>
        <w:t>sicuramente suggestivo e</w:t>
      </w:r>
      <w:r w:rsidR="00A25647" w:rsidRPr="0080394E">
        <w:rPr>
          <w:rFonts w:cstheme="minorHAnsi"/>
          <w:sz w:val="28"/>
          <w:szCs w:val="28"/>
        </w:rPr>
        <w:t xml:space="preserve"> interessante, trova invero a mio parere un insormontabile ostacolo nel fatto che</w:t>
      </w:r>
      <w:r w:rsidR="001B64E9" w:rsidRPr="0080394E">
        <w:rPr>
          <w:rFonts w:cstheme="minorHAnsi"/>
          <w:sz w:val="28"/>
          <w:szCs w:val="28"/>
        </w:rPr>
        <w:t>, in senso diametralmente opposto,</w:t>
      </w:r>
      <w:r w:rsidR="00A25647" w:rsidRPr="0080394E">
        <w:rPr>
          <w:rFonts w:cstheme="minorHAnsi"/>
          <w:sz w:val="28"/>
          <w:szCs w:val="28"/>
        </w:rPr>
        <w:t xml:space="preserve"> </w:t>
      </w:r>
      <w:r w:rsidR="00E95B03" w:rsidRPr="0080394E">
        <w:rPr>
          <w:rFonts w:cstheme="minorHAnsi"/>
          <w:sz w:val="28"/>
          <w:szCs w:val="28"/>
        </w:rPr>
        <w:t>il legislatore ha individuato nel</w:t>
      </w:r>
      <w:r w:rsidR="00A25647" w:rsidRPr="0080394E">
        <w:rPr>
          <w:rFonts w:cstheme="minorHAnsi"/>
          <w:sz w:val="28"/>
          <w:szCs w:val="28"/>
        </w:rPr>
        <w:t xml:space="preserve">l’impugnazione dell’interdittiva -e dunque </w:t>
      </w:r>
      <w:r w:rsidR="00E95B03" w:rsidRPr="0080394E">
        <w:rPr>
          <w:rFonts w:cstheme="minorHAnsi"/>
          <w:sz w:val="28"/>
          <w:szCs w:val="28"/>
        </w:rPr>
        <w:t>nel</w:t>
      </w:r>
      <w:r w:rsidR="00A25647" w:rsidRPr="0080394E">
        <w:rPr>
          <w:rFonts w:cstheme="minorHAnsi"/>
          <w:sz w:val="28"/>
          <w:szCs w:val="28"/>
        </w:rPr>
        <w:t>la non accettazione de</w:t>
      </w:r>
      <w:r w:rsidR="00E95B03" w:rsidRPr="0080394E">
        <w:rPr>
          <w:rFonts w:cstheme="minorHAnsi"/>
          <w:sz w:val="28"/>
          <w:szCs w:val="28"/>
        </w:rPr>
        <w:t>i suoi presupposti</w:t>
      </w:r>
      <w:r w:rsidR="00A25647" w:rsidRPr="0080394E">
        <w:rPr>
          <w:rFonts w:cstheme="minorHAnsi"/>
          <w:sz w:val="28"/>
          <w:szCs w:val="28"/>
        </w:rPr>
        <w:t xml:space="preserve">- </w:t>
      </w:r>
      <w:r w:rsidR="00E95B03" w:rsidRPr="0080394E">
        <w:rPr>
          <w:rFonts w:cstheme="minorHAnsi"/>
          <w:sz w:val="28"/>
          <w:szCs w:val="28"/>
        </w:rPr>
        <w:t>una</w:t>
      </w:r>
      <w:r w:rsidR="00A25647" w:rsidRPr="0080394E">
        <w:rPr>
          <w:rFonts w:cstheme="minorHAnsi"/>
          <w:sz w:val="28"/>
          <w:szCs w:val="28"/>
        </w:rPr>
        <w:t xml:space="preserve"> pre-condizione dell</w:t>
      </w:r>
      <w:r w:rsidR="001B64E9" w:rsidRPr="0080394E">
        <w:rPr>
          <w:rFonts w:cstheme="minorHAnsi"/>
          <w:sz w:val="28"/>
          <w:szCs w:val="28"/>
        </w:rPr>
        <w:t xml:space="preserve">’istanza </w:t>
      </w:r>
      <w:r w:rsidR="00A25647" w:rsidRPr="0080394E">
        <w:rPr>
          <w:rFonts w:cstheme="minorHAnsi"/>
          <w:sz w:val="28"/>
          <w:szCs w:val="28"/>
        </w:rPr>
        <w:t>di ammissione al controllo</w:t>
      </w:r>
      <w:r w:rsidR="001B64E9" w:rsidRPr="0080394E">
        <w:rPr>
          <w:rFonts w:cstheme="minorHAnsi"/>
          <w:sz w:val="28"/>
          <w:szCs w:val="28"/>
        </w:rPr>
        <w:t>.</w:t>
      </w:r>
    </w:p>
    <w:p w14:paraId="34ED4F50" w14:textId="40834C6E" w:rsidR="000735EE" w:rsidRPr="0080394E" w:rsidRDefault="00AC00BB" w:rsidP="00D16F96">
      <w:pPr>
        <w:spacing w:line="360" w:lineRule="auto"/>
        <w:jc w:val="both"/>
        <w:rPr>
          <w:sz w:val="28"/>
          <w:szCs w:val="28"/>
        </w:rPr>
      </w:pPr>
      <w:r w:rsidRPr="0080394E">
        <w:rPr>
          <w:sz w:val="28"/>
          <w:szCs w:val="28"/>
        </w:rPr>
        <w:t xml:space="preserve">Venendo </w:t>
      </w:r>
      <w:r w:rsidR="001129AC" w:rsidRPr="0080394E">
        <w:rPr>
          <w:sz w:val="28"/>
          <w:szCs w:val="28"/>
        </w:rPr>
        <w:t xml:space="preserve">più specificamente </w:t>
      </w:r>
      <w:r w:rsidRPr="0080394E">
        <w:rPr>
          <w:sz w:val="28"/>
          <w:szCs w:val="28"/>
        </w:rPr>
        <w:t>a</w:t>
      </w:r>
      <w:r w:rsidR="002206D6" w:rsidRPr="0080394E">
        <w:rPr>
          <w:sz w:val="28"/>
          <w:szCs w:val="28"/>
        </w:rPr>
        <w:t xml:space="preserve">i rapporti tra giudizio amministrativo e giudizio penale, </w:t>
      </w:r>
      <w:r w:rsidRPr="0080394E">
        <w:rPr>
          <w:sz w:val="28"/>
          <w:szCs w:val="28"/>
        </w:rPr>
        <w:t>nel</w:t>
      </w:r>
      <w:r w:rsidR="00D30DFC" w:rsidRPr="0080394E">
        <w:rPr>
          <w:sz w:val="28"/>
          <w:szCs w:val="28"/>
        </w:rPr>
        <w:t>la</w:t>
      </w:r>
      <w:r w:rsidRPr="0080394E">
        <w:rPr>
          <w:sz w:val="28"/>
          <w:szCs w:val="28"/>
        </w:rPr>
        <w:t xml:space="preserve"> riferita </w:t>
      </w:r>
      <w:r w:rsidR="000735EE" w:rsidRPr="0080394E">
        <w:rPr>
          <w:sz w:val="28"/>
          <w:szCs w:val="28"/>
        </w:rPr>
        <w:t>ottica</w:t>
      </w:r>
      <w:r w:rsidRPr="0080394E">
        <w:rPr>
          <w:sz w:val="28"/>
          <w:szCs w:val="28"/>
        </w:rPr>
        <w:t xml:space="preserve"> di autonomia tra le due misure</w:t>
      </w:r>
      <w:r w:rsidR="000735EE" w:rsidRPr="0080394E">
        <w:rPr>
          <w:sz w:val="28"/>
          <w:szCs w:val="28"/>
        </w:rPr>
        <w:t>, la decisione del giudice amministrativo confermativa della validità dell’interdittiva non dovrebbe ragionevolmente interferire con il controllo a richiesta.</w:t>
      </w:r>
      <w:r w:rsidR="00864168" w:rsidRPr="0080394E">
        <w:rPr>
          <w:sz w:val="28"/>
          <w:szCs w:val="28"/>
        </w:rPr>
        <w:t xml:space="preserve"> E la</w:t>
      </w:r>
      <w:r w:rsidR="002206D6" w:rsidRPr="0080394E">
        <w:rPr>
          <w:sz w:val="28"/>
          <w:szCs w:val="28"/>
        </w:rPr>
        <w:t xml:space="preserve"> richiamata</w:t>
      </w:r>
      <w:r w:rsidR="00864168" w:rsidRPr="0080394E">
        <w:rPr>
          <w:sz w:val="28"/>
          <w:szCs w:val="28"/>
        </w:rPr>
        <w:t xml:space="preserve"> “condizione” dell’impugnazione dell’interdittiva </w:t>
      </w:r>
      <w:r w:rsidR="00334099" w:rsidRPr="0080394E">
        <w:rPr>
          <w:sz w:val="28"/>
          <w:szCs w:val="28"/>
        </w:rPr>
        <w:t xml:space="preserve">per richiedere il controllo </w:t>
      </w:r>
      <w:r w:rsidR="00864168" w:rsidRPr="0080394E">
        <w:rPr>
          <w:sz w:val="28"/>
          <w:szCs w:val="28"/>
        </w:rPr>
        <w:t>avrebbe soltanto una valenza di mancata ac</w:t>
      </w:r>
      <w:r w:rsidR="007B074B" w:rsidRPr="0080394E">
        <w:rPr>
          <w:sz w:val="28"/>
          <w:szCs w:val="28"/>
        </w:rPr>
        <w:t>quiescenza a</w:t>
      </w:r>
      <w:r w:rsidR="00864168" w:rsidRPr="0080394E">
        <w:rPr>
          <w:sz w:val="28"/>
          <w:szCs w:val="28"/>
        </w:rPr>
        <w:t xml:space="preserve">lla misura. </w:t>
      </w:r>
    </w:p>
    <w:p w14:paraId="774F0239" w14:textId="42543A89" w:rsidR="000735EE" w:rsidRPr="0080394E" w:rsidRDefault="002A0EA1" w:rsidP="00D16F96">
      <w:pPr>
        <w:spacing w:line="360" w:lineRule="auto"/>
        <w:jc w:val="both"/>
        <w:rPr>
          <w:sz w:val="28"/>
          <w:szCs w:val="28"/>
        </w:rPr>
      </w:pPr>
      <w:r w:rsidRPr="0080394E">
        <w:rPr>
          <w:sz w:val="28"/>
          <w:szCs w:val="28"/>
        </w:rPr>
        <w:lastRenderedPageBreak/>
        <w:t>Va</w:t>
      </w:r>
      <w:r w:rsidR="000735EE" w:rsidRPr="0080394E">
        <w:rPr>
          <w:sz w:val="28"/>
          <w:szCs w:val="28"/>
        </w:rPr>
        <w:t xml:space="preserve"> però segnala</w:t>
      </w:r>
      <w:r w:rsidRPr="0080394E">
        <w:rPr>
          <w:sz w:val="28"/>
          <w:szCs w:val="28"/>
        </w:rPr>
        <w:t>to</w:t>
      </w:r>
      <w:r w:rsidR="000735EE" w:rsidRPr="0080394E">
        <w:rPr>
          <w:sz w:val="28"/>
          <w:szCs w:val="28"/>
        </w:rPr>
        <w:t xml:space="preserve"> che l</w:t>
      </w:r>
      <w:r w:rsidR="00981680" w:rsidRPr="0080394E">
        <w:rPr>
          <w:sz w:val="28"/>
          <w:szCs w:val="28"/>
        </w:rPr>
        <w:t xml:space="preserve">’impostazione </w:t>
      </w:r>
      <w:r w:rsidR="000735EE" w:rsidRPr="0080394E">
        <w:rPr>
          <w:sz w:val="28"/>
          <w:szCs w:val="28"/>
        </w:rPr>
        <w:t xml:space="preserve">sopra accolta </w:t>
      </w:r>
      <w:r w:rsidR="00981680" w:rsidRPr="0080394E">
        <w:rPr>
          <w:sz w:val="28"/>
          <w:szCs w:val="28"/>
        </w:rPr>
        <w:t>non è unanimemente seguita</w:t>
      </w:r>
      <w:r w:rsidR="000735EE" w:rsidRPr="0080394E">
        <w:rPr>
          <w:sz w:val="28"/>
          <w:szCs w:val="28"/>
        </w:rPr>
        <w:t xml:space="preserve"> dalla Cassazione penale</w:t>
      </w:r>
      <w:r w:rsidR="00981680" w:rsidRPr="0080394E">
        <w:rPr>
          <w:sz w:val="28"/>
          <w:szCs w:val="28"/>
        </w:rPr>
        <w:t xml:space="preserve">: </w:t>
      </w:r>
      <w:r w:rsidR="006A5319" w:rsidRPr="0080394E">
        <w:rPr>
          <w:sz w:val="28"/>
          <w:szCs w:val="28"/>
        </w:rPr>
        <w:t>nel</w:t>
      </w:r>
      <w:r w:rsidR="00981680" w:rsidRPr="0080394E">
        <w:rPr>
          <w:sz w:val="28"/>
          <w:szCs w:val="28"/>
        </w:rPr>
        <w:t xml:space="preserve">la </w:t>
      </w:r>
      <w:r w:rsidR="006A5319" w:rsidRPr="0080394E">
        <w:rPr>
          <w:sz w:val="28"/>
          <w:szCs w:val="28"/>
        </w:rPr>
        <w:t xml:space="preserve">citata </w:t>
      </w:r>
      <w:proofErr w:type="spellStart"/>
      <w:r w:rsidR="00981680" w:rsidRPr="0080394E">
        <w:rPr>
          <w:sz w:val="28"/>
          <w:szCs w:val="28"/>
        </w:rPr>
        <w:t>sent</w:t>
      </w:r>
      <w:proofErr w:type="spellEnd"/>
      <w:r w:rsidR="00981680" w:rsidRPr="0080394E">
        <w:rPr>
          <w:sz w:val="28"/>
          <w:szCs w:val="28"/>
        </w:rPr>
        <w:t xml:space="preserve">. n. 24678/21, condividendo la tesi della Corte d’appello secondo cui il giudice della prevenzione deve valutare solo la situazione di fatto esistente al momento dell'interdittiva e non gli accadimenti posteriori, </w:t>
      </w:r>
      <w:r w:rsidR="000735EE" w:rsidRPr="0080394E">
        <w:rPr>
          <w:sz w:val="28"/>
          <w:szCs w:val="28"/>
        </w:rPr>
        <w:t xml:space="preserve">la Corte di legittimità </w:t>
      </w:r>
      <w:r w:rsidR="00981680" w:rsidRPr="0080394E">
        <w:rPr>
          <w:sz w:val="28"/>
          <w:szCs w:val="28"/>
        </w:rPr>
        <w:t>ne ha infatti cassato con rinvio la sentenza per difetto di motivazione, sollecitandola a effettuare una valutazione sostanzialmente sovrapponibile a quella del giudice amministrativo, mentre non ha ritenuto rileva</w:t>
      </w:r>
      <w:r w:rsidR="00D8256F" w:rsidRPr="0080394E">
        <w:rPr>
          <w:sz w:val="28"/>
          <w:szCs w:val="28"/>
        </w:rPr>
        <w:t>nti</w:t>
      </w:r>
      <w:r w:rsidR="00981680" w:rsidRPr="0080394E">
        <w:rPr>
          <w:sz w:val="28"/>
          <w:szCs w:val="28"/>
        </w:rPr>
        <w:t xml:space="preserve"> le misure di </w:t>
      </w:r>
      <w:r w:rsidR="00981680" w:rsidRPr="0080394E">
        <w:rPr>
          <w:i/>
          <w:iCs/>
          <w:sz w:val="28"/>
          <w:szCs w:val="28"/>
        </w:rPr>
        <w:t xml:space="preserve">self </w:t>
      </w:r>
      <w:proofErr w:type="spellStart"/>
      <w:r w:rsidR="00981680" w:rsidRPr="0080394E">
        <w:rPr>
          <w:i/>
          <w:iCs/>
          <w:sz w:val="28"/>
          <w:szCs w:val="28"/>
        </w:rPr>
        <w:t>cleaning</w:t>
      </w:r>
      <w:proofErr w:type="spellEnd"/>
      <w:r w:rsidR="00981680" w:rsidRPr="0080394E">
        <w:rPr>
          <w:sz w:val="28"/>
          <w:szCs w:val="28"/>
        </w:rPr>
        <w:t xml:space="preserve"> adottate dall’impresa dopo l’interdittiva.</w:t>
      </w:r>
    </w:p>
    <w:p w14:paraId="6D2D6570" w14:textId="0120F3E2" w:rsidR="00D83E96" w:rsidRPr="0080394E" w:rsidRDefault="008441E5" w:rsidP="00D16F96">
      <w:pPr>
        <w:spacing w:line="360" w:lineRule="auto"/>
        <w:jc w:val="both"/>
        <w:rPr>
          <w:sz w:val="28"/>
          <w:szCs w:val="28"/>
        </w:rPr>
      </w:pPr>
      <w:r w:rsidRPr="0080394E">
        <w:rPr>
          <w:sz w:val="28"/>
          <w:szCs w:val="28"/>
        </w:rPr>
        <w:t>Non è meno delicato il tema de</w:t>
      </w:r>
      <w:r w:rsidR="002206D6" w:rsidRPr="0080394E">
        <w:rPr>
          <w:sz w:val="28"/>
          <w:szCs w:val="28"/>
        </w:rPr>
        <w:t xml:space="preserve">gli effetti dell’ammissione al </w:t>
      </w:r>
      <w:r w:rsidR="00BE2C92" w:rsidRPr="0080394E">
        <w:rPr>
          <w:sz w:val="28"/>
          <w:szCs w:val="28"/>
        </w:rPr>
        <w:t xml:space="preserve">controllo </w:t>
      </w:r>
      <w:r w:rsidR="002206D6" w:rsidRPr="0080394E">
        <w:rPr>
          <w:sz w:val="28"/>
          <w:szCs w:val="28"/>
        </w:rPr>
        <w:t>sul</w:t>
      </w:r>
      <w:r w:rsidR="00BE2C92" w:rsidRPr="0080394E">
        <w:rPr>
          <w:sz w:val="28"/>
          <w:szCs w:val="28"/>
        </w:rPr>
        <w:t xml:space="preserve"> giudizio amministrativo</w:t>
      </w:r>
      <w:r w:rsidRPr="0080394E">
        <w:rPr>
          <w:sz w:val="28"/>
          <w:szCs w:val="28"/>
        </w:rPr>
        <w:t>. C</w:t>
      </w:r>
      <w:r w:rsidR="00BE2C92" w:rsidRPr="0080394E">
        <w:rPr>
          <w:sz w:val="28"/>
          <w:szCs w:val="28"/>
        </w:rPr>
        <w:t>ome riferitoci dal consigliere VELTRI nei richiamati convegni</w:t>
      </w:r>
      <w:r w:rsidR="0061167E" w:rsidRPr="0080394E">
        <w:rPr>
          <w:sz w:val="28"/>
          <w:szCs w:val="28"/>
        </w:rPr>
        <w:t xml:space="preserve"> e riportato nella citata ultima sentenza del TAR Catania</w:t>
      </w:r>
      <w:r w:rsidR="00BE2C92" w:rsidRPr="0080394E">
        <w:rPr>
          <w:sz w:val="28"/>
          <w:szCs w:val="28"/>
        </w:rPr>
        <w:t>, i</w:t>
      </w:r>
      <w:r w:rsidR="0061167E" w:rsidRPr="0080394E">
        <w:rPr>
          <w:sz w:val="28"/>
          <w:szCs w:val="28"/>
        </w:rPr>
        <w:t>l Consiglio di Stato</w:t>
      </w:r>
      <w:r w:rsidR="00BE2C92" w:rsidRPr="0080394E">
        <w:rPr>
          <w:sz w:val="28"/>
          <w:szCs w:val="28"/>
        </w:rPr>
        <w:t xml:space="preserve"> </w:t>
      </w:r>
      <w:r w:rsidR="001933D4" w:rsidRPr="0080394E">
        <w:rPr>
          <w:sz w:val="28"/>
          <w:szCs w:val="28"/>
        </w:rPr>
        <w:t xml:space="preserve">sta adottando </w:t>
      </w:r>
      <w:r w:rsidR="00BE2C92" w:rsidRPr="0080394E">
        <w:rPr>
          <w:sz w:val="28"/>
          <w:szCs w:val="28"/>
        </w:rPr>
        <w:t>un</w:t>
      </w:r>
      <w:r w:rsidR="00D83E96" w:rsidRPr="0080394E">
        <w:rPr>
          <w:sz w:val="28"/>
          <w:szCs w:val="28"/>
        </w:rPr>
        <w:t>a prassi</w:t>
      </w:r>
      <w:r w:rsidR="00BE2C92" w:rsidRPr="0080394E">
        <w:rPr>
          <w:sz w:val="28"/>
          <w:szCs w:val="28"/>
        </w:rPr>
        <w:t xml:space="preserve"> di sospensione impropria del processo</w:t>
      </w:r>
      <w:r w:rsidR="001933D4" w:rsidRPr="0080394E">
        <w:rPr>
          <w:sz w:val="28"/>
          <w:szCs w:val="28"/>
        </w:rPr>
        <w:t xml:space="preserve"> (</w:t>
      </w:r>
      <w:r w:rsidR="001933D4" w:rsidRPr="0080394E">
        <w:rPr>
          <w:i/>
          <w:iCs/>
          <w:sz w:val="28"/>
          <w:szCs w:val="28"/>
        </w:rPr>
        <w:t>inter alia</w:t>
      </w:r>
      <w:r w:rsidR="001933D4" w:rsidRPr="0080394E">
        <w:rPr>
          <w:sz w:val="28"/>
          <w:szCs w:val="28"/>
        </w:rPr>
        <w:t xml:space="preserve"> </w:t>
      </w:r>
      <w:proofErr w:type="spellStart"/>
      <w:r w:rsidR="001933D4" w:rsidRPr="0080394E">
        <w:rPr>
          <w:sz w:val="28"/>
          <w:szCs w:val="28"/>
        </w:rPr>
        <w:t>ordd</w:t>
      </w:r>
      <w:proofErr w:type="spellEnd"/>
      <w:r w:rsidR="001933D4" w:rsidRPr="0080394E">
        <w:rPr>
          <w:sz w:val="28"/>
          <w:szCs w:val="28"/>
        </w:rPr>
        <w:t>. 4873 e 5482/19)</w:t>
      </w:r>
      <w:r w:rsidR="00BE2C92" w:rsidRPr="0080394E">
        <w:rPr>
          <w:sz w:val="28"/>
          <w:szCs w:val="28"/>
        </w:rPr>
        <w:t xml:space="preserve">, in attesa della fine del controllo, che, </w:t>
      </w:r>
      <w:r w:rsidR="00571107" w:rsidRPr="0080394E">
        <w:rPr>
          <w:sz w:val="28"/>
          <w:szCs w:val="28"/>
        </w:rPr>
        <w:t xml:space="preserve">per quanto detto, </w:t>
      </w:r>
      <w:r w:rsidR="00BE2C92" w:rsidRPr="0080394E">
        <w:rPr>
          <w:sz w:val="28"/>
          <w:szCs w:val="28"/>
        </w:rPr>
        <w:t xml:space="preserve">se </w:t>
      </w:r>
      <w:r w:rsidR="00D83E96" w:rsidRPr="0080394E">
        <w:rPr>
          <w:sz w:val="28"/>
          <w:szCs w:val="28"/>
        </w:rPr>
        <w:t xml:space="preserve">attestante </w:t>
      </w:r>
      <w:r w:rsidR="00BE2C92" w:rsidRPr="0080394E">
        <w:rPr>
          <w:sz w:val="28"/>
          <w:szCs w:val="28"/>
        </w:rPr>
        <w:t>l’intervenuta “bonifica”, dovrebbe</w:t>
      </w:r>
      <w:r w:rsidR="000735EE" w:rsidRPr="0080394E">
        <w:rPr>
          <w:sz w:val="28"/>
          <w:szCs w:val="28"/>
        </w:rPr>
        <w:t xml:space="preserve">, in un’ottica di ragionevolezza e di proporzionalità, </w:t>
      </w:r>
      <w:r w:rsidR="002A0EA1" w:rsidRPr="0080394E">
        <w:rPr>
          <w:sz w:val="28"/>
          <w:szCs w:val="28"/>
        </w:rPr>
        <w:t>determinare la revoca del</w:t>
      </w:r>
      <w:r w:rsidR="00BE2C92" w:rsidRPr="0080394E">
        <w:rPr>
          <w:sz w:val="28"/>
          <w:szCs w:val="28"/>
        </w:rPr>
        <w:t>l’interdittiva.</w:t>
      </w:r>
      <w:r w:rsidR="00546233" w:rsidRPr="0080394E">
        <w:rPr>
          <w:sz w:val="28"/>
          <w:szCs w:val="28"/>
        </w:rPr>
        <w:t xml:space="preserve"> Di contro, il TAR Calabria, sezione di Reggio Calabria, ha ritenuto che, in ragione della non interferenza dei due ambiti giurisdizionali, il giudice amministrativo abbia comunque l’obbligo di definire il giudizio. </w:t>
      </w:r>
      <w:r w:rsidR="005F45B4" w:rsidRPr="0080394E">
        <w:rPr>
          <w:sz w:val="28"/>
          <w:szCs w:val="28"/>
        </w:rPr>
        <w:t xml:space="preserve">Mentre, da ultimo, il TAR Catania, muovendo dal suddetto ardito presupposto che la richiesta di controllo implicherebbe il riconoscimento dell’illecito, ne ha affermato la radicale improcedibilità, non residuando in tesi spazi neppure per la tutela risarcitoria. </w:t>
      </w:r>
      <w:r w:rsidR="001933D4" w:rsidRPr="0080394E">
        <w:rPr>
          <w:sz w:val="28"/>
          <w:szCs w:val="28"/>
        </w:rPr>
        <w:t xml:space="preserve"> </w:t>
      </w:r>
      <w:r w:rsidR="00571107" w:rsidRPr="0080394E">
        <w:rPr>
          <w:sz w:val="28"/>
          <w:szCs w:val="28"/>
        </w:rPr>
        <w:t xml:space="preserve"> </w:t>
      </w:r>
    </w:p>
    <w:p w14:paraId="6EC39E90" w14:textId="0DA0304A" w:rsidR="00BE2C92" w:rsidRPr="00316C61" w:rsidRDefault="00E96102" w:rsidP="00D16F96">
      <w:pPr>
        <w:spacing w:line="360" w:lineRule="auto"/>
        <w:jc w:val="both"/>
        <w:rPr>
          <w:sz w:val="28"/>
          <w:szCs w:val="28"/>
        </w:rPr>
      </w:pPr>
      <w:r w:rsidRPr="00316C61">
        <w:rPr>
          <w:sz w:val="28"/>
          <w:szCs w:val="28"/>
        </w:rPr>
        <w:t>Il tema, come si vede, richiede un sollecito intervento del legislatore. O, quantomeno, dell’Adunanza plenaria, che avrebbe però, ancora una volta, l’ingrato compito di fare “chiarezza” senza indulgere in interventi “creativi”</w:t>
      </w:r>
      <w:r w:rsidR="00316C61">
        <w:rPr>
          <w:rStyle w:val="Rimandonotaapidipagina"/>
          <w:sz w:val="28"/>
          <w:szCs w:val="28"/>
        </w:rPr>
        <w:footnoteReference w:id="17"/>
      </w:r>
      <w:r w:rsidRPr="00316C61">
        <w:rPr>
          <w:sz w:val="28"/>
          <w:szCs w:val="28"/>
        </w:rPr>
        <w:t>.</w:t>
      </w:r>
    </w:p>
    <w:p w14:paraId="63C9B010" w14:textId="52FC5154" w:rsidR="00724ACE" w:rsidRPr="0080394E" w:rsidRDefault="003A4A72" w:rsidP="00D16F96">
      <w:pPr>
        <w:spacing w:line="360" w:lineRule="auto"/>
        <w:jc w:val="both"/>
        <w:rPr>
          <w:sz w:val="28"/>
          <w:szCs w:val="28"/>
        </w:rPr>
      </w:pPr>
      <w:r w:rsidRPr="0080394E">
        <w:rPr>
          <w:sz w:val="28"/>
          <w:szCs w:val="28"/>
        </w:rPr>
        <w:lastRenderedPageBreak/>
        <w:t>La casistica giurisprudenziale ha dimostrato peraltro che q</w:t>
      </w:r>
      <w:r w:rsidR="00543A5A" w:rsidRPr="0080394E">
        <w:rPr>
          <w:sz w:val="28"/>
          <w:szCs w:val="28"/>
        </w:rPr>
        <w:t xml:space="preserve">uesta osmosi tra i due </w:t>
      </w:r>
      <w:r w:rsidR="006630D8" w:rsidRPr="0080394E">
        <w:rPr>
          <w:sz w:val="28"/>
          <w:szCs w:val="28"/>
        </w:rPr>
        <w:t xml:space="preserve">ambiti di prevenzione </w:t>
      </w:r>
      <w:r w:rsidR="00C750EC" w:rsidRPr="0080394E">
        <w:rPr>
          <w:sz w:val="28"/>
          <w:szCs w:val="28"/>
        </w:rPr>
        <w:t xml:space="preserve">ha </w:t>
      </w:r>
      <w:r w:rsidR="00AF6D96" w:rsidRPr="0080394E">
        <w:rPr>
          <w:sz w:val="28"/>
          <w:szCs w:val="28"/>
        </w:rPr>
        <w:t>determina</w:t>
      </w:r>
      <w:r w:rsidR="00C750EC" w:rsidRPr="0080394E">
        <w:rPr>
          <w:sz w:val="28"/>
          <w:szCs w:val="28"/>
        </w:rPr>
        <w:t>to</w:t>
      </w:r>
      <w:r w:rsidR="00AF6D96" w:rsidRPr="0080394E">
        <w:rPr>
          <w:sz w:val="28"/>
          <w:szCs w:val="28"/>
        </w:rPr>
        <w:t xml:space="preserve"> anche effetti paradossali. </w:t>
      </w:r>
      <w:r w:rsidRPr="0080394E">
        <w:rPr>
          <w:sz w:val="28"/>
          <w:szCs w:val="28"/>
        </w:rPr>
        <w:t xml:space="preserve">La </w:t>
      </w:r>
      <w:r w:rsidR="00AF6D96" w:rsidRPr="0080394E">
        <w:rPr>
          <w:sz w:val="28"/>
          <w:szCs w:val="28"/>
        </w:rPr>
        <w:t xml:space="preserve">Cassazione </w:t>
      </w:r>
      <w:r w:rsidRPr="0080394E">
        <w:rPr>
          <w:sz w:val="28"/>
          <w:szCs w:val="28"/>
        </w:rPr>
        <w:t>penale</w:t>
      </w:r>
      <w:r w:rsidR="006A5319" w:rsidRPr="0080394E">
        <w:rPr>
          <w:sz w:val="28"/>
          <w:szCs w:val="28"/>
        </w:rPr>
        <w:t>,</w:t>
      </w:r>
      <w:r w:rsidRPr="0080394E">
        <w:rPr>
          <w:sz w:val="28"/>
          <w:szCs w:val="28"/>
        </w:rPr>
        <w:t xml:space="preserve"> si è trovata così di fronte a</w:t>
      </w:r>
      <w:r w:rsidR="00AF6D96" w:rsidRPr="0080394E">
        <w:rPr>
          <w:sz w:val="28"/>
          <w:szCs w:val="28"/>
        </w:rPr>
        <w:t xml:space="preserve">l </w:t>
      </w:r>
      <w:r w:rsidR="000B0F83" w:rsidRPr="0080394E">
        <w:rPr>
          <w:sz w:val="28"/>
          <w:szCs w:val="28"/>
        </w:rPr>
        <w:t>cas</w:t>
      </w:r>
      <w:r w:rsidR="00AF6D96" w:rsidRPr="0080394E">
        <w:rPr>
          <w:sz w:val="28"/>
          <w:szCs w:val="28"/>
        </w:rPr>
        <w:t>o</w:t>
      </w:r>
      <w:r w:rsidR="000B0F83" w:rsidRPr="0080394E">
        <w:rPr>
          <w:sz w:val="28"/>
          <w:szCs w:val="28"/>
        </w:rPr>
        <w:t xml:space="preserve"> </w:t>
      </w:r>
      <w:r w:rsidR="00AF6D96" w:rsidRPr="0080394E">
        <w:rPr>
          <w:sz w:val="28"/>
          <w:szCs w:val="28"/>
        </w:rPr>
        <w:t xml:space="preserve">di </w:t>
      </w:r>
      <w:r w:rsidR="00543A5A" w:rsidRPr="0080394E">
        <w:rPr>
          <w:sz w:val="28"/>
          <w:szCs w:val="28"/>
        </w:rPr>
        <w:t>un operatore che</w:t>
      </w:r>
      <w:r w:rsidR="00AF6D96" w:rsidRPr="0080394E">
        <w:rPr>
          <w:sz w:val="28"/>
          <w:szCs w:val="28"/>
        </w:rPr>
        <w:t>,</w:t>
      </w:r>
      <w:r w:rsidR="00543A5A" w:rsidRPr="0080394E">
        <w:rPr>
          <w:sz w:val="28"/>
          <w:szCs w:val="28"/>
        </w:rPr>
        <w:t xml:space="preserve"> </w:t>
      </w:r>
      <w:r w:rsidR="00AF6D96" w:rsidRPr="0080394E">
        <w:rPr>
          <w:sz w:val="28"/>
          <w:szCs w:val="28"/>
        </w:rPr>
        <w:t xml:space="preserve">dopo avere </w:t>
      </w:r>
      <w:r w:rsidR="00543A5A" w:rsidRPr="0080394E">
        <w:rPr>
          <w:sz w:val="28"/>
          <w:szCs w:val="28"/>
        </w:rPr>
        <w:t xml:space="preserve">infruttuosamente adito il giudice amministrativo per l’annullamento dell’interdittiva, si </w:t>
      </w:r>
      <w:r w:rsidRPr="0080394E">
        <w:rPr>
          <w:sz w:val="28"/>
          <w:szCs w:val="28"/>
        </w:rPr>
        <w:t xml:space="preserve">era </w:t>
      </w:r>
      <w:r w:rsidR="00543A5A" w:rsidRPr="0080394E">
        <w:rPr>
          <w:sz w:val="28"/>
          <w:szCs w:val="28"/>
        </w:rPr>
        <w:t xml:space="preserve">visto </w:t>
      </w:r>
      <w:r w:rsidR="000B0F83" w:rsidRPr="0080394E">
        <w:rPr>
          <w:sz w:val="28"/>
          <w:szCs w:val="28"/>
        </w:rPr>
        <w:t xml:space="preserve">respingere </w:t>
      </w:r>
      <w:r w:rsidR="00543A5A" w:rsidRPr="0080394E">
        <w:rPr>
          <w:sz w:val="28"/>
          <w:szCs w:val="28"/>
        </w:rPr>
        <w:t xml:space="preserve">la domanda di controllo giudiziario dal </w:t>
      </w:r>
      <w:r w:rsidR="00B1003D" w:rsidRPr="0080394E">
        <w:rPr>
          <w:sz w:val="28"/>
          <w:szCs w:val="28"/>
        </w:rPr>
        <w:t xml:space="preserve">giudice della prevenzione penale </w:t>
      </w:r>
      <w:r w:rsidR="000B0F83" w:rsidRPr="0080394E">
        <w:rPr>
          <w:sz w:val="28"/>
          <w:szCs w:val="28"/>
        </w:rPr>
        <w:t xml:space="preserve">sul presupposto che non vi fosse alcun </w:t>
      </w:r>
      <w:r w:rsidR="00B1003D" w:rsidRPr="0080394E">
        <w:rPr>
          <w:sz w:val="28"/>
          <w:szCs w:val="28"/>
        </w:rPr>
        <w:t>rischio infiltrativo</w:t>
      </w:r>
      <w:r w:rsidR="000B0F83" w:rsidRPr="0080394E">
        <w:rPr>
          <w:sz w:val="28"/>
          <w:szCs w:val="28"/>
        </w:rPr>
        <w:t xml:space="preserve">. Sicché, </w:t>
      </w:r>
      <w:r w:rsidR="00724ACE" w:rsidRPr="0080394E">
        <w:rPr>
          <w:sz w:val="28"/>
          <w:szCs w:val="28"/>
        </w:rPr>
        <w:t xml:space="preserve">paradossalmente, </w:t>
      </w:r>
      <w:r w:rsidR="000B0F83" w:rsidRPr="0080394E">
        <w:rPr>
          <w:sz w:val="28"/>
          <w:szCs w:val="28"/>
        </w:rPr>
        <w:t>p</w:t>
      </w:r>
      <w:r w:rsidR="00AF6D96" w:rsidRPr="0080394E">
        <w:rPr>
          <w:sz w:val="28"/>
          <w:szCs w:val="28"/>
        </w:rPr>
        <w:t xml:space="preserve">roprio il fatto che era </w:t>
      </w:r>
      <w:r w:rsidR="000B0F83" w:rsidRPr="0080394E">
        <w:rPr>
          <w:sz w:val="28"/>
          <w:szCs w:val="28"/>
        </w:rPr>
        <w:t xml:space="preserve">stato ritenuto indenne dal giudice penale, </w:t>
      </w:r>
      <w:r w:rsidR="00AF6D96" w:rsidRPr="0080394E">
        <w:rPr>
          <w:sz w:val="28"/>
          <w:szCs w:val="28"/>
        </w:rPr>
        <w:t xml:space="preserve">lo costringeva a subire </w:t>
      </w:r>
      <w:r w:rsidRPr="0080394E">
        <w:rPr>
          <w:sz w:val="28"/>
          <w:szCs w:val="28"/>
        </w:rPr>
        <w:t>gli effetti del</w:t>
      </w:r>
      <w:r w:rsidR="00AF6D96" w:rsidRPr="0080394E">
        <w:rPr>
          <w:sz w:val="28"/>
          <w:szCs w:val="28"/>
        </w:rPr>
        <w:t xml:space="preserve">l’interdizione nei rapporti con l’amministrazione. </w:t>
      </w:r>
      <w:r w:rsidR="00BC78FB" w:rsidRPr="0080394E">
        <w:rPr>
          <w:sz w:val="28"/>
          <w:szCs w:val="28"/>
        </w:rPr>
        <w:t>In linea con la richiamata posizione delle S</w:t>
      </w:r>
      <w:r w:rsidR="007B074B" w:rsidRPr="0080394E">
        <w:rPr>
          <w:sz w:val="28"/>
          <w:szCs w:val="28"/>
        </w:rPr>
        <w:t>ezioni Unite</w:t>
      </w:r>
      <w:r w:rsidR="00BC78FB" w:rsidRPr="0080394E">
        <w:rPr>
          <w:sz w:val="28"/>
          <w:szCs w:val="28"/>
        </w:rPr>
        <w:t xml:space="preserve">, la </w:t>
      </w:r>
      <w:r w:rsidR="00B1003D" w:rsidRPr="0080394E">
        <w:rPr>
          <w:sz w:val="28"/>
          <w:szCs w:val="28"/>
        </w:rPr>
        <w:t xml:space="preserve">Corte ha </w:t>
      </w:r>
      <w:r w:rsidR="00AF6D96" w:rsidRPr="0080394E">
        <w:rPr>
          <w:sz w:val="28"/>
          <w:szCs w:val="28"/>
        </w:rPr>
        <w:t xml:space="preserve">risolto la questione affermando </w:t>
      </w:r>
      <w:r w:rsidR="00B1003D" w:rsidRPr="0080394E">
        <w:rPr>
          <w:sz w:val="28"/>
          <w:szCs w:val="28"/>
        </w:rPr>
        <w:t>che</w:t>
      </w:r>
      <w:r w:rsidR="00801206" w:rsidRPr="0080394E">
        <w:rPr>
          <w:sz w:val="28"/>
          <w:szCs w:val="28"/>
        </w:rPr>
        <w:t>,</w:t>
      </w:r>
      <w:r w:rsidR="00B1003D" w:rsidRPr="0080394E">
        <w:rPr>
          <w:sz w:val="28"/>
          <w:szCs w:val="28"/>
        </w:rPr>
        <w:t xml:space="preserve"> quando il controllo è a domanda e non c'è </w:t>
      </w:r>
      <w:r w:rsidR="006D5F45" w:rsidRPr="0080394E">
        <w:rPr>
          <w:sz w:val="28"/>
          <w:szCs w:val="28"/>
        </w:rPr>
        <w:t>quindi</w:t>
      </w:r>
      <w:r w:rsidR="00AF6D96" w:rsidRPr="0080394E">
        <w:rPr>
          <w:sz w:val="28"/>
          <w:szCs w:val="28"/>
        </w:rPr>
        <w:t>,</w:t>
      </w:r>
      <w:r w:rsidR="00B1003D" w:rsidRPr="0080394E">
        <w:rPr>
          <w:sz w:val="28"/>
          <w:szCs w:val="28"/>
        </w:rPr>
        <w:t xml:space="preserve"> come nel controllo giudiziario </w:t>
      </w:r>
      <w:r w:rsidR="00157CDF">
        <w:rPr>
          <w:sz w:val="28"/>
          <w:szCs w:val="28"/>
        </w:rPr>
        <w:t>ordinari</w:t>
      </w:r>
      <w:r w:rsidR="00B1003D" w:rsidRPr="0080394E">
        <w:rPr>
          <w:sz w:val="28"/>
          <w:szCs w:val="28"/>
        </w:rPr>
        <w:t>o</w:t>
      </w:r>
      <w:r w:rsidR="00BC78FB" w:rsidRPr="0080394E">
        <w:rPr>
          <w:sz w:val="28"/>
          <w:szCs w:val="28"/>
        </w:rPr>
        <w:t>, una sfera di valutazione riservata al giudice penale</w:t>
      </w:r>
      <w:r w:rsidR="00AF6D96" w:rsidRPr="0080394E">
        <w:rPr>
          <w:sz w:val="28"/>
          <w:szCs w:val="28"/>
        </w:rPr>
        <w:t>,</w:t>
      </w:r>
      <w:r w:rsidR="00B1003D" w:rsidRPr="0080394E">
        <w:rPr>
          <w:sz w:val="28"/>
          <w:szCs w:val="28"/>
        </w:rPr>
        <w:t xml:space="preserve"> </w:t>
      </w:r>
      <w:r w:rsidR="006D5F45" w:rsidRPr="0080394E">
        <w:rPr>
          <w:sz w:val="28"/>
          <w:szCs w:val="28"/>
        </w:rPr>
        <w:t xml:space="preserve">il “fatto” presupposto </w:t>
      </w:r>
      <w:r w:rsidR="00801206" w:rsidRPr="0080394E">
        <w:rPr>
          <w:sz w:val="28"/>
          <w:szCs w:val="28"/>
        </w:rPr>
        <w:t>della misura di prevenzione penale è l’informativa</w:t>
      </w:r>
      <w:r w:rsidR="006D5F45" w:rsidRPr="0080394E">
        <w:rPr>
          <w:sz w:val="28"/>
          <w:szCs w:val="28"/>
        </w:rPr>
        <w:t xml:space="preserve">, la valutazione </w:t>
      </w:r>
      <w:r w:rsidR="00801206" w:rsidRPr="0080394E">
        <w:rPr>
          <w:sz w:val="28"/>
          <w:szCs w:val="28"/>
        </w:rPr>
        <w:t xml:space="preserve">della cui legittimità </w:t>
      </w:r>
      <w:r w:rsidR="006D5F45" w:rsidRPr="0080394E">
        <w:rPr>
          <w:sz w:val="28"/>
          <w:szCs w:val="28"/>
        </w:rPr>
        <w:t>è rimessa a</w:t>
      </w:r>
      <w:r w:rsidR="00801206" w:rsidRPr="0080394E">
        <w:rPr>
          <w:sz w:val="28"/>
          <w:szCs w:val="28"/>
        </w:rPr>
        <w:t>l</w:t>
      </w:r>
      <w:r w:rsidR="00724ACE" w:rsidRPr="0080394E">
        <w:rPr>
          <w:sz w:val="28"/>
          <w:szCs w:val="28"/>
        </w:rPr>
        <w:t xml:space="preserve"> </w:t>
      </w:r>
      <w:r w:rsidR="006D5F45" w:rsidRPr="0080394E">
        <w:rPr>
          <w:sz w:val="28"/>
          <w:szCs w:val="28"/>
        </w:rPr>
        <w:t>giudice</w:t>
      </w:r>
      <w:r w:rsidR="00724ACE" w:rsidRPr="0080394E">
        <w:rPr>
          <w:sz w:val="28"/>
          <w:szCs w:val="28"/>
        </w:rPr>
        <w:t xml:space="preserve"> amministrativo</w:t>
      </w:r>
      <w:r w:rsidR="006D5F45" w:rsidRPr="0080394E">
        <w:rPr>
          <w:sz w:val="28"/>
          <w:szCs w:val="28"/>
        </w:rPr>
        <w:t xml:space="preserve">, sicché il giudice penale non può entrare nel merito della sussistenza del rischio </w:t>
      </w:r>
      <w:r w:rsidR="00B1003D" w:rsidRPr="0080394E">
        <w:rPr>
          <w:sz w:val="28"/>
          <w:szCs w:val="28"/>
        </w:rPr>
        <w:t xml:space="preserve">infiltrativo e </w:t>
      </w:r>
      <w:r w:rsidR="006D5F45" w:rsidRPr="0080394E">
        <w:rPr>
          <w:sz w:val="28"/>
          <w:szCs w:val="28"/>
        </w:rPr>
        <w:t xml:space="preserve">negare </w:t>
      </w:r>
      <w:r w:rsidR="00B1003D" w:rsidRPr="0080394E">
        <w:rPr>
          <w:sz w:val="28"/>
          <w:szCs w:val="28"/>
        </w:rPr>
        <w:t xml:space="preserve">la misura </w:t>
      </w:r>
      <w:r w:rsidR="00801206" w:rsidRPr="0080394E">
        <w:rPr>
          <w:sz w:val="28"/>
          <w:szCs w:val="28"/>
        </w:rPr>
        <w:t>sul presupposto che esso non sussista</w:t>
      </w:r>
      <w:r w:rsidR="00BC78FB" w:rsidRPr="0080394E">
        <w:rPr>
          <w:sz w:val="28"/>
          <w:szCs w:val="28"/>
        </w:rPr>
        <w:t>, ma deve unicamente verificare la ricorrenza delle condizioni per l’ammissione al controllo</w:t>
      </w:r>
      <w:r w:rsidR="00AC3365">
        <w:rPr>
          <w:rStyle w:val="Rimandonotaapidipagina"/>
          <w:sz w:val="28"/>
          <w:szCs w:val="28"/>
        </w:rPr>
        <w:footnoteReference w:id="18"/>
      </w:r>
      <w:r w:rsidR="00801206" w:rsidRPr="0080394E">
        <w:rPr>
          <w:sz w:val="28"/>
          <w:szCs w:val="28"/>
        </w:rPr>
        <w:t xml:space="preserve">. </w:t>
      </w:r>
    </w:p>
    <w:p w14:paraId="381DBF92" w14:textId="7C207A2E" w:rsidR="00D83E96" w:rsidRPr="0080394E" w:rsidRDefault="00AE4890" w:rsidP="00CF116A">
      <w:pPr>
        <w:spacing w:line="360" w:lineRule="auto"/>
        <w:jc w:val="center"/>
        <w:rPr>
          <w:sz w:val="28"/>
          <w:szCs w:val="28"/>
        </w:rPr>
      </w:pPr>
      <w:r w:rsidRPr="0080394E">
        <w:rPr>
          <w:sz w:val="28"/>
          <w:szCs w:val="28"/>
        </w:rPr>
        <w:t>*</w:t>
      </w:r>
    </w:p>
    <w:p w14:paraId="168CBA9A" w14:textId="738C8DE4" w:rsidR="00ED122F" w:rsidRPr="0080394E" w:rsidRDefault="00157CDF" w:rsidP="00ED122F">
      <w:pPr>
        <w:spacing w:line="360" w:lineRule="auto"/>
        <w:jc w:val="both"/>
        <w:rPr>
          <w:sz w:val="28"/>
          <w:szCs w:val="28"/>
        </w:rPr>
      </w:pPr>
      <w:r w:rsidRPr="003D1507">
        <w:rPr>
          <w:b/>
          <w:bCs/>
          <w:sz w:val="28"/>
          <w:szCs w:val="28"/>
        </w:rPr>
        <w:t>3. La riforma del 2021.</w:t>
      </w:r>
      <w:r>
        <w:rPr>
          <w:sz w:val="28"/>
          <w:szCs w:val="28"/>
        </w:rPr>
        <w:t xml:space="preserve"> </w:t>
      </w:r>
      <w:r w:rsidR="008441E5" w:rsidRPr="0080394E">
        <w:rPr>
          <w:sz w:val="28"/>
          <w:szCs w:val="28"/>
        </w:rPr>
        <w:t xml:space="preserve">Nel </w:t>
      </w:r>
      <w:r w:rsidR="00075D22" w:rsidRPr="0080394E">
        <w:rPr>
          <w:sz w:val="28"/>
          <w:szCs w:val="28"/>
        </w:rPr>
        <w:t xml:space="preserve">sistema </w:t>
      </w:r>
      <w:r w:rsidR="008441E5" w:rsidRPr="0080394E">
        <w:rPr>
          <w:sz w:val="28"/>
          <w:szCs w:val="28"/>
        </w:rPr>
        <w:t xml:space="preserve">sopra descritto </w:t>
      </w:r>
      <w:r w:rsidR="00075D22" w:rsidRPr="0080394E">
        <w:rPr>
          <w:sz w:val="28"/>
          <w:szCs w:val="28"/>
        </w:rPr>
        <w:t xml:space="preserve">si è inserita la riforma del 2021. Il legislatore, preso atto della crescente rilevanza delle misure di prevenzione antimafia anche in relazione all'attuazione del PNRR, è intervenuto sulla disciplina della documentazione amministrativa antimafia sul duplice fronte, procedimentale e sostanziale. Sul piano procedimentale, </w:t>
      </w:r>
      <w:r w:rsidR="007059FA">
        <w:rPr>
          <w:sz w:val="28"/>
          <w:szCs w:val="28"/>
        </w:rPr>
        <w:t>rispondendo</w:t>
      </w:r>
      <w:r w:rsidR="00C54574">
        <w:rPr>
          <w:sz w:val="28"/>
          <w:szCs w:val="28"/>
        </w:rPr>
        <w:t>, in parte,</w:t>
      </w:r>
      <w:r w:rsidR="007059FA">
        <w:rPr>
          <w:sz w:val="28"/>
          <w:szCs w:val="28"/>
        </w:rPr>
        <w:t xml:space="preserve"> alle sollecitazioni della dottrina e della giurisprudenza</w:t>
      </w:r>
      <w:r w:rsidR="007059FA">
        <w:rPr>
          <w:rStyle w:val="Rimandonotaapidipagina"/>
          <w:sz w:val="28"/>
          <w:szCs w:val="28"/>
        </w:rPr>
        <w:footnoteReference w:id="19"/>
      </w:r>
      <w:r w:rsidR="007059FA">
        <w:rPr>
          <w:sz w:val="28"/>
          <w:szCs w:val="28"/>
        </w:rPr>
        <w:t xml:space="preserve">, </w:t>
      </w:r>
      <w:r w:rsidR="00075D22" w:rsidRPr="0080394E">
        <w:rPr>
          <w:sz w:val="28"/>
          <w:szCs w:val="28"/>
        </w:rPr>
        <w:t xml:space="preserve">ha aggiunto alla possibilità del </w:t>
      </w:r>
      <w:r w:rsidR="0000747F">
        <w:rPr>
          <w:sz w:val="28"/>
          <w:szCs w:val="28"/>
        </w:rPr>
        <w:t>Prefetto</w:t>
      </w:r>
      <w:r w:rsidR="00075D22" w:rsidRPr="0080394E">
        <w:rPr>
          <w:sz w:val="28"/>
          <w:szCs w:val="28"/>
        </w:rPr>
        <w:t xml:space="preserve"> di disporre </w:t>
      </w:r>
      <w:r w:rsidR="00075D22" w:rsidRPr="0080394E">
        <w:rPr>
          <w:sz w:val="28"/>
          <w:szCs w:val="28"/>
        </w:rPr>
        <w:lastRenderedPageBreak/>
        <w:t xml:space="preserve">un’“audizione personale” dell’interessato prevista </w:t>
      </w:r>
      <w:r w:rsidR="00092F49">
        <w:rPr>
          <w:sz w:val="28"/>
          <w:szCs w:val="28"/>
        </w:rPr>
        <w:t xml:space="preserve">(solo in forma eventuale e peraltro non in forma sistemica) </w:t>
      </w:r>
      <w:r w:rsidR="00075D22" w:rsidRPr="0080394E">
        <w:rPr>
          <w:sz w:val="28"/>
          <w:szCs w:val="28"/>
        </w:rPr>
        <w:t>dall’art. 93</w:t>
      </w:r>
      <w:r w:rsidR="00092F49">
        <w:rPr>
          <w:sz w:val="28"/>
          <w:szCs w:val="28"/>
        </w:rPr>
        <w:t>,</w:t>
      </w:r>
      <w:r w:rsidR="00075D22" w:rsidRPr="0080394E">
        <w:rPr>
          <w:sz w:val="28"/>
          <w:szCs w:val="28"/>
        </w:rPr>
        <w:t xml:space="preserve"> co 7 (pure novellato), 8 e 9 del codice, la previsione, in via generale, di una “procedura in contraddittorio”</w:t>
      </w:r>
      <w:r w:rsidR="00C54574">
        <w:rPr>
          <w:sz w:val="28"/>
          <w:szCs w:val="28"/>
        </w:rPr>
        <w:t xml:space="preserve">, che </w:t>
      </w:r>
      <w:r w:rsidR="00F50BC8">
        <w:rPr>
          <w:sz w:val="28"/>
          <w:szCs w:val="28"/>
        </w:rPr>
        <w:t xml:space="preserve">si apre </w:t>
      </w:r>
      <w:r w:rsidR="00C54574">
        <w:rPr>
          <w:sz w:val="28"/>
          <w:szCs w:val="28"/>
        </w:rPr>
        <w:t>però solo</w:t>
      </w:r>
      <w:r w:rsidR="00075D22" w:rsidRPr="0080394E">
        <w:rPr>
          <w:sz w:val="28"/>
          <w:szCs w:val="28"/>
        </w:rPr>
        <w:t xml:space="preserve"> </w:t>
      </w:r>
      <w:r w:rsidR="00F50BC8">
        <w:rPr>
          <w:sz w:val="28"/>
          <w:szCs w:val="28"/>
        </w:rPr>
        <w:t>dopo che il Prefetto si sia già determinato all’</w:t>
      </w:r>
      <w:r w:rsidR="00F176F1" w:rsidRPr="0080394E">
        <w:rPr>
          <w:sz w:val="28"/>
          <w:szCs w:val="28"/>
        </w:rPr>
        <w:t>adozione delle misure di prevenzione amministrativa</w:t>
      </w:r>
      <w:r w:rsidR="00F50BC8" w:rsidRPr="00F50BC8">
        <w:rPr>
          <w:sz w:val="28"/>
          <w:szCs w:val="28"/>
        </w:rPr>
        <w:t xml:space="preserve"> </w:t>
      </w:r>
      <w:r w:rsidR="00F50BC8">
        <w:rPr>
          <w:sz w:val="28"/>
          <w:szCs w:val="28"/>
        </w:rPr>
        <w:t xml:space="preserve">(attraverso un mero </w:t>
      </w:r>
      <w:r w:rsidR="00F50BC8" w:rsidRPr="0080394E">
        <w:rPr>
          <w:sz w:val="28"/>
          <w:szCs w:val="28"/>
        </w:rPr>
        <w:t xml:space="preserve">“preavviso” di </w:t>
      </w:r>
      <w:r w:rsidR="00F50BC8">
        <w:rPr>
          <w:sz w:val="28"/>
          <w:szCs w:val="28"/>
        </w:rPr>
        <w:t xml:space="preserve">tali misure), </w:t>
      </w:r>
      <w:r w:rsidR="00426921">
        <w:rPr>
          <w:sz w:val="28"/>
          <w:szCs w:val="28"/>
        </w:rPr>
        <w:t xml:space="preserve">contempla </w:t>
      </w:r>
      <w:r w:rsidR="00F50BC8">
        <w:rPr>
          <w:sz w:val="28"/>
          <w:szCs w:val="28"/>
        </w:rPr>
        <w:t>espressamente una deroga in caso di particola</w:t>
      </w:r>
      <w:r w:rsidR="00426921">
        <w:rPr>
          <w:sz w:val="28"/>
          <w:szCs w:val="28"/>
        </w:rPr>
        <w:t>ri esigenze di celerità del procedimento,</w:t>
      </w:r>
      <w:r w:rsidR="00F50BC8">
        <w:rPr>
          <w:sz w:val="28"/>
          <w:szCs w:val="28"/>
        </w:rPr>
        <w:t xml:space="preserve"> e</w:t>
      </w:r>
      <w:r w:rsidR="00426921">
        <w:rPr>
          <w:sz w:val="28"/>
          <w:szCs w:val="28"/>
        </w:rPr>
        <w:t>, soprattutto, specifica che “</w:t>
      </w:r>
      <w:r w:rsidR="00426921" w:rsidRPr="00426921">
        <w:rPr>
          <w:i/>
          <w:iCs/>
          <w:sz w:val="28"/>
          <w:szCs w:val="28"/>
        </w:rPr>
        <w:t>i</w:t>
      </w:r>
      <w:r w:rsidR="00F50BC8" w:rsidRPr="00426921">
        <w:rPr>
          <w:i/>
          <w:iCs/>
          <w:sz w:val="28"/>
          <w:szCs w:val="28"/>
        </w:rPr>
        <w:t xml:space="preserve">n ogni caso, non possono formare oggetto della comunicazione </w:t>
      </w:r>
      <w:r w:rsidR="00426921" w:rsidRPr="00426921">
        <w:rPr>
          <w:i/>
          <w:iCs/>
          <w:sz w:val="28"/>
          <w:szCs w:val="28"/>
        </w:rPr>
        <w:t xml:space="preserve">… </w:t>
      </w:r>
      <w:r w:rsidR="00F50BC8" w:rsidRPr="00426921">
        <w:rPr>
          <w:i/>
          <w:iCs/>
          <w:sz w:val="28"/>
          <w:szCs w:val="28"/>
        </w:rPr>
        <w:t>elementi informativi il cui disvelamento sia idoneo a pregiudicare procedimenti amministrativi o attività processuali in corso, ovvero l’esito di altri accertamenti finalizzati alla prevenzione delle infiltrazioni mafiose</w:t>
      </w:r>
      <w:r w:rsidR="00426921">
        <w:rPr>
          <w:sz w:val="28"/>
          <w:szCs w:val="28"/>
        </w:rPr>
        <w:t>” (cfr. il nuovo art. 92, co. 2-</w:t>
      </w:r>
      <w:r w:rsidR="00426921" w:rsidRPr="00426921">
        <w:rPr>
          <w:i/>
          <w:iCs/>
          <w:sz w:val="28"/>
          <w:szCs w:val="28"/>
        </w:rPr>
        <w:t>bis</w:t>
      </w:r>
      <w:r w:rsidR="00426921">
        <w:rPr>
          <w:sz w:val="28"/>
          <w:szCs w:val="28"/>
        </w:rPr>
        <w:t>, del codice)</w:t>
      </w:r>
      <w:r>
        <w:rPr>
          <w:rStyle w:val="Rimandonotaapidipagina"/>
          <w:sz w:val="28"/>
          <w:szCs w:val="28"/>
        </w:rPr>
        <w:footnoteReference w:id="20"/>
      </w:r>
      <w:r w:rsidR="00E26F79">
        <w:rPr>
          <w:sz w:val="28"/>
          <w:szCs w:val="28"/>
        </w:rPr>
        <w:t>.</w:t>
      </w:r>
      <w:r w:rsidR="00092F49">
        <w:rPr>
          <w:sz w:val="28"/>
          <w:szCs w:val="28"/>
        </w:rPr>
        <w:t xml:space="preserve"> </w:t>
      </w:r>
    </w:p>
    <w:p w14:paraId="26E0B11F" w14:textId="77777777" w:rsidR="00ED122F" w:rsidRPr="0080394E" w:rsidRDefault="00075D22" w:rsidP="00ED122F">
      <w:pPr>
        <w:spacing w:line="360" w:lineRule="auto"/>
        <w:jc w:val="both"/>
        <w:rPr>
          <w:sz w:val="28"/>
          <w:szCs w:val="28"/>
        </w:rPr>
      </w:pPr>
      <w:r w:rsidRPr="0080394E">
        <w:rPr>
          <w:sz w:val="28"/>
          <w:szCs w:val="28"/>
        </w:rPr>
        <w:t xml:space="preserve">Sul piano sostanziale, la novella ha introdotto, mutuandola dal sistema di prevenzione penale, una graduazione delle misure di prevenzione amministrativa. </w:t>
      </w:r>
    </w:p>
    <w:p w14:paraId="388F53C1" w14:textId="56B1B8E8" w:rsidR="001C2ACC" w:rsidRPr="0080394E" w:rsidRDefault="00075D22" w:rsidP="00D16F96">
      <w:pPr>
        <w:spacing w:line="360" w:lineRule="auto"/>
        <w:jc w:val="both"/>
        <w:rPr>
          <w:sz w:val="28"/>
          <w:szCs w:val="28"/>
        </w:rPr>
      </w:pPr>
      <w:r w:rsidRPr="0080394E">
        <w:rPr>
          <w:sz w:val="28"/>
          <w:szCs w:val="28"/>
        </w:rPr>
        <w:t xml:space="preserve">Prendendo evidentemente atto della eccessiva </w:t>
      </w:r>
      <w:r w:rsidR="001C2ACC" w:rsidRPr="0080394E">
        <w:rPr>
          <w:sz w:val="28"/>
          <w:szCs w:val="28"/>
        </w:rPr>
        <w:t xml:space="preserve">rigidità </w:t>
      </w:r>
      <w:r w:rsidRPr="0080394E">
        <w:rPr>
          <w:sz w:val="28"/>
          <w:szCs w:val="28"/>
        </w:rPr>
        <w:t xml:space="preserve">della misura interdittiva a fronte di contatti meramente occasionali e della difficoltà di conciliare la maggiore </w:t>
      </w:r>
      <w:r w:rsidR="00ED24A2">
        <w:rPr>
          <w:sz w:val="28"/>
          <w:szCs w:val="28"/>
        </w:rPr>
        <w:lastRenderedPageBreak/>
        <w:t>sever</w:t>
      </w:r>
      <w:r w:rsidRPr="0080394E">
        <w:rPr>
          <w:sz w:val="28"/>
          <w:szCs w:val="28"/>
        </w:rPr>
        <w:t>ità delle misure amministrative rispetto a quelle penali, la riforma, inserendo nel codice un nuovo art. 94-</w:t>
      </w:r>
      <w:r w:rsidRPr="0080394E">
        <w:rPr>
          <w:i/>
          <w:iCs/>
          <w:sz w:val="28"/>
          <w:szCs w:val="28"/>
        </w:rPr>
        <w:t>bis</w:t>
      </w:r>
      <w:r w:rsidRPr="0080394E">
        <w:rPr>
          <w:sz w:val="28"/>
          <w:szCs w:val="28"/>
        </w:rPr>
        <w:t xml:space="preserve">, ha previsto che, qualora accerti </w:t>
      </w:r>
      <w:r w:rsidR="00ED122F" w:rsidRPr="0080394E">
        <w:rPr>
          <w:sz w:val="28"/>
          <w:szCs w:val="28"/>
        </w:rPr>
        <w:t>che i tentativi di infiltrazione mafiosa sono riconducibili a situazioni di “</w:t>
      </w:r>
      <w:r w:rsidR="00ED122F" w:rsidRPr="00ED24A2">
        <w:rPr>
          <w:i/>
          <w:iCs/>
          <w:sz w:val="28"/>
          <w:szCs w:val="28"/>
        </w:rPr>
        <w:t>agevolazione occasionale</w:t>
      </w:r>
      <w:r w:rsidR="00ED122F" w:rsidRPr="0080394E">
        <w:rPr>
          <w:sz w:val="28"/>
          <w:szCs w:val="28"/>
        </w:rPr>
        <w:t>”</w:t>
      </w:r>
      <w:r w:rsidRPr="0080394E">
        <w:rPr>
          <w:sz w:val="28"/>
          <w:szCs w:val="28"/>
        </w:rPr>
        <w:t xml:space="preserve">, il </w:t>
      </w:r>
      <w:r w:rsidR="0000747F">
        <w:rPr>
          <w:sz w:val="28"/>
          <w:szCs w:val="28"/>
        </w:rPr>
        <w:t>Prefetto</w:t>
      </w:r>
      <w:r w:rsidRPr="0080394E">
        <w:rPr>
          <w:sz w:val="28"/>
          <w:szCs w:val="28"/>
        </w:rPr>
        <w:t>, invece di disporre l’informazione interdittiva, possa/debba semplicemente adottare</w:t>
      </w:r>
      <w:r w:rsidR="00405597" w:rsidRPr="0080394E">
        <w:rPr>
          <w:sz w:val="28"/>
          <w:szCs w:val="28"/>
        </w:rPr>
        <w:t>,</w:t>
      </w:r>
      <w:r w:rsidRPr="0080394E">
        <w:rPr>
          <w:sz w:val="28"/>
          <w:szCs w:val="28"/>
        </w:rPr>
        <w:t xml:space="preserve"> per un periodo variabile dai 6 ai 12 mesi una o più “</w:t>
      </w:r>
      <w:r w:rsidRPr="0080394E">
        <w:rPr>
          <w:i/>
          <w:iCs/>
          <w:sz w:val="28"/>
          <w:szCs w:val="28"/>
        </w:rPr>
        <w:t>misure amministrative di prevenzione collaborativa</w:t>
      </w:r>
      <w:r w:rsidRPr="0080394E">
        <w:rPr>
          <w:sz w:val="28"/>
          <w:szCs w:val="28"/>
        </w:rPr>
        <w:t xml:space="preserve">”, consistenti in misure organizzative, specificamente individuate dalla stessa norma, atte a rimuovere e prevenire le cause dei suddetti rischi di agevolazione. Come rilevato nella richiamata Relazione DIA sul I semestre 2021, si richiede, in estrema sintesi all’impresa di comunicare al gruppo interforze istituito presso la prefettura gli atti di disposizione, gli incarichi professionali conferiti e ricevuti, le forme di finanziamento da parte dei soci o di terzi dei contratti di associazione in partecipazione stipulati, nonché l’utilizzazione di un conto corrente dedicato, anche in via non esclusiva, per gli atti di pagamento e riscossione. </w:t>
      </w:r>
    </w:p>
    <w:p w14:paraId="022D7123" w14:textId="2054D166" w:rsidR="00075D22" w:rsidRPr="0080394E" w:rsidRDefault="00075D22" w:rsidP="00D16F96">
      <w:pPr>
        <w:spacing w:line="360" w:lineRule="auto"/>
        <w:jc w:val="both"/>
        <w:rPr>
          <w:sz w:val="28"/>
          <w:szCs w:val="28"/>
        </w:rPr>
      </w:pPr>
      <w:r w:rsidRPr="0080394E">
        <w:rPr>
          <w:sz w:val="28"/>
          <w:szCs w:val="28"/>
        </w:rPr>
        <w:t xml:space="preserve">In buona sostanza, si tratta di uno strumento che si differenzia </w:t>
      </w:r>
      <w:r w:rsidR="001C2ACC" w:rsidRPr="0080394E">
        <w:rPr>
          <w:sz w:val="28"/>
          <w:szCs w:val="28"/>
        </w:rPr>
        <w:t xml:space="preserve">nei contenuti </w:t>
      </w:r>
      <w:r w:rsidRPr="0080394E">
        <w:rPr>
          <w:sz w:val="28"/>
          <w:szCs w:val="28"/>
        </w:rPr>
        <w:t>dal controllo giudiziario a richiesta (perché non prevede un amministratore giudiziario), assimilandosi, salvo che per l’applicazione della legge 231/2001, a quello previsto dalla lett. a) dell’art. 34-</w:t>
      </w:r>
      <w:r w:rsidRPr="0080394E">
        <w:rPr>
          <w:i/>
          <w:iCs/>
          <w:sz w:val="28"/>
          <w:szCs w:val="28"/>
        </w:rPr>
        <w:t>bis</w:t>
      </w:r>
      <w:r w:rsidRPr="0080394E">
        <w:rPr>
          <w:sz w:val="28"/>
          <w:szCs w:val="28"/>
        </w:rPr>
        <w:t xml:space="preserve"> per il controllo giudiziario </w:t>
      </w:r>
      <w:r w:rsidR="00E26F79">
        <w:rPr>
          <w:sz w:val="28"/>
          <w:szCs w:val="28"/>
        </w:rPr>
        <w:t>ordinario</w:t>
      </w:r>
      <w:r w:rsidRPr="0080394E">
        <w:rPr>
          <w:sz w:val="28"/>
          <w:szCs w:val="28"/>
        </w:rPr>
        <w:t xml:space="preserve">. Del controllo giudiziario </w:t>
      </w:r>
      <w:r w:rsidR="007A645E" w:rsidRPr="0080394E">
        <w:rPr>
          <w:sz w:val="28"/>
          <w:szCs w:val="28"/>
        </w:rPr>
        <w:t>-</w:t>
      </w:r>
      <w:r w:rsidR="00E26F79">
        <w:rPr>
          <w:sz w:val="28"/>
          <w:szCs w:val="28"/>
        </w:rPr>
        <w:t xml:space="preserve">ordinario </w:t>
      </w:r>
      <w:r w:rsidR="007A645E" w:rsidRPr="0080394E">
        <w:rPr>
          <w:sz w:val="28"/>
          <w:szCs w:val="28"/>
        </w:rPr>
        <w:t xml:space="preserve">o volontario- il nuovo “controllo amministrativo” </w:t>
      </w:r>
      <w:r w:rsidRPr="0080394E">
        <w:rPr>
          <w:sz w:val="28"/>
          <w:szCs w:val="28"/>
        </w:rPr>
        <w:t xml:space="preserve">condivide </w:t>
      </w:r>
      <w:r w:rsidR="00405597" w:rsidRPr="0080394E">
        <w:rPr>
          <w:sz w:val="28"/>
          <w:szCs w:val="28"/>
        </w:rPr>
        <w:t>comunque</w:t>
      </w:r>
      <w:r w:rsidR="001C2ACC" w:rsidRPr="0080394E">
        <w:rPr>
          <w:sz w:val="28"/>
          <w:szCs w:val="28"/>
        </w:rPr>
        <w:t xml:space="preserve"> i presupposti e</w:t>
      </w:r>
      <w:r w:rsidR="00405597" w:rsidRPr="0080394E">
        <w:rPr>
          <w:sz w:val="28"/>
          <w:szCs w:val="28"/>
        </w:rPr>
        <w:t xml:space="preserve"> </w:t>
      </w:r>
      <w:r w:rsidRPr="0080394E">
        <w:rPr>
          <w:sz w:val="28"/>
          <w:szCs w:val="28"/>
        </w:rPr>
        <w:t xml:space="preserve">la </w:t>
      </w:r>
      <w:r w:rsidRPr="0080394E">
        <w:rPr>
          <w:i/>
          <w:iCs/>
          <w:sz w:val="28"/>
          <w:szCs w:val="28"/>
        </w:rPr>
        <w:t>ratio</w:t>
      </w:r>
      <w:r w:rsidRPr="0080394E">
        <w:rPr>
          <w:sz w:val="28"/>
          <w:szCs w:val="28"/>
        </w:rPr>
        <w:t xml:space="preserve"> di evitare di travolgere le imprese attinte da contatti mafiosi meramente marginali, </w:t>
      </w:r>
      <w:r w:rsidR="00405597" w:rsidRPr="0080394E">
        <w:rPr>
          <w:sz w:val="28"/>
          <w:szCs w:val="28"/>
        </w:rPr>
        <w:t xml:space="preserve">talvolta </w:t>
      </w:r>
      <w:r w:rsidRPr="0080394E">
        <w:rPr>
          <w:sz w:val="28"/>
          <w:szCs w:val="28"/>
        </w:rPr>
        <w:t>inevitabili in alcuni territori</w:t>
      </w:r>
      <w:r w:rsidR="00E26F79">
        <w:rPr>
          <w:rStyle w:val="Rimandonotaapidipagina"/>
          <w:sz w:val="28"/>
          <w:szCs w:val="28"/>
        </w:rPr>
        <w:footnoteReference w:id="21"/>
      </w:r>
      <w:r w:rsidRPr="0080394E">
        <w:rPr>
          <w:sz w:val="28"/>
          <w:szCs w:val="28"/>
        </w:rPr>
        <w:t xml:space="preserve">. In coerenza con i </w:t>
      </w:r>
      <w:r w:rsidR="001C2ACC" w:rsidRPr="0080394E">
        <w:rPr>
          <w:sz w:val="28"/>
          <w:szCs w:val="28"/>
        </w:rPr>
        <w:t xml:space="preserve">già richiamati </w:t>
      </w:r>
      <w:r w:rsidRPr="0080394E">
        <w:rPr>
          <w:sz w:val="28"/>
          <w:szCs w:val="28"/>
        </w:rPr>
        <w:t xml:space="preserve">principi di solidarietà e di buon andamento della pubblica Amministrazione, di cui è corollario il principio di leale collaborazione inserito dal dl 76/20 nell’art. 1 della l. n. 241/90, le nuove misure di prevenzione collaborativa </w:t>
      </w:r>
      <w:r w:rsidR="00B95839" w:rsidRPr="0080394E">
        <w:rPr>
          <w:sz w:val="28"/>
          <w:szCs w:val="28"/>
        </w:rPr>
        <w:t xml:space="preserve">consentono di anticipare nella fase amministrativa, a fronte del carattere meramente occasionale dei tentativi di infiltrazione, le misure di </w:t>
      </w:r>
      <w:r w:rsidR="00B95839" w:rsidRPr="0080394E">
        <w:rPr>
          <w:i/>
          <w:iCs/>
          <w:sz w:val="28"/>
          <w:szCs w:val="28"/>
        </w:rPr>
        <w:t xml:space="preserve">self </w:t>
      </w:r>
      <w:proofErr w:type="spellStart"/>
      <w:r w:rsidR="00B95839" w:rsidRPr="0080394E">
        <w:rPr>
          <w:i/>
          <w:iCs/>
          <w:sz w:val="28"/>
          <w:szCs w:val="28"/>
        </w:rPr>
        <w:t>cleaning</w:t>
      </w:r>
      <w:proofErr w:type="spellEnd"/>
      <w:r w:rsidR="00B95839" w:rsidRPr="0080394E">
        <w:rPr>
          <w:sz w:val="28"/>
          <w:szCs w:val="28"/>
        </w:rPr>
        <w:t xml:space="preserve"> previste per il controllo giudiziario</w:t>
      </w:r>
      <w:r w:rsidR="00CC31C3" w:rsidRPr="0080394E">
        <w:rPr>
          <w:sz w:val="28"/>
          <w:szCs w:val="28"/>
        </w:rPr>
        <w:t>. Si</w:t>
      </w:r>
      <w:r w:rsidR="00B95839" w:rsidRPr="0080394E">
        <w:rPr>
          <w:sz w:val="28"/>
          <w:szCs w:val="28"/>
        </w:rPr>
        <w:t xml:space="preserve"> apre</w:t>
      </w:r>
      <w:r w:rsidR="00CC31C3" w:rsidRPr="0080394E">
        <w:rPr>
          <w:sz w:val="28"/>
          <w:szCs w:val="28"/>
        </w:rPr>
        <w:t xml:space="preserve"> </w:t>
      </w:r>
      <w:r w:rsidR="006E7088">
        <w:rPr>
          <w:sz w:val="28"/>
          <w:szCs w:val="28"/>
        </w:rPr>
        <w:t xml:space="preserve">così utilmente </w:t>
      </w:r>
      <w:r w:rsidRPr="0080394E">
        <w:rPr>
          <w:sz w:val="28"/>
          <w:szCs w:val="28"/>
        </w:rPr>
        <w:t>la strada a una cooperazione “</w:t>
      </w:r>
      <w:r w:rsidRPr="0080394E">
        <w:rPr>
          <w:i/>
          <w:iCs/>
          <w:sz w:val="28"/>
          <w:szCs w:val="28"/>
        </w:rPr>
        <w:t xml:space="preserve">tra impresa </w:t>
      </w:r>
      <w:r w:rsidRPr="0080394E">
        <w:rPr>
          <w:i/>
          <w:iCs/>
          <w:sz w:val="28"/>
          <w:szCs w:val="28"/>
        </w:rPr>
        <w:lastRenderedPageBreak/>
        <w:t xml:space="preserve">e autorità amministrativa, consentendo a quest’ultima di entrare in azienda e verificare la presenza o meno dei pericoli di infiltrazione mafiosa, senza però esporla al rischio di una paralisi e salvaguardando il </w:t>
      </w:r>
      <w:proofErr w:type="spellStart"/>
      <w:r w:rsidRPr="0080394E">
        <w:rPr>
          <w:sz w:val="28"/>
          <w:szCs w:val="28"/>
        </w:rPr>
        <w:t>going</w:t>
      </w:r>
      <w:proofErr w:type="spellEnd"/>
      <w:r w:rsidRPr="0080394E">
        <w:rPr>
          <w:sz w:val="28"/>
          <w:szCs w:val="28"/>
        </w:rPr>
        <w:t xml:space="preserve"> </w:t>
      </w:r>
      <w:proofErr w:type="spellStart"/>
      <w:r w:rsidRPr="0080394E">
        <w:rPr>
          <w:sz w:val="28"/>
          <w:szCs w:val="28"/>
        </w:rPr>
        <w:t>concern</w:t>
      </w:r>
      <w:proofErr w:type="spellEnd"/>
      <w:r w:rsidRPr="0080394E">
        <w:rPr>
          <w:i/>
          <w:iCs/>
          <w:sz w:val="28"/>
          <w:szCs w:val="28"/>
        </w:rPr>
        <w:t xml:space="preserve"> aziendale e i livelli occupazionali</w:t>
      </w:r>
      <w:r w:rsidRPr="0080394E">
        <w:rPr>
          <w:sz w:val="28"/>
          <w:szCs w:val="28"/>
        </w:rPr>
        <w:t>”</w:t>
      </w:r>
      <w:r w:rsidR="00E26F79">
        <w:rPr>
          <w:rStyle w:val="Rimandonotaapidipagina"/>
          <w:sz w:val="28"/>
          <w:szCs w:val="28"/>
        </w:rPr>
        <w:footnoteReference w:id="22"/>
      </w:r>
      <w:r w:rsidRPr="0080394E">
        <w:rPr>
          <w:sz w:val="28"/>
          <w:szCs w:val="28"/>
        </w:rPr>
        <w:t>.</w:t>
      </w:r>
    </w:p>
    <w:p w14:paraId="2AF7253A" w14:textId="6853D016" w:rsidR="00884ACB" w:rsidRPr="0080394E" w:rsidRDefault="00884ACB" w:rsidP="00D16F96">
      <w:pPr>
        <w:spacing w:line="360" w:lineRule="auto"/>
        <w:jc w:val="both"/>
        <w:rPr>
          <w:sz w:val="28"/>
          <w:szCs w:val="28"/>
        </w:rPr>
      </w:pPr>
      <w:r w:rsidRPr="0080394E">
        <w:rPr>
          <w:sz w:val="28"/>
          <w:szCs w:val="28"/>
        </w:rPr>
        <w:t>L’inserimento della novella nel decreto</w:t>
      </w:r>
      <w:r w:rsidR="006E7088">
        <w:rPr>
          <w:sz w:val="28"/>
          <w:szCs w:val="28"/>
        </w:rPr>
        <w:t>-</w:t>
      </w:r>
      <w:r w:rsidRPr="0080394E">
        <w:rPr>
          <w:sz w:val="28"/>
          <w:szCs w:val="28"/>
        </w:rPr>
        <w:t xml:space="preserve">legge sull’attuazione del PNRR rileva peraltro che le nuove misure di collaborazione preventiva non perseguono soltanto l’obiettivo privatistico di permettere all’impresa attinta dall’interdittiva di proseguire la propria attività imprenditoriale, ma anche un </w:t>
      </w:r>
      <w:r w:rsidR="006E7088">
        <w:rPr>
          <w:sz w:val="28"/>
          <w:szCs w:val="28"/>
        </w:rPr>
        <w:t xml:space="preserve">importante </w:t>
      </w:r>
      <w:r w:rsidRPr="0080394E">
        <w:rPr>
          <w:sz w:val="28"/>
          <w:szCs w:val="28"/>
        </w:rPr>
        <w:t>obiettivo pubblicistico, volto a</w:t>
      </w:r>
      <w:r w:rsidR="008568C1" w:rsidRPr="0080394E">
        <w:rPr>
          <w:sz w:val="28"/>
          <w:szCs w:val="28"/>
        </w:rPr>
        <w:t>d arginare</w:t>
      </w:r>
      <w:r w:rsidRPr="0080394E">
        <w:rPr>
          <w:sz w:val="28"/>
          <w:szCs w:val="28"/>
        </w:rPr>
        <w:t xml:space="preserve"> </w:t>
      </w:r>
      <w:r w:rsidR="005C1BA5">
        <w:rPr>
          <w:sz w:val="28"/>
          <w:szCs w:val="28"/>
        </w:rPr>
        <w:t>i ritardi ne</w:t>
      </w:r>
      <w:r w:rsidR="008568C1" w:rsidRPr="0080394E">
        <w:rPr>
          <w:sz w:val="28"/>
          <w:szCs w:val="28"/>
        </w:rPr>
        <w:t>ll</w:t>
      </w:r>
      <w:r w:rsidR="006E7088">
        <w:rPr>
          <w:sz w:val="28"/>
          <w:szCs w:val="28"/>
        </w:rPr>
        <w:t xml:space="preserve">’attuazione delle politiche economiche nazionali </w:t>
      </w:r>
      <w:r w:rsidR="005C1BA5">
        <w:rPr>
          <w:sz w:val="28"/>
          <w:szCs w:val="28"/>
        </w:rPr>
        <w:t xml:space="preserve">(tra cui la </w:t>
      </w:r>
      <w:r w:rsidR="008568C1" w:rsidRPr="0080394E">
        <w:rPr>
          <w:sz w:val="28"/>
          <w:szCs w:val="28"/>
        </w:rPr>
        <w:t xml:space="preserve"> realizzazione </w:t>
      </w:r>
      <w:r w:rsidRPr="0080394E">
        <w:rPr>
          <w:sz w:val="28"/>
          <w:szCs w:val="28"/>
        </w:rPr>
        <w:t>delle opere pubbliche di rilevanza nazionale</w:t>
      </w:r>
      <w:r w:rsidR="005C1BA5">
        <w:rPr>
          <w:sz w:val="28"/>
          <w:szCs w:val="28"/>
        </w:rPr>
        <w:t xml:space="preserve">, la ripresa delle attività edilizie e del turismo, ecc.) </w:t>
      </w:r>
      <w:r w:rsidRPr="0080394E">
        <w:rPr>
          <w:sz w:val="28"/>
          <w:szCs w:val="28"/>
        </w:rPr>
        <w:t>deriv</w:t>
      </w:r>
      <w:r w:rsidR="008568C1" w:rsidRPr="0080394E">
        <w:rPr>
          <w:sz w:val="28"/>
          <w:szCs w:val="28"/>
        </w:rPr>
        <w:t xml:space="preserve">anti dai </w:t>
      </w:r>
      <w:r w:rsidRPr="0080394E">
        <w:rPr>
          <w:sz w:val="28"/>
          <w:szCs w:val="28"/>
        </w:rPr>
        <w:t>provvediment</w:t>
      </w:r>
      <w:r w:rsidR="008568C1" w:rsidRPr="0080394E">
        <w:rPr>
          <w:sz w:val="28"/>
          <w:szCs w:val="28"/>
        </w:rPr>
        <w:t>i</w:t>
      </w:r>
      <w:r w:rsidRPr="0080394E">
        <w:rPr>
          <w:sz w:val="28"/>
          <w:szCs w:val="28"/>
        </w:rPr>
        <w:t xml:space="preserve"> interdittiv</w:t>
      </w:r>
      <w:r w:rsidR="008568C1" w:rsidRPr="0080394E">
        <w:rPr>
          <w:sz w:val="28"/>
          <w:szCs w:val="28"/>
        </w:rPr>
        <w:t>i</w:t>
      </w:r>
      <w:r w:rsidR="003D1507">
        <w:rPr>
          <w:rStyle w:val="Rimandonotaapidipagina"/>
          <w:sz w:val="28"/>
          <w:szCs w:val="28"/>
        </w:rPr>
        <w:footnoteReference w:id="23"/>
      </w:r>
      <w:r w:rsidR="00EC6702">
        <w:rPr>
          <w:sz w:val="28"/>
          <w:szCs w:val="28"/>
        </w:rPr>
        <w:t xml:space="preserve">, consentendo direttamente ai prefetti di sostituire, laddove possibile, le misure di prevenzione inibitoria </w:t>
      </w:r>
      <w:r w:rsidR="001239DD">
        <w:rPr>
          <w:sz w:val="28"/>
          <w:szCs w:val="28"/>
        </w:rPr>
        <w:t xml:space="preserve">con strumenti finalizzati a “recuperare” le imprese a rischio, indirizzandole verso una economia sana. </w:t>
      </w:r>
    </w:p>
    <w:p w14:paraId="6BA94073" w14:textId="1B71D987" w:rsidR="00E621AC" w:rsidRPr="00D074A1" w:rsidRDefault="00405597" w:rsidP="00D16F96">
      <w:pPr>
        <w:spacing w:line="360" w:lineRule="auto"/>
        <w:jc w:val="both"/>
        <w:rPr>
          <w:sz w:val="28"/>
          <w:szCs w:val="28"/>
        </w:rPr>
      </w:pPr>
      <w:r w:rsidRPr="0080394E">
        <w:rPr>
          <w:sz w:val="28"/>
          <w:szCs w:val="28"/>
        </w:rPr>
        <w:t xml:space="preserve">Il legislatore </w:t>
      </w:r>
      <w:r w:rsidRPr="00AA4826">
        <w:rPr>
          <w:sz w:val="28"/>
          <w:szCs w:val="28"/>
        </w:rPr>
        <w:t>ha previsto opportune forme di coordinamento con le misure di prevenzione penale. Con particolare riferimento al controllo giudiziario ordinario, che</w:t>
      </w:r>
      <w:r w:rsidR="001C2ACC" w:rsidRPr="00AA4826">
        <w:rPr>
          <w:sz w:val="28"/>
          <w:szCs w:val="28"/>
        </w:rPr>
        <w:t xml:space="preserve"> </w:t>
      </w:r>
      <w:r w:rsidRPr="00AA4826">
        <w:rPr>
          <w:sz w:val="28"/>
          <w:szCs w:val="28"/>
        </w:rPr>
        <w:t>può comunque sempre intervenire, l’art. 34-</w:t>
      </w:r>
      <w:r w:rsidRPr="00AA4826">
        <w:rPr>
          <w:i/>
          <w:iCs/>
          <w:sz w:val="28"/>
          <w:szCs w:val="28"/>
        </w:rPr>
        <w:t>bis</w:t>
      </w:r>
      <w:r w:rsidRPr="00AA4826">
        <w:rPr>
          <w:sz w:val="28"/>
          <w:szCs w:val="28"/>
        </w:rPr>
        <w:t xml:space="preserve">, co 1, nel testo novellato dalla riforma, precisa infatti che il </w:t>
      </w:r>
      <w:r w:rsidR="0000747F" w:rsidRPr="00AA4826">
        <w:rPr>
          <w:sz w:val="28"/>
          <w:szCs w:val="28"/>
        </w:rPr>
        <w:t>Tribunale</w:t>
      </w:r>
      <w:r w:rsidRPr="00AA4826">
        <w:rPr>
          <w:sz w:val="28"/>
          <w:szCs w:val="28"/>
        </w:rPr>
        <w:t xml:space="preserve"> della prevenzione “</w:t>
      </w:r>
      <w:r w:rsidRPr="00AA4826">
        <w:rPr>
          <w:i/>
          <w:iCs/>
          <w:sz w:val="28"/>
          <w:szCs w:val="28"/>
        </w:rPr>
        <w:t>valuta altresì se risultino applicate le misure di cui all’articolo 94-bis e, in tal caso, se … adottare, in loro sostituzione, il provvedimento di cui al comma 2, lettera b)</w:t>
      </w:r>
      <w:r w:rsidRPr="00AA4826">
        <w:rPr>
          <w:sz w:val="28"/>
          <w:szCs w:val="28"/>
        </w:rPr>
        <w:t xml:space="preserve">”, consistente, come ricordato, nel </w:t>
      </w:r>
      <w:r w:rsidR="00855A42" w:rsidRPr="00AA4826">
        <w:rPr>
          <w:sz w:val="28"/>
          <w:szCs w:val="28"/>
        </w:rPr>
        <w:t>monitoraggio</w:t>
      </w:r>
      <w:r w:rsidR="00855A42" w:rsidRPr="0080394E">
        <w:rPr>
          <w:sz w:val="28"/>
          <w:szCs w:val="28"/>
        </w:rPr>
        <w:t xml:space="preserve"> e </w:t>
      </w:r>
      <w:r w:rsidRPr="0080394E">
        <w:rPr>
          <w:sz w:val="28"/>
          <w:szCs w:val="28"/>
        </w:rPr>
        <w:t xml:space="preserve">tutoraggio dell’amministratore giudiziario, tenendo eventualmente conto del periodo di esecuzione di tali misure ai fini della durata del controllo giudiziario. A conferma del rapporto di necessaria interrelazione con le misure di prevenzione penali, la novella dispone poi, significativamente, che, prima </w:t>
      </w:r>
      <w:r w:rsidRPr="0080394E">
        <w:rPr>
          <w:sz w:val="28"/>
          <w:szCs w:val="28"/>
        </w:rPr>
        <w:lastRenderedPageBreak/>
        <w:t xml:space="preserve">dell’adozione delle nuove misure collaborative, il </w:t>
      </w:r>
      <w:r w:rsidR="0000747F">
        <w:rPr>
          <w:sz w:val="28"/>
          <w:szCs w:val="28"/>
        </w:rPr>
        <w:t>Prefetto</w:t>
      </w:r>
      <w:r w:rsidRPr="0080394E">
        <w:rPr>
          <w:sz w:val="28"/>
          <w:szCs w:val="28"/>
        </w:rPr>
        <w:t xml:space="preserve"> dovrà verificare l’eventuale sottoposizione del</w:t>
      </w:r>
      <w:r w:rsidRPr="00D074A1">
        <w:rPr>
          <w:sz w:val="28"/>
          <w:szCs w:val="28"/>
        </w:rPr>
        <w:t xml:space="preserve"> destinatario, nel quinquennio precedente, a pregressi provvedimenti di amministrazione giudiziaria o di controllo giudiziario ai sensi degli artt. 34 e 34-</w:t>
      </w:r>
      <w:r w:rsidRPr="00D074A1">
        <w:rPr>
          <w:i/>
          <w:iCs/>
          <w:sz w:val="28"/>
          <w:szCs w:val="28"/>
        </w:rPr>
        <w:t>bis</w:t>
      </w:r>
      <w:r w:rsidRPr="00D074A1">
        <w:rPr>
          <w:sz w:val="28"/>
          <w:szCs w:val="28"/>
        </w:rPr>
        <w:t xml:space="preserve"> del codice. </w:t>
      </w:r>
      <w:r w:rsidR="00DC6C50" w:rsidRPr="00D074A1">
        <w:rPr>
          <w:sz w:val="28"/>
          <w:szCs w:val="28"/>
        </w:rPr>
        <w:t xml:space="preserve">Inoltre, </w:t>
      </w:r>
      <w:r w:rsidR="00E76DF2" w:rsidRPr="00D074A1">
        <w:rPr>
          <w:sz w:val="28"/>
          <w:szCs w:val="28"/>
        </w:rPr>
        <w:t xml:space="preserve">riscrivendo il co 7 dell’art. 34-bis, </w:t>
      </w:r>
      <w:r w:rsidR="00204187" w:rsidRPr="00D074A1">
        <w:rPr>
          <w:sz w:val="28"/>
          <w:szCs w:val="28"/>
        </w:rPr>
        <w:t xml:space="preserve">l’art. 47 del </w:t>
      </w:r>
      <w:proofErr w:type="spellStart"/>
      <w:r w:rsidR="00204187" w:rsidRPr="00D074A1">
        <w:rPr>
          <w:sz w:val="28"/>
          <w:szCs w:val="28"/>
        </w:rPr>
        <w:t>d.l.</w:t>
      </w:r>
      <w:proofErr w:type="spellEnd"/>
      <w:r w:rsidR="00204187" w:rsidRPr="00D074A1">
        <w:rPr>
          <w:sz w:val="28"/>
          <w:szCs w:val="28"/>
        </w:rPr>
        <w:t xml:space="preserve"> 152/21 </w:t>
      </w:r>
      <w:r w:rsidR="00E76DF2" w:rsidRPr="00D074A1">
        <w:rPr>
          <w:sz w:val="28"/>
          <w:szCs w:val="28"/>
        </w:rPr>
        <w:t>specifica che l’applicazione di tali misure di prevenzione penale sospend</w:t>
      </w:r>
      <w:r w:rsidR="007E5C0B" w:rsidRPr="00D074A1">
        <w:rPr>
          <w:sz w:val="28"/>
          <w:szCs w:val="28"/>
        </w:rPr>
        <w:t>e</w:t>
      </w:r>
      <w:r w:rsidR="00970E06" w:rsidRPr="00D074A1">
        <w:rPr>
          <w:sz w:val="28"/>
          <w:szCs w:val="28"/>
        </w:rPr>
        <w:t>, oltre che gli effetti dell’interdittiva,</w:t>
      </w:r>
      <w:r w:rsidR="00E76DF2" w:rsidRPr="00D074A1">
        <w:rPr>
          <w:sz w:val="28"/>
          <w:szCs w:val="28"/>
        </w:rPr>
        <w:t xml:space="preserve"> anche i termini </w:t>
      </w:r>
      <w:r w:rsidR="007E5C0B" w:rsidRPr="00D074A1">
        <w:rPr>
          <w:sz w:val="28"/>
          <w:szCs w:val="28"/>
        </w:rPr>
        <w:t>indicati dall’art. 92, co 2, per l’effettuazione delle verifiche prefettizie e il conseguente rilascio del</w:t>
      </w:r>
      <w:r w:rsidR="00E76DF2" w:rsidRPr="00D074A1">
        <w:rPr>
          <w:sz w:val="28"/>
          <w:szCs w:val="28"/>
        </w:rPr>
        <w:t>l’informazione antimafia</w:t>
      </w:r>
      <w:r w:rsidR="00970E06" w:rsidRPr="00D074A1">
        <w:rPr>
          <w:sz w:val="28"/>
          <w:szCs w:val="28"/>
        </w:rPr>
        <w:t>.</w:t>
      </w:r>
      <w:r w:rsidR="00204187" w:rsidRPr="00D074A1">
        <w:rPr>
          <w:sz w:val="28"/>
          <w:szCs w:val="28"/>
        </w:rPr>
        <w:t xml:space="preserve"> </w:t>
      </w:r>
    </w:p>
    <w:p w14:paraId="1C5566A1" w14:textId="19104A08" w:rsidR="0055678D" w:rsidRPr="00D074A1" w:rsidRDefault="00E621AC" w:rsidP="00D16F96">
      <w:pPr>
        <w:spacing w:line="360" w:lineRule="auto"/>
        <w:jc w:val="both"/>
        <w:rPr>
          <w:sz w:val="28"/>
          <w:szCs w:val="28"/>
        </w:rPr>
      </w:pPr>
      <w:r w:rsidRPr="00D074A1">
        <w:rPr>
          <w:sz w:val="28"/>
          <w:szCs w:val="28"/>
        </w:rPr>
        <w:t>Accogliendo i suggerimenti della Commissione parlamentare antimafia, l</w:t>
      </w:r>
      <w:r w:rsidR="00204187" w:rsidRPr="00D074A1">
        <w:rPr>
          <w:sz w:val="28"/>
          <w:szCs w:val="28"/>
        </w:rPr>
        <w:t xml:space="preserve">o stesso articolo, peraltro, </w:t>
      </w:r>
      <w:r w:rsidR="008D5961" w:rsidRPr="00D074A1">
        <w:rPr>
          <w:sz w:val="28"/>
          <w:szCs w:val="28"/>
        </w:rPr>
        <w:t xml:space="preserve">inserisce il </w:t>
      </w:r>
      <w:r w:rsidR="0000747F" w:rsidRPr="00D074A1">
        <w:rPr>
          <w:sz w:val="28"/>
          <w:szCs w:val="28"/>
        </w:rPr>
        <w:t>Prefetto</w:t>
      </w:r>
      <w:r w:rsidR="008D5961" w:rsidRPr="00D074A1">
        <w:rPr>
          <w:sz w:val="28"/>
          <w:szCs w:val="28"/>
        </w:rPr>
        <w:t xml:space="preserve"> che ha emesso l’interdittiva tra i </w:t>
      </w:r>
      <w:r w:rsidR="00405597" w:rsidRPr="00D074A1">
        <w:rPr>
          <w:sz w:val="28"/>
          <w:szCs w:val="28"/>
        </w:rPr>
        <w:t xml:space="preserve">soggetti che devono essere sentiti dal </w:t>
      </w:r>
      <w:r w:rsidR="0000747F" w:rsidRPr="00D074A1">
        <w:rPr>
          <w:sz w:val="28"/>
          <w:szCs w:val="28"/>
        </w:rPr>
        <w:t>Tribunale</w:t>
      </w:r>
      <w:r w:rsidR="00405597" w:rsidRPr="00D074A1">
        <w:rPr>
          <w:sz w:val="28"/>
          <w:szCs w:val="28"/>
        </w:rPr>
        <w:t xml:space="preserve"> al</w:t>
      </w:r>
      <w:r w:rsidR="00970E06" w:rsidRPr="00D074A1">
        <w:rPr>
          <w:sz w:val="28"/>
          <w:szCs w:val="28"/>
        </w:rPr>
        <w:t xml:space="preserve"> </w:t>
      </w:r>
      <w:r w:rsidR="00405597" w:rsidRPr="00D074A1">
        <w:rPr>
          <w:sz w:val="28"/>
          <w:szCs w:val="28"/>
        </w:rPr>
        <w:t>fine di decidere se concedere all’impresa il controllo giudiziario</w:t>
      </w:r>
      <w:r w:rsidR="008D5961" w:rsidRPr="00D074A1">
        <w:rPr>
          <w:sz w:val="28"/>
          <w:szCs w:val="28"/>
        </w:rPr>
        <w:t xml:space="preserve"> su richiesta</w:t>
      </w:r>
      <w:r w:rsidR="00970E06" w:rsidRPr="00D074A1">
        <w:rPr>
          <w:sz w:val="28"/>
          <w:szCs w:val="28"/>
        </w:rPr>
        <w:t>.</w:t>
      </w:r>
      <w:r w:rsidR="00125DE2" w:rsidRPr="00D074A1">
        <w:rPr>
          <w:sz w:val="28"/>
          <w:szCs w:val="28"/>
        </w:rPr>
        <w:t xml:space="preserve"> Il legislatore non ha invece accolto l’altra proposta della Commissione di estendere al </w:t>
      </w:r>
      <w:r w:rsidR="0000747F" w:rsidRPr="00D074A1">
        <w:rPr>
          <w:sz w:val="28"/>
          <w:szCs w:val="28"/>
        </w:rPr>
        <w:t>Prefetto</w:t>
      </w:r>
      <w:r w:rsidR="00125DE2" w:rsidRPr="00D074A1">
        <w:rPr>
          <w:sz w:val="28"/>
          <w:szCs w:val="28"/>
        </w:rPr>
        <w:t xml:space="preserve"> la facoltà di impugnare la decisione penale.</w:t>
      </w:r>
    </w:p>
    <w:p w14:paraId="203A7366" w14:textId="1E9B0822" w:rsidR="0055678D" w:rsidRPr="00D074A1" w:rsidRDefault="00884ACB" w:rsidP="00D16F96">
      <w:pPr>
        <w:spacing w:line="360" w:lineRule="auto"/>
        <w:jc w:val="both"/>
        <w:rPr>
          <w:sz w:val="28"/>
          <w:szCs w:val="28"/>
        </w:rPr>
      </w:pPr>
      <w:r w:rsidRPr="00D074A1">
        <w:rPr>
          <w:sz w:val="28"/>
          <w:szCs w:val="28"/>
        </w:rPr>
        <w:t xml:space="preserve">È comunque indubbio che il </w:t>
      </w:r>
      <w:r w:rsidR="00327F75" w:rsidRPr="00D074A1">
        <w:rPr>
          <w:sz w:val="28"/>
          <w:szCs w:val="28"/>
        </w:rPr>
        <w:t xml:space="preserve">sistema </w:t>
      </w:r>
      <w:r w:rsidR="000E309A" w:rsidRPr="00D074A1">
        <w:rPr>
          <w:sz w:val="28"/>
          <w:szCs w:val="28"/>
        </w:rPr>
        <w:t xml:space="preserve">assegna </w:t>
      </w:r>
      <w:r w:rsidR="00D8321A" w:rsidRPr="00D074A1">
        <w:rPr>
          <w:sz w:val="28"/>
          <w:szCs w:val="28"/>
        </w:rPr>
        <w:t xml:space="preserve">un ruolo centrale al </w:t>
      </w:r>
      <w:r w:rsidR="0000747F" w:rsidRPr="00D074A1">
        <w:rPr>
          <w:sz w:val="28"/>
          <w:szCs w:val="28"/>
        </w:rPr>
        <w:t>Prefetto</w:t>
      </w:r>
      <w:r w:rsidR="002C0992" w:rsidRPr="00D074A1">
        <w:rPr>
          <w:sz w:val="28"/>
          <w:szCs w:val="28"/>
        </w:rPr>
        <w:t xml:space="preserve"> </w:t>
      </w:r>
      <w:r w:rsidR="00D8321A" w:rsidRPr="00D074A1">
        <w:rPr>
          <w:sz w:val="28"/>
          <w:szCs w:val="28"/>
        </w:rPr>
        <w:t>e a</w:t>
      </w:r>
      <w:r w:rsidR="002C0992" w:rsidRPr="00D074A1">
        <w:rPr>
          <w:sz w:val="28"/>
          <w:szCs w:val="28"/>
        </w:rPr>
        <w:t xml:space="preserve">l gruppo interforze istituito </w:t>
      </w:r>
      <w:r w:rsidR="00D8321A" w:rsidRPr="00D074A1">
        <w:rPr>
          <w:sz w:val="28"/>
          <w:szCs w:val="28"/>
        </w:rPr>
        <w:t xml:space="preserve">a suo supporto </w:t>
      </w:r>
      <w:r w:rsidR="002C0992" w:rsidRPr="00D074A1">
        <w:rPr>
          <w:sz w:val="28"/>
          <w:szCs w:val="28"/>
        </w:rPr>
        <w:t>presso la prefettura.</w:t>
      </w:r>
      <w:r w:rsidR="00BB19E2" w:rsidRPr="00D074A1">
        <w:rPr>
          <w:sz w:val="28"/>
          <w:szCs w:val="28"/>
        </w:rPr>
        <w:t xml:space="preserve"> </w:t>
      </w:r>
      <w:r w:rsidR="00246ED5" w:rsidRPr="00D074A1">
        <w:rPr>
          <w:sz w:val="28"/>
          <w:szCs w:val="28"/>
        </w:rPr>
        <w:t xml:space="preserve">Il </w:t>
      </w:r>
      <w:r w:rsidR="0000747F" w:rsidRPr="00D074A1">
        <w:rPr>
          <w:sz w:val="28"/>
          <w:szCs w:val="28"/>
        </w:rPr>
        <w:t>Prefetto</w:t>
      </w:r>
      <w:r w:rsidR="00BB19E2" w:rsidRPr="00D074A1">
        <w:rPr>
          <w:sz w:val="28"/>
          <w:szCs w:val="28"/>
        </w:rPr>
        <w:t xml:space="preserve"> p</w:t>
      </w:r>
      <w:r w:rsidR="00246ED5" w:rsidRPr="00D074A1">
        <w:rPr>
          <w:sz w:val="28"/>
          <w:szCs w:val="28"/>
        </w:rPr>
        <w:t xml:space="preserve">uò, peraltro, </w:t>
      </w:r>
      <w:r w:rsidR="00BB19E2" w:rsidRPr="00D074A1">
        <w:rPr>
          <w:sz w:val="28"/>
          <w:szCs w:val="28"/>
        </w:rPr>
        <w:t>nominare anche uno o più esperti, in numero comunque non superiore a</w:t>
      </w:r>
      <w:r w:rsidR="00AF43D2" w:rsidRPr="00D074A1">
        <w:rPr>
          <w:sz w:val="28"/>
          <w:szCs w:val="28"/>
        </w:rPr>
        <w:t xml:space="preserve"> </w:t>
      </w:r>
      <w:r w:rsidR="00BB19E2" w:rsidRPr="00D074A1">
        <w:rPr>
          <w:sz w:val="28"/>
          <w:szCs w:val="28"/>
        </w:rPr>
        <w:t xml:space="preserve">tre, con funzioni di supporto finalizzate all’attuazione delle </w:t>
      </w:r>
      <w:r w:rsidR="00246ED5" w:rsidRPr="00D074A1">
        <w:rPr>
          <w:sz w:val="28"/>
          <w:szCs w:val="28"/>
        </w:rPr>
        <w:t xml:space="preserve">nuove </w:t>
      </w:r>
      <w:r w:rsidR="00BB19E2" w:rsidRPr="00D074A1">
        <w:rPr>
          <w:sz w:val="28"/>
          <w:szCs w:val="28"/>
        </w:rPr>
        <w:t>misure (art. 94</w:t>
      </w:r>
      <w:r w:rsidR="007A1639" w:rsidRPr="00D074A1">
        <w:rPr>
          <w:sz w:val="28"/>
          <w:szCs w:val="28"/>
        </w:rPr>
        <w:t>-</w:t>
      </w:r>
      <w:r w:rsidR="00BB19E2" w:rsidRPr="00D074A1">
        <w:rPr>
          <w:i/>
          <w:iCs/>
          <w:sz w:val="28"/>
          <w:szCs w:val="28"/>
        </w:rPr>
        <w:t>bis</w:t>
      </w:r>
      <w:r w:rsidR="00BB19E2" w:rsidRPr="00D074A1">
        <w:rPr>
          <w:sz w:val="28"/>
          <w:szCs w:val="28"/>
        </w:rPr>
        <w:t xml:space="preserve"> co. 2).</w:t>
      </w:r>
      <w:r w:rsidR="0055678D" w:rsidRPr="00D074A1">
        <w:rPr>
          <w:sz w:val="28"/>
          <w:szCs w:val="28"/>
        </w:rPr>
        <w:t xml:space="preserve"> </w:t>
      </w:r>
    </w:p>
    <w:p w14:paraId="2648B6A6" w14:textId="6326E3CC" w:rsidR="002C0992" w:rsidRPr="00D074A1" w:rsidRDefault="003D459E" w:rsidP="00D16F96">
      <w:pPr>
        <w:spacing w:line="360" w:lineRule="auto"/>
        <w:jc w:val="both"/>
        <w:rPr>
          <w:sz w:val="28"/>
          <w:szCs w:val="28"/>
        </w:rPr>
      </w:pPr>
      <w:r w:rsidRPr="00D074A1">
        <w:rPr>
          <w:sz w:val="28"/>
          <w:szCs w:val="28"/>
        </w:rPr>
        <w:t xml:space="preserve">Formulando </w:t>
      </w:r>
      <w:r w:rsidR="00A81970" w:rsidRPr="00D074A1">
        <w:rPr>
          <w:sz w:val="28"/>
          <w:szCs w:val="28"/>
        </w:rPr>
        <w:t xml:space="preserve">un’utile </w:t>
      </w:r>
      <w:r w:rsidR="00F71EC9" w:rsidRPr="00D074A1">
        <w:rPr>
          <w:sz w:val="28"/>
          <w:szCs w:val="28"/>
        </w:rPr>
        <w:t>precisazione</w:t>
      </w:r>
      <w:r w:rsidR="00A81970" w:rsidRPr="00D074A1">
        <w:rPr>
          <w:sz w:val="28"/>
          <w:szCs w:val="28"/>
        </w:rPr>
        <w:t>,</w:t>
      </w:r>
      <w:r w:rsidR="00F71EC9" w:rsidRPr="00D074A1">
        <w:rPr>
          <w:sz w:val="28"/>
          <w:szCs w:val="28"/>
        </w:rPr>
        <w:t xml:space="preserve"> l’art. 94-</w:t>
      </w:r>
      <w:r w:rsidR="00F71EC9" w:rsidRPr="00D074A1">
        <w:rPr>
          <w:i/>
          <w:iCs/>
          <w:sz w:val="28"/>
          <w:szCs w:val="28"/>
        </w:rPr>
        <w:t>bis</w:t>
      </w:r>
      <w:r w:rsidR="00F71EC9" w:rsidRPr="00D074A1">
        <w:rPr>
          <w:sz w:val="28"/>
          <w:szCs w:val="28"/>
        </w:rPr>
        <w:t xml:space="preserve"> dispone poi</w:t>
      </w:r>
      <w:r w:rsidR="00F02543" w:rsidRPr="00D074A1">
        <w:rPr>
          <w:sz w:val="28"/>
          <w:szCs w:val="28"/>
        </w:rPr>
        <w:t>, al 4° comma,</w:t>
      </w:r>
      <w:r w:rsidR="00F71EC9" w:rsidRPr="00D074A1">
        <w:rPr>
          <w:sz w:val="28"/>
          <w:szCs w:val="28"/>
        </w:rPr>
        <w:t xml:space="preserve"> che, a</w:t>
      </w:r>
      <w:r w:rsidR="002C0992" w:rsidRPr="00D074A1">
        <w:rPr>
          <w:sz w:val="28"/>
          <w:szCs w:val="28"/>
        </w:rPr>
        <w:t>lla scadenza del termine di durata delle misure</w:t>
      </w:r>
      <w:r w:rsidR="00DC6C50" w:rsidRPr="00D074A1">
        <w:rPr>
          <w:sz w:val="28"/>
          <w:szCs w:val="28"/>
        </w:rPr>
        <w:t xml:space="preserve"> amministrative adottate</w:t>
      </w:r>
      <w:r w:rsidR="00F71EC9" w:rsidRPr="00D074A1">
        <w:rPr>
          <w:sz w:val="28"/>
          <w:szCs w:val="28"/>
        </w:rPr>
        <w:t>,</w:t>
      </w:r>
      <w:r w:rsidR="002C0992" w:rsidRPr="00D074A1">
        <w:rPr>
          <w:sz w:val="28"/>
          <w:szCs w:val="28"/>
        </w:rPr>
        <w:t xml:space="preserve"> il </w:t>
      </w:r>
      <w:r w:rsidR="0000747F" w:rsidRPr="00D074A1">
        <w:rPr>
          <w:sz w:val="28"/>
          <w:szCs w:val="28"/>
        </w:rPr>
        <w:t>Prefetto</w:t>
      </w:r>
      <w:r w:rsidR="00F71EC9" w:rsidRPr="00D074A1">
        <w:rPr>
          <w:sz w:val="28"/>
          <w:szCs w:val="28"/>
        </w:rPr>
        <w:t>,</w:t>
      </w:r>
      <w:r w:rsidR="002C0992" w:rsidRPr="00D074A1">
        <w:rPr>
          <w:sz w:val="28"/>
          <w:szCs w:val="28"/>
        </w:rPr>
        <w:t xml:space="preserve"> ove accerti</w:t>
      </w:r>
      <w:r w:rsidR="00DC6C50" w:rsidRPr="00D074A1">
        <w:rPr>
          <w:sz w:val="28"/>
          <w:szCs w:val="28"/>
        </w:rPr>
        <w:t>,</w:t>
      </w:r>
      <w:r w:rsidR="002C0992" w:rsidRPr="00D074A1">
        <w:rPr>
          <w:sz w:val="28"/>
          <w:szCs w:val="28"/>
        </w:rPr>
        <w:t xml:space="preserve"> sulla base delle analisi</w:t>
      </w:r>
      <w:r w:rsidR="00F71EC9" w:rsidRPr="00D074A1">
        <w:rPr>
          <w:sz w:val="28"/>
          <w:szCs w:val="28"/>
        </w:rPr>
        <w:t xml:space="preserve"> </w:t>
      </w:r>
      <w:r w:rsidR="002C0992" w:rsidRPr="00D074A1">
        <w:rPr>
          <w:sz w:val="28"/>
          <w:szCs w:val="28"/>
        </w:rPr>
        <w:t>formulate dal gruppo interforze</w:t>
      </w:r>
      <w:r w:rsidR="00DC6C50" w:rsidRPr="00D074A1">
        <w:rPr>
          <w:sz w:val="28"/>
          <w:szCs w:val="28"/>
        </w:rPr>
        <w:t>,</w:t>
      </w:r>
      <w:r w:rsidR="002C0992" w:rsidRPr="00D074A1">
        <w:rPr>
          <w:sz w:val="28"/>
          <w:szCs w:val="28"/>
        </w:rPr>
        <w:t xml:space="preserve"> il venir meno dell’agevolazione occasionale e l’assenza di altri</w:t>
      </w:r>
      <w:r w:rsidR="00F71EC9" w:rsidRPr="00D074A1">
        <w:rPr>
          <w:sz w:val="28"/>
          <w:szCs w:val="28"/>
        </w:rPr>
        <w:t xml:space="preserve"> </w:t>
      </w:r>
      <w:r w:rsidR="002C0992" w:rsidRPr="00D074A1">
        <w:rPr>
          <w:sz w:val="28"/>
          <w:szCs w:val="28"/>
        </w:rPr>
        <w:t>tentativi di infiltrazione mafiosa</w:t>
      </w:r>
      <w:r w:rsidR="00F71EC9" w:rsidRPr="00D074A1">
        <w:rPr>
          <w:sz w:val="28"/>
          <w:szCs w:val="28"/>
        </w:rPr>
        <w:t>,</w:t>
      </w:r>
      <w:r w:rsidR="002C0992" w:rsidRPr="00D074A1">
        <w:rPr>
          <w:sz w:val="28"/>
          <w:szCs w:val="28"/>
        </w:rPr>
        <w:t xml:space="preserve"> rilascia un’informazione antimafia liberatoria ed effettua le</w:t>
      </w:r>
      <w:r w:rsidR="00F71EC9" w:rsidRPr="00D074A1">
        <w:rPr>
          <w:sz w:val="28"/>
          <w:szCs w:val="28"/>
        </w:rPr>
        <w:t xml:space="preserve"> </w:t>
      </w:r>
      <w:r w:rsidR="002C0992" w:rsidRPr="00D074A1">
        <w:rPr>
          <w:sz w:val="28"/>
          <w:szCs w:val="28"/>
        </w:rPr>
        <w:t>conseguenti iscrizioni nella banca dati nazionale unica della documentazione antimafia.</w:t>
      </w:r>
      <w:r w:rsidR="00F02543" w:rsidRPr="00D074A1">
        <w:rPr>
          <w:sz w:val="28"/>
          <w:szCs w:val="28"/>
        </w:rPr>
        <w:t xml:space="preserve"> La previsione, </w:t>
      </w:r>
      <w:r w:rsidR="00400F15" w:rsidRPr="00D074A1">
        <w:rPr>
          <w:sz w:val="28"/>
          <w:szCs w:val="28"/>
        </w:rPr>
        <w:t xml:space="preserve">che </w:t>
      </w:r>
      <w:r w:rsidR="00F02543" w:rsidRPr="00D074A1">
        <w:rPr>
          <w:sz w:val="28"/>
          <w:szCs w:val="28"/>
        </w:rPr>
        <w:t xml:space="preserve">potrebbe essere </w:t>
      </w:r>
      <w:r w:rsidR="0071781E" w:rsidRPr="00D074A1">
        <w:rPr>
          <w:sz w:val="28"/>
          <w:szCs w:val="28"/>
        </w:rPr>
        <w:t xml:space="preserve">utilmente </w:t>
      </w:r>
      <w:r w:rsidR="00F02543" w:rsidRPr="00D074A1">
        <w:rPr>
          <w:sz w:val="28"/>
          <w:szCs w:val="28"/>
        </w:rPr>
        <w:t>traslata anche al rapporto tra interdittiva amministrativa e controllo giudiziario, dovrebbe però essere completata da un’indicazione delle tempistiche del riesame</w:t>
      </w:r>
      <w:r w:rsidR="006E7088" w:rsidRPr="00D074A1">
        <w:rPr>
          <w:sz w:val="28"/>
          <w:szCs w:val="28"/>
        </w:rPr>
        <w:t>, necessaria a rendere più effettiva la tutela giurisdizionale contro eventuali ritardi</w:t>
      </w:r>
      <w:r w:rsidR="00D074A1">
        <w:rPr>
          <w:sz w:val="28"/>
          <w:szCs w:val="28"/>
        </w:rPr>
        <w:t xml:space="preserve"> nell’aggiornamento del rischio</w:t>
      </w:r>
      <w:r w:rsidR="006E7088" w:rsidRPr="00D074A1">
        <w:rPr>
          <w:sz w:val="28"/>
          <w:szCs w:val="28"/>
        </w:rPr>
        <w:t>.</w:t>
      </w:r>
    </w:p>
    <w:p w14:paraId="51E56354" w14:textId="77777777" w:rsidR="000E309A" w:rsidRPr="0080394E" w:rsidRDefault="000E309A" w:rsidP="00D16F96">
      <w:pPr>
        <w:spacing w:line="360" w:lineRule="auto"/>
        <w:jc w:val="both"/>
        <w:rPr>
          <w:sz w:val="28"/>
          <w:szCs w:val="28"/>
        </w:rPr>
      </w:pPr>
    </w:p>
    <w:p w14:paraId="13DB9EA3" w14:textId="56FAC57A" w:rsidR="00F02543" w:rsidRPr="0080394E" w:rsidRDefault="00786010" w:rsidP="00D16F96">
      <w:pPr>
        <w:spacing w:line="360" w:lineRule="auto"/>
        <w:jc w:val="both"/>
        <w:rPr>
          <w:sz w:val="28"/>
          <w:szCs w:val="28"/>
        </w:rPr>
      </w:pPr>
      <w:r w:rsidRPr="0080394E">
        <w:rPr>
          <w:sz w:val="28"/>
          <w:szCs w:val="28"/>
        </w:rPr>
        <w:t>La nuova misura</w:t>
      </w:r>
      <w:r w:rsidR="00691526" w:rsidRPr="0080394E">
        <w:rPr>
          <w:sz w:val="28"/>
          <w:szCs w:val="28"/>
        </w:rPr>
        <w:t xml:space="preserve"> </w:t>
      </w:r>
      <w:r w:rsidR="00F02543" w:rsidRPr="0080394E">
        <w:rPr>
          <w:sz w:val="28"/>
          <w:szCs w:val="28"/>
        </w:rPr>
        <w:t xml:space="preserve">di prevenzione amministrativa </w:t>
      </w:r>
      <w:r w:rsidRPr="0080394E">
        <w:rPr>
          <w:sz w:val="28"/>
          <w:szCs w:val="28"/>
        </w:rPr>
        <w:t xml:space="preserve">dovrebbe avere un impatto estremamente importante sul sistema. Innanzitutto, sul sindacato giurisdizionale sull’interdittiva. Fino a oggi il giudice poteva/doveva soltanto valutare se l’istruttoria e la motivazione giustificavano, alla luce degli elementi fattuali acquisiti e alla stregua del </w:t>
      </w:r>
      <w:r w:rsidR="002A13F3" w:rsidRPr="0080394E">
        <w:rPr>
          <w:sz w:val="28"/>
          <w:szCs w:val="28"/>
        </w:rPr>
        <w:t xml:space="preserve">riferito </w:t>
      </w:r>
      <w:r w:rsidRPr="0080394E">
        <w:rPr>
          <w:sz w:val="28"/>
          <w:szCs w:val="28"/>
        </w:rPr>
        <w:t xml:space="preserve">criterio del </w:t>
      </w:r>
      <w:r w:rsidR="002A13F3" w:rsidRPr="0080394E">
        <w:rPr>
          <w:sz w:val="28"/>
          <w:szCs w:val="28"/>
        </w:rPr>
        <w:t>“</w:t>
      </w:r>
      <w:r w:rsidRPr="0080394E">
        <w:rPr>
          <w:sz w:val="28"/>
          <w:szCs w:val="28"/>
        </w:rPr>
        <w:t>più probabile che non</w:t>
      </w:r>
      <w:r w:rsidR="002A13F3" w:rsidRPr="0080394E">
        <w:rPr>
          <w:sz w:val="28"/>
          <w:szCs w:val="28"/>
        </w:rPr>
        <w:t>”</w:t>
      </w:r>
      <w:r w:rsidR="0071781E">
        <w:rPr>
          <w:sz w:val="28"/>
          <w:szCs w:val="28"/>
        </w:rPr>
        <w:t xml:space="preserve"> (cd “probabilità cruciale”)</w:t>
      </w:r>
      <w:r w:rsidRPr="0080394E">
        <w:rPr>
          <w:sz w:val="28"/>
          <w:szCs w:val="28"/>
        </w:rPr>
        <w:t xml:space="preserve">, </w:t>
      </w:r>
      <w:r w:rsidR="002A13F3" w:rsidRPr="0080394E">
        <w:rPr>
          <w:sz w:val="28"/>
          <w:szCs w:val="28"/>
        </w:rPr>
        <w:t xml:space="preserve">la rilevazione di un rischio di dare spazio a tentativi di infiltrazione mafiosa. Un sindacato di legittimità sotto il profilo </w:t>
      </w:r>
      <w:r w:rsidR="00511D5A" w:rsidRPr="0080394E">
        <w:rPr>
          <w:sz w:val="28"/>
          <w:szCs w:val="28"/>
        </w:rPr>
        <w:t xml:space="preserve">del rispetto delle -scarne- regole procedimentali </w:t>
      </w:r>
      <w:r w:rsidR="002A13F3" w:rsidRPr="0080394E">
        <w:rPr>
          <w:sz w:val="28"/>
          <w:szCs w:val="28"/>
        </w:rPr>
        <w:t>e d</w:t>
      </w:r>
      <w:r w:rsidR="00511D5A" w:rsidRPr="0080394E">
        <w:rPr>
          <w:sz w:val="28"/>
          <w:szCs w:val="28"/>
        </w:rPr>
        <w:t>ell’</w:t>
      </w:r>
      <w:r w:rsidR="002A13F3" w:rsidRPr="0080394E">
        <w:rPr>
          <w:sz w:val="28"/>
          <w:szCs w:val="28"/>
        </w:rPr>
        <w:t>eccesso di potere</w:t>
      </w:r>
      <w:r w:rsidR="00511D5A" w:rsidRPr="0080394E">
        <w:rPr>
          <w:sz w:val="28"/>
          <w:szCs w:val="28"/>
        </w:rPr>
        <w:t>,</w:t>
      </w:r>
      <w:r w:rsidR="002A13F3" w:rsidRPr="0080394E">
        <w:rPr>
          <w:sz w:val="28"/>
          <w:szCs w:val="28"/>
        </w:rPr>
        <w:t xml:space="preserve"> nei limiti della </w:t>
      </w:r>
      <w:r w:rsidR="00511D5A" w:rsidRPr="0080394E">
        <w:rPr>
          <w:sz w:val="28"/>
          <w:szCs w:val="28"/>
        </w:rPr>
        <w:t>non ir</w:t>
      </w:r>
      <w:r w:rsidR="002A13F3" w:rsidRPr="0080394E">
        <w:rPr>
          <w:sz w:val="28"/>
          <w:szCs w:val="28"/>
        </w:rPr>
        <w:t xml:space="preserve">ragionevolezza </w:t>
      </w:r>
      <w:r w:rsidR="00B1003D" w:rsidRPr="0080394E">
        <w:rPr>
          <w:sz w:val="28"/>
          <w:szCs w:val="28"/>
        </w:rPr>
        <w:t xml:space="preserve">della </w:t>
      </w:r>
      <w:r w:rsidR="00511D5A" w:rsidRPr="0080394E">
        <w:rPr>
          <w:sz w:val="28"/>
          <w:szCs w:val="28"/>
        </w:rPr>
        <w:t xml:space="preserve">ritenuta </w:t>
      </w:r>
      <w:r w:rsidR="00B1003D" w:rsidRPr="0080394E">
        <w:rPr>
          <w:sz w:val="28"/>
          <w:szCs w:val="28"/>
        </w:rPr>
        <w:t>sussistenza dei presupposti</w:t>
      </w:r>
      <w:r w:rsidR="00511D5A" w:rsidRPr="0080394E">
        <w:rPr>
          <w:sz w:val="28"/>
          <w:szCs w:val="28"/>
        </w:rPr>
        <w:t xml:space="preserve"> per l’adozione di una misura di prevenzione amministrativa</w:t>
      </w:r>
      <w:r w:rsidR="00246ED5" w:rsidRPr="0080394E">
        <w:rPr>
          <w:sz w:val="28"/>
          <w:szCs w:val="28"/>
        </w:rPr>
        <w:t>,</w:t>
      </w:r>
      <w:r w:rsidR="00511D5A" w:rsidRPr="0080394E">
        <w:rPr>
          <w:sz w:val="28"/>
          <w:szCs w:val="28"/>
        </w:rPr>
        <w:t xml:space="preserve"> che si identificava necessariamente nell’interdizione dei rapporti con l’amministrazione. La valutazione di proporzionalità era stata fatta a monte dal legislatore e la Corte costituzionale ne aveva</w:t>
      </w:r>
      <w:r w:rsidR="00921630" w:rsidRPr="0080394E">
        <w:rPr>
          <w:sz w:val="28"/>
          <w:szCs w:val="28"/>
        </w:rPr>
        <w:t>, come detto,</w:t>
      </w:r>
      <w:r w:rsidR="00511D5A" w:rsidRPr="0080394E">
        <w:rPr>
          <w:sz w:val="28"/>
          <w:szCs w:val="28"/>
        </w:rPr>
        <w:t xml:space="preserve"> </w:t>
      </w:r>
      <w:r w:rsidR="00921630" w:rsidRPr="0080394E">
        <w:rPr>
          <w:sz w:val="28"/>
          <w:szCs w:val="28"/>
        </w:rPr>
        <w:t>affermato la coerenza sul presupposto del carattere</w:t>
      </w:r>
      <w:r w:rsidR="00B1003D" w:rsidRPr="0080394E">
        <w:rPr>
          <w:sz w:val="28"/>
          <w:szCs w:val="28"/>
        </w:rPr>
        <w:t xml:space="preserve"> </w:t>
      </w:r>
      <w:r w:rsidR="00921630" w:rsidRPr="0080394E">
        <w:rPr>
          <w:sz w:val="28"/>
          <w:szCs w:val="28"/>
        </w:rPr>
        <w:t xml:space="preserve">preventivo e astrattamente provvisorio della misura, in tesi sufficiente a </w:t>
      </w:r>
      <w:r w:rsidR="00A312D0" w:rsidRPr="0080394E">
        <w:rPr>
          <w:sz w:val="28"/>
          <w:szCs w:val="28"/>
        </w:rPr>
        <w:t>giustificare la prevalenza dell’interesse pubblico a fugare ogni possibile rischio di infiltrazione della cd criminalità organizzata nell’economia sull’interesse dell’imprenditore a</w:t>
      </w:r>
      <w:r w:rsidR="00B37F55" w:rsidRPr="0080394E">
        <w:rPr>
          <w:sz w:val="28"/>
          <w:szCs w:val="28"/>
        </w:rPr>
        <w:t xml:space="preserve"> non </w:t>
      </w:r>
      <w:r w:rsidR="001D027D" w:rsidRPr="0080394E">
        <w:rPr>
          <w:sz w:val="28"/>
          <w:szCs w:val="28"/>
        </w:rPr>
        <w:t>essere estromesso</w:t>
      </w:r>
      <w:r w:rsidR="00A312D0" w:rsidRPr="0080394E">
        <w:rPr>
          <w:sz w:val="28"/>
          <w:szCs w:val="28"/>
        </w:rPr>
        <w:t xml:space="preserve"> </w:t>
      </w:r>
      <w:r w:rsidR="001D027D" w:rsidRPr="0080394E">
        <w:rPr>
          <w:sz w:val="28"/>
          <w:szCs w:val="28"/>
        </w:rPr>
        <w:t>dal mercato</w:t>
      </w:r>
      <w:r w:rsidR="00921630" w:rsidRPr="0080394E">
        <w:rPr>
          <w:sz w:val="28"/>
          <w:szCs w:val="28"/>
        </w:rPr>
        <w:t xml:space="preserve">. </w:t>
      </w:r>
      <w:r w:rsidR="0071781E">
        <w:rPr>
          <w:sz w:val="28"/>
          <w:szCs w:val="28"/>
        </w:rPr>
        <w:t xml:space="preserve">In questa luce, la Consulta aveva, come noto, </w:t>
      </w:r>
      <w:r w:rsidR="00B7596D">
        <w:rPr>
          <w:sz w:val="28"/>
          <w:szCs w:val="28"/>
        </w:rPr>
        <w:t xml:space="preserve">affermato anche la compatibilità costituzionale della cd </w:t>
      </w:r>
      <w:proofErr w:type="spellStart"/>
      <w:r w:rsidR="00B7596D">
        <w:rPr>
          <w:sz w:val="28"/>
          <w:szCs w:val="28"/>
        </w:rPr>
        <w:t>tassativizzazione</w:t>
      </w:r>
      <w:proofErr w:type="spellEnd"/>
      <w:r w:rsidR="00B7596D">
        <w:rPr>
          <w:sz w:val="28"/>
          <w:szCs w:val="28"/>
        </w:rPr>
        <w:t xml:space="preserve"> giurisprudenziale delle ipotesi indiziarie della contaminazione, legata alla necessità di rispondere con </w:t>
      </w:r>
      <w:r w:rsidR="003D1507">
        <w:rPr>
          <w:sz w:val="28"/>
          <w:szCs w:val="28"/>
        </w:rPr>
        <w:t xml:space="preserve">la massima </w:t>
      </w:r>
      <w:r w:rsidR="00B7596D">
        <w:rPr>
          <w:sz w:val="28"/>
          <w:szCs w:val="28"/>
        </w:rPr>
        <w:t xml:space="preserve">prontezza </w:t>
      </w:r>
      <w:r w:rsidR="003D1507">
        <w:rPr>
          <w:sz w:val="28"/>
          <w:szCs w:val="28"/>
        </w:rPr>
        <w:t xml:space="preserve">alla capacità delle organizzazioni mafiose di adattarsi rapidamente </w:t>
      </w:r>
      <w:r w:rsidR="00E84C6F">
        <w:rPr>
          <w:sz w:val="28"/>
          <w:szCs w:val="28"/>
        </w:rPr>
        <w:t>(</w:t>
      </w:r>
      <w:r w:rsidR="00861D25">
        <w:rPr>
          <w:sz w:val="28"/>
          <w:szCs w:val="28"/>
        </w:rPr>
        <w:t>“</w:t>
      </w:r>
      <w:r w:rsidR="00E84C6F">
        <w:rPr>
          <w:sz w:val="28"/>
          <w:szCs w:val="28"/>
        </w:rPr>
        <w:t>camale</w:t>
      </w:r>
      <w:r w:rsidR="00861D25">
        <w:rPr>
          <w:sz w:val="28"/>
          <w:szCs w:val="28"/>
        </w:rPr>
        <w:t xml:space="preserve">onticamente”) </w:t>
      </w:r>
      <w:r w:rsidR="003D1507">
        <w:rPr>
          <w:sz w:val="28"/>
          <w:szCs w:val="28"/>
        </w:rPr>
        <w:t>ai mutamenti economici e sociali, coniando nuovi strumenti di infiltrazione</w:t>
      </w:r>
      <w:r w:rsidR="001239DD">
        <w:rPr>
          <w:rStyle w:val="Rimandonotaapidipagina"/>
          <w:sz w:val="28"/>
          <w:szCs w:val="28"/>
        </w:rPr>
        <w:footnoteReference w:id="24"/>
      </w:r>
      <w:r w:rsidR="003D1507">
        <w:rPr>
          <w:sz w:val="28"/>
          <w:szCs w:val="28"/>
        </w:rPr>
        <w:t xml:space="preserve">. </w:t>
      </w:r>
      <w:r w:rsidR="00921630" w:rsidRPr="0080394E">
        <w:rPr>
          <w:sz w:val="28"/>
          <w:szCs w:val="28"/>
        </w:rPr>
        <w:t xml:space="preserve">E l’unico paracadute </w:t>
      </w:r>
      <w:r w:rsidR="001D027D" w:rsidRPr="0080394E">
        <w:rPr>
          <w:sz w:val="28"/>
          <w:szCs w:val="28"/>
        </w:rPr>
        <w:t>dato a</w:t>
      </w:r>
      <w:r w:rsidR="003D1507">
        <w:rPr>
          <w:sz w:val="28"/>
          <w:szCs w:val="28"/>
        </w:rPr>
        <w:t>ll’impresa</w:t>
      </w:r>
      <w:r w:rsidR="001D027D" w:rsidRPr="0080394E">
        <w:rPr>
          <w:sz w:val="28"/>
          <w:szCs w:val="28"/>
        </w:rPr>
        <w:t xml:space="preserve"> </w:t>
      </w:r>
      <w:r w:rsidR="003D1507">
        <w:rPr>
          <w:sz w:val="28"/>
          <w:szCs w:val="28"/>
        </w:rPr>
        <w:t xml:space="preserve">ritenuta a rischio di contaminazione </w:t>
      </w:r>
      <w:r w:rsidR="00921630" w:rsidRPr="0080394E">
        <w:rPr>
          <w:sz w:val="28"/>
          <w:szCs w:val="28"/>
        </w:rPr>
        <w:t xml:space="preserve">era il controllo giudiziario su richiesta. Con le criticità di </w:t>
      </w:r>
      <w:r w:rsidR="001D027D" w:rsidRPr="0080394E">
        <w:rPr>
          <w:sz w:val="28"/>
          <w:szCs w:val="28"/>
        </w:rPr>
        <w:t xml:space="preserve">coordinamento </w:t>
      </w:r>
      <w:r w:rsidR="00921630" w:rsidRPr="0080394E">
        <w:rPr>
          <w:sz w:val="28"/>
          <w:szCs w:val="28"/>
        </w:rPr>
        <w:t xml:space="preserve">cui si è sopra fatto cenno. </w:t>
      </w:r>
    </w:p>
    <w:p w14:paraId="18593BE3" w14:textId="77777777" w:rsidR="00F02543" w:rsidRPr="00A805A4" w:rsidRDefault="00921630" w:rsidP="00D16F96">
      <w:pPr>
        <w:spacing w:line="360" w:lineRule="auto"/>
        <w:jc w:val="both"/>
        <w:rPr>
          <w:sz w:val="28"/>
          <w:szCs w:val="28"/>
        </w:rPr>
      </w:pPr>
      <w:r w:rsidRPr="00A805A4">
        <w:rPr>
          <w:sz w:val="28"/>
          <w:szCs w:val="28"/>
        </w:rPr>
        <w:t xml:space="preserve">Oggi le cose sono, o almeno dovrebbero essere, profondamente cambiate. </w:t>
      </w:r>
    </w:p>
    <w:p w14:paraId="32FFF510" w14:textId="26762AF7" w:rsidR="0012400D" w:rsidRPr="00881164" w:rsidRDefault="00E01565" w:rsidP="00D16F96">
      <w:pPr>
        <w:spacing w:line="360" w:lineRule="auto"/>
        <w:jc w:val="both"/>
        <w:rPr>
          <w:sz w:val="28"/>
          <w:szCs w:val="28"/>
        </w:rPr>
      </w:pPr>
      <w:r w:rsidRPr="0080394E">
        <w:rPr>
          <w:sz w:val="28"/>
          <w:szCs w:val="28"/>
        </w:rPr>
        <w:lastRenderedPageBreak/>
        <w:t xml:space="preserve">Il </w:t>
      </w:r>
      <w:r w:rsidR="0000747F">
        <w:rPr>
          <w:sz w:val="28"/>
          <w:szCs w:val="28"/>
        </w:rPr>
        <w:t>Prefetto</w:t>
      </w:r>
      <w:r w:rsidRPr="0080394E">
        <w:rPr>
          <w:sz w:val="28"/>
          <w:szCs w:val="28"/>
        </w:rPr>
        <w:t xml:space="preserve"> </w:t>
      </w:r>
      <w:r w:rsidR="00B37F55" w:rsidRPr="0080394E">
        <w:rPr>
          <w:sz w:val="28"/>
          <w:szCs w:val="28"/>
        </w:rPr>
        <w:t xml:space="preserve">ha a sua disposizione </w:t>
      </w:r>
      <w:r w:rsidRPr="0080394E">
        <w:rPr>
          <w:sz w:val="28"/>
          <w:szCs w:val="28"/>
        </w:rPr>
        <w:t xml:space="preserve">due misure </w:t>
      </w:r>
      <w:r w:rsidR="001D027D" w:rsidRPr="0080394E">
        <w:rPr>
          <w:sz w:val="28"/>
          <w:szCs w:val="28"/>
        </w:rPr>
        <w:t xml:space="preserve">alternative di prevenzione, che, pur consentendo di </w:t>
      </w:r>
      <w:r w:rsidR="00B37F55" w:rsidRPr="0080394E">
        <w:rPr>
          <w:sz w:val="28"/>
          <w:szCs w:val="28"/>
        </w:rPr>
        <w:t>fronteggiare</w:t>
      </w:r>
      <w:r w:rsidR="001D027D" w:rsidRPr="0080394E">
        <w:rPr>
          <w:sz w:val="28"/>
          <w:szCs w:val="28"/>
        </w:rPr>
        <w:t xml:space="preserve"> il rischio</w:t>
      </w:r>
      <w:r w:rsidR="009E686D" w:rsidRPr="0080394E">
        <w:rPr>
          <w:sz w:val="28"/>
          <w:szCs w:val="28"/>
        </w:rPr>
        <w:t xml:space="preserve"> di contagio</w:t>
      </w:r>
      <w:r w:rsidR="001D027D" w:rsidRPr="0080394E">
        <w:rPr>
          <w:sz w:val="28"/>
          <w:szCs w:val="28"/>
        </w:rPr>
        <w:t xml:space="preserve">, incidono in termini di ben diversa gravità sulla vita dell’impresa. Egli </w:t>
      </w:r>
      <w:r w:rsidR="00B37F55" w:rsidRPr="0080394E">
        <w:rPr>
          <w:sz w:val="28"/>
          <w:szCs w:val="28"/>
        </w:rPr>
        <w:t>è quindi chiamato a valutare attentamente la situazione per operare la scelta più idonea. N</w:t>
      </w:r>
      <w:r w:rsidR="001D027D" w:rsidRPr="0080394E">
        <w:rPr>
          <w:sz w:val="28"/>
          <w:szCs w:val="28"/>
        </w:rPr>
        <w:t xml:space="preserve">on </w:t>
      </w:r>
      <w:r w:rsidRPr="0080394E">
        <w:rPr>
          <w:sz w:val="28"/>
          <w:szCs w:val="28"/>
        </w:rPr>
        <w:t>deve</w:t>
      </w:r>
      <w:r w:rsidR="00B37F55" w:rsidRPr="0080394E">
        <w:rPr>
          <w:sz w:val="28"/>
          <w:szCs w:val="28"/>
        </w:rPr>
        <w:t>, in altri termini,</w:t>
      </w:r>
      <w:r w:rsidRPr="0080394E">
        <w:rPr>
          <w:sz w:val="28"/>
          <w:szCs w:val="28"/>
        </w:rPr>
        <w:t xml:space="preserve"> </w:t>
      </w:r>
      <w:r w:rsidR="001D027D" w:rsidRPr="0080394E">
        <w:rPr>
          <w:sz w:val="28"/>
          <w:szCs w:val="28"/>
        </w:rPr>
        <w:t xml:space="preserve">più soltanto rappresentare, sulla scorta degli elementi indiziari </w:t>
      </w:r>
      <w:r w:rsidR="007D35EA" w:rsidRPr="0080394E">
        <w:rPr>
          <w:sz w:val="28"/>
          <w:szCs w:val="28"/>
        </w:rPr>
        <w:t xml:space="preserve">tipizzati dalla giurisprudenza, </w:t>
      </w:r>
      <w:r w:rsidR="0012400D" w:rsidRPr="0080394E">
        <w:rPr>
          <w:sz w:val="28"/>
          <w:szCs w:val="28"/>
        </w:rPr>
        <w:t>un</w:t>
      </w:r>
      <w:r w:rsidR="007D35EA" w:rsidRPr="0080394E">
        <w:rPr>
          <w:sz w:val="28"/>
          <w:szCs w:val="28"/>
        </w:rPr>
        <w:t xml:space="preserve">a </w:t>
      </w:r>
      <w:r w:rsidR="0012400D" w:rsidRPr="0080394E">
        <w:rPr>
          <w:sz w:val="28"/>
          <w:szCs w:val="28"/>
        </w:rPr>
        <w:t xml:space="preserve">minima </w:t>
      </w:r>
      <w:r w:rsidR="007D35EA" w:rsidRPr="0080394E">
        <w:rPr>
          <w:sz w:val="28"/>
          <w:szCs w:val="28"/>
        </w:rPr>
        <w:t>probabilità d</w:t>
      </w:r>
      <w:r w:rsidR="0012400D" w:rsidRPr="0080394E">
        <w:rPr>
          <w:sz w:val="28"/>
          <w:szCs w:val="28"/>
        </w:rPr>
        <w:t>i</w:t>
      </w:r>
      <w:r w:rsidR="007D35EA" w:rsidRPr="0080394E">
        <w:rPr>
          <w:sz w:val="28"/>
          <w:szCs w:val="28"/>
        </w:rPr>
        <w:t xml:space="preserve"> rischio, ma deve </w:t>
      </w:r>
      <w:r w:rsidR="00B37F55" w:rsidRPr="0080394E">
        <w:rPr>
          <w:sz w:val="28"/>
          <w:szCs w:val="28"/>
        </w:rPr>
        <w:t xml:space="preserve">anche </w:t>
      </w:r>
      <w:r w:rsidRPr="0080394E">
        <w:rPr>
          <w:sz w:val="28"/>
          <w:szCs w:val="28"/>
        </w:rPr>
        <w:t xml:space="preserve">dimostrare, attraverso un corretto adempimento degli oneri istruttori e motivazionali, </w:t>
      </w:r>
      <w:r w:rsidR="007D35EA" w:rsidRPr="0080394E">
        <w:rPr>
          <w:sz w:val="28"/>
          <w:szCs w:val="28"/>
        </w:rPr>
        <w:t>che la misura adottata risponde ai rigorosi canoni dell</w:t>
      </w:r>
      <w:r w:rsidR="008568C1" w:rsidRPr="0080394E">
        <w:rPr>
          <w:sz w:val="28"/>
          <w:szCs w:val="28"/>
        </w:rPr>
        <w:t>’adeguatezza e dell</w:t>
      </w:r>
      <w:r w:rsidR="007D35EA" w:rsidRPr="0080394E">
        <w:rPr>
          <w:sz w:val="28"/>
          <w:szCs w:val="28"/>
        </w:rPr>
        <w:t xml:space="preserve">a </w:t>
      </w:r>
      <w:r w:rsidRPr="0080394E">
        <w:rPr>
          <w:sz w:val="28"/>
          <w:szCs w:val="28"/>
        </w:rPr>
        <w:t xml:space="preserve">proporzionalità. E il giudice potrà e dovrà valutare la legittimità </w:t>
      </w:r>
      <w:r w:rsidR="00A312D0" w:rsidRPr="0080394E">
        <w:rPr>
          <w:sz w:val="28"/>
          <w:szCs w:val="28"/>
        </w:rPr>
        <w:t xml:space="preserve">di questa scelta anche attraverso </w:t>
      </w:r>
      <w:r w:rsidR="00B1003D" w:rsidRPr="0080394E">
        <w:rPr>
          <w:sz w:val="28"/>
          <w:szCs w:val="28"/>
        </w:rPr>
        <w:t>un vaglio d</w:t>
      </w:r>
      <w:r w:rsidR="005B0BEE" w:rsidRPr="0080394E">
        <w:rPr>
          <w:sz w:val="28"/>
          <w:szCs w:val="28"/>
        </w:rPr>
        <w:t>el rispetto di tali canoni</w:t>
      </w:r>
      <w:r w:rsidR="007D35EA" w:rsidRPr="0080394E">
        <w:rPr>
          <w:sz w:val="28"/>
          <w:szCs w:val="28"/>
        </w:rPr>
        <w:t xml:space="preserve">, indagando, con un sindacato effettivo sul fatto, sul carattere strutturale od occasionale delle circostanze </w:t>
      </w:r>
      <w:r w:rsidR="006E0296" w:rsidRPr="0080394E">
        <w:rPr>
          <w:sz w:val="28"/>
          <w:szCs w:val="28"/>
        </w:rPr>
        <w:t xml:space="preserve">da cui il </w:t>
      </w:r>
      <w:r w:rsidR="0000747F">
        <w:rPr>
          <w:sz w:val="28"/>
          <w:szCs w:val="28"/>
        </w:rPr>
        <w:t>Prefetto</w:t>
      </w:r>
      <w:r w:rsidR="006E0296" w:rsidRPr="0080394E">
        <w:rPr>
          <w:sz w:val="28"/>
          <w:szCs w:val="28"/>
        </w:rPr>
        <w:t xml:space="preserve"> ha rilevato un</w:t>
      </w:r>
      <w:r w:rsidR="007D35EA" w:rsidRPr="0080394E">
        <w:rPr>
          <w:sz w:val="28"/>
          <w:szCs w:val="28"/>
        </w:rPr>
        <w:t xml:space="preserve"> </w:t>
      </w:r>
      <w:r w:rsidR="005B0BEE" w:rsidRPr="0080394E">
        <w:rPr>
          <w:sz w:val="28"/>
          <w:szCs w:val="28"/>
        </w:rPr>
        <w:t xml:space="preserve">pericolo </w:t>
      </w:r>
      <w:r w:rsidR="007D35EA" w:rsidRPr="0080394E">
        <w:rPr>
          <w:sz w:val="28"/>
          <w:szCs w:val="28"/>
        </w:rPr>
        <w:t xml:space="preserve">di </w:t>
      </w:r>
      <w:r w:rsidR="00B1003D" w:rsidRPr="0080394E">
        <w:rPr>
          <w:sz w:val="28"/>
          <w:szCs w:val="28"/>
        </w:rPr>
        <w:t>infiltrazione</w:t>
      </w:r>
      <w:r w:rsidR="007D35EA" w:rsidRPr="0080394E">
        <w:rPr>
          <w:sz w:val="28"/>
          <w:szCs w:val="28"/>
        </w:rPr>
        <w:t>.</w:t>
      </w:r>
      <w:r w:rsidR="00B1003D" w:rsidRPr="0080394E">
        <w:rPr>
          <w:sz w:val="28"/>
          <w:szCs w:val="28"/>
        </w:rPr>
        <w:t xml:space="preserve"> </w:t>
      </w:r>
      <w:r w:rsidR="006E0296" w:rsidRPr="00881164">
        <w:rPr>
          <w:sz w:val="28"/>
          <w:szCs w:val="28"/>
        </w:rPr>
        <w:t xml:space="preserve">Si pongono peraltro almeno due ordini di problemi. </w:t>
      </w:r>
    </w:p>
    <w:p w14:paraId="00EAB7F5" w14:textId="6B9E5D09" w:rsidR="0012400D" w:rsidRPr="0080394E" w:rsidRDefault="006E0296" w:rsidP="00D16F96">
      <w:pPr>
        <w:spacing w:line="360" w:lineRule="auto"/>
        <w:jc w:val="both"/>
        <w:rPr>
          <w:sz w:val="28"/>
          <w:szCs w:val="28"/>
        </w:rPr>
      </w:pPr>
      <w:r w:rsidRPr="0080394E">
        <w:rPr>
          <w:sz w:val="28"/>
          <w:szCs w:val="28"/>
        </w:rPr>
        <w:t>Il primo</w:t>
      </w:r>
      <w:r w:rsidR="005A7B35" w:rsidRPr="0080394E">
        <w:rPr>
          <w:sz w:val="28"/>
          <w:szCs w:val="28"/>
        </w:rPr>
        <w:t xml:space="preserve"> -</w:t>
      </w:r>
      <w:r w:rsidRPr="0080394E">
        <w:rPr>
          <w:sz w:val="28"/>
          <w:szCs w:val="28"/>
        </w:rPr>
        <w:t>acutamente sollevato da</w:t>
      </w:r>
      <w:r w:rsidR="005B0BEE" w:rsidRPr="0080394E">
        <w:rPr>
          <w:sz w:val="28"/>
          <w:szCs w:val="28"/>
        </w:rPr>
        <w:t>l consigliere</w:t>
      </w:r>
      <w:r w:rsidR="00691526" w:rsidRPr="0080394E">
        <w:rPr>
          <w:sz w:val="28"/>
          <w:szCs w:val="28"/>
        </w:rPr>
        <w:t xml:space="preserve"> </w:t>
      </w:r>
      <w:r w:rsidR="005A7B35" w:rsidRPr="0080394E">
        <w:rPr>
          <w:sz w:val="28"/>
          <w:szCs w:val="28"/>
        </w:rPr>
        <w:t xml:space="preserve">M. </w:t>
      </w:r>
      <w:r w:rsidR="00691526" w:rsidRPr="0080394E">
        <w:rPr>
          <w:sz w:val="28"/>
          <w:szCs w:val="28"/>
        </w:rPr>
        <w:t>S</w:t>
      </w:r>
      <w:r w:rsidR="005A7B35" w:rsidRPr="0080394E">
        <w:rPr>
          <w:sz w:val="28"/>
          <w:szCs w:val="28"/>
        </w:rPr>
        <w:t>ANTISE</w:t>
      </w:r>
      <w:r w:rsidR="00691526" w:rsidRPr="0080394E">
        <w:rPr>
          <w:sz w:val="28"/>
          <w:szCs w:val="28"/>
        </w:rPr>
        <w:t xml:space="preserve"> nel già richiamato convegno </w:t>
      </w:r>
      <w:r w:rsidR="005A7B35" w:rsidRPr="0080394E">
        <w:rPr>
          <w:sz w:val="28"/>
          <w:szCs w:val="28"/>
        </w:rPr>
        <w:t xml:space="preserve">di Palazzo Spada </w:t>
      </w:r>
      <w:r w:rsidR="00691526" w:rsidRPr="0080394E">
        <w:rPr>
          <w:sz w:val="28"/>
          <w:szCs w:val="28"/>
        </w:rPr>
        <w:t>del 1</w:t>
      </w:r>
      <w:r w:rsidR="00881164">
        <w:rPr>
          <w:sz w:val="28"/>
          <w:szCs w:val="28"/>
        </w:rPr>
        <w:t>°</w:t>
      </w:r>
      <w:r w:rsidR="00691526" w:rsidRPr="0080394E">
        <w:rPr>
          <w:sz w:val="28"/>
          <w:szCs w:val="28"/>
        </w:rPr>
        <w:t xml:space="preserve"> aprile scorso</w:t>
      </w:r>
      <w:r w:rsidR="005A7B35" w:rsidRPr="0080394E">
        <w:rPr>
          <w:sz w:val="28"/>
          <w:szCs w:val="28"/>
        </w:rPr>
        <w:t>-</w:t>
      </w:r>
      <w:r w:rsidRPr="0080394E">
        <w:rPr>
          <w:sz w:val="28"/>
          <w:szCs w:val="28"/>
        </w:rPr>
        <w:t xml:space="preserve"> è quello degli effetti del giudizio amministrativo di annullamento </w:t>
      </w:r>
      <w:r w:rsidR="005B0BEE" w:rsidRPr="0080394E">
        <w:rPr>
          <w:sz w:val="28"/>
          <w:szCs w:val="28"/>
        </w:rPr>
        <w:t xml:space="preserve">dell’interdittiva </w:t>
      </w:r>
      <w:r w:rsidRPr="0080394E">
        <w:rPr>
          <w:sz w:val="28"/>
          <w:szCs w:val="28"/>
        </w:rPr>
        <w:t>per difetto di motivazione</w:t>
      </w:r>
      <w:r w:rsidR="005B0BEE" w:rsidRPr="0080394E">
        <w:rPr>
          <w:sz w:val="28"/>
          <w:szCs w:val="28"/>
        </w:rPr>
        <w:t xml:space="preserve"> sull</w:t>
      </w:r>
      <w:r w:rsidR="00691526" w:rsidRPr="0080394E">
        <w:rPr>
          <w:sz w:val="28"/>
          <w:szCs w:val="28"/>
        </w:rPr>
        <w:t>a</w:t>
      </w:r>
      <w:r w:rsidR="005B0BEE" w:rsidRPr="0080394E">
        <w:rPr>
          <w:sz w:val="28"/>
          <w:szCs w:val="28"/>
        </w:rPr>
        <w:t xml:space="preserve"> necessità </w:t>
      </w:r>
      <w:r w:rsidR="00ED3D54" w:rsidRPr="0080394E">
        <w:rPr>
          <w:sz w:val="28"/>
          <w:szCs w:val="28"/>
        </w:rPr>
        <w:t>di tale misura rispetto a quella introdotta dall’art. 94-</w:t>
      </w:r>
      <w:r w:rsidR="00ED3D54" w:rsidRPr="0080394E">
        <w:rPr>
          <w:i/>
          <w:iCs/>
          <w:sz w:val="28"/>
          <w:szCs w:val="28"/>
        </w:rPr>
        <w:t>bis</w:t>
      </w:r>
      <w:r w:rsidRPr="0080394E">
        <w:rPr>
          <w:sz w:val="28"/>
          <w:szCs w:val="28"/>
        </w:rPr>
        <w:t xml:space="preserve">. È chiaro che il ricorrente ha interesse a un annullamento </w:t>
      </w:r>
      <w:r w:rsidRPr="0080394E">
        <w:rPr>
          <w:i/>
          <w:iCs/>
          <w:sz w:val="28"/>
          <w:szCs w:val="28"/>
        </w:rPr>
        <w:t>tout court</w:t>
      </w:r>
      <w:r w:rsidR="00022C31" w:rsidRPr="0080394E">
        <w:rPr>
          <w:sz w:val="28"/>
          <w:szCs w:val="28"/>
        </w:rPr>
        <w:t xml:space="preserve">, ma una maggiore coerenza con la </w:t>
      </w:r>
      <w:r w:rsidR="00022C31" w:rsidRPr="0080394E">
        <w:rPr>
          <w:i/>
          <w:iCs/>
          <w:sz w:val="28"/>
          <w:szCs w:val="28"/>
        </w:rPr>
        <w:t>ratio</w:t>
      </w:r>
      <w:r w:rsidR="00022C31" w:rsidRPr="0080394E">
        <w:rPr>
          <w:sz w:val="28"/>
          <w:szCs w:val="28"/>
        </w:rPr>
        <w:t xml:space="preserve"> delle misure di prevenzione antimafia </w:t>
      </w:r>
      <w:r w:rsidR="00C86BA4" w:rsidRPr="0080394E">
        <w:rPr>
          <w:sz w:val="28"/>
          <w:szCs w:val="28"/>
        </w:rPr>
        <w:t xml:space="preserve">renderebbe più opportuno, laddove ve ne siano i presupposti, un annullamento </w:t>
      </w:r>
      <w:r w:rsidR="00ED3D54" w:rsidRPr="0080394E">
        <w:rPr>
          <w:sz w:val="28"/>
          <w:szCs w:val="28"/>
        </w:rPr>
        <w:t>parziale -</w:t>
      </w:r>
      <w:r w:rsidR="00C86BA4" w:rsidRPr="0080394E">
        <w:rPr>
          <w:sz w:val="28"/>
          <w:szCs w:val="28"/>
        </w:rPr>
        <w:t xml:space="preserve">nella parte in cui non </w:t>
      </w:r>
      <w:r w:rsidR="00ED3D54" w:rsidRPr="0080394E">
        <w:rPr>
          <w:sz w:val="28"/>
          <w:szCs w:val="28"/>
        </w:rPr>
        <w:t>giustifica tale scelta- con conseguente immediata applicazione in via residuale del</w:t>
      </w:r>
      <w:r w:rsidR="00C86BA4" w:rsidRPr="0080394E">
        <w:rPr>
          <w:sz w:val="28"/>
          <w:szCs w:val="28"/>
        </w:rPr>
        <w:t xml:space="preserve">le misure collaborative. </w:t>
      </w:r>
    </w:p>
    <w:p w14:paraId="059F3566" w14:textId="265FFCD8" w:rsidR="005A7B35" w:rsidRPr="0080394E" w:rsidRDefault="00C86BA4" w:rsidP="00D16F96">
      <w:pPr>
        <w:spacing w:line="360" w:lineRule="auto"/>
        <w:jc w:val="both"/>
        <w:rPr>
          <w:sz w:val="28"/>
          <w:szCs w:val="28"/>
        </w:rPr>
      </w:pPr>
      <w:r w:rsidRPr="0080394E">
        <w:rPr>
          <w:sz w:val="28"/>
          <w:szCs w:val="28"/>
        </w:rPr>
        <w:t>Il secondo problema attiene</w:t>
      </w:r>
      <w:r w:rsidR="0012400D" w:rsidRPr="0080394E">
        <w:rPr>
          <w:sz w:val="28"/>
          <w:szCs w:val="28"/>
        </w:rPr>
        <w:t>, come è agevole comprendere e come ben emerso dalla citata sentenza del TAR Catania del 1</w:t>
      </w:r>
      <w:r w:rsidR="001239DD">
        <w:rPr>
          <w:sz w:val="28"/>
          <w:szCs w:val="28"/>
        </w:rPr>
        <w:t>°</w:t>
      </w:r>
      <w:r w:rsidR="0012400D" w:rsidRPr="0080394E">
        <w:rPr>
          <w:sz w:val="28"/>
          <w:szCs w:val="28"/>
        </w:rPr>
        <w:t xml:space="preserve"> maggio scorso,</w:t>
      </w:r>
      <w:r w:rsidRPr="0080394E">
        <w:rPr>
          <w:sz w:val="28"/>
          <w:szCs w:val="28"/>
        </w:rPr>
        <w:t xml:space="preserve"> ai rapporti con il controllo giudiziario a richiesta. </w:t>
      </w:r>
      <w:r w:rsidR="00ED3D54" w:rsidRPr="0080394E">
        <w:rPr>
          <w:sz w:val="28"/>
          <w:szCs w:val="28"/>
        </w:rPr>
        <w:t xml:space="preserve">Il fatto che le due misure rispondono a un’analoga </w:t>
      </w:r>
      <w:r w:rsidR="00ED3D54" w:rsidRPr="0080394E">
        <w:rPr>
          <w:i/>
          <w:iCs/>
          <w:sz w:val="28"/>
          <w:szCs w:val="28"/>
        </w:rPr>
        <w:t>ratio</w:t>
      </w:r>
      <w:r w:rsidR="00ED3D54" w:rsidRPr="0080394E">
        <w:rPr>
          <w:sz w:val="28"/>
          <w:szCs w:val="28"/>
        </w:rPr>
        <w:t xml:space="preserve"> e </w:t>
      </w:r>
      <w:r w:rsidR="00A75ECA" w:rsidRPr="0080394E">
        <w:rPr>
          <w:sz w:val="28"/>
          <w:szCs w:val="28"/>
        </w:rPr>
        <w:t xml:space="preserve">muovono da un analogo </w:t>
      </w:r>
      <w:r w:rsidR="00ED3D54" w:rsidRPr="0080394E">
        <w:rPr>
          <w:sz w:val="28"/>
          <w:szCs w:val="28"/>
        </w:rPr>
        <w:t>presuppo</w:t>
      </w:r>
      <w:r w:rsidR="00A75ECA" w:rsidRPr="0080394E">
        <w:rPr>
          <w:sz w:val="28"/>
          <w:szCs w:val="28"/>
        </w:rPr>
        <w:t>sto -</w:t>
      </w:r>
      <w:r w:rsidR="0012400D" w:rsidRPr="0080394E">
        <w:rPr>
          <w:sz w:val="28"/>
          <w:szCs w:val="28"/>
        </w:rPr>
        <w:t>costituito da</w:t>
      </w:r>
      <w:r w:rsidR="00A75ECA" w:rsidRPr="0080394E">
        <w:rPr>
          <w:sz w:val="28"/>
          <w:szCs w:val="28"/>
        </w:rPr>
        <w:t>l carattere meramente occasionale della potenziale contaminazione</w:t>
      </w:r>
      <w:r w:rsidR="00691526" w:rsidRPr="0080394E">
        <w:rPr>
          <w:sz w:val="28"/>
          <w:szCs w:val="28"/>
        </w:rPr>
        <w:t xml:space="preserve"> e </w:t>
      </w:r>
      <w:r w:rsidR="0012400D" w:rsidRPr="0080394E">
        <w:rPr>
          <w:sz w:val="28"/>
          <w:szCs w:val="28"/>
        </w:rPr>
        <w:t xml:space="preserve">dal conseguente </w:t>
      </w:r>
      <w:r w:rsidR="001A460C" w:rsidRPr="0080394E">
        <w:rPr>
          <w:sz w:val="28"/>
          <w:szCs w:val="28"/>
        </w:rPr>
        <w:t>minore livello del rischio di infiltrazione</w:t>
      </w:r>
      <w:r w:rsidR="00A75ECA" w:rsidRPr="0080394E">
        <w:rPr>
          <w:sz w:val="28"/>
          <w:szCs w:val="28"/>
        </w:rPr>
        <w:t xml:space="preserve">- in una con la richiamata disciplina dei rapporti tra misure di collaborazione e controllo giudiziario, con l’espressa previsione che il giudice penale </w:t>
      </w:r>
      <w:r w:rsidR="00A75ECA" w:rsidRPr="0080394E">
        <w:rPr>
          <w:sz w:val="28"/>
          <w:szCs w:val="28"/>
        </w:rPr>
        <w:lastRenderedPageBreak/>
        <w:t xml:space="preserve">può, se del caso, sostituire le </w:t>
      </w:r>
      <w:r w:rsidR="00D1311E">
        <w:rPr>
          <w:sz w:val="28"/>
          <w:szCs w:val="28"/>
        </w:rPr>
        <w:t xml:space="preserve">nuove, più miti, </w:t>
      </w:r>
      <w:r w:rsidR="00A75ECA" w:rsidRPr="0080394E">
        <w:rPr>
          <w:sz w:val="28"/>
          <w:szCs w:val="28"/>
        </w:rPr>
        <w:t xml:space="preserve">misure </w:t>
      </w:r>
      <w:r w:rsidR="00D1311E">
        <w:rPr>
          <w:sz w:val="28"/>
          <w:szCs w:val="28"/>
        </w:rPr>
        <w:t xml:space="preserve">amministrative </w:t>
      </w:r>
      <w:r w:rsidR="00A75ECA" w:rsidRPr="0080394E">
        <w:rPr>
          <w:sz w:val="28"/>
          <w:szCs w:val="28"/>
        </w:rPr>
        <w:t xml:space="preserve">con il controllo attraverso </w:t>
      </w:r>
      <w:r w:rsidR="001A460C" w:rsidRPr="0080394E">
        <w:rPr>
          <w:sz w:val="28"/>
          <w:szCs w:val="28"/>
        </w:rPr>
        <w:t>l’</w:t>
      </w:r>
      <w:r w:rsidR="00A75ECA" w:rsidRPr="0080394E">
        <w:rPr>
          <w:sz w:val="28"/>
          <w:szCs w:val="28"/>
        </w:rPr>
        <w:t xml:space="preserve">amministratore giudiziario, indurrebbero a ritenere </w:t>
      </w:r>
      <w:r w:rsidR="00503C14" w:rsidRPr="0080394E">
        <w:rPr>
          <w:sz w:val="28"/>
          <w:szCs w:val="28"/>
        </w:rPr>
        <w:t xml:space="preserve">che </w:t>
      </w:r>
      <w:r w:rsidR="00EF5690" w:rsidRPr="0080394E">
        <w:rPr>
          <w:sz w:val="28"/>
          <w:szCs w:val="28"/>
        </w:rPr>
        <w:t xml:space="preserve">il nuovo sistema di graduazione della prevenzione </w:t>
      </w:r>
      <w:r w:rsidR="006E0296" w:rsidRPr="0080394E">
        <w:rPr>
          <w:sz w:val="28"/>
          <w:szCs w:val="28"/>
        </w:rPr>
        <w:t xml:space="preserve">amministrativa dovrebbe </w:t>
      </w:r>
      <w:r w:rsidR="00EF5690" w:rsidRPr="0080394E">
        <w:rPr>
          <w:sz w:val="28"/>
          <w:szCs w:val="28"/>
        </w:rPr>
        <w:t xml:space="preserve">implicare il superamento -e la conseguente eliminazione- </w:t>
      </w:r>
      <w:r w:rsidR="006E0296" w:rsidRPr="0080394E">
        <w:rPr>
          <w:sz w:val="28"/>
          <w:szCs w:val="28"/>
        </w:rPr>
        <w:t>del</w:t>
      </w:r>
      <w:r w:rsidR="00EF5690" w:rsidRPr="0080394E">
        <w:rPr>
          <w:sz w:val="28"/>
          <w:szCs w:val="28"/>
        </w:rPr>
        <w:t>lo strumento del</w:t>
      </w:r>
      <w:r w:rsidR="006E0296" w:rsidRPr="0080394E">
        <w:rPr>
          <w:sz w:val="28"/>
          <w:szCs w:val="28"/>
        </w:rPr>
        <w:t xml:space="preserve"> controllo giudiziario su richiesta</w:t>
      </w:r>
      <w:r w:rsidR="00EF5690" w:rsidRPr="0080394E">
        <w:rPr>
          <w:sz w:val="28"/>
          <w:szCs w:val="28"/>
        </w:rPr>
        <w:t xml:space="preserve">, preordinato, come detto, ad arginare gli effetti perniciosi dell’interdittiva </w:t>
      </w:r>
      <w:r w:rsidR="00FC2E48">
        <w:rPr>
          <w:sz w:val="28"/>
          <w:szCs w:val="28"/>
        </w:rPr>
        <w:t xml:space="preserve">in un contesto in cui </w:t>
      </w:r>
      <w:r w:rsidR="00EF5690" w:rsidRPr="0080394E">
        <w:rPr>
          <w:sz w:val="28"/>
          <w:szCs w:val="28"/>
        </w:rPr>
        <w:t xml:space="preserve">il </w:t>
      </w:r>
      <w:r w:rsidR="0000747F">
        <w:rPr>
          <w:sz w:val="28"/>
          <w:szCs w:val="28"/>
        </w:rPr>
        <w:t>Prefetto</w:t>
      </w:r>
      <w:r w:rsidR="00EF5690" w:rsidRPr="0080394E">
        <w:rPr>
          <w:sz w:val="28"/>
          <w:szCs w:val="28"/>
        </w:rPr>
        <w:t xml:space="preserve"> non aveva alternative</w:t>
      </w:r>
      <w:r w:rsidR="00503C14" w:rsidRPr="0080394E">
        <w:rPr>
          <w:sz w:val="28"/>
          <w:szCs w:val="28"/>
        </w:rPr>
        <w:t>.</w:t>
      </w:r>
      <w:r w:rsidR="001A460C" w:rsidRPr="0080394E">
        <w:rPr>
          <w:sz w:val="28"/>
          <w:szCs w:val="28"/>
        </w:rPr>
        <w:t xml:space="preserve"> Il </w:t>
      </w:r>
      <w:r w:rsidR="00FC2E48">
        <w:rPr>
          <w:sz w:val="28"/>
          <w:szCs w:val="28"/>
        </w:rPr>
        <w:t>fatto che la riforma abbia, co</w:t>
      </w:r>
      <w:r w:rsidR="00881164">
        <w:rPr>
          <w:sz w:val="28"/>
          <w:szCs w:val="28"/>
        </w:rPr>
        <w:t>me</w:t>
      </w:r>
      <w:r w:rsidR="00FC2E48">
        <w:rPr>
          <w:sz w:val="28"/>
          <w:szCs w:val="28"/>
        </w:rPr>
        <w:t xml:space="preserve"> sopra ricordato, inserito </w:t>
      </w:r>
      <w:r w:rsidR="001A460C" w:rsidRPr="0080394E">
        <w:rPr>
          <w:sz w:val="28"/>
          <w:szCs w:val="28"/>
        </w:rPr>
        <w:t>i</w:t>
      </w:r>
      <w:r w:rsidR="00FC2E48">
        <w:rPr>
          <w:sz w:val="28"/>
          <w:szCs w:val="28"/>
        </w:rPr>
        <w:t>l</w:t>
      </w:r>
      <w:r w:rsidR="001A460C" w:rsidRPr="0080394E">
        <w:rPr>
          <w:sz w:val="28"/>
          <w:szCs w:val="28"/>
        </w:rPr>
        <w:t xml:space="preserve"> </w:t>
      </w:r>
      <w:r w:rsidR="0000747F">
        <w:rPr>
          <w:sz w:val="28"/>
          <w:szCs w:val="28"/>
        </w:rPr>
        <w:t>Prefetto</w:t>
      </w:r>
      <w:r w:rsidR="001A460C" w:rsidRPr="0080394E">
        <w:rPr>
          <w:sz w:val="28"/>
          <w:szCs w:val="28"/>
        </w:rPr>
        <w:t xml:space="preserve"> che ha emesso l’interdittiva tra i soggetti che il </w:t>
      </w:r>
      <w:r w:rsidR="0000747F">
        <w:rPr>
          <w:sz w:val="28"/>
          <w:szCs w:val="28"/>
        </w:rPr>
        <w:t>Tribunale</w:t>
      </w:r>
      <w:r w:rsidR="001A460C" w:rsidRPr="0080394E">
        <w:rPr>
          <w:sz w:val="28"/>
          <w:szCs w:val="28"/>
        </w:rPr>
        <w:t xml:space="preserve"> deve sentire prima di decidere sulla richiesta di ammissione</w:t>
      </w:r>
      <w:r w:rsidR="00B6196F" w:rsidRPr="0080394E">
        <w:rPr>
          <w:sz w:val="28"/>
          <w:szCs w:val="28"/>
        </w:rPr>
        <w:t xml:space="preserve"> al cd controllo volontario esclude </w:t>
      </w:r>
      <w:r w:rsidR="0012400D" w:rsidRPr="0080394E">
        <w:rPr>
          <w:sz w:val="28"/>
          <w:szCs w:val="28"/>
        </w:rPr>
        <w:t xml:space="preserve">però </w:t>
      </w:r>
      <w:r w:rsidR="00B6196F" w:rsidRPr="0080394E">
        <w:rPr>
          <w:sz w:val="28"/>
          <w:szCs w:val="28"/>
        </w:rPr>
        <w:t xml:space="preserve">che il legislatore abbia </w:t>
      </w:r>
      <w:r w:rsidR="00D1311E">
        <w:rPr>
          <w:sz w:val="28"/>
          <w:szCs w:val="28"/>
        </w:rPr>
        <w:t>operato (sia pure implicitamente)</w:t>
      </w:r>
      <w:r w:rsidR="00B6196F" w:rsidRPr="0080394E">
        <w:rPr>
          <w:sz w:val="28"/>
          <w:szCs w:val="28"/>
        </w:rPr>
        <w:t xml:space="preserve"> questa scelta. </w:t>
      </w:r>
      <w:r w:rsidR="00FD16AA" w:rsidRPr="0080394E">
        <w:rPr>
          <w:sz w:val="28"/>
          <w:szCs w:val="28"/>
        </w:rPr>
        <w:t xml:space="preserve">La permanenza delle due </w:t>
      </w:r>
      <w:r w:rsidR="00EF5690" w:rsidRPr="0080394E">
        <w:rPr>
          <w:sz w:val="28"/>
          <w:szCs w:val="28"/>
        </w:rPr>
        <w:t xml:space="preserve">forme di controllo -peraltro con modalità diverse- </w:t>
      </w:r>
      <w:r w:rsidR="0008587E" w:rsidRPr="0080394E">
        <w:rPr>
          <w:sz w:val="28"/>
          <w:szCs w:val="28"/>
        </w:rPr>
        <w:t xml:space="preserve">crea </w:t>
      </w:r>
      <w:r w:rsidR="009E686D" w:rsidRPr="0080394E">
        <w:rPr>
          <w:sz w:val="28"/>
          <w:szCs w:val="28"/>
        </w:rPr>
        <w:t xml:space="preserve">tuttavia </w:t>
      </w:r>
      <w:r w:rsidR="0008587E" w:rsidRPr="0080394E">
        <w:rPr>
          <w:sz w:val="28"/>
          <w:szCs w:val="28"/>
        </w:rPr>
        <w:t xml:space="preserve">un evidente cortocircuito sul piano dei rapporti tra giudice amministrativo e giudice penale. </w:t>
      </w:r>
      <w:r w:rsidR="00503C14" w:rsidRPr="0080394E">
        <w:rPr>
          <w:sz w:val="28"/>
          <w:szCs w:val="28"/>
        </w:rPr>
        <w:t>Se</w:t>
      </w:r>
      <w:r w:rsidR="006E0296" w:rsidRPr="0080394E">
        <w:rPr>
          <w:sz w:val="28"/>
          <w:szCs w:val="28"/>
        </w:rPr>
        <w:t>,</w:t>
      </w:r>
      <w:r w:rsidR="00503C14" w:rsidRPr="0080394E">
        <w:rPr>
          <w:sz w:val="28"/>
          <w:szCs w:val="28"/>
        </w:rPr>
        <w:t xml:space="preserve"> infatti, il </w:t>
      </w:r>
      <w:r w:rsidR="0000747F">
        <w:rPr>
          <w:sz w:val="28"/>
          <w:szCs w:val="28"/>
        </w:rPr>
        <w:t>Prefetto</w:t>
      </w:r>
      <w:r w:rsidR="00503C14" w:rsidRPr="0080394E">
        <w:rPr>
          <w:sz w:val="28"/>
          <w:szCs w:val="28"/>
        </w:rPr>
        <w:t xml:space="preserve">, nonostante la </w:t>
      </w:r>
      <w:r w:rsidR="009E686D" w:rsidRPr="0080394E">
        <w:rPr>
          <w:sz w:val="28"/>
          <w:szCs w:val="28"/>
        </w:rPr>
        <w:t xml:space="preserve">nuova </w:t>
      </w:r>
      <w:r w:rsidR="00503C14" w:rsidRPr="0080394E">
        <w:rPr>
          <w:sz w:val="28"/>
          <w:szCs w:val="28"/>
        </w:rPr>
        <w:t xml:space="preserve">possibilità di adottare </w:t>
      </w:r>
      <w:r w:rsidR="001C6464" w:rsidRPr="0080394E">
        <w:rPr>
          <w:sz w:val="28"/>
          <w:szCs w:val="28"/>
        </w:rPr>
        <w:t>la</w:t>
      </w:r>
      <w:r w:rsidR="00503C14" w:rsidRPr="0080394E">
        <w:rPr>
          <w:sz w:val="28"/>
          <w:szCs w:val="28"/>
        </w:rPr>
        <w:t xml:space="preserve"> misura</w:t>
      </w:r>
      <w:r w:rsidR="001C6464" w:rsidRPr="0080394E">
        <w:rPr>
          <w:sz w:val="28"/>
          <w:szCs w:val="28"/>
        </w:rPr>
        <w:t xml:space="preserve"> di collaborazione</w:t>
      </w:r>
      <w:r w:rsidR="00503C14" w:rsidRPr="0080394E">
        <w:rPr>
          <w:sz w:val="28"/>
          <w:szCs w:val="28"/>
        </w:rPr>
        <w:t xml:space="preserve">, </w:t>
      </w:r>
      <w:r w:rsidR="00C47630" w:rsidRPr="0080394E">
        <w:rPr>
          <w:sz w:val="28"/>
          <w:szCs w:val="28"/>
        </w:rPr>
        <w:t xml:space="preserve">ha </w:t>
      </w:r>
      <w:r w:rsidR="00503C14" w:rsidRPr="0080394E">
        <w:rPr>
          <w:sz w:val="28"/>
          <w:szCs w:val="28"/>
        </w:rPr>
        <w:t>rit</w:t>
      </w:r>
      <w:r w:rsidR="00C47630" w:rsidRPr="0080394E">
        <w:rPr>
          <w:sz w:val="28"/>
          <w:szCs w:val="28"/>
        </w:rPr>
        <w:t xml:space="preserve">enuto </w:t>
      </w:r>
      <w:r w:rsidR="00466E04">
        <w:rPr>
          <w:sz w:val="28"/>
          <w:szCs w:val="28"/>
        </w:rPr>
        <w:t xml:space="preserve">comunque </w:t>
      </w:r>
      <w:r w:rsidR="00503C14" w:rsidRPr="0080394E">
        <w:rPr>
          <w:sz w:val="28"/>
          <w:szCs w:val="28"/>
        </w:rPr>
        <w:t xml:space="preserve">necessario disporre la più grave misura interdittiva, vuol dire che ha già escluso il carattere </w:t>
      </w:r>
      <w:r w:rsidR="00466E04">
        <w:rPr>
          <w:sz w:val="28"/>
          <w:szCs w:val="28"/>
        </w:rPr>
        <w:t>“</w:t>
      </w:r>
      <w:r w:rsidR="00503C14" w:rsidRPr="0080394E">
        <w:rPr>
          <w:sz w:val="28"/>
          <w:szCs w:val="28"/>
        </w:rPr>
        <w:t>occasionale</w:t>
      </w:r>
      <w:r w:rsidR="00466E04">
        <w:rPr>
          <w:sz w:val="28"/>
          <w:szCs w:val="28"/>
        </w:rPr>
        <w:t>”</w:t>
      </w:r>
      <w:r w:rsidR="00503C14" w:rsidRPr="0080394E">
        <w:rPr>
          <w:sz w:val="28"/>
          <w:szCs w:val="28"/>
        </w:rPr>
        <w:t xml:space="preserve"> della </w:t>
      </w:r>
      <w:r w:rsidRPr="0080394E">
        <w:rPr>
          <w:sz w:val="28"/>
          <w:szCs w:val="28"/>
        </w:rPr>
        <w:t>contaminazione</w:t>
      </w:r>
      <w:r w:rsidR="00C47630" w:rsidRPr="0080394E">
        <w:rPr>
          <w:sz w:val="28"/>
          <w:szCs w:val="28"/>
        </w:rPr>
        <w:t xml:space="preserve"> e l</w:t>
      </w:r>
      <w:r w:rsidR="00B6196F" w:rsidRPr="0080394E">
        <w:rPr>
          <w:sz w:val="28"/>
          <w:szCs w:val="28"/>
        </w:rPr>
        <w:t xml:space="preserve">a </w:t>
      </w:r>
      <w:r w:rsidR="009E686D" w:rsidRPr="0080394E">
        <w:rPr>
          <w:sz w:val="28"/>
          <w:szCs w:val="28"/>
        </w:rPr>
        <w:t xml:space="preserve">conseguente </w:t>
      </w:r>
      <w:r w:rsidR="00C47630" w:rsidRPr="0080394E">
        <w:rPr>
          <w:sz w:val="28"/>
          <w:szCs w:val="28"/>
        </w:rPr>
        <w:t>possibilità di “bonifica</w:t>
      </w:r>
      <w:r w:rsidR="00FC2E48">
        <w:rPr>
          <w:sz w:val="28"/>
          <w:szCs w:val="28"/>
        </w:rPr>
        <w:t>re</w:t>
      </w:r>
      <w:r w:rsidR="00C47630" w:rsidRPr="0080394E">
        <w:rPr>
          <w:sz w:val="28"/>
          <w:szCs w:val="28"/>
        </w:rPr>
        <w:t>” l’</w:t>
      </w:r>
      <w:r w:rsidR="00FC2E48">
        <w:rPr>
          <w:sz w:val="28"/>
          <w:szCs w:val="28"/>
        </w:rPr>
        <w:t>azienda, traghettandola in un contesto economico “sano”. S</w:t>
      </w:r>
      <w:r w:rsidR="00C47630" w:rsidRPr="0080394E">
        <w:rPr>
          <w:sz w:val="28"/>
          <w:szCs w:val="28"/>
        </w:rPr>
        <w:t xml:space="preserve">icché, come </w:t>
      </w:r>
      <w:r w:rsidR="001C6464" w:rsidRPr="0080394E">
        <w:rPr>
          <w:sz w:val="28"/>
          <w:szCs w:val="28"/>
        </w:rPr>
        <w:t xml:space="preserve">è stato </w:t>
      </w:r>
      <w:r w:rsidR="00C47630" w:rsidRPr="0080394E">
        <w:rPr>
          <w:sz w:val="28"/>
          <w:szCs w:val="28"/>
        </w:rPr>
        <w:t>giustamente evidenziato</w:t>
      </w:r>
      <w:r w:rsidR="00466E04">
        <w:rPr>
          <w:rStyle w:val="Rimandonotaapidipagina"/>
          <w:sz w:val="28"/>
          <w:szCs w:val="28"/>
        </w:rPr>
        <w:footnoteReference w:id="25"/>
      </w:r>
      <w:r w:rsidR="00C47630" w:rsidRPr="0080394E">
        <w:rPr>
          <w:sz w:val="28"/>
          <w:szCs w:val="28"/>
        </w:rPr>
        <w:t xml:space="preserve">, il giudice della prevenzione, per accogliere la richiesta di controllo, </w:t>
      </w:r>
      <w:r w:rsidR="00FD16AA" w:rsidRPr="0080394E">
        <w:rPr>
          <w:sz w:val="28"/>
          <w:szCs w:val="28"/>
        </w:rPr>
        <w:t xml:space="preserve">dovrebbe </w:t>
      </w:r>
      <w:r w:rsidR="00C47630" w:rsidRPr="0080394E">
        <w:rPr>
          <w:sz w:val="28"/>
          <w:szCs w:val="28"/>
        </w:rPr>
        <w:t>inevitabilmente effettuare una valutazione critica su</w:t>
      </w:r>
      <w:r w:rsidR="00FD16AA" w:rsidRPr="0080394E">
        <w:rPr>
          <w:sz w:val="28"/>
          <w:szCs w:val="28"/>
        </w:rPr>
        <w:t>i presupposti</w:t>
      </w:r>
      <w:r w:rsidR="001C6464" w:rsidRPr="0080394E">
        <w:rPr>
          <w:sz w:val="28"/>
          <w:szCs w:val="28"/>
        </w:rPr>
        <w:t>, e</w:t>
      </w:r>
      <w:r w:rsidR="00466E04">
        <w:rPr>
          <w:sz w:val="28"/>
          <w:szCs w:val="28"/>
        </w:rPr>
        <w:t>,</w:t>
      </w:r>
      <w:r w:rsidR="001C6464" w:rsidRPr="0080394E">
        <w:rPr>
          <w:sz w:val="28"/>
          <w:szCs w:val="28"/>
        </w:rPr>
        <w:t xml:space="preserve"> dunque, sulla legittimità </w:t>
      </w:r>
      <w:r w:rsidR="00FD16AA" w:rsidRPr="0080394E">
        <w:rPr>
          <w:sz w:val="28"/>
          <w:szCs w:val="28"/>
        </w:rPr>
        <w:t>de</w:t>
      </w:r>
      <w:r w:rsidR="00C47630" w:rsidRPr="0080394E">
        <w:rPr>
          <w:sz w:val="28"/>
          <w:szCs w:val="28"/>
        </w:rPr>
        <w:t>lla decisione amministrativa</w:t>
      </w:r>
      <w:r w:rsidR="001C6464" w:rsidRPr="0080394E">
        <w:rPr>
          <w:sz w:val="28"/>
          <w:szCs w:val="28"/>
        </w:rPr>
        <w:t xml:space="preserve">: valutazione </w:t>
      </w:r>
      <w:r w:rsidR="00FD16AA" w:rsidRPr="0080394E">
        <w:rPr>
          <w:sz w:val="28"/>
          <w:szCs w:val="28"/>
        </w:rPr>
        <w:t xml:space="preserve">che è invece istituzionalmente riservata al giudice amministrativo. </w:t>
      </w:r>
      <w:r w:rsidR="00E9495D" w:rsidRPr="0080394E">
        <w:rPr>
          <w:sz w:val="28"/>
          <w:szCs w:val="28"/>
        </w:rPr>
        <w:t xml:space="preserve">Significativamente il TAR Catania ha affermato che il fatto stesso dell’ammissione al controllo imporrebbe al </w:t>
      </w:r>
      <w:r w:rsidR="0000747F">
        <w:rPr>
          <w:sz w:val="28"/>
          <w:szCs w:val="28"/>
        </w:rPr>
        <w:t>Prefetto</w:t>
      </w:r>
      <w:r w:rsidR="00E9495D" w:rsidRPr="0080394E">
        <w:rPr>
          <w:sz w:val="28"/>
          <w:szCs w:val="28"/>
        </w:rPr>
        <w:t xml:space="preserve"> un immediato riesame della propria decisione interdittiva</w:t>
      </w:r>
      <w:r w:rsidR="00B31C37" w:rsidRPr="0080394E">
        <w:rPr>
          <w:sz w:val="28"/>
          <w:szCs w:val="28"/>
        </w:rPr>
        <w:t xml:space="preserve">, secondo le nuove regole del contraddittorio procedimentale, con la precisazione che </w:t>
      </w:r>
      <w:r w:rsidR="004163A7" w:rsidRPr="0080394E">
        <w:rPr>
          <w:sz w:val="28"/>
          <w:szCs w:val="28"/>
        </w:rPr>
        <w:t xml:space="preserve">qualora la nuova istruttoria si concludesse </w:t>
      </w:r>
      <w:r w:rsidR="00B31C37" w:rsidRPr="0080394E">
        <w:rPr>
          <w:sz w:val="28"/>
          <w:szCs w:val="28"/>
        </w:rPr>
        <w:t xml:space="preserve">con un giudizio prognostico positivo per l’impresa, </w:t>
      </w:r>
      <w:r w:rsidR="004D7DD4">
        <w:rPr>
          <w:sz w:val="28"/>
          <w:szCs w:val="28"/>
        </w:rPr>
        <w:t>al</w:t>
      </w:r>
      <w:r w:rsidR="00466E04">
        <w:rPr>
          <w:sz w:val="28"/>
          <w:szCs w:val="28"/>
        </w:rPr>
        <w:t xml:space="preserve">la rimozione dell’interdittiva </w:t>
      </w:r>
      <w:r w:rsidR="00B31C37" w:rsidRPr="0080394E">
        <w:rPr>
          <w:sz w:val="28"/>
          <w:szCs w:val="28"/>
        </w:rPr>
        <w:t>dovrebbe far</w:t>
      </w:r>
      <w:r w:rsidR="00BD0678">
        <w:rPr>
          <w:sz w:val="28"/>
          <w:szCs w:val="28"/>
        </w:rPr>
        <w:t>e automaticamente</w:t>
      </w:r>
      <w:r w:rsidR="00B31C37" w:rsidRPr="0080394E">
        <w:rPr>
          <w:sz w:val="28"/>
          <w:szCs w:val="28"/>
        </w:rPr>
        <w:t xml:space="preserve"> </w:t>
      </w:r>
      <w:r w:rsidR="004D7DD4">
        <w:rPr>
          <w:sz w:val="28"/>
          <w:szCs w:val="28"/>
        </w:rPr>
        <w:t xml:space="preserve">seguito la </w:t>
      </w:r>
      <w:r w:rsidR="00B31C37" w:rsidRPr="0080394E">
        <w:rPr>
          <w:sz w:val="28"/>
          <w:szCs w:val="28"/>
        </w:rPr>
        <w:t>cessa</w:t>
      </w:r>
      <w:r w:rsidR="004D7DD4">
        <w:rPr>
          <w:sz w:val="28"/>
          <w:szCs w:val="28"/>
        </w:rPr>
        <w:t>zione del</w:t>
      </w:r>
      <w:r w:rsidR="00B31C37" w:rsidRPr="0080394E">
        <w:rPr>
          <w:sz w:val="28"/>
          <w:szCs w:val="28"/>
        </w:rPr>
        <w:t>la misura di preve</w:t>
      </w:r>
      <w:r w:rsidR="004163A7" w:rsidRPr="0080394E">
        <w:rPr>
          <w:sz w:val="28"/>
          <w:szCs w:val="28"/>
        </w:rPr>
        <w:t xml:space="preserve">nzione penale, anche se </w:t>
      </w:r>
      <w:r w:rsidR="004163A7" w:rsidRPr="0080394E">
        <w:rPr>
          <w:i/>
          <w:iCs/>
          <w:sz w:val="28"/>
          <w:szCs w:val="28"/>
        </w:rPr>
        <w:t>medio tempore</w:t>
      </w:r>
      <w:r w:rsidR="004163A7" w:rsidRPr="0080394E">
        <w:rPr>
          <w:sz w:val="28"/>
          <w:szCs w:val="28"/>
        </w:rPr>
        <w:t xml:space="preserve"> reiterata</w:t>
      </w:r>
      <w:r w:rsidR="00E9495D" w:rsidRPr="0080394E">
        <w:rPr>
          <w:sz w:val="28"/>
          <w:szCs w:val="28"/>
        </w:rPr>
        <w:t xml:space="preserve">. </w:t>
      </w:r>
    </w:p>
    <w:p w14:paraId="74B7B358" w14:textId="3E6AB6B4" w:rsidR="005A7B35" w:rsidRPr="0080394E" w:rsidRDefault="001C6464" w:rsidP="00D16F96">
      <w:pPr>
        <w:spacing w:line="360" w:lineRule="auto"/>
        <w:jc w:val="both"/>
        <w:rPr>
          <w:sz w:val="28"/>
          <w:szCs w:val="28"/>
        </w:rPr>
      </w:pPr>
      <w:r w:rsidRPr="0080394E">
        <w:rPr>
          <w:sz w:val="28"/>
          <w:szCs w:val="28"/>
        </w:rPr>
        <w:lastRenderedPageBreak/>
        <w:t>Si ripropone, dunque, l’annoso tema del rapporto tra giurisdizione penale e giurisdizione amministrativa</w:t>
      </w:r>
      <w:r w:rsidR="00881164">
        <w:rPr>
          <w:sz w:val="28"/>
          <w:szCs w:val="28"/>
        </w:rPr>
        <w:t>,</w:t>
      </w:r>
      <w:r w:rsidRPr="0080394E">
        <w:rPr>
          <w:sz w:val="28"/>
          <w:szCs w:val="28"/>
        </w:rPr>
        <w:t xml:space="preserve"> che, come ho avuto occasione di segnalare in riferimento alla materia edilizia</w:t>
      </w:r>
      <w:r w:rsidR="004D7DD4">
        <w:rPr>
          <w:rStyle w:val="Rimandonotaapidipagina"/>
          <w:sz w:val="28"/>
          <w:szCs w:val="28"/>
        </w:rPr>
        <w:footnoteReference w:id="26"/>
      </w:r>
      <w:r w:rsidR="004D7DD4">
        <w:rPr>
          <w:sz w:val="28"/>
          <w:szCs w:val="28"/>
        </w:rPr>
        <w:t xml:space="preserve">, </w:t>
      </w:r>
      <w:r w:rsidRPr="0080394E">
        <w:rPr>
          <w:sz w:val="28"/>
          <w:szCs w:val="28"/>
        </w:rPr>
        <w:t xml:space="preserve">costituisce uno dei più gravi </w:t>
      </w:r>
      <w:r w:rsidRPr="0080394E">
        <w:rPr>
          <w:i/>
          <w:iCs/>
          <w:sz w:val="28"/>
          <w:szCs w:val="28"/>
        </w:rPr>
        <w:t>vulnera</w:t>
      </w:r>
      <w:r w:rsidRPr="0080394E">
        <w:rPr>
          <w:sz w:val="28"/>
          <w:szCs w:val="28"/>
        </w:rPr>
        <w:t xml:space="preserve"> alla certezza del diritto e alla fiducia degli </w:t>
      </w:r>
      <w:r w:rsidR="00727730">
        <w:rPr>
          <w:sz w:val="28"/>
          <w:szCs w:val="28"/>
        </w:rPr>
        <w:t xml:space="preserve">operatori e degli </w:t>
      </w:r>
      <w:r w:rsidRPr="0080394E">
        <w:rPr>
          <w:sz w:val="28"/>
          <w:szCs w:val="28"/>
        </w:rPr>
        <w:t>investitori</w:t>
      </w:r>
      <w:r w:rsidR="004D7DD4">
        <w:rPr>
          <w:rStyle w:val="Rimandonotaapidipagina"/>
          <w:sz w:val="28"/>
          <w:szCs w:val="28"/>
        </w:rPr>
        <w:footnoteReference w:id="27"/>
      </w:r>
      <w:r w:rsidR="005A7B35" w:rsidRPr="0080394E">
        <w:rPr>
          <w:sz w:val="28"/>
          <w:szCs w:val="28"/>
        </w:rPr>
        <w:t>.</w:t>
      </w:r>
      <w:r w:rsidR="00FC2E48">
        <w:rPr>
          <w:sz w:val="28"/>
          <w:szCs w:val="28"/>
        </w:rPr>
        <w:t xml:space="preserve"> </w:t>
      </w:r>
    </w:p>
    <w:p w14:paraId="648D19B7" w14:textId="2236EC8A" w:rsidR="001C6464" w:rsidRPr="0080394E" w:rsidRDefault="005A7B35" w:rsidP="002711FB">
      <w:pPr>
        <w:spacing w:line="360" w:lineRule="auto"/>
        <w:jc w:val="center"/>
        <w:rPr>
          <w:sz w:val="28"/>
          <w:szCs w:val="28"/>
        </w:rPr>
      </w:pPr>
      <w:r w:rsidRPr="0080394E">
        <w:rPr>
          <w:sz w:val="28"/>
          <w:szCs w:val="28"/>
        </w:rPr>
        <w:t>*</w:t>
      </w:r>
    </w:p>
    <w:p w14:paraId="61D85EB6" w14:textId="1A998809" w:rsidR="00FD799D" w:rsidRDefault="00A805A4" w:rsidP="00D16F96">
      <w:pPr>
        <w:spacing w:line="360" w:lineRule="auto"/>
        <w:jc w:val="both"/>
        <w:rPr>
          <w:sz w:val="28"/>
          <w:szCs w:val="28"/>
        </w:rPr>
      </w:pPr>
      <w:r w:rsidRPr="00A805A4">
        <w:rPr>
          <w:b/>
          <w:bCs/>
          <w:sz w:val="28"/>
          <w:szCs w:val="28"/>
        </w:rPr>
        <w:t>4. Conclusioni.</w:t>
      </w:r>
      <w:r>
        <w:rPr>
          <w:sz w:val="28"/>
          <w:szCs w:val="28"/>
        </w:rPr>
        <w:t xml:space="preserve"> </w:t>
      </w:r>
      <w:r w:rsidR="0008587E" w:rsidRPr="0080394E">
        <w:rPr>
          <w:sz w:val="28"/>
          <w:szCs w:val="28"/>
        </w:rPr>
        <w:t xml:space="preserve">Non resta quindi che auspicare un </w:t>
      </w:r>
      <w:r w:rsidR="003E62B6" w:rsidRPr="0080394E">
        <w:rPr>
          <w:sz w:val="28"/>
          <w:szCs w:val="28"/>
        </w:rPr>
        <w:t>sollecito re-</w:t>
      </w:r>
      <w:r w:rsidR="0008587E" w:rsidRPr="0080394E">
        <w:rPr>
          <w:sz w:val="28"/>
          <w:szCs w:val="28"/>
        </w:rPr>
        <w:t>intervento legislativo, che, oltre a regolare i rapporti tra controllo giudiziario e informazione amministrativa</w:t>
      </w:r>
      <w:r w:rsidR="001F7707" w:rsidRPr="0080394E">
        <w:rPr>
          <w:sz w:val="28"/>
          <w:szCs w:val="28"/>
        </w:rPr>
        <w:t xml:space="preserve"> e le tempistiche del riesame della persistenza dei presupposti per le misure di prevenzione</w:t>
      </w:r>
      <w:r w:rsidR="007C3066">
        <w:rPr>
          <w:sz w:val="28"/>
          <w:szCs w:val="28"/>
        </w:rPr>
        <w:t xml:space="preserve"> -</w:t>
      </w:r>
      <w:r w:rsidR="009D0094">
        <w:rPr>
          <w:sz w:val="28"/>
          <w:szCs w:val="28"/>
        </w:rPr>
        <w:t xml:space="preserve">garantendo un </w:t>
      </w:r>
      <w:r w:rsidR="007C3066">
        <w:rPr>
          <w:sz w:val="28"/>
          <w:szCs w:val="28"/>
        </w:rPr>
        <w:t xml:space="preserve">costante aggiornamento della loro effettività necessità, soprattutto con riferimento all’interdittiva- </w:t>
      </w:r>
      <w:r w:rsidR="00331732" w:rsidRPr="0080394E">
        <w:rPr>
          <w:sz w:val="28"/>
          <w:szCs w:val="28"/>
        </w:rPr>
        <w:t>rivaluti l’opportunità de</w:t>
      </w:r>
      <w:r w:rsidR="0008587E" w:rsidRPr="0080394E">
        <w:rPr>
          <w:sz w:val="28"/>
          <w:szCs w:val="28"/>
        </w:rPr>
        <w:t>lla permanenza del controllo su richiesta</w:t>
      </w:r>
      <w:r w:rsidR="001F7707" w:rsidRPr="0080394E">
        <w:rPr>
          <w:sz w:val="28"/>
          <w:szCs w:val="28"/>
        </w:rPr>
        <w:t xml:space="preserve"> e, magari, come suggerito dal TAR Catania, consideri anche l’opportunità </w:t>
      </w:r>
      <w:r w:rsidR="005F6069" w:rsidRPr="0080394E">
        <w:rPr>
          <w:sz w:val="28"/>
          <w:szCs w:val="28"/>
        </w:rPr>
        <w:t>di intervenire sul</w:t>
      </w:r>
      <w:r w:rsidR="008E113F" w:rsidRPr="0080394E">
        <w:rPr>
          <w:sz w:val="28"/>
          <w:szCs w:val="28"/>
        </w:rPr>
        <w:t xml:space="preserve">le regole </w:t>
      </w:r>
      <w:r w:rsidR="00331732" w:rsidRPr="0080394E">
        <w:rPr>
          <w:sz w:val="28"/>
          <w:szCs w:val="28"/>
        </w:rPr>
        <w:t xml:space="preserve">e sulle tempistiche </w:t>
      </w:r>
      <w:r w:rsidR="008E113F" w:rsidRPr="0080394E">
        <w:rPr>
          <w:sz w:val="28"/>
          <w:szCs w:val="28"/>
        </w:rPr>
        <w:t>processuali</w:t>
      </w:r>
      <w:r w:rsidR="00331732" w:rsidRPr="0080394E">
        <w:rPr>
          <w:sz w:val="28"/>
          <w:szCs w:val="28"/>
        </w:rPr>
        <w:t>, a questo punto</w:t>
      </w:r>
      <w:r w:rsidR="002E7739">
        <w:rPr>
          <w:sz w:val="28"/>
          <w:szCs w:val="28"/>
        </w:rPr>
        <w:t>, tanto del giudizio amministrativo, quanto di quello penale.</w:t>
      </w:r>
      <w:r w:rsidR="00331732" w:rsidRPr="0080394E">
        <w:rPr>
          <w:sz w:val="28"/>
          <w:szCs w:val="28"/>
        </w:rPr>
        <w:t xml:space="preserve"> </w:t>
      </w:r>
      <w:r w:rsidR="00727730">
        <w:rPr>
          <w:sz w:val="28"/>
          <w:szCs w:val="28"/>
        </w:rPr>
        <w:t>Aleggia peraltro sempre il problema dei limiti della trasparenza e del</w:t>
      </w:r>
      <w:r w:rsidR="00A23AF1">
        <w:rPr>
          <w:sz w:val="28"/>
          <w:szCs w:val="28"/>
        </w:rPr>
        <w:t>le garanzie partecipative del procedimento</w:t>
      </w:r>
      <w:r w:rsidR="00727730">
        <w:rPr>
          <w:sz w:val="28"/>
          <w:szCs w:val="28"/>
        </w:rPr>
        <w:t xml:space="preserve"> </w:t>
      </w:r>
      <w:r w:rsidR="00A23AF1">
        <w:rPr>
          <w:sz w:val="28"/>
          <w:szCs w:val="28"/>
        </w:rPr>
        <w:t xml:space="preserve">che ha condotto all’adozione delle misure di prevenzione </w:t>
      </w:r>
      <w:r w:rsidR="00727730">
        <w:rPr>
          <w:sz w:val="28"/>
          <w:szCs w:val="28"/>
        </w:rPr>
        <w:t>amministrativa</w:t>
      </w:r>
      <w:r w:rsidR="00A23AF1">
        <w:rPr>
          <w:sz w:val="28"/>
          <w:szCs w:val="28"/>
        </w:rPr>
        <w:t>: problema che la riforma ha solo attenuato</w:t>
      </w:r>
      <w:r w:rsidR="00A23AF1">
        <w:rPr>
          <w:rStyle w:val="Rimandonotaapidipagina"/>
          <w:sz w:val="28"/>
          <w:szCs w:val="28"/>
        </w:rPr>
        <w:footnoteReference w:id="28"/>
      </w:r>
      <w:r w:rsidR="00A23AF1">
        <w:rPr>
          <w:sz w:val="28"/>
          <w:szCs w:val="28"/>
        </w:rPr>
        <w:t xml:space="preserve"> e</w:t>
      </w:r>
      <w:r w:rsidR="00727730">
        <w:rPr>
          <w:sz w:val="28"/>
          <w:szCs w:val="28"/>
        </w:rPr>
        <w:t xml:space="preserve"> </w:t>
      </w:r>
      <w:r w:rsidR="00A23AF1">
        <w:rPr>
          <w:sz w:val="28"/>
          <w:szCs w:val="28"/>
        </w:rPr>
        <w:t xml:space="preserve">che inevitabilmente si riflette sull’effettività di un </w:t>
      </w:r>
      <w:r w:rsidR="00727730">
        <w:rPr>
          <w:sz w:val="28"/>
          <w:szCs w:val="28"/>
        </w:rPr>
        <w:t>sindacato</w:t>
      </w:r>
      <w:r w:rsidR="00A23AF1">
        <w:rPr>
          <w:sz w:val="28"/>
          <w:szCs w:val="28"/>
        </w:rPr>
        <w:t xml:space="preserve"> giurisdizionale che non ha </w:t>
      </w:r>
      <w:r w:rsidR="009D0094">
        <w:rPr>
          <w:sz w:val="28"/>
          <w:szCs w:val="28"/>
        </w:rPr>
        <w:t xml:space="preserve">sempre </w:t>
      </w:r>
      <w:r w:rsidR="00A23AF1">
        <w:rPr>
          <w:sz w:val="28"/>
          <w:szCs w:val="28"/>
        </w:rPr>
        <w:t>pieno accesso al fatto.</w:t>
      </w:r>
      <w:r w:rsidR="00727730">
        <w:rPr>
          <w:sz w:val="28"/>
          <w:szCs w:val="28"/>
        </w:rPr>
        <w:t xml:space="preserve"> </w:t>
      </w:r>
    </w:p>
    <w:p w14:paraId="09DD9330" w14:textId="77777777" w:rsidR="00D1392A" w:rsidRDefault="00E06C12" w:rsidP="00AB51CF">
      <w:pPr>
        <w:spacing w:line="360" w:lineRule="auto"/>
        <w:jc w:val="both"/>
        <w:rPr>
          <w:sz w:val="28"/>
          <w:szCs w:val="28"/>
        </w:rPr>
      </w:pPr>
      <w:r>
        <w:rPr>
          <w:sz w:val="28"/>
          <w:szCs w:val="28"/>
        </w:rPr>
        <w:t>Come è stato da varie parti segnalato, s</w:t>
      </w:r>
      <w:r w:rsidR="004D7DD4">
        <w:rPr>
          <w:sz w:val="28"/>
          <w:szCs w:val="28"/>
        </w:rPr>
        <w:t xml:space="preserve">arebbe </w:t>
      </w:r>
      <w:r w:rsidR="00457CA6">
        <w:rPr>
          <w:sz w:val="28"/>
          <w:szCs w:val="28"/>
        </w:rPr>
        <w:t xml:space="preserve">peraltro </w:t>
      </w:r>
      <w:r w:rsidR="004D7DD4">
        <w:rPr>
          <w:sz w:val="28"/>
          <w:szCs w:val="28"/>
        </w:rPr>
        <w:t xml:space="preserve">parimenti </w:t>
      </w:r>
      <w:r w:rsidR="002E7739">
        <w:rPr>
          <w:sz w:val="28"/>
          <w:szCs w:val="28"/>
        </w:rPr>
        <w:t xml:space="preserve">auspicabile un intervento normativo </w:t>
      </w:r>
      <w:r>
        <w:rPr>
          <w:sz w:val="28"/>
          <w:szCs w:val="28"/>
        </w:rPr>
        <w:t xml:space="preserve">uniformante </w:t>
      </w:r>
      <w:r w:rsidR="002E7739">
        <w:rPr>
          <w:sz w:val="28"/>
          <w:szCs w:val="28"/>
        </w:rPr>
        <w:t xml:space="preserve">dell’Unione europea, </w:t>
      </w:r>
      <w:r w:rsidR="00457CA6">
        <w:rPr>
          <w:sz w:val="28"/>
          <w:szCs w:val="28"/>
        </w:rPr>
        <w:t xml:space="preserve">analogamente a quanto </w:t>
      </w:r>
      <w:r w:rsidR="002E7739">
        <w:rPr>
          <w:sz w:val="28"/>
          <w:szCs w:val="28"/>
        </w:rPr>
        <w:t>avvenuto per il mandato d’arresto europeo</w:t>
      </w:r>
      <w:r w:rsidR="00457CA6">
        <w:rPr>
          <w:sz w:val="28"/>
          <w:szCs w:val="28"/>
        </w:rPr>
        <w:t xml:space="preserve">, </w:t>
      </w:r>
      <w:r w:rsidR="00D1392A">
        <w:rPr>
          <w:sz w:val="28"/>
          <w:szCs w:val="28"/>
        </w:rPr>
        <w:t xml:space="preserve">riprendendo l’iniziativa </w:t>
      </w:r>
      <w:r w:rsidR="00BD0678">
        <w:rPr>
          <w:sz w:val="28"/>
          <w:szCs w:val="28"/>
        </w:rPr>
        <w:t xml:space="preserve">a suo tempo </w:t>
      </w:r>
      <w:r w:rsidR="00D1392A">
        <w:rPr>
          <w:sz w:val="28"/>
          <w:szCs w:val="28"/>
        </w:rPr>
        <w:t xml:space="preserve">bloccata </w:t>
      </w:r>
      <w:r w:rsidR="002E7739">
        <w:rPr>
          <w:sz w:val="28"/>
          <w:szCs w:val="28"/>
        </w:rPr>
        <w:t>dal “veto” opposto da alcuni Paesi</w:t>
      </w:r>
      <w:r>
        <w:rPr>
          <w:sz w:val="28"/>
          <w:szCs w:val="28"/>
        </w:rPr>
        <w:t xml:space="preserve"> (tra i quali, significativamente, Austria e Germania)</w:t>
      </w:r>
      <w:r w:rsidR="00D1392A">
        <w:rPr>
          <w:sz w:val="28"/>
          <w:szCs w:val="28"/>
        </w:rPr>
        <w:t xml:space="preserve">. </w:t>
      </w:r>
    </w:p>
    <w:p w14:paraId="598E4291" w14:textId="66280C10" w:rsidR="00AB51CF" w:rsidRDefault="00D1392A" w:rsidP="00AB51CF">
      <w:pPr>
        <w:spacing w:line="360" w:lineRule="auto"/>
        <w:jc w:val="both"/>
        <w:rPr>
          <w:sz w:val="28"/>
          <w:szCs w:val="28"/>
        </w:rPr>
      </w:pPr>
      <w:r>
        <w:rPr>
          <w:sz w:val="28"/>
          <w:szCs w:val="28"/>
        </w:rPr>
        <w:lastRenderedPageBreak/>
        <w:t xml:space="preserve">È in ogni caso </w:t>
      </w:r>
      <w:r w:rsidR="009D0094">
        <w:rPr>
          <w:sz w:val="28"/>
          <w:szCs w:val="28"/>
        </w:rPr>
        <w:t xml:space="preserve">assolutamente necessaria </w:t>
      </w:r>
      <w:r w:rsidR="002E7739">
        <w:rPr>
          <w:sz w:val="28"/>
          <w:szCs w:val="28"/>
        </w:rPr>
        <w:t xml:space="preserve">la creazione -a livello </w:t>
      </w:r>
      <w:r w:rsidR="00BD0678">
        <w:rPr>
          <w:sz w:val="28"/>
          <w:szCs w:val="28"/>
        </w:rPr>
        <w:t xml:space="preserve">sia </w:t>
      </w:r>
      <w:r w:rsidR="002E7739">
        <w:rPr>
          <w:sz w:val="28"/>
          <w:szCs w:val="28"/>
        </w:rPr>
        <w:t xml:space="preserve">nazionale </w:t>
      </w:r>
      <w:r w:rsidR="00BD0678">
        <w:rPr>
          <w:sz w:val="28"/>
          <w:szCs w:val="28"/>
        </w:rPr>
        <w:t xml:space="preserve">che </w:t>
      </w:r>
      <w:r w:rsidR="002E7739">
        <w:rPr>
          <w:sz w:val="28"/>
          <w:szCs w:val="28"/>
        </w:rPr>
        <w:t>europeo- di una</w:t>
      </w:r>
      <w:r w:rsidR="00E06C12">
        <w:rPr>
          <w:sz w:val="28"/>
          <w:szCs w:val="28"/>
        </w:rPr>
        <w:t xml:space="preserve"> valida</w:t>
      </w:r>
      <w:r w:rsidR="002E7739">
        <w:rPr>
          <w:sz w:val="28"/>
          <w:szCs w:val="28"/>
        </w:rPr>
        <w:t xml:space="preserve"> “rete” di </w:t>
      </w:r>
      <w:r w:rsidR="00BD0678">
        <w:rPr>
          <w:sz w:val="28"/>
          <w:szCs w:val="28"/>
        </w:rPr>
        <w:t>trasmissione delle</w:t>
      </w:r>
      <w:r w:rsidR="002E7739">
        <w:rPr>
          <w:sz w:val="28"/>
          <w:szCs w:val="28"/>
        </w:rPr>
        <w:t xml:space="preserve"> informazioni</w:t>
      </w:r>
      <w:r w:rsidR="00BD0678">
        <w:rPr>
          <w:sz w:val="28"/>
          <w:szCs w:val="28"/>
        </w:rPr>
        <w:t xml:space="preserve"> </w:t>
      </w:r>
      <w:r w:rsidR="00E06C12">
        <w:rPr>
          <w:sz w:val="28"/>
          <w:szCs w:val="28"/>
        </w:rPr>
        <w:t xml:space="preserve">e </w:t>
      </w:r>
      <w:r w:rsidR="009D0094">
        <w:rPr>
          <w:sz w:val="28"/>
          <w:szCs w:val="28"/>
        </w:rPr>
        <w:t xml:space="preserve">di </w:t>
      </w:r>
      <w:r w:rsidR="00E06C12">
        <w:rPr>
          <w:sz w:val="28"/>
          <w:szCs w:val="28"/>
        </w:rPr>
        <w:t xml:space="preserve">coordinamento delle azioni </w:t>
      </w:r>
      <w:r w:rsidR="00BD0678">
        <w:rPr>
          <w:sz w:val="28"/>
          <w:szCs w:val="28"/>
        </w:rPr>
        <w:t xml:space="preserve">tra le autorità competenti. </w:t>
      </w:r>
      <w:r w:rsidR="002E7739">
        <w:rPr>
          <w:sz w:val="28"/>
          <w:szCs w:val="28"/>
        </w:rPr>
        <w:t xml:space="preserve"> </w:t>
      </w:r>
    </w:p>
    <w:p w14:paraId="4A4DE770" w14:textId="592625D1" w:rsidR="00881164" w:rsidRPr="00881164" w:rsidRDefault="00881164" w:rsidP="00881164">
      <w:pPr>
        <w:spacing w:line="360" w:lineRule="auto"/>
        <w:jc w:val="both"/>
        <w:rPr>
          <w:i/>
          <w:iCs/>
          <w:sz w:val="28"/>
          <w:szCs w:val="28"/>
        </w:rPr>
      </w:pPr>
      <w:r>
        <w:rPr>
          <w:sz w:val="28"/>
          <w:szCs w:val="28"/>
        </w:rPr>
        <w:t xml:space="preserve">Si legge significativamente </w:t>
      </w:r>
      <w:r w:rsidRPr="00881164">
        <w:rPr>
          <w:sz w:val="28"/>
          <w:szCs w:val="28"/>
        </w:rPr>
        <w:t>in un recente articolo sull’Huffington Post</w:t>
      </w:r>
      <w:r w:rsidRPr="00881164">
        <w:rPr>
          <w:sz w:val="28"/>
          <w:szCs w:val="28"/>
          <w:vertAlign w:val="superscript"/>
        </w:rPr>
        <w:footnoteReference w:id="29"/>
      </w:r>
      <w:r>
        <w:rPr>
          <w:sz w:val="28"/>
          <w:szCs w:val="28"/>
        </w:rPr>
        <w:t xml:space="preserve"> che</w:t>
      </w:r>
      <w:r w:rsidRPr="00881164">
        <w:rPr>
          <w:sz w:val="28"/>
          <w:szCs w:val="28"/>
        </w:rPr>
        <w:t xml:space="preserve"> “</w:t>
      </w:r>
      <w:r w:rsidRPr="00881164">
        <w:rPr>
          <w:i/>
          <w:iCs/>
          <w:sz w:val="28"/>
          <w:szCs w:val="28"/>
        </w:rPr>
        <w:t xml:space="preserve">il Consiglio europeo ci conferma che nel 2019 i proventi da attività illecite nei principali mercati criminali ammontavano all′1% del PIL dell’Unione europea, ossia a 139 miliardi di euro. Non è disponibile una statistica più recente, ma a parità di condizioni, è indubbio che la cifra per il periodo 2020-21 (periodo di pandemia da covid-19) sia notevolmente più alta. Finora negli anni precedenti non è mai scesa. Le organizzazioni criminali sono presenti in tutti gli Stati membri e operano a livello transfrontaliero. </w:t>
      </w:r>
    </w:p>
    <w:p w14:paraId="29B488BC" w14:textId="77777777" w:rsidR="00881164" w:rsidRPr="00881164" w:rsidRDefault="00881164" w:rsidP="00881164">
      <w:pPr>
        <w:spacing w:line="360" w:lineRule="auto"/>
        <w:jc w:val="both"/>
        <w:rPr>
          <w:sz w:val="28"/>
          <w:szCs w:val="28"/>
        </w:rPr>
      </w:pPr>
      <w:r w:rsidRPr="00881164">
        <w:rPr>
          <w:i/>
          <w:iCs/>
          <w:sz w:val="28"/>
          <w:szCs w:val="28"/>
        </w:rPr>
        <w:t>Le principali attività criminali in Europa sono il traffico di stupefacenti, la cyber-criminalità, le frodi, il traffico di armi e la tratta di esseri umani. Nonostante una serie di nuove leggi e di sequestri di grandi dimensioni il colpo inferto alle organizzazioni mafiose è del tutto insufficiente</w:t>
      </w:r>
      <w:r w:rsidRPr="00881164">
        <w:rPr>
          <w:sz w:val="28"/>
          <w:szCs w:val="28"/>
        </w:rPr>
        <w:t xml:space="preserve">”. </w:t>
      </w:r>
    </w:p>
    <w:p w14:paraId="0DEE4DFF" w14:textId="2EF36A35" w:rsidR="00881164" w:rsidRPr="00881164" w:rsidRDefault="00881164" w:rsidP="00881164">
      <w:pPr>
        <w:spacing w:line="360" w:lineRule="auto"/>
        <w:jc w:val="both"/>
        <w:rPr>
          <w:sz w:val="28"/>
          <w:szCs w:val="28"/>
        </w:rPr>
      </w:pPr>
      <w:r w:rsidRPr="00881164">
        <w:rPr>
          <w:sz w:val="28"/>
          <w:szCs w:val="28"/>
        </w:rPr>
        <w:t>Non vi è dubbio quindi che il tema debba essere seriamente affrontato anche a livello europeo.</w:t>
      </w:r>
    </w:p>
    <w:p w14:paraId="0A32DDDF" w14:textId="77777777" w:rsidR="00881164" w:rsidRPr="00881164" w:rsidRDefault="00881164" w:rsidP="00881164">
      <w:pPr>
        <w:spacing w:line="360" w:lineRule="auto"/>
        <w:jc w:val="both"/>
        <w:rPr>
          <w:sz w:val="28"/>
          <w:szCs w:val="28"/>
        </w:rPr>
      </w:pPr>
    </w:p>
    <w:p w14:paraId="5C766A42" w14:textId="77777777" w:rsidR="00881164" w:rsidRPr="00881164" w:rsidRDefault="00881164" w:rsidP="00881164">
      <w:pPr>
        <w:spacing w:line="360" w:lineRule="auto"/>
        <w:jc w:val="both"/>
        <w:rPr>
          <w:sz w:val="28"/>
          <w:szCs w:val="28"/>
        </w:rPr>
      </w:pPr>
    </w:p>
    <w:p w14:paraId="45D7534C" w14:textId="77777777" w:rsidR="00881164" w:rsidRPr="00881164" w:rsidRDefault="00881164" w:rsidP="00881164">
      <w:pPr>
        <w:spacing w:line="360" w:lineRule="auto"/>
        <w:jc w:val="both"/>
        <w:rPr>
          <w:sz w:val="28"/>
          <w:szCs w:val="28"/>
        </w:rPr>
      </w:pPr>
    </w:p>
    <w:p w14:paraId="3CD464AF" w14:textId="77777777" w:rsidR="00E467FE" w:rsidRDefault="00E467FE" w:rsidP="00E467FE">
      <w:pPr>
        <w:spacing w:line="360" w:lineRule="auto"/>
        <w:jc w:val="right"/>
        <w:rPr>
          <w:b/>
          <w:bCs/>
          <w:sz w:val="28"/>
          <w:szCs w:val="28"/>
        </w:rPr>
      </w:pPr>
      <w:r w:rsidRPr="00D0115D">
        <w:rPr>
          <w:b/>
          <w:bCs/>
          <w:sz w:val="28"/>
          <w:szCs w:val="28"/>
        </w:rPr>
        <w:t xml:space="preserve">Maria Alessandra </w:t>
      </w:r>
      <w:proofErr w:type="spellStart"/>
      <w:r w:rsidRPr="00D0115D">
        <w:rPr>
          <w:b/>
          <w:bCs/>
          <w:sz w:val="28"/>
          <w:szCs w:val="28"/>
        </w:rPr>
        <w:t>Sandulli</w:t>
      </w:r>
      <w:proofErr w:type="spellEnd"/>
    </w:p>
    <w:p w14:paraId="1724BF10" w14:textId="41958F93" w:rsidR="00881164" w:rsidRDefault="00E467FE" w:rsidP="00E467FE">
      <w:pPr>
        <w:spacing w:line="360" w:lineRule="auto"/>
        <w:jc w:val="right"/>
        <w:rPr>
          <w:sz w:val="28"/>
          <w:szCs w:val="28"/>
        </w:rPr>
      </w:pPr>
      <w:r>
        <w:rPr>
          <w:sz w:val="28"/>
          <w:szCs w:val="28"/>
        </w:rPr>
        <w:t>Professore ordinario di diritto amministrativo a Roma tre</w:t>
      </w:r>
    </w:p>
    <w:p w14:paraId="21B1C03D" w14:textId="3B28A2BA" w:rsidR="00E467FE" w:rsidRDefault="00E467FE" w:rsidP="00E467FE">
      <w:pPr>
        <w:spacing w:line="360" w:lineRule="auto"/>
        <w:jc w:val="right"/>
        <w:rPr>
          <w:sz w:val="28"/>
          <w:szCs w:val="28"/>
        </w:rPr>
      </w:pPr>
    </w:p>
    <w:p w14:paraId="20F786C0" w14:textId="6863713F" w:rsidR="00E467FE" w:rsidRDefault="00E467FE" w:rsidP="00E467FE">
      <w:pPr>
        <w:spacing w:line="360" w:lineRule="auto"/>
        <w:jc w:val="right"/>
        <w:rPr>
          <w:sz w:val="28"/>
          <w:szCs w:val="28"/>
        </w:rPr>
      </w:pPr>
      <w:r>
        <w:rPr>
          <w:sz w:val="28"/>
          <w:szCs w:val="28"/>
        </w:rPr>
        <w:t>Pubblicato il 24 maggio 2022</w:t>
      </w:r>
    </w:p>
    <w:p w14:paraId="1AAD8654" w14:textId="77777777" w:rsidR="00FD799D" w:rsidRPr="0080394E" w:rsidRDefault="00FD799D" w:rsidP="00E467FE">
      <w:pPr>
        <w:spacing w:line="360" w:lineRule="auto"/>
        <w:jc w:val="right"/>
        <w:rPr>
          <w:sz w:val="28"/>
          <w:szCs w:val="28"/>
        </w:rPr>
      </w:pPr>
    </w:p>
    <w:p w14:paraId="3ED18103" w14:textId="77777777" w:rsidR="00FD799D" w:rsidRPr="0080394E" w:rsidRDefault="00FD799D" w:rsidP="00D16F96">
      <w:pPr>
        <w:spacing w:line="360" w:lineRule="auto"/>
        <w:jc w:val="both"/>
        <w:rPr>
          <w:sz w:val="28"/>
          <w:szCs w:val="28"/>
        </w:rPr>
      </w:pPr>
    </w:p>
    <w:sectPr w:rsidR="00FD799D" w:rsidRPr="0080394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AAD8B" w14:textId="77777777" w:rsidR="009D5B15" w:rsidRDefault="009D5B15" w:rsidP="0080394E">
      <w:r>
        <w:separator/>
      </w:r>
    </w:p>
  </w:endnote>
  <w:endnote w:type="continuationSeparator" w:id="0">
    <w:p w14:paraId="42F39592" w14:textId="77777777" w:rsidR="009D5B15" w:rsidRDefault="009D5B15" w:rsidP="0080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6C688" w14:textId="77777777" w:rsidR="009D5B15" w:rsidRDefault="009D5B15" w:rsidP="0080394E">
      <w:r>
        <w:separator/>
      </w:r>
    </w:p>
  </w:footnote>
  <w:footnote w:type="continuationSeparator" w:id="0">
    <w:p w14:paraId="27E4FAE7" w14:textId="77777777" w:rsidR="009D5B15" w:rsidRDefault="009D5B15" w:rsidP="0080394E">
      <w:r>
        <w:continuationSeparator/>
      </w:r>
    </w:p>
  </w:footnote>
  <w:footnote w:id="1">
    <w:p w14:paraId="5D7C1F47" w14:textId="1B7A2599" w:rsidR="00D0115D" w:rsidRDefault="00D0115D" w:rsidP="00923451">
      <w:pPr>
        <w:pStyle w:val="Testonotaapidipagina"/>
        <w:jc w:val="both"/>
        <w:rPr>
          <w:rFonts w:cstheme="minorHAnsi"/>
        </w:rPr>
      </w:pPr>
      <w:r>
        <w:rPr>
          <w:rFonts w:cstheme="minorHAnsi"/>
        </w:rPr>
        <w:t xml:space="preserve">* Il lavoro costituisce rielaborazione </w:t>
      </w:r>
      <w:r w:rsidRPr="00D0115D">
        <w:rPr>
          <w:rFonts w:cstheme="minorHAnsi"/>
        </w:rPr>
        <w:t>dell'intervento svolto dall</w:t>
      </w:r>
      <w:r>
        <w:rPr>
          <w:rFonts w:cstheme="minorHAnsi"/>
        </w:rPr>
        <w:t xml:space="preserve">’A. </w:t>
      </w:r>
      <w:r w:rsidR="006C6190">
        <w:rPr>
          <w:rFonts w:cstheme="minorHAnsi"/>
        </w:rPr>
        <w:t xml:space="preserve">il 4 maggio scorso </w:t>
      </w:r>
      <w:r w:rsidRPr="00D0115D">
        <w:rPr>
          <w:rFonts w:cstheme="minorHAnsi"/>
        </w:rPr>
        <w:t xml:space="preserve">alla </w:t>
      </w:r>
      <w:r>
        <w:rPr>
          <w:rFonts w:cstheme="minorHAnsi"/>
        </w:rPr>
        <w:t>T</w:t>
      </w:r>
      <w:r w:rsidRPr="00D0115D">
        <w:rPr>
          <w:rFonts w:cstheme="minorHAnsi"/>
        </w:rPr>
        <w:t>avola rotonda su</w:t>
      </w:r>
      <w:r>
        <w:rPr>
          <w:rFonts w:cstheme="minorHAnsi"/>
        </w:rPr>
        <w:t>l tema delle</w:t>
      </w:r>
      <w:r w:rsidRPr="00D0115D">
        <w:rPr>
          <w:rFonts w:cstheme="minorHAnsi"/>
        </w:rPr>
        <w:t xml:space="preserve"> </w:t>
      </w:r>
      <w:r>
        <w:rPr>
          <w:rFonts w:cstheme="minorHAnsi"/>
        </w:rPr>
        <w:t>“Mi</w:t>
      </w:r>
      <w:r w:rsidRPr="00D0115D">
        <w:rPr>
          <w:rFonts w:cstheme="minorHAnsi"/>
        </w:rPr>
        <w:t>sure interdittive antimafia</w:t>
      </w:r>
      <w:r>
        <w:rPr>
          <w:rFonts w:cstheme="minorHAnsi"/>
        </w:rPr>
        <w:t>”</w:t>
      </w:r>
      <w:r w:rsidR="006C6190">
        <w:rPr>
          <w:rFonts w:cstheme="minorHAnsi"/>
        </w:rPr>
        <w:t>,</w:t>
      </w:r>
      <w:r w:rsidRPr="00D0115D">
        <w:rPr>
          <w:rFonts w:cstheme="minorHAnsi"/>
        </w:rPr>
        <w:t xml:space="preserve"> </w:t>
      </w:r>
      <w:r>
        <w:rPr>
          <w:rFonts w:cstheme="minorHAnsi"/>
        </w:rPr>
        <w:t>organizzata dalla S</w:t>
      </w:r>
      <w:r w:rsidRPr="00D0115D">
        <w:rPr>
          <w:rFonts w:cstheme="minorHAnsi"/>
        </w:rPr>
        <w:t xml:space="preserve">cuola di perfezionamento per le </w:t>
      </w:r>
      <w:r>
        <w:rPr>
          <w:rFonts w:cstheme="minorHAnsi"/>
        </w:rPr>
        <w:t>F</w:t>
      </w:r>
      <w:r w:rsidRPr="00D0115D">
        <w:rPr>
          <w:rFonts w:cstheme="minorHAnsi"/>
        </w:rPr>
        <w:t xml:space="preserve">orze di </w:t>
      </w:r>
      <w:r>
        <w:rPr>
          <w:rFonts w:cstheme="minorHAnsi"/>
        </w:rPr>
        <w:t>P</w:t>
      </w:r>
      <w:r w:rsidRPr="00D0115D">
        <w:rPr>
          <w:rFonts w:cstheme="minorHAnsi"/>
        </w:rPr>
        <w:t xml:space="preserve">olizia </w:t>
      </w:r>
      <w:r>
        <w:rPr>
          <w:rFonts w:cstheme="minorHAnsi"/>
        </w:rPr>
        <w:t xml:space="preserve">nell’ambito del </w:t>
      </w:r>
      <w:r w:rsidR="006C6190">
        <w:rPr>
          <w:rFonts w:cstheme="minorHAnsi"/>
        </w:rPr>
        <w:t>XXXVII Corso di Alta Formazione (anno accademico 2021/2022)</w:t>
      </w:r>
      <w:r w:rsidR="00CE0032">
        <w:rPr>
          <w:rFonts w:cstheme="minorHAnsi"/>
        </w:rPr>
        <w:t xml:space="preserve"> ed è destinato </w:t>
      </w:r>
      <w:proofErr w:type="gramStart"/>
      <w:r w:rsidR="00CE0032">
        <w:rPr>
          <w:rFonts w:cstheme="minorHAnsi"/>
        </w:rPr>
        <w:t>anche  agli</w:t>
      </w:r>
      <w:proofErr w:type="gramEnd"/>
      <w:r w:rsidR="00CE0032">
        <w:rPr>
          <w:rFonts w:cstheme="minorHAnsi"/>
        </w:rPr>
        <w:t xml:space="preserve"> scritti in memoria del </w:t>
      </w:r>
      <w:proofErr w:type="spellStart"/>
      <w:r w:rsidR="00CE0032">
        <w:rPr>
          <w:rFonts w:cstheme="minorHAnsi"/>
        </w:rPr>
        <w:t>Pres</w:t>
      </w:r>
      <w:proofErr w:type="spellEnd"/>
      <w:r w:rsidR="00CE0032">
        <w:rPr>
          <w:rFonts w:cstheme="minorHAnsi"/>
        </w:rPr>
        <w:t>. Luigi Giampaolino.</w:t>
      </w:r>
    </w:p>
    <w:p w14:paraId="171903B3" w14:textId="3ACB8B5E" w:rsidR="00923451" w:rsidRPr="00FF3282" w:rsidRDefault="008B4D02" w:rsidP="00923451">
      <w:pPr>
        <w:pStyle w:val="Testonotaapidipagina"/>
        <w:jc w:val="both"/>
        <w:rPr>
          <w:rFonts w:cstheme="minorHAnsi"/>
        </w:rPr>
      </w:pPr>
      <w:r w:rsidRPr="00FF3282">
        <w:rPr>
          <w:rStyle w:val="Rimandonotaapidipagina"/>
          <w:rFonts w:cstheme="minorHAnsi"/>
        </w:rPr>
        <w:footnoteRef/>
      </w:r>
      <w:r w:rsidRPr="00FF3282">
        <w:rPr>
          <w:rFonts w:cstheme="minorHAnsi"/>
        </w:rPr>
        <w:t xml:space="preserve"> Sull’informazione antimafia, senza alcuna pretesa di esaustività, si vedano, </w:t>
      </w:r>
      <w:r w:rsidR="008D5363" w:rsidRPr="00FF3282">
        <w:rPr>
          <w:rFonts w:cstheme="minorHAnsi"/>
        </w:rPr>
        <w:t>F. FIGORILLI</w:t>
      </w:r>
      <w:r w:rsidR="00DD359F">
        <w:rPr>
          <w:rFonts w:cstheme="minorHAnsi"/>
        </w:rPr>
        <w:t>-</w:t>
      </w:r>
      <w:r w:rsidR="008D5363" w:rsidRPr="00FF3282">
        <w:rPr>
          <w:rFonts w:cstheme="minorHAnsi"/>
        </w:rPr>
        <w:t>W. GIULIETTI</w:t>
      </w:r>
      <w:r w:rsidR="009D2251" w:rsidRPr="00FF3282">
        <w:rPr>
          <w:rFonts w:cstheme="minorHAnsi"/>
        </w:rPr>
        <w:t>,</w:t>
      </w:r>
      <w:r w:rsidR="008D5363" w:rsidRPr="00FF3282">
        <w:rPr>
          <w:rFonts w:cstheme="minorHAnsi"/>
        </w:rPr>
        <w:t> </w:t>
      </w:r>
      <w:r w:rsidR="008D5363" w:rsidRPr="00FF3282">
        <w:rPr>
          <w:rFonts w:cstheme="minorHAnsi"/>
          <w:i/>
          <w:iCs/>
        </w:rPr>
        <w:t>Contributo allo studio della documentazione antimafia: aspetti sostanziali, procedurali e di tutela giurisdizionale</w:t>
      </w:r>
      <w:r w:rsidR="008D5363" w:rsidRPr="00FF3282">
        <w:rPr>
          <w:rFonts w:cstheme="minorHAnsi"/>
        </w:rPr>
        <w:t>,</w:t>
      </w:r>
      <w:r w:rsidR="008D5363" w:rsidRPr="00FF3282">
        <w:rPr>
          <w:rFonts w:cstheme="minorHAnsi"/>
          <w:i/>
          <w:iCs/>
        </w:rPr>
        <w:t xml:space="preserve"> </w:t>
      </w:r>
      <w:r w:rsidR="008D5363" w:rsidRPr="00FF3282">
        <w:rPr>
          <w:rFonts w:cstheme="minorHAnsi"/>
        </w:rPr>
        <w:t>in</w:t>
      </w:r>
      <w:r w:rsidR="009D2251" w:rsidRPr="00FF3282">
        <w:rPr>
          <w:rFonts w:cstheme="minorHAnsi"/>
        </w:rPr>
        <w:t xml:space="preserve"> </w:t>
      </w:r>
      <w:r w:rsidR="008D5363" w:rsidRPr="00FF3282">
        <w:rPr>
          <w:rFonts w:cstheme="minorHAnsi"/>
          <w:i/>
          <w:iCs/>
        </w:rPr>
        <w:t>federalismi</w:t>
      </w:r>
      <w:r w:rsidR="008D5363" w:rsidRPr="00FF3282">
        <w:rPr>
          <w:rFonts w:cstheme="minorHAnsi"/>
        </w:rPr>
        <w:t>, 2021</w:t>
      </w:r>
      <w:r w:rsidR="009D2251" w:rsidRPr="00FF3282">
        <w:rPr>
          <w:rFonts w:cstheme="minorHAnsi"/>
        </w:rPr>
        <w:t xml:space="preserve">; </w:t>
      </w:r>
      <w:r w:rsidR="00923451" w:rsidRPr="00FF3282">
        <w:rPr>
          <w:rFonts w:cstheme="minorHAnsi"/>
        </w:rPr>
        <w:t>R. DI MARIA e A. AMORE, </w:t>
      </w:r>
      <w:r w:rsidR="00923451" w:rsidRPr="00FF3282">
        <w:rPr>
          <w:rFonts w:cstheme="minorHAnsi"/>
          <w:i/>
          <w:iCs/>
        </w:rPr>
        <w:t>Effetti “inibitori” della interdittiva antimafia e bilanciamento fra principi costituzionali: alcune questioni di legittimità dedotte in una recente ordinanza di rimessione alla Consulta</w:t>
      </w:r>
      <w:r w:rsidR="00923451" w:rsidRPr="00FF3282">
        <w:rPr>
          <w:rFonts w:cstheme="minorHAnsi"/>
        </w:rPr>
        <w:t xml:space="preserve">, </w:t>
      </w:r>
      <w:r w:rsidR="00923451" w:rsidRPr="00FF3282">
        <w:rPr>
          <w:rFonts w:cstheme="minorHAnsi"/>
          <w:i/>
          <w:iCs/>
        </w:rPr>
        <w:t>ivi</w:t>
      </w:r>
      <w:r w:rsidR="00923451" w:rsidRPr="00FF3282">
        <w:rPr>
          <w:rFonts w:cstheme="minorHAnsi"/>
        </w:rPr>
        <w:t>, 2021</w:t>
      </w:r>
      <w:r w:rsidR="00B47B9C">
        <w:rPr>
          <w:rFonts w:cstheme="minorHAnsi"/>
        </w:rPr>
        <w:t xml:space="preserve">; </w:t>
      </w:r>
      <w:r w:rsidR="00B47B9C" w:rsidRPr="00B47B9C">
        <w:rPr>
          <w:rFonts w:cstheme="minorHAnsi"/>
        </w:rPr>
        <w:t>G. AMARELLI, </w:t>
      </w:r>
      <w:r w:rsidR="00B47B9C" w:rsidRPr="00B47B9C">
        <w:rPr>
          <w:rFonts w:cstheme="minorHAnsi"/>
          <w:i/>
          <w:iCs/>
        </w:rPr>
        <w:t>Interdittive antimafia e “valori fondanti della democrazia”: il pericoloso equivoco da evitare</w:t>
      </w:r>
      <w:r w:rsidR="00B47B9C" w:rsidRPr="00B47B9C">
        <w:rPr>
          <w:rFonts w:cstheme="minorHAnsi"/>
        </w:rPr>
        <w:t>, in</w:t>
      </w:r>
      <w:r w:rsidR="00B47B9C">
        <w:rPr>
          <w:rFonts w:cstheme="minorHAnsi"/>
        </w:rPr>
        <w:t xml:space="preserve"> </w:t>
      </w:r>
      <w:proofErr w:type="spellStart"/>
      <w:r w:rsidR="00B47B9C" w:rsidRPr="00B47B9C">
        <w:rPr>
          <w:rFonts w:cstheme="minorHAnsi"/>
          <w:i/>
          <w:iCs/>
        </w:rPr>
        <w:t>giustiziainsieme</w:t>
      </w:r>
      <w:proofErr w:type="spellEnd"/>
      <w:r w:rsidR="00B47B9C">
        <w:rPr>
          <w:rFonts w:cstheme="minorHAnsi"/>
        </w:rPr>
        <w:t>,</w:t>
      </w:r>
      <w:r w:rsidR="00B47B9C" w:rsidRPr="00B47B9C">
        <w:rPr>
          <w:rFonts w:cstheme="minorHAnsi"/>
        </w:rPr>
        <w:t xml:space="preserve"> 2020</w:t>
      </w:r>
      <w:r w:rsidR="00B47B9C">
        <w:rPr>
          <w:rFonts w:cstheme="minorHAnsi"/>
        </w:rPr>
        <w:t xml:space="preserve">; </w:t>
      </w:r>
      <w:r w:rsidR="009D2251" w:rsidRPr="00FF3282">
        <w:rPr>
          <w:rFonts w:cstheme="minorHAnsi"/>
          <w:smallCaps/>
        </w:rPr>
        <w:t>R. GAROFOLI</w:t>
      </w:r>
      <w:r w:rsidR="009D2251" w:rsidRPr="00FF3282">
        <w:rPr>
          <w:rFonts w:cstheme="minorHAnsi"/>
        </w:rPr>
        <w:t xml:space="preserve"> </w:t>
      </w:r>
      <w:r w:rsidRPr="00FF3282">
        <w:rPr>
          <w:rFonts w:cstheme="minorHAnsi"/>
        </w:rPr>
        <w:t xml:space="preserve">e </w:t>
      </w:r>
      <w:r w:rsidR="009D2251" w:rsidRPr="00FF3282">
        <w:rPr>
          <w:rFonts w:cstheme="minorHAnsi"/>
          <w:smallCaps/>
        </w:rPr>
        <w:t>G. FERRARI</w:t>
      </w:r>
      <w:r w:rsidRPr="00FF3282">
        <w:rPr>
          <w:rFonts w:cstheme="minorHAnsi"/>
        </w:rPr>
        <w:t xml:space="preserve">, </w:t>
      </w:r>
      <w:r w:rsidRPr="00FF3282">
        <w:rPr>
          <w:rFonts w:cstheme="minorHAnsi"/>
          <w:i/>
        </w:rPr>
        <w:t>Sicurezza pubblica e funzioni amministrative di contrasto alla criminalità; le interdittive antimafia</w:t>
      </w:r>
      <w:r w:rsidRPr="00FF3282">
        <w:rPr>
          <w:rFonts w:cstheme="minorHAnsi"/>
        </w:rPr>
        <w:t xml:space="preserve">, in </w:t>
      </w:r>
      <w:hyperlink r:id="rId1" w:history="1">
        <w:r w:rsidRPr="00FF3282">
          <w:rPr>
            <w:rStyle w:val="Collegamentoipertestuale"/>
            <w:rFonts w:cstheme="minorHAnsi"/>
            <w:i/>
            <w:iCs/>
          </w:rPr>
          <w:t>giustizia</w:t>
        </w:r>
        <w:r w:rsidR="009D2251" w:rsidRPr="00FF3282">
          <w:rPr>
            <w:rStyle w:val="Collegamentoipertestuale"/>
            <w:rFonts w:cstheme="minorHAnsi"/>
            <w:i/>
            <w:iCs/>
          </w:rPr>
          <w:t>-</w:t>
        </w:r>
        <w:r w:rsidRPr="00FF3282">
          <w:rPr>
            <w:rStyle w:val="Collegamentoipertestuale"/>
            <w:rFonts w:cstheme="minorHAnsi"/>
            <w:i/>
            <w:iCs/>
          </w:rPr>
          <w:t>amministrativa.it</w:t>
        </w:r>
      </w:hyperlink>
      <w:r w:rsidRPr="00FF3282">
        <w:rPr>
          <w:rFonts w:cstheme="minorHAnsi"/>
        </w:rPr>
        <w:t xml:space="preserve">, </w:t>
      </w:r>
      <w:r w:rsidR="003724C1">
        <w:rPr>
          <w:rFonts w:cstheme="minorHAnsi"/>
        </w:rPr>
        <w:t xml:space="preserve">2019; </w:t>
      </w:r>
      <w:r w:rsidRPr="00FF3282">
        <w:rPr>
          <w:rFonts w:cstheme="minorHAnsi"/>
        </w:rPr>
        <w:t xml:space="preserve">J. P. </w:t>
      </w:r>
      <w:r w:rsidR="009D2251" w:rsidRPr="00FF3282">
        <w:rPr>
          <w:rFonts w:cstheme="minorHAnsi"/>
          <w:smallCaps/>
        </w:rPr>
        <w:t>DE JORIO</w:t>
      </w:r>
      <w:r w:rsidRPr="00FF3282">
        <w:rPr>
          <w:rFonts w:cstheme="minorHAnsi"/>
        </w:rPr>
        <w:t xml:space="preserve">, </w:t>
      </w:r>
      <w:r w:rsidRPr="00FF3282">
        <w:rPr>
          <w:rFonts w:cstheme="minorHAnsi"/>
          <w:i/>
        </w:rPr>
        <w:t>Le interdittive antimafia e il difficile bilanciamento con i diritti fondamentali</w:t>
      </w:r>
      <w:r w:rsidRPr="00FF3282">
        <w:rPr>
          <w:rFonts w:cstheme="minorHAnsi"/>
        </w:rPr>
        <w:t xml:space="preserve">, Napoli, 2019; </w:t>
      </w:r>
      <w:r w:rsidRPr="00FF3282">
        <w:rPr>
          <w:rFonts w:cstheme="minorHAnsi"/>
          <w:smallCaps/>
        </w:rPr>
        <w:t xml:space="preserve">A. </w:t>
      </w:r>
      <w:r w:rsidR="009D2251" w:rsidRPr="00FF3282">
        <w:rPr>
          <w:rFonts w:cstheme="minorHAnsi"/>
          <w:smallCaps/>
        </w:rPr>
        <w:t>LONGO</w:t>
      </w:r>
      <w:r w:rsidRPr="00FF3282">
        <w:rPr>
          <w:rFonts w:cstheme="minorHAnsi"/>
        </w:rPr>
        <w:t xml:space="preserve">, </w:t>
      </w:r>
      <w:r w:rsidRPr="00FF3282">
        <w:rPr>
          <w:rFonts w:cstheme="minorHAnsi"/>
          <w:i/>
        </w:rPr>
        <w:t>La «massima anticipazione di tutela». Interdittive antimafia e sofferenze costituzionali</w:t>
      </w:r>
      <w:r w:rsidRPr="00FF3282">
        <w:rPr>
          <w:rFonts w:cstheme="minorHAnsi"/>
        </w:rPr>
        <w:t xml:space="preserve">, in </w:t>
      </w:r>
      <w:r w:rsidR="00B10596">
        <w:rPr>
          <w:rFonts w:cstheme="minorHAnsi"/>
          <w:i/>
          <w:iCs/>
        </w:rPr>
        <w:t xml:space="preserve">federalismi, </w:t>
      </w:r>
      <w:r w:rsidRPr="00FF3282">
        <w:rPr>
          <w:rFonts w:cstheme="minorHAnsi"/>
        </w:rPr>
        <w:t xml:space="preserve">2019; </w:t>
      </w:r>
      <w:r w:rsidR="00D0115D">
        <w:rPr>
          <w:rFonts w:cstheme="minorHAnsi"/>
        </w:rPr>
        <w:t xml:space="preserve">AA. VV. in </w:t>
      </w:r>
      <w:r w:rsidR="00923451" w:rsidRPr="00FF3282">
        <w:rPr>
          <w:rFonts w:cstheme="minorHAnsi"/>
          <w:smallCaps/>
        </w:rPr>
        <w:t>G. AMARELLI</w:t>
      </w:r>
      <w:r w:rsidR="001079CF">
        <w:rPr>
          <w:rFonts w:cstheme="minorHAnsi"/>
          <w:smallCaps/>
        </w:rPr>
        <w:t>-</w:t>
      </w:r>
      <w:r w:rsidR="00923451" w:rsidRPr="00FF3282">
        <w:rPr>
          <w:rFonts w:cstheme="minorHAnsi"/>
          <w:smallCaps/>
        </w:rPr>
        <w:t>STICCHI DAMIANI (</w:t>
      </w:r>
      <w:r w:rsidR="00923451" w:rsidRPr="00FF3282">
        <w:rPr>
          <w:rFonts w:cstheme="minorHAnsi"/>
        </w:rPr>
        <w:t xml:space="preserve">a cura di), </w:t>
      </w:r>
      <w:r w:rsidR="00923451" w:rsidRPr="00FF3282">
        <w:rPr>
          <w:rFonts w:cstheme="minorHAnsi"/>
          <w:i/>
        </w:rPr>
        <w:t>Le interdittive antimafia e le altre misure di contrasto all’infiltrazione mafiosa negli appalti pubblici</w:t>
      </w:r>
      <w:r w:rsidR="00923451" w:rsidRPr="00FF3282">
        <w:rPr>
          <w:rFonts w:cstheme="minorHAnsi"/>
        </w:rPr>
        <w:t xml:space="preserve">, Torino, 2019; </w:t>
      </w:r>
      <w:r w:rsidR="009D2251" w:rsidRPr="00FF3282">
        <w:rPr>
          <w:rFonts w:cstheme="minorHAnsi"/>
          <w:smallCaps/>
        </w:rPr>
        <w:t>M. MAZZAMUTO</w:t>
      </w:r>
      <w:r w:rsidR="009D2251" w:rsidRPr="00FF3282">
        <w:rPr>
          <w:rFonts w:cstheme="minorHAnsi"/>
        </w:rPr>
        <w:t xml:space="preserve">, </w:t>
      </w:r>
      <w:r w:rsidR="009D2251" w:rsidRPr="00FF3282">
        <w:rPr>
          <w:rFonts w:cstheme="minorHAnsi"/>
          <w:i/>
        </w:rPr>
        <w:t>P</w:t>
      </w:r>
      <w:r w:rsidR="009C4426">
        <w:rPr>
          <w:rFonts w:cstheme="minorHAnsi"/>
          <w:i/>
        </w:rPr>
        <w:t>il salvataggio delle imprese tra controllo giudiziario volontario, interdittive prefettizie e giustizia amministrativa</w:t>
      </w:r>
      <w:r w:rsidR="009C4426">
        <w:rPr>
          <w:rFonts w:cstheme="minorHAnsi"/>
          <w:iCs/>
        </w:rPr>
        <w:t xml:space="preserve">, in </w:t>
      </w:r>
      <w:r w:rsidR="009C4426">
        <w:rPr>
          <w:rFonts w:cstheme="minorHAnsi"/>
          <w:i/>
        </w:rPr>
        <w:t>Sistema penale</w:t>
      </w:r>
      <w:r w:rsidR="009C4426">
        <w:rPr>
          <w:rFonts w:cstheme="minorHAnsi"/>
          <w:iCs/>
        </w:rPr>
        <w:t xml:space="preserve">, 2020; </w:t>
      </w:r>
      <w:r w:rsidR="006C6190">
        <w:rPr>
          <w:rFonts w:cstheme="minorHAnsi"/>
          <w:iCs/>
        </w:rPr>
        <w:t>ID,</w:t>
      </w:r>
      <w:r w:rsidR="009C4426">
        <w:rPr>
          <w:rFonts w:cstheme="minorHAnsi"/>
          <w:i/>
        </w:rPr>
        <w:t xml:space="preserve"> P</w:t>
      </w:r>
      <w:r w:rsidR="009D2251" w:rsidRPr="00FF3282">
        <w:rPr>
          <w:rFonts w:cstheme="minorHAnsi"/>
          <w:i/>
        </w:rPr>
        <w:t>agamento di imprese colpite da interdittiva antimafia e obbligatorietà delle misure anticorruzione</w:t>
      </w:r>
      <w:r w:rsidR="009D2251" w:rsidRPr="00FF3282">
        <w:rPr>
          <w:rFonts w:cstheme="minorHAnsi"/>
        </w:rPr>
        <w:t xml:space="preserve">, in </w:t>
      </w:r>
      <w:r w:rsidR="009D2251" w:rsidRPr="00FF3282">
        <w:rPr>
          <w:rFonts w:cstheme="minorHAnsi"/>
          <w:i/>
        </w:rPr>
        <w:t xml:space="preserve">Giur. </w:t>
      </w:r>
      <w:proofErr w:type="spellStart"/>
      <w:r w:rsidR="009D2251" w:rsidRPr="00FF3282">
        <w:rPr>
          <w:rFonts w:cstheme="minorHAnsi"/>
          <w:i/>
        </w:rPr>
        <w:t>it</w:t>
      </w:r>
      <w:proofErr w:type="spellEnd"/>
      <w:r w:rsidR="009D2251" w:rsidRPr="00FF3282">
        <w:rPr>
          <w:rFonts w:cstheme="minorHAnsi"/>
          <w:i/>
        </w:rPr>
        <w:t>.</w:t>
      </w:r>
      <w:r w:rsidR="009D2251" w:rsidRPr="00FF3282">
        <w:rPr>
          <w:rFonts w:cstheme="minorHAnsi"/>
        </w:rPr>
        <w:t>, 2019, 1, p. 157 ss.</w:t>
      </w:r>
      <w:r w:rsidR="009D2251" w:rsidRPr="00FF3282">
        <w:rPr>
          <w:rFonts w:cstheme="minorHAnsi"/>
          <w:iCs/>
        </w:rPr>
        <w:t xml:space="preserve">; </w:t>
      </w:r>
      <w:r w:rsidRPr="00FF3282">
        <w:rPr>
          <w:rFonts w:cstheme="minorHAnsi"/>
        </w:rPr>
        <w:t xml:space="preserve">A. </w:t>
      </w:r>
      <w:r w:rsidR="009D2251" w:rsidRPr="00FF3282">
        <w:rPr>
          <w:rFonts w:cstheme="minorHAnsi"/>
          <w:smallCaps/>
        </w:rPr>
        <w:t>BONGARZONE</w:t>
      </w:r>
      <w:r w:rsidR="009D2251" w:rsidRPr="00FF3282">
        <w:rPr>
          <w:rFonts w:cstheme="minorHAnsi"/>
        </w:rPr>
        <w:t xml:space="preserve">, </w:t>
      </w:r>
      <w:r w:rsidRPr="00FF3282">
        <w:rPr>
          <w:rFonts w:cstheme="minorHAnsi"/>
          <w:i/>
        </w:rPr>
        <w:t>L’informativa antimafia nelle dinamiche negoziali tra privati e pubbliche amministrazioni</w:t>
      </w:r>
      <w:r w:rsidRPr="00FF3282">
        <w:rPr>
          <w:rFonts w:cstheme="minorHAnsi"/>
        </w:rPr>
        <w:t xml:space="preserve">, Napoli, 2018; </w:t>
      </w:r>
      <w:r w:rsidR="005F5F66">
        <w:rPr>
          <w:rFonts w:cstheme="minorHAnsi"/>
        </w:rPr>
        <w:t xml:space="preserve">F.G. SCOCA, </w:t>
      </w:r>
      <w:r w:rsidR="005F5F66" w:rsidRPr="005F5F66">
        <w:rPr>
          <w:rFonts w:cstheme="minorHAnsi"/>
          <w:i/>
          <w:iCs/>
        </w:rPr>
        <w:t xml:space="preserve">Le interdittive antimafia e la </w:t>
      </w:r>
      <w:proofErr w:type="spellStart"/>
      <w:r w:rsidR="005F5F66" w:rsidRPr="005F5F66">
        <w:rPr>
          <w:rFonts w:cstheme="minorHAnsi"/>
          <w:i/>
          <w:iCs/>
        </w:rPr>
        <w:t>razionalita</w:t>
      </w:r>
      <w:proofErr w:type="spellEnd"/>
      <w:r w:rsidR="005F5F66" w:rsidRPr="005F5F66">
        <w:rPr>
          <w:rFonts w:cstheme="minorHAnsi"/>
          <w:i/>
          <w:iCs/>
        </w:rPr>
        <w:t xml:space="preserve">̀, la ragionevolezza e la </w:t>
      </w:r>
      <w:proofErr w:type="spellStart"/>
      <w:r w:rsidR="005F5F66" w:rsidRPr="005F5F66">
        <w:rPr>
          <w:rFonts w:cstheme="minorHAnsi"/>
          <w:i/>
          <w:iCs/>
        </w:rPr>
        <w:t>costituzionalita</w:t>
      </w:r>
      <w:proofErr w:type="spellEnd"/>
      <w:r w:rsidR="005F5F66" w:rsidRPr="005F5F66">
        <w:rPr>
          <w:rFonts w:cstheme="minorHAnsi"/>
          <w:i/>
          <w:iCs/>
        </w:rPr>
        <w:t xml:space="preserve">̀ della lotta “anticipata” alla </w:t>
      </w:r>
      <w:proofErr w:type="spellStart"/>
      <w:r w:rsidR="005F5F66" w:rsidRPr="005F5F66">
        <w:rPr>
          <w:rFonts w:cstheme="minorHAnsi"/>
          <w:i/>
          <w:iCs/>
        </w:rPr>
        <w:t>criminalita</w:t>
      </w:r>
      <w:proofErr w:type="spellEnd"/>
      <w:r w:rsidR="005F5F66" w:rsidRPr="005F5F66">
        <w:rPr>
          <w:rFonts w:cstheme="minorHAnsi"/>
          <w:i/>
          <w:iCs/>
        </w:rPr>
        <w:t>̀ organizzata</w:t>
      </w:r>
      <w:r w:rsidR="005F5F66" w:rsidRPr="005F5F66">
        <w:rPr>
          <w:rFonts w:cstheme="minorHAnsi"/>
        </w:rPr>
        <w:t xml:space="preserve">, in </w:t>
      </w:r>
      <w:r w:rsidR="005F5F66" w:rsidRPr="005F5F66">
        <w:rPr>
          <w:rFonts w:cstheme="minorHAnsi"/>
          <w:i/>
          <w:iCs/>
        </w:rPr>
        <w:t>giustamm.it</w:t>
      </w:r>
      <w:r w:rsidR="005F5F66" w:rsidRPr="005F5F66">
        <w:rPr>
          <w:rFonts w:cstheme="minorHAnsi"/>
        </w:rPr>
        <w:t>, 2018</w:t>
      </w:r>
      <w:r w:rsidR="005F5F66">
        <w:rPr>
          <w:rFonts w:cstheme="minorHAnsi"/>
        </w:rPr>
        <w:t xml:space="preserve">; M. NOCCELLI, </w:t>
      </w:r>
      <w:r w:rsidR="005F5F66" w:rsidRPr="005F5F66">
        <w:rPr>
          <w:rFonts w:cstheme="minorHAnsi"/>
          <w:i/>
          <w:iCs/>
        </w:rPr>
        <w:t xml:space="preserve">I </w:t>
      </w:r>
      <w:proofErr w:type="spellStart"/>
      <w:r w:rsidR="005F5F66" w:rsidRPr="005F5F66">
        <w:rPr>
          <w:rFonts w:cstheme="minorHAnsi"/>
          <w:i/>
          <w:iCs/>
        </w:rPr>
        <w:t>piu</w:t>
      </w:r>
      <w:proofErr w:type="spellEnd"/>
      <w:r w:rsidR="005F5F66" w:rsidRPr="005F5F66">
        <w:rPr>
          <w:rFonts w:cstheme="minorHAnsi"/>
          <w:i/>
          <w:iCs/>
        </w:rPr>
        <w:t>̀ recenti orientamenti della giurisprudenza amministrativa sul complesso sistema antimafia</w:t>
      </w:r>
      <w:r w:rsidR="005F5F66" w:rsidRPr="005F5F66">
        <w:rPr>
          <w:rFonts w:cstheme="minorHAnsi"/>
        </w:rPr>
        <w:t xml:space="preserve">, in </w:t>
      </w:r>
      <w:r w:rsidR="005F5F66" w:rsidRPr="005F5F66">
        <w:rPr>
          <w:rFonts w:cstheme="minorHAnsi"/>
          <w:i/>
          <w:iCs/>
        </w:rPr>
        <w:t xml:space="preserve">Foro </w:t>
      </w:r>
      <w:proofErr w:type="spellStart"/>
      <w:r w:rsidR="005F5F66" w:rsidRPr="005F5F66">
        <w:rPr>
          <w:rFonts w:cstheme="minorHAnsi"/>
          <w:i/>
          <w:iCs/>
        </w:rPr>
        <w:t>amm</w:t>
      </w:r>
      <w:proofErr w:type="spellEnd"/>
      <w:r w:rsidR="005F5F66" w:rsidRPr="005F5F66">
        <w:rPr>
          <w:rFonts w:cstheme="minorHAnsi"/>
          <w:i/>
          <w:iCs/>
        </w:rPr>
        <w:t>.</w:t>
      </w:r>
      <w:r w:rsidR="005F5F66" w:rsidRPr="005F5F66">
        <w:rPr>
          <w:rFonts w:cstheme="minorHAnsi"/>
        </w:rPr>
        <w:t xml:space="preserve">, 2017, </w:t>
      </w:r>
      <w:r w:rsidR="005F5F66">
        <w:rPr>
          <w:rFonts w:cstheme="minorHAnsi"/>
        </w:rPr>
        <w:t xml:space="preserve">pp. </w:t>
      </w:r>
      <w:r w:rsidR="005F5F66" w:rsidRPr="005F5F66">
        <w:rPr>
          <w:rFonts w:cstheme="minorHAnsi"/>
        </w:rPr>
        <w:t>2524</w:t>
      </w:r>
      <w:r w:rsidR="005F5F66">
        <w:rPr>
          <w:rFonts w:cstheme="minorHAnsi"/>
        </w:rPr>
        <w:t xml:space="preserve"> ss.; </w:t>
      </w:r>
      <w:r w:rsidRPr="00FF3282">
        <w:rPr>
          <w:rFonts w:cstheme="minorHAnsi"/>
          <w:smallCaps/>
        </w:rPr>
        <w:t xml:space="preserve">A. </w:t>
      </w:r>
      <w:r w:rsidR="009D2251" w:rsidRPr="00FF3282">
        <w:rPr>
          <w:rFonts w:cstheme="minorHAnsi"/>
          <w:smallCaps/>
        </w:rPr>
        <w:t>MARCHESE</w:t>
      </w:r>
      <w:r w:rsidRPr="00FF3282">
        <w:rPr>
          <w:rFonts w:cstheme="minorHAnsi"/>
        </w:rPr>
        <w:t xml:space="preserve">, </w:t>
      </w:r>
      <w:r w:rsidRPr="00FF3282">
        <w:rPr>
          <w:rFonts w:cstheme="minorHAnsi"/>
          <w:i/>
        </w:rPr>
        <w:t>Soggetto e oggetto nel “diritto civile antimafia</w:t>
      </w:r>
      <w:r w:rsidRPr="00FF3282">
        <w:rPr>
          <w:rFonts w:cstheme="minorHAnsi"/>
        </w:rPr>
        <w:t xml:space="preserve">”, Milano, 2017; </w:t>
      </w:r>
      <w:r w:rsidRPr="00FF3282">
        <w:rPr>
          <w:rFonts w:cstheme="minorHAnsi"/>
          <w:smallCaps/>
        </w:rPr>
        <w:t xml:space="preserve">G. </w:t>
      </w:r>
      <w:r w:rsidR="009D2251" w:rsidRPr="00FF3282">
        <w:rPr>
          <w:rFonts w:cstheme="minorHAnsi"/>
          <w:smallCaps/>
        </w:rPr>
        <w:t>D’ANGELO</w:t>
      </w:r>
      <w:r w:rsidRPr="00FF3282">
        <w:rPr>
          <w:rFonts w:cstheme="minorHAnsi"/>
        </w:rPr>
        <w:t xml:space="preserve">, </w:t>
      </w:r>
      <w:r w:rsidRPr="00FF3282">
        <w:rPr>
          <w:rFonts w:cstheme="minorHAnsi"/>
          <w:i/>
        </w:rPr>
        <w:t>La documentazione antimafia nel D. Lgs. 6 settembre 2011, n. 159: profili critici</w:t>
      </w:r>
      <w:r w:rsidRPr="00FF3282">
        <w:rPr>
          <w:rFonts w:cstheme="minorHAnsi"/>
        </w:rPr>
        <w:t xml:space="preserve">, in </w:t>
      </w:r>
      <w:proofErr w:type="spellStart"/>
      <w:r w:rsidRPr="00FF3282">
        <w:rPr>
          <w:rFonts w:cstheme="minorHAnsi"/>
          <w:i/>
        </w:rPr>
        <w:t>Urb</w:t>
      </w:r>
      <w:proofErr w:type="spellEnd"/>
      <w:r w:rsidRPr="00FF3282">
        <w:rPr>
          <w:rFonts w:cstheme="minorHAnsi"/>
          <w:i/>
        </w:rPr>
        <w:t>. e app.</w:t>
      </w:r>
      <w:r w:rsidRPr="00FF3282">
        <w:rPr>
          <w:rFonts w:cstheme="minorHAnsi"/>
        </w:rPr>
        <w:t>, 2013, 3, p. 256 ss.</w:t>
      </w:r>
      <w:r w:rsidR="000A7E8E" w:rsidRPr="00FF3282">
        <w:rPr>
          <w:rFonts w:cstheme="minorHAnsi"/>
        </w:rPr>
        <w:t xml:space="preserve"> </w:t>
      </w:r>
    </w:p>
    <w:p w14:paraId="2E73CFDA" w14:textId="35AFA7FE" w:rsidR="008B4D02" w:rsidRPr="00FF3282" w:rsidRDefault="008B4D02" w:rsidP="009D2251">
      <w:pPr>
        <w:pStyle w:val="Testonotaapidipagina"/>
        <w:jc w:val="both"/>
        <w:rPr>
          <w:rFonts w:cstheme="minorHAnsi"/>
        </w:rPr>
      </w:pPr>
    </w:p>
    <w:p w14:paraId="4FE2880A" w14:textId="715BE56F" w:rsidR="008B4D02" w:rsidRPr="00FF3282" w:rsidRDefault="008B4D02">
      <w:pPr>
        <w:pStyle w:val="Testonotaapidipagina"/>
        <w:rPr>
          <w:rFonts w:cstheme="minorHAnsi"/>
        </w:rPr>
      </w:pPr>
    </w:p>
  </w:footnote>
  <w:footnote w:id="2">
    <w:p w14:paraId="6E5B2873" w14:textId="6B3C82C2" w:rsidR="008264A0" w:rsidRDefault="008264A0" w:rsidP="00CD0124">
      <w:pPr>
        <w:pStyle w:val="Testonotaapidipagina"/>
        <w:jc w:val="both"/>
      </w:pPr>
      <w:r>
        <w:rPr>
          <w:rStyle w:val="Rimandonotaapidipagina"/>
        </w:rPr>
        <w:footnoteRef/>
      </w:r>
      <w:r>
        <w:t xml:space="preserve"> </w:t>
      </w:r>
      <w:r w:rsidRPr="008264A0">
        <w:t xml:space="preserve">G. VELTRI, </w:t>
      </w:r>
      <w:r w:rsidRPr="008264A0">
        <w:rPr>
          <w:i/>
          <w:iCs/>
        </w:rPr>
        <w:t>Questioni controverse in tema di interdittive antimafia</w:t>
      </w:r>
      <w:r w:rsidRPr="008264A0">
        <w:t xml:space="preserve">, Relazione al </w:t>
      </w:r>
      <w:r w:rsidR="00B10596">
        <w:t>c</w:t>
      </w:r>
      <w:r w:rsidRPr="008264A0">
        <w:t xml:space="preserve">onvegno </w:t>
      </w:r>
      <w:r w:rsidR="00ED1AFE">
        <w:t xml:space="preserve">su </w:t>
      </w:r>
      <w:r w:rsidR="007C45DE">
        <w:t>“</w:t>
      </w:r>
      <w:r w:rsidR="00ED1AFE" w:rsidRPr="007C45DE">
        <w:t>Questioni controverse di diritto amministrativo. Un dialogo tra Accademia e Giurisprudenza</w:t>
      </w:r>
      <w:r w:rsidR="007C45DE">
        <w:t>”</w:t>
      </w:r>
      <w:r w:rsidR="00ED1AFE">
        <w:t xml:space="preserve">, svoltosi </w:t>
      </w:r>
      <w:r w:rsidRPr="008264A0">
        <w:t>a Palazzo Spada il 1</w:t>
      </w:r>
      <w:r w:rsidR="00ED1AFE">
        <w:t>°</w:t>
      </w:r>
      <w:r w:rsidRPr="008264A0">
        <w:t xml:space="preserve"> aprile scorso e visualizzabile dal link </w:t>
      </w:r>
      <w:proofErr w:type="spellStart"/>
      <w:r w:rsidRPr="00CD0124">
        <w:rPr>
          <w:i/>
          <w:iCs/>
        </w:rPr>
        <w:t>youtube</w:t>
      </w:r>
      <w:proofErr w:type="spellEnd"/>
      <w:r w:rsidRPr="008264A0">
        <w:t xml:space="preserve"> indicato sul sito della giustizia amministrativa</w:t>
      </w:r>
      <w:r w:rsidR="00ED1AFE">
        <w:t>.</w:t>
      </w:r>
    </w:p>
  </w:footnote>
  <w:footnote w:id="3">
    <w:p w14:paraId="1B04C5BE" w14:textId="534B992F" w:rsidR="00EC41AD" w:rsidRPr="00EC41AD" w:rsidRDefault="009D2251" w:rsidP="00EC41AD">
      <w:pPr>
        <w:pStyle w:val="Testonotaapidipagina"/>
      </w:pPr>
      <w:r>
        <w:rPr>
          <w:rStyle w:val="Rimandonotaapidipagina"/>
        </w:rPr>
        <w:footnoteRef/>
      </w:r>
      <w:r>
        <w:t xml:space="preserve"> Su cui cfr. </w:t>
      </w:r>
      <w:r w:rsidRPr="00B10596">
        <w:rPr>
          <w:i/>
          <w:iCs/>
        </w:rPr>
        <w:t>inter alia</w:t>
      </w:r>
      <w:r>
        <w:t xml:space="preserve"> </w:t>
      </w:r>
      <w:r w:rsidR="00EC41AD" w:rsidRPr="00EC41AD">
        <w:t>A. LONGO </w:t>
      </w:r>
      <w:r w:rsidR="00EC41AD" w:rsidRPr="00EC41AD">
        <w:rPr>
          <w:i/>
          <w:iCs/>
        </w:rPr>
        <w:t>La Corte costituzionale e le informative antimafia. Minime riflessioni a partire dalla sentenza n. 57 del 2020</w:t>
      </w:r>
      <w:r w:rsidR="00EC41AD">
        <w:t xml:space="preserve">, </w:t>
      </w:r>
      <w:r w:rsidR="00EC41AD" w:rsidRPr="00EC41AD">
        <w:t xml:space="preserve">in </w:t>
      </w:r>
      <w:r w:rsidR="00EC41AD" w:rsidRPr="00EC41AD">
        <w:rPr>
          <w:i/>
          <w:iCs/>
        </w:rPr>
        <w:t>Nomos</w:t>
      </w:r>
      <w:r w:rsidR="00EC41AD">
        <w:t xml:space="preserve">, </w:t>
      </w:r>
      <w:r w:rsidR="00EC41AD" w:rsidRPr="00EC41AD">
        <w:t>n. 2/2020)</w:t>
      </w:r>
      <w:r w:rsidR="00EC41AD">
        <w:t>.</w:t>
      </w:r>
      <w:r w:rsidR="00EC41AD" w:rsidRPr="00EC41AD">
        <w:t> </w:t>
      </w:r>
    </w:p>
    <w:p w14:paraId="1C72B8B4" w14:textId="2122C61E" w:rsidR="009D2251" w:rsidRDefault="009D2251">
      <w:pPr>
        <w:pStyle w:val="Testonotaapidipagina"/>
      </w:pPr>
    </w:p>
  </w:footnote>
  <w:footnote w:id="4">
    <w:p w14:paraId="53A2DBE8" w14:textId="46346AF9" w:rsidR="000B1B5C" w:rsidRPr="000B1B5C" w:rsidRDefault="0080394E" w:rsidP="000A6361">
      <w:pPr>
        <w:pStyle w:val="Testonotaapidipagina"/>
        <w:jc w:val="both"/>
        <w:rPr>
          <w:bCs/>
        </w:rPr>
      </w:pPr>
      <w:r>
        <w:rPr>
          <w:rStyle w:val="Rimandonotaapidipagina"/>
        </w:rPr>
        <w:footnoteRef/>
      </w:r>
      <w:r w:rsidR="000B1B5C">
        <w:t xml:space="preserve"> M. NOCCELLI,</w:t>
      </w:r>
      <w:r>
        <w:t xml:space="preserve"> </w:t>
      </w:r>
      <w:r w:rsidR="000B1B5C" w:rsidRPr="000B1B5C">
        <w:rPr>
          <w:bCs/>
          <w:i/>
        </w:rPr>
        <w:t xml:space="preserve">Le informazioni antimafia tra tassatività sostanziale e tassatività processuale, </w:t>
      </w:r>
      <w:r w:rsidR="000B1B5C" w:rsidRPr="000B1B5C">
        <w:rPr>
          <w:bCs/>
          <w:iCs/>
        </w:rPr>
        <w:t>in</w:t>
      </w:r>
      <w:r w:rsidR="000B1B5C" w:rsidRPr="000B1B5C">
        <w:rPr>
          <w:bCs/>
          <w:i/>
        </w:rPr>
        <w:t xml:space="preserve"> </w:t>
      </w:r>
      <w:hyperlink r:id="rId2" w:history="1">
        <w:r w:rsidR="000B1B5C" w:rsidRPr="000B1B5C">
          <w:rPr>
            <w:rStyle w:val="Collegamentoipertestuale"/>
            <w:bCs/>
            <w:i/>
          </w:rPr>
          <w:t>www.giustizia-amministrativa</w:t>
        </w:r>
      </w:hyperlink>
      <w:r w:rsidR="000B1B5C" w:rsidRPr="000B1B5C">
        <w:rPr>
          <w:bCs/>
          <w:i/>
        </w:rPr>
        <w:t xml:space="preserve"> </w:t>
      </w:r>
      <w:r w:rsidR="000B1B5C" w:rsidRPr="000B1B5C">
        <w:rPr>
          <w:bCs/>
          <w:iCs/>
        </w:rPr>
        <w:t>2020</w:t>
      </w:r>
      <w:r w:rsidR="003F4B6C">
        <w:rPr>
          <w:bCs/>
          <w:iCs/>
        </w:rPr>
        <w:t>.</w:t>
      </w:r>
    </w:p>
    <w:p w14:paraId="631B9450" w14:textId="29DB47F2" w:rsidR="0080394E" w:rsidRDefault="0080394E">
      <w:pPr>
        <w:pStyle w:val="Testonotaapidipagina"/>
      </w:pPr>
    </w:p>
  </w:footnote>
  <w:footnote w:id="5">
    <w:p w14:paraId="75DB823D" w14:textId="22466C9E" w:rsidR="00E84C6F" w:rsidRPr="00E84C6F" w:rsidRDefault="00E84C6F" w:rsidP="00B47B9C">
      <w:pPr>
        <w:pStyle w:val="Testonotaapidipagina"/>
        <w:jc w:val="both"/>
      </w:pPr>
      <w:r>
        <w:rPr>
          <w:rStyle w:val="Rimandonotaapidipagina"/>
        </w:rPr>
        <w:footnoteRef/>
      </w:r>
      <w:r>
        <w:t xml:space="preserve"> Cfr. da ultimo, </w:t>
      </w:r>
      <w:r w:rsidRPr="00E84C6F">
        <w:t xml:space="preserve">prima della riforma del 2021, Cons. Stato, III, 25 ottobre 2021 n. 7165 (con nota di P. CACACE, </w:t>
      </w:r>
      <w:r w:rsidRPr="00E84C6F">
        <w:rPr>
          <w:i/>
          <w:iCs/>
        </w:rPr>
        <w:t>Conformità dell’interdittiva antimafia alle norme costituzionali, euro unitarie e internazionali pattizie</w:t>
      </w:r>
      <w:r w:rsidRPr="00E84C6F">
        <w:t xml:space="preserve">, in </w:t>
      </w:r>
      <w:r w:rsidRPr="00E84C6F">
        <w:rPr>
          <w:i/>
          <w:iCs/>
        </w:rPr>
        <w:t>giustamm.it</w:t>
      </w:r>
      <w:r w:rsidRPr="00E84C6F">
        <w:t>, 2022,  che, richiamando anche la sentenza n. 3 del 2018 dell’Adunanza plenaria, rimarca che la natura cautelare, anticipatoria e prudenziale, affermata da consolidata giurisprudenza, rende estranee al sistema sanzionatorio penale le misure interdittive antimafia, soggette, invece, al principio di legalità e a quello del giusto procedimento “</w:t>
      </w:r>
      <w:r w:rsidRPr="00E84C6F">
        <w:rPr>
          <w:i/>
          <w:iCs/>
        </w:rPr>
        <w:t>secondo criteri di ragionevolezza, adeguatezza e proporzionalità</w:t>
      </w:r>
      <w:r w:rsidRPr="00E84C6F">
        <w:t>”.</w:t>
      </w:r>
    </w:p>
    <w:p w14:paraId="4C1F4D6E" w14:textId="416F17D1" w:rsidR="00E84C6F" w:rsidRDefault="00E84C6F">
      <w:pPr>
        <w:pStyle w:val="Testonotaapidipagina"/>
      </w:pPr>
    </w:p>
  </w:footnote>
  <w:footnote w:id="6">
    <w:p w14:paraId="18A3B914" w14:textId="1D7BE481" w:rsidR="000A7E8E" w:rsidRPr="009C4426" w:rsidRDefault="000A7E8E" w:rsidP="000A7E8E">
      <w:pPr>
        <w:pStyle w:val="Testonotaapidipagina"/>
        <w:jc w:val="both"/>
        <w:rPr>
          <w:rFonts w:cstheme="minorHAnsi"/>
        </w:rPr>
      </w:pPr>
      <w:r>
        <w:rPr>
          <w:rStyle w:val="Rimandonotaapidipagina"/>
        </w:rPr>
        <w:footnoteRef/>
      </w:r>
      <w:r>
        <w:t xml:space="preserve"> </w:t>
      </w:r>
      <w:r w:rsidRPr="009C4426">
        <w:rPr>
          <w:rFonts w:cstheme="minorHAnsi"/>
        </w:rPr>
        <w:t xml:space="preserve">Cfr. in argomento </w:t>
      </w:r>
      <w:r w:rsidRPr="009C4426">
        <w:rPr>
          <w:rFonts w:cstheme="minorHAnsi"/>
          <w:smallCaps/>
        </w:rPr>
        <w:t>F. Fracchia</w:t>
      </w:r>
      <w:r w:rsidR="00952ADB" w:rsidRPr="009C4426">
        <w:rPr>
          <w:rFonts w:cstheme="minorHAnsi"/>
        </w:rPr>
        <w:t>-</w:t>
      </w:r>
      <w:r w:rsidRPr="009C4426">
        <w:rPr>
          <w:rFonts w:cstheme="minorHAnsi"/>
          <w:smallCaps/>
        </w:rPr>
        <w:t>M. Occhiena</w:t>
      </w:r>
      <w:r w:rsidRPr="009C4426">
        <w:rPr>
          <w:rFonts w:cstheme="minorHAnsi"/>
        </w:rPr>
        <w:t xml:space="preserve">, </w:t>
      </w:r>
      <w:r w:rsidRPr="009C4426">
        <w:rPr>
          <w:rFonts w:cstheme="minorHAnsi"/>
          <w:i/>
        </w:rPr>
        <w:t xml:space="preserve">Il giudice amministrativo e l’inferenza logica: “più probabile che non” e “oltre”, “rilevante probabilità” e “oltre ogni ragionevole dubbio”. Paradigmi argomentativi e rilevanza dell’interesse pubblico, </w:t>
      </w:r>
      <w:r w:rsidRPr="009C4426">
        <w:rPr>
          <w:rFonts w:cstheme="minorHAnsi"/>
        </w:rPr>
        <w:t xml:space="preserve">in </w:t>
      </w:r>
      <w:r w:rsidRPr="009C4426">
        <w:rPr>
          <w:rFonts w:cstheme="minorHAnsi"/>
          <w:i/>
        </w:rPr>
        <w:t xml:space="preserve">Dir. </w:t>
      </w:r>
      <w:proofErr w:type="spellStart"/>
      <w:r w:rsidRPr="009C4426">
        <w:rPr>
          <w:rFonts w:cstheme="minorHAnsi"/>
          <w:i/>
        </w:rPr>
        <w:t>econ</w:t>
      </w:r>
      <w:proofErr w:type="spellEnd"/>
      <w:r w:rsidRPr="009C4426">
        <w:rPr>
          <w:rFonts w:cstheme="minorHAnsi"/>
          <w:i/>
        </w:rPr>
        <w:t>.</w:t>
      </w:r>
      <w:r w:rsidRPr="009C4426">
        <w:rPr>
          <w:rFonts w:cstheme="minorHAnsi"/>
        </w:rPr>
        <w:t>, 2018, 3, pp. 1125-1164</w:t>
      </w:r>
      <w:r w:rsidR="009C4426">
        <w:rPr>
          <w:rFonts w:cstheme="minorHAnsi"/>
        </w:rPr>
        <w:t>.</w:t>
      </w:r>
    </w:p>
  </w:footnote>
  <w:footnote w:id="7">
    <w:p w14:paraId="305E2AC6" w14:textId="6AAAC5E6" w:rsidR="00B675AF" w:rsidRDefault="00B675AF">
      <w:pPr>
        <w:pStyle w:val="Testonotaapidipagina"/>
      </w:pPr>
      <w:r>
        <w:rPr>
          <w:rStyle w:val="Rimandonotaapidipagina"/>
        </w:rPr>
        <w:footnoteRef/>
      </w:r>
      <w:r>
        <w:t xml:space="preserve"> V. </w:t>
      </w:r>
      <w:r w:rsidRPr="00B675AF">
        <w:rPr>
          <w:i/>
          <w:iCs/>
        </w:rPr>
        <w:t>infra</w:t>
      </w:r>
      <w:r>
        <w:t>.</w:t>
      </w:r>
    </w:p>
  </w:footnote>
  <w:footnote w:id="8">
    <w:p w14:paraId="2B28DACD" w14:textId="34A5091D" w:rsidR="004460AF" w:rsidRDefault="004460AF">
      <w:pPr>
        <w:pStyle w:val="Testonotaapidipagina"/>
      </w:pPr>
      <w:r>
        <w:rPr>
          <w:rStyle w:val="Rimandonotaapidipagina"/>
        </w:rPr>
        <w:footnoteRef/>
      </w:r>
      <w:r>
        <w:t xml:space="preserve"> </w:t>
      </w:r>
      <w:r w:rsidRPr="004460AF">
        <w:t xml:space="preserve">R. ROLLI, </w:t>
      </w:r>
      <w:r w:rsidRPr="004460AF">
        <w:rPr>
          <w:i/>
          <w:iCs/>
        </w:rPr>
        <w:t xml:space="preserve">L’argine inadatto. Pluriformi verità sull’interdittiva antimafia, </w:t>
      </w:r>
      <w:r w:rsidRPr="004460AF">
        <w:t>in corso di stampa, su gentile concessione dell’A.</w:t>
      </w:r>
    </w:p>
  </w:footnote>
  <w:footnote w:id="9">
    <w:p w14:paraId="36310D6A" w14:textId="041E5D68" w:rsidR="00CC6F33" w:rsidRDefault="00CC6F33">
      <w:pPr>
        <w:pStyle w:val="Testonotaapidipagina"/>
      </w:pPr>
      <w:r>
        <w:rPr>
          <w:rStyle w:val="Rimandonotaapidipagina"/>
        </w:rPr>
        <w:footnoteRef/>
      </w:r>
      <w:r>
        <w:t xml:space="preserve"> Segnalo in particolare il convegno </w:t>
      </w:r>
      <w:r w:rsidR="00906911">
        <w:t xml:space="preserve">organizzato dalla </w:t>
      </w:r>
      <w:r w:rsidR="00906911" w:rsidRPr="00906911">
        <w:t xml:space="preserve">Sezione di Reggio Calabria del TAR Calabria e dal Dipartimento di Giurisprudenza, Economia e Scienze umane dell’Università Mediterranea </w:t>
      </w:r>
      <w:r w:rsidR="004460AF">
        <w:t>su</w:t>
      </w:r>
      <w:r w:rsidR="000572B0">
        <w:t xml:space="preserve"> </w:t>
      </w:r>
      <w:r w:rsidR="000572B0" w:rsidRPr="000572B0">
        <w:rPr>
          <w:i/>
          <w:iCs/>
        </w:rPr>
        <w:t>Il nuovo volto delle interdittive antimafia nel Piano Nazionale di Ripresa e Resilienza (PNRR)</w:t>
      </w:r>
      <w:r w:rsidR="000572B0">
        <w:t xml:space="preserve">, </w:t>
      </w:r>
      <w:r w:rsidR="00906911">
        <w:t>svoltosi l’8 aprile scorso a Reggio Calabria.</w:t>
      </w:r>
    </w:p>
  </w:footnote>
  <w:footnote w:id="10">
    <w:p w14:paraId="4B290CD3" w14:textId="7089C830" w:rsidR="00CC6F33" w:rsidRDefault="00CC6F33">
      <w:pPr>
        <w:pStyle w:val="Testonotaapidipagina"/>
      </w:pPr>
      <w:r>
        <w:rPr>
          <w:rStyle w:val="Rimandonotaapidipagina"/>
        </w:rPr>
        <w:footnoteRef/>
      </w:r>
      <w:r>
        <w:t xml:space="preserve"> </w:t>
      </w:r>
      <w:r w:rsidRPr="00CC6F33">
        <w:t xml:space="preserve">V. GAETA, </w:t>
      </w:r>
      <w:r w:rsidR="00906911" w:rsidRPr="00ED24A2">
        <w:rPr>
          <w:i/>
          <w:iCs/>
        </w:rPr>
        <w:t>Il controllo giudiziario a richiesta dell'impresa e il compito del giudice ordinario</w:t>
      </w:r>
      <w:r w:rsidR="00906911" w:rsidRPr="00ED24A2">
        <w:t xml:space="preserve">, in </w:t>
      </w:r>
      <w:r w:rsidR="00906911" w:rsidRPr="00ED24A2">
        <w:rPr>
          <w:i/>
          <w:iCs/>
        </w:rPr>
        <w:t>giustiziainsieme</w:t>
      </w:r>
      <w:r w:rsidR="009C4426">
        <w:t>,</w:t>
      </w:r>
      <w:r w:rsidR="00906911" w:rsidRPr="00ED24A2">
        <w:t>2021</w:t>
      </w:r>
      <w:r w:rsidR="00906911">
        <w:t>.</w:t>
      </w:r>
    </w:p>
  </w:footnote>
  <w:footnote w:id="11">
    <w:p w14:paraId="3199C03C" w14:textId="65254AC0" w:rsidR="00262F91" w:rsidRPr="00262F91" w:rsidRDefault="00262F91" w:rsidP="00262F91">
      <w:pPr>
        <w:pStyle w:val="Testonotaapidipagina"/>
        <w:jc w:val="both"/>
      </w:pPr>
      <w:r>
        <w:rPr>
          <w:rStyle w:val="Rimandonotaapidipagina"/>
        </w:rPr>
        <w:footnoteRef/>
      </w:r>
      <w:r>
        <w:t xml:space="preserve"> </w:t>
      </w:r>
      <w:r w:rsidRPr="00262F91">
        <w:rPr>
          <w:rFonts w:cstheme="minorHAnsi"/>
        </w:rPr>
        <w:t xml:space="preserve">In argomento, </w:t>
      </w:r>
      <w:r w:rsidRPr="00262F91">
        <w:rPr>
          <w:rFonts w:cstheme="minorHAnsi"/>
          <w:i/>
          <w:iCs/>
        </w:rPr>
        <w:t>inter alia</w:t>
      </w:r>
      <w:r w:rsidRPr="00262F91">
        <w:rPr>
          <w:rFonts w:cstheme="minorHAnsi"/>
        </w:rPr>
        <w:t xml:space="preserve">, V. SALAMONE, </w:t>
      </w:r>
      <w:r w:rsidRPr="00262F91">
        <w:rPr>
          <w:rFonts w:cstheme="minorHAnsi"/>
          <w:i/>
          <w:iCs/>
        </w:rPr>
        <w:t>La documentazione antimafia nella normativa e nella giurisprudenza</w:t>
      </w:r>
      <w:r w:rsidRPr="00262F91">
        <w:rPr>
          <w:rFonts w:cstheme="minorHAnsi"/>
        </w:rPr>
        <w:t>,</w:t>
      </w:r>
      <w:r>
        <w:rPr>
          <w:rFonts w:cstheme="minorHAnsi"/>
        </w:rPr>
        <w:t xml:space="preserve"> </w:t>
      </w:r>
      <w:r w:rsidRPr="00262F91">
        <w:rPr>
          <w:rFonts w:cstheme="minorHAnsi"/>
        </w:rPr>
        <w:t>Napoli, 2019</w:t>
      </w:r>
      <w:r w:rsidRPr="00262F91">
        <w:rPr>
          <w:rFonts w:ascii="Garamond" w:hAnsi="Garamond"/>
        </w:rPr>
        <w:t>.</w:t>
      </w:r>
    </w:p>
  </w:footnote>
  <w:footnote w:id="12">
    <w:p w14:paraId="17E8C0E5" w14:textId="54C8102B" w:rsidR="005A69A8" w:rsidRPr="00D17CB5" w:rsidRDefault="005A69A8" w:rsidP="005A69A8">
      <w:pPr>
        <w:pStyle w:val="Testonotaapidipagina"/>
        <w:jc w:val="both"/>
      </w:pPr>
      <w:r>
        <w:rPr>
          <w:rStyle w:val="Rimandonotaapidipagina"/>
        </w:rPr>
        <w:footnoteRef/>
      </w:r>
      <w:r>
        <w:t xml:space="preserve"> G. AMARELLI, </w:t>
      </w:r>
      <w:r w:rsidRPr="005A69A8">
        <w:rPr>
          <w:i/>
          <w:iCs/>
        </w:rPr>
        <w:t>La Cassazione riduce i presupposti applicativi del controllo giudiziario volontario ed i pot</w:t>
      </w:r>
      <w:r w:rsidR="00262F91">
        <w:rPr>
          <w:i/>
          <w:iCs/>
        </w:rPr>
        <w:t>e</w:t>
      </w:r>
      <w:r w:rsidRPr="005A69A8">
        <w:rPr>
          <w:i/>
          <w:iCs/>
        </w:rPr>
        <w:t>ri cognitivi del giudice ordinario</w:t>
      </w:r>
      <w:r w:rsidR="00AC3365">
        <w:rPr>
          <w:i/>
          <w:iCs/>
        </w:rPr>
        <w:t xml:space="preserve"> </w:t>
      </w:r>
      <w:r w:rsidR="00AC3365">
        <w:t xml:space="preserve">(a margine della </w:t>
      </w:r>
      <w:proofErr w:type="spellStart"/>
      <w:r w:rsidR="00AC3365">
        <w:t>sent</w:t>
      </w:r>
      <w:proofErr w:type="spellEnd"/>
      <w:r w:rsidR="00AC3365">
        <w:t xml:space="preserve">. Cass. </w:t>
      </w:r>
      <w:r w:rsidR="00952ADB">
        <w:t>Pen., II, n</w:t>
      </w:r>
      <w:r w:rsidR="00AC3365">
        <w:t>. 9122 del 202</w:t>
      </w:r>
      <w:r w:rsidR="00952ADB">
        <w:t xml:space="preserve">1, </w:t>
      </w:r>
      <w:r>
        <w:t xml:space="preserve">in </w:t>
      </w:r>
      <w:r w:rsidRPr="005A69A8">
        <w:rPr>
          <w:i/>
          <w:iCs/>
        </w:rPr>
        <w:t>Sistema penale</w:t>
      </w:r>
      <w:r>
        <w:t>, 2021.</w:t>
      </w:r>
    </w:p>
    <w:p w14:paraId="744B0F71" w14:textId="573CD5D3" w:rsidR="005A69A8" w:rsidRDefault="005A69A8">
      <w:pPr>
        <w:pStyle w:val="Testonotaapidipagina"/>
      </w:pPr>
    </w:p>
  </w:footnote>
  <w:footnote w:id="13">
    <w:p w14:paraId="6D7046C0" w14:textId="2AC8BEA2" w:rsidR="00157CDF" w:rsidRDefault="00157CDF">
      <w:pPr>
        <w:pStyle w:val="Testonotaapidipagina"/>
      </w:pPr>
      <w:r>
        <w:rPr>
          <w:rStyle w:val="Rimandonotaapidipagina"/>
        </w:rPr>
        <w:footnoteRef/>
      </w:r>
      <w:r>
        <w:t xml:space="preserve"> </w:t>
      </w:r>
      <w:r w:rsidRPr="00157CDF">
        <w:t>G. VELTRI, cit.</w:t>
      </w:r>
    </w:p>
  </w:footnote>
  <w:footnote w:id="14">
    <w:p w14:paraId="6ED3539B" w14:textId="359C6FE2" w:rsidR="00D17CB5" w:rsidRPr="00D17CB5" w:rsidRDefault="00D17CB5" w:rsidP="00840F99">
      <w:pPr>
        <w:pStyle w:val="Testonotaapidipagina"/>
        <w:jc w:val="both"/>
      </w:pPr>
      <w:r>
        <w:rPr>
          <w:rStyle w:val="Rimandonotaapidipagina"/>
        </w:rPr>
        <w:footnoteRef/>
      </w:r>
      <w:r>
        <w:t xml:space="preserve"> Sull’istituto del controllo giudiziario volontario, cfr., </w:t>
      </w:r>
      <w:r w:rsidRPr="00D17CB5">
        <w:rPr>
          <w:i/>
          <w:iCs/>
        </w:rPr>
        <w:t>inter alia</w:t>
      </w:r>
      <w:r>
        <w:t xml:space="preserve">, </w:t>
      </w:r>
      <w:r w:rsidR="00DD359F" w:rsidRPr="00D17CB5">
        <w:t>S. FINOCCHIARO, </w:t>
      </w:r>
      <w:hyperlink r:id="rId3" w:history="1">
        <w:r w:rsidR="00DD359F" w:rsidRPr="00D17CB5">
          <w:rPr>
            <w:rStyle w:val="Collegamentoipertestuale"/>
            <w:i/>
            <w:iCs/>
          </w:rPr>
          <w:t>La riforma del codice antimafia (e non solo): uno sguardo d’insieme alle modifiche appena introdotte</w:t>
        </w:r>
      </w:hyperlink>
      <w:r w:rsidR="00DD359F" w:rsidRPr="00D17CB5">
        <w:t>, in </w:t>
      </w:r>
      <w:r w:rsidR="00DD359F" w:rsidRPr="00D17CB5">
        <w:rPr>
          <w:i/>
          <w:iCs/>
        </w:rPr>
        <w:t xml:space="preserve">Dir. </w:t>
      </w:r>
      <w:proofErr w:type="spellStart"/>
      <w:r w:rsidR="00DD359F" w:rsidRPr="00D17CB5">
        <w:rPr>
          <w:i/>
          <w:iCs/>
        </w:rPr>
        <w:t>pen</w:t>
      </w:r>
      <w:proofErr w:type="spellEnd"/>
      <w:r w:rsidR="00DD359F" w:rsidRPr="00D17CB5">
        <w:rPr>
          <w:i/>
          <w:iCs/>
        </w:rPr>
        <w:t xml:space="preserve">. </w:t>
      </w:r>
      <w:proofErr w:type="spellStart"/>
      <w:r w:rsidR="00DD359F" w:rsidRPr="00D17CB5">
        <w:rPr>
          <w:i/>
          <w:iCs/>
        </w:rPr>
        <w:t>cont</w:t>
      </w:r>
      <w:proofErr w:type="spellEnd"/>
      <w:r w:rsidR="00DD359F" w:rsidRPr="00D17CB5">
        <w:rPr>
          <w:i/>
          <w:iCs/>
        </w:rPr>
        <w:t>.</w:t>
      </w:r>
      <w:r w:rsidR="00DD359F" w:rsidRPr="00D17CB5">
        <w:t xml:space="preserve">, 2017, </w:t>
      </w:r>
      <w:r w:rsidR="00DD359F">
        <w:t xml:space="preserve">10, </w:t>
      </w:r>
      <w:r w:rsidR="00DD359F" w:rsidRPr="00D17CB5">
        <w:t xml:space="preserve">pp. 256 </w:t>
      </w:r>
      <w:proofErr w:type="spellStart"/>
      <w:r w:rsidR="00DD359F" w:rsidRPr="00D17CB5">
        <w:t>ss.A</w:t>
      </w:r>
      <w:proofErr w:type="spellEnd"/>
      <w:r w:rsidR="00DD359F" w:rsidRPr="00D17CB5">
        <w:t>. MAUGERI, </w:t>
      </w:r>
      <w:r w:rsidR="00DD359F" w:rsidRPr="00D17CB5">
        <w:rPr>
          <w:i/>
          <w:iCs/>
        </w:rPr>
        <w:t xml:space="preserve">La riforma delle misure di prevenzione patrimoniali ad opera della l. 161/2017 tra istanze efficientiste e tentativi incompiuti di </w:t>
      </w:r>
      <w:proofErr w:type="spellStart"/>
      <w:r w:rsidR="00DD359F" w:rsidRPr="00D17CB5">
        <w:rPr>
          <w:i/>
          <w:iCs/>
        </w:rPr>
        <w:t>giurisdizionalizzazione</w:t>
      </w:r>
      <w:proofErr w:type="spellEnd"/>
      <w:r w:rsidR="00DD359F" w:rsidRPr="00D17CB5">
        <w:rPr>
          <w:i/>
          <w:iCs/>
        </w:rPr>
        <w:t xml:space="preserve"> del procedimento di prevenzione</w:t>
      </w:r>
      <w:r w:rsidR="00DD359F" w:rsidRPr="00D17CB5">
        <w:t>, in </w:t>
      </w:r>
      <w:r w:rsidR="00DD359F" w:rsidRPr="00D17CB5">
        <w:rPr>
          <w:i/>
          <w:iCs/>
        </w:rPr>
        <w:t xml:space="preserve">Arch. </w:t>
      </w:r>
      <w:proofErr w:type="spellStart"/>
      <w:r w:rsidR="00DD359F" w:rsidRPr="00D17CB5">
        <w:rPr>
          <w:i/>
          <w:iCs/>
        </w:rPr>
        <w:t>pen</w:t>
      </w:r>
      <w:proofErr w:type="spellEnd"/>
      <w:r w:rsidR="00DD359F" w:rsidRPr="00D17CB5">
        <w:rPr>
          <w:i/>
          <w:iCs/>
        </w:rPr>
        <w:t>.</w:t>
      </w:r>
      <w:r w:rsidR="00DD359F" w:rsidRPr="00D17CB5">
        <w:t>, 2018, pp. 368 ss.</w:t>
      </w:r>
      <w:r w:rsidR="00DD359F">
        <w:t xml:space="preserve">; </w:t>
      </w:r>
      <w:r w:rsidRPr="00D17CB5">
        <w:t>C. VISCONTI, </w:t>
      </w:r>
      <w:r w:rsidRPr="00D17CB5">
        <w:rPr>
          <w:i/>
          <w:iCs/>
        </w:rPr>
        <w:t>Il controllo giudiziario “volontario”: una moderna “messa alla prova” aziendale per una tutela recuperatoria contro le infiltrazioni mafiose</w:t>
      </w:r>
      <w:r w:rsidRPr="00D17CB5">
        <w:t>, in G. AMARELLI-S. STICCHI DAMIANI (a cura di), </w:t>
      </w:r>
      <w:r w:rsidRPr="00D17CB5">
        <w:rPr>
          <w:i/>
          <w:iCs/>
        </w:rPr>
        <w:t>Le interdittive antimafia</w:t>
      </w:r>
      <w:r>
        <w:t>, cit.</w:t>
      </w:r>
      <w:r w:rsidRPr="00D17CB5">
        <w:rPr>
          <w:i/>
          <w:iCs/>
        </w:rPr>
        <w:t xml:space="preserve"> </w:t>
      </w:r>
      <w:r w:rsidRPr="00D17CB5">
        <w:t>pp. 237 e ss.; R. CANTONE-B. COCCAGNA, </w:t>
      </w:r>
      <w:r w:rsidRPr="00D17CB5">
        <w:rPr>
          <w:i/>
          <w:iCs/>
        </w:rPr>
        <w:t>L’impresa raggiunta da interdittiva antimafia tra commissariamenti prefettizi e controllo giudiziario</w:t>
      </w:r>
      <w:r w:rsidRPr="00D17CB5">
        <w:t xml:space="preserve">, </w:t>
      </w:r>
      <w:r w:rsidRPr="00D17CB5">
        <w:rPr>
          <w:i/>
          <w:iCs/>
        </w:rPr>
        <w:t>ivi</w:t>
      </w:r>
      <w:r w:rsidRPr="00D17CB5">
        <w:t xml:space="preserve">, pp. 283 e ss.;; </w:t>
      </w:r>
      <w:r w:rsidR="00840F99" w:rsidRPr="00D17CB5">
        <w:t>E. BIRRITTERI</w:t>
      </w:r>
      <w:r w:rsidRPr="00D17CB5">
        <w:rPr>
          <w:i/>
          <w:iCs/>
        </w:rPr>
        <w:t>, I nuovi strumenti di bonifica aziendale nel Codice Antimafia: amministrazione e controllo giudiziario delle aziende</w:t>
      </w:r>
      <w:r w:rsidRPr="00D17CB5">
        <w:t>, in </w:t>
      </w:r>
      <w:r w:rsidRPr="00D17CB5">
        <w:rPr>
          <w:i/>
          <w:iCs/>
        </w:rPr>
        <w:t xml:space="preserve">Riv. trim. dir. </w:t>
      </w:r>
      <w:proofErr w:type="spellStart"/>
      <w:r w:rsidRPr="00D17CB5">
        <w:rPr>
          <w:i/>
          <w:iCs/>
        </w:rPr>
        <w:t>pen</w:t>
      </w:r>
      <w:proofErr w:type="spellEnd"/>
      <w:r w:rsidRPr="00D17CB5">
        <w:rPr>
          <w:i/>
          <w:iCs/>
        </w:rPr>
        <w:t xml:space="preserve">. </w:t>
      </w:r>
      <w:proofErr w:type="spellStart"/>
      <w:r w:rsidRPr="00D17CB5">
        <w:rPr>
          <w:i/>
          <w:iCs/>
        </w:rPr>
        <w:t>econ</w:t>
      </w:r>
      <w:proofErr w:type="spellEnd"/>
      <w:r w:rsidRPr="00D17CB5">
        <w:rPr>
          <w:i/>
          <w:iCs/>
        </w:rPr>
        <w:t>.</w:t>
      </w:r>
      <w:r w:rsidRPr="00D17CB5">
        <w:t>, 2019, pp. 859 ss.;</w:t>
      </w:r>
      <w:r w:rsidR="005A69A8">
        <w:t xml:space="preserve"> </w:t>
      </w:r>
      <w:r w:rsidR="00DD359F" w:rsidRPr="00D17CB5">
        <w:t>M. MAZZAMUTO</w:t>
      </w:r>
      <w:r w:rsidR="009C4426">
        <w:t xml:space="preserve">, </w:t>
      </w:r>
      <w:r w:rsidR="009C4426" w:rsidRPr="009C4426">
        <w:rPr>
          <w:i/>
          <w:iCs/>
        </w:rPr>
        <w:t>Il salvataggio</w:t>
      </w:r>
      <w:r w:rsidR="009C4426">
        <w:t xml:space="preserve">, </w:t>
      </w:r>
      <w:proofErr w:type="gramStart"/>
      <w:r w:rsidR="009C4426">
        <w:t xml:space="preserve">cit. </w:t>
      </w:r>
      <w:r w:rsidR="00DD359F" w:rsidRPr="00D17CB5">
        <w:t>;</w:t>
      </w:r>
      <w:proofErr w:type="gramEnd"/>
      <w:r w:rsidR="00DD359F">
        <w:t xml:space="preserve"> </w:t>
      </w:r>
      <w:r w:rsidR="00840F99" w:rsidRPr="00D17CB5">
        <w:t>A.G. DIANA, </w:t>
      </w:r>
      <w:r w:rsidRPr="00D17CB5">
        <w:rPr>
          <w:i/>
          <w:iCs/>
        </w:rPr>
        <w:t>Il controllo giudiziario nelle aziende</w:t>
      </w:r>
      <w:r w:rsidRPr="00D17CB5">
        <w:t>, Pisa, 2021, pp. 237 ss.</w:t>
      </w:r>
      <w:r w:rsidR="00840F99">
        <w:t xml:space="preserve"> </w:t>
      </w:r>
    </w:p>
    <w:p w14:paraId="1AA947D4" w14:textId="3C3B60B0" w:rsidR="00D17CB5" w:rsidRDefault="00D17CB5">
      <w:pPr>
        <w:pStyle w:val="Testonotaapidipagina"/>
      </w:pPr>
    </w:p>
  </w:footnote>
  <w:footnote w:id="15">
    <w:p w14:paraId="5EC2D052" w14:textId="3E4E191A" w:rsidR="00ED24A2" w:rsidRDefault="00ED24A2">
      <w:pPr>
        <w:pStyle w:val="Testonotaapidipagina"/>
      </w:pPr>
      <w:r>
        <w:rPr>
          <w:rStyle w:val="Rimandonotaapidipagina"/>
        </w:rPr>
        <w:footnoteRef/>
      </w:r>
      <w:r>
        <w:t xml:space="preserve"> </w:t>
      </w:r>
      <w:r w:rsidRPr="00ED24A2">
        <w:t>V. GAETA</w:t>
      </w:r>
      <w:r w:rsidR="00906911">
        <w:t>,</w:t>
      </w:r>
      <w:r>
        <w:t xml:space="preserve"> </w:t>
      </w:r>
      <w:r w:rsidRPr="00ED24A2">
        <w:rPr>
          <w:i/>
          <w:iCs/>
        </w:rPr>
        <w:t>Il controllo</w:t>
      </w:r>
      <w:r w:rsidR="00906911">
        <w:t>, cit.</w:t>
      </w:r>
      <w:r w:rsidRPr="00ED24A2">
        <w:t xml:space="preserve">; v. anche C. VISCONTI, </w:t>
      </w:r>
      <w:r w:rsidRPr="00ED24A2">
        <w:rPr>
          <w:i/>
          <w:iCs/>
        </w:rPr>
        <w:t>Il controllo giudiziario “volontario”</w:t>
      </w:r>
      <w:r w:rsidR="00840F99" w:rsidRPr="00840F99">
        <w:t xml:space="preserve">, cit. </w:t>
      </w:r>
    </w:p>
  </w:footnote>
  <w:footnote w:id="16">
    <w:p w14:paraId="327CA87C" w14:textId="0BFA1681" w:rsidR="00ED24A2" w:rsidRDefault="00ED24A2">
      <w:pPr>
        <w:pStyle w:val="Testonotaapidipagina"/>
      </w:pPr>
      <w:r>
        <w:rPr>
          <w:rStyle w:val="Rimandonotaapidipagina"/>
        </w:rPr>
        <w:footnoteRef/>
      </w:r>
      <w:r>
        <w:t xml:space="preserve"> </w:t>
      </w:r>
      <w:r w:rsidR="00906911">
        <w:t xml:space="preserve">Ancora </w:t>
      </w:r>
      <w:r w:rsidRPr="00ED24A2">
        <w:t xml:space="preserve">V. GAETA, </w:t>
      </w:r>
      <w:r>
        <w:t>op. cit</w:t>
      </w:r>
      <w:r>
        <w:rPr>
          <w:i/>
          <w:iCs/>
        </w:rPr>
        <w:t>.</w:t>
      </w:r>
      <w:r>
        <w:t xml:space="preserve"> C</w:t>
      </w:r>
      <w:r w:rsidRPr="00ED24A2">
        <w:t xml:space="preserve">fr. anche R. ROLLI e M. MAGGIOLINI, </w:t>
      </w:r>
      <w:r w:rsidRPr="00ED24A2">
        <w:rPr>
          <w:i/>
          <w:iCs/>
        </w:rPr>
        <w:t>Interdittiva antimafia e giudicato penale</w:t>
      </w:r>
      <w:r w:rsidRPr="00ED24A2">
        <w:t xml:space="preserve">, </w:t>
      </w:r>
      <w:r w:rsidRPr="00DD4FDA">
        <w:rPr>
          <w:i/>
          <w:iCs/>
        </w:rPr>
        <w:t>nota a Cons. Stato, III, 4 febbraio 2021, n. 1049</w:t>
      </w:r>
      <w:r w:rsidRPr="00ED24A2">
        <w:t xml:space="preserve">, in </w:t>
      </w:r>
      <w:proofErr w:type="spellStart"/>
      <w:r w:rsidRPr="00ED24A2">
        <w:rPr>
          <w:i/>
          <w:iCs/>
        </w:rPr>
        <w:t>giustiziainsieme</w:t>
      </w:r>
      <w:proofErr w:type="spellEnd"/>
      <w:r w:rsidR="00DD4FDA">
        <w:t>, 2021</w:t>
      </w:r>
      <w:r>
        <w:t>.</w:t>
      </w:r>
    </w:p>
  </w:footnote>
  <w:footnote w:id="17">
    <w:p w14:paraId="55694200" w14:textId="6E89F1FF" w:rsidR="00316C61" w:rsidRPr="00A779BF" w:rsidRDefault="00D74CFB" w:rsidP="00A779BF">
      <w:pPr>
        <w:jc w:val="both"/>
        <w:rPr>
          <w:bCs/>
          <w:i/>
          <w:iCs/>
          <w:sz w:val="20"/>
          <w:szCs w:val="20"/>
        </w:rPr>
      </w:pPr>
      <w:r w:rsidRPr="00D74CFB">
        <w:rPr>
          <w:sz w:val="20"/>
          <w:szCs w:val="20"/>
          <w:vertAlign w:val="superscript"/>
        </w:rPr>
        <w:footnoteRef/>
      </w:r>
      <w:r w:rsidRPr="00D74CFB">
        <w:rPr>
          <w:sz w:val="20"/>
          <w:szCs w:val="20"/>
        </w:rPr>
        <w:t xml:space="preserve"> In argomento, cfr. da ultimo, gli Atti del convegno organizzato dal Dipartimento di Giurisprudenza dell’Università di Roma Tre e dal Consiglio di Stato su “I materiali della legge nella teoria delle fonti e nell’interpretazione del diritto”, svoltosi a Palazzo Spada il 20 aprile scorso, consultabili su </w:t>
      </w:r>
      <w:proofErr w:type="spellStart"/>
      <w:r w:rsidRPr="00D74CFB">
        <w:rPr>
          <w:i/>
          <w:iCs/>
          <w:sz w:val="20"/>
          <w:szCs w:val="20"/>
        </w:rPr>
        <w:t>youtube</w:t>
      </w:r>
      <w:proofErr w:type="spellEnd"/>
      <w:r w:rsidRPr="00D74CFB">
        <w:rPr>
          <w:sz w:val="20"/>
          <w:szCs w:val="20"/>
        </w:rPr>
        <w:t xml:space="preserve"> con il link indicato sul sito della giustizia amministrativa. Per un</w:t>
      </w:r>
      <w:r>
        <w:rPr>
          <w:sz w:val="20"/>
          <w:szCs w:val="20"/>
        </w:rPr>
        <w:t xml:space="preserve">a riflessione </w:t>
      </w:r>
      <w:r w:rsidRPr="00D74CFB">
        <w:rPr>
          <w:sz w:val="20"/>
          <w:szCs w:val="20"/>
        </w:rPr>
        <w:t xml:space="preserve">critica </w:t>
      </w:r>
      <w:r>
        <w:rPr>
          <w:sz w:val="20"/>
          <w:szCs w:val="20"/>
        </w:rPr>
        <w:t>su</w:t>
      </w:r>
      <w:r w:rsidRPr="00D74CFB">
        <w:rPr>
          <w:sz w:val="20"/>
          <w:szCs w:val="20"/>
        </w:rPr>
        <w:t xml:space="preserve">lla giurisprudenza “creativa” si consenta il richiamo alle considerazioni svolte e agli scritti richiamati in M.A. SANDULLI, </w:t>
      </w:r>
      <w:r w:rsidRPr="00D74CFB">
        <w:rPr>
          <w:i/>
          <w:iCs/>
          <w:sz w:val="20"/>
          <w:szCs w:val="20"/>
        </w:rPr>
        <w:t>Per la Corte costituzionale non c’è incertezza sui termini per ricorrere nel rito appalti: la sentenza n. 204 del 2021 e il creazionismo normativo dell’Adunanza plenaria</w:t>
      </w:r>
      <w:r w:rsidRPr="00D74CFB">
        <w:rPr>
          <w:sz w:val="20"/>
          <w:szCs w:val="20"/>
        </w:rPr>
        <w:t xml:space="preserve">, in </w:t>
      </w:r>
      <w:r w:rsidRPr="00D74CFB">
        <w:rPr>
          <w:i/>
          <w:iCs/>
          <w:sz w:val="20"/>
          <w:szCs w:val="20"/>
        </w:rPr>
        <w:t>federalismi</w:t>
      </w:r>
      <w:r w:rsidRPr="00D74CFB">
        <w:rPr>
          <w:sz w:val="20"/>
          <w:szCs w:val="20"/>
        </w:rPr>
        <w:t xml:space="preserve">, 2021, </w:t>
      </w:r>
      <w:r w:rsidR="00A779BF">
        <w:rPr>
          <w:sz w:val="20"/>
          <w:szCs w:val="20"/>
        </w:rPr>
        <w:t xml:space="preserve">e in </w:t>
      </w:r>
      <w:r w:rsidR="00A779BF" w:rsidRPr="00A779BF">
        <w:rPr>
          <w:bCs/>
          <w:i/>
          <w:iCs/>
          <w:sz w:val="20"/>
          <w:szCs w:val="20"/>
        </w:rPr>
        <w:t xml:space="preserve">Silenzio assenso e termine a provvedere. </w:t>
      </w:r>
      <w:r w:rsidR="00A779BF" w:rsidRPr="00A779BF">
        <w:rPr>
          <w:bCs/>
          <w:i/>
          <w:iCs/>
          <w:sz w:val="20"/>
          <w:szCs w:val="20"/>
        </w:rPr>
        <w:fldChar w:fldCharType="begin"/>
      </w:r>
      <w:r w:rsidR="00A779BF" w:rsidRPr="00A779BF">
        <w:rPr>
          <w:bCs/>
          <w:i/>
          <w:iCs/>
          <w:sz w:val="20"/>
          <w:szCs w:val="20"/>
        </w:rPr>
        <w:instrText>&lt;br/&gt;</w:instrText>
      </w:r>
      <w:r w:rsidR="00A779BF" w:rsidRPr="00A779BF">
        <w:rPr>
          <w:bCs/>
          <w:i/>
          <w:iCs/>
          <w:sz w:val="20"/>
          <w:szCs w:val="20"/>
        </w:rPr>
        <w:fldChar w:fldCharType="end"/>
      </w:r>
      <w:r w:rsidR="00A779BF" w:rsidRPr="00A779BF">
        <w:rPr>
          <w:bCs/>
          <w:i/>
          <w:iCs/>
          <w:sz w:val="20"/>
          <w:szCs w:val="20"/>
        </w:rPr>
        <w:t xml:space="preserve">Esiste ancora l’inesauribilità </w:t>
      </w:r>
      <w:r w:rsidR="00A779BF" w:rsidRPr="00A779BF">
        <w:rPr>
          <w:bCs/>
          <w:i/>
          <w:iCs/>
          <w:sz w:val="20"/>
          <w:szCs w:val="20"/>
        </w:rPr>
        <w:fldChar w:fldCharType="begin"/>
      </w:r>
      <w:r w:rsidR="00A779BF" w:rsidRPr="00A779BF">
        <w:rPr>
          <w:bCs/>
          <w:i/>
          <w:iCs/>
          <w:sz w:val="20"/>
          <w:szCs w:val="20"/>
        </w:rPr>
        <w:instrText>&lt;br/&gt;</w:instrText>
      </w:r>
      <w:r w:rsidR="00A779BF" w:rsidRPr="00A779BF">
        <w:rPr>
          <w:bCs/>
          <w:i/>
          <w:iCs/>
          <w:sz w:val="20"/>
          <w:szCs w:val="20"/>
        </w:rPr>
        <w:fldChar w:fldCharType="end"/>
      </w:r>
      <w:r w:rsidR="00A779BF" w:rsidRPr="00A779BF">
        <w:rPr>
          <w:bCs/>
          <w:i/>
          <w:iCs/>
          <w:sz w:val="20"/>
          <w:szCs w:val="20"/>
        </w:rPr>
        <w:t>del potere amministrativo?</w:t>
      </w:r>
      <w:r w:rsidR="00A779BF" w:rsidRPr="00A779BF">
        <w:rPr>
          <w:bCs/>
          <w:i/>
          <w:iCs/>
          <w:sz w:val="20"/>
          <w:szCs w:val="20"/>
        </w:rPr>
        <w:fldChar w:fldCharType="begin"/>
      </w:r>
      <w:r w:rsidR="00A779BF" w:rsidRPr="00A779BF">
        <w:rPr>
          <w:bCs/>
          <w:i/>
          <w:iCs/>
          <w:sz w:val="20"/>
          <w:szCs w:val="20"/>
        </w:rPr>
        <w:instrText>&lt;?xpp usb?&gt;</w:instrText>
      </w:r>
      <w:r w:rsidR="00A779BF" w:rsidRPr="00A779BF">
        <w:rPr>
          <w:bCs/>
          <w:i/>
          <w:iCs/>
          <w:sz w:val="20"/>
          <w:szCs w:val="20"/>
        </w:rPr>
        <w:fldChar w:fldCharType="end"/>
      </w:r>
      <w:r w:rsidR="00A779BF">
        <w:rPr>
          <w:sz w:val="20"/>
          <w:szCs w:val="20"/>
        </w:rPr>
        <w:t xml:space="preserve">, in corso di pubblicazione in </w:t>
      </w:r>
      <w:r w:rsidR="00A779BF" w:rsidRPr="00A779BF">
        <w:rPr>
          <w:i/>
          <w:iCs/>
          <w:sz w:val="20"/>
          <w:szCs w:val="20"/>
        </w:rPr>
        <w:t>Il processo</w:t>
      </w:r>
      <w:r w:rsidR="00A779BF">
        <w:rPr>
          <w:sz w:val="20"/>
          <w:szCs w:val="20"/>
        </w:rPr>
        <w:t xml:space="preserve">, n. 1/2022 e già leggibile e visualizzabile sul sito della giustizia amministrativa, </w:t>
      </w:r>
      <w:r w:rsidRPr="00D74CFB">
        <w:rPr>
          <w:sz w:val="20"/>
          <w:szCs w:val="20"/>
        </w:rPr>
        <w:t xml:space="preserve">cui </w:t>
      </w:r>
      <w:proofErr w:type="spellStart"/>
      <w:r w:rsidRPr="00D74CFB">
        <w:rPr>
          <w:i/>
          <w:iCs/>
          <w:sz w:val="20"/>
          <w:szCs w:val="20"/>
        </w:rPr>
        <w:t>adde</w:t>
      </w:r>
      <w:proofErr w:type="spellEnd"/>
      <w:r w:rsidRPr="00D74CFB">
        <w:rPr>
          <w:sz w:val="20"/>
          <w:szCs w:val="20"/>
        </w:rPr>
        <w:t xml:space="preserve"> l’Intervento al citato convegno del 20 aprile</w:t>
      </w:r>
      <w:r>
        <w:rPr>
          <w:sz w:val="20"/>
          <w:szCs w:val="20"/>
        </w:rPr>
        <w:t>.</w:t>
      </w:r>
    </w:p>
  </w:footnote>
  <w:footnote w:id="18">
    <w:p w14:paraId="34C8D6FD" w14:textId="490DD2F3" w:rsidR="00AC3365" w:rsidRDefault="00AC3365">
      <w:pPr>
        <w:pStyle w:val="Testonotaapidipagina"/>
      </w:pPr>
      <w:r>
        <w:rPr>
          <w:rStyle w:val="Rimandonotaapidipagina"/>
        </w:rPr>
        <w:footnoteRef/>
      </w:r>
      <w:r>
        <w:t xml:space="preserve"> Sul punto, specificamente, G. AMARELLI, </w:t>
      </w:r>
      <w:r w:rsidRPr="00AC3365">
        <w:rPr>
          <w:i/>
          <w:iCs/>
        </w:rPr>
        <w:t>La Cassazione</w:t>
      </w:r>
      <w:r>
        <w:t xml:space="preserve">, cit. </w:t>
      </w:r>
    </w:p>
  </w:footnote>
  <w:footnote w:id="19">
    <w:p w14:paraId="34AF574C" w14:textId="1D66F25E" w:rsidR="007059FA" w:rsidRPr="007059FA" w:rsidRDefault="007059FA" w:rsidP="006E1CBF">
      <w:pPr>
        <w:pStyle w:val="Testonotaapidipagina"/>
        <w:jc w:val="both"/>
      </w:pPr>
      <w:r>
        <w:rPr>
          <w:rStyle w:val="Rimandonotaapidipagina"/>
        </w:rPr>
        <w:footnoteRef/>
      </w:r>
      <w:r>
        <w:t xml:space="preserve"> Cfr. il già menzionato scritto di M. NOCCELLI, che, con riferimento all’</w:t>
      </w:r>
      <w:r w:rsidRPr="007059FA">
        <w:t xml:space="preserve"> ordinanza </w:t>
      </w:r>
      <w:r>
        <w:t>Corte di Giustizia</w:t>
      </w:r>
      <w:r w:rsidR="00C20F7A">
        <w:t xml:space="preserve"> </w:t>
      </w:r>
      <w:r w:rsidRPr="007059FA">
        <w:t>28 maggio 2020</w:t>
      </w:r>
      <w:r w:rsidR="00C20F7A">
        <w:t xml:space="preserve">, </w:t>
      </w:r>
      <w:r w:rsidRPr="007059FA">
        <w:t xml:space="preserve"> in C-17/20</w:t>
      </w:r>
      <w:r w:rsidR="00C20F7A">
        <w:t xml:space="preserve"> (che non aveva affrontato la questione non rilevandone un interesse transfrontaliero, ma aveva nondimeno </w:t>
      </w:r>
      <w:r w:rsidRPr="007059FA">
        <w:t xml:space="preserve"> </w:t>
      </w:r>
      <w:r w:rsidR="00C20F7A">
        <w:t xml:space="preserve">incidentalmente ricordato </w:t>
      </w:r>
      <w:r w:rsidR="00C20F7A" w:rsidRPr="00C20F7A">
        <w:t>che il rispetto dei diritti di difesa costituisce un “</w:t>
      </w:r>
      <w:r w:rsidR="00C20F7A" w:rsidRPr="00C20F7A">
        <w:rPr>
          <w:i/>
          <w:iCs/>
        </w:rPr>
        <w:t>principio generale del diritto dell’Unione che trova applicazione quando l’amministrazione intende adottare nei confronti di una persona un atto che le arrechi pregiudizio</w:t>
      </w:r>
      <w:r w:rsidR="00C20F7A" w:rsidRPr="00C20F7A">
        <w:t>”</w:t>
      </w:r>
      <w:r w:rsidR="00C20F7A">
        <w:t xml:space="preserve">), </w:t>
      </w:r>
      <w:r>
        <w:t xml:space="preserve">osservava che </w:t>
      </w:r>
      <w:r w:rsidRPr="007059FA">
        <w:t>restava quindi “</w:t>
      </w:r>
      <w:r w:rsidRPr="007059FA">
        <w:rPr>
          <w:i/>
          <w:iCs/>
        </w:rPr>
        <w:t>sullo sfondo l’interrogativo, se la partecipazione procedimentale, almeno in certe ipotesi, non sia necessaria ad evitare l’emissione del provvedimento interdittivo ed adottare misure meno invasive per l’impresa a rischio di infiltrazione mafiosa, anche in una prospettiva</w:t>
      </w:r>
      <w:r w:rsidRPr="007059FA">
        <w:t xml:space="preserve"> de iure condendo”. </w:t>
      </w:r>
      <w:r w:rsidR="006E1CBF">
        <w:t xml:space="preserve">Significativamente, nella </w:t>
      </w:r>
      <w:proofErr w:type="spellStart"/>
      <w:r w:rsidR="006E1CBF">
        <w:t>pluricommentata</w:t>
      </w:r>
      <w:proofErr w:type="spellEnd"/>
      <w:r w:rsidR="006E1CBF">
        <w:t xml:space="preserve"> </w:t>
      </w:r>
      <w:proofErr w:type="spellStart"/>
      <w:r w:rsidR="006E1CBF">
        <w:t>sent</w:t>
      </w:r>
      <w:proofErr w:type="spellEnd"/>
      <w:r w:rsidR="006E1CBF">
        <w:t xml:space="preserve">. n. 4979 del 2020, </w:t>
      </w:r>
      <w:r w:rsidR="008D5363">
        <w:t xml:space="preserve">redatta dall’A., </w:t>
      </w:r>
      <w:r w:rsidR="006E1CBF">
        <w:rPr>
          <w:iCs/>
        </w:rPr>
        <w:t>l</w:t>
      </w:r>
      <w:r w:rsidR="00C20F7A">
        <w:rPr>
          <w:iCs/>
        </w:rPr>
        <w:t xml:space="preserve">a </w:t>
      </w:r>
      <w:r w:rsidR="00C20F7A" w:rsidRPr="00C20F7A">
        <w:rPr>
          <w:iCs/>
        </w:rPr>
        <w:t>III Sezione del Consiglio di Stato, pur ricordando che nel sistema disegnato dall’art 93 del codice 2011 l’audizione degli interessati “</w:t>
      </w:r>
      <w:r w:rsidR="00C20F7A" w:rsidRPr="00C20F7A">
        <w:rPr>
          <w:i/>
        </w:rPr>
        <w:t xml:space="preserve">non è assente, ma solo eventuale, rimettendo alla valutazione discrezionale del prefetto la scelta sulla ‘… utilità di detto contraddittorio procedimentale in seno ad un procedimento informato da speditezza, riservatezza ed urgenza, per evidenti ragioni di ordine </w:t>
      </w:r>
      <w:proofErr w:type="spellStart"/>
      <w:r w:rsidR="00C20F7A" w:rsidRPr="00C20F7A">
        <w:rPr>
          <w:i/>
        </w:rPr>
        <w:t>pubblico’</w:t>
      </w:r>
      <w:proofErr w:type="spellEnd"/>
      <w:r w:rsidR="00C20F7A" w:rsidRPr="00C20F7A">
        <w:rPr>
          <w:i/>
        </w:rPr>
        <w:t xml:space="preserve"> </w:t>
      </w:r>
      <w:r w:rsidR="00C20F7A" w:rsidRPr="00C20F7A">
        <w:rPr>
          <w:iCs/>
        </w:rPr>
        <w:t xml:space="preserve">” e che il sacrificio delle garanzie procedimentali, giustificato anche dall’esigenza di evitare strumentali iniziative dilatorie, sarebbe compensato dalla possibilità di far valere le proprie ragioni in sede giurisdizionale, attraverso il sindacato sull’atto adottato dal Prefetto che, contrariamente a quanto assume parte della dottrina, sarebbe pieno ed effettivo, in termini di </w:t>
      </w:r>
      <w:r w:rsidR="00C20F7A" w:rsidRPr="00C20F7A">
        <w:rPr>
          <w:i/>
        </w:rPr>
        <w:t xml:space="preserve">full </w:t>
      </w:r>
      <w:proofErr w:type="spellStart"/>
      <w:r w:rsidR="00C20F7A" w:rsidRPr="00C20F7A">
        <w:rPr>
          <w:i/>
        </w:rPr>
        <w:t>jurisdiction</w:t>
      </w:r>
      <w:proofErr w:type="spellEnd"/>
      <w:r w:rsidR="00C20F7A" w:rsidRPr="00C20F7A">
        <w:rPr>
          <w:iCs/>
        </w:rPr>
        <w:t xml:space="preserve"> (</w:t>
      </w:r>
      <w:proofErr w:type="spellStart"/>
      <w:r w:rsidR="00C20F7A" w:rsidRPr="00C20F7A">
        <w:rPr>
          <w:iCs/>
        </w:rPr>
        <w:t>cfr</w:t>
      </w:r>
      <w:proofErr w:type="spellEnd"/>
      <w:r w:rsidR="00C20F7A" w:rsidRPr="00C20F7A">
        <w:rPr>
          <w:iCs/>
        </w:rPr>
        <w:t xml:space="preserve"> </w:t>
      </w:r>
      <w:proofErr w:type="spellStart"/>
      <w:r w:rsidR="00C20F7A" w:rsidRPr="00C20F7A">
        <w:rPr>
          <w:iCs/>
        </w:rPr>
        <w:t>sen</w:t>
      </w:r>
      <w:r w:rsidR="00C20F7A">
        <w:rPr>
          <w:iCs/>
        </w:rPr>
        <w:t>t</w:t>
      </w:r>
      <w:proofErr w:type="spellEnd"/>
      <w:r w:rsidR="00C20F7A">
        <w:rPr>
          <w:iCs/>
        </w:rPr>
        <w:t>. n.</w:t>
      </w:r>
      <w:r w:rsidR="00C20F7A" w:rsidRPr="00C20F7A">
        <w:rPr>
          <w:iCs/>
        </w:rPr>
        <w:t xml:space="preserve"> 2854 del 2020), nei passaggi conclusivi, accogliendo anche le sollecitazioni della dottrina, suggeriva, </w:t>
      </w:r>
      <w:r w:rsidR="00C20F7A" w:rsidRPr="00C20F7A">
        <w:rPr>
          <w:i/>
        </w:rPr>
        <w:t>de iure condendo</w:t>
      </w:r>
      <w:r w:rsidR="00C20F7A" w:rsidRPr="00C20F7A">
        <w:rPr>
          <w:iCs/>
        </w:rPr>
        <w:t>, un recupero, quantomeno parziale, delle garanzie procedimentali, nel rispetto dei diritti di difesa spettanti al soggetto destinatario del provvedimento, in tutte quelle ipotesi in cui la permeabilità mafiosa «</w:t>
      </w:r>
      <w:r w:rsidR="00C20F7A" w:rsidRPr="00C20F7A">
        <w:rPr>
          <w:i/>
        </w:rPr>
        <w:t xml:space="preserve">appaia alquanto dubbia, incerta, e presenti, per così dire, delle zone grigie o interstiziali, rispetto alle quali l’apporto procedimentale del soggetto potrebbe </w:t>
      </w:r>
      <w:r w:rsidR="008D5363" w:rsidRPr="008D5363">
        <w:rPr>
          <w:i/>
        </w:rPr>
        <w:t>fornire utili elementi a chiarire alla stessa autorità procedente la natura dei rapporti tra il soggetto e le dinamiche, spesso ambigue e fluide, del mondo criminale</w:t>
      </w:r>
      <w:r w:rsidR="008D5363" w:rsidRPr="008D5363">
        <w:t xml:space="preserve">». Sull’ordinanza di rimessione alla Corte di Giustizia, cfr. </w:t>
      </w:r>
      <w:r w:rsidR="008D5363" w:rsidRPr="008D5363">
        <w:rPr>
          <w:i/>
        </w:rPr>
        <w:t>G. CARRATELLI </w:t>
      </w:r>
      <w:r w:rsidR="008D5363" w:rsidRPr="008D5363">
        <w:rPr>
          <w:i/>
          <w:iCs/>
        </w:rPr>
        <w:t xml:space="preserve">Il (mancato) contraddittorio </w:t>
      </w:r>
      <w:proofErr w:type="spellStart"/>
      <w:r w:rsidR="008D5363" w:rsidRPr="008D5363">
        <w:rPr>
          <w:i/>
          <w:iCs/>
        </w:rPr>
        <w:t>endoprocedimentale</w:t>
      </w:r>
      <w:proofErr w:type="spellEnd"/>
      <w:r w:rsidR="008D5363" w:rsidRPr="008D5363">
        <w:rPr>
          <w:i/>
          <w:iCs/>
        </w:rPr>
        <w:t xml:space="preserve"> in materia di informazione antimafia – Nota a: Tar Puglia – Bari, sez. III, ordinanza 13 gennaio 2020, n. 28</w:t>
      </w:r>
      <w:r w:rsidR="008D5363">
        <w:rPr>
          <w:i/>
          <w:iCs/>
        </w:rPr>
        <w:t>,</w:t>
      </w:r>
      <w:r w:rsidR="008D5363" w:rsidRPr="008D5363">
        <w:rPr>
          <w:iCs/>
        </w:rPr>
        <w:t> in</w:t>
      </w:r>
      <w:r w:rsidR="008D5363" w:rsidRPr="008D5363">
        <w:rPr>
          <w:i/>
        </w:rPr>
        <w:t xml:space="preserve"> Amministrazione e contabilità dello Stato e degli enti pubblici </w:t>
      </w:r>
      <w:r w:rsidR="008D5363" w:rsidRPr="008D5363">
        <w:t>[www.contabilita-pubblica.it] (30.01.2021).</w:t>
      </w:r>
    </w:p>
    <w:p w14:paraId="242BD0F6" w14:textId="45B4DA66" w:rsidR="007059FA" w:rsidRDefault="007059FA">
      <w:pPr>
        <w:pStyle w:val="Testonotaapidipagina"/>
      </w:pPr>
    </w:p>
  </w:footnote>
  <w:footnote w:id="20">
    <w:p w14:paraId="4716B097" w14:textId="4F7FB4A0" w:rsidR="00157CDF" w:rsidRDefault="00157CDF" w:rsidP="006E1CBF">
      <w:pPr>
        <w:pStyle w:val="Testonotaapidipagina"/>
        <w:jc w:val="both"/>
      </w:pPr>
      <w:r>
        <w:rPr>
          <w:rStyle w:val="Rimandonotaapidipagina"/>
        </w:rPr>
        <w:footnoteRef/>
      </w:r>
      <w:r>
        <w:t xml:space="preserve"> </w:t>
      </w:r>
      <w:r w:rsidR="00E26F79">
        <w:t>T</w:t>
      </w:r>
      <w:r w:rsidR="00E26F79" w:rsidRPr="00E26F79">
        <w:t xml:space="preserve">ema sul quale mi sono soffermata nella </w:t>
      </w:r>
      <w:r w:rsidR="00DD4FDA">
        <w:t>R</w:t>
      </w:r>
      <w:r w:rsidR="00E26F79" w:rsidRPr="00E26F79">
        <w:t xml:space="preserve">elazione </w:t>
      </w:r>
      <w:r w:rsidR="006E1CBF">
        <w:t xml:space="preserve">svolta </w:t>
      </w:r>
      <w:r w:rsidR="00E26F79">
        <w:t xml:space="preserve">al richiamato convegno di Reggio Calabria </w:t>
      </w:r>
      <w:r w:rsidR="006E1CBF">
        <w:t xml:space="preserve">(in corso di pubblicazione e </w:t>
      </w:r>
      <w:r w:rsidR="008D5363">
        <w:t>reperi</w:t>
      </w:r>
      <w:r w:rsidR="006E1CBF">
        <w:t xml:space="preserve">bile su </w:t>
      </w:r>
      <w:proofErr w:type="spellStart"/>
      <w:r w:rsidR="006E1CBF">
        <w:t>youtube</w:t>
      </w:r>
      <w:proofErr w:type="spellEnd"/>
      <w:r w:rsidR="006E1CBF">
        <w:t xml:space="preserve"> </w:t>
      </w:r>
      <w:r w:rsidR="00B10596">
        <w:t xml:space="preserve">con il </w:t>
      </w:r>
      <w:r w:rsidR="006E1CBF">
        <w:t>link segnalato su</w:t>
      </w:r>
      <w:r w:rsidR="00B10596">
        <w:t xml:space="preserve"> </w:t>
      </w:r>
      <w:proofErr w:type="spellStart"/>
      <w:r w:rsidR="00B10596" w:rsidRPr="00B10596">
        <w:rPr>
          <w:i/>
          <w:iCs/>
        </w:rPr>
        <w:t>giustiziainsieme</w:t>
      </w:r>
      <w:proofErr w:type="spellEnd"/>
      <w:r w:rsidR="00B10596">
        <w:t xml:space="preserve"> 2022</w:t>
      </w:r>
      <w:r w:rsidR="006E1CBF">
        <w:t xml:space="preserve">) </w:t>
      </w:r>
      <w:r w:rsidR="00E26F79" w:rsidRPr="00E26F79">
        <w:t xml:space="preserve">e sul quale segnalo, da ultimi, gli scritti di R. ROLLI e M. MAGGIOLINI, </w:t>
      </w:r>
      <w:proofErr w:type="spellStart"/>
      <w:r w:rsidR="00E26F79" w:rsidRPr="00E26F79">
        <w:rPr>
          <w:i/>
          <w:iCs/>
        </w:rPr>
        <w:t>Notarelle</w:t>
      </w:r>
      <w:proofErr w:type="spellEnd"/>
      <w:r w:rsidR="00E26F79" w:rsidRPr="00E26F79">
        <w:rPr>
          <w:i/>
          <w:iCs/>
        </w:rPr>
        <w:t xml:space="preserve"> sul riformato contraddittorio procedimentale in tema di interdittiva antimafia (nota a ordinanza Tar Lecce, sez. III, n. 116/2022)</w:t>
      </w:r>
      <w:r w:rsidR="00E26F79" w:rsidRPr="00E26F79">
        <w:t xml:space="preserve">, in </w:t>
      </w:r>
      <w:proofErr w:type="spellStart"/>
      <w:r w:rsidR="00E26F79" w:rsidRPr="00E26F79">
        <w:rPr>
          <w:i/>
          <w:iCs/>
        </w:rPr>
        <w:t>giustiziainsieme</w:t>
      </w:r>
      <w:proofErr w:type="spellEnd"/>
      <w:r w:rsidR="00E26F79" w:rsidRPr="00E26F79">
        <w:rPr>
          <w:i/>
          <w:iCs/>
        </w:rPr>
        <w:t xml:space="preserve"> </w:t>
      </w:r>
      <w:r w:rsidR="00E26F79" w:rsidRPr="00E26F79">
        <w:t xml:space="preserve">2022 e di N. DURANTE, </w:t>
      </w:r>
      <w:r w:rsidR="00E26F79" w:rsidRPr="00E26F79">
        <w:rPr>
          <w:i/>
          <w:iCs/>
        </w:rPr>
        <w:t>Il contraddittorio nel procedimento di rilascio d’informazione antimafia</w:t>
      </w:r>
      <w:r w:rsidR="00E26F79" w:rsidRPr="00E26F79">
        <w:t xml:space="preserve">, in </w:t>
      </w:r>
      <w:r w:rsidR="00E26F79" w:rsidRPr="00E26F79">
        <w:rPr>
          <w:i/>
          <w:iCs/>
        </w:rPr>
        <w:t xml:space="preserve">giustizia-amministrativa, </w:t>
      </w:r>
      <w:proofErr w:type="spellStart"/>
      <w:r w:rsidR="00E26F79" w:rsidRPr="00E26F79">
        <w:rPr>
          <w:i/>
          <w:iCs/>
        </w:rPr>
        <w:t>it</w:t>
      </w:r>
      <w:proofErr w:type="spellEnd"/>
      <w:r w:rsidR="00E26F79" w:rsidRPr="00E26F79">
        <w:t>.</w:t>
      </w:r>
    </w:p>
  </w:footnote>
  <w:footnote w:id="21">
    <w:p w14:paraId="6EED9DB4" w14:textId="470F8D2E" w:rsidR="00E26F79" w:rsidRDefault="00E26F79">
      <w:pPr>
        <w:pStyle w:val="Testonotaapidipagina"/>
      </w:pPr>
      <w:r>
        <w:rPr>
          <w:rStyle w:val="Rimandonotaapidipagina"/>
        </w:rPr>
        <w:footnoteRef/>
      </w:r>
      <w:r>
        <w:t xml:space="preserve"> </w:t>
      </w:r>
      <w:r w:rsidRPr="00E26F79">
        <w:t xml:space="preserve">M. VULCANO, </w:t>
      </w:r>
      <w:r w:rsidRPr="00E26F79">
        <w:rPr>
          <w:i/>
          <w:iCs/>
        </w:rPr>
        <w:t>Le modifiche del decreto-legge n. 152/2021 al codice antimafia: il legislatore punta sulla prevenzione amministrativa e sulla compliance 231 ma non risolve i nodi del controllo giudiziario</w:t>
      </w:r>
      <w:r w:rsidRPr="00E26F79">
        <w:t xml:space="preserve">, in </w:t>
      </w:r>
      <w:r w:rsidRPr="00E26F79">
        <w:rPr>
          <w:i/>
          <w:iCs/>
        </w:rPr>
        <w:t xml:space="preserve">Giur. </w:t>
      </w:r>
      <w:proofErr w:type="spellStart"/>
      <w:r w:rsidRPr="00E26F79">
        <w:rPr>
          <w:i/>
          <w:iCs/>
        </w:rPr>
        <w:t>pen</w:t>
      </w:r>
      <w:proofErr w:type="spellEnd"/>
      <w:r w:rsidRPr="00E26F79">
        <w:rPr>
          <w:i/>
          <w:iCs/>
        </w:rPr>
        <w:t>. web</w:t>
      </w:r>
      <w:r w:rsidRPr="00E26F79">
        <w:t>, 2021, 11</w:t>
      </w:r>
      <w:r>
        <w:t>.</w:t>
      </w:r>
    </w:p>
  </w:footnote>
  <w:footnote w:id="22">
    <w:p w14:paraId="3B30532E" w14:textId="5FAF67D0" w:rsidR="00E26F79" w:rsidRDefault="00E26F79">
      <w:pPr>
        <w:pStyle w:val="Testonotaapidipagina"/>
      </w:pPr>
      <w:r>
        <w:rPr>
          <w:rStyle w:val="Rimandonotaapidipagina"/>
        </w:rPr>
        <w:footnoteRef/>
      </w:r>
      <w:r>
        <w:t xml:space="preserve"> </w:t>
      </w:r>
      <w:r w:rsidR="00AA4826">
        <w:t>M. VULCANO, cit. V</w:t>
      </w:r>
      <w:r w:rsidRPr="00E26F79">
        <w:t xml:space="preserve">. anche D. ALBANESE, </w:t>
      </w:r>
      <w:r w:rsidRPr="00E26F79">
        <w:rPr>
          <w:i/>
          <w:iCs/>
        </w:rPr>
        <w:t xml:space="preserve">Le modifiche del </w:t>
      </w:r>
      <w:proofErr w:type="spellStart"/>
      <w:r w:rsidRPr="00E26F79">
        <w:rPr>
          <w:i/>
          <w:iCs/>
        </w:rPr>
        <w:t>d.l.</w:t>
      </w:r>
      <w:proofErr w:type="spellEnd"/>
      <w:r w:rsidRPr="00E26F79">
        <w:rPr>
          <w:i/>
          <w:iCs/>
        </w:rPr>
        <w:t xml:space="preserve"> 152/2021 al ‘codice antimafia’</w:t>
      </w:r>
      <w:r w:rsidRPr="00E26F79">
        <w:t xml:space="preserve"> in </w:t>
      </w:r>
      <w:r w:rsidRPr="00E26F79">
        <w:rPr>
          <w:i/>
          <w:iCs/>
        </w:rPr>
        <w:t>sistemapenale.it</w:t>
      </w:r>
      <w:r>
        <w:t>.</w:t>
      </w:r>
    </w:p>
  </w:footnote>
  <w:footnote w:id="23">
    <w:p w14:paraId="5BB1C643" w14:textId="14E0A422" w:rsidR="003D1507" w:rsidRDefault="003D1507" w:rsidP="003D1507">
      <w:pPr>
        <w:pStyle w:val="Testonotaapidipagina"/>
        <w:jc w:val="both"/>
      </w:pPr>
      <w:r>
        <w:rPr>
          <w:rStyle w:val="Rimandonotaapidipagina"/>
        </w:rPr>
        <w:footnoteRef/>
      </w:r>
      <w:r>
        <w:t xml:space="preserve"> C</w:t>
      </w:r>
      <w:r w:rsidRPr="003D1507">
        <w:t xml:space="preserve">fr. R. ROLLI, </w:t>
      </w:r>
      <w:r w:rsidRPr="003D1507">
        <w:rPr>
          <w:i/>
          <w:iCs/>
        </w:rPr>
        <w:t>L’argine inadatto</w:t>
      </w:r>
      <w:r w:rsidRPr="003D1507">
        <w:t>, cit.: “</w:t>
      </w:r>
      <w:r w:rsidRPr="003D1507">
        <w:rPr>
          <w:i/>
          <w:iCs/>
        </w:rPr>
        <w:t>Si è venuto così a creare un sistema bidirezionale: da un lato, l’insistenza dei mezzi di ablazione tradizionali quali la confisca e il sequestro, quali sistemi di lotta alla ricchezza di provenienza illecita; dall'altro, la previsione di un intervento pubblico finalizzato a soccorrere soggetti economici a rischio infiltrazione al fine di restituirli al mercato</w:t>
      </w:r>
      <w:r w:rsidRPr="003D1507">
        <w:t>”, liberandoli dai “</w:t>
      </w:r>
      <w:r w:rsidRPr="003D1507">
        <w:rPr>
          <w:i/>
          <w:iCs/>
        </w:rPr>
        <w:t>rischi derivanti dal condizionamento mafioso in un percorso di risanamento della legalità …a beneficio dell’intero sistema economico</w:t>
      </w:r>
      <w:r w:rsidRPr="003D1507">
        <w:t>”</w:t>
      </w:r>
      <w:r>
        <w:t>.</w:t>
      </w:r>
    </w:p>
  </w:footnote>
  <w:footnote w:id="24">
    <w:p w14:paraId="4D4BDB83" w14:textId="2A277CB0" w:rsidR="001239DD" w:rsidRDefault="001239DD">
      <w:pPr>
        <w:pStyle w:val="Testonotaapidipagina"/>
      </w:pPr>
      <w:r>
        <w:rPr>
          <w:rStyle w:val="Rimandonotaapidipagina"/>
        </w:rPr>
        <w:footnoteRef/>
      </w:r>
      <w:r>
        <w:t xml:space="preserve"> Cfr. ancora la lucida analisi di M. NOCCELLI, cit.</w:t>
      </w:r>
    </w:p>
  </w:footnote>
  <w:footnote w:id="25">
    <w:p w14:paraId="17CFDC4F" w14:textId="1ABF16B0" w:rsidR="00466E04" w:rsidRDefault="00466E04">
      <w:pPr>
        <w:pStyle w:val="Testonotaapidipagina"/>
      </w:pPr>
      <w:r>
        <w:rPr>
          <w:rStyle w:val="Rimandonotaapidipagina"/>
        </w:rPr>
        <w:footnoteRef/>
      </w:r>
      <w:r>
        <w:t xml:space="preserve"> </w:t>
      </w:r>
      <w:r w:rsidRPr="00466E04">
        <w:t>G. VELTRI</w:t>
      </w:r>
      <w:r>
        <w:t>, cit.</w:t>
      </w:r>
    </w:p>
  </w:footnote>
  <w:footnote w:id="26">
    <w:p w14:paraId="5BCD2F1C" w14:textId="2EBDFCBE" w:rsidR="004D7DD4" w:rsidRDefault="004D7DD4">
      <w:pPr>
        <w:pStyle w:val="Testonotaapidipagina"/>
      </w:pPr>
      <w:r>
        <w:rPr>
          <w:rStyle w:val="Rimandonotaapidipagina"/>
        </w:rPr>
        <w:footnoteRef/>
      </w:r>
      <w:r>
        <w:t xml:space="preserve"> Da ultimo, voce </w:t>
      </w:r>
      <w:r w:rsidRPr="004D7DD4">
        <w:rPr>
          <w:i/>
          <w:iCs/>
        </w:rPr>
        <w:t>Edilizia</w:t>
      </w:r>
      <w:r>
        <w:t>, cit.</w:t>
      </w:r>
    </w:p>
  </w:footnote>
  <w:footnote w:id="27">
    <w:p w14:paraId="617E6C76" w14:textId="77FD5FF5" w:rsidR="004D7DD4" w:rsidRDefault="004D7DD4" w:rsidP="004D7DD4">
      <w:pPr>
        <w:pStyle w:val="Testonotaapidipagina"/>
        <w:jc w:val="both"/>
      </w:pPr>
      <w:r>
        <w:rPr>
          <w:rStyle w:val="Rimandonotaapidipagina"/>
        </w:rPr>
        <w:footnoteRef/>
      </w:r>
      <w:r>
        <w:t xml:space="preserve"> S</w:t>
      </w:r>
      <w:r w:rsidRPr="004D7DD4">
        <w:t>ul tema, F. F</w:t>
      </w:r>
      <w:r>
        <w:t>RANCARIO</w:t>
      </w:r>
      <w:r w:rsidRPr="004D7DD4">
        <w:t>, </w:t>
      </w:r>
      <w:r w:rsidRPr="004D7DD4">
        <w:rPr>
          <w:i/>
          <w:iCs/>
        </w:rPr>
        <w:t>L’accertamento del fatto illecito nel giudizio amministrativo e nel giudizio penale: problemi ed interferenze</w:t>
      </w:r>
      <w:r w:rsidRPr="004D7DD4">
        <w:t>, in </w:t>
      </w:r>
      <w:r w:rsidRPr="004D7DD4">
        <w:rPr>
          <w:i/>
          <w:iCs/>
        </w:rPr>
        <w:t>Pubblica amministrazione diritto penale e criminalità organizzata</w:t>
      </w:r>
      <w:r w:rsidRPr="004D7DD4">
        <w:t xml:space="preserve"> (Atti del convegno), Milano, 2008, p. 93 </w:t>
      </w:r>
      <w:proofErr w:type="spellStart"/>
      <w:r w:rsidRPr="004D7DD4">
        <w:t>ss</w:t>
      </w:r>
      <w:proofErr w:type="spellEnd"/>
      <w:r w:rsidRPr="004D7DD4">
        <w:t xml:space="preserve">; ID, </w:t>
      </w:r>
      <w:r w:rsidRPr="004D7DD4">
        <w:rPr>
          <w:i/>
          <w:iCs/>
        </w:rPr>
        <w:t>Illecito urbanistico o edilizio e cosa giudicata. Spunti per una ridefinizione della regola del rapporto tra processo penale ed amministrativo</w:t>
      </w:r>
      <w:r w:rsidRPr="004D7DD4">
        <w:t>, in </w:t>
      </w:r>
      <w:r w:rsidRPr="004D7DD4">
        <w:rPr>
          <w:i/>
          <w:iCs/>
        </w:rPr>
        <w:t>Riv. Giur. Edil.</w:t>
      </w:r>
      <w:r w:rsidRPr="004D7DD4">
        <w:t xml:space="preserve">, 2015, </w:t>
      </w:r>
      <w:r>
        <w:t xml:space="preserve">p. </w:t>
      </w:r>
      <w:r w:rsidRPr="004D7DD4">
        <w:t>99 ss</w:t>
      </w:r>
      <w:r>
        <w:t>.</w:t>
      </w:r>
    </w:p>
  </w:footnote>
  <w:footnote w:id="28">
    <w:p w14:paraId="43B5A706" w14:textId="2E7AD187" w:rsidR="00A23AF1" w:rsidRDefault="00A23AF1">
      <w:pPr>
        <w:pStyle w:val="Testonotaapidipagina"/>
      </w:pPr>
      <w:r>
        <w:rPr>
          <w:rStyle w:val="Rimandonotaapidipagina"/>
        </w:rPr>
        <w:footnoteRef/>
      </w:r>
      <w:r>
        <w:t xml:space="preserve"> </w:t>
      </w:r>
      <w:r w:rsidR="00736DDC">
        <w:t xml:space="preserve">Cfr. gli scritti citati alla nota </w:t>
      </w:r>
      <w:r w:rsidR="00D74CFB">
        <w:t>20</w:t>
      </w:r>
      <w:r w:rsidR="00736DDC">
        <w:t xml:space="preserve">. </w:t>
      </w:r>
    </w:p>
  </w:footnote>
  <w:footnote w:id="29">
    <w:p w14:paraId="70A364F8" w14:textId="796D785F" w:rsidR="00881164" w:rsidRDefault="00881164" w:rsidP="00881164">
      <w:pPr>
        <w:pStyle w:val="Testonotaapidipagina"/>
      </w:pPr>
      <w:r>
        <w:rPr>
          <w:rStyle w:val="Rimandonotaapidipagina"/>
        </w:rPr>
        <w:footnoteRef/>
      </w:r>
      <w:r>
        <w:t xml:space="preserve"> V. MUSACCHIO, </w:t>
      </w:r>
      <w:r w:rsidRPr="00736DDC">
        <w:rPr>
          <w:i/>
          <w:iCs/>
        </w:rPr>
        <w:t>L’Europa ha bisogno di nuove strategie per combattere le mafie</w:t>
      </w:r>
      <w:r>
        <w:t xml:space="preserve">, 9 </w:t>
      </w:r>
      <w:r w:rsidR="00736DDC">
        <w:t>gennaio</w:t>
      </w:r>
      <w:r>
        <w:t xml:space="preserve">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D3CFE"/>
    <w:multiLevelType w:val="hybridMultilevel"/>
    <w:tmpl w:val="39CA8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3D"/>
    <w:rsid w:val="00000376"/>
    <w:rsid w:val="0000747F"/>
    <w:rsid w:val="00015217"/>
    <w:rsid w:val="00022C31"/>
    <w:rsid w:val="00035EA1"/>
    <w:rsid w:val="000427B5"/>
    <w:rsid w:val="00055C04"/>
    <w:rsid w:val="000572B0"/>
    <w:rsid w:val="000708C2"/>
    <w:rsid w:val="00072786"/>
    <w:rsid w:val="000735EE"/>
    <w:rsid w:val="00075D22"/>
    <w:rsid w:val="000818AE"/>
    <w:rsid w:val="0008587E"/>
    <w:rsid w:val="00092F49"/>
    <w:rsid w:val="000A6361"/>
    <w:rsid w:val="000A7098"/>
    <w:rsid w:val="000A7E8E"/>
    <w:rsid w:val="000B0F83"/>
    <w:rsid w:val="000B1107"/>
    <w:rsid w:val="000B1B5C"/>
    <w:rsid w:val="000B4DE8"/>
    <w:rsid w:val="000B6076"/>
    <w:rsid w:val="000B76EB"/>
    <w:rsid w:val="000C0634"/>
    <w:rsid w:val="000E309A"/>
    <w:rsid w:val="000E5D9D"/>
    <w:rsid w:val="000E7914"/>
    <w:rsid w:val="000F14F8"/>
    <w:rsid w:val="00101725"/>
    <w:rsid w:val="001079CF"/>
    <w:rsid w:val="001129AC"/>
    <w:rsid w:val="001239DD"/>
    <w:rsid w:val="0012400D"/>
    <w:rsid w:val="00125DE2"/>
    <w:rsid w:val="00127E60"/>
    <w:rsid w:val="001303AF"/>
    <w:rsid w:val="00151F60"/>
    <w:rsid w:val="00157CDF"/>
    <w:rsid w:val="0017793E"/>
    <w:rsid w:val="00184E0C"/>
    <w:rsid w:val="001933D4"/>
    <w:rsid w:val="001A0A3D"/>
    <w:rsid w:val="001A1CF3"/>
    <w:rsid w:val="001A304E"/>
    <w:rsid w:val="001A460C"/>
    <w:rsid w:val="001A4C77"/>
    <w:rsid w:val="001A62E9"/>
    <w:rsid w:val="001A6EC7"/>
    <w:rsid w:val="001B64E9"/>
    <w:rsid w:val="001C2ACC"/>
    <w:rsid w:val="001C529D"/>
    <w:rsid w:val="001C6464"/>
    <w:rsid w:val="001D027D"/>
    <w:rsid w:val="001E68F3"/>
    <w:rsid w:val="001F7707"/>
    <w:rsid w:val="00204187"/>
    <w:rsid w:val="00211D8E"/>
    <w:rsid w:val="00213D8D"/>
    <w:rsid w:val="002206D6"/>
    <w:rsid w:val="002374FD"/>
    <w:rsid w:val="0024572C"/>
    <w:rsid w:val="00246ED5"/>
    <w:rsid w:val="0025036F"/>
    <w:rsid w:val="00254DF1"/>
    <w:rsid w:val="00262F91"/>
    <w:rsid w:val="002711FB"/>
    <w:rsid w:val="00277A95"/>
    <w:rsid w:val="002A0EA1"/>
    <w:rsid w:val="002A13F3"/>
    <w:rsid w:val="002A49D3"/>
    <w:rsid w:val="002C0992"/>
    <w:rsid w:val="002C7E2D"/>
    <w:rsid w:val="002E7739"/>
    <w:rsid w:val="002F0162"/>
    <w:rsid w:val="002F2215"/>
    <w:rsid w:val="00307E2C"/>
    <w:rsid w:val="00316C61"/>
    <w:rsid w:val="003224A3"/>
    <w:rsid w:val="00327F75"/>
    <w:rsid w:val="00331732"/>
    <w:rsid w:val="00334099"/>
    <w:rsid w:val="003356A6"/>
    <w:rsid w:val="003441E9"/>
    <w:rsid w:val="00352B20"/>
    <w:rsid w:val="00366BAE"/>
    <w:rsid w:val="003724C1"/>
    <w:rsid w:val="003812C6"/>
    <w:rsid w:val="003A4A72"/>
    <w:rsid w:val="003A4D4E"/>
    <w:rsid w:val="003A706D"/>
    <w:rsid w:val="003B3DA7"/>
    <w:rsid w:val="003B4AF6"/>
    <w:rsid w:val="003B7FCD"/>
    <w:rsid w:val="003C5B43"/>
    <w:rsid w:val="003D062B"/>
    <w:rsid w:val="003D1507"/>
    <w:rsid w:val="003D2A30"/>
    <w:rsid w:val="003D459E"/>
    <w:rsid w:val="003E62B6"/>
    <w:rsid w:val="003F4B6C"/>
    <w:rsid w:val="00400F15"/>
    <w:rsid w:val="00405597"/>
    <w:rsid w:val="00411A00"/>
    <w:rsid w:val="00411ADA"/>
    <w:rsid w:val="004139F4"/>
    <w:rsid w:val="004163A7"/>
    <w:rsid w:val="00421126"/>
    <w:rsid w:val="00426921"/>
    <w:rsid w:val="004303BE"/>
    <w:rsid w:val="00434C4D"/>
    <w:rsid w:val="00436661"/>
    <w:rsid w:val="004460AF"/>
    <w:rsid w:val="00457134"/>
    <w:rsid w:val="00457CA6"/>
    <w:rsid w:val="00463EEC"/>
    <w:rsid w:val="00466E04"/>
    <w:rsid w:val="00474441"/>
    <w:rsid w:val="004840B0"/>
    <w:rsid w:val="004878A2"/>
    <w:rsid w:val="00495881"/>
    <w:rsid w:val="004D7264"/>
    <w:rsid w:val="004D7DD4"/>
    <w:rsid w:val="004E0B75"/>
    <w:rsid w:val="00501543"/>
    <w:rsid w:val="00503C14"/>
    <w:rsid w:val="00507FDA"/>
    <w:rsid w:val="005118E9"/>
    <w:rsid w:val="00511D5A"/>
    <w:rsid w:val="005154C1"/>
    <w:rsid w:val="00523448"/>
    <w:rsid w:val="00532DAF"/>
    <w:rsid w:val="00533DFF"/>
    <w:rsid w:val="00543A5A"/>
    <w:rsid w:val="00546233"/>
    <w:rsid w:val="0055678D"/>
    <w:rsid w:val="00556E04"/>
    <w:rsid w:val="00571107"/>
    <w:rsid w:val="00576C56"/>
    <w:rsid w:val="00583CAD"/>
    <w:rsid w:val="00587D5B"/>
    <w:rsid w:val="005A20A2"/>
    <w:rsid w:val="005A4635"/>
    <w:rsid w:val="005A69A8"/>
    <w:rsid w:val="005A6A02"/>
    <w:rsid w:val="005A7B35"/>
    <w:rsid w:val="005B0BEE"/>
    <w:rsid w:val="005B47D1"/>
    <w:rsid w:val="005C1BA5"/>
    <w:rsid w:val="005D7CBF"/>
    <w:rsid w:val="005F45B4"/>
    <w:rsid w:val="005F5F66"/>
    <w:rsid w:val="005F6069"/>
    <w:rsid w:val="00606F40"/>
    <w:rsid w:val="0061167E"/>
    <w:rsid w:val="00617972"/>
    <w:rsid w:val="00624CF0"/>
    <w:rsid w:val="006601B4"/>
    <w:rsid w:val="006630D8"/>
    <w:rsid w:val="00680381"/>
    <w:rsid w:val="00683989"/>
    <w:rsid w:val="00691526"/>
    <w:rsid w:val="006A5319"/>
    <w:rsid w:val="006B182B"/>
    <w:rsid w:val="006B2929"/>
    <w:rsid w:val="006C6190"/>
    <w:rsid w:val="006D5F45"/>
    <w:rsid w:val="006E0296"/>
    <w:rsid w:val="006E1CBF"/>
    <w:rsid w:val="006E296D"/>
    <w:rsid w:val="006E7088"/>
    <w:rsid w:val="006F3034"/>
    <w:rsid w:val="006F3541"/>
    <w:rsid w:val="006F60FA"/>
    <w:rsid w:val="00700188"/>
    <w:rsid w:val="0070144D"/>
    <w:rsid w:val="007051B6"/>
    <w:rsid w:val="007059FA"/>
    <w:rsid w:val="00707015"/>
    <w:rsid w:val="0071781E"/>
    <w:rsid w:val="00724ACE"/>
    <w:rsid w:val="00727730"/>
    <w:rsid w:val="00736817"/>
    <w:rsid w:val="00736DDC"/>
    <w:rsid w:val="00742920"/>
    <w:rsid w:val="0074391C"/>
    <w:rsid w:val="007552BF"/>
    <w:rsid w:val="00757F4A"/>
    <w:rsid w:val="00761AD9"/>
    <w:rsid w:val="00781B93"/>
    <w:rsid w:val="0078389B"/>
    <w:rsid w:val="00786010"/>
    <w:rsid w:val="00792B13"/>
    <w:rsid w:val="007A1639"/>
    <w:rsid w:val="007A645E"/>
    <w:rsid w:val="007B074B"/>
    <w:rsid w:val="007C3066"/>
    <w:rsid w:val="007C45DE"/>
    <w:rsid w:val="007D35EA"/>
    <w:rsid w:val="007D4926"/>
    <w:rsid w:val="007D5863"/>
    <w:rsid w:val="007E4A75"/>
    <w:rsid w:val="007E5C0B"/>
    <w:rsid w:val="00801206"/>
    <w:rsid w:val="0080394E"/>
    <w:rsid w:val="008112F9"/>
    <w:rsid w:val="008150A9"/>
    <w:rsid w:val="00825D6E"/>
    <w:rsid w:val="008264A0"/>
    <w:rsid w:val="00827AE5"/>
    <w:rsid w:val="008326D2"/>
    <w:rsid w:val="0083332B"/>
    <w:rsid w:val="00840F99"/>
    <w:rsid w:val="008441E5"/>
    <w:rsid w:val="00855A42"/>
    <w:rsid w:val="008568C1"/>
    <w:rsid w:val="00861D25"/>
    <w:rsid w:val="00862508"/>
    <w:rsid w:val="00863099"/>
    <w:rsid w:val="00864168"/>
    <w:rsid w:val="008641C1"/>
    <w:rsid w:val="00867770"/>
    <w:rsid w:val="00873CD8"/>
    <w:rsid w:val="00881164"/>
    <w:rsid w:val="00884ACB"/>
    <w:rsid w:val="0089446B"/>
    <w:rsid w:val="008B0604"/>
    <w:rsid w:val="008B4D02"/>
    <w:rsid w:val="008C115A"/>
    <w:rsid w:val="008C3E5A"/>
    <w:rsid w:val="008D1E38"/>
    <w:rsid w:val="008D5363"/>
    <w:rsid w:val="008D5961"/>
    <w:rsid w:val="008E0ED6"/>
    <w:rsid w:val="008E113F"/>
    <w:rsid w:val="009051D1"/>
    <w:rsid w:val="00906911"/>
    <w:rsid w:val="00921630"/>
    <w:rsid w:val="00921D23"/>
    <w:rsid w:val="00923451"/>
    <w:rsid w:val="009254A7"/>
    <w:rsid w:val="00927D4C"/>
    <w:rsid w:val="00941DB3"/>
    <w:rsid w:val="00952ADB"/>
    <w:rsid w:val="00970E06"/>
    <w:rsid w:val="00973B12"/>
    <w:rsid w:val="00976761"/>
    <w:rsid w:val="00981680"/>
    <w:rsid w:val="009B539B"/>
    <w:rsid w:val="009B7DDD"/>
    <w:rsid w:val="009C077E"/>
    <w:rsid w:val="009C1D11"/>
    <w:rsid w:val="009C4426"/>
    <w:rsid w:val="009C7B18"/>
    <w:rsid w:val="009D0094"/>
    <w:rsid w:val="009D2251"/>
    <w:rsid w:val="009D5B15"/>
    <w:rsid w:val="009E41CA"/>
    <w:rsid w:val="009E686D"/>
    <w:rsid w:val="00A10831"/>
    <w:rsid w:val="00A20C2E"/>
    <w:rsid w:val="00A2101E"/>
    <w:rsid w:val="00A23AF1"/>
    <w:rsid w:val="00A25647"/>
    <w:rsid w:val="00A312D0"/>
    <w:rsid w:val="00A75ECA"/>
    <w:rsid w:val="00A779BF"/>
    <w:rsid w:val="00A805A4"/>
    <w:rsid w:val="00A81970"/>
    <w:rsid w:val="00A83D27"/>
    <w:rsid w:val="00A87002"/>
    <w:rsid w:val="00A9418D"/>
    <w:rsid w:val="00AA4826"/>
    <w:rsid w:val="00AB51CF"/>
    <w:rsid w:val="00AC00BB"/>
    <w:rsid w:val="00AC1992"/>
    <w:rsid w:val="00AC3365"/>
    <w:rsid w:val="00AC407D"/>
    <w:rsid w:val="00AD620F"/>
    <w:rsid w:val="00AE4890"/>
    <w:rsid w:val="00AE73B0"/>
    <w:rsid w:val="00AF1123"/>
    <w:rsid w:val="00AF43D2"/>
    <w:rsid w:val="00AF4A04"/>
    <w:rsid w:val="00AF6D96"/>
    <w:rsid w:val="00AF713B"/>
    <w:rsid w:val="00B1003D"/>
    <w:rsid w:val="00B10596"/>
    <w:rsid w:val="00B203B5"/>
    <w:rsid w:val="00B2303F"/>
    <w:rsid w:val="00B25364"/>
    <w:rsid w:val="00B26337"/>
    <w:rsid w:val="00B3122C"/>
    <w:rsid w:val="00B31C37"/>
    <w:rsid w:val="00B37F55"/>
    <w:rsid w:val="00B44F12"/>
    <w:rsid w:val="00B47B9C"/>
    <w:rsid w:val="00B51C8A"/>
    <w:rsid w:val="00B6196F"/>
    <w:rsid w:val="00B675AF"/>
    <w:rsid w:val="00B7596D"/>
    <w:rsid w:val="00B75DEC"/>
    <w:rsid w:val="00B921F6"/>
    <w:rsid w:val="00B95839"/>
    <w:rsid w:val="00B97B8E"/>
    <w:rsid w:val="00BB19E2"/>
    <w:rsid w:val="00BB1F8E"/>
    <w:rsid w:val="00BC36D4"/>
    <w:rsid w:val="00BC3B50"/>
    <w:rsid w:val="00BC78FB"/>
    <w:rsid w:val="00BD0678"/>
    <w:rsid w:val="00BD4261"/>
    <w:rsid w:val="00BE2C92"/>
    <w:rsid w:val="00BE4444"/>
    <w:rsid w:val="00BF1342"/>
    <w:rsid w:val="00BF3734"/>
    <w:rsid w:val="00BF4395"/>
    <w:rsid w:val="00C07B56"/>
    <w:rsid w:val="00C07DEF"/>
    <w:rsid w:val="00C12499"/>
    <w:rsid w:val="00C20F7A"/>
    <w:rsid w:val="00C3305E"/>
    <w:rsid w:val="00C47630"/>
    <w:rsid w:val="00C54574"/>
    <w:rsid w:val="00C67D0D"/>
    <w:rsid w:val="00C67E83"/>
    <w:rsid w:val="00C750EC"/>
    <w:rsid w:val="00C76065"/>
    <w:rsid w:val="00C86BA4"/>
    <w:rsid w:val="00C93892"/>
    <w:rsid w:val="00C963A7"/>
    <w:rsid w:val="00CB4E6C"/>
    <w:rsid w:val="00CC31C3"/>
    <w:rsid w:val="00CC6F33"/>
    <w:rsid w:val="00CD0124"/>
    <w:rsid w:val="00CE0032"/>
    <w:rsid w:val="00CF116A"/>
    <w:rsid w:val="00CF2883"/>
    <w:rsid w:val="00D0115D"/>
    <w:rsid w:val="00D05562"/>
    <w:rsid w:val="00D074A1"/>
    <w:rsid w:val="00D117D5"/>
    <w:rsid w:val="00D1311E"/>
    <w:rsid w:val="00D1392A"/>
    <w:rsid w:val="00D16F96"/>
    <w:rsid w:val="00D17CB5"/>
    <w:rsid w:val="00D27003"/>
    <w:rsid w:val="00D30DFC"/>
    <w:rsid w:val="00D6163A"/>
    <w:rsid w:val="00D62C13"/>
    <w:rsid w:val="00D67A25"/>
    <w:rsid w:val="00D74CFB"/>
    <w:rsid w:val="00D77393"/>
    <w:rsid w:val="00D8256F"/>
    <w:rsid w:val="00D8321A"/>
    <w:rsid w:val="00D834E4"/>
    <w:rsid w:val="00D83E96"/>
    <w:rsid w:val="00D91F0A"/>
    <w:rsid w:val="00DA6301"/>
    <w:rsid w:val="00DB0096"/>
    <w:rsid w:val="00DB0417"/>
    <w:rsid w:val="00DC430D"/>
    <w:rsid w:val="00DC4F20"/>
    <w:rsid w:val="00DC6C50"/>
    <w:rsid w:val="00DC7A8B"/>
    <w:rsid w:val="00DD359F"/>
    <w:rsid w:val="00DD4FDA"/>
    <w:rsid w:val="00DE20B1"/>
    <w:rsid w:val="00DF7FDA"/>
    <w:rsid w:val="00E01565"/>
    <w:rsid w:val="00E056B5"/>
    <w:rsid w:val="00E06C12"/>
    <w:rsid w:val="00E21A44"/>
    <w:rsid w:val="00E26F79"/>
    <w:rsid w:val="00E467FE"/>
    <w:rsid w:val="00E500CF"/>
    <w:rsid w:val="00E52F35"/>
    <w:rsid w:val="00E621AC"/>
    <w:rsid w:val="00E76DF2"/>
    <w:rsid w:val="00E84C6F"/>
    <w:rsid w:val="00E9495D"/>
    <w:rsid w:val="00E95B03"/>
    <w:rsid w:val="00E96102"/>
    <w:rsid w:val="00EA22AA"/>
    <w:rsid w:val="00EB24AC"/>
    <w:rsid w:val="00EB4F73"/>
    <w:rsid w:val="00EC41AD"/>
    <w:rsid w:val="00EC6702"/>
    <w:rsid w:val="00ED122F"/>
    <w:rsid w:val="00ED1AFE"/>
    <w:rsid w:val="00ED24A2"/>
    <w:rsid w:val="00ED3D54"/>
    <w:rsid w:val="00EF5690"/>
    <w:rsid w:val="00F02543"/>
    <w:rsid w:val="00F176F1"/>
    <w:rsid w:val="00F232B7"/>
    <w:rsid w:val="00F50BC8"/>
    <w:rsid w:val="00F612E0"/>
    <w:rsid w:val="00F61B8D"/>
    <w:rsid w:val="00F71EC9"/>
    <w:rsid w:val="00F94107"/>
    <w:rsid w:val="00F97E91"/>
    <w:rsid w:val="00FA16B0"/>
    <w:rsid w:val="00FB7884"/>
    <w:rsid w:val="00FC2E48"/>
    <w:rsid w:val="00FD16AA"/>
    <w:rsid w:val="00FD799D"/>
    <w:rsid w:val="00FF32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9341"/>
  <w15:chartTrackingRefBased/>
  <w15:docId w15:val="{B2744DE7-2322-5C4B-8A11-F57B61AD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E84C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B47B9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E2C92"/>
    <w:rPr>
      <w:color w:val="0563C1" w:themeColor="hyperlink"/>
      <w:u w:val="single"/>
    </w:rPr>
  </w:style>
  <w:style w:type="character" w:customStyle="1" w:styleId="UnresolvedMention">
    <w:name w:val="Unresolved Mention"/>
    <w:basedOn w:val="Carpredefinitoparagrafo"/>
    <w:uiPriority w:val="99"/>
    <w:semiHidden/>
    <w:unhideWhenUsed/>
    <w:rsid w:val="00BE2C92"/>
    <w:rPr>
      <w:color w:val="605E5C"/>
      <w:shd w:val="clear" w:color="auto" w:fill="E1DFDD"/>
    </w:rPr>
  </w:style>
  <w:style w:type="paragraph" w:styleId="Paragrafoelenco">
    <w:name w:val="List Paragraph"/>
    <w:basedOn w:val="Normale"/>
    <w:uiPriority w:val="34"/>
    <w:qFormat/>
    <w:rsid w:val="00035EA1"/>
    <w:pPr>
      <w:ind w:left="720"/>
      <w:contextualSpacing/>
    </w:pPr>
  </w:style>
  <w:style w:type="character" w:styleId="Collegamentovisitato">
    <w:name w:val="FollowedHyperlink"/>
    <w:basedOn w:val="Carpredefinitoparagrafo"/>
    <w:uiPriority w:val="99"/>
    <w:semiHidden/>
    <w:unhideWhenUsed/>
    <w:rsid w:val="00B3122C"/>
    <w:rPr>
      <w:color w:val="954F72" w:themeColor="followedHyperlink"/>
      <w:u w:val="single"/>
    </w:rPr>
  </w:style>
  <w:style w:type="paragraph" w:customStyle="1" w:styleId="Default">
    <w:name w:val="Default"/>
    <w:rsid w:val="00075D22"/>
    <w:pPr>
      <w:autoSpaceDE w:val="0"/>
      <w:autoSpaceDN w:val="0"/>
      <w:adjustRightInd w:val="0"/>
    </w:pPr>
    <w:rPr>
      <w:rFonts w:ascii="Times" w:hAnsi="Times" w:cs="Times"/>
      <w:color w:val="000000"/>
    </w:rPr>
  </w:style>
  <w:style w:type="paragraph" w:styleId="Testonotaapidipagina">
    <w:name w:val="footnote text"/>
    <w:basedOn w:val="Normale"/>
    <w:link w:val="TestonotaapidipaginaCarattere"/>
    <w:uiPriority w:val="99"/>
    <w:unhideWhenUsed/>
    <w:rsid w:val="0080394E"/>
    <w:rPr>
      <w:sz w:val="20"/>
      <w:szCs w:val="20"/>
    </w:rPr>
  </w:style>
  <w:style w:type="character" w:customStyle="1" w:styleId="TestonotaapidipaginaCarattere">
    <w:name w:val="Testo nota a piè di pagina Carattere"/>
    <w:basedOn w:val="Carpredefinitoparagrafo"/>
    <w:link w:val="Testonotaapidipagina"/>
    <w:uiPriority w:val="99"/>
    <w:rsid w:val="0080394E"/>
    <w:rPr>
      <w:sz w:val="20"/>
      <w:szCs w:val="20"/>
    </w:rPr>
  </w:style>
  <w:style w:type="character" w:styleId="Rimandonotaapidipagina">
    <w:name w:val="footnote reference"/>
    <w:basedOn w:val="Carpredefinitoparagrafo"/>
    <w:uiPriority w:val="99"/>
    <w:semiHidden/>
    <w:unhideWhenUsed/>
    <w:rsid w:val="0080394E"/>
    <w:rPr>
      <w:vertAlign w:val="superscript"/>
    </w:rPr>
  </w:style>
  <w:style w:type="paragraph" w:styleId="NormaleWeb">
    <w:name w:val="Normal (Web)"/>
    <w:basedOn w:val="Normale"/>
    <w:uiPriority w:val="99"/>
    <w:unhideWhenUsed/>
    <w:rsid w:val="00157CDF"/>
    <w:pPr>
      <w:spacing w:before="100" w:beforeAutospacing="1" w:after="100" w:afterAutospacing="1"/>
    </w:pPr>
    <w:rPr>
      <w:rFonts w:ascii="Times New Roman" w:eastAsia="Times New Roman" w:hAnsi="Times New Roman" w:cs="Times New Roman"/>
      <w:lang w:eastAsia="it-IT"/>
    </w:rPr>
  </w:style>
  <w:style w:type="character" w:customStyle="1" w:styleId="Titolo1Carattere">
    <w:name w:val="Titolo 1 Carattere"/>
    <w:basedOn w:val="Carpredefinitoparagrafo"/>
    <w:link w:val="Titolo1"/>
    <w:uiPriority w:val="9"/>
    <w:rsid w:val="00E84C6F"/>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semiHidden/>
    <w:rsid w:val="00B47B9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806">
      <w:bodyDiv w:val="1"/>
      <w:marLeft w:val="0"/>
      <w:marRight w:val="0"/>
      <w:marTop w:val="0"/>
      <w:marBottom w:val="0"/>
      <w:divBdr>
        <w:top w:val="none" w:sz="0" w:space="0" w:color="auto"/>
        <w:left w:val="none" w:sz="0" w:space="0" w:color="auto"/>
        <w:bottom w:val="none" w:sz="0" w:space="0" w:color="auto"/>
        <w:right w:val="none" w:sz="0" w:space="0" w:color="auto"/>
      </w:divBdr>
    </w:div>
    <w:div w:id="44568990">
      <w:bodyDiv w:val="1"/>
      <w:marLeft w:val="0"/>
      <w:marRight w:val="0"/>
      <w:marTop w:val="0"/>
      <w:marBottom w:val="0"/>
      <w:divBdr>
        <w:top w:val="none" w:sz="0" w:space="0" w:color="auto"/>
        <w:left w:val="none" w:sz="0" w:space="0" w:color="auto"/>
        <w:bottom w:val="none" w:sz="0" w:space="0" w:color="auto"/>
        <w:right w:val="none" w:sz="0" w:space="0" w:color="auto"/>
      </w:divBdr>
      <w:divsChild>
        <w:div w:id="1298687744">
          <w:marLeft w:val="0"/>
          <w:marRight w:val="0"/>
          <w:marTop w:val="0"/>
          <w:marBottom w:val="0"/>
          <w:divBdr>
            <w:top w:val="none" w:sz="0" w:space="0" w:color="auto"/>
            <w:left w:val="none" w:sz="0" w:space="0" w:color="auto"/>
            <w:bottom w:val="none" w:sz="0" w:space="0" w:color="auto"/>
            <w:right w:val="none" w:sz="0" w:space="0" w:color="auto"/>
          </w:divBdr>
          <w:divsChild>
            <w:div w:id="1412042385">
              <w:marLeft w:val="0"/>
              <w:marRight w:val="0"/>
              <w:marTop w:val="0"/>
              <w:marBottom w:val="0"/>
              <w:divBdr>
                <w:top w:val="none" w:sz="0" w:space="0" w:color="auto"/>
                <w:left w:val="none" w:sz="0" w:space="0" w:color="auto"/>
                <w:bottom w:val="none" w:sz="0" w:space="0" w:color="auto"/>
                <w:right w:val="none" w:sz="0" w:space="0" w:color="auto"/>
              </w:divBdr>
              <w:divsChild>
                <w:div w:id="3134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9972">
      <w:bodyDiv w:val="1"/>
      <w:marLeft w:val="0"/>
      <w:marRight w:val="0"/>
      <w:marTop w:val="0"/>
      <w:marBottom w:val="0"/>
      <w:divBdr>
        <w:top w:val="none" w:sz="0" w:space="0" w:color="auto"/>
        <w:left w:val="none" w:sz="0" w:space="0" w:color="auto"/>
        <w:bottom w:val="none" w:sz="0" w:space="0" w:color="auto"/>
        <w:right w:val="none" w:sz="0" w:space="0" w:color="auto"/>
      </w:divBdr>
    </w:div>
    <w:div w:id="131870122">
      <w:bodyDiv w:val="1"/>
      <w:marLeft w:val="0"/>
      <w:marRight w:val="0"/>
      <w:marTop w:val="0"/>
      <w:marBottom w:val="0"/>
      <w:divBdr>
        <w:top w:val="none" w:sz="0" w:space="0" w:color="auto"/>
        <w:left w:val="none" w:sz="0" w:space="0" w:color="auto"/>
        <w:bottom w:val="none" w:sz="0" w:space="0" w:color="auto"/>
        <w:right w:val="none" w:sz="0" w:space="0" w:color="auto"/>
      </w:divBdr>
    </w:div>
    <w:div w:id="194199378">
      <w:bodyDiv w:val="1"/>
      <w:marLeft w:val="0"/>
      <w:marRight w:val="0"/>
      <w:marTop w:val="0"/>
      <w:marBottom w:val="0"/>
      <w:divBdr>
        <w:top w:val="none" w:sz="0" w:space="0" w:color="auto"/>
        <w:left w:val="none" w:sz="0" w:space="0" w:color="auto"/>
        <w:bottom w:val="none" w:sz="0" w:space="0" w:color="auto"/>
        <w:right w:val="none" w:sz="0" w:space="0" w:color="auto"/>
      </w:divBdr>
    </w:div>
    <w:div w:id="284822026">
      <w:bodyDiv w:val="1"/>
      <w:marLeft w:val="0"/>
      <w:marRight w:val="0"/>
      <w:marTop w:val="0"/>
      <w:marBottom w:val="0"/>
      <w:divBdr>
        <w:top w:val="none" w:sz="0" w:space="0" w:color="auto"/>
        <w:left w:val="none" w:sz="0" w:space="0" w:color="auto"/>
        <w:bottom w:val="none" w:sz="0" w:space="0" w:color="auto"/>
        <w:right w:val="none" w:sz="0" w:space="0" w:color="auto"/>
      </w:divBdr>
    </w:div>
    <w:div w:id="294943913">
      <w:bodyDiv w:val="1"/>
      <w:marLeft w:val="0"/>
      <w:marRight w:val="0"/>
      <w:marTop w:val="0"/>
      <w:marBottom w:val="0"/>
      <w:divBdr>
        <w:top w:val="none" w:sz="0" w:space="0" w:color="auto"/>
        <w:left w:val="none" w:sz="0" w:space="0" w:color="auto"/>
        <w:bottom w:val="none" w:sz="0" w:space="0" w:color="auto"/>
        <w:right w:val="none" w:sz="0" w:space="0" w:color="auto"/>
      </w:divBdr>
    </w:div>
    <w:div w:id="306935148">
      <w:bodyDiv w:val="1"/>
      <w:marLeft w:val="0"/>
      <w:marRight w:val="0"/>
      <w:marTop w:val="0"/>
      <w:marBottom w:val="0"/>
      <w:divBdr>
        <w:top w:val="none" w:sz="0" w:space="0" w:color="auto"/>
        <w:left w:val="none" w:sz="0" w:space="0" w:color="auto"/>
        <w:bottom w:val="none" w:sz="0" w:space="0" w:color="auto"/>
        <w:right w:val="none" w:sz="0" w:space="0" w:color="auto"/>
      </w:divBdr>
    </w:div>
    <w:div w:id="423770006">
      <w:bodyDiv w:val="1"/>
      <w:marLeft w:val="0"/>
      <w:marRight w:val="0"/>
      <w:marTop w:val="0"/>
      <w:marBottom w:val="0"/>
      <w:divBdr>
        <w:top w:val="none" w:sz="0" w:space="0" w:color="auto"/>
        <w:left w:val="none" w:sz="0" w:space="0" w:color="auto"/>
        <w:bottom w:val="none" w:sz="0" w:space="0" w:color="auto"/>
        <w:right w:val="none" w:sz="0" w:space="0" w:color="auto"/>
      </w:divBdr>
    </w:div>
    <w:div w:id="507185029">
      <w:bodyDiv w:val="1"/>
      <w:marLeft w:val="0"/>
      <w:marRight w:val="0"/>
      <w:marTop w:val="0"/>
      <w:marBottom w:val="0"/>
      <w:divBdr>
        <w:top w:val="none" w:sz="0" w:space="0" w:color="auto"/>
        <w:left w:val="none" w:sz="0" w:space="0" w:color="auto"/>
        <w:bottom w:val="none" w:sz="0" w:space="0" w:color="auto"/>
        <w:right w:val="none" w:sz="0" w:space="0" w:color="auto"/>
      </w:divBdr>
    </w:div>
    <w:div w:id="527375896">
      <w:bodyDiv w:val="1"/>
      <w:marLeft w:val="0"/>
      <w:marRight w:val="0"/>
      <w:marTop w:val="0"/>
      <w:marBottom w:val="0"/>
      <w:divBdr>
        <w:top w:val="none" w:sz="0" w:space="0" w:color="auto"/>
        <w:left w:val="none" w:sz="0" w:space="0" w:color="auto"/>
        <w:bottom w:val="none" w:sz="0" w:space="0" w:color="auto"/>
        <w:right w:val="none" w:sz="0" w:space="0" w:color="auto"/>
      </w:divBdr>
    </w:div>
    <w:div w:id="564070744">
      <w:bodyDiv w:val="1"/>
      <w:marLeft w:val="0"/>
      <w:marRight w:val="0"/>
      <w:marTop w:val="0"/>
      <w:marBottom w:val="0"/>
      <w:divBdr>
        <w:top w:val="none" w:sz="0" w:space="0" w:color="auto"/>
        <w:left w:val="none" w:sz="0" w:space="0" w:color="auto"/>
        <w:bottom w:val="none" w:sz="0" w:space="0" w:color="auto"/>
        <w:right w:val="none" w:sz="0" w:space="0" w:color="auto"/>
      </w:divBdr>
    </w:div>
    <w:div w:id="569845365">
      <w:bodyDiv w:val="1"/>
      <w:marLeft w:val="0"/>
      <w:marRight w:val="0"/>
      <w:marTop w:val="0"/>
      <w:marBottom w:val="0"/>
      <w:divBdr>
        <w:top w:val="none" w:sz="0" w:space="0" w:color="auto"/>
        <w:left w:val="none" w:sz="0" w:space="0" w:color="auto"/>
        <w:bottom w:val="none" w:sz="0" w:space="0" w:color="auto"/>
        <w:right w:val="none" w:sz="0" w:space="0" w:color="auto"/>
      </w:divBdr>
      <w:divsChild>
        <w:div w:id="508565313">
          <w:marLeft w:val="0"/>
          <w:marRight w:val="0"/>
          <w:marTop w:val="0"/>
          <w:marBottom w:val="0"/>
          <w:divBdr>
            <w:top w:val="none" w:sz="0" w:space="0" w:color="auto"/>
            <w:left w:val="none" w:sz="0" w:space="0" w:color="auto"/>
            <w:bottom w:val="none" w:sz="0" w:space="0" w:color="auto"/>
            <w:right w:val="none" w:sz="0" w:space="0" w:color="auto"/>
          </w:divBdr>
          <w:divsChild>
            <w:div w:id="1259288507">
              <w:marLeft w:val="0"/>
              <w:marRight w:val="0"/>
              <w:marTop w:val="0"/>
              <w:marBottom w:val="0"/>
              <w:divBdr>
                <w:top w:val="none" w:sz="0" w:space="0" w:color="auto"/>
                <w:left w:val="none" w:sz="0" w:space="0" w:color="auto"/>
                <w:bottom w:val="none" w:sz="0" w:space="0" w:color="auto"/>
                <w:right w:val="none" w:sz="0" w:space="0" w:color="auto"/>
              </w:divBdr>
              <w:divsChild>
                <w:div w:id="20048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15541">
      <w:bodyDiv w:val="1"/>
      <w:marLeft w:val="0"/>
      <w:marRight w:val="0"/>
      <w:marTop w:val="0"/>
      <w:marBottom w:val="0"/>
      <w:divBdr>
        <w:top w:val="none" w:sz="0" w:space="0" w:color="auto"/>
        <w:left w:val="none" w:sz="0" w:space="0" w:color="auto"/>
        <w:bottom w:val="none" w:sz="0" w:space="0" w:color="auto"/>
        <w:right w:val="none" w:sz="0" w:space="0" w:color="auto"/>
      </w:divBdr>
    </w:div>
    <w:div w:id="620378205">
      <w:bodyDiv w:val="1"/>
      <w:marLeft w:val="0"/>
      <w:marRight w:val="0"/>
      <w:marTop w:val="0"/>
      <w:marBottom w:val="0"/>
      <w:divBdr>
        <w:top w:val="none" w:sz="0" w:space="0" w:color="auto"/>
        <w:left w:val="none" w:sz="0" w:space="0" w:color="auto"/>
        <w:bottom w:val="none" w:sz="0" w:space="0" w:color="auto"/>
        <w:right w:val="none" w:sz="0" w:space="0" w:color="auto"/>
      </w:divBdr>
      <w:divsChild>
        <w:div w:id="1989816631">
          <w:marLeft w:val="0"/>
          <w:marRight w:val="0"/>
          <w:marTop w:val="0"/>
          <w:marBottom w:val="0"/>
          <w:divBdr>
            <w:top w:val="none" w:sz="0" w:space="0" w:color="auto"/>
            <w:left w:val="none" w:sz="0" w:space="0" w:color="auto"/>
            <w:bottom w:val="none" w:sz="0" w:space="0" w:color="auto"/>
            <w:right w:val="none" w:sz="0" w:space="0" w:color="auto"/>
          </w:divBdr>
          <w:divsChild>
            <w:div w:id="1755781869">
              <w:marLeft w:val="0"/>
              <w:marRight w:val="0"/>
              <w:marTop w:val="0"/>
              <w:marBottom w:val="0"/>
              <w:divBdr>
                <w:top w:val="none" w:sz="0" w:space="0" w:color="auto"/>
                <w:left w:val="none" w:sz="0" w:space="0" w:color="auto"/>
                <w:bottom w:val="none" w:sz="0" w:space="0" w:color="auto"/>
                <w:right w:val="none" w:sz="0" w:space="0" w:color="auto"/>
              </w:divBdr>
              <w:divsChild>
                <w:div w:id="6081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59573">
      <w:bodyDiv w:val="1"/>
      <w:marLeft w:val="0"/>
      <w:marRight w:val="0"/>
      <w:marTop w:val="0"/>
      <w:marBottom w:val="0"/>
      <w:divBdr>
        <w:top w:val="none" w:sz="0" w:space="0" w:color="auto"/>
        <w:left w:val="none" w:sz="0" w:space="0" w:color="auto"/>
        <w:bottom w:val="none" w:sz="0" w:space="0" w:color="auto"/>
        <w:right w:val="none" w:sz="0" w:space="0" w:color="auto"/>
      </w:divBdr>
    </w:div>
    <w:div w:id="724455325">
      <w:bodyDiv w:val="1"/>
      <w:marLeft w:val="0"/>
      <w:marRight w:val="0"/>
      <w:marTop w:val="0"/>
      <w:marBottom w:val="0"/>
      <w:divBdr>
        <w:top w:val="none" w:sz="0" w:space="0" w:color="auto"/>
        <w:left w:val="none" w:sz="0" w:space="0" w:color="auto"/>
        <w:bottom w:val="none" w:sz="0" w:space="0" w:color="auto"/>
        <w:right w:val="none" w:sz="0" w:space="0" w:color="auto"/>
      </w:divBdr>
    </w:div>
    <w:div w:id="787889777">
      <w:bodyDiv w:val="1"/>
      <w:marLeft w:val="0"/>
      <w:marRight w:val="0"/>
      <w:marTop w:val="0"/>
      <w:marBottom w:val="0"/>
      <w:divBdr>
        <w:top w:val="none" w:sz="0" w:space="0" w:color="auto"/>
        <w:left w:val="none" w:sz="0" w:space="0" w:color="auto"/>
        <w:bottom w:val="none" w:sz="0" w:space="0" w:color="auto"/>
        <w:right w:val="none" w:sz="0" w:space="0" w:color="auto"/>
      </w:divBdr>
    </w:div>
    <w:div w:id="814957998">
      <w:bodyDiv w:val="1"/>
      <w:marLeft w:val="0"/>
      <w:marRight w:val="0"/>
      <w:marTop w:val="0"/>
      <w:marBottom w:val="0"/>
      <w:divBdr>
        <w:top w:val="none" w:sz="0" w:space="0" w:color="auto"/>
        <w:left w:val="none" w:sz="0" w:space="0" w:color="auto"/>
        <w:bottom w:val="none" w:sz="0" w:space="0" w:color="auto"/>
        <w:right w:val="none" w:sz="0" w:space="0" w:color="auto"/>
      </w:divBdr>
    </w:div>
    <w:div w:id="850412347">
      <w:bodyDiv w:val="1"/>
      <w:marLeft w:val="0"/>
      <w:marRight w:val="0"/>
      <w:marTop w:val="0"/>
      <w:marBottom w:val="0"/>
      <w:divBdr>
        <w:top w:val="none" w:sz="0" w:space="0" w:color="auto"/>
        <w:left w:val="none" w:sz="0" w:space="0" w:color="auto"/>
        <w:bottom w:val="none" w:sz="0" w:space="0" w:color="auto"/>
        <w:right w:val="none" w:sz="0" w:space="0" w:color="auto"/>
      </w:divBdr>
      <w:divsChild>
        <w:div w:id="616722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13737">
              <w:marLeft w:val="0"/>
              <w:marRight w:val="0"/>
              <w:marTop w:val="0"/>
              <w:marBottom w:val="0"/>
              <w:divBdr>
                <w:top w:val="none" w:sz="0" w:space="0" w:color="auto"/>
                <w:left w:val="none" w:sz="0" w:space="0" w:color="auto"/>
                <w:bottom w:val="none" w:sz="0" w:space="0" w:color="auto"/>
                <w:right w:val="none" w:sz="0" w:space="0" w:color="auto"/>
              </w:divBdr>
              <w:divsChild>
                <w:div w:id="31464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7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22382">
      <w:bodyDiv w:val="1"/>
      <w:marLeft w:val="0"/>
      <w:marRight w:val="0"/>
      <w:marTop w:val="0"/>
      <w:marBottom w:val="0"/>
      <w:divBdr>
        <w:top w:val="none" w:sz="0" w:space="0" w:color="auto"/>
        <w:left w:val="none" w:sz="0" w:space="0" w:color="auto"/>
        <w:bottom w:val="none" w:sz="0" w:space="0" w:color="auto"/>
        <w:right w:val="none" w:sz="0" w:space="0" w:color="auto"/>
      </w:divBdr>
    </w:div>
    <w:div w:id="882836252">
      <w:bodyDiv w:val="1"/>
      <w:marLeft w:val="0"/>
      <w:marRight w:val="0"/>
      <w:marTop w:val="0"/>
      <w:marBottom w:val="0"/>
      <w:divBdr>
        <w:top w:val="none" w:sz="0" w:space="0" w:color="auto"/>
        <w:left w:val="none" w:sz="0" w:space="0" w:color="auto"/>
        <w:bottom w:val="none" w:sz="0" w:space="0" w:color="auto"/>
        <w:right w:val="none" w:sz="0" w:space="0" w:color="auto"/>
      </w:divBdr>
    </w:div>
    <w:div w:id="904605335">
      <w:bodyDiv w:val="1"/>
      <w:marLeft w:val="0"/>
      <w:marRight w:val="0"/>
      <w:marTop w:val="0"/>
      <w:marBottom w:val="0"/>
      <w:divBdr>
        <w:top w:val="none" w:sz="0" w:space="0" w:color="auto"/>
        <w:left w:val="none" w:sz="0" w:space="0" w:color="auto"/>
        <w:bottom w:val="none" w:sz="0" w:space="0" w:color="auto"/>
        <w:right w:val="none" w:sz="0" w:space="0" w:color="auto"/>
      </w:divBdr>
    </w:div>
    <w:div w:id="926377468">
      <w:bodyDiv w:val="1"/>
      <w:marLeft w:val="0"/>
      <w:marRight w:val="0"/>
      <w:marTop w:val="0"/>
      <w:marBottom w:val="0"/>
      <w:divBdr>
        <w:top w:val="none" w:sz="0" w:space="0" w:color="auto"/>
        <w:left w:val="none" w:sz="0" w:space="0" w:color="auto"/>
        <w:bottom w:val="none" w:sz="0" w:space="0" w:color="auto"/>
        <w:right w:val="none" w:sz="0" w:space="0" w:color="auto"/>
      </w:divBdr>
    </w:div>
    <w:div w:id="935021557">
      <w:bodyDiv w:val="1"/>
      <w:marLeft w:val="0"/>
      <w:marRight w:val="0"/>
      <w:marTop w:val="0"/>
      <w:marBottom w:val="0"/>
      <w:divBdr>
        <w:top w:val="none" w:sz="0" w:space="0" w:color="auto"/>
        <w:left w:val="none" w:sz="0" w:space="0" w:color="auto"/>
        <w:bottom w:val="none" w:sz="0" w:space="0" w:color="auto"/>
        <w:right w:val="none" w:sz="0" w:space="0" w:color="auto"/>
      </w:divBdr>
    </w:div>
    <w:div w:id="955713950">
      <w:bodyDiv w:val="1"/>
      <w:marLeft w:val="0"/>
      <w:marRight w:val="0"/>
      <w:marTop w:val="0"/>
      <w:marBottom w:val="0"/>
      <w:divBdr>
        <w:top w:val="none" w:sz="0" w:space="0" w:color="auto"/>
        <w:left w:val="none" w:sz="0" w:space="0" w:color="auto"/>
        <w:bottom w:val="none" w:sz="0" w:space="0" w:color="auto"/>
        <w:right w:val="none" w:sz="0" w:space="0" w:color="auto"/>
      </w:divBdr>
    </w:div>
    <w:div w:id="960111394">
      <w:bodyDiv w:val="1"/>
      <w:marLeft w:val="0"/>
      <w:marRight w:val="0"/>
      <w:marTop w:val="0"/>
      <w:marBottom w:val="0"/>
      <w:divBdr>
        <w:top w:val="none" w:sz="0" w:space="0" w:color="auto"/>
        <w:left w:val="none" w:sz="0" w:space="0" w:color="auto"/>
        <w:bottom w:val="none" w:sz="0" w:space="0" w:color="auto"/>
        <w:right w:val="none" w:sz="0" w:space="0" w:color="auto"/>
      </w:divBdr>
    </w:div>
    <w:div w:id="974220283">
      <w:bodyDiv w:val="1"/>
      <w:marLeft w:val="0"/>
      <w:marRight w:val="0"/>
      <w:marTop w:val="0"/>
      <w:marBottom w:val="0"/>
      <w:divBdr>
        <w:top w:val="none" w:sz="0" w:space="0" w:color="auto"/>
        <w:left w:val="none" w:sz="0" w:space="0" w:color="auto"/>
        <w:bottom w:val="none" w:sz="0" w:space="0" w:color="auto"/>
        <w:right w:val="none" w:sz="0" w:space="0" w:color="auto"/>
      </w:divBdr>
    </w:div>
    <w:div w:id="980767849">
      <w:bodyDiv w:val="1"/>
      <w:marLeft w:val="0"/>
      <w:marRight w:val="0"/>
      <w:marTop w:val="0"/>
      <w:marBottom w:val="0"/>
      <w:divBdr>
        <w:top w:val="none" w:sz="0" w:space="0" w:color="auto"/>
        <w:left w:val="none" w:sz="0" w:space="0" w:color="auto"/>
        <w:bottom w:val="none" w:sz="0" w:space="0" w:color="auto"/>
        <w:right w:val="none" w:sz="0" w:space="0" w:color="auto"/>
      </w:divBdr>
      <w:divsChild>
        <w:div w:id="786436259">
          <w:marLeft w:val="0"/>
          <w:marRight w:val="0"/>
          <w:marTop w:val="0"/>
          <w:marBottom w:val="0"/>
          <w:divBdr>
            <w:top w:val="none" w:sz="0" w:space="0" w:color="auto"/>
            <w:left w:val="none" w:sz="0" w:space="0" w:color="auto"/>
            <w:bottom w:val="none" w:sz="0" w:space="0" w:color="auto"/>
            <w:right w:val="none" w:sz="0" w:space="0" w:color="auto"/>
          </w:divBdr>
          <w:divsChild>
            <w:div w:id="245772096">
              <w:marLeft w:val="0"/>
              <w:marRight w:val="0"/>
              <w:marTop w:val="0"/>
              <w:marBottom w:val="0"/>
              <w:divBdr>
                <w:top w:val="none" w:sz="0" w:space="0" w:color="auto"/>
                <w:left w:val="none" w:sz="0" w:space="0" w:color="auto"/>
                <w:bottom w:val="none" w:sz="0" w:space="0" w:color="auto"/>
                <w:right w:val="none" w:sz="0" w:space="0" w:color="auto"/>
              </w:divBdr>
              <w:divsChild>
                <w:div w:id="2837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05680">
      <w:bodyDiv w:val="1"/>
      <w:marLeft w:val="0"/>
      <w:marRight w:val="0"/>
      <w:marTop w:val="0"/>
      <w:marBottom w:val="0"/>
      <w:divBdr>
        <w:top w:val="none" w:sz="0" w:space="0" w:color="auto"/>
        <w:left w:val="none" w:sz="0" w:space="0" w:color="auto"/>
        <w:bottom w:val="none" w:sz="0" w:space="0" w:color="auto"/>
        <w:right w:val="none" w:sz="0" w:space="0" w:color="auto"/>
      </w:divBdr>
    </w:div>
    <w:div w:id="1087923647">
      <w:bodyDiv w:val="1"/>
      <w:marLeft w:val="0"/>
      <w:marRight w:val="0"/>
      <w:marTop w:val="0"/>
      <w:marBottom w:val="0"/>
      <w:divBdr>
        <w:top w:val="none" w:sz="0" w:space="0" w:color="auto"/>
        <w:left w:val="none" w:sz="0" w:space="0" w:color="auto"/>
        <w:bottom w:val="none" w:sz="0" w:space="0" w:color="auto"/>
        <w:right w:val="none" w:sz="0" w:space="0" w:color="auto"/>
      </w:divBdr>
    </w:div>
    <w:div w:id="1110517173">
      <w:bodyDiv w:val="1"/>
      <w:marLeft w:val="0"/>
      <w:marRight w:val="0"/>
      <w:marTop w:val="0"/>
      <w:marBottom w:val="0"/>
      <w:divBdr>
        <w:top w:val="none" w:sz="0" w:space="0" w:color="auto"/>
        <w:left w:val="none" w:sz="0" w:space="0" w:color="auto"/>
        <w:bottom w:val="none" w:sz="0" w:space="0" w:color="auto"/>
        <w:right w:val="none" w:sz="0" w:space="0" w:color="auto"/>
      </w:divBdr>
    </w:div>
    <w:div w:id="1145926800">
      <w:bodyDiv w:val="1"/>
      <w:marLeft w:val="0"/>
      <w:marRight w:val="0"/>
      <w:marTop w:val="0"/>
      <w:marBottom w:val="0"/>
      <w:divBdr>
        <w:top w:val="none" w:sz="0" w:space="0" w:color="auto"/>
        <w:left w:val="none" w:sz="0" w:space="0" w:color="auto"/>
        <w:bottom w:val="none" w:sz="0" w:space="0" w:color="auto"/>
        <w:right w:val="none" w:sz="0" w:space="0" w:color="auto"/>
      </w:divBdr>
      <w:divsChild>
        <w:div w:id="139015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233435">
              <w:marLeft w:val="0"/>
              <w:marRight w:val="0"/>
              <w:marTop w:val="0"/>
              <w:marBottom w:val="0"/>
              <w:divBdr>
                <w:top w:val="none" w:sz="0" w:space="0" w:color="auto"/>
                <w:left w:val="none" w:sz="0" w:space="0" w:color="auto"/>
                <w:bottom w:val="none" w:sz="0" w:space="0" w:color="auto"/>
                <w:right w:val="none" w:sz="0" w:space="0" w:color="auto"/>
              </w:divBdr>
              <w:divsChild>
                <w:div w:id="683214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9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1910">
      <w:bodyDiv w:val="1"/>
      <w:marLeft w:val="0"/>
      <w:marRight w:val="0"/>
      <w:marTop w:val="0"/>
      <w:marBottom w:val="0"/>
      <w:divBdr>
        <w:top w:val="none" w:sz="0" w:space="0" w:color="auto"/>
        <w:left w:val="none" w:sz="0" w:space="0" w:color="auto"/>
        <w:bottom w:val="none" w:sz="0" w:space="0" w:color="auto"/>
        <w:right w:val="none" w:sz="0" w:space="0" w:color="auto"/>
      </w:divBdr>
    </w:div>
    <w:div w:id="1247377004">
      <w:bodyDiv w:val="1"/>
      <w:marLeft w:val="0"/>
      <w:marRight w:val="0"/>
      <w:marTop w:val="0"/>
      <w:marBottom w:val="0"/>
      <w:divBdr>
        <w:top w:val="none" w:sz="0" w:space="0" w:color="auto"/>
        <w:left w:val="none" w:sz="0" w:space="0" w:color="auto"/>
        <w:bottom w:val="none" w:sz="0" w:space="0" w:color="auto"/>
        <w:right w:val="none" w:sz="0" w:space="0" w:color="auto"/>
      </w:divBdr>
    </w:div>
    <w:div w:id="1253393389">
      <w:bodyDiv w:val="1"/>
      <w:marLeft w:val="0"/>
      <w:marRight w:val="0"/>
      <w:marTop w:val="0"/>
      <w:marBottom w:val="0"/>
      <w:divBdr>
        <w:top w:val="none" w:sz="0" w:space="0" w:color="auto"/>
        <w:left w:val="none" w:sz="0" w:space="0" w:color="auto"/>
        <w:bottom w:val="none" w:sz="0" w:space="0" w:color="auto"/>
        <w:right w:val="none" w:sz="0" w:space="0" w:color="auto"/>
      </w:divBdr>
      <w:divsChild>
        <w:div w:id="1799032678">
          <w:marLeft w:val="0"/>
          <w:marRight w:val="0"/>
          <w:marTop w:val="0"/>
          <w:marBottom w:val="0"/>
          <w:divBdr>
            <w:top w:val="none" w:sz="0" w:space="0" w:color="auto"/>
            <w:left w:val="none" w:sz="0" w:space="0" w:color="auto"/>
            <w:bottom w:val="none" w:sz="0" w:space="0" w:color="auto"/>
            <w:right w:val="none" w:sz="0" w:space="0" w:color="auto"/>
          </w:divBdr>
          <w:divsChild>
            <w:div w:id="981690498">
              <w:marLeft w:val="0"/>
              <w:marRight w:val="0"/>
              <w:marTop w:val="0"/>
              <w:marBottom w:val="0"/>
              <w:divBdr>
                <w:top w:val="none" w:sz="0" w:space="0" w:color="auto"/>
                <w:left w:val="none" w:sz="0" w:space="0" w:color="auto"/>
                <w:bottom w:val="none" w:sz="0" w:space="0" w:color="auto"/>
                <w:right w:val="none" w:sz="0" w:space="0" w:color="auto"/>
              </w:divBdr>
              <w:divsChild>
                <w:div w:id="18200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8729">
      <w:bodyDiv w:val="1"/>
      <w:marLeft w:val="0"/>
      <w:marRight w:val="0"/>
      <w:marTop w:val="0"/>
      <w:marBottom w:val="0"/>
      <w:divBdr>
        <w:top w:val="none" w:sz="0" w:space="0" w:color="auto"/>
        <w:left w:val="none" w:sz="0" w:space="0" w:color="auto"/>
        <w:bottom w:val="none" w:sz="0" w:space="0" w:color="auto"/>
        <w:right w:val="none" w:sz="0" w:space="0" w:color="auto"/>
      </w:divBdr>
    </w:div>
    <w:div w:id="1287155371">
      <w:bodyDiv w:val="1"/>
      <w:marLeft w:val="0"/>
      <w:marRight w:val="0"/>
      <w:marTop w:val="0"/>
      <w:marBottom w:val="0"/>
      <w:divBdr>
        <w:top w:val="none" w:sz="0" w:space="0" w:color="auto"/>
        <w:left w:val="none" w:sz="0" w:space="0" w:color="auto"/>
        <w:bottom w:val="none" w:sz="0" w:space="0" w:color="auto"/>
        <w:right w:val="none" w:sz="0" w:space="0" w:color="auto"/>
      </w:divBdr>
    </w:div>
    <w:div w:id="1295914195">
      <w:bodyDiv w:val="1"/>
      <w:marLeft w:val="0"/>
      <w:marRight w:val="0"/>
      <w:marTop w:val="0"/>
      <w:marBottom w:val="0"/>
      <w:divBdr>
        <w:top w:val="none" w:sz="0" w:space="0" w:color="auto"/>
        <w:left w:val="none" w:sz="0" w:space="0" w:color="auto"/>
        <w:bottom w:val="none" w:sz="0" w:space="0" w:color="auto"/>
        <w:right w:val="none" w:sz="0" w:space="0" w:color="auto"/>
      </w:divBdr>
    </w:div>
    <w:div w:id="1345396438">
      <w:bodyDiv w:val="1"/>
      <w:marLeft w:val="0"/>
      <w:marRight w:val="0"/>
      <w:marTop w:val="0"/>
      <w:marBottom w:val="0"/>
      <w:divBdr>
        <w:top w:val="none" w:sz="0" w:space="0" w:color="auto"/>
        <w:left w:val="none" w:sz="0" w:space="0" w:color="auto"/>
        <w:bottom w:val="none" w:sz="0" w:space="0" w:color="auto"/>
        <w:right w:val="none" w:sz="0" w:space="0" w:color="auto"/>
      </w:divBdr>
    </w:div>
    <w:div w:id="1352995452">
      <w:bodyDiv w:val="1"/>
      <w:marLeft w:val="0"/>
      <w:marRight w:val="0"/>
      <w:marTop w:val="0"/>
      <w:marBottom w:val="0"/>
      <w:divBdr>
        <w:top w:val="none" w:sz="0" w:space="0" w:color="auto"/>
        <w:left w:val="none" w:sz="0" w:space="0" w:color="auto"/>
        <w:bottom w:val="none" w:sz="0" w:space="0" w:color="auto"/>
        <w:right w:val="none" w:sz="0" w:space="0" w:color="auto"/>
      </w:divBdr>
    </w:div>
    <w:div w:id="1394966134">
      <w:bodyDiv w:val="1"/>
      <w:marLeft w:val="0"/>
      <w:marRight w:val="0"/>
      <w:marTop w:val="0"/>
      <w:marBottom w:val="0"/>
      <w:divBdr>
        <w:top w:val="none" w:sz="0" w:space="0" w:color="auto"/>
        <w:left w:val="none" w:sz="0" w:space="0" w:color="auto"/>
        <w:bottom w:val="none" w:sz="0" w:space="0" w:color="auto"/>
        <w:right w:val="none" w:sz="0" w:space="0" w:color="auto"/>
      </w:divBdr>
    </w:div>
    <w:div w:id="1420906347">
      <w:bodyDiv w:val="1"/>
      <w:marLeft w:val="0"/>
      <w:marRight w:val="0"/>
      <w:marTop w:val="0"/>
      <w:marBottom w:val="0"/>
      <w:divBdr>
        <w:top w:val="none" w:sz="0" w:space="0" w:color="auto"/>
        <w:left w:val="none" w:sz="0" w:space="0" w:color="auto"/>
        <w:bottom w:val="none" w:sz="0" w:space="0" w:color="auto"/>
        <w:right w:val="none" w:sz="0" w:space="0" w:color="auto"/>
      </w:divBdr>
    </w:div>
    <w:div w:id="1443645748">
      <w:bodyDiv w:val="1"/>
      <w:marLeft w:val="0"/>
      <w:marRight w:val="0"/>
      <w:marTop w:val="0"/>
      <w:marBottom w:val="0"/>
      <w:divBdr>
        <w:top w:val="none" w:sz="0" w:space="0" w:color="auto"/>
        <w:left w:val="none" w:sz="0" w:space="0" w:color="auto"/>
        <w:bottom w:val="none" w:sz="0" w:space="0" w:color="auto"/>
        <w:right w:val="none" w:sz="0" w:space="0" w:color="auto"/>
      </w:divBdr>
    </w:div>
    <w:div w:id="1469856524">
      <w:bodyDiv w:val="1"/>
      <w:marLeft w:val="0"/>
      <w:marRight w:val="0"/>
      <w:marTop w:val="0"/>
      <w:marBottom w:val="0"/>
      <w:divBdr>
        <w:top w:val="none" w:sz="0" w:space="0" w:color="auto"/>
        <w:left w:val="none" w:sz="0" w:space="0" w:color="auto"/>
        <w:bottom w:val="none" w:sz="0" w:space="0" w:color="auto"/>
        <w:right w:val="none" w:sz="0" w:space="0" w:color="auto"/>
      </w:divBdr>
    </w:div>
    <w:div w:id="1469934983">
      <w:bodyDiv w:val="1"/>
      <w:marLeft w:val="0"/>
      <w:marRight w:val="0"/>
      <w:marTop w:val="0"/>
      <w:marBottom w:val="0"/>
      <w:divBdr>
        <w:top w:val="none" w:sz="0" w:space="0" w:color="auto"/>
        <w:left w:val="none" w:sz="0" w:space="0" w:color="auto"/>
        <w:bottom w:val="none" w:sz="0" w:space="0" w:color="auto"/>
        <w:right w:val="none" w:sz="0" w:space="0" w:color="auto"/>
      </w:divBdr>
    </w:div>
    <w:div w:id="1545672394">
      <w:bodyDiv w:val="1"/>
      <w:marLeft w:val="0"/>
      <w:marRight w:val="0"/>
      <w:marTop w:val="0"/>
      <w:marBottom w:val="0"/>
      <w:divBdr>
        <w:top w:val="none" w:sz="0" w:space="0" w:color="auto"/>
        <w:left w:val="none" w:sz="0" w:space="0" w:color="auto"/>
        <w:bottom w:val="none" w:sz="0" w:space="0" w:color="auto"/>
        <w:right w:val="none" w:sz="0" w:space="0" w:color="auto"/>
      </w:divBdr>
    </w:div>
    <w:div w:id="1590308240">
      <w:bodyDiv w:val="1"/>
      <w:marLeft w:val="0"/>
      <w:marRight w:val="0"/>
      <w:marTop w:val="0"/>
      <w:marBottom w:val="0"/>
      <w:divBdr>
        <w:top w:val="none" w:sz="0" w:space="0" w:color="auto"/>
        <w:left w:val="none" w:sz="0" w:space="0" w:color="auto"/>
        <w:bottom w:val="none" w:sz="0" w:space="0" w:color="auto"/>
        <w:right w:val="none" w:sz="0" w:space="0" w:color="auto"/>
      </w:divBdr>
    </w:div>
    <w:div w:id="1659966040">
      <w:bodyDiv w:val="1"/>
      <w:marLeft w:val="0"/>
      <w:marRight w:val="0"/>
      <w:marTop w:val="0"/>
      <w:marBottom w:val="0"/>
      <w:divBdr>
        <w:top w:val="none" w:sz="0" w:space="0" w:color="auto"/>
        <w:left w:val="none" w:sz="0" w:space="0" w:color="auto"/>
        <w:bottom w:val="none" w:sz="0" w:space="0" w:color="auto"/>
        <w:right w:val="none" w:sz="0" w:space="0" w:color="auto"/>
      </w:divBdr>
    </w:div>
    <w:div w:id="1668703261">
      <w:bodyDiv w:val="1"/>
      <w:marLeft w:val="0"/>
      <w:marRight w:val="0"/>
      <w:marTop w:val="0"/>
      <w:marBottom w:val="0"/>
      <w:divBdr>
        <w:top w:val="none" w:sz="0" w:space="0" w:color="auto"/>
        <w:left w:val="none" w:sz="0" w:space="0" w:color="auto"/>
        <w:bottom w:val="none" w:sz="0" w:space="0" w:color="auto"/>
        <w:right w:val="none" w:sz="0" w:space="0" w:color="auto"/>
      </w:divBdr>
    </w:div>
    <w:div w:id="1669137212">
      <w:bodyDiv w:val="1"/>
      <w:marLeft w:val="0"/>
      <w:marRight w:val="0"/>
      <w:marTop w:val="0"/>
      <w:marBottom w:val="0"/>
      <w:divBdr>
        <w:top w:val="none" w:sz="0" w:space="0" w:color="auto"/>
        <w:left w:val="none" w:sz="0" w:space="0" w:color="auto"/>
        <w:bottom w:val="none" w:sz="0" w:space="0" w:color="auto"/>
        <w:right w:val="none" w:sz="0" w:space="0" w:color="auto"/>
      </w:divBdr>
    </w:div>
    <w:div w:id="1702365717">
      <w:bodyDiv w:val="1"/>
      <w:marLeft w:val="0"/>
      <w:marRight w:val="0"/>
      <w:marTop w:val="0"/>
      <w:marBottom w:val="0"/>
      <w:divBdr>
        <w:top w:val="none" w:sz="0" w:space="0" w:color="auto"/>
        <w:left w:val="none" w:sz="0" w:space="0" w:color="auto"/>
        <w:bottom w:val="none" w:sz="0" w:space="0" w:color="auto"/>
        <w:right w:val="none" w:sz="0" w:space="0" w:color="auto"/>
      </w:divBdr>
    </w:div>
    <w:div w:id="1730566680">
      <w:bodyDiv w:val="1"/>
      <w:marLeft w:val="0"/>
      <w:marRight w:val="0"/>
      <w:marTop w:val="0"/>
      <w:marBottom w:val="0"/>
      <w:divBdr>
        <w:top w:val="none" w:sz="0" w:space="0" w:color="auto"/>
        <w:left w:val="none" w:sz="0" w:space="0" w:color="auto"/>
        <w:bottom w:val="none" w:sz="0" w:space="0" w:color="auto"/>
        <w:right w:val="none" w:sz="0" w:space="0" w:color="auto"/>
      </w:divBdr>
    </w:div>
    <w:div w:id="1739786281">
      <w:bodyDiv w:val="1"/>
      <w:marLeft w:val="0"/>
      <w:marRight w:val="0"/>
      <w:marTop w:val="0"/>
      <w:marBottom w:val="0"/>
      <w:divBdr>
        <w:top w:val="none" w:sz="0" w:space="0" w:color="auto"/>
        <w:left w:val="none" w:sz="0" w:space="0" w:color="auto"/>
        <w:bottom w:val="none" w:sz="0" w:space="0" w:color="auto"/>
        <w:right w:val="none" w:sz="0" w:space="0" w:color="auto"/>
      </w:divBdr>
    </w:div>
    <w:div w:id="1776175497">
      <w:bodyDiv w:val="1"/>
      <w:marLeft w:val="0"/>
      <w:marRight w:val="0"/>
      <w:marTop w:val="0"/>
      <w:marBottom w:val="0"/>
      <w:divBdr>
        <w:top w:val="none" w:sz="0" w:space="0" w:color="auto"/>
        <w:left w:val="none" w:sz="0" w:space="0" w:color="auto"/>
        <w:bottom w:val="none" w:sz="0" w:space="0" w:color="auto"/>
        <w:right w:val="none" w:sz="0" w:space="0" w:color="auto"/>
      </w:divBdr>
    </w:div>
    <w:div w:id="1791511163">
      <w:bodyDiv w:val="1"/>
      <w:marLeft w:val="0"/>
      <w:marRight w:val="0"/>
      <w:marTop w:val="0"/>
      <w:marBottom w:val="0"/>
      <w:divBdr>
        <w:top w:val="none" w:sz="0" w:space="0" w:color="auto"/>
        <w:left w:val="none" w:sz="0" w:space="0" w:color="auto"/>
        <w:bottom w:val="none" w:sz="0" w:space="0" w:color="auto"/>
        <w:right w:val="none" w:sz="0" w:space="0" w:color="auto"/>
      </w:divBdr>
    </w:div>
    <w:div w:id="1819685323">
      <w:bodyDiv w:val="1"/>
      <w:marLeft w:val="0"/>
      <w:marRight w:val="0"/>
      <w:marTop w:val="0"/>
      <w:marBottom w:val="0"/>
      <w:divBdr>
        <w:top w:val="none" w:sz="0" w:space="0" w:color="auto"/>
        <w:left w:val="none" w:sz="0" w:space="0" w:color="auto"/>
        <w:bottom w:val="none" w:sz="0" w:space="0" w:color="auto"/>
        <w:right w:val="none" w:sz="0" w:space="0" w:color="auto"/>
      </w:divBdr>
    </w:div>
    <w:div w:id="1843160948">
      <w:bodyDiv w:val="1"/>
      <w:marLeft w:val="0"/>
      <w:marRight w:val="0"/>
      <w:marTop w:val="0"/>
      <w:marBottom w:val="0"/>
      <w:divBdr>
        <w:top w:val="none" w:sz="0" w:space="0" w:color="auto"/>
        <w:left w:val="none" w:sz="0" w:space="0" w:color="auto"/>
        <w:bottom w:val="none" w:sz="0" w:space="0" w:color="auto"/>
        <w:right w:val="none" w:sz="0" w:space="0" w:color="auto"/>
      </w:divBdr>
    </w:div>
    <w:div w:id="1868446768">
      <w:bodyDiv w:val="1"/>
      <w:marLeft w:val="0"/>
      <w:marRight w:val="0"/>
      <w:marTop w:val="0"/>
      <w:marBottom w:val="0"/>
      <w:divBdr>
        <w:top w:val="none" w:sz="0" w:space="0" w:color="auto"/>
        <w:left w:val="none" w:sz="0" w:space="0" w:color="auto"/>
        <w:bottom w:val="none" w:sz="0" w:space="0" w:color="auto"/>
        <w:right w:val="none" w:sz="0" w:space="0" w:color="auto"/>
      </w:divBdr>
    </w:div>
    <w:div w:id="1923367784">
      <w:bodyDiv w:val="1"/>
      <w:marLeft w:val="0"/>
      <w:marRight w:val="0"/>
      <w:marTop w:val="0"/>
      <w:marBottom w:val="0"/>
      <w:divBdr>
        <w:top w:val="none" w:sz="0" w:space="0" w:color="auto"/>
        <w:left w:val="none" w:sz="0" w:space="0" w:color="auto"/>
        <w:bottom w:val="none" w:sz="0" w:space="0" w:color="auto"/>
        <w:right w:val="none" w:sz="0" w:space="0" w:color="auto"/>
      </w:divBdr>
    </w:div>
    <w:div w:id="1936400888">
      <w:bodyDiv w:val="1"/>
      <w:marLeft w:val="0"/>
      <w:marRight w:val="0"/>
      <w:marTop w:val="0"/>
      <w:marBottom w:val="0"/>
      <w:divBdr>
        <w:top w:val="none" w:sz="0" w:space="0" w:color="auto"/>
        <w:left w:val="none" w:sz="0" w:space="0" w:color="auto"/>
        <w:bottom w:val="none" w:sz="0" w:space="0" w:color="auto"/>
        <w:right w:val="none" w:sz="0" w:space="0" w:color="auto"/>
      </w:divBdr>
    </w:div>
    <w:div w:id="2016762119">
      <w:bodyDiv w:val="1"/>
      <w:marLeft w:val="0"/>
      <w:marRight w:val="0"/>
      <w:marTop w:val="0"/>
      <w:marBottom w:val="0"/>
      <w:divBdr>
        <w:top w:val="none" w:sz="0" w:space="0" w:color="auto"/>
        <w:left w:val="none" w:sz="0" w:space="0" w:color="auto"/>
        <w:bottom w:val="none" w:sz="0" w:space="0" w:color="auto"/>
        <w:right w:val="none" w:sz="0" w:space="0" w:color="auto"/>
      </w:divBdr>
    </w:div>
    <w:div w:id="2059284167">
      <w:bodyDiv w:val="1"/>
      <w:marLeft w:val="0"/>
      <w:marRight w:val="0"/>
      <w:marTop w:val="0"/>
      <w:marBottom w:val="0"/>
      <w:divBdr>
        <w:top w:val="none" w:sz="0" w:space="0" w:color="auto"/>
        <w:left w:val="none" w:sz="0" w:space="0" w:color="auto"/>
        <w:bottom w:val="none" w:sz="0" w:space="0" w:color="auto"/>
        <w:right w:val="none" w:sz="0" w:space="0" w:color="auto"/>
      </w:divBdr>
    </w:div>
    <w:div w:id="20864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archiviodpc.dirittopenaleuomo.org/d/5639-la-riforma-del-codice-antimafia-e-non-solo-uno-sguardo-dinsieme-alle-modifiche-appena-introdotte" TargetMode="External"/><Relationship Id="rId2" Type="http://schemas.openxmlformats.org/officeDocument/2006/relationships/hyperlink" Target="http://www.giustizia-amministrativa" TargetMode="External"/><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6780</Words>
  <Characters>38647</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alessandra sandulli</dc:creator>
  <cp:keywords/>
  <dc:description/>
  <cp:lastModifiedBy>FERRARI Giulia</cp:lastModifiedBy>
  <cp:revision>2</cp:revision>
  <cp:lastPrinted>2022-05-03T15:25:00Z</cp:lastPrinted>
  <dcterms:created xsi:type="dcterms:W3CDTF">2022-05-24T05:46:00Z</dcterms:created>
  <dcterms:modified xsi:type="dcterms:W3CDTF">2022-05-24T05:46:00Z</dcterms:modified>
</cp:coreProperties>
</file>