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0CDE3" w14:textId="77777777" w:rsidR="00694CD5" w:rsidRPr="00791799" w:rsidRDefault="00694CD5" w:rsidP="00694CD5">
      <w:pPr>
        <w:spacing w:after="0" w:line="240" w:lineRule="auto"/>
        <w:ind w:firstLine="454"/>
        <w:jc w:val="center"/>
        <w:rPr>
          <w:b/>
          <w:bCs/>
          <w:color w:val="000000" w:themeColor="text1"/>
          <w:sz w:val="40"/>
          <w:szCs w:val="40"/>
        </w:rPr>
      </w:pPr>
      <w:r w:rsidRPr="00791799">
        <w:rPr>
          <w:b/>
          <w:bCs/>
          <w:color w:val="000000" w:themeColor="text1"/>
          <w:sz w:val="40"/>
          <w:szCs w:val="40"/>
        </w:rPr>
        <w:t>Rapporti tra diritto interno e diritto sovranazionale:</w:t>
      </w:r>
    </w:p>
    <w:p w14:paraId="066EC118" w14:textId="63C8BE8C" w:rsidR="00B54561" w:rsidRPr="00AF336A" w:rsidRDefault="00694CD5" w:rsidP="00694CD5">
      <w:pPr>
        <w:spacing w:after="0" w:line="240" w:lineRule="auto"/>
        <w:ind w:firstLine="454"/>
        <w:jc w:val="center"/>
        <w:rPr>
          <w:b/>
          <w:smallCaps/>
          <w:color w:val="000000" w:themeColor="text1"/>
          <w:sz w:val="32"/>
          <w:szCs w:val="32"/>
        </w:rPr>
      </w:pPr>
      <w:proofErr w:type="gramStart"/>
      <w:r>
        <w:rPr>
          <w:b/>
          <w:bCs/>
          <w:color w:val="000000" w:themeColor="text1"/>
          <w:sz w:val="40"/>
          <w:szCs w:val="40"/>
        </w:rPr>
        <w:t>è</w:t>
      </w:r>
      <w:proofErr w:type="gramEnd"/>
      <w:r w:rsidRPr="00791799">
        <w:rPr>
          <w:b/>
          <w:bCs/>
          <w:color w:val="000000" w:themeColor="text1"/>
          <w:sz w:val="40"/>
          <w:szCs w:val="40"/>
        </w:rPr>
        <w:t xml:space="preserve"> ancora attuale la teoria dei </w:t>
      </w:r>
      <w:proofErr w:type="spellStart"/>
      <w:r w:rsidRPr="00791799">
        <w:rPr>
          <w:b/>
          <w:bCs/>
          <w:color w:val="000000" w:themeColor="text1"/>
          <w:sz w:val="40"/>
          <w:szCs w:val="40"/>
        </w:rPr>
        <w:t>controlimiti</w:t>
      </w:r>
      <w:proofErr w:type="spellEnd"/>
      <w:r>
        <w:rPr>
          <w:b/>
          <w:bCs/>
          <w:color w:val="000000" w:themeColor="text1"/>
          <w:sz w:val="40"/>
          <w:szCs w:val="40"/>
        </w:rPr>
        <w:t>?</w:t>
      </w:r>
      <w:r w:rsidR="003164C5">
        <w:rPr>
          <w:b/>
          <w:smallCaps/>
          <w:color w:val="000000" w:themeColor="text1"/>
          <w:sz w:val="32"/>
          <w:szCs w:val="32"/>
        </w:rPr>
        <w:t xml:space="preserve"> </w:t>
      </w:r>
      <w:r w:rsidR="00144DEC" w:rsidRPr="00AF336A">
        <w:rPr>
          <w:b/>
          <w:smallCaps/>
          <w:color w:val="000000" w:themeColor="text1"/>
          <w:sz w:val="32"/>
          <w:szCs w:val="32"/>
        </w:rPr>
        <w:t>(</w:t>
      </w:r>
      <w:r w:rsidR="003164C5">
        <w:rPr>
          <w:b/>
          <w:smallCaps/>
          <w:color w:val="000000" w:themeColor="text1"/>
          <w:sz w:val="32"/>
          <w:szCs w:val="32"/>
        </w:rPr>
        <w:t>*</w:t>
      </w:r>
      <w:r w:rsidR="00144DEC" w:rsidRPr="00AF336A">
        <w:rPr>
          <w:b/>
          <w:smallCaps/>
          <w:color w:val="000000" w:themeColor="text1"/>
          <w:sz w:val="32"/>
          <w:szCs w:val="32"/>
        </w:rPr>
        <w:t>)</w:t>
      </w:r>
    </w:p>
    <w:p w14:paraId="57D4BAB0" w14:textId="170ADFB6" w:rsidR="00B54561" w:rsidRPr="00E34D68" w:rsidRDefault="00B54561" w:rsidP="00144DEC">
      <w:pPr>
        <w:spacing w:after="0" w:line="240" w:lineRule="auto"/>
        <w:ind w:firstLine="454"/>
        <w:jc w:val="both"/>
        <w:rPr>
          <w:b/>
          <w:color w:val="000000" w:themeColor="text1"/>
          <w:sz w:val="24"/>
          <w:szCs w:val="24"/>
        </w:rPr>
      </w:pPr>
    </w:p>
    <w:p w14:paraId="585B122B" w14:textId="2B960319" w:rsidR="00AF336A" w:rsidRPr="00AF336A" w:rsidRDefault="00AF336A" w:rsidP="00AF336A">
      <w:pPr>
        <w:pStyle w:val="NormaleWeb"/>
        <w:spacing w:after="0" w:line="240" w:lineRule="auto"/>
        <w:ind w:firstLine="454"/>
        <w:jc w:val="both"/>
        <w:rPr>
          <w:color w:val="000000" w:themeColor="text1"/>
          <w:sz w:val="25"/>
          <w:szCs w:val="25"/>
        </w:rPr>
      </w:pPr>
      <w:r w:rsidRPr="00AF336A">
        <w:rPr>
          <w:smallCaps/>
          <w:color w:val="000000" w:themeColor="text1"/>
          <w:sz w:val="25"/>
          <w:szCs w:val="25"/>
        </w:rPr>
        <w:t>Sommario:</w:t>
      </w:r>
      <w:r w:rsidRPr="00AF336A">
        <w:rPr>
          <w:color w:val="000000" w:themeColor="text1"/>
          <w:sz w:val="25"/>
          <w:szCs w:val="25"/>
        </w:rPr>
        <w:t xml:space="preserve"> 1. L’attualità dei controlimiti: da teoria a pratica. - 2. I controlimiti rispetto alle consuetudini internazionali. - 3. I controlimiti rispetto alla CEDU: il problema del diverso bilanciamento tra diritti fondamentali. - 3.1. Le vie d’uscita per non attivare i controlimiti rispetto alla CEDU: non tutte le sentenze della Corte di Strasburgo creano un vincolo interpretativo per il giudice nazionale. - </w:t>
      </w:r>
      <w:r w:rsidRPr="00AF336A">
        <w:rPr>
          <w:rFonts w:eastAsia="Times New Roman"/>
          <w:color w:val="000000" w:themeColor="text1"/>
          <w:sz w:val="25"/>
          <w:szCs w:val="25"/>
          <w:lang w:eastAsia="it-IT"/>
        </w:rPr>
        <w:t xml:space="preserve">3.2. Il c.d. margine di apprezzamento nel passaggio dal caso concreto al sistema. - </w:t>
      </w:r>
      <w:r w:rsidRPr="00AF336A">
        <w:rPr>
          <w:color w:val="000000" w:themeColor="text1"/>
          <w:sz w:val="25"/>
          <w:szCs w:val="25"/>
        </w:rPr>
        <w:t xml:space="preserve">3.2.1. Il caso delle c.d. pensioni svizzere. - </w:t>
      </w:r>
      <w:r w:rsidRPr="00AF336A">
        <w:rPr>
          <w:rFonts w:eastAsia="Times New Roman"/>
          <w:color w:val="000000" w:themeColor="text1"/>
          <w:sz w:val="25"/>
          <w:szCs w:val="25"/>
          <w:lang w:eastAsia="it-IT"/>
        </w:rPr>
        <w:t xml:space="preserve">4. La diversità incidenza dei controlimiti rispetto al diritto dell’U.E. - 5. I rischi di un uso eccessivamente nazionalista dei controlimiti: dal caso delle c.d. pensioni slovacche al sindacato sulla politica monetaria della BCE. - </w:t>
      </w:r>
      <w:r w:rsidRPr="00AF336A">
        <w:rPr>
          <w:color w:val="000000" w:themeColor="text1"/>
          <w:sz w:val="25"/>
          <w:szCs w:val="25"/>
        </w:rPr>
        <w:t xml:space="preserve">6. L’uso dialogico e collaborativo dei controlimiti e il dialogo fra le Corti. - 7. Il nuovo approccio della Corte costituzionale italiana nel dialogo con la Corte di giustizia: dal “non rinvio” alla “doppia pregiudizialità”. </w:t>
      </w:r>
      <w:r w:rsidR="003164C5">
        <w:rPr>
          <w:color w:val="000000" w:themeColor="text1"/>
          <w:sz w:val="25"/>
          <w:szCs w:val="25"/>
        </w:rPr>
        <w:t>-</w:t>
      </w:r>
      <w:r w:rsidRPr="00AF336A">
        <w:rPr>
          <w:color w:val="000000" w:themeColor="text1"/>
          <w:sz w:val="25"/>
          <w:szCs w:val="25"/>
        </w:rPr>
        <w:t xml:space="preserve"> 8. Conclusioni </w:t>
      </w:r>
    </w:p>
    <w:p w14:paraId="799EC421" w14:textId="38D4EF46" w:rsidR="00AF336A" w:rsidRPr="005D2474" w:rsidRDefault="00AF336A" w:rsidP="00AF336A">
      <w:pPr>
        <w:spacing w:after="0" w:line="240" w:lineRule="auto"/>
        <w:ind w:firstLine="454"/>
        <w:jc w:val="both"/>
        <w:rPr>
          <w:rFonts w:eastAsia="Times New Roman"/>
          <w:b/>
          <w:bCs/>
          <w:color w:val="000000" w:themeColor="text1"/>
          <w:sz w:val="25"/>
          <w:szCs w:val="25"/>
          <w:lang w:eastAsia="it-IT"/>
        </w:rPr>
      </w:pPr>
    </w:p>
    <w:p w14:paraId="53579F7E" w14:textId="77777777" w:rsidR="00AF336A" w:rsidRPr="00AF336A" w:rsidRDefault="00AF336A" w:rsidP="00144DEC">
      <w:pPr>
        <w:spacing w:after="0" w:line="240" w:lineRule="auto"/>
        <w:ind w:firstLine="454"/>
        <w:jc w:val="both"/>
        <w:rPr>
          <w:b/>
          <w:bCs/>
          <w:color w:val="000000" w:themeColor="text1"/>
          <w:sz w:val="25"/>
          <w:szCs w:val="25"/>
        </w:rPr>
      </w:pPr>
    </w:p>
    <w:p w14:paraId="597AC8DA" w14:textId="1174476D" w:rsidR="00C63323" w:rsidRPr="00AF336A" w:rsidRDefault="00C63323" w:rsidP="00144DEC">
      <w:pPr>
        <w:spacing w:after="0" w:line="240" w:lineRule="auto"/>
        <w:ind w:firstLine="454"/>
        <w:jc w:val="both"/>
        <w:rPr>
          <w:b/>
          <w:bCs/>
          <w:color w:val="000000" w:themeColor="text1"/>
          <w:sz w:val="25"/>
          <w:szCs w:val="25"/>
        </w:rPr>
      </w:pPr>
      <w:r w:rsidRPr="00AF336A">
        <w:rPr>
          <w:b/>
          <w:bCs/>
          <w:color w:val="000000" w:themeColor="text1"/>
          <w:sz w:val="25"/>
          <w:szCs w:val="25"/>
        </w:rPr>
        <w:t>1. L</w:t>
      </w:r>
      <w:r w:rsidR="00144DEC" w:rsidRPr="00AF336A">
        <w:rPr>
          <w:b/>
          <w:bCs/>
          <w:color w:val="000000" w:themeColor="text1"/>
          <w:sz w:val="25"/>
          <w:szCs w:val="25"/>
        </w:rPr>
        <w:t>’</w:t>
      </w:r>
      <w:r w:rsidRPr="00AF336A">
        <w:rPr>
          <w:b/>
          <w:bCs/>
          <w:color w:val="000000" w:themeColor="text1"/>
          <w:sz w:val="25"/>
          <w:szCs w:val="25"/>
        </w:rPr>
        <w:t>attualità dei controlimiti: da teoria a pratica</w:t>
      </w:r>
      <w:r w:rsidR="006F3343">
        <w:rPr>
          <w:b/>
          <w:bCs/>
          <w:color w:val="000000" w:themeColor="text1"/>
          <w:sz w:val="25"/>
          <w:szCs w:val="25"/>
        </w:rPr>
        <w:t>.</w:t>
      </w:r>
      <w:r w:rsidRPr="00AF336A">
        <w:rPr>
          <w:b/>
          <w:bCs/>
          <w:color w:val="000000" w:themeColor="text1"/>
          <w:sz w:val="25"/>
          <w:szCs w:val="25"/>
        </w:rPr>
        <w:t xml:space="preserve"> </w:t>
      </w:r>
    </w:p>
    <w:p w14:paraId="1D4C5262" w14:textId="3501AD73" w:rsidR="009E2BD4" w:rsidRPr="00AF336A" w:rsidRDefault="00AE0707" w:rsidP="00144DEC">
      <w:pPr>
        <w:spacing w:after="0" w:line="240" w:lineRule="auto"/>
        <w:ind w:firstLine="454"/>
        <w:jc w:val="both"/>
        <w:rPr>
          <w:color w:val="000000" w:themeColor="text1"/>
          <w:sz w:val="25"/>
          <w:szCs w:val="25"/>
        </w:rPr>
      </w:pPr>
      <w:r w:rsidRPr="00AF336A">
        <w:rPr>
          <w:color w:val="000000" w:themeColor="text1"/>
          <w:sz w:val="25"/>
          <w:szCs w:val="25"/>
        </w:rPr>
        <w:t>A</w:t>
      </w:r>
      <w:r w:rsidR="00E82878">
        <w:rPr>
          <w:color w:val="000000" w:themeColor="text1"/>
          <w:sz w:val="25"/>
          <w:szCs w:val="25"/>
        </w:rPr>
        <w:t>lla domanda se la teoria dei controlimiti sia ancora attuale</w:t>
      </w:r>
      <w:r w:rsidR="004E2BDE" w:rsidRPr="00AF336A">
        <w:rPr>
          <w:color w:val="000000" w:themeColor="text1"/>
          <w:sz w:val="25"/>
          <w:szCs w:val="25"/>
        </w:rPr>
        <w:t xml:space="preserve"> </w:t>
      </w:r>
      <w:r w:rsidRPr="00AF336A">
        <w:rPr>
          <w:color w:val="000000" w:themeColor="text1"/>
          <w:sz w:val="25"/>
          <w:szCs w:val="25"/>
        </w:rPr>
        <w:t>non si che può che rispondere in senso affermativo</w:t>
      </w:r>
      <w:r w:rsidR="009E2BD4" w:rsidRPr="00AF336A">
        <w:rPr>
          <w:color w:val="000000" w:themeColor="text1"/>
          <w:sz w:val="25"/>
          <w:szCs w:val="25"/>
        </w:rPr>
        <w:t>,</w:t>
      </w:r>
      <w:r w:rsidR="004E2BDE" w:rsidRPr="00AF336A">
        <w:rPr>
          <w:color w:val="000000" w:themeColor="text1"/>
          <w:sz w:val="25"/>
          <w:szCs w:val="25"/>
        </w:rPr>
        <w:t xml:space="preserve"> anche perché quella che </w:t>
      </w:r>
      <w:r w:rsidRPr="00AF336A">
        <w:rPr>
          <w:color w:val="000000" w:themeColor="text1"/>
          <w:sz w:val="25"/>
          <w:szCs w:val="25"/>
        </w:rPr>
        <w:t>un tempo era (appunto) solo una “</w:t>
      </w:r>
      <w:r w:rsidR="004E2BDE" w:rsidRPr="00AF336A">
        <w:rPr>
          <w:i/>
          <w:iCs/>
          <w:color w:val="000000" w:themeColor="text1"/>
          <w:sz w:val="25"/>
          <w:szCs w:val="25"/>
        </w:rPr>
        <w:t>teoria</w:t>
      </w:r>
      <w:r w:rsidRPr="00AF336A">
        <w:rPr>
          <w:color w:val="000000" w:themeColor="text1"/>
          <w:sz w:val="25"/>
          <w:szCs w:val="25"/>
        </w:rPr>
        <w:t>”, che – per quanto</w:t>
      </w:r>
      <w:r w:rsidR="004E2BDE" w:rsidRPr="00AF336A">
        <w:rPr>
          <w:color w:val="000000" w:themeColor="text1"/>
          <w:sz w:val="25"/>
          <w:szCs w:val="25"/>
        </w:rPr>
        <w:t xml:space="preserve"> elaborata dalle varie </w:t>
      </w:r>
      <w:r w:rsidR="009E2BD4" w:rsidRPr="00AF336A">
        <w:rPr>
          <w:color w:val="000000" w:themeColor="text1"/>
          <w:sz w:val="25"/>
          <w:szCs w:val="25"/>
        </w:rPr>
        <w:t>C</w:t>
      </w:r>
      <w:r w:rsidR="004E2BDE" w:rsidRPr="00AF336A">
        <w:rPr>
          <w:color w:val="000000" w:themeColor="text1"/>
          <w:sz w:val="25"/>
          <w:szCs w:val="25"/>
        </w:rPr>
        <w:t>orti costituzionali</w:t>
      </w:r>
      <w:r w:rsidRPr="00AF336A">
        <w:rPr>
          <w:color w:val="000000" w:themeColor="text1"/>
          <w:sz w:val="25"/>
          <w:szCs w:val="25"/>
        </w:rPr>
        <w:t xml:space="preserve"> e alimentata dal dibattito dottrinale – non era ma</w:t>
      </w:r>
      <w:r w:rsidR="00C81D79" w:rsidRPr="00AF336A">
        <w:rPr>
          <w:color w:val="000000" w:themeColor="text1"/>
          <w:sz w:val="25"/>
          <w:szCs w:val="25"/>
        </w:rPr>
        <w:t>i</w:t>
      </w:r>
      <w:r w:rsidRPr="00AF336A">
        <w:rPr>
          <w:color w:val="000000" w:themeColor="text1"/>
          <w:sz w:val="25"/>
          <w:szCs w:val="25"/>
        </w:rPr>
        <w:t xml:space="preserve"> stata </w:t>
      </w:r>
      <w:r w:rsidR="00C81D79" w:rsidRPr="00AF336A">
        <w:rPr>
          <w:color w:val="000000" w:themeColor="text1"/>
          <w:sz w:val="25"/>
          <w:szCs w:val="25"/>
        </w:rPr>
        <w:t>concretamente</w:t>
      </w:r>
      <w:r w:rsidRPr="00AF336A">
        <w:rPr>
          <w:color w:val="000000" w:themeColor="text1"/>
          <w:sz w:val="25"/>
          <w:szCs w:val="25"/>
        </w:rPr>
        <w:t xml:space="preserve"> applicata, </w:t>
      </w:r>
      <w:r w:rsidR="004E2BDE" w:rsidRPr="00AF336A">
        <w:rPr>
          <w:color w:val="000000" w:themeColor="text1"/>
          <w:sz w:val="25"/>
          <w:szCs w:val="25"/>
        </w:rPr>
        <w:t>nel corso dell</w:t>
      </w:r>
      <w:r w:rsidR="00144DEC" w:rsidRPr="00AF336A">
        <w:rPr>
          <w:color w:val="000000" w:themeColor="text1"/>
          <w:sz w:val="25"/>
          <w:szCs w:val="25"/>
        </w:rPr>
        <w:t>’</w:t>
      </w:r>
      <w:r w:rsidR="004E2BDE" w:rsidRPr="00AF336A">
        <w:rPr>
          <w:color w:val="000000" w:themeColor="text1"/>
          <w:sz w:val="25"/>
          <w:szCs w:val="25"/>
        </w:rPr>
        <w:t>ultimo decennio</w:t>
      </w:r>
      <w:r w:rsidRPr="00AF336A">
        <w:rPr>
          <w:color w:val="000000" w:themeColor="text1"/>
          <w:sz w:val="25"/>
          <w:szCs w:val="25"/>
        </w:rPr>
        <w:t xml:space="preserve"> si è trasformata in una “</w:t>
      </w:r>
      <w:r w:rsidRPr="00AF336A">
        <w:rPr>
          <w:i/>
          <w:iCs/>
          <w:color w:val="000000" w:themeColor="text1"/>
          <w:sz w:val="25"/>
          <w:szCs w:val="25"/>
        </w:rPr>
        <w:t>pratica</w:t>
      </w:r>
      <w:r w:rsidRPr="00AF336A">
        <w:rPr>
          <w:color w:val="000000" w:themeColor="text1"/>
          <w:sz w:val="25"/>
          <w:szCs w:val="25"/>
        </w:rPr>
        <w:t xml:space="preserve">” dei controlimiti, che ha </w:t>
      </w:r>
      <w:r w:rsidR="004E2BDE" w:rsidRPr="00AF336A">
        <w:rPr>
          <w:color w:val="000000" w:themeColor="text1"/>
          <w:sz w:val="25"/>
          <w:szCs w:val="25"/>
        </w:rPr>
        <w:t>avuto applicazioni significative</w:t>
      </w:r>
      <w:r w:rsidR="009E2BD4" w:rsidRPr="00AF336A">
        <w:rPr>
          <w:color w:val="000000" w:themeColor="text1"/>
          <w:sz w:val="25"/>
          <w:szCs w:val="25"/>
        </w:rPr>
        <w:t>,</w:t>
      </w:r>
      <w:r w:rsidR="004E2BDE" w:rsidRPr="00AF336A">
        <w:rPr>
          <w:color w:val="000000" w:themeColor="text1"/>
          <w:sz w:val="25"/>
          <w:szCs w:val="25"/>
        </w:rPr>
        <w:t xml:space="preserve"> </w:t>
      </w:r>
      <w:r w:rsidRPr="00AF336A">
        <w:rPr>
          <w:color w:val="000000" w:themeColor="text1"/>
          <w:sz w:val="25"/>
          <w:szCs w:val="25"/>
        </w:rPr>
        <w:t>a volte anche “clamorose”,</w:t>
      </w:r>
      <w:r w:rsidR="004E2BDE" w:rsidRPr="00AF336A">
        <w:rPr>
          <w:color w:val="000000" w:themeColor="text1"/>
          <w:sz w:val="25"/>
          <w:szCs w:val="25"/>
        </w:rPr>
        <w:t xml:space="preserve"> soprattutto</w:t>
      </w:r>
      <w:r w:rsidR="003164C5">
        <w:rPr>
          <w:color w:val="000000" w:themeColor="text1"/>
          <w:sz w:val="25"/>
          <w:szCs w:val="25"/>
        </w:rPr>
        <w:t xml:space="preserve"> </w:t>
      </w:r>
      <w:r w:rsidR="004E2BDE" w:rsidRPr="00AF336A">
        <w:rPr>
          <w:color w:val="000000" w:themeColor="text1"/>
          <w:sz w:val="25"/>
          <w:szCs w:val="25"/>
        </w:rPr>
        <w:t>in Stati membri diversi dall</w:t>
      </w:r>
      <w:r w:rsidR="00144DEC" w:rsidRPr="00AF336A">
        <w:rPr>
          <w:color w:val="000000" w:themeColor="text1"/>
          <w:sz w:val="25"/>
          <w:szCs w:val="25"/>
        </w:rPr>
        <w:t>’</w:t>
      </w:r>
      <w:r w:rsidR="004E2BDE" w:rsidRPr="00AF336A">
        <w:rPr>
          <w:color w:val="000000" w:themeColor="text1"/>
          <w:sz w:val="25"/>
          <w:szCs w:val="25"/>
        </w:rPr>
        <w:t>Italia</w:t>
      </w:r>
      <w:r w:rsidR="009E2BD4" w:rsidRPr="00AF336A">
        <w:rPr>
          <w:color w:val="000000" w:themeColor="text1"/>
          <w:sz w:val="25"/>
          <w:szCs w:val="25"/>
        </w:rPr>
        <w:t>.</w:t>
      </w:r>
    </w:p>
    <w:p w14:paraId="14013566" w14:textId="25A09177" w:rsidR="009E2BD4" w:rsidRPr="00AF336A" w:rsidRDefault="009E2BD4" w:rsidP="00144DEC">
      <w:pPr>
        <w:spacing w:after="0" w:line="240" w:lineRule="auto"/>
        <w:ind w:firstLine="454"/>
        <w:jc w:val="both"/>
        <w:rPr>
          <w:color w:val="000000" w:themeColor="text1"/>
          <w:sz w:val="25"/>
          <w:szCs w:val="25"/>
        </w:rPr>
      </w:pPr>
      <w:r w:rsidRPr="00AF336A">
        <w:rPr>
          <w:color w:val="000000" w:themeColor="text1"/>
          <w:sz w:val="25"/>
          <w:szCs w:val="25"/>
        </w:rPr>
        <w:t xml:space="preserve">Oggi, </w:t>
      </w:r>
      <w:r w:rsidR="004E2BDE" w:rsidRPr="00AF336A">
        <w:rPr>
          <w:color w:val="000000" w:themeColor="text1"/>
          <w:sz w:val="25"/>
          <w:szCs w:val="25"/>
        </w:rPr>
        <w:t>proprio il ruolo dei controlimiti rappresenta un punto cruciale del processo di integrazione europea</w:t>
      </w:r>
      <w:r w:rsidRPr="00AF336A">
        <w:rPr>
          <w:color w:val="000000" w:themeColor="text1"/>
          <w:sz w:val="25"/>
          <w:szCs w:val="25"/>
        </w:rPr>
        <w:t xml:space="preserve">: </w:t>
      </w:r>
      <w:r w:rsidR="00B67CB1" w:rsidRPr="00AF336A">
        <w:rPr>
          <w:color w:val="000000" w:themeColor="text1"/>
          <w:sz w:val="25"/>
          <w:szCs w:val="25"/>
        </w:rPr>
        <w:t>è in gioco,</w:t>
      </w:r>
      <w:r w:rsidR="004E2BDE" w:rsidRPr="00AF336A">
        <w:rPr>
          <w:color w:val="000000" w:themeColor="text1"/>
          <w:sz w:val="25"/>
          <w:szCs w:val="25"/>
        </w:rPr>
        <w:t xml:space="preserve"> da un lato</w:t>
      </w:r>
      <w:r w:rsidRPr="00AF336A">
        <w:rPr>
          <w:color w:val="000000" w:themeColor="text1"/>
          <w:sz w:val="25"/>
          <w:szCs w:val="25"/>
        </w:rPr>
        <w:t>,</w:t>
      </w:r>
      <w:r w:rsidR="004E2BDE" w:rsidRPr="00AF336A">
        <w:rPr>
          <w:color w:val="000000" w:themeColor="text1"/>
          <w:sz w:val="25"/>
          <w:szCs w:val="25"/>
        </w:rPr>
        <w:t xml:space="preserve"> l</w:t>
      </w:r>
      <w:r w:rsidR="00144DEC" w:rsidRPr="00AF336A">
        <w:rPr>
          <w:color w:val="000000" w:themeColor="text1"/>
          <w:sz w:val="25"/>
          <w:szCs w:val="25"/>
        </w:rPr>
        <w:t>’</w:t>
      </w:r>
      <w:r w:rsidR="004E2BDE" w:rsidRPr="00AF336A">
        <w:rPr>
          <w:color w:val="000000" w:themeColor="text1"/>
          <w:sz w:val="25"/>
          <w:szCs w:val="25"/>
        </w:rPr>
        <w:t>uniformità del diritto dell</w:t>
      </w:r>
      <w:r w:rsidR="00144DEC" w:rsidRPr="00AF336A">
        <w:rPr>
          <w:color w:val="000000" w:themeColor="text1"/>
          <w:sz w:val="25"/>
          <w:szCs w:val="25"/>
        </w:rPr>
        <w:t>’</w:t>
      </w:r>
      <w:r w:rsidRPr="00AF336A">
        <w:rPr>
          <w:color w:val="000000" w:themeColor="text1"/>
          <w:sz w:val="25"/>
          <w:szCs w:val="25"/>
        </w:rPr>
        <w:t>U</w:t>
      </w:r>
      <w:r w:rsidR="004E2BDE" w:rsidRPr="00AF336A">
        <w:rPr>
          <w:color w:val="000000" w:themeColor="text1"/>
          <w:sz w:val="25"/>
          <w:szCs w:val="25"/>
        </w:rPr>
        <w:t xml:space="preserve">nione </w:t>
      </w:r>
      <w:r w:rsidRPr="00AF336A">
        <w:rPr>
          <w:color w:val="000000" w:themeColor="text1"/>
          <w:sz w:val="25"/>
          <w:szCs w:val="25"/>
        </w:rPr>
        <w:t>E</w:t>
      </w:r>
      <w:r w:rsidR="004E2BDE" w:rsidRPr="00AF336A">
        <w:rPr>
          <w:color w:val="000000" w:themeColor="text1"/>
          <w:sz w:val="25"/>
          <w:szCs w:val="25"/>
        </w:rPr>
        <w:t>uropea e</w:t>
      </w:r>
      <w:r w:rsidRPr="00AF336A">
        <w:rPr>
          <w:color w:val="000000" w:themeColor="text1"/>
          <w:sz w:val="25"/>
          <w:szCs w:val="25"/>
        </w:rPr>
        <w:t>,</w:t>
      </w:r>
      <w:r w:rsidR="004E2BDE" w:rsidRPr="00AF336A">
        <w:rPr>
          <w:color w:val="000000" w:themeColor="text1"/>
          <w:sz w:val="25"/>
          <w:szCs w:val="25"/>
        </w:rPr>
        <w:t xml:space="preserve"> dall</w:t>
      </w:r>
      <w:r w:rsidR="00144DEC" w:rsidRPr="00AF336A">
        <w:rPr>
          <w:color w:val="000000" w:themeColor="text1"/>
          <w:sz w:val="25"/>
          <w:szCs w:val="25"/>
        </w:rPr>
        <w:t>’</w:t>
      </w:r>
      <w:r w:rsidR="004E2BDE" w:rsidRPr="00AF336A">
        <w:rPr>
          <w:color w:val="000000" w:themeColor="text1"/>
          <w:sz w:val="25"/>
          <w:szCs w:val="25"/>
        </w:rPr>
        <w:t>altro</w:t>
      </w:r>
      <w:r w:rsidR="00B67CB1" w:rsidRPr="00AF336A">
        <w:rPr>
          <w:color w:val="000000" w:themeColor="text1"/>
          <w:sz w:val="25"/>
          <w:szCs w:val="25"/>
        </w:rPr>
        <w:t>,</w:t>
      </w:r>
      <w:r w:rsidR="004E2BDE" w:rsidRPr="00AF336A">
        <w:rPr>
          <w:color w:val="000000" w:themeColor="text1"/>
          <w:sz w:val="25"/>
          <w:szCs w:val="25"/>
        </w:rPr>
        <w:t xml:space="preserve"> se </w:t>
      </w:r>
      <w:r w:rsidR="00B67CB1" w:rsidRPr="00AF336A">
        <w:rPr>
          <w:color w:val="000000" w:themeColor="text1"/>
          <w:sz w:val="25"/>
          <w:szCs w:val="25"/>
        </w:rPr>
        <w:t xml:space="preserve">i controlimiti sono </w:t>
      </w:r>
      <w:r w:rsidR="004E2BDE" w:rsidRPr="00AF336A">
        <w:rPr>
          <w:color w:val="000000" w:themeColor="text1"/>
          <w:sz w:val="25"/>
          <w:szCs w:val="25"/>
        </w:rPr>
        <w:t xml:space="preserve">ignorati </w:t>
      </w:r>
      <w:r w:rsidRPr="00AF336A">
        <w:rPr>
          <w:color w:val="000000" w:themeColor="text1"/>
          <w:sz w:val="25"/>
          <w:szCs w:val="25"/>
        </w:rPr>
        <w:t xml:space="preserve">o </w:t>
      </w:r>
      <w:r w:rsidR="004E2BDE" w:rsidRPr="00AF336A">
        <w:rPr>
          <w:color w:val="000000" w:themeColor="text1"/>
          <w:sz w:val="25"/>
          <w:szCs w:val="25"/>
        </w:rPr>
        <w:t>utilizzati in maniera troppo blanda</w:t>
      </w:r>
      <w:r w:rsidRPr="00AF336A">
        <w:rPr>
          <w:color w:val="000000" w:themeColor="text1"/>
          <w:sz w:val="25"/>
          <w:szCs w:val="25"/>
        </w:rPr>
        <w:t>,</w:t>
      </w:r>
      <w:r w:rsidR="004E2BDE" w:rsidRPr="00AF336A">
        <w:rPr>
          <w:color w:val="000000" w:themeColor="text1"/>
          <w:sz w:val="25"/>
          <w:szCs w:val="25"/>
        </w:rPr>
        <w:t xml:space="preserve"> </w:t>
      </w:r>
      <w:r w:rsidR="00B67CB1" w:rsidRPr="00AF336A">
        <w:rPr>
          <w:color w:val="000000" w:themeColor="text1"/>
          <w:sz w:val="25"/>
          <w:szCs w:val="25"/>
        </w:rPr>
        <w:t xml:space="preserve">la </w:t>
      </w:r>
      <w:r w:rsidR="004E2BDE" w:rsidRPr="00AF336A">
        <w:rPr>
          <w:color w:val="000000" w:themeColor="text1"/>
          <w:sz w:val="25"/>
          <w:szCs w:val="25"/>
        </w:rPr>
        <w:t>perdit</w:t>
      </w:r>
      <w:r w:rsidR="00B67CB1" w:rsidRPr="00AF336A">
        <w:rPr>
          <w:color w:val="000000" w:themeColor="text1"/>
          <w:sz w:val="25"/>
          <w:szCs w:val="25"/>
        </w:rPr>
        <w:t>a</w:t>
      </w:r>
      <w:r w:rsidR="004E2BDE" w:rsidRPr="00AF336A">
        <w:rPr>
          <w:color w:val="000000" w:themeColor="text1"/>
          <w:sz w:val="25"/>
          <w:szCs w:val="25"/>
        </w:rPr>
        <w:t xml:space="preserve"> di </w:t>
      </w:r>
      <w:r w:rsidRPr="00AF336A">
        <w:rPr>
          <w:color w:val="000000" w:themeColor="text1"/>
          <w:sz w:val="25"/>
          <w:szCs w:val="25"/>
        </w:rPr>
        <w:t>aspetti</w:t>
      </w:r>
      <w:r w:rsidR="004E2BDE" w:rsidRPr="00AF336A">
        <w:rPr>
          <w:color w:val="000000" w:themeColor="text1"/>
          <w:sz w:val="25"/>
          <w:szCs w:val="25"/>
        </w:rPr>
        <w:t xml:space="preserve"> essenziali </w:t>
      </w:r>
      <w:r w:rsidR="00666917" w:rsidRPr="00AF336A">
        <w:rPr>
          <w:color w:val="000000" w:themeColor="text1"/>
          <w:sz w:val="25"/>
          <w:szCs w:val="25"/>
        </w:rPr>
        <w:t>dell</w:t>
      </w:r>
      <w:r w:rsidR="00144DEC" w:rsidRPr="00AF336A">
        <w:rPr>
          <w:color w:val="000000" w:themeColor="text1"/>
          <w:sz w:val="25"/>
          <w:szCs w:val="25"/>
        </w:rPr>
        <w:t>’</w:t>
      </w:r>
      <w:r w:rsidR="004E2BDE" w:rsidRPr="00AF336A">
        <w:rPr>
          <w:color w:val="000000" w:themeColor="text1"/>
          <w:sz w:val="25"/>
          <w:szCs w:val="25"/>
        </w:rPr>
        <w:t>identità costituzionale</w:t>
      </w:r>
      <w:r w:rsidR="00B67CB1" w:rsidRPr="00AF336A">
        <w:rPr>
          <w:color w:val="000000" w:themeColor="text1"/>
          <w:sz w:val="25"/>
          <w:szCs w:val="25"/>
        </w:rPr>
        <w:t xml:space="preserve"> nazionale. </w:t>
      </w:r>
    </w:p>
    <w:p w14:paraId="5AAA89FC" w14:textId="499BE884" w:rsidR="009E2BD4" w:rsidRPr="00AF336A" w:rsidRDefault="00C81D79" w:rsidP="006F3343">
      <w:pPr>
        <w:spacing w:after="0" w:line="240" w:lineRule="auto"/>
        <w:ind w:firstLine="454"/>
        <w:jc w:val="both"/>
        <w:rPr>
          <w:color w:val="000000" w:themeColor="text1"/>
          <w:sz w:val="25"/>
          <w:szCs w:val="25"/>
        </w:rPr>
      </w:pPr>
      <w:r w:rsidRPr="00AF336A">
        <w:rPr>
          <w:color w:val="000000" w:themeColor="text1"/>
          <w:sz w:val="25"/>
          <w:szCs w:val="25"/>
        </w:rPr>
        <w:t>Il</w:t>
      </w:r>
      <w:r w:rsidR="004E2BDE" w:rsidRPr="00AF336A">
        <w:rPr>
          <w:color w:val="000000" w:themeColor="text1"/>
          <w:sz w:val="25"/>
          <w:szCs w:val="25"/>
        </w:rPr>
        <w:t xml:space="preserve"> tema dei controlimiti si può porre sotto diversi profili</w:t>
      </w:r>
      <w:r w:rsidR="009E2BD4" w:rsidRPr="00AF336A">
        <w:rPr>
          <w:color w:val="000000" w:themeColor="text1"/>
          <w:sz w:val="25"/>
          <w:szCs w:val="25"/>
        </w:rPr>
        <w:t xml:space="preserve">. La </w:t>
      </w:r>
      <w:r w:rsidR="004E2BDE" w:rsidRPr="00AF336A">
        <w:rPr>
          <w:color w:val="000000" w:themeColor="text1"/>
          <w:sz w:val="25"/>
          <w:szCs w:val="25"/>
        </w:rPr>
        <w:t>nostra giurisprudenza nazionale ha affrontato</w:t>
      </w:r>
      <w:r w:rsidR="009E2BD4" w:rsidRPr="00AF336A">
        <w:rPr>
          <w:color w:val="000000" w:themeColor="text1"/>
          <w:sz w:val="25"/>
          <w:szCs w:val="25"/>
        </w:rPr>
        <w:t>,</w:t>
      </w:r>
      <w:r w:rsidR="004E2BDE" w:rsidRPr="00AF336A">
        <w:rPr>
          <w:color w:val="000000" w:themeColor="text1"/>
          <w:sz w:val="25"/>
          <w:szCs w:val="25"/>
        </w:rPr>
        <w:t xml:space="preserve"> anche nel corso degli ultimi anni</w:t>
      </w:r>
      <w:r w:rsidR="009E2BD4" w:rsidRPr="00AF336A">
        <w:rPr>
          <w:color w:val="000000" w:themeColor="text1"/>
          <w:sz w:val="25"/>
          <w:szCs w:val="25"/>
        </w:rPr>
        <w:t>,</w:t>
      </w:r>
      <w:r w:rsidR="004E2BDE" w:rsidRPr="00AF336A">
        <w:rPr>
          <w:color w:val="000000" w:themeColor="text1"/>
          <w:sz w:val="25"/>
          <w:szCs w:val="25"/>
        </w:rPr>
        <w:t xml:space="preserve"> i controlimiti rispetto a tre principali fonti esterne</w:t>
      </w:r>
      <w:r w:rsidR="009E2BD4" w:rsidRPr="00AF336A">
        <w:rPr>
          <w:color w:val="000000" w:themeColor="text1"/>
          <w:sz w:val="25"/>
          <w:szCs w:val="25"/>
        </w:rPr>
        <w:t>:</w:t>
      </w:r>
      <w:r w:rsidR="003164C5">
        <w:rPr>
          <w:color w:val="000000" w:themeColor="text1"/>
          <w:sz w:val="25"/>
          <w:szCs w:val="25"/>
        </w:rPr>
        <w:t xml:space="preserve"> 1)</w:t>
      </w:r>
      <w:r w:rsidR="004E2BDE" w:rsidRPr="00AF336A">
        <w:rPr>
          <w:color w:val="000000" w:themeColor="text1"/>
          <w:sz w:val="25"/>
          <w:szCs w:val="25"/>
        </w:rPr>
        <w:t xml:space="preserve"> </w:t>
      </w:r>
      <w:r w:rsidRPr="00AF336A">
        <w:rPr>
          <w:color w:val="000000" w:themeColor="text1"/>
          <w:sz w:val="25"/>
          <w:szCs w:val="25"/>
        </w:rPr>
        <w:t>i</w:t>
      </w:r>
      <w:r w:rsidR="00B67CB1" w:rsidRPr="00AF336A">
        <w:rPr>
          <w:color w:val="000000" w:themeColor="text1"/>
          <w:sz w:val="25"/>
          <w:szCs w:val="25"/>
        </w:rPr>
        <w:t xml:space="preserve">l </w:t>
      </w:r>
      <w:r w:rsidR="004E2BDE" w:rsidRPr="00AF336A">
        <w:rPr>
          <w:color w:val="000000" w:themeColor="text1"/>
          <w:sz w:val="25"/>
          <w:szCs w:val="25"/>
        </w:rPr>
        <w:t>diritto dell</w:t>
      </w:r>
      <w:r w:rsidR="00144DEC" w:rsidRPr="00AF336A">
        <w:rPr>
          <w:color w:val="000000" w:themeColor="text1"/>
          <w:sz w:val="25"/>
          <w:szCs w:val="25"/>
        </w:rPr>
        <w:t>’</w:t>
      </w:r>
      <w:r w:rsidR="009E2BD4" w:rsidRPr="00AF336A">
        <w:rPr>
          <w:color w:val="000000" w:themeColor="text1"/>
          <w:sz w:val="25"/>
          <w:szCs w:val="25"/>
        </w:rPr>
        <w:t>U</w:t>
      </w:r>
      <w:r w:rsidR="004E2BDE" w:rsidRPr="00AF336A">
        <w:rPr>
          <w:color w:val="000000" w:themeColor="text1"/>
          <w:sz w:val="25"/>
          <w:szCs w:val="25"/>
        </w:rPr>
        <w:t xml:space="preserve">nione </w:t>
      </w:r>
      <w:r w:rsidR="009E2BD4" w:rsidRPr="00AF336A">
        <w:rPr>
          <w:color w:val="000000" w:themeColor="text1"/>
          <w:sz w:val="25"/>
          <w:szCs w:val="25"/>
        </w:rPr>
        <w:t>E</w:t>
      </w:r>
      <w:r w:rsidR="004E2BDE" w:rsidRPr="00AF336A">
        <w:rPr>
          <w:color w:val="000000" w:themeColor="text1"/>
          <w:sz w:val="25"/>
          <w:szCs w:val="25"/>
        </w:rPr>
        <w:t>uropea</w:t>
      </w:r>
      <w:r w:rsidR="003164C5">
        <w:rPr>
          <w:color w:val="000000" w:themeColor="text1"/>
          <w:sz w:val="25"/>
          <w:szCs w:val="25"/>
        </w:rPr>
        <w:t xml:space="preserve">; 2) </w:t>
      </w:r>
      <w:r w:rsidR="004E2BDE" w:rsidRPr="00AF336A">
        <w:rPr>
          <w:color w:val="000000" w:themeColor="text1"/>
          <w:sz w:val="25"/>
          <w:szCs w:val="25"/>
        </w:rPr>
        <w:t xml:space="preserve">i </w:t>
      </w:r>
      <w:r w:rsidR="009E2BD4" w:rsidRPr="00AF336A">
        <w:rPr>
          <w:color w:val="000000" w:themeColor="text1"/>
          <w:sz w:val="25"/>
          <w:szCs w:val="25"/>
        </w:rPr>
        <w:t>T</w:t>
      </w:r>
      <w:r w:rsidR="004E2BDE" w:rsidRPr="00AF336A">
        <w:rPr>
          <w:color w:val="000000" w:themeColor="text1"/>
          <w:sz w:val="25"/>
          <w:szCs w:val="25"/>
        </w:rPr>
        <w:t>rattati internazionali</w:t>
      </w:r>
      <w:r w:rsidR="009E2BD4" w:rsidRPr="00AF336A">
        <w:rPr>
          <w:color w:val="000000" w:themeColor="text1"/>
          <w:sz w:val="25"/>
          <w:szCs w:val="25"/>
        </w:rPr>
        <w:t>,</w:t>
      </w:r>
      <w:r w:rsidR="003164C5">
        <w:rPr>
          <w:color w:val="000000" w:themeColor="text1"/>
          <w:sz w:val="25"/>
          <w:szCs w:val="25"/>
        </w:rPr>
        <w:t xml:space="preserve"> </w:t>
      </w:r>
      <w:r w:rsidR="004E2BDE" w:rsidRPr="00AF336A">
        <w:rPr>
          <w:color w:val="000000" w:themeColor="text1"/>
          <w:sz w:val="25"/>
          <w:szCs w:val="25"/>
        </w:rPr>
        <w:t xml:space="preserve">ma segnatamente la </w:t>
      </w:r>
      <w:r w:rsidR="00882A4A" w:rsidRPr="00AF336A">
        <w:rPr>
          <w:color w:val="000000" w:themeColor="text1"/>
          <w:sz w:val="25"/>
          <w:szCs w:val="25"/>
        </w:rPr>
        <w:t>CEDU</w:t>
      </w:r>
      <w:r w:rsidR="003164C5">
        <w:rPr>
          <w:color w:val="000000" w:themeColor="text1"/>
          <w:sz w:val="25"/>
          <w:szCs w:val="25"/>
        </w:rPr>
        <w:t>; 3) l</w:t>
      </w:r>
      <w:r w:rsidR="004E2BDE" w:rsidRPr="00AF336A">
        <w:rPr>
          <w:color w:val="000000" w:themeColor="text1"/>
          <w:sz w:val="25"/>
          <w:szCs w:val="25"/>
        </w:rPr>
        <w:t>e consuetudini internazionali</w:t>
      </w:r>
      <w:r w:rsidR="009E2BD4" w:rsidRPr="00AF336A">
        <w:rPr>
          <w:color w:val="000000" w:themeColor="text1"/>
          <w:sz w:val="25"/>
          <w:szCs w:val="25"/>
        </w:rPr>
        <w:t>.</w:t>
      </w:r>
    </w:p>
    <w:p w14:paraId="33A23043" w14:textId="77777777" w:rsidR="00C81D79" w:rsidRPr="00AF336A" w:rsidRDefault="00C81D79" w:rsidP="00144DEC">
      <w:pPr>
        <w:spacing w:after="0" w:line="240" w:lineRule="auto"/>
        <w:ind w:firstLine="454"/>
        <w:jc w:val="both"/>
        <w:rPr>
          <w:b/>
          <w:bCs/>
          <w:color w:val="000000" w:themeColor="text1"/>
          <w:sz w:val="25"/>
          <w:szCs w:val="25"/>
        </w:rPr>
      </w:pPr>
    </w:p>
    <w:p w14:paraId="6CBCE025" w14:textId="34E4D93F" w:rsidR="00C81D79" w:rsidRPr="00AF336A" w:rsidRDefault="00C63323" w:rsidP="00144DEC">
      <w:pPr>
        <w:spacing w:after="0" w:line="240" w:lineRule="auto"/>
        <w:ind w:firstLine="454"/>
        <w:jc w:val="both"/>
        <w:rPr>
          <w:b/>
          <w:bCs/>
          <w:color w:val="000000" w:themeColor="text1"/>
          <w:sz w:val="25"/>
          <w:szCs w:val="25"/>
        </w:rPr>
      </w:pPr>
      <w:r w:rsidRPr="00AF336A">
        <w:rPr>
          <w:b/>
          <w:bCs/>
          <w:color w:val="000000" w:themeColor="text1"/>
          <w:sz w:val="25"/>
          <w:szCs w:val="25"/>
        </w:rPr>
        <w:t xml:space="preserve">2. </w:t>
      </w:r>
      <w:r w:rsidR="00C81D79" w:rsidRPr="00AF336A">
        <w:rPr>
          <w:b/>
          <w:bCs/>
          <w:color w:val="000000" w:themeColor="text1"/>
          <w:sz w:val="25"/>
          <w:szCs w:val="25"/>
        </w:rPr>
        <w:t>I controlimiti rispetto alle consuetudini internazionali</w:t>
      </w:r>
      <w:r w:rsidR="006F3343">
        <w:rPr>
          <w:b/>
          <w:bCs/>
          <w:color w:val="000000" w:themeColor="text1"/>
          <w:sz w:val="25"/>
          <w:szCs w:val="25"/>
        </w:rPr>
        <w:t>.</w:t>
      </w:r>
    </w:p>
    <w:p w14:paraId="03AA5413" w14:textId="0F5148FE" w:rsidR="00DB38A4" w:rsidRPr="00AF336A" w:rsidRDefault="00B67CB1" w:rsidP="00144DEC">
      <w:pPr>
        <w:spacing w:after="0" w:line="240" w:lineRule="auto"/>
        <w:ind w:firstLine="454"/>
        <w:jc w:val="both"/>
        <w:rPr>
          <w:color w:val="000000" w:themeColor="text1"/>
          <w:sz w:val="25"/>
          <w:szCs w:val="25"/>
        </w:rPr>
      </w:pPr>
      <w:r w:rsidRPr="00AF336A">
        <w:rPr>
          <w:color w:val="000000" w:themeColor="text1"/>
          <w:sz w:val="25"/>
          <w:szCs w:val="25"/>
        </w:rPr>
        <w:t xml:space="preserve">Le </w:t>
      </w:r>
      <w:r w:rsidR="009E2BD4" w:rsidRPr="00AF336A">
        <w:rPr>
          <w:color w:val="000000" w:themeColor="text1"/>
          <w:sz w:val="25"/>
          <w:szCs w:val="25"/>
        </w:rPr>
        <w:t xml:space="preserve">consuetudini </w:t>
      </w:r>
      <w:r w:rsidR="004E2BDE" w:rsidRPr="00AF336A">
        <w:rPr>
          <w:color w:val="000000" w:themeColor="text1"/>
          <w:sz w:val="25"/>
          <w:szCs w:val="25"/>
        </w:rPr>
        <w:t xml:space="preserve">internazionali </w:t>
      </w:r>
      <w:r w:rsidRPr="00AF336A">
        <w:rPr>
          <w:color w:val="000000" w:themeColor="text1"/>
          <w:sz w:val="25"/>
          <w:szCs w:val="25"/>
        </w:rPr>
        <w:t xml:space="preserve">hanno </w:t>
      </w:r>
      <w:r w:rsidR="004E2BDE" w:rsidRPr="00AF336A">
        <w:rPr>
          <w:color w:val="000000" w:themeColor="text1"/>
          <w:sz w:val="25"/>
          <w:szCs w:val="25"/>
        </w:rPr>
        <w:t>rappresenta</w:t>
      </w:r>
      <w:r w:rsidRPr="00AF336A">
        <w:rPr>
          <w:color w:val="000000" w:themeColor="text1"/>
          <w:sz w:val="25"/>
          <w:szCs w:val="25"/>
        </w:rPr>
        <w:t xml:space="preserve">to il terreno sul quale </w:t>
      </w:r>
      <w:r w:rsidR="004E2BDE" w:rsidRPr="00AF336A">
        <w:rPr>
          <w:color w:val="000000" w:themeColor="text1"/>
          <w:sz w:val="25"/>
          <w:szCs w:val="25"/>
        </w:rPr>
        <w:t>la teoria dei controlimiti è stata applicat</w:t>
      </w:r>
      <w:r w:rsidR="0006398C" w:rsidRPr="00AF336A">
        <w:rPr>
          <w:color w:val="000000" w:themeColor="text1"/>
          <w:sz w:val="25"/>
          <w:szCs w:val="25"/>
        </w:rPr>
        <w:t>a</w:t>
      </w:r>
      <w:r w:rsidR="004E2BDE" w:rsidRPr="00AF336A">
        <w:rPr>
          <w:color w:val="000000" w:themeColor="text1"/>
          <w:sz w:val="25"/>
          <w:szCs w:val="25"/>
        </w:rPr>
        <w:t xml:space="preserve"> in maniera anche </w:t>
      </w:r>
      <w:r w:rsidR="004C5903" w:rsidRPr="00AF336A">
        <w:rPr>
          <w:color w:val="000000" w:themeColor="text1"/>
          <w:sz w:val="25"/>
          <w:szCs w:val="25"/>
        </w:rPr>
        <w:t xml:space="preserve">più </w:t>
      </w:r>
      <w:r w:rsidR="0006398C" w:rsidRPr="00AF336A">
        <w:rPr>
          <w:color w:val="000000" w:themeColor="text1"/>
          <w:sz w:val="25"/>
          <w:szCs w:val="25"/>
        </w:rPr>
        <w:t>“</w:t>
      </w:r>
      <w:r w:rsidR="002D3765" w:rsidRPr="00AF336A">
        <w:rPr>
          <w:color w:val="000000" w:themeColor="text1"/>
          <w:sz w:val="25"/>
          <w:szCs w:val="25"/>
        </w:rPr>
        <w:t>forte</w:t>
      </w:r>
      <w:r w:rsidR="0006398C" w:rsidRPr="00AF336A">
        <w:rPr>
          <w:color w:val="000000" w:themeColor="text1"/>
          <w:sz w:val="25"/>
          <w:szCs w:val="25"/>
        </w:rPr>
        <w:t xml:space="preserve">” </w:t>
      </w:r>
      <w:r w:rsidR="004E2BDE" w:rsidRPr="00AF336A">
        <w:rPr>
          <w:color w:val="000000" w:themeColor="text1"/>
          <w:sz w:val="25"/>
          <w:szCs w:val="25"/>
        </w:rPr>
        <w:t>dalla</w:t>
      </w:r>
      <w:r w:rsidRPr="00AF336A">
        <w:rPr>
          <w:color w:val="000000" w:themeColor="text1"/>
          <w:sz w:val="25"/>
          <w:szCs w:val="25"/>
        </w:rPr>
        <w:t xml:space="preserve"> nostra</w:t>
      </w:r>
      <w:r w:rsidR="004E2BDE" w:rsidRPr="00AF336A">
        <w:rPr>
          <w:color w:val="000000" w:themeColor="text1"/>
          <w:sz w:val="25"/>
          <w:szCs w:val="25"/>
        </w:rPr>
        <w:t xml:space="preserve"> Corte costituzionale</w:t>
      </w:r>
      <w:r w:rsidR="002D3765" w:rsidRPr="00AF336A">
        <w:rPr>
          <w:color w:val="000000" w:themeColor="text1"/>
          <w:sz w:val="25"/>
          <w:szCs w:val="25"/>
        </w:rPr>
        <w:t xml:space="preserve"> (con la sentenza n. 238 del 2014)</w:t>
      </w:r>
      <w:r w:rsidR="0006398C" w:rsidRPr="00AF336A">
        <w:rPr>
          <w:color w:val="000000" w:themeColor="text1"/>
          <w:sz w:val="25"/>
          <w:szCs w:val="25"/>
        </w:rPr>
        <w:t xml:space="preserve">. </w:t>
      </w:r>
      <w:r w:rsidRPr="00AF336A">
        <w:rPr>
          <w:color w:val="000000" w:themeColor="text1"/>
          <w:sz w:val="25"/>
          <w:szCs w:val="25"/>
        </w:rPr>
        <w:t>Si tratta di</w:t>
      </w:r>
      <w:r w:rsidR="003164C5">
        <w:rPr>
          <w:color w:val="000000" w:themeColor="text1"/>
          <w:sz w:val="25"/>
          <w:szCs w:val="25"/>
        </w:rPr>
        <w:t xml:space="preserve"> </w:t>
      </w:r>
      <w:r w:rsidR="004E2BDE" w:rsidRPr="00AF336A">
        <w:rPr>
          <w:color w:val="000000" w:themeColor="text1"/>
          <w:sz w:val="25"/>
          <w:szCs w:val="25"/>
        </w:rPr>
        <w:t>un</w:t>
      </w:r>
      <w:r w:rsidR="00144DEC" w:rsidRPr="00AF336A">
        <w:rPr>
          <w:color w:val="000000" w:themeColor="text1"/>
          <w:sz w:val="25"/>
          <w:szCs w:val="25"/>
        </w:rPr>
        <w:t>’</w:t>
      </w:r>
      <w:r w:rsidR="004E2BDE" w:rsidRPr="00AF336A">
        <w:rPr>
          <w:color w:val="000000" w:themeColor="text1"/>
          <w:sz w:val="25"/>
          <w:szCs w:val="25"/>
        </w:rPr>
        <w:t>applicazione probabilmente eccezional</w:t>
      </w:r>
      <w:r w:rsidR="0006398C" w:rsidRPr="00AF336A">
        <w:rPr>
          <w:color w:val="000000" w:themeColor="text1"/>
          <w:sz w:val="25"/>
          <w:szCs w:val="25"/>
        </w:rPr>
        <w:t>e,</w:t>
      </w:r>
      <w:r w:rsidR="004E2BDE" w:rsidRPr="00AF336A">
        <w:rPr>
          <w:color w:val="000000" w:themeColor="text1"/>
          <w:sz w:val="25"/>
          <w:szCs w:val="25"/>
        </w:rPr>
        <w:t xml:space="preserve"> data anche la particolarità della vicenda </w:t>
      </w:r>
      <w:r w:rsidRPr="00AF336A">
        <w:rPr>
          <w:color w:val="000000" w:themeColor="text1"/>
          <w:sz w:val="25"/>
          <w:szCs w:val="25"/>
        </w:rPr>
        <w:t>concreta</w:t>
      </w:r>
      <w:r w:rsidR="003164C5">
        <w:rPr>
          <w:color w:val="000000" w:themeColor="text1"/>
          <w:sz w:val="25"/>
          <w:szCs w:val="25"/>
        </w:rPr>
        <w:t xml:space="preserve"> </w:t>
      </w:r>
      <w:r w:rsidRPr="00AF336A">
        <w:rPr>
          <w:color w:val="000000" w:themeColor="text1"/>
          <w:sz w:val="25"/>
          <w:szCs w:val="25"/>
        </w:rPr>
        <w:t>(</w:t>
      </w:r>
      <w:r w:rsidR="0006398C" w:rsidRPr="00AF336A">
        <w:rPr>
          <w:color w:val="000000" w:themeColor="text1"/>
          <w:sz w:val="25"/>
          <w:szCs w:val="25"/>
        </w:rPr>
        <w:t xml:space="preserve">che </w:t>
      </w:r>
      <w:r w:rsidRPr="00AF336A">
        <w:rPr>
          <w:color w:val="000000" w:themeColor="text1"/>
          <w:sz w:val="25"/>
          <w:szCs w:val="25"/>
        </w:rPr>
        <w:t xml:space="preserve">tutti ci auguriamo non </w:t>
      </w:r>
      <w:r w:rsidR="004E2BDE" w:rsidRPr="00AF336A">
        <w:rPr>
          <w:color w:val="000000" w:themeColor="text1"/>
          <w:sz w:val="25"/>
          <w:szCs w:val="25"/>
        </w:rPr>
        <w:t>sia mai più destinata a ripetersi</w:t>
      </w:r>
      <w:r w:rsidRPr="00AF336A">
        <w:rPr>
          <w:color w:val="000000" w:themeColor="text1"/>
          <w:sz w:val="25"/>
          <w:szCs w:val="25"/>
        </w:rPr>
        <w:t xml:space="preserve">), </w:t>
      </w:r>
      <w:r w:rsidR="0006398C" w:rsidRPr="00AF336A">
        <w:rPr>
          <w:color w:val="000000" w:themeColor="text1"/>
          <w:sz w:val="25"/>
          <w:szCs w:val="25"/>
        </w:rPr>
        <w:t>che p</w:t>
      </w:r>
      <w:r w:rsidR="004E2BDE" w:rsidRPr="00AF336A">
        <w:rPr>
          <w:color w:val="000000" w:themeColor="text1"/>
          <w:sz w:val="25"/>
          <w:szCs w:val="25"/>
        </w:rPr>
        <w:t>erò certamente va ricordata</w:t>
      </w:r>
      <w:r w:rsidRPr="00AF336A">
        <w:rPr>
          <w:color w:val="000000" w:themeColor="text1"/>
          <w:sz w:val="25"/>
          <w:szCs w:val="25"/>
        </w:rPr>
        <w:t xml:space="preserve"> per la sua importanza teorica e l</w:t>
      </w:r>
      <w:r w:rsidR="00144DEC" w:rsidRPr="00AF336A">
        <w:rPr>
          <w:color w:val="000000" w:themeColor="text1"/>
          <w:sz w:val="25"/>
          <w:szCs w:val="25"/>
        </w:rPr>
        <w:t>’</w:t>
      </w:r>
      <w:r w:rsidRPr="00AF336A">
        <w:rPr>
          <w:color w:val="000000" w:themeColor="text1"/>
          <w:sz w:val="25"/>
          <w:szCs w:val="25"/>
        </w:rPr>
        <w:t xml:space="preserve">impatto che ha avuto sui rapporti internazionali. </w:t>
      </w:r>
    </w:p>
    <w:p w14:paraId="0A0FD903" w14:textId="672D9B2A" w:rsidR="00DB38A4" w:rsidRPr="00AF336A" w:rsidRDefault="00B67CB1" w:rsidP="00144DEC">
      <w:pPr>
        <w:spacing w:after="0" w:line="240" w:lineRule="auto"/>
        <w:ind w:firstLine="454"/>
        <w:jc w:val="both"/>
        <w:rPr>
          <w:color w:val="000000" w:themeColor="text1"/>
          <w:sz w:val="25"/>
          <w:szCs w:val="25"/>
        </w:rPr>
      </w:pPr>
      <w:r w:rsidRPr="00AF336A">
        <w:rPr>
          <w:color w:val="000000" w:themeColor="text1"/>
          <w:sz w:val="25"/>
          <w:szCs w:val="25"/>
        </w:rPr>
        <w:t>È stata la prima volta, peraltro, che la nostra Corte costituzionale ha fatto valere, appunto, i “controlimiti” che si oppongono all</w:t>
      </w:r>
      <w:r w:rsidR="00144DEC" w:rsidRPr="00AF336A">
        <w:rPr>
          <w:color w:val="000000" w:themeColor="text1"/>
          <w:sz w:val="25"/>
          <w:szCs w:val="25"/>
        </w:rPr>
        <w:t>’</w:t>
      </w:r>
      <w:r w:rsidRPr="00AF336A">
        <w:rPr>
          <w:color w:val="000000" w:themeColor="text1"/>
          <w:sz w:val="25"/>
          <w:szCs w:val="25"/>
        </w:rPr>
        <w:t>ingresso di norme di ordinamenti diversi</w:t>
      </w:r>
      <w:r w:rsidR="003164C5">
        <w:rPr>
          <w:color w:val="000000" w:themeColor="text1"/>
          <w:sz w:val="25"/>
          <w:szCs w:val="25"/>
        </w:rPr>
        <w:t>,</w:t>
      </w:r>
      <w:r w:rsidRPr="00AF336A">
        <w:rPr>
          <w:color w:val="000000" w:themeColor="text1"/>
          <w:sz w:val="25"/>
          <w:szCs w:val="25"/>
        </w:rPr>
        <w:t xml:space="preserve"> confliggenti con taluni intangibili princìpi costituzionali. </w:t>
      </w:r>
    </w:p>
    <w:p w14:paraId="5B7C6322" w14:textId="3C69FE8F" w:rsidR="00710D46" w:rsidRPr="00AF336A" w:rsidRDefault="002D3765" w:rsidP="00144DEC">
      <w:pPr>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In quell</w:t>
      </w:r>
      <w:r w:rsidR="00144DEC" w:rsidRPr="00AF336A">
        <w:rPr>
          <w:color w:val="000000" w:themeColor="text1"/>
          <w:sz w:val="25"/>
          <w:szCs w:val="25"/>
        </w:rPr>
        <w:t>’</w:t>
      </w:r>
      <w:r w:rsidRPr="00AF336A">
        <w:rPr>
          <w:color w:val="000000" w:themeColor="text1"/>
          <w:sz w:val="25"/>
          <w:szCs w:val="25"/>
        </w:rPr>
        <w:t>occasione, la Corte costituzion</w:t>
      </w:r>
      <w:r w:rsidR="00DB38A4" w:rsidRPr="00AF336A">
        <w:rPr>
          <w:color w:val="000000" w:themeColor="text1"/>
          <w:sz w:val="25"/>
          <w:szCs w:val="25"/>
        </w:rPr>
        <w:t>ale</w:t>
      </w:r>
      <w:r w:rsidRPr="00AF336A">
        <w:rPr>
          <w:color w:val="000000" w:themeColor="text1"/>
          <w:sz w:val="25"/>
          <w:szCs w:val="25"/>
        </w:rPr>
        <w:t xml:space="preserve"> </w:t>
      </w:r>
      <w:r w:rsidR="00DB38A4" w:rsidRPr="00AF336A">
        <w:rPr>
          <w:color w:val="000000" w:themeColor="text1"/>
          <w:sz w:val="25"/>
          <w:szCs w:val="25"/>
        </w:rPr>
        <w:t xml:space="preserve">– </w:t>
      </w:r>
      <w:r w:rsidRPr="00AF336A">
        <w:rPr>
          <w:color w:val="000000" w:themeColor="text1"/>
          <w:sz w:val="25"/>
          <w:szCs w:val="25"/>
        </w:rPr>
        <w:t xml:space="preserve">pur riconoscendo che </w:t>
      </w:r>
      <w:r w:rsidRPr="00AF336A">
        <w:rPr>
          <w:rFonts w:eastAsia="Times New Roman"/>
          <w:color w:val="000000" w:themeColor="text1"/>
          <w:sz w:val="25"/>
          <w:szCs w:val="25"/>
          <w:shd w:val="clear" w:color="auto" w:fill="FFFFFF"/>
          <w:lang w:eastAsia="it-IT"/>
        </w:rPr>
        <w:t>sul piano del diritto internazionale, 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interpretazione da parte della C</w:t>
      </w:r>
      <w:r w:rsidR="00DB38A4" w:rsidRPr="00AF336A">
        <w:rPr>
          <w:rFonts w:eastAsia="Times New Roman"/>
          <w:color w:val="000000" w:themeColor="text1"/>
          <w:sz w:val="25"/>
          <w:szCs w:val="25"/>
          <w:shd w:val="clear" w:color="auto" w:fill="FFFFFF"/>
          <w:lang w:eastAsia="it-IT"/>
        </w:rPr>
        <w:t>orte internazionale di giustizia</w:t>
      </w:r>
      <w:r w:rsidRPr="00AF336A">
        <w:rPr>
          <w:rFonts w:eastAsia="Times New Roman"/>
          <w:color w:val="000000" w:themeColor="text1"/>
          <w:sz w:val="25"/>
          <w:szCs w:val="25"/>
          <w:shd w:val="clear" w:color="auto" w:fill="FFFFFF"/>
          <w:lang w:eastAsia="it-IT"/>
        </w:rPr>
        <w:t xml:space="preserve"> </w:t>
      </w:r>
      <w:r w:rsidR="00767817" w:rsidRPr="00AF336A">
        <w:rPr>
          <w:rFonts w:eastAsia="Times New Roman"/>
          <w:color w:val="000000" w:themeColor="text1"/>
          <w:sz w:val="25"/>
          <w:szCs w:val="25"/>
          <w:shd w:val="clear" w:color="auto" w:fill="FFFFFF"/>
          <w:lang w:eastAsia="it-IT"/>
        </w:rPr>
        <w:t>(fornita con la sentenza 3 settembre 2012)</w:t>
      </w:r>
      <w:r w:rsidR="00DB38A4" w:rsidRPr="00AF336A">
        <w:rPr>
          <w:rFonts w:eastAsia="Times New Roman"/>
          <w:color w:val="000000" w:themeColor="text1"/>
          <w:sz w:val="25"/>
          <w:szCs w:val="25"/>
          <w:shd w:val="clear" w:color="auto" w:fill="FFFFFF"/>
          <w:lang w:eastAsia="it-IT"/>
        </w:rPr>
        <w:t xml:space="preserve"> </w:t>
      </w:r>
      <w:r w:rsidRPr="00AF336A">
        <w:rPr>
          <w:rFonts w:eastAsia="Times New Roman"/>
          <w:color w:val="000000" w:themeColor="text1"/>
          <w:sz w:val="25"/>
          <w:szCs w:val="25"/>
          <w:shd w:val="clear" w:color="auto" w:fill="FFFFFF"/>
          <w:lang w:eastAsia="it-IT"/>
        </w:rPr>
        <w:t>della norma consuetudinaria sull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 xml:space="preserve">immunità degli Stati dalla giurisdizione civile degli altri Stati per atti ritenuti </w:t>
      </w:r>
      <w:r w:rsidRPr="00AF336A">
        <w:rPr>
          <w:rFonts w:eastAsia="Times New Roman"/>
          <w:i/>
          <w:iCs/>
          <w:color w:val="000000" w:themeColor="text1"/>
          <w:sz w:val="25"/>
          <w:szCs w:val="25"/>
          <w:shd w:val="clear" w:color="auto" w:fill="FFFFFF"/>
          <w:lang w:eastAsia="it-IT"/>
        </w:rPr>
        <w:t>iure imperii</w:t>
      </w:r>
      <w:r w:rsidRPr="00AF336A">
        <w:rPr>
          <w:rFonts w:eastAsia="Times New Roman"/>
          <w:color w:val="000000" w:themeColor="text1"/>
          <w:sz w:val="25"/>
          <w:szCs w:val="25"/>
          <w:shd w:val="clear" w:color="auto" w:fill="FFFFFF"/>
          <w:lang w:eastAsia="it-IT"/>
        </w:rPr>
        <w:t xml:space="preserve"> </w:t>
      </w:r>
      <w:r w:rsidR="005922D9" w:rsidRPr="00AF336A">
        <w:rPr>
          <w:rFonts w:eastAsia="Times New Roman"/>
          <w:color w:val="000000" w:themeColor="text1"/>
          <w:sz w:val="25"/>
          <w:szCs w:val="25"/>
          <w:shd w:val="clear" w:color="auto" w:fill="FFFFFF"/>
          <w:lang w:eastAsia="it-IT"/>
        </w:rPr>
        <w:t xml:space="preserve">(ritenuta tale da coprire anche i crimini di guerra della </w:t>
      </w:r>
      <w:r w:rsidR="00767817" w:rsidRPr="00AF336A">
        <w:rPr>
          <w:rFonts w:eastAsia="Times New Roman"/>
          <w:color w:val="000000" w:themeColor="text1"/>
          <w:sz w:val="25"/>
          <w:szCs w:val="25"/>
          <w:shd w:val="clear" w:color="auto" w:fill="FFFFFF"/>
          <w:lang w:eastAsia="it-IT"/>
        </w:rPr>
        <w:t xml:space="preserve">Repubblica federale di Germania nel periodo </w:t>
      </w:r>
      <w:r w:rsidR="005922D9" w:rsidRPr="00AF336A">
        <w:rPr>
          <w:rFonts w:eastAsia="Times New Roman"/>
          <w:color w:val="000000" w:themeColor="text1"/>
          <w:sz w:val="25"/>
          <w:szCs w:val="25"/>
          <w:shd w:val="clear" w:color="auto" w:fill="FFFFFF"/>
          <w:lang w:eastAsia="it-IT"/>
        </w:rPr>
        <w:t xml:space="preserve">nazista) </w:t>
      </w:r>
      <w:r w:rsidRPr="00AF336A">
        <w:rPr>
          <w:rFonts w:eastAsia="Times New Roman"/>
          <w:color w:val="000000" w:themeColor="text1"/>
          <w:sz w:val="25"/>
          <w:szCs w:val="25"/>
          <w:shd w:val="clear" w:color="auto" w:fill="FFFFFF"/>
          <w:lang w:eastAsia="it-IT"/>
        </w:rPr>
        <w:t>è un</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 xml:space="preserve">interpretazione </w:t>
      </w:r>
      <w:r w:rsidRPr="00AF336A">
        <w:rPr>
          <w:rFonts w:eastAsia="Times New Roman"/>
          <w:color w:val="000000" w:themeColor="text1"/>
          <w:sz w:val="25"/>
          <w:szCs w:val="25"/>
          <w:shd w:val="clear" w:color="auto" w:fill="FFFFFF"/>
          <w:lang w:eastAsia="it-IT"/>
        </w:rPr>
        <w:lastRenderedPageBreak/>
        <w:t>particolarmente qualificata, che non consente un sindacato di costituzionalità</w:t>
      </w:r>
      <w:r w:rsidR="00DB38A4" w:rsidRPr="00AF336A">
        <w:rPr>
          <w:rFonts w:eastAsia="Times New Roman"/>
          <w:color w:val="000000" w:themeColor="text1"/>
          <w:sz w:val="25"/>
          <w:szCs w:val="25"/>
          <w:shd w:val="clear" w:color="auto" w:fill="FFFFFF"/>
          <w:lang w:eastAsia="it-IT"/>
        </w:rPr>
        <w:t xml:space="preserve"> – </w:t>
      </w:r>
      <w:r w:rsidR="005922D9" w:rsidRPr="00AF336A">
        <w:rPr>
          <w:rFonts w:eastAsia="Times New Roman"/>
          <w:color w:val="000000" w:themeColor="text1"/>
          <w:sz w:val="25"/>
          <w:szCs w:val="25"/>
          <w:shd w:val="clear" w:color="auto" w:fill="FFFFFF"/>
          <w:lang w:eastAsia="it-IT"/>
        </w:rPr>
        <w:t>afferma, tuttavia, che quella norma, in quanto in contrasto con principi irrinunciabili dell</w:t>
      </w:r>
      <w:r w:rsidR="00144DEC" w:rsidRPr="00AF336A">
        <w:rPr>
          <w:rFonts w:eastAsia="Times New Roman"/>
          <w:color w:val="000000" w:themeColor="text1"/>
          <w:sz w:val="25"/>
          <w:szCs w:val="25"/>
          <w:shd w:val="clear" w:color="auto" w:fill="FFFFFF"/>
          <w:lang w:eastAsia="it-IT"/>
        </w:rPr>
        <w:t>’</w:t>
      </w:r>
      <w:r w:rsidR="005922D9" w:rsidRPr="00AF336A">
        <w:rPr>
          <w:rFonts w:eastAsia="Times New Roman"/>
          <w:color w:val="000000" w:themeColor="text1"/>
          <w:sz w:val="25"/>
          <w:szCs w:val="25"/>
          <w:shd w:val="clear" w:color="auto" w:fill="FFFFFF"/>
          <w:lang w:eastAsia="it-IT"/>
        </w:rPr>
        <w:t>assetto costituzionale dello Stato che sovraintendono alla tutela dei diritti fondamentali, non può avere ingresso nell</w:t>
      </w:r>
      <w:r w:rsidR="00144DEC" w:rsidRPr="00AF336A">
        <w:rPr>
          <w:rFonts w:eastAsia="Times New Roman"/>
          <w:color w:val="000000" w:themeColor="text1"/>
          <w:sz w:val="25"/>
          <w:szCs w:val="25"/>
          <w:shd w:val="clear" w:color="auto" w:fill="FFFFFF"/>
          <w:lang w:eastAsia="it-IT"/>
        </w:rPr>
        <w:t>’</w:t>
      </w:r>
      <w:r w:rsidR="005922D9" w:rsidRPr="00AF336A">
        <w:rPr>
          <w:rFonts w:eastAsia="Times New Roman"/>
          <w:color w:val="000000" w:themeColor="text1"/>
          <w:sz w:val="25"/>
          <w:szCs w:val="25"/>
          <w:shd w:val="clear" w:color="auto" w:fill="FFFFFF"/>
          <w:lang w:eastAsia="it-IT"/>
        </w:rPr>
        <w:t>ordinamento nazionale</w:t>
      </w:r>
      <w:r w:rsidR="00767817" w:rsidRPr="00AF336A">
        <w:rPr>
          <w:rFonts w:eastAsia="Times New Roman"/>
          <w:color w:val="000000" w:themeColor="text1"/>
          <w:sz w:val="25"/>
          <w:szCs w:val="25"/>
          <w:shd w:val="clear" w:color="auto" w:fill="FFFFFF"/>
          <w:lang w:eastAsia="it-IT"/>
        </w:rPr>
        <w:t>. Una simile verifica, precisa la Corte, si rivela indispensabile alla luce dell</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art. 10, primo comma, Cost., il quale impone di accertare se la norma del diritto internazionale generalmente riconosciuta sull</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immunità dalla giurisdizione degli Stati stranieri, come interpretata nell</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ordinamento internazionale, possa entrare nell</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 xml:space="preserve">ordinamento costituzionale, in quanto non contrastante con principi fondamentali e diritti inviolabili. Il verificarsi di tale ultima ipotesi, infatti, </w:t>
      </w:r>
      <w:r w:rsidR="00DB38A4" w:rsidRPr="00AF336A">
        <w:rPr>
          <w:rFonts w:eastAsia="Times New Roman"/>
          <w:color w:val="000000" w:themeColor="text1"/>
          <w:sz w:val="25"/>
          <w:szCs w:val="25"/>
          <w:shd w:val="clear" w:color="auto" w:fill="FFFFFF"/>
          <w:lang w:eastAsia="it-IT"/>
        </w:rPr>
        <w:t>“</w:t>
      </w:r>
      <w:r w:rsidR="00767817" w:rsidRPr="006F3343">
        <w:rPr>
          <w:rFonts w:eastAsia="Times New Roman"/>
          <w:i/>
          <w:iCs/>
          <w:color w:val="000000" w:themeColor="text1"/>
          <w:sz w:val="25"/>
          <w:szCs w:val="25"/>
          <w:shd w:val="clear" w:color="auto" w:fill="FFFFFF"/>
          <w:lang w:eastAsia="it-IT"/>
        </w:rPr>
        <w:t>esclude l</w:t>
      </w:r>
      <w:r w:rsidR="00144DEC" w:rsidRPr="006F3343">
        <w:rPr>
          <w:rFonts w:eastAsia="Times New Roman"/>
          <w:i/>
          <w:iCs/>
          <w:color w:val="000000" w:themeColor="text1"/>
          <w:sz w:val="25"/>
          <w:szCs w:val="25"/>
          <w:shd w:val="clear" w:color="auto" w:fill="FFFFFF"/>
          <w:lang w:eastAsia="it-IT"/>
        </w:rPr>
        <w:t>’</w:t>
      </w:r>
      <w:r w:rsidR="00767817" w:rsidRPr="006F3343">
        <w:rPr>
          <w:rFonts w:eastAsia="Times New Roman"/>
          <w:i/>
          <w:iCs/>
          <w:color w:val="000000" w:themeColor="text1"/>
          <w:sz w:val="25"/>
          <w:szCs w:val="25"/>
          <w:shd w:val="clear" w:color="auto" w:fill="FFFFFF"/>
          <w:lang w:eastAsia="it-IT"/>
        </w:rPr>
        <w:t>operatività del rinvio alla norma internazionale</w:t>
      </w:r>
      <w:r w:rsidR="00DB38A4" w:rsidRPr="00AF336A">
        <w:rPr>
          <w:rFonts w:eastAsia="Times New Roman"/>
          <w:color w:val="000000" w:themeColor="text1"/>
          <w:sz w:val="25"/>
          <w:szCs w:val="25"/>
          <w:shd w:val="clear" w:color="auto" w:fill="FFFFFF"/>
          <w:lang w:eastAsia="it-IT"/>
        </w:rPr>
        <w:t>”</w:t>
      </w:r>
      <w:r w:rsidR="003164C5">
        <w:rPr>
          <w:rStyle w:val="Rimandonotaapidipagina"/>
          <w:rFonts w:eastAsia="Times New Roman"/>
          <w:color w:val="000000" w:themeColor="text1"/>
          <w:sz w:val="25"/>
          <w:szCs w:val="25"/>
          <w:shd w:val="clear" w:color="auto" w:fill="FFFFFF"/>
          <w:lang w:eastAsia="it-IT"/>
        </w:rPr>
        <w:footnoteReference w:id="1"/>
      </w:r>
      <w:r w:rsidR="00767817" w:rsidRPr="00AF336A">
        <w:rPr>
          <w:rFonts w:eastAsia="Times New Roman"/>
          <w:color w:val="000000" w:themeColor="text1"/>
          <w:sz w:val="25"/>
          <w:szCs w:val="25"/>
          <w:shd w:val="clear" w:color="auto" w:fill="FFFFFF"/>
          <w:lang w:eastAsia="it-IT"/>
        </w:rPr>
        <w:t>, con la conseguenza inevitabile che la norma internazionale, per la parte confliggente con i principi ed i diritti inviolabili, non entra nell</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 xml:space="preserve">ordinamento italiano e non può essere quindi applicata o utilizzata </w:t>
      </w:r>
      <w:r w:rsidR="004E2BDE" w:rsidRPr="00AF336A">
        <w:rPr>
          <w:color w:val="000000" w:themeColor="text1"/>
          <w:sz w:val="25"/>
          <w:szCs w:val="25"/>
        </w:rPr>
        <w:t xml:space="preserve">per dare fondamento a interventi legislativi </w:t>
      </w:r>
      <w:r w:rsidR="00767817" w:rsidRPr="00AF336A">
        <w:rPr>
          <w:color w:val="000000" w:themeColor="text1"/>
          <w:sz w:val="25"/>
          <w:szCs w:val="25"/>
        </w:rPr>
        <w:t xml:space="preserve">volti a conformarsi ad essa </w:t>
      </w:r>
      <w:r w:rsidR="007B0806" w:rsidRPr="00AF336A">
        <w:rPr>
          <w:color w:val="000000" w:themeColor="text1"/>
          <w:sz w:val="25"/>
          <w:szCs w:val="25"/>
        </w:rPr>
        <w:t>(</w:t>
      </w:r>
      <w:r w:rsidR="004E2BDE" w:rsidRPr="00AF336A">
        <w:rPr>
          <w:color w:val="000000" w:themeColor="text1"/>
          <w:sz w:val="25"/>
          <w:szCs w:val="25"/>
        </w:rPr>
        <w:t>ricordiamo che in quella vicenda</w:t>
      </w:r>
      <w:r w:rsidR="007B0806" w:rsidRPr="00AF336A">
        <w:rPr>
          <w:color w:val="000000" w:themeColor="text1"/>
          <w:sz w:val="25"/>
          <w:szCs w:val="25"/>
        </w:rPr>
        <w:t>,</w:t>
      </w:r>
      <w:r w:rsidR="004E2BDE" w:rsidRPr="00AF336A">
        <w:rPr>
          <w:color w:val="000000" w:themeColor="text1"/>
          <w:sz w:val="25"/>
          <w:szCs w:val="25"/>
        </w:rPr>
        <w:t xml:space="preserve"> il legislatore</w:t>
      </w:r>
      <w:r w:rsidR="007B0806" w:rsidRPr="00AF336A">
        <w:rPr>
          <w:color w:val="000000" w:themeColor="text1"/>
          <w:sz w:val="25"/>
          <w:szCs w:val="25"/>
        </w:rPr>
        <w:t>,</w:t>
      </w:r>
      <w:r w:rsidR="004E2BDE" w:rsidRPr="00AF336A">
        <w:rPr>
          <w:color w:val="000000" w:themeColor="text1"/>
          <w:sz w:val="25"/>
          <w:szCs w:val="25"/>
        </w:rPr>
        <w:t xml:space="preserve"> proprio per dare esecuzione alla sentenza della Corte dell</w:t>
      </w:r>
      <w:r w:rsidR="00144DEC" w:rsidRPr="00AF336A">
        <w:rPr>
          <w:color w:val="000000" w:themeColor="text1"/>
          <w:sz w:val="25"/>
          <w:szCs w:val="25"/>
        </w:rPr>
        <w:t>’</w:t>
      </w:r>
      <w:r w:rsidR="00710D46" w:rsidRPr="00AF336A">
        <w:rPr>
          <w:color w:val="000000" w:themeColor="text1"/>
          <w:sz w:val="25"/>
          <w:szCs w:val="25"/>
        </w:rPr>
        <w:t>Aj</w:t>
      </w:r>
      <w:r w:rsidR="004E2BDE" w:rsidRPr="00AF336A">
        <w:rPr>
          <w:color w:val="000000" w:themeColor="text1"/>
          <w:sz w:val="25"/>
          <w:szCs w:val="25"/>
        </w:rPr>
        <w:t>a</w:t>
      </w:r>
      <w:r w:rsidR="007B0806" w:rsidRPr="00AF336A">
        <w:rPr>
          <w:color w:val="000000" w:themeColor="text1"/>
          <w:sz w:val="25"/>
          <w:szCs w:val="25"/>
        </w:rPr>
        <w:t>,</w:t>
      </w:r>
      <w:r w:rsidR="004E2BDE" w:rsidRPr="00AF336A">
        <w:rPr>
          <w:color w:val="000000" w:themeColor="text1"/>
          <w:sz w:val="25"/>
          <w:szCs w:val="25"/>
        </w:rPr>
        <w:t xml:space="preserve"> aveva </w:t>
      </w:r>
      <w:r w:rsidR="007B0806" w:rsidRPr="00AF336A">
        <w:rPr>
          <w:color w:val="000000" w:themeColor="text1"/>
          <w:sz w:val="25"/>
          <w:szCs w:val="25"/>
        </w:rPr>
        <w:t xml:space="preserve">approvato </w:t>
      </w:r>
      <w:r w:rsidR="00767817" w:rsidRPr="00AF336A">
        <w:rPr>
          <w:color w:val="000000" w:themeColor="text1"/>
          <w:sz w:val="25"/>
          <w:szCs w:val="25"/>
        </w:rPr>
        <w:t xml:space="preserve">la legge n. 5/2013, il cui art. 3 </w:t>
      </w:r>
      <w:r w:rsidR="00666917" w:rsidRPr="00AF336A">
        <w:rPr>
          <w:color w:val="000000" w:themeColor="text1"/>
          <w:sz w:val="25"/>
          <w:szCs w:val="25"/>
        </w:rPr>
        <w:t>stabiliva</w:t>
      </w:r>
      <w:r w:rsidR="00767817" w:rsidRPr="00AF336A">
        <w:rPr>
          <w:rFonts w:eastAsia="Times New Roman"/>
          <w:color w:val="000000" w:themeColor="text1"/>
          <w:sz w:val="25"/>
          <w:szCs w:val="25"/>
          <w:shd w:val="clear" w:color="auto" w:fill="FFFFFF"/>
          <w:lang w:eastAsia="it-IT"/>
        </w:rPr>
        <w:t xml:space="preserve"> l</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obbligo dello Stato italiano di conformarsi a tutte le decisioni con le quali la CIG a</w:t>
      </w:r>
      <w:r w:rsidR="00DB38A4" w:rsidRPr="00AF336A">
        <w:rPr>
          <w:rFonts w:eastAsia="Times New Roman"/>
          <w:color w:val="000000" w:themeColor="text1"/>
          <w:sz w:val="25"/>
          <w:szCs w:val="25"/>
          <w:shd w:val="clear" w:color="auto" w:fill="FFFFFF"/>
          <w:lang w:eastAsia="it-IT"/>
        </w:rPr>
        <w:t>vesse</w:t>
      </w:r>
      <w:r w:rsidR="00767817" w:rsidRPr="00AF336A">
        <w:rPr>
          <w:rFonts w:eastAsia="Times New Roman"/>
          <w:color w:val="000000" w:themeColor="text1"/>
          <w:sz w:val="25"/>
          <w:szCs w:val="25"/>
          <w:shd w:val="clear" w:color="auto" w:fill="FFFFFF"/>
          <w:lang w:eastAsia="it-IT"/>
        </w:rPr>
        <w:t xml:space="preserve"> escluso l</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assoggettamento di specifiche condotte di altro Stato alla giurisdizione civile, imponendo al giudice di rilevare d</w:t>
      </w:r>
      <w:r w:rsidR="00144DEC" w:rsidRPr="00AF336A">
        <w:rPr>
          <w:rFonts w:eastAsia="Times New Roman"/>
          <w:color w:val="000000" w:themeColor="text1"/>
          <w:sz w:val="25"/>
          <w:szCs w:val="25"/>
          <w:shd w:val="clear" w:color="auto" w:fill="FFFFFF"/>
          <w:lang w:eastAsia="it-IT"/>
        </w:rPr>
        <w:t>’</w:t>
      </w:r>
      <w:r w:rsidR="00767817" w:rsidRPr="00AF336A">
        <w:rPr>
          <w:rFonts w:eastAsia="Times New Roman"/>
          <w:color w:val="000000" w:themeColor="text1"/>
          <w:sz w:val="25"/>
          <w:szCs w:val="25"/>
          <w:shd w:val="clear" w:color="auto" w:fill="FFFFFF"/>
          <w:lang w:eastAsia="it-IT"/>
        </w:rPr>
        <w:t>ufficio, in qualunque stato e grado del processo, il difetto di giurisdizione, e giungendo fino al punto di individuare un ulteriore caso di impugnazione per revocazione delle sentenze passate in giudicato, rese in contrasto con la decisione della CIG).</w:t>
      </w:r>
      <w:r w:rsidR="005922D9" w:rsidRPr="00AF336A">
        <w:rPr>
          <w:color w:val="000000" w:themeColor="text1"/>
          <w:sz w:val="25"/>
          <w:szCs w:val="25"/>
        </w:rPr>
        <w:t xml:space="preserve"> </w:t>
      </w:r>
    </w:p>
    <w:p w14:paraId="4DF40058" w14:textId="3A640911" w:rsidR="004D1241" w:rsidRPr="00AF336A" w:rsidRDefault="00710D46" w:rsidP="00144DEC">
      <w:pPr>
        <w:spacing w:after="0" w:line="240" w:lineRule="auto"/>
        <w:ind w:firstLine="454"/>
        <w:jc w:val="both"/>
        <w:rPr>
          <w:color w:val="000000" w:themeColor="text1"/>
          <w:sz w:val="25"/>
          <w:szCs w:val="25"/>
        </w:rPr>
      </w:pPr>
      <w:r w:rsidRPr="00AF336A">
        <w:rPr>
          <w:color w:val="000000" w:themeColor="text1"/>
          <w:sz w:val="25"/>
          <w:szCs w:val="25"/>
        </w:rPr>
        <w:t>Q</w:t>
      </w:r>
      <w:r w:rsidR="004E2BDE" w:rsidRPr="00AF336A">
        <w:rPr>
          <w:color w:val="000000" w:themeColor="text1"/>
          <w:sz w:val="25"/>
          <w:szCs w:val="25"/>
        </w:rPr>
        <w:t>uindi la Corte</w:t>
      </w:r>
      <w:r w:rsidRPr="00AF336A">
        <w:rPr>
          <w:color w:val="000000" w:themeColor="text1"/>
          <w:sz w:val="25"/>
          <w:szCs w:val="25"/>
        </w:rPr>
        <w:t xml:space="preserve">, </w:t>
      </w:r>
      <w:r w:rsidR="00767817" w:rsidRPr="00AF336A">
        <w:rPr>
          <w:color w:val="000000" w:themeColor="text1"/>
          <w:sz w:val="25"/>
          <w:szCs w:val="25"/>
        </w:rPr>
        <w:t>rispetto alle consuetudini internazionali</w:t>
      </w:r>
      <w:r w:rsidRPr="00AF336A">
        <w:rPr>
          <w:color w:val="000000" w:themeColor="text1"/>
          <w:sz w:val="25"/>
          <w:szCs w:val="25"/>
        </w:rPr>
        <w:t xml:space="preserve">, </w:t>
      </w:r>
      <w:r w:rsidR="00767817" w:rsidRPr="00AF336A">
        <w:rPr>
          <w:color w:val="000000" w:themeColor="text1"/>
          <w:sz w:val="25"/>
          <w:szCs w:val="25"/>
        </w:rPr>
        <w:t xml:space="preserve">ha introdotto </w:t>
      </w:r>
      <w:r w:rsidR="004E2BDE" w:rsidRPr="00AF336A">
        <w:rPr>
          <w:color w:val="000000" w:themeColor="text1"/>
          <w:sz w:val="25"/>
          <w:szCs w:val="25"/>
        </w:rPr>
        <w:t xml:space="preserve">una sorta di </w:t>
      </w:r>
      <w:r w:rsidR="004E2BDE" w:rsidRPr="00AF336A">
        <w:rPr>
          <w:i/>
          <w:iCs/>
          <w:color w:val="000000" w:themeColor="text1"/>
          <w:sz w:val="25"/>
          <w:szCs w:val="25"/>
        </w:rPr>
        <w:t>meccanismo di tutela preventiva</w:t>
      </w:r>
      <w:r w:rsidRPr="00AF336A">
        <w:rPr>
          <w:color w:val="000000" w:themeColor="text1"/>
          <w:sz w:val="25"/>
          <w:szCs w:val="25"/>
        </w:rPr>
        <w:t xml:space="preserve">, </w:t>
      </w:r>
      <w:r w:rsidR="00A76004" w:rsidRPr="00AF336A">
        <w:rPr>
          <w:color w:val="000000" w:themeColor="text1"/>
          <w:sz w:val="25"/>
          <w:szCs w:val="25"/>
        </w:rPr>
        <w:t xml:space="preserve">che impedisce alla </w:t>
      </w:r>
      <w:r w:rsidR="004E2BDE" w:rsidRPr="00AF336A">
        <w:rPr>
          <w:color w:val="000000" w:themeColor="text1"/>
          <w:sz w:val="25"/>
          <w:szCs w:val="25"/>
        </w:rPr>
        <w:t xml:space="preserve">norma </w:t>
      </w:r>
      <w:r w:rsidR="00767817" w:rsidRPr="00AF336A">
        <w:rPr>
          <w:color w:val="000000" w:themeColor="text1"/>
          <w:sz w:val="25"/>
          <w:szCs w:val="25"/>
        </w:rPr>
        <w:t xml:space="preserve">consuetudinaria </w:t>
      </w:r>
      <w:r w:rsidR="00A76004" w:rsidRPr="00AF336A">
        <w:rPr>
          <w:color w:val="000000" w:themeColor="text1"/>
          <w:sz w:val="25"/>
          <w:szCs w:val="25"/>
        </w:rPr>
        <w:t xml:space="preserve">di </w:t>
      </w:r>
      <w:r w:rsidR="004E2BDE" w:rsidRPr="00AF336A">
        <w:rPr>
          <w:color w:val="000000" w:themeColor="text1"/>
          <w:sz w:val="25"/>
          <w:szCs w:val="25"/>
        </w:rPr>
        <w:t>entra</w:t>
      </w:r>
      <w:r w:rsidR="00A76004" w:rsidRPr="00AF336A">
        <w:rPr>
          <w:color w:val="000000" w:themeColor="text1"/>
          <w:sz w:val="25"/>
          <w:szCs w:val="25"/>
        </w:rPr>
        <w:t>re</w:t>
      </w:r>
      <w:r w:rsidR="004E2BDE" w:rsidRPr="00AF336A">
        <w:rPr>
          <w:color w:val="000000" w:themeColor="text1"/>
          <w:sz w:val="25"/>
          <w:szCs w:val="25"/>
        </w:rPr>
        <w:t xml:space="preserve"> se contrasta con i controlimiti</w:t>
      </w:r>
      <w:r w:rsidRPr="00AF336A">
        <w:rPr>
          <w:color w:val="000000" w:themeColor="text1"/>
          <w:sz w:val="25"/>
          <w:szCs w:val="25"/>
        </w:rPr>
        <w:t>. È</w:t>
      </w:r>
      <w:r w:rsidR="004E2BDE" w:rsidRPr="00AF336A">
        <w:rPr>
          <w:color w:val="000000" w:themeColor="text1"/>
          <w:sz w:val="25"/>
          <w:szCs w:val="25"/>
        </w:rPr>
        <w:t xml:space="preserve"> </w:t>
      </w:r>
      <w:r w:rsidR="00A76004" w:rsidRPr="00AF336A">
        <w:rPr>
          <w:color w:val="000000" w:themeColor="text1"/>
          <w:sz w:val="25"/>
          <w:szCs w:val="25"/>
        </w:rPr>
        <w:t xml:space="preserve">una </w:t>
      </w:r>
      <w:r w:rsidR="004E2BDE" w:rsidRPr="00AF336A">
        <w:rPr>
          <w:color w:val="000000" w:themeColor="text1"/>
          <w:sz w:val="25"/>
          <w:szCs w:val="25"/>
        </w:rPr>
        <w:t>sentenza molto forte</w:t>
      </w:r>
      <w:r w:rsidRPr="00AF336A">
        <w:rPr>
          <w:color w:val="000000" w:themeColor="text1"/>
          <w:sz w:val="25"/>
          <w:szCs w:val="25"/>
        </w:rPr>
        <w:t>,</w:t>
      </w:r>
      <w:r w:rsidR="004E2BDE" w:rsidRPr="00AF336A">
        <w:rPr>
          <w:color w:val="000000" w:themeColor="text1"/>
          <w:sz w:val="25"/>
          <w:szCs w:val="25"/>
        </w:rPr>
        <w:t xml:space="preserve"> che </w:t>
      </w:r>
      <w:r w:rsidR="00A76004" w:rsidRPr="00AF336A">
        <w:rPr>
          <w:color w:val="000000" w:themeColor="text1"/>
          <w:sz w:val="25"/>
          <w:szCs w:val="25"/>
        </w:rPr>
        <w:t>in dottrina qualcuno</w:t>
      </w:r>
      <w:r w:rsidR="004E2BDE" w:rsidRPr="00AF336A">
        <w:rPr>
          <w:color w:val="000000" w:themeColor="text1"/>
          <w:sz w:val="25"/>
          <w:szCs w:val="25"/>
        </w:rPr>
        <w:t xml:space="preserve"> </w:t>
      </w:r>
      <w:r w:rsidRPr="00AF336A">
        <w:rPr>
          <w:color w:val="000000" w:themeColor="text1"/>
          <w:sz w:val="25"/>
          <w:szCs w:val="25"/>
        </w:rPr>
        <w:t xml:space="preserve">ha </w:t>
      </w:r>
      <w:r w:rsidR="004E2BDE" w:rsidRPr="00AF336A">
        <w:rPr>
          <w:color w:val="000000" w:themeColor="text1"/>
          <w:sz w:val="25"/>
          <w:szCs w:val="25"/>
        </w:rPr>
        <w:t xml:space="preserve">anche criticato sotto il profilo proprio </w:t>
      </w:r>
      <w:r w:rsidRPr="00AF336A">
        <w:rPr>
          <w:color w:val="000000" w:themeColor="text1"/>
          <w:sz w:val="25"/>
          <w:szCs w:val="25"/>
        </w:rPr>
        <w:t>del</w:t>
      </w:r>
      <w:r w:rsidR="004E2BDE" w:rsidRPr="00AF336A">
        <w:rPr>
          <w:color w:val="000000" w:themeColor="text1"/>
          <w:sz w:val="25"/>
          <w:szCs w:val="25"/>
        </w:rPr>
        <w:t xml:space="preserve"> diritto costituzionale</w:t>
      </w:r>
      <w:r w:rsidR="00A76004" w:rsidRPr="00AF336A">
        <w:rPr>
          <w:color w:val="000000" w:themeColor="text1"/>
          <w:sz w:val="25"/>
          <w:szCs w:val="25"/>
        </w:rPr>
        <w:t xml:space="preserve">, </w:t>
      </w:r>
      <w:r w:rsidR="00FF5BD1" w:rsidRPr="00AF336A">
        <w:rPr>
          <w:color w:val="000000" w:themeColor="text1"/>
          <w:sz w:val="25"/>
          <w:szCs w:val="25"/>
        </w:rPr>
        <w:t>perché la Corte costituzionale avrebbe sindacato una fonte-fatto, senza distinguere, peraltro, fra le consuetudini anteriori e successive alla Costituzione</w:t>
      </w:r>
      <w:r w:rsidR="00666917" w:rsidRPr="00AF336A">
        <w:rPr>
          <w:rStyle w:val="Rimandonotaapidipagina"/>
          <w:color w:val="000000" w:themeColor="text1"/>
          <w:sz w:val="25"/>
          <w:szCs w:val="25"/>
        </w:rPr>
        <w:footnoteReference w:id="2"/>
      </w:r>
      <w:r w:rsidR="00FF5BD1" w:rsidRPr="00AF336A">
        <w:rPr>
          <w:color w:val="000000" w:themeColor="text1"/>
          <w:sz w:val="25"/>
          <w:szCs w:val="25"/>
        </w:rPr>
        <w:t xml:space="preserve">. </w:t>
      </w:r>
    </w:p>
    <w:p w14:paraId="52840471" w14:textId="77777777" w:rsidR="00FF5BD1" w:rsidRPr="00AF336A" w:rsidRDefault="00FF5BD1" w:rsidP="00144DEC">
      <w:pPr>
        <w:spacing w:after="0" w:line="240" w:lineRule="auto"/>
        <w:ind w:firstLine="454"/>
        <w:jc w:val="both"/>
        <w:rPr>
          <w:color w:val="000000" w:themeColor="text1"/>
          <w:sz w:val="25"/>
          <w:szCs w:val="25"/>
        </w:rPr>
      </w:pPr>
    </w:p>
    <w:p w14:paraId="6B4C059B" w14:textId="77777777" w:rsidR="00DB38A4" w:rsidRPr="00AF336A" w:rsidRDefault="00DB38A4" w:rsidP="00144DEC">
      <w:pPr>
        <w:spacing w:after="0" w:line="240" w:lineRule="auto"/>
        <w:ind w:firstLine="454"/>
        <w:jc w:val="both"/>
        <w:rPr>
          <w:color w:val="000000" w:themeColor="text1"/>
          <w:sz w:val="25"/>
          <w:szCs w:val="25"/>
        </w:rPr>
      </w:pPr>
    </w:p>
    <w:p w14:paraId="6FA2C537" w14:textId="2038A140" w:rsidR="00DB38A4" w:rsidRPr="00AF336A" w:rsidRDefault="00C63323" w:rsidP="00144DEC">
      <w:pPr>
        <w:spacing w:after="0" w:line="240" w:lineRule="auto"/>
        <w:ind w:firstLine="454"/>
        <w:jc w:val="both"/>
        <w:rPr>
          <w:b/>
          <w:bCs/>
          <w:color w:val="000000" w:themeColor="text1"/>
          <w:sz w:val="25"/>
          <w:szCs w:val="25"/>
        </w:rPr>
      </w:pPr>
      <w:r w:rsidRPr="00AF336A">
        <w:rPr>
          <w:b/>
          <w:bCs/>
          <w:color w:val="000000" w:themeColor="text1"/>
          <w:sz w:val="25"/>
          <w:szCs w:val="25"/>
        </w:rPr>
        <w:t xml:space="preserve">3. </w:t>
      </w:r>
      <w:r w:rsidR="00DB38A4" w:rsidRPr="00AF336A">
        <w:rPr>
          <w:b/>
          <w:bCs/>
          <w:color w:val="000000" w:themeColor="text1"/>
          <w:sz w:val="25"/>
          <w:szCs w:val="25"/>
        </w:rPr>
        <w:t>I controlimiti rispetto alla CEDU</w:t>
      </w:r>
      <w:r w:rsidR="00545921" w:rsidRPr="00AF336A">
        <w:rPr>
          <w:b/>
          <w:bCs/>
          <w:color w:val="000000" w:themeColor="text1"/>
          <w:sz w:val="25"/>
          <w:szCs w:val="25"/>
        </w:rPr>
        <w:t>: il problema del diverso bilanciamento tra diritti fondamentali</w:t>
      </w:r>
      <w:r w:rsidR="006F3343">
        <w:rPr>
          <w:b/>
          <w:bCs/>
          <w:color w:val="000000" w:themeColor="text1"/>
          <w:sz w:val="25"/>
          <w:szCs w:val="25"/>
        </w:rPr>
        <w:t>.</w:t>
      </w:r>
    </w:p>
    <w:p w14:paraId="24BE0683" w14:textId="3B55392E" w:rsidR="004D1241" w:rsidRPr="00AF336A" w:rsidRDefault="00FF5BD1" w:rsidP="00144DEC">
      <w:pPr>
        <w:spacing w:after="0" w:line="240" w:lineRule="auto"/>
        <w:ind w:firstLine="454"/>
        <w:jc w:val="both"/>
        <w:rPr>
          <w:color w:val="000000" w:themeColor="text1"/>
          <w:sz w:val="25"/>
          <w:szCs w:val="25"/>
        </w:rPr>
      </w:pPr>
      <w:r w:rsidRPr="00AF336A">
        <w:rPr>
          <w:color w:val="000000" w:themeColor="text1"/>
          <w:sz w:val="25"/>
          <w:szCs w:val="25"/>
        </w:rPr>
        <w:t>U</w:t>
      </w:r>
      <w:r w:rsidR="004E2BDE" w:rsidRPr="00AF336A">
        <w:rPr>
          <w:color w:val="000000" w:themeColor="text1"/>
          <w:sz w:val="25"/>
          <w:szCs w:val="25"/>
        </w:rPr>
        <w:t>n problema di controlimiti si pone frequentemente rispetto alle altre due fonti esterne</w:t>
      </w:r>
      <w:r w:rsidRPr="00AF336A">
        <w:rPr>
          <w:color w:val="000000" w:themeColor="text1"/>
          <w:sz w:val="25"/>
          <w:szCs w:val="25"/>
        </w:rPr>
        <w:t xml:space="preserve"> prima menzionate</w:t>
      </w:r>
      <w:r w:rsidR="004D1241" w:rsidRPr="00AF336A">
        <w:rPr>
          <w:color w:val="000000" w:themeColor="text1"/>
          <w:sz w:val="25"/>
          <w:szCs w:val="25"/>
        </w:rPr>
        <w:t>,</w:t>
      </w:r>
      <w:r w:rsidR="004E2BDE" w:rsidRPr="00AF336A">
        <w:rPr>
          <w:color w:val="000000" w:themeColor="text1"/>
          <w:sz w:val="25"/>
          <w:szCs w:val="25"/>
        </w:rPr>
        <w:t xml:space="preserve"> </w:t>
      </w:r>
      <w:r w:rsidRPr="00AF336A">
        <w:rPr>
          <w:color w:val="000000" w:themeColor="text1"/>
          <w:sz w:val="25"/>
          <w:szCs w:val="25"/>
        </w:rPr>
        <w:t>ossia</w:t>
      </w:r>
      <w:r w:rsidR="003164C5">
        <w:rPr>
          <w:color w:val="000000" w:themeColor="text1"/>
          <w:sz w:val="25"/>
          <w:szCs w:val="25"/>
        </w:rPr>
        <w:t xml:space="preserve"> </w:t>
      </w:r>
      <w:r w:rsidR="004E2BDE" w:rsidRPr="00AF336A">
        <w:rPr>
          <w:color w:val="000000" w:themeColor="text1"/>
          <w:sz w:val="25"/>
          <w:szCs w:val="25"/>
        </w:rPr>
        <w:t xml:space="preserve">il </w:t>
      </w:r>
      <w:r w:rsidR="004E2BDE" w:rsidRPr="00AF336A">
        <w:rPr>
          <w:bCs/>
          <w:color w:val="000000" w:themeColor="text1"/>
          <w:sz w:val="25"/>
          <w:szCs w:val="25"/>
        </w:rPr>
        <w:t>diritto dell</w:t>
      </w:r>
      <w:r w:rsidR="00144DEC" w:rsidRPr="00AF336A">
        <w:rPr>
          <w:bCs/>
          <w:color w:val="000000" w:themeColor="text1"/>
          <w:sz w:val="25"/>
          <w:szCs w:val="25"/>
        </w:rPr>
        <w:t>’</w:t>
      </w:r>
      <w:r w:rsidR="004D1241" w:rsidRPr="00AF336A">
        <w:rPr>
          <w:bCs/>
          <w:color w:val="000000" w:themeColor="text1"/>
          <w:sz w:val="25"/>
          <w:szCs w:val="25"/>
        </w:rPr>
        <w:t>U</w:t>
      </w:r>
      <w:r w:rsidR="004E2BDE" w:rsidRPr="00AF336A">
        <w:rPr>
          <w:bCs/>
          <w:color w:val="000000" w:themeColor="text1"/>
          <w:sz w:val="25"/>
          <w:szCs w:val="25"/>
        </w:rPr>
        <w:t xml:space="preserve">nione </w:t>
      </w:r>
      <w:r w:rsidR="004D1241" w:rsidRPr="00AF336A">
        <w:rPr>
          <w:bCs/>
          <w:color w:val="000000" w:themeColor="text1"/>
          <w:sz w:val="25"/>
          <w:szCs w:val="25"/>
        </w:rPr>
        <w:t>Europea</w:t>
      </w:r>
      <w:r w:rsidR="00DB38A4" w:rsidRPr="00AF336A">
        <w:rPr>
          <w:b/>
          <w:color w:val="000000" w:themeColor="text1"/>
          <w:sz w:val="25"/>
          <w:szCs w:val="25"/>
        </w:rPr>
        <w:t>,</w:t>
      </w:r>
      <w:r w:rsidR="004D1241" w:rsidRPr="00AF336A">
        <w:rPr>
          <w:color w:val="000000" w:themeColor="text1"/>
          <w:sz w:val="25"/>
          <w:szCs w:val="25"/>
        </w:rPr>
        <w:t xml:space="preserve"> da un lato</w:t>
      </w:r>
      <w:r w:rsidR="00DB38A4" w:rsidRPr="00AF336A">
        <w:rPr>
          <w:color w:val="000000" w:themeColor="text1"/>
          <w:sz w:val="25"/>
          <w:szCs w:val="25"/>
        </w:rPr>
        <w:t>,</w:t>
      </w:r>
      <w:r w:rsidR="004D1241" w:rsidRPr="00AF336A">
        <w:rPr>
          <w:color w:val="000000" w:themeColor="text1"/>
          <w:sz w:val="25"/>
          <w:szCs w:val="25"/>
        </w:rPr>
        <w:t xml:space="preserve"> e la </w:t>
      </w:r>
      <w:r w:rsidR="00882A4A" w:rsidRPr="00AF336A">
        <w:rPr>
          <w:bCs/>
          <w:color w:val="000000" w:themeColor="text1"/>
          <w:sz w:val="25"/>
          <w:szCs w:val="25"/>
        </w:rPr>
        <w:t>C</w:t>
      </w:r>
      <w:r w:rsidR="00972A1A" w:rsidRPr="00AF336A">
        <w:rPr>
          <w:bCs/>
          <w:color w:val="000000" w:themeColor="text1"/>
          <w:sz w:val="25"/>
          <w:szCs w:val="25"/>
        </w:rPr>
        <w:t>edu</w:t>
      </w:r>
      <w:r w:rsidR="00DB38A4" w:rsidRPr="00AF336A">
        <w:rPr>
          <w:color w:val="000000" w:themeColor="text1"/>
          <w:sz w:val="25"/>
          <w:szCs w:val="25"/>
        </w:rPr>
        <w:t xml:space="preserve">, </w:t>
      </w:r>
      <w:r w:rsidR="004E2BDE" w:rsidRPr="00AF336A">
        <w:rPr>
          <w:color w:val="000000" w:themeColor="text1"/>
          <w:sz w:val="25"/>
          <w:szCs w:val="25"/>
        </w:rPr>
        <w:t>dall</w:t>
      </w:r>
      <w:r w:rsidR="00144DEC" w:rsidRPr="00AF336A">
        <w:rPr>
          <w:color w:val="000000" w:themeColor="text1"/>
          <w:sz w:val="25"/>
          <w:szCs w:val="25"/>
        </w:rPr>
        <w:t>’</w:t>
      </w:r>
      <w:r w:rsidR="004E2BDE" w:rsidRPr="00AF336A">
        <w:rPr>
          <w:color w:val="000000" w:themeColor="text1"/>
          <w:sz w:val="25"/>
          <w:szCs w:val="25"/>
        </w:rPr>
        <w:t>altro lato</w:t>
      </w:r>
      <w:r w:rsidR="004D1241" w:rsidRPr="00AF336A">
        <w:rPr>
          <w:color w:val="000000" w:themeColor="text1"/>
          <w:sz w:val="25"/>
          <w:szCs w:val="25"/>
        </w:rPr>
        <w:t>.</w:t>
      </w:r>
    </w:p>
    <w:p w14:paraId="290CA190" w14:textId="58B92747" w:rsidR="00420411" w:rsidRPr="00AF336A" w:rsidRDefault="004D1241" w:rsidP="00144DEC">
      <w:pPr>
        <w:spacing w:after="0" w:line="240" w:lineRule="auto"/>
        <w:ind w:firstLine="454"/>
        <w:jc w:val="both"/>
        <w:rPr>
          <w:color w:val="000000" w:themeColor="text1"/>
          <w:sz w:val="25"/>
          <w:szCs w:val="25"/>
        </w:rPr>
      </w:pPr>
      <w:r w:rsidRPr="00AF336A">
        <w:rPr>
          <w:color w:val="000000" w:themeColor="text1"/>
          <w:sz w:val="25"/>
          <w:szCs w:val="25"/>
        </w:rPr>
        <w:t>D</w:t>
      </w:r>
      <w:r w:rsidR="004E2BDE" w:rsidRPr="00AF336A">
        <w:rPr>
          <w:color w:val="000000" w:themeColor="text1"/>
          <w:sz w:val="25"/>
          <w:szCs w:val="25"/>
        </w:rPr>
        <w:t>a questo punto di vista</w:t>
      </w:r>
      <w:r w:rsidRPr="00AF336A">
        <w:rPr>
          <w:color w:val="000000" w:themeColor="text1"/>
          <w:sz w:val="25"/>
          <w:szCs w:val="25"/>
        </w:rPr>
        <w:t>,</w:t>
      </w:r>
      <w:r w:rsidR="004E2BDE" w:rsidRPr="00AF336A">
        <w:rPr>
          <w:color w:val="000000" w:themeColor="text1"/>
          <w:sz w:val="25"/>
          <w:szCs w:val="25"/>
        </w:rPr>
        <w:t xml:space="preserve"> </w:t>
      </w:r>
      <w:r w:rsidR="00FF5BD1" w:rsidRPr="00AF336A">
        <w:rPr>
          <w:color w:val="000000" w:themeColor="text1"/>
          <w:sz w:val="25"/>
          <w:szCs w:val="25"/>
        </w:rPr>
        <w:t xml:space="preserve">va evidenziata </w:t>
      </w:r>
      <w:r w:rsidR="004E2BDE" w:rsidRPr="00AF336A">
        <w:rPr>
          <w:color w:val="000000" w:themeColor="text1"/>
          <w:sz w:val="25"/>
          <w:szCs w:val="25"/>
        </w:rPr>
        <w:t>una differenza tra l</w:t>
      </w:r>
      <w:r w:rsidR="00144DEC" w:rsidRPr="00AF336A">
        <w:rPr>
          <w:color w:val="000000" w:themeColor="text1"/>
          <w:sz w:val="25"/>
          <w:szCs w:val="25"/>
        </w:rPr>
        <w:t>’</w:t>
      </w:r>
      <w:r w:rsidR="004E2BDE" w:rsidRPr="00AF336A">
        <w:rPr>
          <w:color w:val="000000" w:themeColor="text1"/>
          <w:sz w:val="25"/>
          <w:szCs w:val="25"/>
        </w:rPr>
        <w:t xml:space="preserve">operatività dei controlimiti rispetto a questi due ordinamenti </w:t>
      </w:r>
      <w:r w:rsidRPr="00AF336A">
        <w:rPr>
          <w:color w:val="000000" w:themeColor="text1"/>
          <w:sz w:val="25"/>
          <w:szCs w:val="25"/>
        </w:rPr>
        <w:t>sovra</w:t>
      </w:r>
      <w:r w:rsidR="004E2BDE" w:rsidRPr="00AF336A">
        <w:rPr>
          <w:color w:val="000000" w:themeColor="text1"/>
          <w:sz w:val="25"/>
          <w:szCs w:val="25"/>
        </w:rPr>
        <w:t>nazional</w:t>
      </w:r>
      <w:r w:rsidR="00420411" w:rsidRPr="00AF336A">
        <w:rPr>
          <w:color w:val="000000" w:themeColor="text1"/>
          <w:sz w:val="25"/>
          <w:szCs w:val="25"/>
        </w:rPr>
        <w:t>i, a</w:t>
      </w:r>
      <w:r w:rsidR="004E2BDE" w:rsidRPr="00AF336A">
        <w:rPr>
          <w:color w:val="000000" w:themeColor="text1"/>
          <w:sz w:val="25"/>
          <w:szCs w:val="25"/>
        </w:rPr>
        <w:t xml:space="preserve">l di là del diverso fondamento che </w:t>
      </w:r>
      <w:r w:rsidRPr="00AF336A">
        <w:rPr>
          <w:color w:val="000000" w:themeColor="text1"/>
          <w:sz w:val="25"/>
          <w:szCs w:val="25"/>
        </w:rPr>
        <w:t xml:space="preserve">i </w:t>
      </w:r>
      <w:r w:rsidR="004E2BDE" w:rsidRPr="00AF336A">
        <w:rPr>
          <w:color w:val="000000" w:themeColor="text1"/>
          <w:sz w:val="25"/>
          <w:szCs w:val="25"/>
        </w:rPr>
        <w:t xml:space="preserve">due ordinamenti hanno nella </w:t>
      </w:r>
      <w:r w:rsidRPr="00AF336A">
        <w:rPr>
          <w:color w:val="000000" w:themeColor="text1"/>
          <w:sz w:val="25"/>
          <w:szCs w:val="25"/>
        </w:rPr>
        <w:t>C</w:t>
      </w:r>
      <w:r w:rsidR="004E2BDE" w:rsidRPr="00AF336A">
        <w:rPr>
          <w:color w:val="000000" w:themeColor="text1"/>
          <w:sz w:val="25"/>
          <w:szCs w:val="25"/>
        </w:rPr>
        <w:t xml:space="preserve">ostituzione </w:t>
      </w:r>
      <w:r w:rsidRPr="00AF336A">
        <w:rPr>
          <w:color w:val="000000" w:themeColor="text1"/>
          <w:sz w:val="25"/>
          <w:szCs w:val="25"/>
        </w:rPr>
        <w:t xml:space="preserve">e </w:t>
      </w:r>
      <w:r w:rsidR="004E2BDE" w:rsidRPr="00AF336A">
        <w:rPr>
          <w:color w:val="000000" w:themeColor="text1"/>
          <w:sz w:val="25"/>
          <w:szCs w:val="25"/>
        </w:rPr>
        <w:t>quindi anche della diversa intensità dei controlimiti</w:t>
      </w:r>
      <w:r w:rsidR="00420411" w:rsidRPr="00AF336A">
        <w:rPr>
          <w:color w:val="000000" w:themeColor="text1"/>
          <w:sz w:val="25"/>
          <w:szCs w:val="25"/>
        </w:rPr>
        <w:t>; infatti</w:t>
      </w:r>
      <w:r w:rsidRPr="00AF336A">
        <w:rPr>
          <w:color w:val="000000" w:themeColor="text1"/>
          <w:sz w:val="25"/>
          <w:szCs w:val="25"/>
        </w:rPr>
        <w:t>,</w:t>
      </w:r>
      <w:r w:rsidR="004E2BDE" w:rsidRPr="00AF336A">
        <w:rPr>
          <w:color w:val="000000" w:themeColor="text1"/>
          <w:sz w:val="25"/>
          <w:szCs w:val="25"/>
        </w:rPr>
        <w:t xml:space="preserve"> è noto che mentre la </w:t>
      </w:r>
      <w:r w:rsidR="00882A4A" w:rsidRPr="00AF336A">
        <w:rPr>
          <w:color w:val="000000" w:themeColor="text1"/>
          <w:sz w:val="25"/>
          <w:szCs w:val="25"/>
        </w:rPr>
        <w:t>Cedu</w:t>
      </w:r>
      <w:r w:rsidR="004E2BDE" w:rsidRPr="00AF336A">
        <w:rPr>
          <w:color w:val="000000" w:themeColor="text1"/>
          <w:sz w:val="25"/>
          <w:szCs w:val="25"/>
        </w:rPr>
        <w:t xml:space="preserve"> ha come controlimiti tutte le norme della </w:t>
      </w:r>
      <w:r w:rsidRPr="00AF336A">
        <w:rPr>
          <w:color w:val="000000" w:themeColor="text1"/>
          <w:sz w:val="25"/>
          <w:szCs w:val="25"/>
        </w:rPr>
        <w:t>C</w:t>
      </w:r>
      <w:r w:rsidR="004E2BDE" w:rsidRPr="00AF336A">
        <w:rPr>
          <w:color w:val="000000" w:themeColor="text1"/>
          <w:sz w:val="25"/>
          <w:szCs w:val="25"/>
        </w:rPr>
        <w:t>ostituzione</w:t>
      </w:r>
      <w:r w:rsidRPr="00AF336A">
        <w:rPr>
          <w:color w:val="000000" w:themeColor="text1"/>
          <w:sz w:val="25"/>
          <w:szCs w:val="25"/>
        </w:rPr>
        <w:t>,</w:t>
      </w:r>
      <w:r w:rsidR="004E2BDE" w:rsidRPr="00AF336A">
        <w:rPr>
          <w:color w:val="000000" w:themeColor="text1"/>
          <w:sz w:val="25"/>
          <w:szCs w:val="25"/>
        </w:rPr>
        <w:t xml:space="preserve"> l</w:t>
      </w:r>
      <w:r w:rsidR="00144DEC" w:rsidRPr="00AF336A">
        <w:rPr>
          <w:color w:val="000000" w:themeColor="text1"/>
          <w:sz w:val="25"/>
          <w:szCs w:val="25"/>
        </w:rPr>
        <w:t>’</w:t>
      </w:r>
      <w:r w:rsidR="004E2BDE" w:rsidRPr="00AF336A">
        <w:rPr>
          <w:color w:val="000000" w:themeColor="text1"/>
          <w:sz w:val="25"/>
          <w:szCs w:val="25"/>
        </w:rPr>
        <w:t xml:space="preserve">ordinamento </w:t>
      </w:r>
      <w:r w:rsidRPr="00AF336A">
        <w:rPr>
          <w:color w:val="000000" w:themeColor="text1"/>
          <w:sz w:val="25"/>
          <w:szCs w:val="25"/>
        </w:rPr>
        <w:t>dell</w:t>
      </w:r>
      <w:r w:rsidR="00144DEC" w:rsidRPr="00AF336A">
        <w:rPr>
          <w:color w:val="000000" w:themeColor="text1"/>
          <w:sz w:val="25"/>
          <w:szCs w:val="25"/>
        </w:rPr>
        <w:t>’</w:t>
      </w:r>
      <w:r w:rsidR="00420411" w:rsidRPr="00AF336A">
        <w:rPr>
          <w:color w:val="000000" w:themeColor="text1"/>
          <w:sz w:val="25"/>
          <w:szCs w:val="25"/>
        </w:rPr>
        <w:t>UE, t</w:t>
      </w:r>
      <w:r w:rsidR="004E2BDE" w:rsidRPr="00AF336A">
        <w:rPr>
          <w:color w:val="000000" w:themeColor="text1"/>
          <w:sz w:val="25"/>
          <w:szCs w:val="25"/>
        </w:rPr>
        <w:t xml:space="preserve">rovando il suo fondamento </w:t>
      </w:r>
      <w:r w:rsidR="00420411" w:rsidRPr="00AF336A">
        <w:rPr>
          <w:color w:val="000000" w:themeColor="text1"/>
          <w:sz w:val="25"/>
          <w:szCs w:val="25"/>
        </w:rPr>
        <w:t>nell</w:t>
      </w:r>
      <w:r w:rsidR="00144DEC" w:rsidRPr="00AF336A">
        <w:rPr>
          <w:color w:val="000000" w:themeColor="text1"/>
          <w:sz w:val="25"/>
          <w:szCs w:val="25"/>
        </w:rPr>
        <w:t>’</w:t>
      </w:r>
      <w:r w:rsidR="00420411" w:rsidRPr="00AF336A">
        <w:rPr>
          <w:color w:val="000000" w:themeColor="text1"/>
          <w:sz w:val="25"/>
          <w:szCs w:val="25"/>
        </w:rPr>
        <w:t>art.</w:t>
      </w:r>
      <w:r w:rsidR="004E2BDE" w:rsidRPr="00AF336A">
        <w:rPr>
          <w:color w:val="000000" w:themeColor="text1"/>
          <w:sz w:val="25"/>
          <w:szCs w:val="25"/>
        </w:rPr>
        <w:t xml:space="preserve"> 11 </w:t>
      </w:r>
      <w:r w:rsidR="00420411" w:rsidRPr="00AF336A">
        <w:rPr>
          <w:color w:val="000000" w:themeColor="text1"/>
          <w:sz w:val="25"/>
          <w:szCs w:val="25"/>
        </w:rPr>
        <w:t>Cost, h</w:t>
      </w:r>
      <w:r w:rsidR="004E2BDE" w:rsidRPr="00AF336A">
        <w:rPr>
          <w:color w:val="000000" w:themeColor="text1"/>
          <w:sz w:val="25"/>
          <w:szCs w:val="25"/>
        </w:rPr>
        <w:t xml:space="preserve">a come controlimiti soltanto i principi </w:t>
      </w:r>
      <w:r w:rsidR="00582074" w:rsidRPr="00AF336A">
        <w:rPr>
          <w:color w:val="000000" w:themeColor="text1"/>
          <w:sz w:val="25"/>
          <w:szCs w:val="25"/>
        </w:rPr>
        <w:t>fondamentali e</w:t>
      </w:r>
      <w:r w:rsidR="00420411" w:rsidRPr="00AF336A">
        <w:rPr>
          <w:color w:val="000000" w:themeColor="text1"/>
          <w:sz w:val="25"/>
          <w:szCs w:val="25"/>
        </w:rPr>
        <w:t xml:space="preserve"> i</w:t>
      </w:r>
      <w:r w:rsidR="004E2BDE" w:rsidRPr="00AF336A">
        <w:rPr>
          <w:color w:val="000000" w:themeColor="text1"/>
          <w:sz w:val="25"/>
          <w:szCs w:val="25"/>
        </w:rPr>
        <w:t xml:space="preserve"> diritti </w:t>
      </w:r>
      <w:r w:rsidR="00582074" w:rsidRPr="00AF336A">
        <w:rPr>
          <w:color w:val="000000" w:themeColor="text1"/>
          <w:sz w:val="25"/>
          <w:szCs w:val="25"/>
        </w:rPr>
        <w:t>inalienabili</w:t>
      </w:r>
      <w:r w:rsidR="004E2BDE" w:rsidRPr="00AF336A">
        <w:rPr>
          <w:color w:val="000000" w:themeColor="text1"/>
          <w:sz w:val="25"/>
          <w:szCs w:val="25"/>
        </w:rPr>
        <w:t xml:space="preserve"> della persona</w:t>
      </w:r>
      <w:r w:rsidR="00420411" w:rsidRPr="00AF336A">
        <w:rPr>
          <w:color w:val="000000" w:themeColor="text1"/>
          <w:sz w:val="25"/>
          <w:szCs w:val="25"/>
        </w:rPr>
        <w:t xml:space="preserve">. </w:t>
      </w:r>
    </w:p>
    <w:p w14:paraId="1C99C88F" w14:textId="36BF4FDB" w:rsidR="00205033" w:rsidRPr="00AF336A" w:rsidRDefault="00420411" w:rsidP="00144DEC">
      <w:pPr>
        <w:pStyle w:val="NormaleWeb"/>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Ma</w:t>
      </w:r>
      <w:r w:rsidR="003164C5">
        <w:rPr>
          <w:color w:val="000000" w:themeColor="text1"/>
          <w:sz w:val="25"/>
          <w:szCs w:val="25"/>
        </w:rPr>
        <w:t xml:space="preserve"> </w:t>
      </w:r>
      <w:r w:rsidR="004E2BDE" w:rsidRPr="00AF336A">
        <w:rPr>
          <w:color w:val="000000" w:themeColor="text1"/>
          <w:sz w:val="25"/>
          <w:szCs w:val="25"/>
        </w:rPr>
        <w:t>al di là di questa</w:t>
      </w:r>
      <w:r w:rsidR="003164C5">
        <w:rPr>
          <w:color w:val="000000" w:themeColor="text1"/>
          <w:sz w:val="25"/>
          <w:szCs w:val="25"/>
        </w:rPr>
        <w:t xml:space="preserve"> </w:t>
      </w:r>
      <w:r w:rsidR="004E2BDE" w:rsidRPr="00AF336A">
        <w:rPr>
          <w:color w:val="000000" w:themeColor="text1"/>
          <w:sz w:val="25"/>
          <w:szCs w:val="25"/>
        </w:rPr>
        <w:t xml:space="preserve">diversità </w:t>
      </w:r>
      <w:r w:rsidR="00582074" w:rsidRPr="00AF336A">
        <w:rPr>
          <w:color w:val="000000" w:themeColor="text1"/>
          <w:sz w:val="25"/>
          <w:szCs w:val="25"/>
        </w:rPr>
        <w:t>“</w:t>
      </w:r>
      <w:r w:rsidR="004E2BDE" w:rsidRPr="00AF336A">
        <w:rPr>
          <w:color w:val="000000" w:themeColor="text1"/>
          <w:sz w:val="25"/>
          <w:szCs w:val="25"/>
        </w:rPr>
        <w:t>quantitativa</w:t>
      </w:r>
      <w:r w:rsidR="00582074" w:rsidRPr="00AF336A">
        <w:rPr>
          <w:color w:val="000000" w:themeColor="text1"/>
          <w:sz w:val="25"/>
          <w:szCs w:val="25"/>
        </w:rPr>
        <w:t>”</w:t>
      </w:r>
      <w:r w:rsidRPr="00AF336A">
        <w:rPr>
          <w:color w:val="000000" w:themeColor="text1"/>
          <w:sz w:val="25"/>
          <w:szCs w:val="25"/>
        </w:rPr>
        <w:t>,</w:t>
      </w:r>
      <w:r w:rsidR="004E2BDE" w:rsidRPr="00AF336A">
        <w:rPr>
          <w:color w:val="000000" w:themeColor="text1"/>
          <w:sz w:val="25"/>
          <w:szCs w:val="25"/>
        </w:rPr>
        <w:t xml:space="preserve"> </w:t>
      </w:r>
      <w:r w:rsidR="00582074" w:rsidRPr="00AF336A">
        <w:rPr>
          <w:color w:val="000000" w:themeColor="text1"/>
          <w:sz w:val="25"/>
          <w:szCs w:val="25"/>
        </w:rPr>
        <w:t>esiste</w:t>
      </w:r>
      <w:r w:rsidR="004E2BDE" w:rsidRPr="00AF336A">
        <w:rPr>
          <w:color w:val="000000" w:themeColor="text1"/>
          <w:sz w:val="25"/>
          <w:szCs w:val="25"/>
        </w:rPr>
        <w:t xml:space="preserve"> un</w:t>
      </w:r>
      <w:r w:rsidR="00144DEC" w:rsidRPr="00AF336A">
        <w:rPr>
          <w:color w:val="000000" w:themeColor="text1"/>
          <w:sz w:val="25"/>
          <w:szCs w:val="25"/>
        </w:rPr>
        <w:t>’</w:t>
      </w:r>
      <w:r w:rsidR="004E2BDE" w:rsidRPr="00AF336A">
        <w:rPr>
          <w:color w:val="000000" w:themeColor="text1"/>
          <w:sz w:val="25"/>
          <w:szCs w:val="25"/>
        </w:rPr>
        <w:t>ulteriore diversità che rend</w:t>
      </w:r>
      <w:r w:rsidR="00582074" w:rsidRPr="00AF336A">
        <w:rPr>
          <w:color w:val="000000" w:themeColor="text1"/>
          <w:sz w:val="25"/>
          <w:szCs w:val="25"/>
        </w:rPr>
        <w:t>e</w:t>
      </w:r>
      <w:r w:rsidR="004E2BDE" w:rsidRPr="00AF336A">
        <w:rPr>
          <w:color w:val="000000" w:themeColor="text1"/>
          <w:sz w:val="25"/>
          <w:szCs w:val="25"/>
        </w:rPr>
        <w:t xml:space="preserve"> il problema dei controlimiti rispetto alla </w:t>
      </w:r>
      <w:r w:rsidR="00882A4A" w:rsidRPr="00AF336A">
        <w:rPr>
          <w:color w:val="000000" w:themeColor="text1"/>
          <w:sz w:val="25"/>
          <w:szCs w:val="25"/>
        </w:rPr>
        <w:t>Cedu</w:t>
      </w:r>
      <w:r w:rsidR="003164C5">
        <w:rPr>
          <w:color w:val="000000" w:themeColor="text1"/>
          <w:sz w:val="25"/>
          <w:szCs w:val="25"/>
        </w:rPr>
        <w:t xml:space="preserve"> </w:t>
      </w:r>
      <w:r w:rsidR="004E2BDE" w:rsidRPr="00AF336A">
        <w:rPr>
          <w:color w:val="000000" w:themeColor="text1"/>
          <w:sz w:val="25"/>
          <w:szCs w:val="25"/>
        </w:rPr>
        <w:t xml:space="preserve">meno </w:t>
      </w:r>
      <w:r w:rsidR="00582074" w:rsidRPr="00AF336A">
        <w:rPr>
          <w:color w:val="000000" w:themeColor="text1"/>
          <w:sz w:val="25"/>
          <w:szCs w:val="25"/>
        </w:rPr>
        <w:t>“</w:t>
      </w:r>
      <w:r w:rsidR="004E2BDE" w:rsidRPr="00AF336A">
        <w:rPr>
          <w:color w:val="000000" w:themeColor="text1"/>
          <w:sz w:val="25"/>
          <w:szCs w:val="25"/>
        </w:rPr>
        <w:t>drammatico</w:t>
      </w:r>
      <w:r w:rsidR="00582074" w:rsidRPr="00AF336A">
        <w:rPr>
          <w:color w:val="000000" w:themeColor="text1"/>
          <w:sz w:val="25"/>
          <w:szCs w:val="25"/>
        </w:rPr>
        <w:t>”</w:t>
      </w:r>
      <w:r w:rsidR="004E2BDE" w:rsidRPr="00AF336A">
        <w:rPr>
          <w:color w:val="000000" w:themeColor="text1"/>
          <w:sz w:val="25"/>
          <w:szCs w:val="25"/>
        </w:rPr>
        <w:t xml:space="preserve"> di quello che invece</w:t>
      </w:r>
      <w:r w:rsidR="00582074" w:rsidRPr="00AF336A">
        <w:rPr>
          <w:color w:val="000000" w:themeColor="text1"/>
          <w:sz w:val="25"/>
          <w:szCs w:val="25"/>
        </w:rPr>
        <w:t xml:space="preserve"> assume con riferimento al </w:t>
      </w:r>
      <w:r w:rsidR="004E2BDE" w:rsidRPr="00AF336A">
        <w:rPr>
          <w:color w:val="000000" w:themeColor="text1"/>
          <w:sz w:val="25"/>
          <w:szCs w:val="25"/>
        </w:rPr>
        <w:t>diritto dell</w:t>
      </w:r>
      <w:r w:rsidR="00144DEC" w:rsidRPr="00AF336A">
        <w:rPr>
          <w:color w:val="000000" w:themeColor="text1"/>
          <w:sz w:val="25"/>
          <w:szCs w:val="25"/>
        </w:rPr>
        <w:t>’</w:t>
      </w:r>
      <w:r w:rsidRPr="00AF336A">
        <w:rPr>
          <w:color w:val="000000" w:themeColor="text1"/>
          <w:sz w:val="25"/>
          <w:szCs w:val="25"/>
        </w:rPr>
        <w:t>U</w:t>
      </w:r>
      <w:r w:rsidR="00972A1A" w:rsidRPr="00AF336A">
        <w:rPr>
          <w:color w:val="000000" w:themeColor="text1"/>
          <w:sz w:val="25"/>
          <w:szCs w:val="25"/>
        </w:rPr>
        <w:t>.</w:t>
      </w:r>
      <w:r w:rsidRPr="00AF336A">
        <w:rPr>
          <w:color w:val="000000" w:themeColor="text1"/>
          <w:sz w:val="25"/>
          <w:szCs w:val="25"/>
        </w:rPr>
        <w:t>E</w:t>
      </w:r>
      <w:r w:rsidR="00582074" w:rsidRPr="00AF336A">
        <w:rPr>
          <w:color w:val="000000" w:themeColor="text1"/>
          <w:sz w:val="25"/>
          <w:szCs w:val="25"/>
        </w:rPr>
        <w:t>.</w:t>
      </w:r>
      <w:r w:rsidRPr="00AF336A">
        <w:rPr>
          <w:color w:val="000000" w:themeColor="text1"/>
          <w:sz w:val="25"/>
          <w:szCs w:val="25"/>
        </w:rPr>
        <w:t xml:space="preserve"> </w:t>
      </w:r>
      <w:r w:rsidR="00582074" w:rsidRPr="00AF336A">
        <w:rPr>
          <w:color w:val="000000" w:themeColor="text1"/>
          <w:sz w:val="25"/>
          <w:szCs w:val="25"/>
        </w:rPr>
        <w:t>Q</w:t>
      </w:r>
      <w:r w:rsidRPr="00AF336A">
        <w:rPr>
          <w:color w:val="000000" w:themeColor="text1"/>
          <w:sz w:val="25"/>
          <w:szCs w:val="25"/>
        </w:rPr>
        <w:t>ue</w:t>
      </w:r>
      <w:r w:rsidR="004E2BDE" w:rsidRPr="00AF336A">
        <w:rPr>
          <w:color w:val="000000" w:themeColor="text1"/>
          <w:sz w:val="25"/>
          <w:szCs w:val="25"/>
        </w:rPr>
        <w:t xml:space="preserve">sto perché la </w:t>
      </w:r>
      <w:r w:rsidR="00882A4A" w:rsidRPr="00AF336A">
        <w:rPr>
          <w:color w:val="000000" w:themeColor="text1"/>
          <w:sz w:val="25"/>
          <w:szCs w:val="25"/>
        </w:rPr>
        <w:t>Cedu</w:t>
      </w:r>
      <w:r w:rsidR="004E2BDE" w:rsidRPr="00AF336A">
        <w:rPr>
          <w:color w:val="000000" w:themeColor="text1"/>
          <w:sz w:val="25"/>
          <w:szCs w:val="25"/>
        </w:rPr>
        <w:t xml:space="preserve"> è comunque un ordinamento sovranazionale che ha come scopo </w:t>
      </w:r>
      <w:r w:rsidR="00582074" w:rsidRPr="00AF336A">
        <w:rPr>
          <w:color w:val="000000" w:themeColor="text1"/>
          <w:sz w:val="25"/>
          <w:szCs w:val="25"/>
        </w:rPr>
        <w:t xml:space="preserve">esclusivo </w:t>
      </w:r>
      <w:r w:rsidR="004E2BDE" w:rsidRPr="00AF336A">
        <w:rPr>
          <w:color w:val="000000" w:themeColor="text1"/>
          <w:sz w:val="25"/>
          <w:szCs w:val="25"/>
        </w:rPr>
        <w:t>la tutela dei diritti fondamentali</w:t>
      </w:r>
      <w:r w:rsidR="00582074" w:rsidRPr="00AF336A">
        <w:rPr>
          <w:color w:val="000000" w:themeColor="text1"/>
          <w:sz w:val="25"/>
          <w:szCs w:val="25"/>
        </w:rPr>
        <w:t xml:space="preserve">: da essa </w:t>
      </w:r>
      <w:r w:rsidR="004E2BDE" w:rsidRPr="00AF336A">
        <w:rPr>
          <w:color w:val="000000" w:themeColor="text1"/>
          <w:sz w:val="25"/>
          <w:szCs w:val="25"/>
        </w:rPr>
        <w:t xml:space="preserve">non promanano norme </w:t>
      </w:r>
      <w:r w:rsidR="00582074" w:rsidRPr="00AF336A">
        <w:rPr>
          <w:color w:val="000000" w:themeColor="text1"/>
          <w:sz w:val="25"/>
          <w:szCs w:val="25"/>
        </w:rPr>
        <w:t>di altro tipo</w:t>
      </w:r>
      <w:r w:rsidR="004E2BDE" w:rsidRPr="00AF336A">
        <w:rPr>
          <w:color w:val="000000" w:themeColor="text1"/>
          <w:sz w:val="25"/>
          <w:szCs w:val="25"/>
        </w:rPr>
        <w:t xml:space="preserve"> che disciplinano determinate materie</w:t>
      </w:r>
      <w:r w:rsidRPr="00AF336A">
        <w:rPr>
          <w:color w:val="000000" w:themeColor="text1"/>
          <w:sz w:val="25"/>
          <w:szCs w:val="25"/>
        </w:rPr>
        <w:t xml:space="preserve">. </w:t>
      </w:r>
      <w:r w:rsidR="00582074" w:rsidRPr="00AF336A">
        <w:rPr>
          <w:color w:val="000000" w:themeColor="text1"/>
          <w:sz w:val="25"/>
          <w:szCs w:val="25"/>
        </w:rPr>
        <w:t xml:space="preserve">La Cedu si limita, in altri termini, ad individuare </w:t>
      </w:r>
      <w:r w:rsidR="004E2BDE" w:rsidRPr="00AF336A">
        <w:rPr>
          <w:color w:val="000000" w:themeColor="text1"/>
          <w:sz w:val="25"/>
          <w:szCs w:val="25"/>
        </w:rPr>
        <w:t>una lista di diritti</w:t>
      </w:r>
      <w:r w:rsidR="00582074" w:rsidRPr="00AF336A">
        <w:rPr>
          <w:color w:val="000000" w:themeColor="text1"/>
          <w:sz w:val="25"/>
          <w:szCs w:val="25"/>
        </w:rPr>
        <w:t xml:space="preserve"> fondamentali,</w:t>
      </w:r>
      <w:r w:rsidR="004E2BDE" w:rsidRPr="00AF336A">
        <w:rPr>
          <w:color w:val="000000" w:themeColor="text1"/>
          <w:sz w:val="25"/>
          <w:szCs w:val="25"/>
        </w:rPr>
        <w:t xml:space="preserve"> che normalmente sono tutelati anche dalle </w:t>
      </w:r>
      <w:r w:rsidRPr="00AF336A">
        <w:rPr>
          <w:color w:val="000000" w:themeColor="text1"/>
          <w:sz w:val="25"/>
          <w:szCs w:val="25"/>
        </w:rPr>
        <w:t>C</w:t>
      </w:r>
      <w:r w:rsidR="004E2BDE" w:rsidRPr="00AF336A">
        <w:rPr>
          <w:color w:val="000000" w:themeColor="text1"/>
          <w:sz w:val="25"/>
          <w:szCs w:val="25"/>
        </w:rPr>
        <w:t>ostituzioni nazionali</w:t>
      </w:r>
      <w:r w:rsidRPr="00AF336A">
        <w:rPr>
          <w:color w:val="000000" w:themeColor="text1"/>
          <w:sz w:val="25"/>
          <w:szCs w:val="25"/>
        </w:rPr>
        <w:t>. Tra l</w:t>
      </w:r>
      <w:r w:rsidR="00144DEC" w:rsidRPr="00AF336A">
        <w:rPr>
          <w:color w:val="000000" w:themeColor="text1"/>
          <w:sz w:val="25"/>
          <w:szCs w:val="25"/>
        </w:rPr>
        <w:t>’</w:t>
      </w:r>
      <w:r w:rsidRPr="00AF336A">
        <w:rPr>
          <w:color w:val="000000" w:themeColor="text1"/>
          <w:sz w:val="25"/>
          <w:szCs w:val="25"/>
        </w:rPr>
        <w:t xml:space="preserve">altro, la </w:t>
      </w:r>
      <w:r w:rsidR="00882A4A" w:rsidRPr="00AF336A">
        <w:rPr>
          <w:color w:val="000000" w:themeColor="text1"/>
          <w:sz w:val="25"/>
          <w:szCs w:val="25"/>
        </w:rPr>
        <w:t>Cedu</w:t>
      </w:r>
      <w:r w:rsidRPr="00AF336A">
        <w:rPr>
          <w:color w:val="000000" w:themeColor="text1"/>
          <w:sz w:val="25"/>
          <w:szCs w:val="25"/>
        </w:rPr>
        <w:t xml:space="preserve"> </w:t>
      </w:r>
      <w:r w:rsidR="004E2BDE" w:rsidRPr="00AF336A">
        <w:rPr>
          <w:color w:val="000000" w:themeColor="text1"/>
          <w:sz w:val="25"/>
          <w:szCs w:val="25"/>
        </w:rPr>
        <w:t xml:space="preserve">si </w:t>
      </w:r>
      <w:r w:rsidRPr="00AF336A">
        <w:rPr>
          <w:color w:val="000000" w:themeColor="text1"/>
          <w:sz w:val="25"/>
          <w:szCs w:val="25"/>
        </w:rPr>
        <w:t>isp</w:t>
      </w:r>
      <w:r w:rsidR="004E2BDE" w:rsidRPr="00AF336A">
        <w:rPr>
          <w:color w:val="000000" w:themeColor="text1"/>
          <w:sz w:val="25"/>
          <w:szCs w:val="25"/>
        </w:rPr>
        <w:t>ira chiaramente</w:t>
      </w:r>
      <w:r w:rsidR="00673F37">
        <w:rPr>
          <w:color w:val="000000" w:themeColor="text1"/>
          <w:sz w:val="25"/>
          <w:szCs w:val="25"/>
        </w:rPr>
        <w:t xml:space="preserve"> al</w:t>
      </w:r>
      <w:r w:rsidR="004E2BDE" w:rsidRPr="00AF336A">
        <w:rPr>
          <w:color w:val="000000" w:themeColor="text1"/>
          <w:sz w:val="25"/>
          <w:szCs w:val="25"/>
        </w:rPr>
        <w:t xml:space="preserve"> </w:t>
      </w:r>
      <w:r w:rsidR="00582074" w:rsidRPr="00AF336A">
        <w:rPr>
          <w:i/>
          <w:iCs/>
          <w:color w:val="000000" w:themeColor="text1"/>
          <w:sz w:val="25"/>
          <w:szCs w:val="25"/>
        </w:rPr>
        <w:t xml:space="preserve">criterio </w:t>
      </w:r>
      <w:r w:rsidR="004E2BDE" w:rsidRPr="00AF336A">
        <w:rPr>
          <w:i/>
          <w:iCs/>
          <w:color w:val="000000" w:themeColor="text1"/>
          <w:sz w:val="25"/>
          <w:szCs w:val="25"/>
        </w:rPr>
        <w:t xml:space="preserve">della protezione </w:t>
      </w:r>
      <w:r w:rsidR="00582074" w:rsidRPr="00AF336A">
        <w:rPr>
          <w:i/>
          <w:iCs/>
          <w:color w:val="000000" w:themeColor="text1"/>
          <w:sz w:val="25"/>
          <w:szCs w:val="25"/>
        </w:rPr>
        <w:t>più inte</w:t>
      </w:r>
      <w:r w:rsidR="00205033" w:rsidRPr="00AF336A">
        <w:rPr>
          <w:i/>
          <w:iCs/>
          <w:color w:val="000000" w:themeColor="text1"/>
          <w:sz w:val="25"/>
          <w:szCs w:val="25"/>
        </w:rPr>
        <w:t>nsa</w:t>
      </w:r>
      <w:r w:rsidR="00582074" w:rsidRPr="00AF336A">
        <w:rPr>
          <w:color w:val="000000" w:themeColor="text1"/>
          <w:sz w:val="25"/>
          <w:szCs w:val="25"/>
        </w:rPr>
        <w:t>, accolto nell</w:t>
      </w:r>
      <w:r w:rsidR="00144DEC" w:rsidRPr="00AF336A">
        <w:rPr>
          <w:color w:val="000000" w:themeColor="text1"/>
          <w:sz w:val="25"/>
          <w:szCs w:val="25"/>
        </w:rPr>
        <w:t>’</w:t>
      </w:r>
      <w:r w:rsidR="00582074" w:rsidRPr="00AF336A">
        <w:rPr>
          <w:color w:val="000000" w:themeColor="text1"/>
          <w:sz w:val="25"/>
          <w:szCs w:val="25"/>
        </w:rPr>
        <w:t xml:space="preserve">art. 53 della Convenzione, </w:t>
      </w:r>
      <w:r w:rsidR="00582074" w:rsidRPr="00AF336A">
        <w:rPr>
          <w:rFonts w:eastAsia="Times New Roman"/>
          <w:color w:val="000000" w:themeColor="text1"/>
          <w:sz w:val="25"/>
          <w:szCs w:val="25"/>
          <w:lang w:eastAsia="it-IT"/>
        </w:rPr>
        <w:t>che indica come la Convenzione non possa essere interpretata nel senso di impedire una tutela pi</w:t>
      </w:r>
      <w:r w:rsidR="00205033" w:rsidRPr="00AF336A">
        <w:rPr>
          <w:rFonts w:eastAsia="Times New Roman"/>
          <w:color w:val="000000" w:themeColor="text1"/>
          <w:sz w:val="25"/>
          <w:szCs w:val="25"/>
          <w:lang w:eastAsia="it-IT"/>
        </w:rPr>
        <w:t>ù</w:t>
      </w:r>
      <w:r w:rsidR="00582074" w:rsidRPr="00AF336A">
        <w:rPr>
          <w:rFonts w:eastAsia="Times New Roman"/>
          <w:color w:val="000000" w:themeColor="text1"/>
          <w:sz w:val="25"/>
          <w:szCs w:val="25"/>
          <w:lang w:eastAsia="it-IT"/>
        </w:rPr>
        <w:t xml:space="preserve"> estesa dei diritti convenzionali derivante dal diritto interno ovvero da obblighi internazionali di ciascuna parte contraente. </w:t>
      </w:r>
    </w:p>
    <w:p w14:paraId="34698427" w14:textId="2DCAF192" w:rsidR="00205033" w:rsidRPr="00AF336A" w:rsidRDefault="00DB38A4" w:rsidP="00144DEC">
      <w:pPr>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lastRenderedPageBreak/>
        <w:t>L</w:t>
      </w:r>
      <w:r w:rsidR="00144DEC" w:rsidRPr="00AF336A">
        <w:rPr>
          <w:rFonts w:eastAsia="Times New Roman"/>
          <w:color w:val="000000" w:themeColor="text1"/>
          <w:sz w:val="25"/>
          <w:szCs w:val="25"/>
          <w:lang w:eastAsia="it-IT"/>
        </w:rPr>
        <w:t>’</w:t>
      </w:r>
      <w:r w:rsidR="00205033" w:rsidRPr="00205033">
        <w:rPr>
          <w:rFonts w:eastAsia="Times New Roman"/>
          <w:color w:val="000000" w:themeColor="text1"/>
          <w:sz w:val="25"/>
          <w:szCs w:val="25"/>
          <w:lang w:eastAsia="it-IT"/>
        </w:rPr>
        <w:t>art. 53 della Convenzione</w:t>
      </w:r>
      <w:r w:rsidRPr="00AF336A">
        <w:rPr>
          <w:rFonts w:eastAsia="Times New Roman"/>
          <w:color w:val="000000" w:themeColor="text1"/>
          <w:sz w:val="25"/>
          <w:szCs w:val="25"/>
          <w:lang w:eastAsia="it-IT"/>
        </w:rPr>
        <w:t>, infatti,</w:t>
      </w:r>
      <w:r w:rsidR="00205033" w:rsidRPr="00205033">
        <w:rPr>
          <w:rFonts w:eastAsia="Times New Roman"/>
          <w:color w:val="000000" w:themeColor="text1"/>
          <w:sz w:val="25"/>
          <w:szCs w:val="25"/>
          <w:lang w:eastAsia="it-IT"/>
        </w:rPr>
        <w:t xml:space="preserve"> indica come l</w:t>
      </w:r>
      <w:r w:rsidR="00144DEC" w:rsidRPr="00AF336A">
        <w:rPr>
          <w:rFonts w:eastAsia="Times New Roman"/>
          <w:color w:val="000000" w:themeColor="text1"/>
          <w:sz w:val="25"/>
          <w:szCs w:val="25"/>
          <w:lang w:eastAsia="it-IT"/>
        </w:rPr>
        <w:t>’</w:t>
      </w:r>
      <w:r w:rsidR="00205033" w:rsidRPr="00205033">
        <w:rPr>
          <w:rFonts w:eastAsia="Times New Roman"/>
          <w:color w:val="000000" w:themeColor="text1"/>
          <w:sz w:val="25"/>
          <w:szCs w:val="25"/>
          <w:lang w:eastAsia="it-IT"/>
        </w:rPr>
        <w:t>obbligo incombente sugli Stati parte di assicurare i diritti garantiti dalla Convenzione costituisca solo un obbligo minimo di tutela. Esso non impedisce, quindi, agli Stati parte della Convenzione di assicurare una tutela pi</w:t>
      </w:r>
      <w:r w:rsidR="00205033" w:rsidRPr="00AF336A">
        <w:rPr>
          <w:rFonts w:eastAsia="Times New Roman"/>
          <w:color w:val="000000" w:themeColor="text1"/>
          <w:sz w:val="25"/>
          <w:szCs w:val="25"/>
          <w:lang w:eastAsia="it-IT"/>
        </w:rPr>
        <w:t>ù</w:t>
      </w:r>
      <w:r w:rsidR="00205033" w:rsidRPr="00205033">
        <w:rPr>
          <w:rFonts w:eastAsia="Times New Roman"/>
          <w:color w:val="000000" w:themeColor="text1"/>
          <w:sz w:val="25"/>
          <w:szCs w:val="25"/>
          <w:lang w:eastAsia="it-IT"/>
        </w:rPr>
        <w:t xml:space="preserve"> estesa. Non contravverrebbe alla Convenzione, </w:t>
      </w:r>
      <w:r w:rsidRPr="00AF336A">
        <w:rPr>
          <w:rFonts w:eastAsia="Times New Roman"/>
          <w:color w:val="000000" w:themeColor="text1"/>
          <w:sz w:val="25"/>
          <w:szCs w:val="25"/>
          <w:lang w:eastAsia="it-IT"/>
        </w:rPr>
        <w:t>pertanto</w:t>
      </w:r>
      <w:r w:rsidR="00205033" w:rsidRPr="00205033">
        <w:rPr>
          <w:rFonts w:eastAsia="Times New Roman"/>
          <w:color w:val="000000" w:themeColor="text1"/>
          <w:sz w:val="25"/>
          <w:szCs w:val="25"/>
          <w:lang w:eastAsia="it-IT"/>
        </w:rPr>
        <w:t xml:space="preserve">, uno Stato il quale assicuri nel proprio ordinamento una tutela dei diritti fondamentali superiore a quella, minima, richiesta dalla Convenzione. </w:t>
      </w:r>
    </w:p>
    <w:p w14:paraId="4CC4A6A1" w14:textId="32147DCC" w:rsidR="006172A7" w:rsidRPr="00AF336A" w:rsidRDefault="006172A7" w:rsidP="00144DEC">
      <w:pPr>
        <w:pStyle w:val="NormaleWeb"/>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Cedu e sistemi nazionali sono, quindi, complementari</w:t>
      </w:r>
      <w:r w:rsidR="00DB38A4" w:rsidRPr="00AF336A">
        <w:rPr>
          <w:rFonts w:eastAsia="Times New Roman"/>
          <w:color w:val="000000" w:themeColor="text1"/>
          <w:sz w:val="25"/>
          <w:szCs w:val="25"/>
          <w:lang w:eastAsia="it-IT"/>
        </w:rPr>
        <w:t xml:space="preserve"> e concorrenti nella tutela dei diritti fondamentali, non reciprocamente escludenti</w:t>
      </w:r>
      <w:r w:rsidRPr="00AF336A">
        <w:rPr>
          <w:rFonts w:eastAsia="Times New Roman"/>
          <w:color w:val="000000" w:themeColor="text1"/>
          <w:sz w:val="25"/>
          <w:szCs w:val="25"/>
          <w:lang w:eastAsia="it-IT"/>
        </w:rPr>
        <w:t>. I diritti convenzionali si applicano alla generalit</w:t>
      </w:r>
      <w:r w:rsidR="00A06213" w:rsidRPr="00AF336A">
        <w:rPr>
          <w:rFonts w:eastAsia="Times New Roman"/>
          <w:color w:val="000000" w:themeColor="text1"/>
          <w:sz w:val="25"/>
          <w:szCs w:val="25"/>
          <w:lang w:eastAsia="it-IT"/>
        </w:rPr>
        <w:t>à</w:t>
      </w:r>
      <w:r w:rsidRPr="00AF336A">
        <w:rPr>
          <w:rFonts w:eastAsia="Times New Roman"/>
          <w:color w:val="000000" w:themeColor="text1"/>
          <w:sz w:val="25"/>
          <w:szCs w:val="25"/>
          <w:lang w:eastAsia="it-IT"/>
        </w:rPr>
        <w:t xml:space="preserve"> dei rapporti giuridici dell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ordinamento nazionale e non mirano a sostituire i sistemi di protezione dei diritti fondamentali di ciascun ordinamento nazionale, ma si limitano a stabilire un controllo esterno rispetto ad essi qualora tali controlli non assicurino il livello di tutela voluto dalla Convenzione</w:t>
      </w:r>
      <w:r w:rsidR="00972A1A" w:rsidRPr="00AF336A">
        <w:rPr>
          <w:rStyle w:val="Rimandonotaapidipagina"/>
          <w:rFonts w:eastAsia="Times New Roman"/>
          <w:color w:val="000000" w:themeColor="text1"/>
          <w:sz w:val="25"/>
          <w:szCs w:val="25"/>
          <w:lang w:eastAsia="it-IT"/>
        </w:rPr>
        <w:footnoteReference w:id="3"/>
      </w:r>
      <w:r w:rsidRPr="00AF336A">
        <w:rPr>
          <w:rFonts w:eastAsia="Times New Roman"/>
          <w:color w:val="000000" w:themeColor="text1"/>
          <w:sz w:val="25"/>
          <w:szCs w:val="25"/>
          <w:lang w:eastAsia="it-IT"/>
        </w:rPr>
        <w:t xml:space="preserve">. </w:t>
      </w:r>
    </w:p>
    <w:p w14:paraId="69928480" w14:textId="715298E8" w:rsidR="00205033" w:rsidRPr="00AF336A" w:rsidRDefault="00205033"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G</w:t>
      </w:r>
      <w:r w:rsidR="004E2BDE" w:rsidRPr="00AF336A">
        <w:rPr>
          <w:color w:val="000000" w:themeColor="text1"/>
          <w:sz w:val="25"/>
          <w:szCs w:val="25"/>
        </w:rPr>
        <w:t>ià questo induce ad una riflessione</w:t>
      </w:r>
      <w:r w:rsidRPr="00AF336A">
        <w:rPr>
          <w:color w:val="000000" w:themeColor="text1"/>
          <w:sz w:val="25"/>
          <w:szCs w:val="25"/>
        </w:rPr>
        <w:t xml:space="preserve"> o, meglio, ad un interrogativo: come possa violare i “controlimiti” </w:t>
      </w:r>
      <w:r w:rsidR="004E2BDE" w:rsidRPr="00AF336A">
        <w:rPr>
          <w:color w:val="000000" w:themeColor="text1"/>
          <w:sz w:val="25"/>
          <w:szCs w:val="25"/>
        </w:rPr>
        <w:t xml:space="preserve">una convenzione internazionale che </w:t>
      </w:r>
      <w:r w:rsidRPr="00AF336A">
        <w:rPr>
          <w:color w:val="000000" w:themeColor="text1"/>
          <w:sz w:val="25"/>
          <w:szCs w:val="25"/>
        </w:rPr>
        <w:t>ha come scopo esclusivo la protezione dei</w:t>
      </w:r>
      <w:r w:rsidR="004E2BDE" w:rsidRPr="00AF336A">
        <w:rPr>
          <w:color w:val="000000" w:themeColor="text1"/>
          <w:sz w:val="25"/>
          <w:szCs w:val="25"/>
        </w:rPr>
        <w:t xml:space="preserve"> diritti fondamentali</w:t>
      </w:r>
      <w:r w:rsidR="00A06213" w:rsidRPr="00AF336A">
        <w:rPr>
          <w:color w:val="000000" w:themeColor="text1"/>
          <w:sz w:val="25"/>
          <w:szCs w:val="25"/>
        </w:rPr>
        <w:t xml:space="preserve"> e</w:t>
      </w:r>
      <w:r w:rsidR="004E2BDE" w:rsidRPr="00AF336A">
        <w:rPr>
          <w:color w:val="000000" w:themeColor="text1"/>
          <w:sz w:val="25"/>
          <w:szCs w:val="25"/>
        </w:rPr>
        <w:t xml:space="preserve"> che</w:t>
      </w:r>
      <w:r w:rsidRPr="00AF336A">
        <w:rPr>
          <w:color w:val="000000" w:themeColor="text1"/>
          <w:sz w:val="25"/>
          <w:szCs w:val="25"/>
        </w:rPr>
        <w:t xml:space="preserve"> “permette” una maggiore protezione da parte degli Stati, limitandosi, quindi, a prevedere un obbligo minimo di tutela.</w:t>
      </w:r>
    </w:p>
    <w:p w14:paraId="7B279574" w14:textId="57052CA7" w:rsidR="00207DD8" w:rsidRPr="00AF336A" w:rsidRDefault="00205033"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E</w:t>
      </w:r>
      <w:r w:rsidR="004E2BDE" w:rsidRPr="00AF336A">
        <w:rPr>
          <w:color w:val="000000" w:themeColor="text1"/>
          <w:sz w:val="25"/>
          <w:szCs w:val="25"/>
        </w:rPr>
        <w:t xml:space="preserve">d infatti il problema dei controlimiti rispetto alla </w:t>
      </w:r>
      <w:r w:rsidR="00882A4A" w:rsidRPr="00AF336A">
        <w:rPr>
          <w:color w:val="000000" w:themeColor="text1"/>
          <w:sz w:val="25"/>
          <w:szCs w:val="25"/>
        </w:rPr>
        <w:t>Cedu</w:t>
      </w:r>
      <w:r w:rsidR="004E2BDE" w:rsidRPr="00AF336A">
        <w:rPr>
          <w:color w:val="000000" w:themeColor="text1"/>
          <w:sz w:val="25"/>
          <w:szCs w:val="25"/>
        </w:rPr>
        <w:t xml:space="preserve"> </w:t>
      </w:r>
      <w:r w:rsidR="00207DD8" w:rsidRPr="00AF336A">
        <w:rPr>
          <w:color w:val="000000" w:themeColor="text1"/>
          <w:sz w:val="25"/>
          <w:szCs w:val="25"/>
        </w:rPr>
        <w:t xml:space="preserve">si è posto </w:t>
      </w:r>
      <w:r w:rsidR="004E2BDE" w:rsidRPr="00AF336A">
        <w:rPr>
          <w:color w:val="000000" w:themeColor="text1"/>
          <w:sz w:val="25"/>
          <w:szCs w:val="25"/>
        </w:rPr>
        <w:t>in maniera diversa</w:t>
      </w:r>
      <w:r w:rsidRPr="00AF336A">
        <w:rPr>
          <w:color w:val="000000" w:themeColor="text1"/>
          <w:sz w:val="25"/>
          <w:szCs w:val="25"/>
        </w:rPr>
        <w:t xml:space="preserve"> rispetto all</w:t>
      </w:r>
      <w:r w:rsidR="00144DEC" w:rsidRPr="00AF336A">
        <w:rPr>
          <w:color w:val="000000" w:themeColor="text1"/>
          <w:sz w:val="25"/>
          <w:szCs w:val="25"/>
        </w:rPr>
        <w:t>’</w:t>
      </w:r>
      <w:r w:rsidRPr="00AF336A">
        <w:rPr>
          <w:color w:val="000000" w:themeColor="text1"/>
          <w:sz w:val="25"/>
          <w:szCs w:val="25"/>
        </w:rPr>
        <w:t>Unione europea</w:t>
      </w:r>
      <w:r w:rsidR="00207DD8" w:rsidRPr="00AF336A">
        <w:rPr>
          <w:color w:val="000000" w:themeColor="text1"/>
          <w:sz w:val="25"/>
          <w:szCs w:val="25"/>
        </w:rPr>
        <w:t>; si è</w:t>
      </w:r>
      <w:r w:rsidR="004E2BDE" w:rsidRPr="00AF336A">
        <w:rPr>
          <w:color w:val="000000" w:themeColor="text1"/>
          <w:sz w:val="25"/>
          <w:szCs w:val="25"/>
        </w:rPr>
        <w:t xml:space="preserve"> posto</w:t>
      </w:r>
      <w:r w:rsidR="00A06213" w:rsidRPr="00AF336A">
        <w:rPr>
          <w:color w:val="000000" w:themeColor="text1"/>
          <w:sz w:val="25"/>
          <w:szCs w:val="25"/>
        </w:rPr>
        <w:t>,</w:t>
      </w:r>
      <w:r w:rsidR="004E2BDE" w:rsidRPr="00AF336A">
        <w:rPr>
          <w:color w:val="000000" w:themeColor="text1"/>
          <w:sz w:val="25"/>
          <w:szCs w:val="25"/>
        </w:rPr>
        <w:t xml:space="preserve"> soprattutto</w:t>
      </w:r>
      <w:r w:rsidR="00A06213" w:rsidRPr="00AF336A">
        <w:rPr>
          <w:color w:val="000000" w:themeColor="text1"/>
          <w:sz w:val="25"/>
          <w:szCs w:val="25"/>
        </w:rPr>
        <w:t>,</w:t>
      </w:r>
      <w:r w:rsidR="004E2BDE" w:rsidRPr="00AF336A">
        <w:rPr>
          <w:color w:val="000000" w:themeColor="text1"/>
          <w:sz w:val="25"/>
          <w:szCs w:val="25"/>
        </w:rPr>
        <w:t xml:space="preserve"> sotto il profilo del bilanciamento </w:t>
      </w:r>
      <w:r w:rsidR="00A06213" w:rsidRPr="00AF336A">
        <w:rPr>
          <w:color w:val="000000" w:themeColor="text1"/>
          <w:sz w:val="25"/>
          <w:szCs w:val="25"/>
        </w:rPr>
        <w:t>fra</w:t>
      </w:r>
      <w:r w:rsidR="004E2BDE" w:rsidRPr="00AF336A">
        <w:rPr>
          <w:color w:val="000000" w:themeColor="text1"/>
          <w:sz w:val="25"/>
          <w:szCs w:val="25"/>
        </w:rPr>
        <w:t xml:space="preserve"> valori</w:t>
      </w:r>
      <w:r w:rsidR="00207DD8" w:rsidRPr="00AF336A">
        <w:rPr>
          <w:color w:val="000000" w:themeColor="text1"/>
          <w:sz w:val="25"/>
          <w:szCs w:val="25"/>
        </w:rPr>
        <w:t>,</w:t>
      </w:r>
      <w:r w:rsidR="004E2BDE" w:rsidRPr="00AF336A">
        <w:rPr>
          <w:color w:val="000000" w:themeColor="text1"/>
          <w:sz w:val="25"/>
          <w:szCs w:val="25"/>
        </w:rPr>
        <w:t xml:space="preserve"> del bilanciamento </w:t>
      </w:r>
      <w:r w:rsidR="00A06213" w:rsidRPr="00AF336A">
        <w:rPr>
          <w:color w:val="000000" w:themeColor="text1"/>
          <w:sz w:val="25"/>
          <w:szCs w:val="25"/>
        </w:rPr>
        <w:t xml:space="preserve">fra diversi </w:t>
      </w:r>
      <w:r w:rsidR="004E2BDE" w:rsidRPr="00AF336A">
        <w:rPr>
          <w:color w:val="000000" w:themeColor="text1"/>
          <w:sz w:val="25"/>
          <w:szCs w:val="25"/>
        </w:rPr>
        <w:t>diritti</w:t>
      </w:r>
      <w:r w:rsidR="00A06213" w:rsidRPr="00AF336A">
        <w:rPr>
          <w:color w:val="000000" w:themeColor="text1"/>
          <w:sz w:val="25"/>
          <w:szCs w:val="25"/>
        </w:rPr>
        <w:t xml:space="preserve"> fondamentali</w:t>
      </w:r>
      <w:r w:rsidR="00207DD8" w:rsidRPr="00AF336A">
        <w:rPr>
          <w:color w:val="000000" w:themeColor="text1"/>
          <w:sz w:val="25"/>
          <w:szCs w:val="25"/>
        </w:rPr>
        <w:t xml:space="preserve">. </w:t>
      </w:r>
      <w:r w:rsidR="006172A7" w:rsidRPr="00AF336A">
        <w:rPr>
          <w:rFonts w:eastAsia="Times New Roman"/>
          <w:color w:val="000000" w:themeColor="text1"/>
          <w:sz w:val="25"/>
          <w:szCs w:val="25"/>
          <w:lang w:eastAsia="it-IT"/>
        </w:rPr>
        <w:t>Il criterio della protezione più estesa non è sempre di così agevole soluzione, in particolare allorché la tutela che un certo sistema assicur</w:t>
      </w:r>
      <w:r w:rsidR="00972A1A" w:rsidRPr="00AF336A">
        <w:rPr>
          <w:rFonts w:eastAsia="Times New Roman"/>
          <w:color w:val="000000" w:themeColor="text1"/>
          <w:sz w:val="25"/>
          <w:szCs w:val="25"/>
          <w:lang w:eastAsia="it-IT"/>
        </w:rPr>
        <w:t>a</w:t>
      </w:r>
      <w:r w:rsidR="006172A7" w:rsidRPr="00AF336A">
        <w:rPr>
          <w:rFonts w:eastAsia="Times New Roman"/>
          <w:color w:val="000000" w:themeColor="text1"/>
          <w:sz w:val="25"/>
          <w:szCs w:val="25"/>
          <w:lang w:eastAsia="it-IT"/>
        </w:rPr>
        <w:t xml:space="preserve"> ad un diritto individuale emerge da un processo di bilanciamento con un altro diritto individuale. </w:t>
      </w:r>
      <w:r w:rsidR="006172A7" w:rsidRPr="00AF336A">
        <w:rPr>
          <w:color w:val="000000" w:themeColor="text1"/>
          <w:sz w:val="25"/>
          <w:szCs w:val="25"/>
        </w:rPr>
        <w:t>A</w:t>
      </w:r>
      <w:r w:rsidR="004E2BDE" w:rsidRPr="00AF336A">
        <w:rPr>
          <w:color w:val="000000" w:themeColor="text1"/>
          <w:sz w:val="25"/>
          <w:szCs w:val="25"/>
        </w:rPr>
        <w:t xml:space="preserve">nche la nostra Corte costituzionale </w:t>
      </w:r>
      <w:r w:rsidR="00207DD8" w:rsidRPr="00AF336A">
        <w:rPr>
          <w:color w:val="000000" w:themeColor="text1"/>
          <w:sz w:val="25"/>
          <w:szCs w:val="25"/>
        </w:rPr>
        <w:t xml:space="preserve">ci ha insegnato </w:t>
      </w:r>
      <w:r w:rsidR="004E2BDE" w:rsidRPr="00AF336A">
        <w:rPr>
          <w:color w:val="000000" w:themeColor="text1"/>
          <w:sz w:val="25"/>
          <w:szCs w:val="25"/>
        </w:rPr>
        <w:t>che non c</w:t>
      </w:r>
      <w:r w:rsidR="00144DEC" w:rsidRPr="00AF336A">
        <w:rPr>
          <w:color w:val="000000" w:themeColor="text1"/>
          <w:sz w:val="25"/>
          <w:szCs w:val="25"/>
        </w:rPr>
        <w:t>’</w:t>
      </w:r>
      <w:r w:rsidR="004E2BDE" w:rsidRPr="00AF336A">
        <w:rPr>
          <w:color w:val="000000" w:themeColor="text1"/>
          <w:sz w:val="25"/>
          <w:szCs w:val="25"/>
        </w:rPr>
        <w:t>è una gerarchia</w:t>
      </w:r>
      <w:r w:rsidR="006172A7" w:rsidRPr="00AF336A">
        <w:rPr>
          <w:color w:val="000000" w:themeColor="text1"/>
          <w:sz w:val="25"/>
          <w:szCs w:val="25"/>
        </w:rPr>
        <w:t xml:space="preserve"> tra diritti fondamentali: essi</w:t>
      </w:r>
      <w:r w:rsidR="003164C5">
        <w:rPr>
          <w:color w:val="000000" w:themeColor="text1"/>
          <w:sz w:val="25"/>
          <w:szCs w:val="25"/>
        </w:rPr>
        <w:t xml:space="preserve"> </w:t>
      </w:r>
      <w:r w:rsidR="004E2BDE" w:rsidRPr="00AF336A">
        <w:rPr>
          <w:color w:val="000000" w:themeColor="text1"/>
          <w:sz w:val="25"/>
          <w:szCs w:val="25"/>
        </w:rPr>
        <w:t xml:space="preserve">vanno bilanciati </w:t>
      </w:r>
      <w:r w:rsidR="00207DD8" w:rsidRPr="00AF336A">
        <w:rPr>
          <w:color w:val="000000" w:themeColor="text1"/>
          <w:sz w:val="25"/>
          <w:szCs w:val="25"/>
        </w:rPr>
        <w:t xml:space="preserve">e </w:t>
      </w:r>
      <w:r w:rsidR="004E2BDE" w:rsidRPr="00AF336A">
        <w:rPr>
          <w:color w:val="000000" w:themeColor="text1"/>
          <w:sz w:val="25"/>
          <w:szCs w:val="25"/>
        </w:rPr>
        <w:t>questo bilanciamento è frutto di una valutazione discrezionale affidata di volta in volta</w:t>
      </w:r>
      <w:r w:rsidR="003164C5">
        <w:rPr>
          <w:color w:val="000000" w:themeColor="text1"/>
          <w:sz w:val="25"/>
          <w:szCs w:val="25"/>
        </w:rPr>
        <w:t xml:space="preserve"> </w:t>
      </w:r>
      <w:r w:rsidR="004E2BDE" w:rsidRPr="00AF336A">
        <w:rPr>
          <w:color w:val="000000" w:themeColor="text1"/>
          <w:sz w:val="25"/>
          <w:szCs w:val="25"/>
        </w:rPr>
        <w:t>al legislatore</w:t>
      </w:r>
      <w:r w:rsidR="00207DD8" w:rsidRPr="00AF336A">
        <w:rPr>
          <w:color w:val="000000" w:themeColor="text1"/>
          <w:sz w:val="25"/>
          <w:szCs w:val="25"/>
        </w:rPr>
        <w:t xml:space="preserve">. E </w:t>
      </w:r>
      <w:r w:rsidR="004E2BDE" w:rsidRPr="00AF336A">
        <w:rPr>
          <w:color w:val="000000" w:themeColor="text1"/>
          <w:sz w:val="25"/>
          <w:szCs w:val="25"/>
        </w:rPr>
        <w:t>allora non c</w:t>
      </w:r>
      <w:r w:rsidR="00144DEC" w:rsidRPr="00AF336A">
        <w:rPr>
          <w:color w:val="000000" w:themeColor="text1"/>
          <w:sz w:val="25"/>
          <w:szCs w:val="25"/>
        </w:rPr>
        <w:t>’</w:t>
      </w:r>
      <w:r w:rsidR="004E2BDE" w:rsidRPr="00AF336A">
        <w:rPr>
          <w:color w:val="000000" w:themeColor="text1"/>
          <w:sz w:val="25"/>
          <w:szCs w:val="25"/>
        </w:rPr>
        <w:t>è dubbio che questo bilanciamento p</w:t>
      </w:r>
      <w:r w:rsidR="006172A7" w:rsidRPr="00AF336A">
        <w:rPr>
          <w:color w:val="000000" w:themeColor="text1"/>
          <w:sz w:val="25"/>
          <w:szCs w:val="25"/>
        </w:rPr>
        <w:t>ossa</w:t>
      </w:r>
      <w:r w:rsidR="004E2BDE" w:rsidRPr="00AF336A">
        <w:rPr>
          <w:color w:val="000000" w:themeColor="text1"/>
          <w:sz w:val="25"/>
          <w:szCs w:val="25"/>
        </w:rPr>
        <w:t xml:space="preserve"> trovare a livello </w:t>
      </w:r>
      <w:r w:rsidR="00882A4A" w:rsidRPr="00AF336A">
        <w:rPr>
          <w:color w:val="000000" w:themeColor="text1"/>
          <w:sz w:val="25"/>
          <w:szCs w:val="25"/>
        </w:rPr>
        <w:t>Cedu</w:t>
      </w:r>
      <w:r w:rsidR="004E2BDE" w:rsidRPr="00AF336A">
        <w:rPr>
          <w:color w:val="000000" w:themeColor="text1"/>
          <w:sz w:val="25"/>
          <w:szCs w:val="25"/>
        </w:rPr>
        <w:t xml:space="preserve"> un punto di equilibrio differente rispetto a quello che trova a livello nazionale</w:t>
      </w:r>
      <w:r w:rsidR="006172A7" w:rsidRPr="00AF336A">
        <w:rPr>
          <w:color w:val="000000" w:themeColor="text1"/>
          <w:sz w:val="25"/>
          <w:szCs w:val="25"/>
        </w:rPr>
        <w:t xml:space="preserve">. </w:t>
      </w:r>
      <w:r w:rsidR="00A06213" w:rsidRPr="00AF336A">
        <w:rPr>
          <w:color w:val="000000" w:themeColor="text1"/>
          <w:sz w:val="25"/>
          <w:szCs w:val="25"/>
        </w:rPr>
        <w:t>È per questo che,</w:t>
      </w:r>
      <w:r w:rsidR="004E2BDE" w:rsidRPr="00AF336A">
        <w:rPr>
          <w:color w:val="000000" w:themeColor="text1"/>
          <w:sz w:val="25"/>
          <w:szCs w:val="25"/>
        </w:rPr>
        <w:t xml:space="preserve"> normalmente</w:t>
      </w:r>
      <w:r w:rsidR="00207DD8" w:rsidRPr="00AF336A">
        <w:rPr>
          <w:color w:val="000000" w:themeColor="text1"/>
          <w:sz w:val="25"/>
          <w:szCs w:val="25"/>
        </w:rPr>
        <w:t>,</w:t>
      </w:r>
      <w:r w:rsidR="004E2BDE" w:rsidRPr="00AF336A">
        <w:rPr>
          <w:color w:val="000000" w:themeColor="text1"/>
          <w:sz w:val="25"/>
          <w:szCs w:val="25"/>
        </w:rPr>
        <w:t xml:space="preserve"> i momenti di attrito e </w:t>
      </w:r>
      <w:r w:rsidR="00207DD8" w:rsidRPr="00AF336A">
        <w:rPr>
          <w:color w:val="000000" w:themeColor="text1"/>
          <w:sz w:val="25"/>
          <w:szCs w:val="25"/>
        </w:rPr>
        <w:t xml:space="preserve">di contrasto riguardano </w:t>
      </w:r>
      <w:r w:rsidR="00A06213" w:rsidRPr="00AF336A">
        <w:rPr>
          <w:color w:val="000000" w:themeColor="text1"/>
          <w:sz w:val="25"/>
          <w:szCs w:val="25"/>
        </w:rPr>
        <w:t>il</w:t>
      </w:r>
      <w:r w:rsidR="004E2BDE" w:rsidRPr="00AF336A">
        <w:rPr>
          <w:color w:val="000000" w:themeColor="text1"/>
          <w:sz w:val="25"/>
          <w:szCs w:val="25"/>
        </w:rPr>
        <w:t xml:space="preserve"> diverso </w:t>
      </w:r>
      <w:r w:rsidR="00207DD8" w:rsidRPr="00AF336A">
        <w:rPr>
          <w:color w:val="000000" w:themeColor="text1"/>
          <w:sz w:val="25"/>
          <w:szCs w:val="25"/>
        </w:rPr>
        <w:t>equilibrio nel</w:t>
      </w:r>
      <w:r w:rsidR="004E2BDE" w:rsidRPr="00AF336A">
        <w:rPr>
          <w:color w:val="000000" w:themeColor="text1"/>
          <w:sz w:val="25"/>
          <w:szCs w:val="25"/>
        </w:rPr>
        <w:t xml:space="preserve"> bilanciamento</w:t>
      </w:r>
      <w:r w:rsidR="00673F37">
        <w:rPr>
          <w:color w:val="000000" w:themeColor="text1"/>
          <w:sz w:val="25"/>
          <w:szCs w:val="25"/>
        </w:rPr>
        <w:t>:</w:t>
      </w:r>
      <w:r w:rsidR="00545921" w:rsidRPr="00AF336A">
        <w:rPr>
          <w:color w:val="000000" w:themeColor="text1"/>
          <w:sz w:val="25"/>
          <w:szCs w:val="25"/>
        </w:rPr>
        <w:t xml:space="preserve"> </w:t>
      </w:r>
      <w:r w:rsidR="004E2BDE" w:rsidRPr="00AF336A">
        <w:rPr>
          <w:color w:val="000000" w:themeColor="text1"/>
          <w:sz w:val="25"/>
          <w:szCs w:val="25"/>
        </w:rPr>
        <w:t>un problema essenzialmente di giudizio</w:t>
      </w:r>
      <w:r w:rsidR="006172A7" w:rsidRPr="00AF336A">
        <w:rPr>
          <w:color w:val="000000" w:themeColor="text1"/>
          <w:sz w:val="25"/>
          <w:szCs w:val="25"/>
        </w:rPr>
        <w:t xml:space="preserve"> assiologico, </w:t>
      </w:r>
      <w:r w:rsidR="004E2BDE" w:rsidRPr="00AF336A">
        <w:rPr>
          <w:color w:val="000000" w:themeColor="text1"/>
          <w:sz w:val="25"/>
          <w:szCs w:val="25"/>
        </w:rPr>
        <w:t>di comparazione</w:t>
      </w:r>
      <w:r w:rsidR="003164C5">
        <w:rPr>
          <w:color w:val="000000" w:themeColor="text1"/>
          <w:sz w:val="25"/>
          <w:szCs w:val="25"/>
        </w:rPr>
        <w:t xml:space="preserve"> </w:t>
      </w:r>
      <w:r w:rsidR="004E2BDE" w:rsidRPr="00AF336A">
        <w:rPr>
          <w:color w:val="000000" w:themeColor="text1"/>
          <w:sz w:val="25"/>
          <w:szCs w:val="25"/>
        </w:rPr>
        <w:t>di valori</w:t>
      </w:r>
      <w:r w:rsidR="00207DD8" w:rsidRPr="00AF336A">
        <w:rPr>
          <w:color w:val="000000" w:themeColor="text1"/>
          <w:sz w:val="25"/>
          <w:szCs w:val="25"/>
        </w:rPr>
        <w:t>, l</w:t>
      </w:r>
      <w:r w:rsidR="004E2BDE" w:rsidRPr="00AF336A">
        <w:rPr>
          <w:color w:val="000000" w:themeColor="text1"/>
          <w:sz w:val="25"/>
          <w:szCs w:val="25"/>
        </w:rPr>
        <w:t>addove</w:t>
      </w:r>
      <w:r w:rsidR="006172A7" w:rsidRPr="00AF336A">
        <w:rPr>
          <w:color w:val="000000" w:themeColor="text1"/>
          <w:sz w:val="25"/>
          <w:szCs w:val="25"/>
        </w:rPr>
        <w:t>, ad esempio,</w:t>
      </w:r>
      <w:r w:rsidR="004E2BDE" w:rsidRPr="00AF336A">
        <w:rPr>
          <w:color w:val="000000" w:themeColor="text1"/>
          <w:sz w:val="25"/>
          <w:szCs w:val="25"/>
        </w:rPr>
        <w:t xml:space="preserve"> la </w:t>
      </w:r>
      <w:r w:rsidR="00882A4A" w:rsidRPr="00AF336A">
        <w:rPr>
          <w:color w:val="000000" w:themeColor="text1"/>
          <w:sz w:val="25"/>
          <w:szCs w:val="25"/>
        </w:rPr>
        <w:t>Cedu</w:t>
      </w:r>
      <w:r w:rsidR="004E2BDE" w:rsidRPr="00AF336A">
        <w:rPr>
          <w:color w:val="000000" w:themeColor="text1"/>
          <w:sz w:val="25"/>
          <w:szCs w:val="25"/>
        </w:rPr>
        <w:t xml:space="preserve"> rit</w:t>
      </w:r>
      <w:r w:rsidR="00972A1A" w:rsidRPr="00AF336A">
        <w:rPr>
          <w:color w:val="000000" w:themeColor="text1"/>
          <w:sz w:val="25"/>
          <w:szCs w:val="25"/>
        </w:rPr>
        <w:t>enga</w:t>
      </w:r>
      <w:r w:rsidR="004E2BDE" w:rsidRPr="00AF336A">
        <w:rPr>
          <w:color w:val="000000" w:themeColor="text1"/>
          <w:sz w:val="25"/>
          <w:szCs w:val="25"/>
        </w:rPr>
        <w:t xml:space="preserve"> non sacrificabil</w:t>
      </w:r>
      <w:r w:rsidR="00207DD8" w:rsidRPr="00AF336A">
        <w:rPr>
          <w:color w:val="000000" w:themeColor="text1"/>
          <w:sz w:val="25"/>
          <w:szCs w:val="25"/>
        </w:rPr>
        <w:t>e</w:t>
      </w:r>
      <w:r w:rsidR="004E2BDE" w:rsidRPr="00AF336A">
        <w:rPr>
          <w:color w:val="000000" w:themeColor="text1"/>
          <w:sz w:val="25"/>
          <w:szCs w:val="25"/>
        </w:rPr>
        <w:t xml:space="preserve"> in nome di un certo valore quello che</w:t>
      </w:r>
      <w:r w:rsidR="006172A7" w:rsidRPr="00AF336A">
        <w:rPr>
          <w:color w:val="000000" w:themeColor="text1"/>
          <w:sz w:val="25"/>
          <w:szCs w:val="25"/>
        </w:rPr>
        <w:t>, al contrario,</w:t>
      </w:r>
      <w:r w:rsidR="004E2BDE" w:rsidRPr="00AF336A">
        <w:rPr>
          <w:color w:val="000000" w:themeColor="text1"/>
          <w:sz w:val="25"/>
          <w:szCs w:val="25"/>
        </w:rPr>
        <w:t xml:space="preserve"> la </w:t>
      </w:r>
      <w:r w:rsidR="006172A7" w:rsidRPr="00AF336A">
        <w:rPr>
          <w:color w:val="000000" w:themeColor="text1"/>
          <w:sz w:val="25"/>
          <w:szCs w:val="25"/>
        </w:rPr>
        <w:t xml:space="preserve">Corte costituzionale </w:t>
      </w:r>
      <w:r w:rsidR="004E2BDE" w:rsidRPr="00AF336A">
        <w:rPr>
          <w:color w:val="000000" w:themeColor="text1"/>
          <w:sz w:val="25"/>
          <w:szCs w:val="25"/>
        </w:rPr>
        <w:t>rit</w:t>
      </w:r>
      <w:r w:rsidR="00972A1A" w:rsidRPr="00AF336A">
        <w:rPr>
          <w:color w:val="000000" w:themeColor="text1"/>
          <w:sz w:val="25"/>
          <w:szCs w:val="25"/>
        </w:rPr>
        <w:t>enga</w:t>
      </w:r>
      <w:r w:rsidR="004E2BDE" w:rsidRPr="00AF336A">
        <w:rPr>
          <w:color w:val="000000" w:themeColor="text1"/>
          <w:sz w:val="25"/>
          <w:szCs w:val="25"/>
        </w:rPr>
        <w:t xml:space="preserve"> invece sacrificabile</w:t>
      </w:r>
      <w:r w:rsidR="006172A7" w:rsidRPr="00AF336A">
        <w:rPr>
          <w:color w:val="000000" w:themeColor="text1"/>
          <w:sz w:val="25"/>
          <w:szCs w:val="25"/>
        </w:rPr>
        <w:t xml:space="preserve">, sulla base di un diverso bilanciamento. </w:t>
      </w:r>
    </w:p>
    <w:p w14:paraId="29A77D9A" w14:textId="77777777" w:rsidR="00545921" w:rsidRPr="00AF336A" w:rsidRDefault="00545921" w:rsidP="00144DEC">
      <w:pPr>
        <w:pStyle w:val="NormaleWeb"/>
        <w:spacing w:after="0" w:line="240" w:lineRule="auto"/>
        <w:ind w:firstLine="454"/>
        <w:jc w:val="both"/>
        <w:rPr>
          <w:rFonts w:eastAsia="Times New Roman"/>
          <w:color w:val="000000" w:themeColor="text1"/>
          <w:sz w:val="25"/>
          <w:szCs w:val="25"/>
          <w:lang w:eastAsia="it-IT"/>
        </w:rPr>
      </w:pPr>
    </w:p>
    <w:p w14:paraId="6AA07528" w14:textId="378ED5F7" w:rsidR="00545921" w:rsidRPr="00AF336A" w:rsidRDefault="00C63323" w:rsidP="00144DEC">
      <w:pPr>
        <w:spacing w:after="0" w:line="240" w:lineRule="auto"/>
        <w:ind w:firstLine="454"/>
        <w:jc w:val="both"/>
        <w:rPr>
          <w:b/>
          <w:bCs/>
          <w:color w:val="000000" w:themeColor="text1"/>
          <w:sz w:val="25"/>
          <w:szCs w:val="25"/>
        </w:rPr>
      </w:pPr>
      <w:r w:rsidRPr="00AF336A">
        <w:rPr>
          <w:b/>
          <w:bCs/>
          <w:color w:val="000000" w:themeColor="text1"/>
          <w:sz w:val="25"/>
          <w:szCs w:val="25"/>
        </w:rPr>
        <w:t xml:space="preserve">3.1. </w:t>
      </w:r>
      <w:r w:rsidR="00545921" w:rsidRPr="00AF336A">
        <w:rPr>
          <w:b/>
          <w:bCs/>
          <w:color w:val="000000" w:themeColor="text1"/>
          <w:sz w:val="25"/>
          <w:szCs w:val="25"/>
        </w:rPr>
        <w:t>Le vie d</w:t>
      </w:r>
      <w:r w:rsidR="00144DEC" w:rsidRPr="00AF336A">
        <w:rPr>
          <w:b/>
          <w:bCs/>
          <w:color w:val="000000" w:themeColor="text1"/>
          <w:sz w:val="25"/>
          <w:szCs w:val="25"/>
        </w:rPr>
        <w:t>’</w:t>
      </w:r>
      <w:r w:rsidR="00545921" w:rsidRPr="00AF336A">
        <w:rPr>
          <w:b/>
          <w:bCs/>
          <w:color w:val="000000" w:themeColor="text1"/>
          <w:sz w:val="25"/>
          <w:szCs w:val="25"/>
        </w:rPr>
        <w:t>uscita per non attiva</w:t>
      </w:r>
      <w:r w:rsidR="00972A1A" w:rsidRPr="00AF336A">
        <w:rPr>
          <w:b/>
          <w:bCs/>
          <w:color w:val="000000" w:themeColor="text1"/>
          <w:sz w:val="25"/>
          <w:szCs w:val="25"/>
        </w:rPr>
        <w:t>re</w:t>
      </w:r>
      <w:r w:rsidR="00545921" w:rsidRPr="00AF336A">
        <w:rPr>
          <w:b/>
          <w:bCs/>
          <w:color w:val="000000" w:themeColor="text1"/>
          <w:sz w:val="25"/>
          <w:szCs w:val="25"/>
        </w:rPr>
        <w:t xml:space="preserve"> i controlimiti rispetto alla CEDU</w:t>
      </w:r>
      <w:r w:rsidR="00183837" w:rsidRPr="00AF336A">
        <w:rPr>
          <w:b/>
          <w:bCs/>
          <w:color w:val="000000" w:themeColor="text1"/>
          <w:sz w:val="25"/>
          <w:szCs w:val="25"/>
        </w:rPr>
        <w:t>: non tutte le sentenze della Corte di Strasburgo creano un vincolo interpretativo per il giudice nazionale</w:t>
      </w:r>
      <w:r w:rsidR="006F3343">
        <w:rPr>
          <w:b/>
          <w:bCs/>
          <w:color w:val="000000" w:themeColor="text1"/>
          <w:sz w:val="25"/>
          <w:szCs w:val="25"/>
        </w:rPr>
        <w:t>.</w:t>
      </w:r>
    </w:p>
    <w:p w14:paraId="0352BAF6" w14:textId="39F9661E" w:rsidR="009B7012" w:rsidRPr="00AF336A" w:rsidRDefault="00207DD8" w:rsidP="00144DEC">
      <w:pPr>
        <w:spacing w:after="0" w:line="240" w:lineRule="auto"/>
        <w:ind w:firstLine="454"/>
        <w:jc w:val="both"/>
        <w:rPr>
          <w:color w:val="000000" w:themeColor="text1"/>
          <w:sz w:val="25"/>
          <w:szCs w:val="25"/>
        </w:rPr>
      </w:pPr>
      <w:r w:rsidRPr="00AF336A">
        <w:rPr>
          <w:color w:val="000000" w:themeColor="text1"/>
          <w:sz w:val="25"/>
          <w:szCs w:val="25"/>
        </w:rPr>
        <w:t>P</w:t>
      </w:r>
      <w:r w:rsidR="004E2BDE" w:rsidRPr="00AF336A">
        <w:rPr>
          <w:color w:val="000000" w:themeColor="text1"/>
          <w:sz w:val="25"/>
          <w:szCs w:val="25"/>
        </w:rPr>
        <w:t>erò anche s</w:t>
      </w:r>
      <w:r w:rsidR="006172A7" w:rsidRPr="00AF336A">
        <w:rPr>
          <w:color w:val="000000" w:themeColor="text1"/>
          <w:sz w:val="25"/>
          <w:szCs w:val="25"/>
        </w:rPr>
        <w:t>otto questo profilo</w:t>
      </w:r>
      <w:r w:rsidRPr="00AF336A">
        <w:rPr>
          <w:color w:val="000000" w:themeColor="text1"/>
          <w:sz w:val="25"/>
          <w:szCs w:val="25"/>
        </w:rPr>
        <w:t>,</w:t>
      </w:r>
      <w:r w:rsidR="004E2BDE" w:rsidRPr="00AF336A">
        <w:rPr>
          <w:color w:val="000000" w:themeColor="text1"/>
          <w:sz w:val="25"/>
          <w:szCs w:val="25"/>
        </w:rPr>
        <w:t xml:space="preserve"> </w:t>
      </w:r>
      <w:r w:rsidR="009B7012" w:rsidRPr="00AF336A">
        <w:rPr>
          <w:color w:val="000000" w:themeColor="text1"/>
          <w:sz w:val="25"/>
          <w:szCs w:val="25"/>
        </w:rPr>
        <w:t xml:space="preserve">rispetto alla Cedu, </w:t>
      </w:r>
      <w:r w:rsidR="004E2BDE" w:rsidRPr="00AF336A">
        <w:rPr>
          <w:color w:val="000000" w:themeColor="text1"/>
          <w:sz w:val="25"/>
          <w:szCs w:val="25"/>
        </w:rPr>
        <w:t xml:space="preserve">per </w:t>
      </w:r>
      <w:r w:rsidRPr="00AF336A">
        <w:rPr>
          <w:color w:val="000000" w:themeColor="text1"/>
          <w:sz w:val="25"/>
          <w:szCs w:val="25"/>
        </w:rPr>
        <w:t>“</w:t>
      </w:r>
      <w:r w:rsidR="004E2BDE" w:rsidRPr="00AF336A">
        <w:rPr>
          <w:color w:val="000000" w:themeColor="text1"/>
          <w:sz w:val="25"/>
          <w:szCs w:val="25"/>
        </w:rPr>
        <w:t>resistere</w:t>
      </w:r>
      <w:r w:rsidRPr="00AF336A">
        <w:rPr>
          <w:color w:val="000000" w:themeColor="text1"/>
          <w:sz w:val="25"/>
          <w:szCs w:val="25"/>
        </w:rPr>
        <w:t>” e “respingere”</w:t>
      </w:r>
      <w:r w:rsidR="004E2BDE" w:rsidRPr="00AF336A">
        <w:rPr>
          <w:color w:val="000000" w:themeColor="text1"/>
          <w:sz w:val="25"/>
          <w:szCs w:val="25"/>
        </w:rPr>
        <w:t xml:space="preserve"> giudizi di bilanciamento ritenuti non accettabili nel nostro ordinamento </w:t>
      </w:r>
      <w:r w:rsidR="009B7012" w:rsidRPr="00AF336A">
        <w:rPr>
          <w:color w:val="000000" w:themeColor="text1"/>
          <w:sz w:val="25"/>
          <w:szCs w:val="25"/>
        </w:rPr>
        <w:t xml:space="preserve">esistono </w:t>
      </w:r>
      <w:r w:rsidR="00545921" w:rsidRPr="00AF336A">
        <w:rPr>
          <w:color w:val="000000" w:themeColor="text1"/>
          <w:sz w:val="25"/>
          <w:szCs w:val="25"/>
        </w:rPr>
        <w:t>“</w:t>
      </w:r>
      <w:r w:rsidR="009B7012" w:rsidRPr="00AF336A">
        <w:rPr>
          <w:color w:val="000000" w:themeColor="text1"/>
          <w:sz w:val="25"/>
          <w:szCs w:val="25"/>
        </w:rPr>
        <w:t>vie d</w:t>
      </w:r>
      <w:r w:rsidR="00144DEC" w:rsidRPr="00AF336A">
        <w:rPr>
          <w:color w:val="000000" w:themeColor="text1"/>
          <w:sz w:val="25"/>
          <w:szCs w:val="25"/>
        </w:rPr>
        <w:t>’</w:t>
      </w:r>
      <w:r w:rsidR="009B7012" w:rsidRPr="00AF336A">
        <w:rPr>
          <w:color w:val="000000" w:themeColor="text1"/>
          <w:sz w:val="25"/>
          <w:szCs w:val="25"/>
        </w:rPr>
        <w:t>uscita</w:t>
      </w:r>
      <w:r w:rsidR="00545921" w:rsidRPr="00AF336A">
        <w:rPr>
          <w:color w:val="000000" w:themeColor="text1"/>
          <w:sz w:val="25"/>
          <w:szCs w:val="25"/>
        </w:rPr>
        <w:t>”</w:t>
      </w:r>
      <w:r w:rsidR="009B7012" w:rsidRPr="00AF336A">
        <w:rPr>
          <w:color w:val="000000" w:themeColor="text1"/>
          <w:sz w:val="25"/>
          <w:szCs w:val="25"/>
        </w:rPr>
        <w:t xml:space="preserve"> che il diritto dell</w:t>
      </w:r>
      <w:r w:rsidR="00144DEC" w:rsidRPr="00AF336A">
        <w:rPr>
          <w:color w:val="000000" w:themeColor="text1"/>
          <w:sz w:val="25"/>
          <w:szCs w:val="25"/>
        </w:rPr>
        <w:t>’</w:t>
      </w:r>
      <w:r w:rsidR="009B7012" w:rsidRPr="00AF336A">
        <w:rPr>
          <w:color w:val="000000" w:themeColor="text1"/>
          <w:sz w:val="25"/>
          <w:szCs w:val="25"/>
        </w:rPr>
        <w:t xml:space="preserve">U.E. normalmente non offre. </w:t>
      </w:r>
    </w:p>
    <w:p w14:paraId="0288D346" w14:textId="4B2ABC4A" w:rsidR="00A6799B" w:rsidRPr="00AF336A" w:rsidRDefault="009B7012" w:rsidP="00144DEC">
      <w:pPr>
        <w:spacing w:after="0" w:line="240" w:lineRule="auto"/>
        <w:ind w:firstLine="454"/>
        <w:jc w:val="both"/>
        <w:rPr>
          <w:color w:val="000000" w:themeColor="text1"/>
          <w:sz w:val="25"/>
          <w:szCs w:val="25"/>
        </w:rPr>
      </w:pPr>
      <w:r w:rsidRPr="00AF336A">
        <w:rPr>
          <w:color w:val="000000" w:themeColor="text1"/>
          <w:sz w:val="25"/>
          <w:szCs w:val="25"/>
        </w:rPr>
        <w:t>In primo luogo, c</w:t>
      </w:r>
      <w:r w:rsidR="00144DEC" w:rsidRPr="00AF336A">
        <w:rPr>
          <w:color w:val="000000" w:themeColor="text1"/>
          <w:sz w:val="25"/>
          <w:szCs w:val="25"/>
        </w:rPr>
        <w:t>’</w:t>
      </w:r>
      <w:r w:rsidRPr="00AF336A">
        <w:rPr>
          <w:color w:val="000000" w:themeColor="text1"/>
          <w:sz w:val="25"/>
          <w:szCs w:val="25"/>
        </w:rPr>
        <w:t xml:space="preserve">è </w:t>
      </w:r>
      <w:r w:rsidR="004E2BDE" w:rsidRPr="00AF336A">
        <w:rPr>
          <w:color w:val="000000" w:themeColor="text1"/>
          <w:sz w:val="25"/>
          <w:szCs w:val="25"/>
        </w:rPr>
        <w:t xml:space="preserve">la distinzione </w:t>
      </w:r>
      <w:r w:rsidRPr="00AF336A">
        <w:rPr>
          <w:color w:val="000000" w:themeColor="text1"/>
          <w:sz w:val="25"/>
          <w:szCs w:val="25"/>
        </w:rPr>
        <w:t xml:space="preserve">– </w:t>
      </w:r>
      <w:r w:rsidR="004E2BDE" w:rsidRPr="00AF336A">
        <w:rPr>
          <w:color w:val="000000" w:themeColor="text1"/>
          <w:sz w:val="25"/>
          <w:szCs w:val="25"/>
        </w:rPr>
        <w:t xml:space="preserve">che la Corte costituzionale </w:t>
      </w:r>
      <w:r w:rsidRPr="00AF336A">
        <w:rPr>
          <w:color w:val="000000" w:themeColor="text1"/>
          <w:sz w:val="25"/>
          <w:szCs w:val="25"/>
        </w:rPr>
        <w:t xml:space="preserve">ha tracciato </w:t>
      </w:r>
      <w:r w:rsidR="004E2BDE" w:rsidRPr="00AF336A">
        <w:rPr>
          <w:color w:val="000000" w:themeColor="text1"/>
          <w:sz w:val="25"/>
          <w:szCs w:val="25"/>
        </w:rPr>
        <w:t>in maniera piuttosto chiara</w:t>
      </w:r>
      <w:r w:rsidR="00D46F8E" w:rsidRPr="00AF336A">
        <w:rPr>
          <w:color w:val="000000" w:themeColor="text1"/>
          <w:sz w:val="25"/>
          <w:szCs w:val="25"/>
        </w:rPr>
        <w:t xml:space="preserve"> a partire dalla c.d. sentenza Varvara</w:t>
      </w:r>
      <w:r w:rsidR="00D609BB">
        <w:rPr>
          <w:rStyle w:val="Rimandonotaapidipagina"/>
          <w:color w:val="000000" w:themeColor="text1"/>
          <w:sz w:val="25"/>
          <w:szCs w:val="25"/>
        </w:rPr>
        <w:footnoteReference w:id="4"/>
      </w:r>
      <w:r w:rsidRPr="00AF336A">
        <w:rPr>
          <w:color w:val="000000" w:themeColor="text1"/>
          <w:sz w:val="25"/>
          <w:szCs w:val="25"/>
        </w:rPr>
        <w:t xml:space="preserve"> –</w:t>
      </w:r>
      <w:r w:rsidR="004E2BDE" w:rsidRPr="00AF336A">
        <w:rPr>
          <w:color w:val="000000" w:themeColor="text1"/>
          <w:sz w:val="25"/>
          <w:szCs w:val="25"/>
        </w:rPr>
        <w:t xml:space="preserve"> tra</w:t>
      </w:r>
      <w:r w:rsidRPr="00AF336A">
        <w:rPr>
          <w:color w:val="000000" w:themeColor="text1"/>
          <w:sz w:val="25"/>
          <w:szCs w:val="25"/>
        </w:rPr>
        <w:t xml:space="preserve"> le diverse</w:t>
      </w:r>
      <w:r w:rsidR="004E2BDE" w:rsidRPr="00AF336A">
        <w:rPr>
          <w:color w:val="000000" w:themeColor="text1"/>
          <w:sz w:val="25"/>
          <w:szCs w:val="25"/>
        </w:rPr>
        <w:t xml:space="preserve"> sentenze </w:t>
      </w:r>
      <w:r w:rsidRPr="00AF336A">
        <w:rPr>
          <w:color w:val="000000" w:themeColor="text1"/>
          <w:sz w:val="25"/>
          <w:szCs w:val="25"/>
        </w:rPr>
        <w:t>della Corte Edu</w:t>
      </w:r>
      <w:r w:rsidR="00A6799B" w:rsidRPr="00AF336A">
        <w:rPr>
          <w:color w:val="000000" w:themeColor="text1"/>
          <w:sz w:val="25"/>
          <w:szCs w:val="25"/>
        </w:rPr>
        <w:t xml:space="preserve">, </w:t>
      </w:r>
      <w:r w:rsidRPr="00AF336A">
        <w:rPr>
          <w:color w:val="000000" w:themeColor="text1"/>
          <w:sz w:val="25"/>
          <w:szCs w:val="25"/>
        </w:rPr>
        <w:t xml:space="preserve">sotto il profilo della loro </w:t>
      </w:r>
      <w:r w:rsidR="00A6799B" w:rsidRPr="00AF336A">
        <w:rPr>
          <w:color w:val="000000" w:themeColor="text1"/>
          <w:sz w:val="25"/>
          <w:szCs w:val="25"/>
        </w:rPr>
        <w:t>vincolatività</w:t>
      </w:r>
      <w:r w:rsidRPr="00AF336A">
        <w:rPr>
          <w:color w:val="000000" w:themeColor="text1"/>
          <w:sz w:val="25"/>
          <w:szCs w:val="25"/>
        </w:rPr>
        <w:t xml:space="preserve"> interpretativa. </w:t>
      </w:r>
    </w:p>
    <w:p w14:paraId="0AB6BCCC" w14:textId="0A8A6C59" w:rsidR="00A6799B" w:rsidRPr="00A6799B" w:rsidRDefault="00A6799B" w:rsidP="00144DEC">
      <w:pPr>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La Corte costituzionale, in particolare, pur ribadendo c</w:t>
      </w:r>
      <w:r w:rsidRPr="00A6799B">
        <w:rPr>
          <w:rFonts w:eastAsia="Times New Roman"/>
          <w:color w:val="000000" w:themeColor="text1"/>
          <w:sz w:val="25"/>
          <w:szCs w:val="25"/>
          <w:lang w:eastAsia="it-IT"/>
        </w:rPr>
        <w:t>he alla Corte di Strasburgo</w:t>
      </w:r>
      <w:r w:rsidRPr="00AF336A">
        <w:rPr>
          <w:rFonts w:eastAsia="Times New Roman"/>
          <w:color w:val="000000" w:themeColor="text1"/>
          <w:sz w:val="25"/>
          <w:szCs w:val="25"/>
          <w:lang w:eastAsia="it-IT"/>
        </w:rPr>
        <w:t>, in forza di una “</w:t>
      </w:r>
      <w:r w:rsidRPr="00D609BB">
        <w:rPr>
          <w:rFonts w:eastAsia="Times New Roman"/>
          <w:i/>
          <w:iCs/>
          <w:color w:val="000000" w:themeColor="text1"/>
          <w:sz w:val="25"/>
          <w:szCs w:val="25"/>
          <w:lang w:eastAsia="it-IT"/>
        </w:rPr>
        <w:t>funzione interpretativa eminente</w:t>
      </w:r>
      <w:r w:rsidRPr="00AF336A">
        <w:rPr>
          <w:rFonts w:eastAsia="Times New Roman"/>
          <w:color w:val="000000" w:themeColor="text1"/>
          <w:sz w:val="25"/>
          <w:szCs w:val="25"/>
          <w:lang w:eastAsia="it-IT"/>
        </w:rPr>
        <w:t>”</w:t>
      </w:r>
      <w:r w:rsidR="002E3B0F">
        <w:rPr>
          <w:rStyle w:val="Rimandonotaapidipagina"/>
          <w:rFonts w:eastAsia="Times New Roman"/>
          <w:color w:val="000000" w:themeColor="text1"/>
          <w:sz w:val="25"/>
          <w:szCs w:val="25"/>
          <w:lang w:eastAsia="it-IT"/>
        </w:rPr>
        <w:footnoteReference w:id="5"/>
      </w:r>
      <w:r w:rsidRPr="00AF336A">
        <w:rPr>
          <w:rFonts w:eastAsia="Times New Roman"/>
          <w:color w:val="000000" w:themeColor="text1"/>
          <w:sz w:val="25"/>
          <w:szCs w:val="25"/>
          <w:lang w:eastAsia="it-IT"/>
        </w:rPr>
        <w:t xml:space="preserve"> </w:t>
      </w:r>
      <w:r w:rsidRPr="00A6799B">
        <w:rPr>
          <w:rFonts w:eastAsia="Times New Roman"/>
          <w:color w:val="000000" w:themeColor="text1"/>
          <w:sz w:val="25"/>
          <w:szCs w:val="25"/>
          <w:lang w:eastAsia="it-IT"/>
        </w:rPr>
        <w:t xml:space="preserve">compete di pronunciare la </w:t>
      </w:r>
      <w:r w:rsidR="002E3B0F">
        <w:rPr>
          <w:rFonts w:eastAsia="Times New Roman"/>
          <w:color w:val="000000" w:themeColor="text1"/>
          <w:sz w:val="25"/>
          <w:szCs w:val="25"/>
          <w:lang w:eastAsia="it-IT"/>
        </w:rPr>
        <w:t>“</w:t>
      </w:r>
      <w:r w:rsidRPr="002E3B0F">
        <w:rPr>
          <w:rFonts w:eastAsia="Times New Roman"/>
          <w:i/>
          <w:iCs/>
          <w:color w:val="000000" w:themeColor="text1"/>
          <w:sz w:val="25"/>
          <w:szCs w:val="25"/>
          <w:lang w:eastAsia="it-IT"/>
        </w:rPr>
        <w:t>parola ultima</w:t>
      </w:r>
      <w:r w:rsidR="002E3B0F">
        <w:rPr>
          <w:rFonts w:eastAsia="Times New Roman"/>
          <w:color w:val="000000" w:themeColor="text1"/>
          <w:sz w:val="25"/>
          <w:szCs w:val="25"/>
          <w:lang w:eastAsia="it-IT"/>
        </w:rPr>
        <w:t>”</w:t>
      </w:r>
      <w:r w:rsidR="002E3B0F">
        <w:rPr>
          <w:rStyle w:val="Rimandonotaapidipagina"/>
          <w:rFonts w:eastAsia="Times New Roman"/>
          <w:color w:val="000000" w:themeColor="text1"/>
          <w:sz w:val="25"/>
          <w:szCs w:val="25"/>
          <w:lang w:eastAsia="it-IT"/>
        </w:rPr>
        <w:footnoteReference w:id="6"/>
      </w:r>
      <w:r w:rsidRPr="00A6799B">
        <w:rPr>
          <w:rFonts w:eastAsia="Times New Roman"/>
          <w:color w:val="000000" w:themeColor="text1"/>
          <w:sz w:val="25"/>
          <w:szCs w:val="25"/>
          <w:lang w:eastAsia="it-IT"/>
        </w:rPr>
        <w:t xml:space="preserve"> in ordine a tutte le questioni concernenti l</w:t>
      </w:r>
      <w:r w:rsidR="00144DEC"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interpretazione e l</w:t>
      </w:r>
      <w:r w:rsidR="00144DEC"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applicazione della Convenzione e dei suoi Protocolli, secondo quanto le parti contraenti hanno stabilito in forza dell</w:t>
      </w:r>
      <w:r w:rsidR="00144DEC"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art. 32 della C</w:t>
      </w:r>
      <w:r w:rsidR="00BB0BDE">
        <w:rPr>
          <w:rFonts w:eastAsia="Times New Roman"/>
          <w:color w:val="000000" w:themeColor="text1"/>
          <w:sz w:val="25"/>
          <w:szCs w:val="25"/>
          <w:lang w:eastAsia="it-IT"/>
        </w:rPr>
        <w:t>edu</w:t>
      </w:r>
      <w:r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 xml:space="preserve"> </w:t>
      </w:r>
      <w:r w:rsidRPr="00AF336A">
        <w:rPr>
          <w:rFonts w:eastAsia="Times New Roman"/>
          <w:color w:val="000000" w:themeColor="text1"/>
          <w:sz w:val="25"/>
          <w:szCs w:val="25"/>
          <w:lang w:eastAsia="it-IT"/>
        </w:rPr>
        <w:t xml:space="preserve">ha, tuttavia, chiarito che </w:t>
      </w:r>
      <w:r w:rsidRPr="00A6799B">
        <w:rPr>
          <w:rFonts w:eastAsia="Times New Roman"/>
          <w:color w:val="000000" w:themeColor="text1"/>
          <w:sz w:val="25"/>
          <w:szCs w:val="25"/>
          <w:lang w:eastAsia="it-IT"/>
        </w:rPr>
        <w:t>sarebbe errato, e persino in contrasto con queste premesse, ritenere che la C</w:t>
      </w:r>
      <w:r w:rsidR="002E3B0F">
        <w:rPr>
          <w:rFonts w:eastAsia="Times New Roman"/>
          <w:color w:val="000000" w:themeColor="text1"/>
          <w:sz w:val="25"/>
          <w:szCs w:val="25"/>
          <w:lang w:eastAsia="it-IT"/>
        </w:rPr>
        <w:t>edu</w:t>
      </w:r>
      <w:r w:rsidRPr="00A6799B">
        <w:rPr>
          <w:rFonts w:eastAsia="Times New Roman"/>
          <w:color w:val="000000" w:themeColor="text1"/>
          <w:sz w:val="25"/>
          <w:szCs w:val="25"/>
          <w:lang w:eastAsia="it-IT"/>
        </w:rPr>
        <w:t xml:space="preserve"> abbia reso gli operatori giuridici nazionali, e in primo luogo i giudici comuni, passivi ricettori di un comando esegetico impartito altrove nelle forme della pronuncia giurisdizionale, quali che siano le condizioni che lo hanno determinato. </w:t>
      </w:r>
    </w:p>
    <w:p w14:paraId="2996E9D9" w14:textId="070A60CF" w:rsidR="00A6799B" w:rsidRPr="00AF336A" w:rsidRDefault="00A6799B" w:rsidP="00144DEC">
      <w:pPr>
        <w:spacing w:after="0" w:line="240" w:lineRule="auto"/>
        <w:ind w:firstLine="454"/>
        <w:jc w:val="both"/>
        <w:rPr>
          <w:rFonts w:eastAsia="Times New Roman"/>
          <w:color w:val="000000" w:themeColor="text1"/>
          <w:sz w:val="25"/>
          <w:szCs w:val="25"/>
          <w:lang w:eastAsia="it-IT"/>
        </w:rPr>
      </w:pPr>
      <w:r w:rsidRPr="00A6799B">
        <w:rPr>
          <w:rFonts w:eastAsia="Times New Roman"/>
          <w:color w:val="000000" w:themeColor="text1"/>
          <w:sz w:val="25"/>
          <w:szCs w:val="25"/>
          <w:lang w:eastAsia="it-IT"/>
        </w:rPr>
        <w:t>Il giudice nazionale non può spogliarsi della funzione che gli è assegnata dall</w:t>
      </w:r>
      <w:r w:rsidR="00144DEC"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 xml:space="preserve">art. 101, secondo comma, Cost., con il quale si </w:t>
      </w:r>
      <w:r w:rsidR="00545921" w:rsidRPr="00AF336A">
        <w:rPr>
          <w:rFonts w:eastAsia="Times New Roman"/>
          <w:color w:val="000000" w:themeColor="text1"/>
          <w:sz w:val="25"/>
          <w:szCs w:val="25"/>
          <w:lang w:eastAsia="it-IT"/>
        </w:rPr>
        <w:t>“</w:t>
      </w:r>
      <w:r w:rsidRPr="002E3B0F">
        <w:rPr>
          <w:rFonts w:eastAsia="Times New Roman"/>
          <w:i/>
          <w:iCs/>
          <w:color w:val="000000" w:themeColor="text1"/>
          <w:sz w:val="25"/>
          <w:szCs w:val="25"/>
          <w:lang w:eastAsia="it-IT"/>
        </w:rPr>
        <w:t>esprime l</w:t>
      </w:r>
      <w:r w:rsidR="00144DEC" w:rsidRPr="002E3B0F">
        <w:rPr>
          <w:rFonts w:eastAsia="Times New Roman"/>
          <w:i/>
          <w:iCs/>
          <w:color w:val="000000" w:themeColor="text1"/>
          <w:sz w:val="25"/>
          <w:szCs w:val="25"/>
          <w:lang w:eastAsia="it-IT"/>
        </w:rPr>
        <w:t>’</w:t>
      </w:r>
      <w:r w:rsidRPr="002E3B0F">
        <w:rPr>
          <w:rFonts w:eastAsia="Times New Roman"/>
          <w:i/>
          <w:iCs/>
          <w:color w:val="000000" w:themeColor="text1"/>
          <w:sz w:val="25"/>
          <w:szCs w:val="25"/>
          <w:lang w:eastAsia="it-IT"/>
        </w:rPr>
        <w:t>esigenza che il giudice non riceva se non dalla legge l</w:t>
      </w:r>
      <w:r w:rsidR="00144DEC" w:rsidRPr="002E3B0F">
        <w:rPr>
          <w:rFonts w:eastAsia="Times New Roman"/>
          <w:i/>
          <w:iCs/>
          <w:color w:val="000000" w:themeColor="text1"/>
          <w:sz w:val="25"/>
          <w:szCs w:val="25"/>
          <w:lang w:eastAsia="it-IT"/>
        </w:rPr>
        <w:t>’</w:t>
      </w:r>
      <w:r w:rsidRPr="002E3B0F">
        <w:rPr>
          <w:rFonts w:eastAsia="Times New Roman"/>
          <w:i/>
          <w:iCs/>
          <w:color w:val="000000" w:themeColor="text1"/>
          <w:sz w:val="25"/>
          <w:szCs w:val="25"/>
          <w:lang w:eastAsia="it-IT"/>
        </w:rPr>
        <w:t>indicazione delle regole da applicare nel giudizio, e che nessun</w:t>
      </w:r>
      <w:r w:rsidR="00144DEC" w:rsidRPr="002E3B0F">
        <w:rPr>
          <w:rFonts w:eastAsia="Times New Roman"/>
          <w:i/>
          <w:iCs/>
          <w:color w:val="000000" w:themeColor="text1"/>
          <w:sz w:val="25"/>
          <w:szCs w:val="25"/>
          <w:lang w:eastAsia="it-IT"/>
        </w:rPr>
        <w:t>’</w:t>
      </w:r>
      <w:r w:rsidRPr="002E3B0F">
        <w:rPr>
          <w:rFonts w:eastAsia="Times New Roman"/>
          <w:i/>
          <w:iCs/>
          <w:color w:val="000000" w:themeColor="text1"/>
          <w:sz w:val="25"/>
          <w:szCs w:val="25"/>
          <w:lang w:eastAsia="it-IT"/>
        </w:rPr>
        <w:t>altra autorità possa quindi dare al giudice ordini o suggerimenti circa il modo di giudicare in concreto</w:t>
      </w:r>
      <w:r w:rsidR="00545921" w:rsidRPr="00AF336A">
        <w:rPr>
          <w:rFonts w:eastAsia="Times New Roman"/>
          <w:color w:val="000000" w:themeColor="text1"/>
          <w:sz w:val="25"/>
          <w:szCs w:val="25"/>
          <w:lang w:eastAsia="it-IT"/>
        </w:rPr>
        <w:t>”</w:t>
      </w:r>
      <w:r w:rsidR="002E3B0F">
        <w:rPr>
          <w:rStyle w:val="Rimandonotaapidipagina"/>
          <w:rFonts w:eastAsia="Times New Roman"/>
          <w:color w:val="000000" w:themeColor="text1"/>
          <w:sz w:val="25"/>
          <w:szCs w:val="25"/>
          <w:lang w:eastAsia="it-IT"/>
        </w:rPr>
        <w:footnoteReference w:id="7"/>
      </w:r>
      <w:r w:rsidRPr="00A6799B">
        <w:rPr>
          <w:rFonts w:eastAsia="Times New Roman"/>
          <w:color w:val="000000" w:themeColor="text1"/>
          <w:sz w:val="25"/>
          <w:szCs w:val="25"/>
          <w:lang w:eastAsia="it-IT"/>
        </w:rPr>
        <w:t>, e ciò vale anche per le norme della C</w:t>
      </w:r>
      <w:r w:rsidR="002E3B0F">
        <w:rPr>
          <w:rFonts w:eastAsia="Times New Roman"/>
          <w:color w:val="000000" w:themeColor="text1"/>
          <w:sz w:val="25"/>
          <w:szCs w:val="25"/>
          <w:lang w:eastAsia="it-IT"/>
        </w:rPr>
        <w:t>edu</w:t>
      </w:r>
      <w:r w:rsidRPr="00A6799B">
        <w:rPr>
          <w:rFonts w:eastAsia="Times New Roman"/>
          <w:color w:val="000000" w:themeColor="text1"/>
          <w:sz w:val="25"/>
          <w:szCs w:val="25"/>
          <w:lang w:eastAsia="it-IT"/>
        </w:rPr>
        <w:t xml:space="preserve"> che hanno ricevuto ingresso nell</w:t>
      </w:r>
      <w:r w:rsidR="00144DEC"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ordinamento giuridico interno grazie a una legge ordinaria di adattamento. </w:t>
      </w:r>
    </w:p>
    <w:p w14:paraId="577490C3" w14:textId="5D2EC03E" w:rsidR="004B428E" w:rsidRPr="00AF336A" w:rsidRDefault="00A6799B" w:rsidP="00144DEC">
      <w:pPr>
        <w:spacing w:after="0" w:line="240" w:lineRule="auto"/>
        <w:ind w:firstLine="454"/>
        <w:jc w:val="both"/>
        <w:rPr>
          <w:color w:val="000000" w:themeColor="text1"/>
          <w:sz w:val="25"/>
          <w:szCs w:val="25"/>
        </w:rPr>
      </w:pPr>
      <w:r w:rsidRPr="00AF336A">
        <w:rPr>
          <w:color w:val="000000" w:themeColor="text1"/>
          <w:sz w:val="25"/>
          <w:szCs w:val="25"/>
        </w:rPr>
        <w:t>Il vincolo interpretativo per il giudice nazionale (l</w:t>
      </w:r>
      <w:r w:rsidR="00144DEC" w:rsidRPr="00AF336A">
        <w:rPr>
          <w:color w:val="000000" w:themeColor="text1"/>
          <w:sz w:val="25"/>
          <w:szCs w:val="25"/>
        </w:rPr>
        <w:t>’</w:t>
      </w:r>
      <w:r w:rsidRPr="00AF336A">
        <w:rPr>
          <w:color w:val="000000" w:themeColor="text1"/>
          <w:sz w:val="25"/>
          <w:szCs w:val="25"/>
        </w:rPr>
        <w:t>obbligo quindi di interpretare la Cedu tenendo conto dell</w:t>
      </w:r>
      <w:r w:rsidR="00144DEC" w:rsidRPr="00AF336A">
        <w:rPr>
          <w:color w:val="000000" w:themeColor="text1"/>
          <w:sz w:val="25"/>
          <w:szCs w:val="25"/>
        </w:rPr>
        <w:t>’</w:t>
      </w:r>
      <w:r w:rsidRPr="00AF336A">
        <w:rPr>
          <w:color w:val="000000" w:themeColor="text1"/>
          <w:sz w:val="25"/>
          <w:szCs w:val="25"/>
        </w:rPr>
        <w:t>interpretazione fornita dalla sua Corte) non deriva</w:t>
      </w:r>
      <w:r w:rsidR="00545921" w:rsidRPr="00AF336A">
        <w:rPr>
          <w:color w:val="000000" w:themeColor="text1"/>
          <w:sz w:val="25"/>
          <w:szCs w:val="25"/>
        </w:rPr>
        <w:t>, pertanto,</w:t>
      </w:r>
      <w:r w:rsidRPr="00AF336A">
        <w:rPr>
          <w:color w:val="000000" w:themeColor="text1"/>
          <w:sz w:val="25"/>
          <w:szCs w:val="25"/>
        </w:rPr>
        <w:t xml:space="preserve"> da tutte le sentenze pronunciate a Strasburgo, ma riguarda soltanto quelle sentenze che sono espressione di una giurisprudenza consolidata o sono </w:t>
      </w:r>
      <w:r w:rsidR="004B428E" w:rsidRPr="00AF336A">
        <w:rPr>
          <w:color w:val="000000" w:themeColor="text1"/>
          <w:sz w:val="25"/>
          <w:szCs w:val="25"/>
        </w:rPr>
        <w:t>“</w:t>
      </w:r>
      <w:r w:rsidRPr="00AF336A">
        <w:rPr>
          <w:color w:val="000000" w:themeColor="text1"/>
          <w:sz w:val="25"/>
          <w:szCs w:val="25"/>
        </w:rPr>
        <w:t>sentenz</w:t>
      </w:r>
      <w:r w:rsidR="004B428E" w:rsidRPr="00AF336A">
        <w:rPr>
          <w:color w:val="000000" w:themeColor="text1"/>
          <w:sz w:val="25"/>
          <w:szCs w:val="25"/>
        </w:rPr>
        <w:t>e</w:t>
      </w:r>
      <w:r w:rsidRPr="00AF336A">
        <w:rPr>
          <w:iCs/>
          <w:color w:val="000000" w:themeColor="text1"/>
          <w:sz w:val="25"/>
          <w:szCs w:val="25"/>
        </w:rPr>
        <w:t xml:space="preserve"> pilota</w:t>
      </w:r>
      <w:r w:rsidR="004B428E" w:rsidRPr="00AF336A">
        <w:rPr>
          <w:iCs/>
          <w:color w:val="000000" w:themeColor="text1"/>
          <w:sz w:val="25"/>
          <w:szCs w:val="25"/>
        </w:rPr>
        <w:t>”</w:t>
      </w:r>
      <w:r w:rsidRPr="00AF336A">
        <w:rPr>
          <w:color w:val="000000" w:themeColor="text1"/>
          <w:sz w:val="25"/>
          <w:szCs w:val="25"/>
        </w:rPr>
        <w:t xml:space="preserve">. </w:t>
      </w:r>
    </w:p>
    <w:p w14:paraId="5CA498E8" w14:textId="5B4665AD" w:rsidR="00545921" w:rsidRPr="00AF336A" w:rsidRDefault="00A6799B" w:rsidP="00144DEC">
      <w:pPr>
        <w:spacing w:after="0" w:line="240" w:lineRule="auto"/>
        <w:ind w:firstLine="454"/>
        <w:jc w:val="both"/>
        <w:rPr>
          <w:color w:val="000000" w:themeColor="text1"/>
          <w:sz w:val="25"/>
          <w:szCs w:val="25"/>
        </w:rPr>
      </w:pPr>
      <w:r w:rsidRPr="00AF336A">
        <w:rPr>
          <w:color w:val="000000" w:themeColor="text1"/>
          <w:sz w:val="25"/>
          <w:szCs w:val="25"/>
        </w:rPr>
        <w:t xml:space="preserve">Certo, tutte le sentenze sono vincolanti per lo Stato che soccombe e quindi lo Stato dovrà comunque riparare il cittadino che ha vinto a Strasburgo. </w:t>
      </w:r>
      <w:r w:rsidR="004B428E" w:rsidRPr="00AF336A">
        <w:rPr>
          <w:color w:val="000000" w:themeColor="text1"/>
          <w:sz w:val="25"/>
          <w:szCs w:val="25"/>
        </w:rPr>
        <w:t xml:space="preserve">Ma </w:t>
      </w:r>
      <w:r w:rsidR="004B428E" w:rsidRPr="00AF336A">
        <w:rPr>
          <w:rFonts w:eastAsia="Times New Roman"/>
          <w:color w:val="000000" w:themeColor="text1"/>
          <w:sz w:val="25"/>
          <w:szCs w:val="25"/>
          <w:lang w:eastAsia="it-IT"/>
        </w:rPr>
        <w:t>s</w:t>
      </w:r>
      <w:r w:rsidR="004B428E" w:rsidRPr="00A6799B">
        <w:rPr>
          <w:rFonts w:eastAsia="Times New Roman"/>
          <w:color w:val="000000" w:themeColor="text1"/>
          <w:sz w:val="25"/>
          <w:szCs w:val="25"/>
          <w:lang w:eastAsia="it-IT"/>
        </w:rPr>
        <w:t xml:space="preserve">olo nel caso in cui si trovi in presenza di un </w:t>
      </w:r>
      <w:r w:rsidR="002E3B0F">
        <w:rPr>
          <w:rFonts w:eastAsia="Times New Roman"/>
          <w:color w:val="000000" w:themeColor="text1"/>
          <w:sz w:val="25"/>
          <w:szCs w:val="25"/>
          <w:lang w:eastAsia="it-IT"/>
        </w:rPr>
        <w:t>“</w:t>
      </w:r>
      <w:r w:rsidR="004B428E" w:rsidRPr="00A6799B">
        <w:rPr>
          <w:rFonts w:eastAsia="Times New Roman"/>
          <w:color w:val="000000" w:themeColor="text1"/>
          <w:sz w:val="25"/>
          <w:szCs w:val="25"/>
          <w:lang w:eastAsia="it-IT"/>
        </w:rPr>
        <w:t xml:space="preserve">diritto consolidato” o di una </w:t>
      </w:r>
      <w:r w:rsidR="00545921" w:rsidRPr="00AF336A">
        <w:rPr>
          <w:rFonts w:eastAsia="Times New Roman"/>
          <w:color w:val="000000" w:themeColor="text1"/>
          <w:sz w:val="25"/>
          <w:szCs w:val="25"/>
          <w:lang w:eastAsia="it-IT"/>
        </w:rPr>
        <w:t>“</w:t>
      </w:r>
      <w:r w:rsidR="004B428E" w:rsidRPr="00A6799B">
        <w:rPr>
          <w:rFonts w:eastAsia="Times New Roman"/>
          <w:color w:val="000000" w:themeColor="text1"/>
          <w:sz w:val="25"/>
          <w:szCs w:val="25"/>
          <w:lang w:eastAsia="it-IT"/>
        </w:rPr>
        <w:t xml:space="preserve">sentenza pilota”, il giudice italiano sarà vincolato a recepire la norma individuata a Strasburgo, adeguando ad essa il suo criterio di giudizio per superare eventuali contrasti rispetto ad una legge interna, anzitutto per mezzo di </w:t>
      </w:r>
      <w:r w:rsidR="002E3B0F">
        <w:rPr>
          <w:rFonts w:eastAsia="Times New Roman"/>
          <w:color w:val="000000" w:themeColor="text1"/>
          <w:sz w:val="25"/>
          <w:szCs w:val="25"/>
          <w:lang w:eastAsia="it-IT"/>
        </w:rPr>
        <w:t>“</w:t>
      </w:r>
      <w:r w:rsidR="004B428E" w:rsidRPr="00A6799B">
        <w:rPr>
          <w:rFonts w:eastAsia="Times New Roman"/>
          <w:color w:val="000000" w:themeColor="text1"/>
          <w:sz w:val="25"/>
          <w:szCs w:val="25"/>
          <w:lang w:eastAsia="it-IT"/>
        </w:rPr>
        <w:t>ogni strumento ermeneutico a sua disposizione</w:t>
      </w:r>
      <w:r w:rsidR="002E3B0F">
        <w:rPr>
          <w:rFonts w:eastAsia="Times New Roman"/>
          <w:color w:val="000000" w:themeColor="text1"/>
          <w:sz w:val="25"/>
          <w:szCs w:val="25"/>
          <w:lang w:eastAsia="it-IT"/>
        </w:rPr>
        <w:t>”</w:t>
      </w:r>
      <w:r w:rsidR="004B428E" w:rsidRPr="00A6799B">
        <w:rPr>
          <w:rFonts w:eastAsia="Times New Roman"/>
          <w:color w:val="000000" w:themeColor="text1"/>
          <w:sz w:val="25"/>
          <w:szCs w:val="25"/>
          <w:lang w:eastAsia="it-IT"/>
        </w:rPr>
        <w:t>, ovvero, se ciò non fosse possibile, ricorrendo all</w:t>
      </w:r>
      <w:r w:rsidR="00144DEC" w:rsidRPr="00AF336A">
        <w:rPr>
          <w:rFonts w:eastAsia="Times New Roman"/>
          <w:color w:val="000000" w:themeColor="text1"/>
          <w:sz w:val="25"/>
          <w:szCs w:val="25"/>
          <w:lang w:eastAsia="it-IT"/>
        </w:rPr>
        <w:t>’</w:t>
      </w:r>
      <w:r w:rsidR="004B428E" w:rsidRPr="00A6799B">
        <w:rPr>
          <w:rFonts w:eastAsia="Times New Roman"/>
          <w:color w:val="000000" w:themeColor="text1"/>
          <w:sz w:val="25"/>
          <w:szCs w:val="25"/>
          <w:lang w:eastAsia="it-IT"/>
        </w:rPr>
        <w:t>incidente di legittimità costituzionale</w:t>
      </w:r>
      <w:r w:rsidR="002E3B0F">
        <w:rPr>
          <w:rStyle w:val="Rimandonotaapidipagina"/>
          <w:rFonts w:eastAsia="Times New Roman"/>
          <w:color w:val="000000" w:themeColor="text1"/>
          <w:sz w:val="25"/>
          <w:szCs w:val="25"/>
          <w:lang w:eastAsia="it-IT"/>
        </w:rPr>
        <w:footnoteReference w:id="8"/>
      </w:r>
      <w:r w:rsidR="004B428E" w:rsidRPr="00A6799B">
        <w:rPr>
          <w:rFonts w:eastAsia="Times New Roman"/>
          <w:color w:val="000000" w:themeColor="text1"/>
          <w:sz w:val="25"/>
          <w:szCs w:val="25"/>
          <w:lang w:eastAsia="it-IT"/>
        </w:rPr>
        <w:t xml:space="preserve">. </w:t>
      </w:r>
    </w:p>
    <w:p w14:paraId="085D136D" w14:textId="3F3514EA" w:rsidR="00D46F8E" w:rsidRPr="00AF336A" w:rsidRDefault="00A6799B" w:rsidP="00144DEC">
      <w:pPr>
        <w:spacing w:after="0" w:line="240" w:lineRule="auto"/>
        <w:ind w:firstLine="454"/>
        <w:jc w:val="both"/>
        <w:rPr>
          <w:color w:val="000000" w:themeColor="text1"/>
          <w:sz w:val="25"/>
          <w:szCs w:val="25"/>
        </w:rPr>
      </w:pPr>
      <w:r w:rsidRPr="00A6799B">
        <w:rPr>
          <w:rFonts w:eastAsia="Times New Roman"/>
          <w:color w:val="000000" w:themeColor="text1"/>
          <w:sz w:val="25"/>
          <w:szCs w:val="25"/>
          <w:lang w:eastAsia="it-IT"/>
        </w:rPr>
        <w:t xml:space="preserve">È, pertanto, solo un </w:t>
      </w:r>
      <w:r w:rsidR="00545921"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diritto consolidato”, generato dalla giurisprudenza europea, che il giudice interno è tenuto a porre a fondamento del proprio processo interpretativo, mentre nessun obbligo esiste in tal senso, a fronte di pronunce che non siano espressive di un orientamento oramai divenuto definitivo. Del resto, tale asserzione non solo si accorda con i principi costituzionali, aprendo la via al confronto costruttivo tra giudici nazionali e Corte EDU sul senso da attribuire ai diritti dell</w:t>
      </w:r>
      <w:r w:rsidR="00144DEC"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uomo, ma si rivela confacente rispetto alle modalità organizzative del giudice di Strasburgo. Esso</w:t>
      </w:r>
      <w:r w:rsidR="004B428E"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 xml:space="preserve"> infatti</w:t>
      </w:r>
      <w:r w:rsidR="004B428E"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 xml:space="preserve"> si articola per sezioni, ammette l</w:t>
      </w:r>
      <w:r w:rsidR="00144DEC" w:rsidRPr="00AF336A">
        <w:rPr>
          <w:rFonts w:eastAsia="Times New Roman"/>
          <w:color w:val="000000" w:themeColor="text1"/>
          <w:sz w:val="25"/>
          <w:szCs w:val="25"/>
          <w:lang w:eastAsia="it-IT"/>
        </w:rPr>
        <w:t>’</w:t>
      </w:r>
      <w:r w:rsidRPr="00A6799B">
        <w:rPr>
          <w:rFonts w:eastAsia="Times New Roman"/>
          <w:color w:val="000000" w:themeColor="text1"/>
          <w:sz w:val="25"/>
          <w:szCs w:val="25"/>
          <w:lang w:eastAsia="it-IT"/>
        </w:rPr>
        <w:t>opinione dissenziente, ingloba un meccanismo idoneo a risolvere un contrasto interno di giurisprudenza, attraverso la rimessione alla Grande Camera</w:t>
      </w:r>
      <w:r w:rsidR="00BB0BDE">
        <w:rPr>
          <w:rStyle w:val="Rimandonotaapidipagina"/>
          <w:rFonts w:eastAsia="Times New Roman"/>
          <w:color w:val="000000" w:themeColor="text1"/>
          <w:sz w:val="25"/>
          <w:szCs w:val="25"/>
          <w:lang w:eastAsia="it-IT"/>
        </w:rPr>
        <w:footnoteReference w:id="9"/>
      </w:r>
      <w:r w:rsidR="004B428E" w:rsidRPr="00AF336A">
        <w:rPr>
          <w:rFonts w:eastAsia="Times New Roman"/>
          <w:color w:val="000000" w:themeColor="text1"/>
          <w:sz w:val="25"/>
          <w:szCs w:val="25"/>
          <w:lang w:eastAsia="it-IT"/>
        </w:rPr>
        <w:t xml:space="preserve">. </w:t>
      </w:r>
    </w:p>
    <w:p w14:paraId="6BBC84E6" w14:textId="7C33C6E7" w:rsidR="007B65A2" w:rsidRPr="00AF336A" w:rsidRDefault="004B428E" w:rsidP="00144DEC">
      <w:pPr>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Da tali premesse derivan</w:t>
      </w:r>
      <w:r w:rsidR="00BB0BDE">
        <w:rPr>
          <w:rFonts w:eastAsia="Times New Roman"/>
          <w:color w:val="000000" w:themeColor="text1"/>
          <w:sz w:val="25"/>
          <w:szCs w:val="25"/>
          <w:lang w:eastAsia="it-IT"/>
        </w:rPr>
        <w:t>o</w:t>
      </w:r>
      <w:r w:rsidRPr="00AF336A">
        <w:rPr>
          <w:rFonts w:eastAsia="Times New Roman"/>
          <w:color w:val="000000" w:themeColor="text1"/>
          <w:sz w:val="25"/>
          <w:szCs w:val="25"/>
          <w:lang w:eastAsia="it-IT"/>
        </w:rPr>
        <w:t xml:space="preserve"> </w:t>
      </w:r>
      <w:r w:rsidR="00D46F8E" w:rsidRPr="00D46F8E">
        <w:rPr>
          <w:rFonts w:eastAsia="Times New Roman"/>
          <w:color w:val="000000" w:themeColor="text1"/>
          <w:sz w:val="25"/>
          <w:szCs w:val="25"/>
          <w:lang w:eastAsia="it-IT"/>
        </w:rPr>
        <w:t>alcune conseguenze</w:t>
      </w:r>
      <w:r w:rsidR="002B4370" w:rsidRPr="00AF336A">
        <w:rPr>
          <w:rStyle w:val="Rimandonotaapidipagina"/>
          <w:rFonts w:eastAsia="Times New Roman"/>
          <w:color w:val="000000" w:themeColor="text1"/>
          <w:sz w:val="25"/>
          <w:szCs w:val="25"/>
          <w:lang w:eastAsia="it-IT"/>
        </w:rPr>
        <w:footnoteReference w:id="10"/>
      </w:r>
      <w:r w:rsidR="00D46F8E" w:rsidRPr="00D46F8E">
        <w:rPr>
          <w:rFonts w:eastAsia="Times New Roman"/>
          <w:color w:val="000000" w:themeColor="text1"/>
          <w:sz w:val="25"/>
          <w:szCs w:val="25"/>
          <w:lang w:eastAsia="it-IT"/>
        </w:rPr>
        <w:t>:</w:t>
      </w:r>
    </w:p>
    <w:p w14:paraId="6D0822C7" w14:textId="35836D0E" w:rsidR="00D46F8E" w:rsidRPr="00D46F8E" w:rsidRDefault="00D46F8E" w:rsidP="00144DEC">
      <w:pPr>
        <w:spacing w:after="0" w:line="240" w:lineRule="auto"/>
        <w:ind w:firstLine="454"/>
        <w:jc w:val="both"/>
        <w:rPr>
          <w:rFonts w:eastAsia="Times New Roman"/>
          <w:b/>
          <w:bCs/>
          <w:color w:val="000000" w:themeColor="text1"/>
          <w:sz w:val="25"/>
          <w:szCs w:val="25"/>
          <w:lang w:eastAsia="it-IT"/>
        </w:rPr>
      </w:pPr>
      <w:r w:rsidRPr="00D46F8E">
        <w:rPr>
          <w:rFonts w:eastAsia="Times New Roman"/>
          <w:b/>
          <w:bCs/>
          <w:color w:val="000000" w:themeColor="text1"/>
          <w:sz w:val="25"/>
          <w:szCs w:val="25"/>
          <w:lang w:eastAsia="it-IT"/>
        </w:rPr>
        <w:t xml:space="preserve">a) </w:t>
      </w:r>
      <w:r w:rsidRPr="00D46F8E">
        <w:rPr>
          <w:rFonts w:eastAsia="Times New Roman"/>
          <w:color w:val="000000" w:themeColor="text1"/>
          <w:sz w:val="25"/>
          <w:szCs w:val="25"/>
          <w:lang w:eastAsia="it-IT"/>
        </w:rPr>
        <w:t>il giudice interno, che non condivide</w:t>
      </w:r>
      <w:r w:rsidRPr="00D46F8E">
        <w:rPr>
          <w:rFonts w:eastAsia="Times New Roman"/>
          <w:i/>
          <w:iCs/>
          <w:color w:val="000000" w:themeColor="text1"/>
          <w:sz w:val="25"/>
          <w:szCs w:val="25"/>
          <w:lang w:eastAsia="it-IT"/>
        </w:rPr>
        <w:t xml:space="preserve"> </w:t>
      </w:r>
      <w:r w:rsidRPr="00D46F8E">
        <w:rPr>
          <w:rFonts w:eastAsia="Times New Roman"/>
          <w:color w:val="000000" w:themeColor="text1"/>
          <w:sz w:val="25"/>
          <w:szCs w:val="25"/>
          <w:lang w:eastAsia="it-IT"/>
        </w:rPr>
        <w:t>quanto affermato innovativamente da una sezione semplice della Corte di Strasburgo, non è tenuto</w:t>
      </w:r>
      <w:r w:rsidRPr="00D46F8E">
        <w:rPr>
          <w:rFonts w:eastAsia="Times New Roman"/>
          <w:i/>
          <w:iCs/>
          <w:color w:val="000000" w:themeColor="text1"/>
          <w:sz w:val="25"/>
          <w:szCs w:val="25"/>
          <w:lang w:eastAsia="it-IT"/>
        </w:rPr>
        <w:t xml:space="preserve"> </w:t>
      </w:r>
      <w:r w:rsidRPr="00D46F8E">
        <w:rPr>
          <w:rFonts w:eastAsia="Times New Roman"/>
          <w:color w:val="000000" w:themeColor="text1"/>
          <w:sz w:val="25"/>
          <w:szCs w:val="25"/>
          <w:lang w:eastAsia="it-IT"/>
        </w:rPr>
        <w:t>ad interpretare la legge italiana in conformit</w:t>
      </w:r>
      <w:r w:rsidR="004B428E" w:rsidRPr="00AF336A">
        <w:rPr>
          <w:rFonts w:eastAsia="Times New Roman"/>
          <w:color w:val="000000" w:themeColor="text1"/>
          <w:sz w:val="25"/>
          <w:szCs w:val="25"/>
          <w:lang w:eastAsia="it-IT"/>
        </w:rPr>
        <w:t xml:space="preserve">à </w:t>
      </w:r>
      <w:r w:rsidRPr="00D46F8E">
        <w:rPr>
          <w:rFonts w:eastAsia="Times New Roman"/>
          <w:color w:val="000000" w:themeColor="text1"/>
          <w:sz w:val="25"/>
          <w:szCs w:val="25"/>
          <w:lang w:eastAsia="it-IT"/>
        </w:rPr>
        <w:t>al principio di diritto ricavabile da tale pronuncia</w:t>
      </w:r>
      <w:r w:rsidR="00BB0BDE">
        <w:rPr>
          <w:rFonts w:eastAsia="Times New Roman"/>
          <w:color w:val="000000" w:themeColor="text1"/>
          <w:sz w:val="25"/>
          <w:szCs w:val="25"/>
          <w:lang w:eastAsia="it-IT"/>
        </w:rPr>
        <w:t>;</w:t>
      </w:r>
    </w:p>
    <w:p w14:paraId="4DE9C63C" w14:textId="5415E2AD" w:rsidR="00D46F8E" w:rsidRPr="00D46F8E" w:rsidRDefault="00D46F8E" w:rsidP="00144DEC">
      <w:pPr>
        <w:spacing w:after="0" w:line="240" w:lineRule="auto"/>
        <w:ind w:firstLine="454"/>
        <w:jc w:val="both"/>
        <w:rPr>
          <w:rFonts w:eastAsia="Times New Roman"/>
          <w:color w:val="000000" w:themeColor="text1"/>
          <w:sz w:val="25"/>
          <w:szCs w:val="25"/>
          <w:lang w:eastAsia="it-IT"/>
        </w:rPr>
      </w:pPr>
      <w:r w:rsidRPr="00D46F8E">
        <w:rPr>
          <w:rFonts w:eastAsia="Times New Roman"/>
          <w:b/>
          <w:bCs/>
          <w:color w:val="000000" w:themeColor="text1"/>
          <w:sz w:val="25"/>
          <w:szCs w:val="25"/>
          <w:lang w:eastAsia="it-IT"/>
        </w:rPr>
        <w:t xml:space="preserve">b) </w:t>
      </w:r>
      <w:r w:rsidRPr="00D46F8E">
        <w:rPr>
          <w:rFonts w:eastAsia="Times New Roman"/>
          <w:color w:val="000000" w:themeColor="text1"/>
          <w:sz w:val="25"/>
          <w:szCs w:val="25"/>
          <w:lang w:eastAsia="it-IT"/>
        </w:rPr>
        <w:t>a maggior ragione, il giudice comune, ove ravvisi un contrasto non risolvibile in via ermeneutica tra la legge nazionale e il principio della giurisprudenza EDU in attesa di consolidamento, che egli non condivide</w:t>
      </w:r>
      <w:r w:rsidRPr="00D46F8E">
        <w:rPr>
          <w:rFonts w:eastAsia="Times New Roman"/>
          <w:i/>
          <w:iCs/>
          <w:color w:val="000000" w:themeColor="text1"/>
          <w:sz w:val="25"/>
          <w:szCs w:val="25"/>
          <w:lang w:eastAsia="it-IT"/>
        </w:rPr>
        <w:t>,</w:t>
      </w:r>
      <w:r w:rsidRPr="00D46F8E">
        <w:rPr>
          <w:rFonts w:eastAsia="Times New Roman"/>
          <w:color w:val="000000" w:themeColor="text1"/>
          <w:sz w:val="25"/>
          <w:szCs w:val="25"/>
          <w:lang w:eastAsia="it-IT"/>
        </w:rPr>
        <w:t xml:space="preserve"> </w:t>
      </w:r>
      <w:r w:rsidR="00B438DD" w:rsidRPr="00AF336A">
        <w:rPr>
          <w:rFonts w:eastAsia="Times New Roman"/>
          <w:color w:val="000000" w:themeColor="text1"/>
          <w:sz w:val="25"/>
          <w:szCs w:val="25"/>
          <w:lang w:eastAsia="it-IT"/>
        </w:rPr>
        <w:t xml:space="preserve">non potrà sollevare la questione di costituzionalità </w:t>
      </w:r>
      <w:r w:rsidRPr="00D46F8E">
        <w:rPr>
          <w:rFonts w:eastAsia="Times New Roman"/>
          <w:color w:val="000000" w:themeColor="text1"/>
          <w:sz w:val="25"/>
          <w:szCs w:val="25"/>
          <w:lang w:eastAsia="it-IT"/>
        </w:rPr>
        <w:t>in forza dell</w:t>
      </w:r>
      <w:r w:rsidR="00144DEC" w:rsidRPr="00AF336A">
        <w:rPr>
          <w:rFonts w:eastAsia="Times New Roman"/>
          <w:color w:val="000000" w:themeColor="text1"/>
          <w:sz w:val="25"/>
          <w:szCs w:val="25"/>
          <w:lang w:eastAsia="it-IT"/>
        </w:rPr>
        <w:t>’</w:t>
      </w:r>
      <w:r w:rsidRPr="00D46F8E">
        <w:rPr>
          <w:rFonts w:eastAsia="Times New Roman"/>
          <w:color w:val="000000" w:themeColor="text1"/>
          <w:sz w:val="25"/>
          <w:szCs w:val="25"/>
          <w:lang w:eastAsia="it-IT"/>
        </w:rPr>
        <w:t>art. 117, primo comma, Cost., poich</w:t>
      </w:r>
      <w:r w:rsidR="00B438DD" w:rsidRPr="00AF336A">
        <w:rPr>
          <w:rFonts w:eastAsia="Times New Roman"/>
          <w:color w:val="000000" w:themeColor="text1"/>
          <w:sz w:val="25"/>
          <w:szCs w:val="25"/>
          <w:lang w:eastAsia="it-IT"/>
        </w:rPr>
        <w:t>é</w:t>
      </w:r>
      <w:r w:rsidRPr="00D46F8E">
        <w:rPr>
          <w:rFonts w:eastAsia="Times New Roman"/>
          <w:color w:val="000000" w:themeColor="text1"/>
          <w:sz w:val="25"/>
          <w:szCs w:val="25"/>
          <w:lang w:eastAsia="it-IT"/>
        </w:rPr>
        <w:t xml:space="preserve"> la norma interposta (ovvero, il diritto della Convenzione per come vive nella giurisprudenza europea) non si è ancora consolidata, ed anzi quel giudice ritiene che essa non sia deducibile dalla disposizione C</w:t>
      </w:r>
      <w:r w:rsidR="002B4370" w:rsidRPr="00AF336A">
        <w:rPr>
          <w:rFonts w:eastAsia="Times New Roman"/>
          <w:color w:val="000000" w:themeColor="text1"/>
          <w:sz w:val="25"/>
          <w:szCs w:val="25"/>
          <w:lang w:eastAsia="it-IT"/>
        </w:rPr>
        <w:t>edu</w:t>
      </w:r>
      <w:r w:rsidR="00B438DD" w:rsidRPr="00AF336A">
        <w:rPr>
          <w:rFonts w:eastAsia="Times New Roman"/>
          <w:color w:val="000000" w:themeColor="text1"/>
          <w:sz w:val="25"/>
          <w:szCs w:val="25"/>
          <w:lang w:eastAsia="it-IT"/>
        </w:rPr>
        <w:t>. In questo caso deve ricorrere all</w:t>
      </w:r>
      <w:r w:rsidR="00144DEC" w:rsidRPr="00AF336A">
        <w:rPr>
          <w:rFonts w:eastAsia="Times New Roman"/>
          <w:color w:val="000000" w:themeColor="text1"/>
          <w:sz w:val="25"/>
          <w:szCs w:val="25"/>
          <w:lang w:eastAsia="it-IT"/>
        </w:rPr>
        <w:t>’</w:t>
      </w:r>
      <w:r w:rsidR="00B438DD" w:rsidRPr="00AF336A">
        <w:rPr>
          <w:rFonts w:eastAsia="Times New Roman"/>
          <w:color w:val="000000" w:themeColor="text1"/>
          <w:sz w:val="25"/>
          <w:szCs w:val="25"/>
          <w:lang w:eastAsia="it-IT"/>
        </w:rPr>
        <w:t xml:space="preserve">interpretazione costituzionalmente conforme e </w:t>
      </w:r>
      <w:r w:rsidRPr="00D46F8E">
        <w:rPr>
          <w:rFonts w:eastAsia="Times New Roman"/>
          <w:color w:val="000000" w:themeColor="text1"/>
          <w:sz w:val="25"/>
          <w:szCs w:val="25"/>
          <w:lang w:eastAsia="it-IT"/>
        </w:rPr>
        <w:t>scartare dal</w:t>
      </w:r>
      <w:r w:rsidR="00B438DD" w:rsidRPr="00AF336A">
        <w:rPr>
          <w:rFonts w:eastAsia="Times New Roman"/>
          <w:color w:val="000000" w:themeColor="text1"/>
          <w:sz w:val="25"/>
          <w:szCs w:val="25"/>
          <w:lang w:eastAsia="it-IT"/>
        </w:rPr>
        <w:t xml:space="preserve">le </w:t>
      </w:r>
      <w:r w:rsidRPr="00D46F8E">
        <w:rPr>
          <w:rFonts w:eastAsia="Times New Roman"/>
          <w:color w:val="000000" w:themeColor="text1"/>
          <w:sz w:val="25"/>
          <w:szCs w:val="25"/>
          <w:lang w:eastAsia="it-IT"/>
        </w:rPr>
        <w:t>possibili opzioni interpretative della C</w:t>
      </w:r>
      <w:r w:rsidR="002B4370" w:rsidRPr="00AF336A">
        <w:rPr>
          <w:rFonts w:eastAsia="Times New Roman"/>
          <w:color w:val="000000" w:themeColor="text1"/>
          <w:sz w:val="25"/>
          <w:szCs w:val="25"/>
          <w:lang w:eastAsia="it-IT"/>
        </w:rPr>
        <w:t>edu</w:t>
      </w:r>
      <w:r w:rsidRPr="00D46F8E">
        <w:rPr>
          <w:rFonts w:eastAsia="Times New Roman"/>
          <w:color w:val="000000" w:themeColor="text1"/>
          <w:sz w:val="25"/>
          <w:szCs w:val="25"/>
          <w:lang w:eastAsia="it-IT"/>
        </w:rPr>
        <w:t xml:space="preserve"> una norma la cui definitiva formazione è sbarrata sul piano interpretativo dalla contrariet</w:t>
      </w:r>
      <w:r w:rsidR="002B4370" w:rsidRPr="00AF336A">
        <w:rPr>
          <w:rFonts w:eastAsia="Times New Roman"/>
          <w:color w:val="000000" w:themeColor="text1"/>
          <w:sz w:val="25"/>
          <w:szCs w:val="25"/>
          <w:lang w:eastAsia="it-IT"/>
        </w:rPr>
        <w:t>à</w:t>
      </w:r>
      <w:r w:rsidRPr="00D46F8E">
        <w:rPr>
          <w:rFonts w:eastAsia="Times New Roman"/>
          <w:color w:val="000000" w:themeColor="text1"/>
          <w:sz w:val="25"/>
          <w:szCs w:val="25"/>
          <w:lang w:eastAsia="it-IT"/>
        </w:rPr>
        <w:t xml:space="preserve"> alla Costituzione</w:t>
      </w:r>
      <w:r w:rsidR="004B428E" w:rsidRPr="00AF336A">
        <w:rPr>
          <w:rFonts w:eastAsia="Times New Roman"/>
          <w:color w:val="000000" w:themeColor="text1"/>
          <w:sz w:val="25"/>
          <w:szCs w:val="25"/>
          <w:lang w:eastAsia="it-IT"/>
        </w:rPr>
        <w:t>;</w:t>
      </w:r>
    </w:p>
    <w:p w14:paraId="1C66B78D" w14:textId="563C706A" w:rsidR="00D46F8E" w:rsidRPr="00D46F8E" w:rsidRDefault="00D46F8E" w:rsidP="00144DEC">
      <w:pPr>
        <w:spacing w:after="0" w:line="240" w:lineRule="auto"/>
        <w:ind w:firstLine="454"/>
        <w:jc w:val="both"/>
        <w:rPr>
          <w:rFonts w:eastAsia="Times New Roman"/>
          <w:color w:val="000000" w:themeColor="text1"/>
          <w:sz w:val="25"/>
          <w:szCs w:val="25"/>
          <w:lang w:eastAsia="it-IT"/>
        </w:rPr>
      </w:pPr>
      <w:r w:rsidRPr="00D46F8E">
        <w:rPr>
          <w:rFonts w:eastAsia="Times New Roman"/>
          <w:b/>
          <w:bCs/>
          <w:color w:val="000000" w:themeColor="text1"/>
          <w:sz w:val="25"/>
          <w:szCs w:val="25"/>
          <w:lang w:eastAsia="it-IT"/>
        </w:rPr>
        <w:t xml:space="preserve">d) </w:t>
      </w:r>
      <w:r w:rsidRPr="00D46F8E">
        <w:rPr>
          <w:rFonts w:eastAsia="Times New Roman"/>
          <w:color w:val="000000" w:themeColor="text1"/>
          <w:sz w:val="25"/>
          <w:szCs w:val="25"/>
          <w:lang w:eastAsia="it-IT"/>
        </w:rPr>
        <w:t>naturalmente, ove si sia invece manifestato diritto vivente, il meccanismo torna a girare in senso contrario: obbligo</w:t>
      </w:r>
      <w:r w:rsidRPr="00D46F8E">
        <w:rPr>
          <w:rFonts w:eastAsia="Times New Roman"/>
          <w:i/>
          <w:iCs/>
          <w:color w:val="000000" w:themeColor="text1"/>
          <w:sz w:val="25"/>
          <w:szCs w:val="25"/>
          <w:lang w:eastAsia="it-IT"/>
        </w:rPr>
        <w:t xml:space="preserve"> </w:t>
      </w:r>
      <w:r w:rsidRPr="00D46F8E">
        <w:rPr>
          <w:rFonts w:eastAsia="Times New Roman"/>
          <w:color w:val="000000" w:themeColor="text1"/>
          <w:sz w:val="25"/>
          <w:szCs w:val="25"/>
          <w:lang w:eastAsia="it-IT"/>
        </w:rPr>
        <w:t>di interpretazione convenzionalmente conforme; obblig</w:t>
      </w:r>
      <w:r w:rsidRPr="00BB0BDE">
        <w:rPr>
          <w:rFonts w:eastAsia="Times New Roman"/>
          <w:color w:val="000000" w:themeColor="text1"/>
          <w:sz w:val="25"/>
          <w:szCs w:val="25"/>
          <w:lang w:eastAsia="it-IT"/>
        </w:rPr>
        <w:t>o</w:t>
      </w:r>
      <w:r w:rsidRPr="00D46F8E">
        <w:rPr>
          <w:rFonts w:eastAsia="Times New Roman"/>
          <w:i/>
          <w:iCs/>
          <w:color w:val="000000" w:themeColor="text1"/>
          <w:sz w:val="25"/>
          <w:szCs w:val="25"/>
          <w:lang w:eastAsia="it-IT"/>
        </w:rPr>
        <w:t xml:space="preserve"> </w:t>
      </w:r>
      <w:r w:rsidRPr="00D46F8E">
        <w:rPr>
          <w:rFonts w:eastAsia="Times New Roman"/>
          <w:color w:val="000000" w:themeColor="text1"/>
          <w:sz w:val="25"/>
          <w:szCs w:val="25"/>
          <w:lang w:eastAsia="it-IT"/>
        </w:rPr>
        <w:t>di rimuovere la norma interna incompatibile, e non adeguabile in via ermeneutica, attraverso l</w:t>
      </w:r>
      <w:r w:rsidR="00144DEC" w:rsidRPr="00AF336A">
        <w:rPr>
          <w:rFonts w:eastAsia="Times New Roman"/>
          <w:color w:val="000000" w:themeColor="text1"/>
          <w:sz w:val="25"/>
          <w:szCs w:val="25"/>
          <w:lang w:eastAsia="it-IT"/>
        </w:rPr>
        <w:t>’</w:t>
      </w:r>
      <w:r w:rsidRPr="00D46F8E">
        <w:rPr>
          <w:rFonts w:eastAsia="Times New Roman"/>
          <w:color w:val="000000" w:themeColor="text1"/>
          <w:sz w:val="25"/>
          <w:szCs w:val="25"/>
          <w:lang w:eastAsia="it-IT"/>
        </w:rPr>
        <w:t>incidente di legittimit</w:t>
      </w:r>
      <w:r w:rsidR="002B4370" w:rsidRPr="00AF336A">
        <w:rPr>
          <w:rFonts w:eastAsia="Times New Roman"/>
          <w:color w:val="000000" w:themeColor="text1"/>
          <w:sz w:val="25"/>
          <w:szCs w:val="25"/>
          <w:lang w:eastAsia="it-IT"/>
        </w:rPr>
        <w:t>à</w:t>
      </w:r>
      <w:r w:rsidRPr="00D46F8E">
        <w:rPr>
          <w:rFonts w:eastAsia="Times New Roman"/>
          <w:color w:val="000000" w:themeColor="text1"/>
          <w:sz w:val="25"/>
          <w:szCs w:val="25"/>
          <w:lang w:eastAsia="it-IT"/>
        </w:rPr>
        <w:t xml:space="preserve"> costituzionale; obblig</w:t>
      </w:r>
      <w:r w:rsidRPr="00BB0BDE">
        <w:rPr>
          <w:rFonts w:eastAsia="Times New Roman"/>
          <w:color w:val="000000" w:themeColor="text1"/>
          <w:sz w:val="25"/>
          <w:szCs w:val="25"/>
          <w:lang w:eastAsia="it-IT"/>
        </w:rPr>
        <w:t>o</w:t>
      </w:r>
      <w:r w:rsidRPr="00D46F8E">
        <w:rPr>
          <w:rFonts w:eastAsia="Times New Roman"/>
          <w:i/>
          <w:iCs/>
          <w:color w:val="000000" w:themeColor="text1"/>
          <w:sz w:val="25"/>
          <w:szCs w:val="25"/>
          <w:lang w:eastAsia="it-IT"/>
        </w:rPr>
        <w:t xml:space="preserve"> </w:t>
      </w:r>
      <w:r w:rsidRPr="00D46F8E">
        <w:rPr>
          <w:rFonts w:eastAsia="Times New Roman"/>
          <w:color w:val="000000" w:themeColor="text1"/>
          <w:sz w:val="25"/>
          <w:szCs w:val="25"/>
          <w:lang w:eastAsia="it-IT"/>
        </w:rPr>
        <w:t>di risolvere l</w:t>
      </w:r>
      <w:r w:rsidR="00144DEC" w:rsidRPr="00AF336A">
        <w:rPr>
          <w:rFonts w:eastAsia="Times New Roman"/>
          <w:color w:val="000000" w:themeColor="text1"/>
          <w:sz w:val="25"/>
          <w:szCs w:val="25"/>
          <w:lang w:eastAsia="it-IT"/>
        </w:rPr>
        <w:t>’</w:t>
      </w:r>
      <w:r w:rsidRPr="00D46F8E">
        <w:rPr>
          <w:rFonts w:eastAsia="Times New Roman"/>
          <w:color w:val="000000" w:themeColor="text1"/>
          <w:sz w:val="25"/>
          <w:szCs w:val="25"/>
          <w:lang w:eastAsia="it-IT"/>
        </w:rPr>
        <w:t>antinomia tra la norma C</w:t>
      </w:r>
      <w:r w:rsidR="00BB0BDE">
        <w:rPr>
          <w:rFonts w:eastAsia="Times New Roman"/>
          <w:color w:val="000000" w:themeColor="text1"/>
          <w:sz w:val="25"/>
          <w:szCs w:val="25"/>
          <w:lang w:eastAsia="it-IT"/>
        </w:rPr>
        <w:t>edu</w:t>
      </w:r>
      <w:r w:rsidRPr="00D46F8E">
        <w:rPr>
          <w:rFonts w:eastAsia="Times New Roman"/>
          <w:color w:val="000000" w:themeColor="text1"/>
          <w:sz w:val="25"/>
          <w:szCs w:val="25"/>
          <w:lang w:eastAsia="it-IT"/>
        </w:rPr>
        <w:t xml:space="preserve"> e la Costituzione, </w:t>
      </w:r>
      <w:r w:rsidR="00183837" w:rsidRPr="00AF336A">
        <w:rPr>
          <w:rFonts w:eastAsia="Times New Roman"/>
          <w:color w:val="000000" w:themeColor="text1"/>
          <w:sz w:val="25"/>
          <w:szCs w:val="25"/>
          <w:lang w:eastAsia="it-IT"/>
        </w:rPr>
        <w:t>impugnando</w:t>
      </w:r>
      <w:r w:rsidRPr="00D46F8E">
        <w:rPr>
          <w:rFonts w:eastAsia="Times New Roman"/>
          <w:color w:val="000000" w:themeColor="text1"/>
          <w:sz w:val="25"/>
          <w:szCs w:val="25"/>
          <w:lang w:eastAsia="it-IT"/>
        </w:rPr>
        <w:t xml:space="preserve"> la legge di adattamento della Convenzione, che ha dato ingresso alla prima. </w:t>
      </w:r>
    </w:p>
    <w:p w14:paraId="0CD7DE8F" w14:textId="6C4B0FCB" w:rsidR="004E4E23" w:rsidRPr="00AF336A" w:rsidRDefault="004E4E23" w:rsidP="00144DEC">
      <w:pPr>
        <w:pStyle w:val="NormaleWeb"/>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 xml:space="preserve">Significativa espressione di questo nuovo corso è </w:t>
      </w:r>
      <w:r w:rsidR="00183837" w:rsidRPr="00AF336A">
        <w:rPr>
          <w:rFonts w:eastAsia="Times New Roman"/>
          <w:color w:val="000000" w:themeColor="text1"/>
          <w:sz w:val="25"/>
          <w:szCs w:val="25"/>
          <w:lang w:eastAsia="it-IT"/>
        </w:rPr>
        <w:t xml:space="preserve">anche </w:t>
      </w:r>
      <w:r w:rsidRPr="00AF336A">
        <w:rPr>
          <w:rFonts w:eastAsia="Times New Roman"/>
          <w:color w:val="000000" w:themeColor="text1"/>
          <w:sz w:val="25"/>
          <w:szCs w:val="25"/>
          <w:lang w:eastAsia="it-IT"/>
        </w:rPr>
        <w:t>la</w:t>
      </w:r>
      <w:r w:rsidR="004B428E" w:rsidRPr="00AF336A">
        <w:rPr>
          <w:rFonts w:eastAsia="Times New Roman"/>
          <w:color w:val="000000" w:themeColor="text1"/>
          <w:sz w:val="25"/>
          <w:szCs w:val="25"/>
          <w:lang w:eastAsia="it-IT"/>
        </w:rPr>
        <w:t xml:space="preserve"> recente</w:t>
      </w:r>
      <w:r w:rsidRPr="00AF336A">
        <w:rPr>
          <w:rFonts w:eastAsia="Times New Roman"/>
          <w:color w:val="000000" w:themeColor="text1"/>
          <w:sz w:val="25"/>
          <w:szCs w:val="25"/>
          <w:lang w:eastAsia="it-IT"/>
        </w:rPr>
        <w:t xml:space="preserve"> sentenza dell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Adunanza Plenaria n. 1 del 2022, in materia di proced</w:t>
      </w:r>
      <w:r w:rsidR="00183837" w:rsidRPr="00AF336A">
        <w:rPr>
          <w:rFonts w:eastAsia="Times New Roman"/>
          <w:color w:val="000000" w:themeColor="text1"/>
          <w:sz w:val="25"/>
          <w:szCs w:val="25"/>
          <w:lang w:eastAsia="it-IT"/>
        </w:rPr>
        <w:t>ure</w:t>
      </w:r>
      <w:r w:rsidRPr="00AF336A">
        <w:rPr>
          <w:rFonts w:eastAsia="Times New Roman"/>
          <w:color w:val="000000" w:themeColor="text1"/>
          <w:sz w:val="25"/>
          <w:szCs w:val="25"/>
          <w:lang w:eastAsia="it-IT"/>
        </w:rPr>
        <w:t xml:space="preserve"> di dissesto degli enti locali</w:t>
      </w:r>
      <w:r w:rsidR="00183837" w:rsidRPr="00AF336A">
        <w:rPr>
          <w:rFonts w:eastAsia="Times New Roman"/>
          <w:color w:val="000000" w:themeColor="text1"/>
          <w:sz w:val="25"/>
          <w:szCs w:val="25"/>
          <w:lang w:eastAsia="it-IT"/>
        </w:rPr>
        <w:t>. L</w:t>
      </w:r>
      <w:r w:rsidR="00144DEC" w:rsidRPr="00AF336A">
        <w:rPr>
          <w:rFonts w:eastAsia="Times New Roman"/>
          <w:color w:val="000000" w:themeColor="text1"/>
          <w:sz w:val="25"/>
          <w:szCs w:val="25"/>
          <w:lang w:eastAsia="it-IT"/>
        </w:rPr>
        <w:t>’</w:t>
      </w:r>
      <w:r w:rsidR="00183837" w:rsidRPr="00AF336A">
        <w:rPr>
          <w:rFonts w:eastAsia="Times New Roman"/>
          <w:color w:val="000000" w:themeColor="text1"/>
          <w:sz w:val="25"/>
          <w:szCs w:val="25"/>
          <w:lang w:eastAsia="it-IT"/>
        </w:rPr>
        <w:t>Adunanza Plenaria era</w:t>
      </w:r>
      <w:r w:rsidRPr="00AF336A">
        <w:rPr>
          <w:rFonts w:eastAsia="Times New Roman"/>
          <w:color w:val="000000" w:themeColor="text1"/>
          <w:sz w:val="25"/>
          <w:szCs w:val="25"/>
          <w:lang w:eastAsia="it-IT"/>
        </w:rPr>
        <w:t xml:space="preserve"> chiamata, in particolare, a pronunciarsi sulla questione se vadano inclusi nella </w:t>
      </w:r>
      <w:r w:rsidR="002B4370" w:rsidRPr="00AF336A">
        <w:rPr>
          <w:rFonts w:eastAsia="Times New Roman"/>
          <w:color w:val="000000" w:themeColor="text1"/>
          <w:sz w:val="25"/>
          <w:szCs w:val="25"/>
          <w:lang w:eastAsia="it-IT"/>
        </w:rPr>
        <w:t xml:space="preserve">gestione </w:t>
      </w:r>
      <w:r w:rsidRPr="00AF336A">
        <w:rPr>
          <w:rFonts w:eastAsia="Times New Roman"/>
          <w:color w:val="000000" w:themeColor="text1"/>
          <w:sz w:val="25"/>
          <w:szCs w:val="25"/>
          <w:lang w:eastAsia="it-IT"/>
        </w:rPr>
        <w:t xml:space="preserve">separata </w:t>
      </w:r>
      <w:r w:rsidR="00FF61CB" w:rsidRPr="00AF336A">
        <w:rPr>
          <w:rFonts w:eastAsia="Times New Roman"/>
          <w:color w:val="000000" w:themeColor="text1"/>
          <w:sz w:val="25"/>
          <w:szCs w:val="25"/>
          <w:lang w:eastAsia="it-IT"/>
        </w:rPr>
        <w:t>affidata all</w:t>
      </w:r>
      <w:r w:rsidR="005B240A" w:rsidRPr="00AF336A">
        <w:rPr>
          <w:rFonts w:eastAsia="Times New Roman"/>
          <w:color w:val="000000" w:themeColor="text1"/>
          <w:sz w:val="25"/>
          <w:szCs w:val="25"/>
          <w:lang w:eastAsia="it-IT"/>
        </w:rPr>
        <w:t>a</w:t>
      </w:r>
      <w:r w:rsidR="00FF61CB" w:rsidRPr="00AF336A">
        <w:rPr>
          <w:rFonts w:eastAsia="Times New Roman"/>
          <w:color w:val="000000" w:themeColor="text1"/>
          <w:sz w:val="25"/>
          <w:szCs w:val="25"/>
          <w:lang w:eastAsia="it-IT"/>
        </w:rPr>
        <w:t xml:space="preserve"> gestione dell</w:t>
      </w:r>
      <w:r w:rsidR="00144DEC" w:rsidRPr="00AF336A">
        <w:rPr>
          <w:rFonts w:eastAsia="Times New Roman"/>
          <w:color w:val="000000" w:themeColor="text1"/>
          <w:sz w:val="25"/>
          <w:szCs w:val="25"/>
          <w:lang w:eastAsia="it-IT"/>
        </w:rPr>
        <w:t>’</w:t>
      </w:r>
      <w:r w:rsidR="00FF61CB" w:rsidRPr="00AF336A">
        <w:rPr>
          <w:rFonts w:eastAsia="Times New Roman"/>
          <w:color w:val="000000" w:themeColor="text1"/>
          <w:sz w:val="25"/>
          <w:szCs w:val="25"/>
          <w:lang w:eastAsia="it-IT"/>
        </w:rPr>
        <w:t>organo straordinario anche i crediti riferibili a fatti antecedenti al riequilibrio del bilancio dell</w:t>
      </w:r>
      <w:r w:rsidR="00144DEC" w:rsidRPr="00AF336A">
        <w:rPr>
          <w:rFonts w:eastAsia="Times New Roman"/>
          <w:color w:val="000000" w:themeColor="text1"/>
          <w:sz w:val="25"/>
          <w:szCs w:val="25"/>
          <w:lang w:eastAsia="it-IT"/>
        </w:rPr>
        <w:t>’</w:t>
      </w:r>
      <w:r w:rsidR="00FF61CB" w:rsidRPr="00AF336A">
        <w:rPr>
          <w:rFonts w:eastAsia="Times New Roman"/>
          <w:color w:val="000000" w:themeColor="text1"/>
          <w:sz w:val="25"/>
          <w:szCs w:val="25"/>
          <w:lang w:eastAsia="it-IT"/>
        </w:rPr>
        <w:t>ente, nell</w:t>
      </w:r>
      <w:r w:rsidR="00144DEC" w:rsidRPr="00AF336A">
        <w:rPr>
          <w:rFonts w:eastAsia="Times New Roman"/>
          <w:color w:val="000000" w:themeColor="text1"/>
          <w:sz w:val="25"/>
          <w:szCs w:val="25"/>
          <w:lang w:eastAsia="it-IT"/>
        </w:rPr>
        <w:t>’</w:t>
      </w:r>
      <w:r w:rsidR="00FF61CB" w:rsidRPr="00AF336A">
        <w:rPr>
          <w:rFonts w:eastAsia="Times New Roman"/>
          <w:color w:val="000000" w:themeColor="text1"/>
          <w:sz w:val="25"/>
          <w:szCs w:val="25"/>
          <w:lang w:eastAsia="it-IT"/>
        </w:rPr>
        <w:t>ipotesi in cui il relativo accertamento (giurisdizionale o amministrativo) sia successivo.</w:t>
      </w:r>
      <w:r w:rsidR="00183837" w:rsidRPr="00AF336A">
        <w:rPr>
          <w:rFonts w:eastAsia="Times New Roman"/>
          <w:color w:val="000000" w:themeColor="text1"/>
          <w:sz w:val="25"/>
          <w:szCs w:val="25"/>
          <w:lang w:eastAsia="it-IT"/>
        </w:rPr>
        <w:t xml:space="preserve"> Il Supremo Consesso </w:t>
      </w:r>
      <w:r w:rsidR="00FF61CB" w:rsidRPr="00AF336A">
        <w:rPr>
          <w:rFonts w:eastAsia="Times New Roman"/>
          <w:color w:val="000000" w:themeColor="text1"/>
          <w:sz w:val="25"/>
          <w:szCs w:val="25"/>
          <w:lang w:eastAsia="it-IT"/>
        </w:rPr>
        <w:t>veniva sollecitat</w:t>
      </w:r>
      <w:r w:rsidR="00183837" w:rsidRPr="00AF336A">
        <w:rPr>
          <w:rFonts w:eastAsia="Times New Roman"/>
          <w:color w:val="000000" w:themeColor="text1"/>
          <w:sz w:val="25"/>
          <w:szCs w:val="25"/>
          <w:lang w:eastAsia="it-IT"/>
        </w:rPr>
        <w:t>o</w:t>
      </w:r>
      <w:r w:rsidR="00FF61CB" w:rsidRPr="00AF336A">
        <w:rPr>
          <w:rFonts w:eastAsia="Times New Roman"/>
          <w:color w:val="000000" w:themeColor="text1"/>
          <w:sz w:val="25"/>
          <w:szCs w:val="25"/>
          <w:lang w:eastAsia="it-IT"/>
        </w:rPr>
        <w:t xml:space="preserve"> dall</w:t>
      </w:r>
      <w:r w:rsidR="00144DEC" w:rsidRPr="00AF336A">
        <w:rPr>
          <w:rFonts w:eastAsia="Times New Roman"/>
          <w:color w:val="000000" w:themeColor="text1"/>
          <w:sz w:val="25"/>
          <w:szCs w:val="25"/>
          <w:lang w:eastAsia="it-IT"/>
        </w:rPr>
        <w:t>’</w:t>
      </w:r>
      <w:r w:rsidR="00FF61CB" w:rsidRPr="00AF336A">
        <w:rPr>
          <w:rFonts w:eastAsia="Times New Roman"/>
          <w:color w:val="000000" w:themeColor="text1"/>
          <w:sz w:val="25"/>
          <w:szCs w:val="25"/>
          <w:lang w:eastAsia="it-IT"/>
        </w:rPr>
        <w:t>ordinanza di rimessione ad una</w:t>
      </w:r>
      <w:r w:rsidRPr="00AF336A">
        <w:rPr>
          <w:rFonts w:eastAsia="Times New Roman"/>
          <w:color w:val="000000" w:themeColor="text1"/>
          <w:sz w:val="25"/>
          <w:szCs w:val="25"/>
          <w:lang w:eastAsia="it-IT"/>
        </w:rPr>
        <w:t xml:space="preserve"> rimeditazione della questione</w:t>
      </w:r>
      <w:r w:rsidR="00FF61CB" w:rsidRPr="00AF336A">
        <w:rPr>
          <w:rFonts w:eastAsia="Times New Roman"/>
          <w:color w:val="000000" w:themeColor="text1"/>
          <w:sz w:val="25"/>
          <w:szCs w:val="25"/>
          <w:lang w:eastAsia="it-IT"/>
        </w:rPr>
        <w:t xml:space="preserve"> già affrontata con la con la sentenza n. 15/2020, alla luce dei principi espressi dalla </w:t>
      </w:r>
      <w:r w:rsidRPr="00AF336A">
        <w:rPr>
          <w:rFonts w:eastAsia="Times New Roman"/>
          <w:color w:val="000000" w:themeColor="text1"/>
          <w:sz w:val="25"/>
          <w:szCs w:val="25"/>
          <w:lang w:eastAsia="it-IT"/>
        </w:rPr>
        <w:t>C</w:t>
      </w:r>
      <w:r w:rsidR="00BB0BDE">
        <w:rPr>
          <w:rFonts w:eastAsia="Times New Roman"/>
          <w:color w:val="000000" w:themeColor="text1"/>
          <w:sz w:val="25"/>
          <w:szCs w:val="25"/>
          <w:lang w:eastAsia="it-IT"/>
        </w:rPr>
        <w:t>edu</w:t>
      </w:r>
      <w:r w:rsidRPr="00AF336A">
        <w:rPr>
          <w:rFonts w:eastAsia="Times New Roman"/>
          <w:color w:val="000000" w:themeColor="text1"/>
          <w:sz w:val="25"/>
          <w:szCs w:val="25"/>
          <w:lang w:eastAsia="it-IT"/>
        </w:rPr>
        <w:t xml:space="preserve">, </w:t>
      </w:r>
      <w:r w:rsidR="00FF61CB" w:rsidRPr="00AF336A">
        <w:rPr>
          <w:rFonts w:eastAsia="Times New Roman"/>
          <w:color w:val="000000" w:themeColor="text1"/>
          <w:sz w:val="25"/>
          <w:szCs w:val="25"/>
          <w:lang w:eastAsia="it-IT"/>
        </w:rPr>
        <w:t xml:space="preserve">nella sentenza </w:t>
      </w:r>
      <w:r w:rsidR="00BB0BDE">
        <w:rPr>
          <w:rFonts w:eastAsia="Times New Roman"/>
          <w:color w:val="000000" w:themeColor="text1"/>
          <w:sz w:val="25"/>
          <w:szCs w:val="25"/>
          <w:lang w:eastAsia="it-IT"/>
        </w:rPr>
        <w:t>del 24 settembre 2013 (</w:t>
      </w:r>
      <w:r w:rsidRPr="00F43C71">
        <w:rPr>
          <w:rFonts w:eastAsia="Times New Roman"/>
          <w:i/>
          <w:iCs/>
          <w:color w:val="000000" w:themeColor="text1"/>
          <w:sz w:val="25"/>
          <w:szCs w:val="25"/>
          <w:lang w:eastAsia="it-IT"/>
        </w:rPr>
        <w:t>De Luca c</w:t>
      </w:r>
      <w:r w:rsidR="00BB0BDE"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 xml:space="preserve"> Italia</w:t>
      </w:r>
      <w:r w:rsidR="00BB0BDE">
        <w:rPr>
          <w:rFonts w:eastAsia="Times New Roman"/>
          <w:color w:val="000000" w:themeColor="text1"/>
          <w:sz w:val="25"/>
          <w:szCs w:val="25"/>
          <w:lang w:eastAsia="it-IT"/>
        </w:rPr>
        <w:t xml:space="preserve">, ric. </w:t>
      </w:r>
      <w:r w:rsidR="00BB0BDE" w:rsidRPr="00AF336A">
        <w:rPr>
          <w:rFonts w:eastAsia="Times New Roman"/>
          <w:color w:val="000000" w:themeColor="text1"/>
          <w:sz w:val="25"/>
          <w:szCs w:val="25"/>
          <w:lang w:eastAsia="it-IT"/>
        </w:rPr>
        <w:t>n. 43</w:t>
      </w:r>
      <w:r w:rsidR="00BB0BDE">
        <w:rPr>
          <w:rFonts w:eastAsia="Times New Roman"/>
          <w:color w:val="000000" w:themeColor="text1"/>
          <w:sz w:val="25"/>
          <w:szCs w:val="25"/>
          <w:lang w:eastAsia="it-IT"/>
        </w:rPr>
        <w:t>87</w:t>
      </w:r>
      <w:r w:rsidR="00BB0BDE" w:rsidRPr="00AF336A">
        <w:rPr>
          <w:rFonts w:eastAsia="Times New Roman"/>
          <w:color w:val="000000" w:themeColor="text1"/>
          <w:sz w:val="25"/>
          <w:szCs w:val="25"/>
          <w:lang w:eastAsia="it-IT"/>
        </w:rPr>
        <w:t>0/2004</w:t>
      </w:r>
      <w:r w:rsidRPr="00AF336A">
        <w:rPr>
          <w:rFonts w:eastAsia="Times New Roman"/>
          <w:color w:val="000000" w:themeColor="text1"/>
          <w:sz w:val="25"/>
          <w:szCs w:val="25"/>
          <w:lang w:eastAsia="it-IT"/>
        </w:rPr>
        <w:t>), ove la CEDU ha affermato che “</w:t>
      </w:r>
      <w:r w:rsidRPr="00BB0BDE">
        <w:rPr>
          <w:rFonts w:eastAsia="Times New Roman"/>
          <w:i/>
          <w:iCs/>
          <w:color w:val="000000" w:themeColor="text1"/>
          <w:sz w:val="25"/>
          <w:szCs w:val="25"/>
          <w:lang w:eastAsia="it-IT"/>
        </w:rPr>
        <w:t>l</w:t>
      </w:r>
      <w:r w:rsidR="00144DEC" w:rsidRPr="00BB0BDE">
        <w:rPr>
          <w:rFonts w:eastAsia="Times New Roman"/>
          <w:i/>
          <w:iCs/>
          <w:color w:val="000000" w:themeColor="text1"/>
          <w:sz w:val="25"/>
          <w:szCs w:val="25"/>
          <w:lang w:eastAsia="it-IT"/>
        </w:rPr>
        <w:t>’</w:t>
      </w:r>
      <w:r w:rsidRPr="00BB0BDE">
        <w:rPr>
          <w:rFonts w:eastAsia="Times New Roman"/>
          <w:i/>
          <w:iCs/>
          <w:color w:val="000000" w:themeColor="text1"/>
          <w:sz w:val="25"/>
          <w:szCs w:val="25"/>
          <w:lang w:eastAsia="it-IT"/>
        </w:rPr>
        <w:t>avvio della procedura di dissesto finanziario a carico di un ente locale e la nomina di un organo straordinario liquidatore, nonch</w:t>
      </w:r>
      <w:r w:rsidR="00183837" w:rsidRPr="00BB0BDE">
        <w:rPr>
          <w:rFonts w:eastAsia="Times New Roman"/>
          <w:i/>
          <w:iCs/>
          <w:color w:val="000000" w:themeColor="text1"/>
          <w:sz w:val="25"/>
          <w:szCs w:val="25"/>
          <w:lang w:eastAsia="it-IT"/>
        </w:rPr>
        <w:t>é</w:t>
      </w:r>
      <w:r w:rsidRPr="00BB0BDE">
        <w:rPr>
          <w:rFonts w:eastAsia="Times New Roman"/>
          <w:i/>
          <w:iCs/>
          <w:color w:val="000000" w:themeColor="text1"/>
          <w:sz w:val="25"/>
          <w:szCs w:val="25"/>
          <w:lang w:eastAsia="it-IT"/>
        </w:rPr>
        <w:t xml:space="preserve"> il successivo </w:t>
      </w:r>
      <w:proofErr w:type="spellStart"/>
      <w:r w:rsidRPr="00BB0BDE">
        <w:rPr>
          <w:rFonts w:eastAsia="Times New Roman"/>
          <w:i/>
          <w:iCs/>
          <w:color w:val="000000" w:themeColor="text1"/>
          <w:sz w:val="25"/>
          <w:szCs w:val="25"/>
          <w:lang w:eastAsia="it-IT"/>
        </w:rPr>
        <w:t>d.l.</w:t>
      </w:r>
      <w:proofErr w:type="spellEnd"/>
      <w:r w:rsidRPr="00BB0BDE">
        <w:rPr>
          <w:rFonts w:eastAsia="Times New Roman"/>
          <w:i/>
          <w:iCs/>
          <w:color w:val="000000" w:themeColor="text1"/>
          <w:sz w:val="25"/>
          <w:szCs w:val="25"/>
          <w:lang w:eastAsia="it-IT"/>
        </w:rPr>
        <w:t xml:space="preserve"> n. 80/2004 che impediva i pagamenti delle somme dovute fino al riequilibrio del bilancio dell</w:t>
      </w:r>
      <w:r w:rsidR="00144DEC" w:rsidRPr="00BB0BDE">
        <w:rPr>
          <w:rFonts w:eastAsia="Times New Roman"/>
          <w:i/>
          <w:iCs/>
          <w:color w:val="000000" w:themeColor="text1"/>
          <w:sz w:val="25"/>
          <w:szCs w:val="25"/>
          <w:lang w:eastAsia="it-IT"/>
        </w:rPr>
        <w:t>’</w:t>
      </w:r>
      <w:r w:rsidRPr="00BB0BDE">
        <w:rPr>
          <w:rFonts w:eastAsia="Times New Roman"/>
          <w:i/>
          <w:iCs/>
          <w:color w:val="000000" w:themeColor="text1"/>
          <w:sz w:val="25"/>
          <w:szCs w:val="25"/>
          <w:lang w:eastAsia="it-IT"/>
        </w:rPr>
        <w:t>ente, non giustificano il mancato pagamento dei debiti accertati in sede giudiziaria, poich</w:t>
      </w:r>
      <w:r w:rsidR="00183837" w:rsidRPr="00BB0BDE">
        <w:rPr>
          <w:rFonts w:eastAsia="Times New Roman"/>
          <w:i/>
          <w:iCs/>
          <w:color w:val="000000" w:themeColor="text1"/>
          <w:sz w:val="25"/>
          <w:szCs w:val="25"/>
          <w:lang w:eastAsia="it-IT"/>
        </w:rPr>
        <w:t>é</w:t>
      </w:r>
      <w:r w:rsidRPr="00BB0BDE">
        <w:rPr>
          <w:rFonts w:eastAsia="Times New Roman"/>
          <w:i/>
          <w:iCs/>
          <w:color w:val="000000" w:themeColor="text1"/>
          <w:sz w:val="25"/>
          <w:szCs w:val="25"/>
          <w:lang w:eastAsia="it-IT"/>
        </w:rPr>
        <w:t xml:space="preserve"> lesive dei principi in materia di protezione della propriet</w:t>
      </w:r>
      <w:r w:rsidR="00FF61CB" w:rsidRPr="00BB0BDE">
        <w:rPr>
          <w:rFonts w:eastAsia="Times New Roman"/>
          <w:i/>
          <w:iCs/>
          <w:color w:val="000000" w:themeColor="text1"/>
          <w:sz w:val="25"/>
          <w:szCs w:val="25"/>
          <w:lang w:eastAsia="it-IT"/>
        </w:rPr>
        <w:t>à</w:t>
      </w:r>
      <w:r w:rsidRPr="00BB0BDE">
        <w:rPr>
          <w:rFonts w:eastAsia="Times New Roman"/>
          <w:i/>
          <w:iCs/>
          <w:color w:val="000000" w:themeColor="text1"/>
          <w:sz w:val="25"/>
          <w:szCs w:val="25"/>
          <w:lang w:eastAsia="it-IT"/>
        </w:rPr>
        <w:t xml:space="preserve"> e di accesso alla giustizia riconosciuti dalla convenzione europea dei diritti dell</w:t>
      </w:r>
      <w:r w:rsidR="00144DEC" w:rsidRPr="00BB0BDE">
        <w:rPr>
          <w:rFonts w:eastAsia="Times New Roman"/>
          <w:i/>
          <w:iCs/>
          <w:color w:val="000000" w:themeColor="text1"/>
          <w:sz w:val="25"/>
          <w:szCs w:val="25"/>
          <w:lang w:eastAsia="it-IT"/>
        </w:rPr>
        <w:t>’</w:t>
      </w:r>
      <w:r w:rsidRPr="00BB0BDE">
        <w:rPr>
          <w:rFonts w:eastAsia="Times New Roman"/>
          <w:i/>
          <w:iCs/>
          <w:color w:val="000000" w:themeColor="text1"/>
          <w:sz w:val="25"/>
          <w:szCs w:val="25"/>
          <w:lang w:eastAsia="it-IT"/>
        </w:rPr>
        <w:t>uomo. Ne consegue l</w:t>
      </w:r>
      <w:r w:rsidR="00144DEC" w:rsidRPr="00BB0BDE">
        <w:rPr>
          <w:rFonts w:eastAsia="Times New Roman"/>
          <w:i/>
          <w:iCs/>
          <w:color w:val="000000" w:themeColor="text1"/>
          <w:sz w:val="25"/>
          <w:szCs w:val="25"/>
          <w:lang w:eastAsia="it-IT"/>
        </w:rPr>
        <w:t>’</w:t>
      </w:r>
      <w:r w:rsidRPr="00BB0BDE">
        <w:rPr>
          <w:rFonts w:eastAsia="Times New Roman"/>
          <w:i/>
          <w:iCs/>
          <w:color w:val="000000" w:themeColor="text1"/>
          <w:sz w:val="25"/>
          <w:szCs w:val="25"/>
          <w:lang w:eastAsia="it-IT"/>
        </w:rPr>
        <w:t>obbligo per lo Stato di appartenenza di pagare le somme dovute dagli enti locali nei termini e secondo le modalit</w:t>
      </w:r>
      <w:r w:rsidR="005B240A" w:rsidRPr="00BB0BDE">
        <w:rPr>
          <w:rFonts w:eastAsia="Times New Roman"/>
          <w:i/>
          <w:iCs/>
          <w:color w:val="000000" w:themeColor="text1"/>
          <w:sz w:val="25"/>
          <w:szCs w:val="25"/>
          <w:lang w:eastAsia="it-IT"/>
        </w:rPr>
        <w:t>à</w:t>
      </w:r>
      <w:r w:rsidRPr="00BB0BDE">
        <w:rPr>
          <w:rFonts w:eastAsia="Times New Roman"/>
          <w:i/>
          <w:iCs/>
          <w:color w:val="000000" w:themeColor="text1"/>
          <w:sz w:val="25"/>
          <w:szCs w:val="25"/>
          <w:lang w:eastAsia="it-IT"/>
        </w:rPr>
        <w:t xml:space="preserve"> prescritte dalla convenzione</w:t>
      </w:r>
      <w:r w:rsidRPr="00AF336A">
        <w:rPr>
          <w:rFonts w:eastAsia="Times New Roman"/>
          <w:color w:val="000000" w:themeColor="text1"/>
          <w:sz w:val="25"/>
          <w:szCs w:val="25"/>
          <w:lang w:eastAsia="it-IT"/>
        </w:rPr>
        <w:t xml:space="preserve">”. </w:t>
      </w:r>
    </w:p>
    <w:p w14:paraId="73B06386" w14:textId="44DC338C" w:rsidR="00B8285A" w:rsidRPr="00AF336A" w:rsidRDefault="00FF61CB" w:rsidP="00144DEC">
      <w:pPr>
        <w:pStyle w:val="NormaleWeb"/>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Ebbene,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Ad</w:t>
      </w:r>
      <w:r w:rsidR="002B4370" w:rsidRPr="00AF336A">
        <w:rPr>
          <w:rFonts w:eastAsia="Times New Roman"/>
          <w:color w:val="000000" w:themeColor="text1"/>
          <w:sz w:val="25"/>
          <w:szCs w:val="25"/>
          <w:lang w:eastAsia="it-IT"/>
        </w:rPr>
        <w:t xml:space="preserve">unanza </w:t>
      </w:r>
      <w:r w:rsidRPr="00AF336A">
        <w:rPr>
          <w:rFonts w:eastAsia="Times New Roman"/>
          <w:color w:val="000000" w:themeColor="text1"/>
          <w:sz w:val="25"/>
          <w:szCs w:val="25"/>
          <w:lang w:eastAsia="it-IT"/>
        </w:rPr>
        <w:t>plen</w:t>
      </w:r>
      <w:r w:rsidR="002B4370" w:rsidRPr="00AF336A">
        <w:rPr>
          <w:rFonts w:eastAsia="Times New Roman"/>
          <w:color w:val="000000" w:themeColor="text1"/>
          <w:sz w:val="25"/>
          <w:szCs w:val="25"/>
          <w:lang w:eastAsia="it-IT"/>
        </w:rPr>
        <w:t>aria</w:t>
      </w:r>
      <w:r w:rsidR="00B8285A" w:rsidRPr="00AF336A">
        <w:rPr>
          <w:rFonts w:eastAsia="Times New Roman"/>
          <w:color w:val="000000" w:themeColor="text1"/>
          <w:sz w:val="25"/>
          <w:szCs w:val="25"/>
          <w:lang w:eastAsia="it-IT"/>
        </w:rPr>
        <w:t>, nel ribadire il proprio tradizionale indirizzo favorevole all</w:t>
      </w:r>
      <w:r w:rsidR="00144DEC" w:rsidRPr="00AF336A">
        <w:rPr>
          <w:rFonts w:eastAsia="Times New Roman"/>
          <w:color w:val="000000" w:themeColor="text1"/>
          <w:sz w:val="25"/>
          <w:szCs w:val="25"/>
          <w:lang w:eastAsia="it-IT"/>
        </w:rPr>
        <w:t>’</w:t>
      </w:r>
      <w:r w:rsidR="00B8285A" w:rsidRPr="00AF336A">
        <w:rPr>
          <w:rFonts w:eastAsia="Times New Roman"/>
          <w:color w:val="000000" w:themeColor="text1"/>
          <w:sz w:val="25"/>
          <w:szCs w:val="25"/>
          <w:lang w:eastAsia="it-IT"/>
        </w:rPr>
        <w:t xml:space="preserve">incluso anche di tali crediti nella procedura di dissesto, </w:t>
      </w:r>
      <w:r w:rsidRPr="00AF336A">
        <w:rPr>
          <w:rFonts w:eastAsia="Times New Roman"/>
          <w:color w:val="000000" w:themeColor="text1"/>
          <w:sz w:val="25"/>
          <w:szCs w:val="25"/>
          <w:lang w:eastAsia="it-IT"/>
        </w:rPr>
        <w:t xml:space="preserve">afferma, </w:t>
      </w:r>
      <w:r w:rsidRPr="00AF336A">
        <w:rPr>
          <w:rFonts w:eastAsia="Times New Roman"/>
          <w:i/>
          <w:iCs/>
          <w:color w:val="000000" w:themeColor="text1"/>
          <w:sz w:val="25"/>
          <w:szCs w:val="25"/>
          <w:lang w:eastAsia="it-IT"/>
        </w:rPr>
        <w:t>in primis</w:t>
      </w:r>
      <w:r w:rsidRPr="00AF336A">
        <w:rPr>
          <w:rFonts w:eastAsia="Times New Roman"/>
          <w:color w:val="000000" w:themeColor="text1"/>
          <w:sz w:val="25"/>
          <w:szCs w:val="25"/>
          <w:lang w:eastAsia="it-IT"/>
        </w:rPr>
        <w:t xml:space="preserve">, che </w:t>
      </w:r>
      <w:r w:rsidR="00183837" w:rsidRPr="00AF336A">
        <w:rPr>
          <w:rFonts w:eastAsia="Times New Roman"/>
          <w:color w:val="000000" w:themeColor="text1"/>
          <w:sz w:val="25"/>
          <w:szCs w:val="25"/>
          <w:lang w:eastAsia="it-IT"/>
        </w:rPr>
        <w:t xml:space="preserve">la </w:t>
      </w:r>
      <w:r w:rsidR="00B8285A" w:rsidRPr="00AF336A">
        <w:rPr>
          <w:rFonts w:eastAsia="Times New Roman"/>
          <w:color w:val="000000" w:themeColor="text1"/>
          <w:sz w:val="25"/>
          <w:szCs w:val="25"/>
          <w:lang w:eastAsia="it-IT"/>
        </w:rPr>
        <w:t>giurisprudenza C</w:t>
      </w:r>
      <w:r w:rsidR="00BB0BDE">
        <w:rPr>
          <w:rFonts w:eastAsia="Times New Roman"/>
          <w:color w:val="000000" w:themeColor="text1"/>
          <w:sz w:val="25"/>
          <w:szCs w:val="25"/>
          <w:lang w:eastAsia="it-IT"/>
        </w:rPr>
        <w:t>edu</w:t>
      </w:r>
      <w:r w:rsidR="00B8285A" w:rsidRPr="00AF336A">
        <w:rPr>
          <w:rFonts w:eastAsia="Times New Roman"/>
          <w:color w:val="000000" w:themeColor="text1"/>
          <w:sz w:val="25"/>
          <w:szCs w:val="25"/>
          <w:lang w:eastAsia="it-IT"/>
        </w:rPr>
        <w:t xml:space="preserve"> evocata dall</w:t>
      </w:r>
      <w:r w:rsidR="00144DEC" w:rsidRPr="00AF336A">
        <w:rPr>
          <w:rFonts w:eastAsia="Times New Roman"/>
          <w:color w:val="000000" w:themeColor="text1"/>
          <w:sz w:val="25"/>
          <w:szCs w:val="25"/>
          <w:lang w:eastAsia="it-IT"/>
        </w:rPr>
        <w:t>’</w:t>
      </w:r>
      <w:r w:rsidR="00B8285A" w:rsidRPr="00AF336A">
        <w:rPr>
          <w:rFonts w:eastAsia="Times New Roman"/>
          <w:color w:val="000000" w:themeColor="text1"/>
          <w:sz w:val="25"/>
          <w:szCs w:val="25"/>
          <w:lang w:eastAsia="it-IT"/>
        </w:rPr>
        <w:t>ordinanza di remissione, non risulta completamente consolidat</w:t>
      </w:r>
      <w:r w:rsidR="00183837" w:rsidRPr="00AF336A">
        <w:rPr>
          <w:rFonts w:eastAsia="Times New Roman"/>
          <w:color w:val="000000" w:themeColor="text1"/>
          <w:sz w:val="25"/>
          <w:szCs w:val="25"/>
          <w:lang w:eastAsia="it-IT"/>
        </w:rPr>
        <w:t>a</w:t>
      </w:r>
      <w:r w:rsidR="00B8285A" w:rsidRPr="00AF336A">
        <w:rPr>
          <w:rFonts w:eastAsia="Times New Roman"/>
          <w:color w:val="000000" w:themeColor="text1"/>
          <w:sz w:val="25"/>
          <w:szCs w:val="25"/>
          <w:lang w:eastAsia="it-IT"/>
        </w:rPr>
        <w:t xml:space="preserve"> a livello di Corte dei diritti dell</w:t>
      </w:r>
      <w:r w:rsidR="00144DEC" w:rsidRPr="00AF336A">
        <w:rPr>
          <w:rFonts w:eastAsia="Times New Roman"/>
          <w:color w:val="000000" w:themeColor="text1"/>
          <w:sz w:val="25"/>
          <w:szCs w:val="25"/>
          <w:lang w:eastAsia="it-IT"/>
        </w:rPr>
        <w:t>’</w:t>
      </w:r>
      <w:r w:rsidR="00B8285A" w:rsidRPr="00AF336A">
        <w:rPr>
          <w:rFonts w:eastAsia="Times New Roman"/>
          <w:color w:val="000000" w:themeColor="text1"/>
          <w:sz w:val="25"/>
          <w:szCs w:val="25"/>
          <w:lang w:eastAsia="it-IT"/>
        </w:rPr>
        <w:t>uomo, per poi aggiungere che, nel caso di specie, il giudizio di bilanciamento effettuato dalla Corte EDU non tiene</w:t>
      </w:r>
      <w:r w:rsidR="00183837" w:rsidRPr="00AF336A">
        <w:rPr>
          <w:rFonts w:eastAsia="Times New Roman"/>
          <w:color w:val="000000" w:themeColor="text1"/>
          <w:sz w:val="25"/>
          <w:szCs w:val="25"/>
          <w:lang w:eastAsia="it-IT"/>
        </w:rPr>
        <w:t>, comunque,</w:t>
      </w:r>
      <w:r w:rsidR="00B8285A" w:rsidRPr="00AF336A">
        <w:rPr>
          <w:rFonts w:eastAsia="Times New Roman"/>
          <w:color w:val="000000" w:themeColor="text1"/>
          <w:sz w:val="25"/>
          <w:szCs w:val="25"/>
          <w:lang w:eastAsia="it-IT"/>
        </w:rPr>
        <w:t xml:space="preserve"> in adeguato conto un altro valore fondamentale, che è quello di salvaguardare le funzioni fondamentali dell</w:t>
      </w:r>
      <w:r w:rsidR="00144DEC" w:rsidRPr="00AF336A">
        <w:rPr>
          <w:rFonts w:eastAsia="Times New Roman"/>
          <w:color w:val="000000" w:themeColor="text1"/>
          <w:sz w:val="25"/>
          <w:szCs w:val="25"/>
          <w:lang w:eastAsia="it-IT"/>
        </w:rPr>
        <w:t>’</w:t>
      </w:r>
      <w:r w:rsidR="00B8285A" w:rsidRPr="00AF336A">
        <w:rPr>
          <w:rFonts w:eastAsia="Times New Roman"/>
          <w:color w:val="000000" w:themeColor="text1"/>
          <w:sz w:val="25"/>
          <w:szCs w:val="25"/>
          <w:lang w:eastAsia="it-IT"/>
        </w:rPr>
        <w:t>ente in stato di insolvenza, permettendogli di recuperare una situazione finanziaria di riequilibrio e, quindi, di normalit</w:t>
      </w:r>
      <w:r w:rsidR="002B4370" w:rsidRPr="00AF336A">
        <w:rPr>
          <w:rFonts w:eastAsia="Times New Roman"/>
          <w:color w:val="000000" w:themeColor="text1"/>
          <w:sz w:val="25"/>
          <w:szCs w:val="25"/>
          <w:lang w:eastAsia="it-IT"/>
        </w:rPr>
        <w:t>à</w:t>
      </w:r>
      <w:r w:rsidR="00B8285A" w:rsidRPr="00AF336A">
        <w:rPr>
          <w:rFonts w:eastAsia="Times New Roman"/>
          <w:color w:val="000000" w:themeColor="text1"/>
          <w:sz w:val="25"/>
          <w:szCs w:val="25"/>
          <w:lang w:eastAsia="it-IT"/>
        </w:rPr>
        <w:t xml:space="preserve"> gestionale e di capienza finanziaria, che altrimenti sarebbe compromessa dai debiti sorti nel </w:t>
      </w:r>
      <w:r w:rsidR="00B8285A" w:rsidRPr="00B8285A">
        <w:rPr>
          <w:rFonts w:eastAsia="Times New Roman"/>
          <w:color w:val="000000" w:themeColor="text1"/>
          <w:sz w:val="25"/>
          <w:szCs w:val="25"/>
          <w:lang w:eastAsia="it-IT"/>
        </w:rPr>
        <w:t>periodo precedente</w:t>
      </w:r>
      <w:r w:rsidR="00B8285A" w:rsidRPr="00AF336A">
        <w:rPr>
          <w:rFonts w:eastAsia="Times New Roman"/>
          <w:color w:val="000000" w:themeColor="text1"/>
          <w:sz w:val="25"/>
          <w:szCs w:val="25"/>
          <w:lang w:eastAsia="it-IT"/>
        </w:rPr>
        <w:t>.</w:t>
      </w:r>
      <w:r w:rsidR="00B8285A" w:rsidRPr="00B8285A">
        <w:rPr>
          <w:rFonts w:eastAsia="Times New Roman"/>
          <w:color w:val="000000" w:themeColor="text1"/>
          <w:sz w:val="25"/>
          <w:szCs w:val="25"/>
          <w:lang w:eastAsia="it-IT"/>
        </w:rPr>
        <w:t xml:space="preserve"> </w:t>
      </w:r>
    </w:p>
    <w:p w14:paraId="69D1D3BD" w14:textId="31B4F717" w:rsidR="00183837" w:rsidRPr="00AF336A" w:rsidRDefault="00183837" w:rsidP="00144DEC">
      <w:pPr>
        <w:pStyle w:val="NormaleWeb"/>
        <w:spacing w:after="0" w:line="240" w:lineRule="auto"/>
        <w:ind w:firstLine="454"/>
        <w:jc w:val="both"/>
        <w:rPr>
          <w:rFonts w:eastAsia="Times New Roman"/>
          <w:b/>
          <w:bCs/>
          <w:color w:val="000000" w:themeColor="text1"/>
          <w:sz w:val="25"/>
          <w:szCs w:val="25"/>
          <w:lang w:eastAsia="it-IT"/>
        </w:rPr>
      </w:pPr>
    </w:p>
    <w:p w14:paraId="067809BF" w14:textId="7DB323AB" w:rsidR="00183837" w:rsidRPr="00B8285A" w:rsidRDefault="00C63323" w:rsidP="00144DEC">
      <w:pPr>
        <w:pStyle w:val="NormaleWeb"/>
        <w:spacing w:after="0" w:line="240" w:lineRule="auto"/>
        <w:ind w:firstLine="454"/>
        <w:jc w:val="both"/>
        <w:rPr>
          <w:rFonts w:eastAsia="Times New Roman"/>
          <w:b/>
          <w:bCs/>
          <w:color w:val="000000" w:themeColor="text1"/>
          <w:sz w:val="25"/>
          <w:szCs w:val="25"/>
          <w:lang w:eastAsia="it-IT"/>
        </w:rPr>
      </w:pPr>
      <w:r w:rsidRPr="00AF336A">
        <w:rPr>
          <w:rFonts w:eastAsia="Times New Roman"/>
          <w:b/>
          <w:bCs/>
          <w:color w:val="000000" w:themeColor="text1"/>
          <w:sz w:val="25"/>
          <w:szCs w:val="25"/>
          <w:lang w:eastAsia="it-IT"/>
        </w:rPr>
        <w:t xml:space="preserve">3.2. </w:t>
      </w:r>
      <w:r w:rsidR="00183837" w:rsidRPr="00AF336A">
        <w:rPr>
          <w:rFonts w:eastAsia="Times New Roman"/>
          <w:b/>
          <w:bCs/>
          <w:color w:val="000000" w:themeColor="text1"/>
          <w:sz w:val="25"/>
          <w:szCs w:val="25"/>
          <w:lang w:eastAsia="it-IT"/>
        </w:rPr>
        <w:t xml:space="preserve">Il c.d. margine di apprezzamento </w:t>
      </w:r>
      <w:r w:rsidR="00C54DD4" w:rsidRPr="00AF336A">
        <w:rPr>
          <w:rFonts w:eastAsia="Times New Roman"/>
          <w:b/>
          <w:bCs/>
          <w:color w:val="000000" w:themeColor="text1"/>
          <w:sz w:val="25"/>
          <w:szCs w:val="25"/>
          <w:lang w:eastAsia="it-IT"/>
        </w:rPr>
        <w:t xml:space="preserve">nel passaggio </w:t>
      </w:r>
      <w:r w:rsidR="00183837" w:rsidRPr="00AF336A">
        <w:rPr>
          <w:rFonts w:eastAsia="Times New Roman"/>
          <w:b/>
          <w:bCs/>
          <w:color w:val="000000" w:themeColor="text1"/>
          <w:sz w:val="25"/>
          <w:szCs w:val="25"/>
          <w:lang w:eastAsia="it-IT"/>
        </w:rPr>
        <w:t>dal caso concreto al sistema</w:t>
      </w:r>
      <w:r w:rsidR="006F3343">
        <w:rPr>
          <w:rFonts w:eastAsia="Times New Roman"/>
          <w:b/>
          <w:bCs/>
          <w:color w:val="000000" w:themeColor="text1"/>
          <w:sz w:val="25"/>
          <w:szCs w:val="25"/>
          <w:lang w:eastAsia="it-IT"/>
        </w:rPr>
        <w:t>.</w:t>
      </w:r>
      <w:r w:rsidR="00183837" w:rsidRPr="00AF336A">
        <w:rPr>
          <w:rFonts w:eastAsia="Times New Roman"/>
          <w:b/>
          <w:bCs/>
          <w:color w:val="000000" w:themeColor="text1"/>
          <w:sz w:val="25"/>
          <w:szCs w:val="25"/>
          <w:lang w:eastAsia="it-IT"/>
        </w:rPr>
        <w:t xml:space="preserve"> </w:t>
      </w:r>
    </w:p>
    <w:p w14:paraId="2A61E383" w14:textId="17120E6F" w:rsidR="009C55EE" w:rsidRPr="00AF336A" w:rsidRDefault="00B8285A"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Oltre alla possibilità di disconoscere efficacia vincolante all</w:t>
      </w:r>
      <w:r w:rsidR="0093385B" w:rsidRPr="00AF336A">
        <w:rPr>
          <w:color w:val="000000" w:themeColor="text1"/>
          <w:sz w:val="25"/>
          <w:szCs w:val="25"/>
        </w:rPr>
        <w:t xml:space="preserve">e </w:t>
      </w:r>
      <w:r w:rsidRPr="00AF336A">
        <w:rPr>
          <w:color w:val="000000" w:themeColor="text1"/>
          <w:sz w:val="25"/>
          <w:szCs w:val="25"/>
        </w:rPr>
        <w:t>sentenze di Strasburgo che non siano ancora espressione di un orientamento consolidato, un altro “strumento” che ha spesso consentito di evitare la diretta attivazione dei controlimiti rispetto alla CEDU è quello che fa capo al c.d. “</w:t>
      </w:r>
      <w:r w:rsidR="004E2BDE" w:rsidRPr="00AF336A">
        <w:rPr>
          <w:color w:val="000000" w:themeColor="text1"/>
          <w:sz w:val="25"/>
          <w:szCs w:val="25"/>
        </w:rPr>
        <w:t>margine di apprezzamento</w:t>
      </w:r>
      <w:r w:rsidRPr="00AF336A">
        <w:rPr>
          <w:color w:val="000000" w:themeColor="text1"/>
          <w:sz w:val="25"/>
          <w:szCs w:val="25"/>
        </w:rPr>
        <w:t>”</w:t>
      </w:r>
      <w:r w:rsidR="0093385B" w:rsidRPr="00AF336A">
        <w:rPr>
          <w:color w:val="000000" w:themeColor="text1"/>
          <w:sz w:val="25"/>
          <w:szCs w:val="25"/>
        </w:rPr>
        <w:t xml:space="preserve">, attraverso il quale la Corte </w:t>
      </w:r>
      <w:r w:rsidR="00C54DD4" w:rsidRPr="00AF336A">
        <w:rPr>
          <w:color w:val="000000" w:themeColor="text1"/>
          <w:sz w:val="25"/>
          <w:szCs w:val="25"/>
        </w:rPr>
        <w:t>–</w:t>
      </w:r>
      <w:r w:rsidR="005B0D79" w:rsidRPr="00AF336A">
        <w:rPr>
          <w:color w:val="000000" w:themeColor="text1"/>
          <w:sz w:val="25"/>
          <w:szCs w:val="25"/>
        </w:rPr>
        <w:t xml:space="preserve"> </w:t>
      </w:r>
      <w:r w:rsidR="005B0D79" w:rsidRPr="00AF336A">
        <w:rPr>
          <w:rFonts w:eastAsia="Times New Roman"/>
          <w:color w:val="000000" w:themeColor="text1"/>
          <w:sz w:val="25"/>
          <w:szCs w:val="25"/>
          <w:lang w:eastAsia="it-IT"/>
        </w:rPr>
        <w:t xml:space="preserve">in ragione del suo ruolo di </w:t>
      </w:r>
      <w:r w:rsidR="005B0D79" w:rsidRPr="00AF336A">
        <w:rPr>
          <w:rFonts w:eastAsia="Times New Roman"/>
          <w:i/>
          <w:iCs/>
          <w:color w:val="000000" w:themeColor="text1"/>
          <w:sz w:val="25"/>
          <w:szCs w:val="25"/>
          <w:lang w:eastAsia="it-IT"/>
        </w:rPr>
        <w:t xml:space="preserve">Corte di sistema </w:t>
      </w:r>
      <w:r w:rsidR="005B0D79" w:rsidRPr="00AF336A">
        <w:rPr>
          <w:rFonts w:eastAsia="Times New Roman"/>
          <w:color w:val="000000" w:themeColor="text1"/>
          <w:sz w:val="25"/>
          <w:szCs w:val="25"/>
          <w:lang w:eastAsia="it-IT"/>
        </w:rPr>
        <w:t xml:space="preserve">a differenza della Corte di Strasburgo, </w:t>
      </w:r>
      <w:r w:rsidR="005B0D79" w:rsidRPr="00AF336A">
        <w:rPr>
          <w:rFonts w:eastAsia="Times New Roman"/>
          <w:i/>
          <w:iCs/>
          <w:color w:val="000000" w:themeColor="text1"/>
          <w:sz w:val="25"/>
          <w:szCs w:val="25"/>
          <w:lang w:eastAsia="it-IT"/>
        </w:rPr>
        <w:t>Corte dei casi concreti</w:t>
      </w:r>
      <w:r w:rsidR="005B0D79" w:rsidRPr="00AF336A">
        <w:rPr>
          <w:rFonts w:eastAsia="Times New Roman"/>
          <w:color w:val="000000" w:themeColor="text1"/>
          <w:sz w:val="25"/>
          <w:szCs w:val="25"/>
          <w:lang w:eastAsia="it-IT"/>
        </w:rPr>
        <w:t xml:space="preserve"> </w:t>
      </w:r>
      <w:r w:rsidR="00C54DD4" w:rsidRPr="00AF336A">
        <w:rPr>
          <w:rFonts w:eastAsia="Times New Roman"/>
          <w:color w:val="000000" w:themeColor="text1"/>
          <w:sz w:val="25"/>
          <w:szCs w:val="25"/>
          <w:lang w:eastAsia="it-IT"/>
        </w:rPr>
        <w:t xml:space="preserve">– </w:t>
      </w:r>
      <w:r w:rsidR="0093385B" w:rsidRPr="00AF336A">
        <w:rPr>
          <w:color w:val="000000" w:themeColor="text1"/>
          <w:sz w:val="25"/>
          <w:szCs w:val="25"/>
        </w:rPr>
        <w:t xml:space="preserve">ha </w:t>
      </w:r>
      <w:r w:rsidR="0093385B" w:rsidRPr="00AF336A">
        <w:rPr>
          <w:rFonts w:eastAsia="Times New Roman"/>
          <w:color w:val="000000" w:themeColor="text1"/>
          <w:sz w:val="25"/>
          <w:szCs w:val="25"/>
          <w:lang w:eastAsia="it-IT"/>
        </w:rPr>
        <w:t xml:space="preserve">rivendicato la </w:t>
      </w:r>
      <w:r w:rsidR="0093385B" w:rsidRPr="00AF336A">
        <w:rPr>
          <w:rFonts w:eastAsia="Times New Roman"/>
          <w:i/>
          <w:iCs/>
          <w:color w:val="000000" w:themeColor="text1"/>
          <w:sz w:val="25"/>
          <w:szCs w:val="25"/>
          <w:lang w:eastAsia="it-IT"/>
        </w:rPr>
        <w:t xml:space="preserve">propria competenza </w:t>
      </w:r>
      <w:r w:rsidR="0093385B" w:rsidRPr="00AF336A">
        <w:rPr>
          <w:rFonts w:eastAsia="Times New Roman"/>
          <w:color w:val="000000" w:themeColor="text1"/>
          <w:sz w:val="25"/>
          <w:szCs w:val="25"/>
          <w:lang w:eastAsia="it-IT"/>
        </w:rPr>
        <w:t>“a valutare come ed in quale misura l</w:t>
      </w:r>
      <w:r w:rsidR="00144DEC" w:rsidRPr="00AF336A">
        <w:rPr>
          <w:rFonts w:eastAsia="Times New Roman"/>
          <w:color w:val="000000" w:themeColor="text1"/>
          <w:sz w:val="25"/>
          <w:szCs w:val="25"/>
          <w:lang w:eastAsia="it-IT"/>
        </w:rPr>
        <w:t>’</w:t>
      </w:r>
      <w:r w:rsidR="0093385B" w:rsidRPr="00AF336A">
        <w:rPr>
          <w:rFonts w:eastAsia="Times New Roman"/>
          <w:color w:val="000000" w:themeColor="text1"/>
          <w:sz w:val="25"/>
          <w:szCs w:val="25"/>
          <w:lang w:eastAsia="it-IT"/>
        </w:rPr>
        <w:t>applicazione della Convenzione da parte della Corte europea si inserisca nell</w:t>
      </w:r>
      <w:r w:rsidR="00144DEC" w:rsidRPr="00AF336A">
        <w:rPr>
          <w:rFonts w:eastAsia="Times New Roman"/>
          <w:color w:val="000000" w:themeColor="text1"/>
          <w:sz w:val="25"/>
          <w:szCs w:val="25"/>
          <w:lang w:eastAsia="it-IT"/>
        </w:rPr>
        <w:t>’</w:t>
      </w:r>
      <w:r w:rsidR="0093385B" w:rsidRPr="00AF336A">
        <w:rPr>
          <w:rFonts w:eastAsia="Times New Roman"/>
          <w:color w:val="000000" w:themeColor="text1"/>
          <w:sz w:val="25"/>
          <w:szCs w:val="25"/>
          <w:lang w:eastAsia="it-IT"/>
        </w:rPr>
        <w:t>ordinamento costituzionale italiano</w:t>
      </w:r>
      <w:r w:rsidR="00863D57" w:rsidRPr="00AF336A">
        <w:rPr>
          <w:rFonts w:eastAsia="Times New Roman"/>
          <w:color w:val="000000" w:themeColor="text1"/>
          <w:sz w:val="25"/>
          <w:szCs w:val="25"/>
          <w:lang w:eastAsia="it-IT"/>
        </w:rPr>
        <w:t>”</w:t>
      </w:r>
      <w:r w:rsidR="00F43C71">
        <w:rPr>
          <w:rStyle w:val="Rimandonotaapidipagina"/>
          <w:rFonts w:eastAsia="Times New Roman"/>
          <w:color w:val="000000" w:themeColor="text1"/>
          <w:sz w:val="25"/>
          <w:szCs w:val="25"/>
          <w:lang w:eastAsia="it-IT"/>
        </w:rPr>
        <w:footnoteReference w:id="11"/>
      </w:r>
      <w:r w:rsidR="005B0D79" w:rsidRPr="00AF336A">
        <w:rPr>
          <w:rFonts w:eastAsia="Times New Roman"/>
          <w:color w:val="000000" w:themeColor="text1"/>
          <w:sz w:val="25"/>
          <w:szCs w:val="25"/>
          <w:lang w:eastAsia="it-IT"/>
        </w:rPr>
        <w:t xml:space="preserve">. </w:t>
      </w:r>
    </w:p>
    <w:p w14:paraId="6CE9464F" w14:textId="13181196" w:rsidR="005B0D79" w:rsidRPr="00AF336A" w:rsidRDefault="005B0D79" w:rsidP="00144DEC">
      <w:pPr>
        <w:spacing w:after="0" w:line="240" w:lineRule="auto"/>
        <w:ind w:firstLine="454"/>
        <w:jc w:val="both"/>
        <w:rPr>
          <w:color w:val="000000" w:themeColor="text1"/>
          <w:sz w:val="25"/>
          <w:szCs w:val="25"/>
        </w:rPr>
      </w:pPr>
      <w:r w:rsidRPr="00AF336A">
        <w:rPr>
          <w:color w:val="000000" w:themeColor="text1"/>
          <w:sz w:val="25"/>
          <w:szCs w:val="25"/>
        </w:rPr>
        <w:t>L</w:t>
      </w:r>
      <w:r w:rsidR="004E2BDE" w:rsidRPr="00AF336A">
        <w:rPr>
          <w:color w:val="000000" w:themeColor="text1"/>
          <w:sz w:val="25"/>
          <w:szCs w:val="25"/>
        </w:rPr>
        <w:t xml:space="preserve">a </w:t>
      </w:r>
      <w:r w:rsidR="009C55EE" w:rsidRPr="00AF336A">
        <w:rPr>
          <w:color w:val="000000" w:themeColor="text1"/>
          <w:sz w:val="25"/>
          <w:szCs w:val="25"/>
        </w:rPr>
        <w:t>C</w:t>
      </w:r>
      <w:r w:rsidR="004E2BDE" w:rsidRPr="00AF336A">
        <w:rPr>
          <w:color w:val="000000" w:themeColor="text1"/>
          <w:sz w:val="25"/>
          <w:szCs w:val="25"/>
        </w:rPr>
        <w:t>orte</w:t>
      </w:r>
      <w:r w:rsidR="009C55EE" w:rsidRPr="00AF336A">
        <w:rPr>
          <w:color w:val="000000" w:themeColor="text1"/>
          <w:sz w:val="25"/>
          <w:szCs w:val="25"/>
        </w:rPr>
        <w:t xml:space="preserve"> E</w:t>
      </w:r>
      <w:r w:rsidR="004E2BDE" w:rsidRPr="00AF336A">
        <w:rPr>
          <w:color w:val="000000" w:themeColor="text1"/>
          <w:sz w:val="25"/>
          <w:szCs w:val="25"/>
        </w:rPr>
        <w:t>du</w:t>
      </w:r>
      <w:r w:rsidRPr="00AF336A">
        <w:rPr>
          <w:color w:val="000000" w:themeColor="text1"/>
          <w:sz w:val="25"/>
          <w:szCs w:val="25"/>
        </w:rPr>
        <w:t>, quando formula</w:t>
      </w:r>
      <w:r w:rsidR="004E2BDE" w:rsidRPr="00AF336A">
        <w:rPr>
          <w:color w:val="000000" w:themeColor="text1"/>
          <w:sz w:val="25"/>
          <w:szCs w:val="25"/>
        </w:rPr>
        <w:t xml:space="preserve"> </w:t>
      </w:r>
      <w:r w:rsidRPr="00AF336A">
        <w:rPr>
          <w:color w:val="000000" w:themeColor="text1"/>
          <w:sz w:val="25"/>
          <w:szCs w:val="25"/>
        </w:rPr>
        <w:t>il</w:t>
      </w:r>
      <w:r w:rsidR="004E2BDE" w:rsidRPr="00AF336A">
        <w:rPr>
          <w:color w:val="000000" w:themeColor="text1"/>
          <w:sz w:val="25"/>
          <w:szCs w:val="25"/>
        </w:rPr>
        <w:t xml:space="preserve"> giudizio di bilanciamento </w:t>
      </w:r>
      <w:r w:rsidR="00863D57" w:rsidRPr="00AF336A">
        <w:rPr>
          <w:color w:val="000000" w:themeColor="text1"/>
          <w:sz w:val="25"/>
          <w:szCs w:val="25"/>
        </w:rPr>
        <w:t xml:space="preserve">e </w:t>
      </w:r>
      <w:r w:rsidRPr="00AF336A">
        <w:rPr>
          <w:color w:val="000000" w:themeColor="text1"/>
          <w:sz w:val="25"/>
          <w:szCs w:val="25"/>
        </w:rPr>
        <w:t xml:space="preserve">conclude </w:t>
      </w:r>
      <w:r w:rsidR="004E2BDE" w:rsidRPr="00AF336A">
        <w:rPr>
          <w:color w:val="000000" w:themeColor="text1"/>
          <w:sz w:val="25"/>
          <w:szCs w:val="25"/>
        </w:rPr>
        <w:t xml:space="preserve">che </w:t>
      </w:r>
      <w:r w:rsidRPr="00AF336A">
        <w:rPr>
          <w:color w:val="000000" w:themeColor="text1"/>
          <w:sz w:val="25"/>
          <w:szCs w:val="25"/>
        </w:rPr>
        <w:t xml:space="preserve">è stato </w:t>
      </w:r>
      <w:r w:rsidR="004E2BDE" w:rsidRPr="00AF336A">
        <w:rPr>
          <w:color w:val="000000" w:themeColor="text1"/>
          <w:sz w:val="25"/>
          <w:szCs w:val="25"/>
        </w:rPr>
        <w:t xml:space="preserve">sacrificato </w:t>
      </w:r>
      <w:r w:rsidR="00C54DD4" w:rsidRPr="00AF336A">
        <w:rPr>
          <w:color w:val="000000" w:themeColor="text1"/>
          <w:sz w:val="25"/>
          <w:szCs w:val="25"/>
        </w:rPr>
        <w:t>“</w:t>
      </w:r>
      <w:r w:rsidR="004E2BDE" w:rsidRPr="00AF336A">
        <w:rPr>
          <w:color w:val="000000" w:themeColor="text1"/>
          <w:sz w:val="25"/>
          <w:szCs w:val="25"/>
        </w:rPr>
        <w:t>troppo</w:t>
      </w:r>
      <w:r w:rsidR="00C54DD4" w:rsidRPr="00AF336A">
        <w:rPr>
          <w:color w:val="000000" w:themeColor="text1"/>
          <w:sz w:val="25"/>
          <w:szCs w:val="25"/>
        </w:rPr>
        <w:t>”</w:t>
      </w:r>
      <w:r w:rsidR="004E2BDE" w:rsidRPr="00AF336A">
        <w:rPr>
          <w:color w:val="000000" w:themeColor="text1"/>
          <w:sz w:val="25"/>
          <w:szCs w:val="25"/>
        </w:rPr>
        <w:t xml:space="preserve"> un valore fondamentale senza giustificazione</w:t>
      </w:r>
      <w:r w:rsidR="009C55EE" w:rsidRPr="00AF336A">
        <w:rPr>
          <w:color w:val="000000" w:themeColor="text1"/>
          <w:sz w:val="25"/>
          <w:szCs w:val="25"/>
        </w:rPr>
        <w:t>,</w:t>
      </w:r>
      <w:r w:rsidR="004E2BDE" w:rsidRPr="00AF336A">
        <w:rPr>
          <w:color w:val="000000" w:themeColor="text1"/>
          <w:sz w:val="25"/>
          <w:szCs w:val="25"/>
        </w:rPr>
        <w:t xml:space="preserve"> lo fa </w:t>
      </w:r>
      <w:r w:rsidR="00863D57" w:rsidRPr="00AF336A">
        <w:rPr>
          <w:color w:val="000000" w:themeColor="text1"/>
          <w:sz w:val="25"/>
          <w:szCs w:val="25"/>
        </w:rPr>
        <w:t xml:space="preserve">occupandosi sempre di un </w:t>
      </w:r>
      <w:r w:rsidR="004E2BDE" w:rsidRPr="00AF336A">
        <w:rPr>
          <w:color w:val="000000" w:themeColor="text1"/>
          <w:sz w:val="25"/>
          <w:szCs w:val="25"/>
        </w:rPr>
        <w:t>caso concreto</w:t>
      </w:r>
      <w:r w:rsidR="009C55EE" w:rsidRPr="00AF336A">
        <w:rPr>
          <w:color w:val="000000" w:themeColor="text1"/>
          <w:sz w:val="25"/>
          <w:szCs w:val="25"/>
        </w:rPr>
        <w:t>,</w:t>
      </w:r>
      <w:r w:rsidR="004E2BDE" w:rsidRPr="00AF336A">
        <w:rPr>
          <w:color w:val="000000" w:themeColor="text1"/>
          <w:sz w:val="25"/>
          <w:szCs w:val="25"/>
        </w:rPr>
        <w:t xml:space="preserve"> perché </w:t>
      </w:r>
      <w:r w:rsidRPr="00AF336A">
        <w:rPr>
          <w:color w:val="000000" w:themeColor="text1"/>
          <w:sz w:val="25"/>
          <w:szCs w:val="25"/>
        </w:rPr>
        <w:t xml:space="preserve">è </w:t>
      </w:r>
      <w:r w:rsidR="004E2BDE" w:rsidRPr="00AF336A">
        <w:rPr>
          <w:color w:val="000000" w:themeColor="text1"/>
          <w:sz w:val="25"/>
          <w:szCs w:val="25"/>
        </w:rPr>
        <w:t xml:space="preserve">un giudice alla cui </w:t>
      </w:r>
      <w:r w:rsidR="009C55EE" w:rsidRPr="00AF336A">
        <w:rPr>
          <w:color w:val="000000" w:themeColor="text1"/>
          <w:sz w:val="25"/>
          <w:szCs w:val="25"/>
        </w:rPr>
        <w:t>attenzione</w:t>
      </w:r>
      <w:r w:rsidR="004E2BDE" w:rsidRPr="00AF336A">
        <w:rPr>
          <w:color w:val="000000" w:themeColor="text1"/>
          <w:sz w:val="25"/>
          <w:szCs w:val="25"/>
        </w:rPr>
        <w:t xml:space="preserve"> viene </w:t>
      </w:r>
      <w:r w:rsidR="009C55EE" w:rsidRPr="00AF336A">
        <w:rPr>
          <w:color w:val="000000" w:themeColor="text1"/>
          <w:sz w:val="25"/>
          <w:szCs w:val="25"/>
        </w:rPr>
        <w:t>portata</w:t>
      </w:r>
      <w:r w:rsidR="004E2BDE" w:rsidRPr="00AF336A">
        <w:rPr>
          <w:color w:val="000000" w:themeColor="text1"/>
          <w:sz w:val="25"/>
          <w:szCs w:val="25"/>
        </w:rPr>
        <w:t xml:space="preserve"> un</w:t>
      </w:r>
      <w:r w:rsidR="00144DEC" w:rsidRPr="00AF336A">
        <w:rPr>
          <w:color w:val="000000" w:themeColor="text1"/>
          <w:sz w:val="25"/>
          <w:szCs w:val="25"/>
        </w:rPr>
        <w:t>’</w:t>
      </w:r>
      <w:r w:rsidR="004E2BDE" w:rsidRPr="00AF336A">
        <w:rPr>
          <w:color w:val="000000" w:themeColor="text1"/>
          <w:sz w:val="25"/>
          <w:szCs w:val="25"/>
        </w:rPr>
        <w:t xml:space="preserve">applicazione </w:t>
      </w:r>
      <w:r w:rsidR="00863D57" w:rsidRPr="00AF336A">
        <w:rPr>
          <w:color w:val="000000" w:themeColor="text1"/>
          <w:sz w:val="25"/>
          <w:szCs w:val="25"/>
        </w:rPr>
        <w:t>specifica</w:t>
      </w:r>
      <w:r w:rsidR="004E2BDE" w:rsidRPr="00AF336A">
        <w:rPr>
          <w:color w:val="000000" w:themeColor="text1"/>
          <w:sz w:val="25"/>
          <w:szCs w:val="25"/>
        </w:rPr>
        <w:t xml:space="preserve"> di una legge </w:t>
      </w:r>
      <w:proofErr w:type="spellStart"/>
      <w:r w:rsidR="009C55EE" w:rsidRPr="00AF336A">
        <w:rPr>
          <w:color w:val="000000" w:themeColor="text1"/>
          <w:sz w:val="25"/>
          <w:szCs w:val="25"/>
        </w:rPr>
        <w:t>violativa</w:t>
      </w:r>
      <w:proofErr w:type="spellEnd"/>
      <w:r w:rsidR="004E2BDE" w:rsidRPr="00AF336A">
        <w:rPr>
          <w:color w:val="000000" w:themeColor="text1"/>
          <w:sz w:val="25"/>
          <w:szCs w:val="25"/>
        </w:rPr>
        <w:t xml:space="preserve"> di un diritto umano</w:t>
      </w:r>
      <w:r w:rsidR="009C55EE" w:rsidRPr="00AF336A">
        <w:rPr>
          <w:color w:val="000000" w:themeColor="text1"/>
          <w:sz w:val="25"/>
          <w:szCs w:val="25"/>
        </w:rPr>
        <w:t>. Invece,</w:t>
      </w:r>
      <w:r w:rsidR="004E2BDE" w:rsidRPr="00AF336A">
        <w:rPr>
          <w:color w:val="000000" w:themeColor="text1"/>
          <w:sz w:val="25"/>
          <w:szCs w:val="25"/>
        </w:rPr>
        <w:t xml:space="preserve"> quando quella stessa legge viene </w:t>
      </w:r>
      <w:r w:rsidRPr="00AF336A">
        <w:rPr>
          <w:color w:val="000000" w:themeColor="text1"/>
          <w:sz w:val="25"/>
          <w:szCs w:val="25"/>
        </w:rPr>
        <w:t>fatta oggetto di una questione di costituzionalità, affinch</w:t>
      </w:r>
      <w:r w:rsidR="00863D57" w:rsidRPr="00AF336A">
        <w:rPr>
          <w:color w:val="000000" w:themeColor="text1"/>
          <w:sz w:val="25"/>
          <w:szCs w:val="25"/>
        </w:rPr>
        <w:t>é</w:t>
      </w:r>
      <w:r w:rsidRPr="00AF336A">
        <w:rPr>
          <w:color w:val="000000" w:themeColor="text1"/>
          <w:sz w:val="25"/>
          <w:szCs w:val="25"/>
        </w:rPr>
        <w:t xml:space="preserve"> venga espunta per sempre e con efficacia </w:t>
      </w:r>
      <w:r w:rsidRPr="00AF336A">
        <w:rPr>
          <w:i/>
          <w:iCs/>
          <w:color w:val="000000" w:themeColor="text1"/>
          <w:sz w:val="25"/>
          <w:szCs w:val="25"/>
        </w:rPr>
        <w:t>erga omnes</w:t>
      </w:r>
      <w:r w:rsidR="00863D57" w:rsidRPr="00AF336A">
        <w:rPr>
          <w:color w:val="000000" w:themeColor="text1"/>
          <w:sz w:val="25"/>
          <w:szCs w:val="25"/>
        </w:rPr>
        <w:t xml:space="preserve"> dall</w:t>
      </w:r>
      <w:r w:rsidR="00144DEC" w:rsidRPr="00AF336A">
        <w:rPr>
          <w:color w:val="000000" w:themeColor="text1"/>
          <w:sz w:val="25"/>
          <w:szCs w:val="25"/>
        </w:rPr>
        <w:t>’</w:t>
      </w:r>
      <w:r w:rsidR="00863D57" w:rsidRPr="00AF336A">
        <w:rPr>
          <w:color w:val="000000" w:themeColor="text1"/>
          <w:sz w:val="25"/>
          <w:szCs w:val="25"/>
        </w:rPr>
        <w:t>ordinamento</w:t>
      </w:r>
      <w:r w:rsidRPr="00AF336A">
        <w:rPr>
          <w:color w:val="000000" w:themeColor="text1"/>
          <w:sz w:val="25"/>
          <w:szCs w:val="25"/>
        </w:rPr>
        <w:t xml:space="preserve">, </w:t>
      </w:r>
      <w:r w:rsidR="00863D57" w:rsidRPr="00AF336A">
        <w:rPr>
          <w:color w:val="000000" w:themeColor="text1"/>
          <w:sz w:val="25"/>
          <w:szCs w:val="25"/>
        </w:rPr>
        <w:t>la</w:t>
      </w:r>
      <w:r w:rsidR="009C55EE" w:rsidRPr="00AF336A">
        <w:rPr>
          <w:color w:val="000000" w:themeColor="text1"/>
          <w:sz w:val="25"/>
          <w:szCs w:val="25"/>
        </w:rPr>
        <w:t xml:space="preserve"> Corte costituzionale </w:t>
      </w:r>
      <w:r w:rsidR="00863D57" w:rsidRPr="00AF336A">
        <w:rPr>
          <w:color w:val="000000" w:themeColor="text1"/>
          <w:sz w:val="25"/>
          <w:szCs w:val="25"/>
        </w:rPr>
        <w:t xml:space="preserve">è giudice del </w:t>
      </w:r>
      <w:r w:rsidR="004E2BDE" w:rsidRPr="00AF336A">
        <w:rPr>
          <w:color w:val="000000" w:themeColor="text1"/>
          <w:sz w:val="25"/>
          <w:szCs w:val="25"/>
        </w:rPr>
        <w:t>sistema</w:t>
      </w:r>
      <w:r w:rsidR="009C55EE" w:rsidRPr="00AF336A">
        <w:rPr>
          <w:color w:val="000000" w:themeColor="text1"/>
          <w:sz w:val="25"/>
          <w:szCs w:val="25"/>
        </w:rPr>
        <w:t xml:space="preserve">. </w:t>
      </w:r>
      <w:r w:rsidR="00863D57" w:rsidRPr="00AF336A">
        <w:rPr>
          <w:color w:val="000000" w:themeColor="text1"/>
          <w:sz w:val="25"/>
          <w:szCs w:val="25"/>
        </w:rPr>
        <w:t xml:space="preserve">Ed è proprio per questo che la Corte costituzionale si è riservata, </w:t>
      </w:r>
      <w:r w:rsidR="004E2BDE" w:rsidRPr="00AF336A">
        <w:rPr>
          <w:color w:val="000000" w:themeColor="text1"/>
          <w:sz w:val="25"/>
          <w:szCs w:val="25"/>
        </w:rPr>
        <w:t>nell</w:t>
      </w:r>
      <w:r w:rsidR="00144DEC" w:rsidRPr="00AF336A">
        <w:rPr>
          <w:color w:val="000000" w:themeColor="text1"/>
          <w:sz w:val="25"/>
          <w:szCs w:val="25"/>
        </w:rPr>
        <w:t>’</w:t>
      </w:r>
      <w:r w:rsidR="004E2BDE" w:rsidRPr="00AF336A">
        <w:rPr>
          <w:color w:val="000000" w:themeColor="text1"/>
          <w:sz w:val="25"/>
          <w:szCs w:val="25"/>
        </w:rPr>
        <w:t xml:space="preserve">adattare </w:t>
      </w:r>
      <w:r w:rsidR="00863D57" w:rsidRPr="00AF336A">
        <w:rPr>
          <w:color w:val="000000" w:themeColor="text1"/>
          <w:sz w:val="25"/>
          <w:szCs w:val="25"/>
        </w:rPr>
        <w:t>il</w:t>
      </w:r>
      <w:r w:rsidR="004E2BDE" w:rsidRPr="00AF336A">
        <w:rPr>
          <w:color w:val="000000" w:themeColor="text1"/>
          <w:sz w:val="25"/>
          <w:szCs w:val="25"/>
        </w:rPr>
        <w:t xml:space="preserve"> giudizio di bilanciamento </w:t>
      </w:r>
      <w:r w:rsidR="00863D57" w:rsidRPr="00AF336A">
        <w:rPr>
          <w:color w:val="000000" w:themeColor="text1"/>
          <w:sz w:val="25"/>
          <w:szCs w:val="25"/>
        </w:rPr>
        <w:t xml:space="preserve">della Corte EDU </w:t>
      </w:r>
      <w:r w:rsidR="004E2BDE" w:rsidRPr="00AF336A">
        <w:rPr>
          <w:color w:val="000000" w:themeColor="text1"/>
          <w:sz w:val="25"/>
          <w:szCs w:val="25"/>
        </w:rPr>
        <w:t>dal caso concreto al sistema</w:t>
      </w:r>
      <w:r w:rsidR="009C55EE" w:rsidRPr="00AF336A">
        <w:rPr>
          <w:color w:val="000000" w:themeColor="text1"/>
          <w:sz w:val="25"/>
          <w:szCs w:val="25"/>
        </w:rPr>
        <w:t>,</w:t>
      </w:r>
      <w:r w:rsidR="004E2BDE" w:rsidRPr="00AF336A">
        <w:rPr>
          <w:color w:val="000000" w:themeColor="text1"/>
          <w:sz w:val="25"/>
          <w:szCs w:val="25"/>
        </w:rPr>
        <w:t xml:space="preserve"> un </w:t>
      </w:r>
      <w:r w:rsidR="00863D57" w:rsidRPr="00AF336A">
        <w:rPr>
          <w:color w:val="000000" w:themeColor="text1"/>
          <w:sz w:val="25"/>
          <w:szCs w:val="25"/>
        </w:rPr>
        <w:t>“</w:t>
      </w:r>
      <w:r w:rsidR="004E2BDE" w:rsidRPr="00AF336A">
        <w:rPr>
          <w:color w:val="000000" w:themeColor="text1"/>
          <w:sz w:val="25"/>
          <w:szCs w:val="25"/>
        </w:rPr>
        <w:t>margine di apprezzamento</w:t>
      </w:r>
      <w:r w:rsidR="00863D57" w:rsidRPr="00AF336A">
        <w:rPr>
          <w:color w:val="000000" w:themeColor="text1"/>
          <w:sz w:val="25"/>
          <w:szCs w:val="25"/>
        </w:rPr>
        <w:t>”, nell</w:t>
      </w:r>
      <w:r w:rsidR="00144DEC" w:rsidRPr="00AF336A">
        <w:rPr>
          <w:color w:val="000000" w:themeColor="text1"/>
          <w:sz w:val="25"/>
          <w:szCs w:val="25"/>
        </w:rPr>
        <w:t>’</w:t>
      </w:r>
      <w:r w:rsidR="00863D57" w:rsidRPr="00AF336A">
        <w:rPr>
          <w:color w:val="000000" w:themeColor="text1"/>
          <w:sz w:val="25"/>
          <w:szCs w:val="25"/>
        </w:rPr>
        <w:t xml:space="preserve">esercizio del quale può, pur senza contraddire </w:t>
      </w:r>
      <w:r w:rsidRPr="00AF336A">
        <w:rPr>
          <w:color w:val="000000" w:themeColor="text1"/>
          <w:sz w:val="25"/>
          <w:szCs w:val="25"/>
        </w:rPr>
        <w:t xml:space="preserve">in astratto </w:t>
      </w:r>
      <w:r w:rsidR="004E2BDE" w:rsidRPr="00AF336A">
        <w:rPr>
          <w:color w:val="000000" w:themeColor="text1"/>
          <w:sz w:val="25"/>
          <w:szCs w:val="25"/>
        </w:rPr>
        <w:t xml:space="preserve">il giudizio </w:t>
      </w:r>
      <w:r w:rsidR="00863D57" w:rsidRPr="00AF336A">
        <w:rPr>
          <w:color w:val="000000" w:themeColor="text1"/>
          <w:sz w:val="25"/>
          <w:szCs w:val="25"/>
        </w:rPr>
        <w:t xml:space="preserve">assiologico della </w:t>
      </w:r>
      <w:r w:rsidR="004E2BDE" w:rsidRPr="00AF336A">
        <w:rPr>
          <w:color w:val="000000" w:themeColor="text1"/>
          <w:sz w:val="25"/>
          <w:szCs w:val="25"/>
        </w:rPr>
        <w:t>Corte</w:t>
      </w:r>
      <w:r w:rsidR="009C55EE" w:rsidRPr="00AF336A">
        <w:rPr>
          <w:color w:val="000000" w:themeColor="text1"/>
          <w:sz w:val="25"/>
          <w:szCs w:val="25"/>
        </w:rPr>
        <w:t xml:space="preserve"> E</w:t>
      </w:r>
      <w:r w:rsidR="00BB0BDE">
        <w:rPr>
          <w:color w:val="000000" w:themeColor="text1"/>
          <w:sz w:val="25"/>
          <w:szCs w:val="25"/>
        </w:rPr>
        <w:t>DU</w:t>
      </w:r>
      <w:r w:rsidR="009C55EE" w:rsidRPr="00AF336A">
        <w:rPr>
          <w:color w:val="000000" w:themeColor="text1"/>
          <w:sz w:val="25"/>
          <w:szCs w:val="25"/>
        </w:rPr>
        <w:t xml:space="preserve">, </w:t>
      </w:r>
      <w:r w:rsidR="00863D57" w:rsidRPr="00AF336A">
        <w:rPr>
          <w:color w:val="000000" w:themeColor="text1"/>
          <w:sz w:val="25"/>
          <w:szCs w:val="25"/>
        </w:rPr>
        <w:t>ma, anzi, utilizzando come</w:t>
      </w:r>
      <w:r w:rsidR="004E2BDE" w:rsidRPr="00AF336A">
        <w:rPr>
          <w:color w:val="000000" w:themeColor="text1"/>
          <w:sz w:val="25"/>
          <w:szCs w:val="25"/>
        </w:rPr>
        <w:t xml:space="preserve"> </w:t>
      </w:r>
      <w:r w:rsidRPr="00AF336A">
        <w:rPr>
          <w:color w:val="000000" w:themeColor="text1"/>
          <w:sz w:val="25"/>
          <w:szCs w:val="25"/>
        </w:rPr>
        <w:t>“</w:t>
      </w:r>
      <w:r w:rsidR="004E2BDE" w:rsidRPr="00AF336A">
        <w:rPr>
          <w:color w:val="000000" w:themeColor="text1"/>
          <w:sz w:val="25"/>
          <w:szCs w:val="25"/>
        </w:rPr>
        <w:t>parametro</w:t>
      </w:r>
      <w:r w:rsidRPr="00AF336A">
        <w:rPr>
          <w:color w:val="000000" w:themeColor="text1"/>
          <w:sz w:val="25"/>
          <w:szCs w:val="25"/>
        </w:rPr>
        <w:t>”</w:t>
      </w:r>
      <w:r w:rsidR="00863D57" w:rsidRPr="00AF336A">
        <w:rPr>
          <w:color w:val="000000" w:themeColor="text1"/>
          <w:sz w:val="25"/>
          <w:szCs w:val="25"/>
        </w:rPr>
        <w:t xml:space="preserve"> nel giudizio di costituzionalità</w:t>
      </w:r>
      <w:r w:rsidR="009C55EE" w:rsidRPr="00AF336A">
        <w:rPr>
          <w:color w:val="000000" w:themeColor="text1"/>
          <w:sz w:val="25"/>
          <w:szCs w:val="25"/>
        </w:rPr>
        <w:t>,</w:t>
      </w:r>
      <w:r w:rsidR="004E2BDE" w:rsidRPr="00AF336A">
        <w:rPr>
          <w:color w:val="000000" w:themeColor="text1"/>
          <w:sz w:val="25"/>
          <w:szCs w:val="25"/>
        </w:rPr>
        <w:t xml:space="preserve"> </w:t>
      </w:r>
      <w:r w:rsidR="00863D57" w:rsidRPr="00AF336A">
        <w:rPr>
          <w:color w:val="000000" w:themeColor="text1"/>
          <w:sz w:val="25"/>
          <w:szCs w:val="25"/>
        </w:rPr>
        <w:t>giungere</w:t>
      </w:r>
      <w:r w:rsidRPr="00AF336A">
        <w:rPr>
          <w:color w:val="000000" w:themeColor="text1"/>
          <w:sz w:val="25"/>
          <w:szCs w:val="25"/>
        </w:rPr>
        <w:t xml:space="preserve"> ad esiti diversi</w:t>
      </w:r>
      <w:r w:rsidR="00863D57" w:rsidRPr="00AF336A">
        <w:rPr>
          <w:color w:val="000000" w:themeColor="text1"/>
          <w:sz w:val="25"/>
          <w:szCs w:val="25"/>
        </w:rPr>
        <w:t xml:space="preserve">, perché la valutazione del sistema consente di rinvenire nella scelta del legislatore quella giustificazione </w:t>
      </w:r>
      <w:r w:rsidR="006721C8" w:rsidRPr="00AF336A">
        <w:rPr>
          <w:color w:val="000000" w:themeColor="text1"/>
          <w:sz w:val="25"/>
          <w:szCs w:val="25"/>
        </w:rPr>
        <w:t xml:space="preserve">(in nome di preminenti valori costituzionali) </w:t>
      </w:r>
      <w:r w:rsidR="00863D57" w:rsidRPr="00AF336A">
        <w:rPr>
          <w:color w:val="000000" w:themeColor="text1"/>
          <w:sz w:val="25"/>
          <w:szCs w:val="25"/>
        </w:rPr>
        <w:t>che non è stata trovata nel caso concreto.</w:t>
      </w:r>
      <w:r w:rsidR="003164C5">
        <w:rPr>
          <w:color w:val="000000" w:themeColor="text1"/>
          <w:sz w:val="25"/>
          <w:szCs w:val="25"/>
        </w:rPr>
        <w:t xml:space="preserve"> </w:t>
      </w:r>
    </w:p>
    <w:p w14:paraId="23A4A25E" w14:textId="677D3B60" w:rsidR="006721C8" w:rsidRPr="00AF336A" w:rsidRDefault="006721C8" w:rsidP="00144DEC">
      <w:pPr>
        <w:spacing w:after="0" w:line="240" w:lineRule="auto"/>
        <w:ind w:firstLine="454"/>
        <w:jc w:val="both"/>
        <w:rPr>
          <w:color w:val="000000" w:themeColor="text1"/>
          <w:sz w:val="25"/>
          <w:szCs w:val="25"/>
        </w:rPr>
      </w:pPr>
      <w:r w:rsidRPr="00AF336A">
        <w:rPr>
          <w:color w:val="000000" w:themeColor="text1"/>
          <w:sz w:val="25"/>
          <w:szCs w:val="25"/>
        </w:rPr>
        <w:t>In tal senso, la Corte costituzionale ha affermato che “</w:t>
      </w:r>
      <w:r w:rsidRPr="00BB0BDE">
        <w:rPr>
          <w:i/>
          <w:iCs/>
          <w:color w:val="000000" w:themeColor="text1"/>
          <w:sz w:val="25"/>
          <w:szCs w:val="25"/>
        </w:rPr>
        <w:t>la tutela dei diritti fondamentali deve essere sistemica e non frazionata in una serie di norme non coordinate ed in potenziale conflitto tra loro. Naturalmente, alla Corte europea spetta di decidere sul singolo caso e sul singolo diritto fondamentale, mentre appartiene alle autorit</w:t>
      </w:r>
      <w:r w:rsidR="00183837" w:rsidRPr="00BB0BDE">
        <w:rPr>
          <w:i/>
          <w:iCs/>
          <w:color w:val="000000" w:themeColor="text1"/>
          <w:sz w:val="25"/>
          <w:szCs w:val="25"/>
        </w:rPr>
        <w:t xml:space="preserve">à </w:t>
      </w:r>
      <w:r w:rsidRPr="00BB0BDE">
        <w:rPr>
          <w:i/>
          <w:iCs/>
          <w:color w:val="000000" w:themeColor="text1"/>
          <w:sz w:val="25"/>
          <w:szCs w:val="25"/>
        </w:rPr>
        <w:t>nazionali il dovere di evitare che la tutela di alcuni diritti fondamentali – compresi nella previsione generale ed unitaria dell</w:t>
      </w:r>
      <w:r w:rsidR="00144DEC" w:rsidRPr="00BB0BDE">
        <w:rPr>
          <w:i/>
          <w:iCs/>
          <w:color w:val="000000" w:themeColor="text1"/>
          <w:sz w:val="25"/>
          <w:szCs w:val="25"/>
        </w:rPr>
        <w:t>’</w:t>
      </w:r>
      <w:r w:rsidRPr="00BB0BDE">
        <w:rPr>
          <w:i/>
          <w:iCs/>
          <w:color w:val="000000" w:themeColor="text1"/>
          <w:sz w:val="25"/>
          <w:szCs w:val="25"/>
        </w:rPr>
        <w:t>art. 2 Cost. – si sviluppi in modo squilibrato, con sacrificio di altri diritti ugualmente tutelati dalla Carta costituzionale e dalla stessa Convenzione europea</w:t>
      </w:r>
      <w:r w:rsidRPr="00AF336A">
        <w:rPr>
          <w:color w:val="000000" w:themeColor="text1"/>
          <w:sz w:val="25"/>
          <w:szCs w:val="25"/>
        </w:rPr>
        <w:t>”</w:t>
      </w:r>
      <w:r w:rsidR="00F43C71">
        <w:rPr>
          <w:rStyle w:val="Rimandonotaapidipagina"/>
          <w:color w:val="000000" w:themeColor="text1"/>
          <w:sz w:val="25"/>
          <w:szCs w:val="25"/>
        </w:rPr>
        <w:footnoteReference w:id="12"/>
      </w:r>
      <w:r w:rsidRPr="00AF336A">
        <w:rPr>
          <w:color w:val="000000" w:themeColor="text1"/>
          <w:sz w:val="25"/>
          <w:szCs w:val="25"/>
        </w:rPr>
        <w:t>. In quest</w:t>
      </w:r>
      <w:r w:rsidR="00144DEC" w:rsidRPr="00AF336A">
        <w:rPr>
          <w:color w:val="000000" w:themeColor="text1"/>
          <w:sz w:val="25"/>
          <w:szCs w:val="25"/>
        </w:rPr>
        <w:t>’</w:t>
      </w:r>
      <w:r w:rsidR="00183837" w:rsidRPr="00AF336A">
        <w:rPr>
          <w:color w:val="000000" w:themeColor="text1"/>
          <w:sz w:val="25"/>
          <w:szCs w:val="25"/>
        </w:rPr>
        <w:t>ottica</w:t>
      </w:r>
      <w:r w:rsidRPr="00AF336A">
        <w:rPr>
          <w:color w:val="000000" w:themeColor="text1"/>
          <w:sz w:val="25"/>
          <w:szCs w:val="25"/>
        </w:rPr>
        <w:t xml:space="preserve"> deve essere, infatti, letta l</w:t>
      </w:r>
      <w:r w:rsidR="00144DEC" w:rsidRPr="00AF336A">
        <w:rPr>
          <w:color w:val="000000" w:themeColor="text1"/>
          <w:sz w:val="25"/>
          <w:szCs w:val="25"/>
        </w:rPr>
        <w:t>’</w:t>
      </w:r>
      <w:r w:rsidRPr="00AF336A">
        <w:rPr>
          <w:color w:val="000000" w:themeColor="text1"/>
          <w:sz w:val="25"/>
          <w:szCs w:val="25"/>
        </w:rPr>
        <w:t>affermazione secondo la quale “a differenza della Corte EDU, questa Corte, come dianzi precisato, opera una valutazione sistemica, e non isolata, dei valori coinvolti dalla norma di volta in volta scrutinata, ed è, quindi, tenuta a quel bilanciamento, solo ad essa spettante, che, nella specie, dà appunto luogo alla soluzione indicata”</w:t>
      </w:r>
      <w:r w:rsidR="00183837" w:rsidRPr="00AF336A">
        <w:rPr>
          <w:color w:val="000000" w:themeColor="text1"/>
          <w:sz w:val="25"/>
          <w:szCs w:val="25"/>
        </w:rPr>
        <w:t>.</w:t>
      </w:r>
    </w:p>
    <w:p w14:paraId="63FA1717" w14:textId="0C54B80F" w:rsidR="00183837" w:rsidRPr="00AF336A" w:rsidRDefault="00183837" w:rsidP="00144DEC">
      <w:pPr>
        <w:spacing w:after="0" w:line="240" w:lineRule="auto"/>
        <w:ind w:firstLine="454"/>
        <w:jc w:val="both"/>
        <w:rPr>
          <w:b/>
          <w:bCs/>
          <w:color w:val="000000" w:themeColor="text1"/>
          <w:sz w:val="25"/>
          <w:szCs w:val="25"/>
        </w:rPr>
      </w:pPr>
    </w:p>
    <w:p w14:paraId="2925BDBD" w14:textId="5C6C4723" w:rsidR="00183837" w:rsidRPr="00AF336A" w:rsidRDefault="00C54DD4" w:rsidP="00144DEC">
      <w:pPr>
        <w:spacing w:after="0" w:line="240" w:lineRule="auto"/>
        <w:ind w:firstLine="454"/>
        <w:jc w:val="both"/>
        <w:rPr>
          <w:b/>
          <w:bCs/>
          <w:color w:val="000000" w:themeColor="text1"/>
          <w:sz w:val="25"/>
          <w:szCs w:val="25"/>
        </w:rPr>
      </w:pPr>
      <w:r w:rsidRPr="00AF336A">
        <w:rPr>
          <w:b/>
          <w:bCs/>
          <w:color w:val="000000" w:themeColor="text1"/>
          <w:sz w:val="25"/>
          <w:szCs w:val="25"/>
        </w:rPr>
        <w:t xml:space="preserve">3.2.1. </w:t>
      </w:r>
      <w:r w:rsidR="00183837" w:rsidRPr="00AF336A">
        <w:rPr>
          <w:b/>
          <w:bCs/>
          <w:color w:val="000000" w:themeColor="text1"/>
          <w:sz w:val="25"/>
          <w:szCs w:val="25"/>
        </w:rPr>
        <w:t>Il caso delle c.d. pensioni svizzere</w:t>
      </w:r>
      <w:r w:rsidR="006F3343">
        <w:rPr>
          <w:b/>
          <w:bCs/>
          <w:color w:val="000000" w:themeColor="text1"/>
          <w:sz w:val="25"/>
          <w:szCs w:val="25"/>
        </w:rPr>
        <w:t>.</w:t>
      </w:r>
    </w:p>
    <w:p w14:paraId="19A2333D" w14:textId="46D90BE3" w:rsidR="005D2474" w:rsidRPr="00AF336A" w:rsidRDefault="00863D57" w:rsidP="00144DEC">
      <w:pPr>
        <w:spacing w:after="0" w:line="240" w:lineRule="auto"/>
        <w:ind w:firstLine="454"/>
        <w:jc w:val="both"/>
        <w:rPr>
          <w:color w:val="000000" w:themeColor="text1"/>
          <w:sz w:val="25"/>
          <w:szCs w:val="25"/>
        </w:rPr>
      </w:pPr>
      <w:r w:rsidRPr="00AF336A">
        <w:rPr>
          <w:color w:val="000000" w:themeColor="text1"/>
          <w:sz w:val="25"/>
          <w:szCs w:val="25"/>
        </w:rPr>
        <w:t>Emblematico è il caso delle c.d. “pensioni svizzere”</w:t>
      </w:r>
      <w:r w:rsidR="005E7EBB" w:rsidRPr="00AF336A">
        <w:rPr>
          <w:color w:val="000000" w:themeColor="text1"/>
          <w:sz w:val="25"/>
          <w:szCs w:val="25"/>
        </w:rPr>
        <w:t>, che riguarda un caso di retroattività dell</w:t>
      </w:r>
      <w:r w:rsidR="00AF00DA">
        <w:rPr>
          <w:color w:val="000000" w:themeColor="text1"/>
          <w:sz w:val="25"/>
          <w:szCs w:val="25"/>
        </w:rPr>
        <w:t>a</w:t>
      </w:r>
      <w:r w:rsidR="005E7EBB" w:rsidRPr="00AF336A">
        <w:rPr>
          <w:color w:val="000000" w:themeColor="text1"/>
          <w:sz w:val="25"/>
          <w:szCs w:val="25"/>
        </w:rPr>
        <w:t xml:space="preserve"> legge (di interpretazione autentica) in materia civile</w:t>
      </w:r>
      <w:r w:rsidR="005E7EBB" w:rsidRPr="00AF336A">
        <w:rPr>
          <w:rStyle w:val="Rimandonotaapidipagina"/>
          <w:color w:val="000000" w:themeColor="text1"/>
          <w:sz w:val="25"/>
          <w:szCs w:val="25"/>
        </w:rPr>
        <w:footnoteReference w:id="13"/>
      </w:r>
      <w:r w:rsidR="005E7EBB" w:rsidRPr="00AF336A">
        <w:rPr>
          <w:color w:val="000000" w:themeColor="text1"/>
          <w:sz w:val="25"/>
          <w:szCs w:val="25"/>
        </w:rPr>
        <w:t xml:space="preserve">. </w:t>
      </w:r>
    </w:p>
    <w:p w14:paraId="0A085B13" w14:textId="078E247A" w:rsidR="005D2474" w:rsidRPr="00AF336A" w:rsidRDefault="005D2474" w:rsidP="00144DEC">
      <w:pPr>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Sulle cc.dd. “</w:t>
      </w:r>
      <w:proofErr w:type="gramStart"/>
      <w:r w:rsidRPr="00AF336A">
        <w:rPr>
          <w:color w:val="000000" w:themeColor="text1"/>
          <w:sz w:val="25"/>
          <w:szCs w:val="25"/>
        </w:rPr>
        <w:t>pensioni</w:t>
      </w:r>
      <w:proofErr w:type="gramEnd"/>
      <w:r w:rsidRPr="00AF336A">
        <w:rPr>
          <w:color w:val="000000" w:themeColor="text1"/>
          <w:sz w:val="25"/>
          <w:szCs w:val="25"/>
        </w:rPr>
        <w:t xml:space="preserve"> svizzere” si è pronunciata in prima battuta la Corte costituzionale con la sentenza n. 172 del 2008, in seguito, la Corte europea dei diritti dell</w:t>
      </w:r>
      <w:r w:rsidR="00144DEC" w:rsidRPr="00AF336A">
        <w:rPr>
          <w:color w:val="000000" w:themeColor="text1"/>
          <w:sz w:val="25"/>
          <w:szCs w:val="25"/>
        </w:rPr>
        <w:t>’</w:t>
      </w:r>
      <w:r w:rsidRPr="00AF336A">
        <w:rPr>
          <w:color w:val="000000" w:themeColor="text1"/>
          <w:sz w:val="25"/>
          <w:szCs w:val="25"/>
        </w:rPr>
        <w:t xml:space="preserve">uomo con sentenza sul caso </w:t>
      </w:r>
      <w:r w:rsidRPr="00F43C71">
        <w:rPr>
          <w:i/>
          <w:iCs/>
          <w:color w:val="000000" w:themeColor="text1"/>
          <w:sz w:val="25"/>
          <w:szCs w:val="25"/>
        </w:rPr>
        <w:t>Maggio e altri c. Italia</w:t>
      </w:r>
      <w:r w:rsidRPr="00AF336A">
        <w:rPr>
          <w:color w:val="000000" w:themeColor="text1"/>
          <w:sz w:val="25"/>
          <w:szCs w:val="25"/>
        </w:rPr>
        <w:t xml:space="preserve"> del 31 maggio 2011 e, infine, di nuovo, la Corte costituzionale con la sentenza n. 264 del 2012.</w:t>
      </w:r>
    </w:p>
    <w:p w14:paraId="5EC91A4A" w14:textId="013561F6" w:rsidR="005D2474" w:rsidRPr="005D2474" w:rsidRDefault="005D2474" w:rsidP="00144DEC">
      <w:pPr>
        <w:spacing w:after="0" w:line="240" w:lineRule="auto"/>
        <w:ind w:firstLine="454"/>
        <w:jc w:val="both"/>
        <w:rPr>
          <w:rFonts w:eastAsia="Times New Roman"/>
          <w:color w:val="000000" w:themeColor="text1"/>
          <w:sz w:val="25"/>
          <w:szCs w:val="25"/>
          <w:lang w:eastAsia="it-IT"/>
        </w:rPr>
      </w:pPr>
      <w:r w:rsidRPr="005D2474">
        <w:rPr>
          <w:rFonts w:eastAsia="Times New Roman"/>
          <w:color w:val="000000" w:themeColor="text1"/>
          <w:sz w:val="25"/>
          <w:szCs w:val="25"/>
          <w:lang w:eastAsia="it-IT"/>
        </w:rPr>
        <w:t>Immediatamente dopo l</w:t>
      </w:r>
      <w:r w:rsidR="00144DEC" w:rsidRPr="00AF336A">
        <w:rPr>
          <w:rFonts w:eastAsia="Times New Roman"/>
          <w:color w:val="000000" w:themeColor="text1"/>
          <w:sz w:val="25"/>
          <w:szCs w:val="25"/>
          <w:lang w:eastAsia="it-IT"/>
        </w:rPr>
        <w:t>’</w:t>
      </w:r>
      <w:r w:rsidRPr="005D2474">
        <w:rPr>
          <w:rFonts w:eastAsia="Times New Roman"/>
          <w:color w:val="000000" w:themeColor="text1"/>
          <w:sz w:val="25"/>
          <w:szCs w:val="25"/>
          <w:lang w:eastAsia="it-IT"/>
        </w:rPr>
        <w:t xml:space="preserve">emanazione </w:t>
      </w:r>
      <w:r w:rsidR="00C54DD4" w:rsidRPr="00AF336A">
        <w:rPr>
          <w:rFonts w:eastAsia="Times New Roman"/>
          <w:color w:val="000000" w:themeColor="text1"/>
          <w:sz w:val="25"/>
          <w:szCs w:val="25"/>
          <w:lang w:eastAsia="it-IT"/>
        </w:rPr>
        <w:t>della</w:t>
      </w:r>
      <w:r w:rsidRPr="005D2474">
        <w:rPr>
          <w:rFonts w:eastAsia="Times New Roman"/>
          <w:color w:val="000000" w:themeColor="text1"/>
          <w:sz w:val="25"/>
          <w:szCs w:val="25"/>
          <w:lang w:eastAsia="it-IT"/>
        </w:rPr>
        <w:t xml:space="preserve"> legge d</w:t>
      </w:r>
      <w:r w:rsidR="00144DEC" w:rsidRPr="00AF336A">
        <w:rPr>
          <w:rFonts w:eastAsia="Times New Roman"/>
          <w:color w:val="000000" w:themeColor="text1"/>
          <w:sz w:val="25"/>
          <w:szCs w:val="25"/>
          <w:lang w:eastAsia="it-IT"/>
        </w:rPr>
        <w:t>’</w:t>
      </w:r>
      <w:r w:rsidRPr="005D2474">
        <w:rPr>
          <w:rFonts w:eastAsia="Times New Roman"/>
          <w:color w:val="000000" w:themeColor="text1"/>
          <w:sz w:val="25"/>
          <w:szCs w:val="25"/>
          <w:lang w:eastAsia="it-IT"/>
        </w:rPr>
        <w:t>interpretazione autentica contenuta nella legge finanziaria per il 2007 venne sollevata questione di legittimit</w:t>
      </w:r>
      <w:r w:rsidR="00183837" w:rsidRPr="00AF336A">
        <w:rPr>
          <w:rFonts w:eastAsia="Times New Roman"/>
          <w:color w:val="000000" w:themeColor="text1"/>
          <w:sz w:val="25"/>
          <w:szCs w:val="25"/>
          <w:lang w:eastAsia="it-IT"/>
        </w:rPr>
        <w:t>à</w:t>
      </w:r>
      <w:r w:rsidRPr="005D2474">
        <w:rPr>
          <w:rFonts w:eastAsia="Times New Roman"/>
          <w:color w:val="000000" w:themeColor="text1"/>
          <w:sz w:val="25"/>
          <w:szCs w:val="25"/>
          <w:lang w:eastAsia="it-IT"/>
        </w:rPr>
        <w:t xml:space="preserve"> costituzionale e su di essa la Corte costituzionale si pronunciò con la sentenza n. 172 del 2008. In quel caso, il Giudice delle leggi dichiarò non fondata la questione sollevata con riferimento agli artt. 3, 35, 38 Cost. e al principio di ragionevolezza. </w:t>
      </w:r>
    </w:p>
    <w:p w14:paraId="645467B9" w14:textId="378F3E57" w:rsidR="005D2474" w:rsidRPr="005D2474" w:rsidRDefault="005D2474" w:rsidP="00144DEC">
      <w:pPr>
        <w:spacing w:after="0" w:line="240" w:lineRule="auto"/>
        <w:ind w:firstLine="454"/>
        <w:jc w:val="both"/>
        <w:rPr>
          <w:rFonts w:eastAsia="Times New Roman"/>
          <w:color w:val="000000" w:themeColor="text1"/>
          <w:sz w:val="25"/>
          <w:szCs w:val="25"/>
          <w:lang w:eastAsia="it-IT"/>
        </w:rPr>
      </w:pPr>
      <w:r w:rsidRPr="005D2474">
        <w:rPr>
          <w:rFonts w:eastAsia="Times New Roman"/>
          <w:color w:val="000000" w:themeColor="text1"/>
          <w:sz w:val="25"/>
          <w:szCs w:val="25"/>
          <w:lang w:eastAsia="it-IT"/>
        </w:rPr>
        <w:t xml:space="preserve">Dopo la pronuncia della Corte costituzionale sulla medesima questione è intervenuta, anche, la Corte di Strasburgo che si è espressa con la sentenza sul caso </w:t>
      </w:r>
      <w:r w:rsidRPr="005D2474">
        <w:rPr>
          <w:rFonts w:eastAsia="Times New Roman"/>
          <w:i/>
          <w:iCs/>
          <w:color w:val="000000" w:themeColor="text1"/>
          <w:sz w:val="25"/>
          <w:szCs w:val="25"/>
          <w:lang w:eastAsia="it-IT"/>
        </w:rPr>
        <w:t xml:space="preserve">Maggio e altri c. Italia </w:t>
      </w:r>
      <w:r w:rsidRPr="005D2474">
        <w:rPr>
          <w:rFonts w:eastAsia="Times New Roman"/>
          <w:color w:val="000000" w:themeColor="text1"/>
          <w:sz w:val="25"/>
          <w:szCs w:val="25"/>
          <w:lang w:eastAsia="it-IT"/>
        </w:rPr>
        <w:t xml:space="preserve">del 31 maggio 2011. </w:t>
      </w:r>
    </w:p>
    <w:p w14:paraId="151C2071" w14:textId="599AF19A" w:rsidR="005D2474" w:rsidRPr="00AF336A" w:rsidRDefault="005D2474" w:rsidP="00144DEC">
      <w:pPr>
        <w:spacing w:after="0" w:line="240" w:lineRule="auto"/>
        <w:ind w:firstLine="454"/>
        <w:jc w:val="both"/>
        <w:rPr>
          <w:rFonts w:eastAsia="Times New Roman"/>
          <w:color w:val="000000" w:themeColor="text1"/>
          <w:sz w:val="25"/>
          <w:szCs w:val="25"/>
          <w:lang w:eastAsia="it-IT"/>
        </w:rPr>
      </w:pPr>
      <w:r w:rsidRPr="005D2474">
        <w:rPr>
          <w:rFonts w:eastAsia="Times New Roman"/>
          <w:color w:val="000000" w:themeColor="text1"/>
          <w:sz w:val="25"/>
          <w:szCs w:val="25"/>
          <w:lang w:eastAsia="it-IT"/>
        </w:rPr>
        <w:t>La Corte europea dei diritti dell</w:t>
      </w:r>
      <w:r w:rsidR="00144DEC" w:rsidRPr="00AF336A">
        <w:rPr>
          <w:rFonts w:eastAsia="Times New Roman"/>
          <w:color w:val="000000" w:themeColor="text1"/>
          <w:sz w:val="25"/>
          <w:szCs w:val="25"/>
          <w:lang w:eastAsia="it-IT"/>
        </w:rPr>
        <w:t>’</w:t>
      </w:r>
      <w:r w:rsidRPr="005D2474">
        <w:rPr>
          <w:rFonts w:eastAsia="Times New Roman"/>
          <w:color w:val="000000" w:themeColor="text1"/>
          <w:sz w:val="25"/>
          <w:szCs w:val="25"/>
          <w:lang w:eastAsia="it-IT"/>
        </w:rPr>
        <w:t>uomo, chiamata a pronunciarsi sulla lamentata violazione degli artt. 6, 13, 14 e 1 Protocollo 1 della C</w:t>
      </w:r>
      <w:r w:rsidR="00F43C71">
        <w:rPr>
          <w:rFonts w:eastAsia="Times New Roman"/>
          <w:color w:val="000000" w:themeColor="text1"/>
          <w:sz w:val="25"/>
          <w:szCs w:val="25"/>
          <w:lang w:eastAsia="it-IT"/>
        </w:rPr>
        <w:t>edu</w:t>
      </w:r>
      <w:r w:rsidRPr="005D2474">
        <w:rPr>
          <w:rFonts w:eastAsia="Times New Roman"/>
          <w:color w:val="000000" w:themeColor="text1"/>
          <w:sz w:val="25"/>
          <w:szCs w:val="25"/>
          <w:lang w:eastAsia="it-IT"/>
        </w:rPr>
        <w:t>, ha dichiarato la violazione del solo art. 6 della C</w:t>
      </w:r>
      <w:r w:rsidR="00F43C71">
        <w:rPr>
          <w:rFonts w:eastAsia="Times New Roman"/>
          <w:color w:val="000000" w:themeColor="text1"/>
          <w:sz w:val="25"/>
          <w:szCs w:val="25"/>
          <w:lang w:eastAsia="it-IT"/>
        </w:rPr>
        <w:t>edu</w:t>
      </w:r>
      <w:r w:rsidRPr="005D2474">
        <w:rPr>
          <w:rFonts w:eastAsia="Times New Roman"/>
          <w:color w:val="000000" w:themeColor="text1"/>
          <w:sz w:val="25"/>
          <w:szCs w:val="25"/>
          <w:lang w:eastAsia="it-IT"/>
        </w:rPr>
        <w:t xml:space="preserve"> – che sancisce il diritto all</w:t>
      </w:r>
      <w:r w:rsidR="00144DEC" w:rsidRPr="00AF336A">
        <w:rPr>
          <w:rFonts w:eastAsia="Times New Roman"/>
          <w:color w:val="000000" w:themeColor="text1"/>
          <w:sz w:val="25"/>
          <w:szCs w:val="25"/>
          <w:lang w:eastAsia="it-IT"/>
        </w:rPr>
        <w:t>’</w:t>
      </w:r>
      <w:r w:rsidRPr="005D2474">
        <w:rPr>
          <w:rFonts w:eastAsia="Times New Roman"/>
          <w:color w:val="000000" w:themeColor="text1"/>
          <w:sz w:val="25"/>
          <w:szCs w:val="25"/>
          <w:lang w:eastAsia="it-IT"/>
        </w:rPr>
        <w:t xml:space="preserve">equo processo – con riferimento alla lesione del principio di </w:t>
      </w:r>
      <w:r w:rsidRPr="005D2474">
        <w:rPr>
          <w:rFonts w:eastAsia="Times New Roman"/>
          <w:i/>
          <w:iCs/>
          <w:color w:val="000000" w:themeColor="text1"/>
          <w:sz w:val="25"/>
          <w:szCs w:val="25"/>
          <w:lang w:eastAsia="it-IT"/>
        </w:rPr>
        <w:t>parit</w:t>
      </w:r>
      <w:r w:rsidR="00183837" w:rsidRPr="00AF336A">
        <w:rPr>
          <w:rFonts w:eastAsia="Times New Roman"/>
          <w:i/>
          <w:iCs/>
          <w:color w:val="000000" w:themeColor="text1"/>
          <w:sz w:val="25"/>
          <w:szCs w:val="25"/>
          <w:lang w:eastAsia="it-IT"/>
        </w:rPr>
        <w:t>à</w:t>
      </w:r>
      <w:r w:rsidRPr="005D2474">
        <w:rPr>
          <w:rFonts w:eastAsia="Times New Roman"/>
          <w:i/>
          <w:iCs/>
          <w:color w:val="000000" w:themeColor="text1"/>
          <w:sz w:val="25"/>
          <w:szCs w:val="25"/>
          <w:lang w:eastAsia="it-IT"/>
        </w:rPr>
        <w:t xml:space="preserve"> delle armi </w:t>
      </w:r>
      <w:r w:rsidRPr="005D2474">
        <w:rPr>
          <w:rFonts w:eastAsia="Times New Roman"/>
          <w:color w:val="000000" w:themeColor="text1"/>
          <w:sz w:val="25"/>
          <w:szCs w:val="25"/>
          <w:lang w:eastAsia="it-IT"/>
        </w:rPr>
        <w:t>da esso discendente e obbligando lo Stato a conferire un equo indennizzo alle parti che hanno subito la violazione (secondo quanto previsto dall</w:t>
      </w:r>
      <w:r w:rsidR="00144DEC" w:rsidRPr="00AF336A">
        <w:rPr>
          <w:rFonts w:eastAsia="Times New Roman"/>
          <w:color w:val="000000" w:themeColor="text1"/>
          <w:sz w:val="25"/>
          <w:szCs w:val="25"/>
          <w:lang w:eastAsia="it-IT"/>
        </w:rPr>
        <w:t>’</w:t>
      </w:r>
      <w:r w:rsidRPr="005D2474">
        <w:rPr>
          <w:rFonts w:eastAsia="Times New Roman"/>
          <w:color w:val="000000" w:themeColor="text1"/>
          <w:sz w:val="25"/>
          <w:szCs w:val="25"/>
          <w:lang w:eastAsia="it-IT"/>
        </w:rPr>
        <w:t xml:space="preserve">art. 41 della Convenzione), e alla rifusione delle spese. </w:t>
      </w:r>
    </w:p>
    <w:p w14:paraId="5C5D8110" w14:textId="2DE03ECD" w:rsidR="00FE1A83" w:rsidRPr="00AF336A" w:rsidRDefault="005D2474" w:rsidP="00144DEC">
      <w:pPr>
        <w:spacing w:after="0" w:line="240" w:lineRule="auto"/>
        <w:ind w:firstLine="454"/>
        <w:jc w:val="both"/>
        <w:rPr>
          <w:rFonts w:eastAsia="Times New Roman"/>
          <w:color w:val="000000" w:themeColor="text1"/>
          <w:sz w:val="25"/>
          <w:szCs w:val="25"/>
          <w:lang w:eastAsia="it-IT"/>
        </w:rPr>
      </w:pPr>
      <w:r w:rsidRPr="005D2474">
        <w:rPr>
          <w:rFonts w:eastAsia="Times New Roman"/>
          <w:color w:val="000000" w:themeColor="text1"/>
          <w:sz w:val="25"/>
          <w:szCs w:val="25"/>
          <w:lang w:eastAsia="it-IT"/>
        </w:rPr>
        <w:t>Nella sua valutazione, la Corte di Strasburgo ripercorse i principi generali in materia secondo i quali “</w:t>
      </w:r>
      <w:r w:rsidRPr="00F43C71">
        <w:rPr>
          <w:rFonts w:eastAsia="Times New Roman"/>
          <w:i/>
          <w:iCs/>
          <w:color w:val="000000" w:themeColor="text1"/>
          <w:sz w:val="25"/>
          <w:szCs w:val="25"/>
          <w:lang w:eastAsia="it-IT"/>
        </w:rPr>
        <w:t>bench</w:t>
      </w:r>
      <w:r w:rsidR="005B240A" w:rsidRPr="00F43C71">
        <w:rPr>
          <w:rFonts w:eastAsia="Times New Roman"/>
          <w:i/>
          <w:iCs/>
          <w:color w:val="000000" w:themeColor="text1"/>
          <w:sz w:val="25"/>
          <w:szCs w:val="25"/>
          <w:lang w:eastAsia="it-IT"/>
        </w:rPr>
        <w:t>é</w:t>
      </w:r>
      <w:r w:rsidRPr="00F43C71">
        <w:rPr>
          <w:rFonts w:eastAsia="Times New Roman"/>
          <w:i/>
          <w:iCs/>
          <w:color w:val="000000" w:themeColor="text1"/>
          <w:sz w:val="25"/>
          <w:szCs w:val="25"/>
          <w:lang w:eastAsia="it-IT"/>
        </w:rPr>
        <w:t xml:space="preserve"> non sia precluso al corpo legislativo di disciplinare, mediante nuove disposizioni retroattive, diritti derivanti da leggi in vigore, il principio dello stato di diritto e la nozione di processo equo contenuti nell</w:t>
      </w:r>
      <w:r w:rsidR="00144DEC" w:rsidRPr="00F43C71">
        <w:rPr>
          <w:rFonts w:eastAsia="Times New Roman"/>
          <w:i/>
          <w:iCs/>
          <w:color w:val="000000" w:themeColor="text1"/>
          <w:sz w:val="25"/>
          <w:szCs w:val="25"/>
          <w:lang w:eastAsia="it-IT"/>
        </w:rPr>
        <w:t>’</w:t>
      </w:r>
      <w:r w:rsidR="005E7EBB" w:rsidRPr="00F43C71">
        <w:rPr>
          <w:rFonts w:eastAsia="Times New Roman"/>
          <w:i/>
          <w:iCs/>
          <w:color w:val="000000" w:themeColor="text1"/>
          <w:sz w:val="25"/>
          <w:szCs w:val="25"/>
          <w:lang w:eastAsia="it-IT"/>
        </w:rPr>
        <w:t>a</w:t>
      </w:r>
      <w:r w:rsidRPr="00F43C71">
        <w:rPr>
          <w:rFonts w:eastAsia="Times New Roman"/>
          <w:i/>
          <w:iCs/>
          <w:color w:val="000000" w:themeColor="text1"/>
          <w:sz w:val="25"/>
          <w:szCs w:val="25"/>
          <w:lang w:eastAsia="it-IT"/>
        </w:rPr>
        <w:t>rticolo 6 precludono, tranne che per imperativi motivi di interesse generale, 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interferenza del corpo legislativo nell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amministrazione della giustizia con il proposito di influenzare la determinazione giudiziaria di una controversia</w:t>
      </w:r>
      <w:r w:rsidRPr="005D2474">
        <w:rPr>
          <w:rFonts w:eastAsia="Times New Roman"/>
          <w:color w:val="000000" w:themeColor="text1"/>
          <w:sz w:val="25"/>
          <w:szCs w:val="25"/>
          <w:lang w:eastAsia="it-IT"/>
        </w:rPr>
        <w:t>”</w:t>
      </w:r>
      <w:r w:rsidR="00FE1A83" w:rsidRPr="00AF336A">
        <w:rPr>
          <w:rFonts w:eastAsia="Times New Roman"/>
          <w:color w:val="000000" w:themeColor="text1"/>
          <w:sz w:val="25"/>
          <w:szCs w:val="25"/>
          <w:lang w:eastAsia="it-IT"/>
        </w:rPr>
        <w:t xml:space="preserve">. Nel caso di specie, </w:t>
      </w:r>
      <w:r w:rsidR="006721C8" w:rsidRPr="00AF336A">
        <w:rPr>
          <w:rFonts w:eastAsia="Times New Roman"/>
          <w:color w:val="000000" w:themeColor="text1"/>
          <w:sz w:val="25"/>
          <w:szCs w:val="25"/>
          <w:lang w:eastAsia="it-IT"/>
        </w:rPr>
        <w:t>l</w:t>
      </w:r>
      <w:r w:rsidR="00FE1A83" w:rsidRPr="00AF336A">
        <w:rPr>
          <w:rFonts w:eastAsia="Times New Roman"/>
          <w:color w:val="000000" w:themeColor="text1"/>
          <w:sz w:val="25"/>
          <w:szCs w:val="25"/>
          <w:shd w:val="clear" w:color="auto" w:fill="FFFFFF"/>
          <w:lang w:eastAsia="it-IT"/>
        </w:rPr>
        <w:t>a Corte europea ha ritenuto di “non essere persuasa” del fatto che il motivo di interesse generale fosse sufficientemente impellente da superare i pericoli inerenti all</w:t>
      </w:r>
      <w:r w:rsidR="00144DEC" w:rsidRPr="00AF336A">
        <w:rPr>
          <w:rFonts w:eastAsia="Times New Roman"/>
          <w:color w:val="000000" w:themeColor="text1"/>
          <w:sz w:val="25"/>
          <w:szCs w:val="25"/>
          <w:shd w:val="clear" w:color="auto" w:fill="FFFFFF"/>
          <w:lang w:eastAsia="it-IT"/>
        </w:rPr>
        <w:t>’</w:t>
      </w:r>
      <w:r w:rsidR="00FE1A83" w:rsidRPr="00AF336A">
        <w:rPr>
          <w:rFonts w:eastAsia="Times New Roman"/>
          <w:color w:val="000000" w:themeColor="text1"/>
          <w:sz w:val="25"/>
          <w:szCs w:val="25"/>
          <w:shd w:val="clear" w:color="auto" w:fill="FFFFFF"/>
          <w:lang w:eastAsia="it-IT"/>
        </w:rPr>
        <w:t>utilizzo della legislazione retroattiva, e perciò ha concluso che, nel caso ad essa sottoposto, lo Stato aveva violato i diritti dei ricorrenti ai sensi della citata disposizione convenzionale, intervenendo in modo decisivo per garantire che l</w:t>
      </w:r>
      <w:r w:rsidR="00144DEC" w:rsidRPr="00AF336A">
        <w:rPr>
          <w:rFonts w:eastAsia="Times New Roman"/>
          <w:color w:val="000000" w:themeColor="text1"/>
          <w:sz w:val="25"/>
          <w:szCs w:val="25"/>
          <w:shd w:val="clear" w:color="auto" w:fill="FFFFFF"/>
          <w:lang w:eastAsia="it-IT"/>
        </w:rPr>
        <w:t>’</w:t>
      </w:r>
      <w:r w:rsidR="00FE1A83" w:rsidRPr="00AF336A">
        <w:rPr>
          <w:rFonts w:eastAsia="Times New Roman"/>
          <w:color w:val="000000" w:themeColor="text1"/>
          <w:sz w:val="25"/>
          <w:szCs w:val="25"/>
          <w:shd w:val="clear" w:color="auto" w:fill="FFFFFF"/>
          <w:lang w:eastAsia="it-IT"/>
        </w:rPr>
        <w:t>esito del procedimento in cui esso era parte gli fosse favorevole.</w:t>
      </w:r>
      <w:r w:rsidR="00FE1A83" w:rsidRPr="00AF336A">
        <w:rPr>
          <w:rFonts w:eastAsia="Times New Roman"/>
          <w:color w:val="000000" w:themeColor="text1"/>
          <w:sz w:val="25"/>
          <w:szCs w:val="25"/>
          <w:lang w:eastAsia="it-IT"/>
        </w:rPr>
        <w:t xml:space="preserve"> </w:t>
      </w:r>
    </w:p>
    <w:p w14:paraId="5B7FC461" w14:textId="5CFCA008" w:rsidR="00FE1A83" w:rsidRPr="00FE1A83" w:rsidRDefault="00FE1A83" w:rsidP="00144DEC">
      <w:pPr>
        <w:spacing w:after="0" w:line="240" w:lineRule="auto"/>
        <w:ind w:firstLine="454"/>
        <w:jc w:val="both"/>
        <w:rPr>
          <w:rFonts w:eastAsia="Times New Roman"/>
          <w:color w:val="000000" w:themeColor="text1"/>
          <w:sz w:val="25"/>
          <w:szCs w:val="25"/>
          <w:lang w:eastAsia="it-IT"/>
        </w:rPr>
      </w:pPr>
      <w:r w:rsidRPr="00FE1A83">
        <w:rPr>
          <w:rFonts w:eastAsia="Times New Roman"/>
          <w:color w:val="000000" w:themeColor="text1"/>
          <w:sz w:val="25"/>
          <w:szCs w:val="25"/>
          <w:lang w:eastAsia="it-IT"/>
        </w:rPr>
        <w:t>Sulle cc.dd. “pensioni svizzere” è intervenuta, nuovamente, la Corte costituzionale con la sentenza n. 264 del 2012 ove ha giudicato della costituzionalit</w:t>
      </w:r>
      <w:r w:rsidR="005E7EBB" w:rsidRPr="00AF336A">
        <w:rPr>
          <w:rFonts w:eastAsia="Times New Roman"/>
          <w:color w:val="000000" w:themeColor="text1"/>
          <w:sz w:val="25"/>
          <w:szCs w:val="25"/>
          <w:lang w:eastAsia="it-IT"/>
        </w:rPr>
        <w:t>à</w:t>
      </w:r>
      <w:r w:rsidRPr="00FE1A83">
        <w:rPr>
          <w:rFonts w:eastAsia="Times New Roman"/>
          <w:color w:val="000000" w:themeColor="text1"/>
          <w:sz w:val="25"/>
          <w:szCs w:val="25"/>
          <w:lang w:eastAsia="it-IT"/>
        </w:rPr>
        <w:t xml:space="preserve"> dell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art 1, comma 777, della legge 27 dicembre 2006, n. 296 (Disposizioni per la formazione del bilancio annuale e pluriennale dello Stato – legge finanziaria 2007), con riferimento al solo art. 117, primo comma, della Costituzione avente come parametro interposto 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art. 6 § 1 della CEDU, come interpretato dalla Corte europea dei diritti dell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 xml:space="preserve">uomo, in particolare, nella sentenza </w:t>
      </w:r>
      <w:r w:rsidRPr="00FE1A83">
        <w:rPr>
          <w:rFonts w:eastAsia="Times New Roman"/>
          <w:i/>
          <w:iCs/>
          <w:color w:val="000000" w:themeColor="text1"/>
          <w:sz w:val="25"/>
          <w:szCs w:val="25"/>
          <w:lang w:eastAsia="it-IT"/>
        </w:rPr>
        <w:t>Maggio e altri c. Italia</w:t>
      </w:r>
      <w:r w:rsidRPr="00FE1A83">
        <w:rPr>
          <w:rFonts w:eastAsia="Times New Roman"/>
          <w:color w:val="000000" w:themeColor="text1"/>
          <w:sz w:val="25"/>
          <w:szCs w:val="25"/>
          <w:lang w:eastAsia="it-IT"/>
        </w:rPr>
        <w:t xml:space="preserve"> del 31 maggio 2011. </w:t>
      </w:r>
    </w:p>
    <w:p w14:paraId="4F9DAA2F" w14:textId="08CC6FF4" w:rsidR="00FE1A83" w:rsidRPr="00FE1A83" w:rsidRDefault="00FE1A83" w:rsidP="00144DEC">
      <w:pPr>
        <w:spacing w:after="0" w:line="240" w:lineRule="auto"/>
        <w:ind w:firstLine="454"/>
        <w:jc w:val="both"/>
        <w:rPr>
          <w:rFonts w:eastAsia="Times New Roman"/>
          <w:color w:val="000000" w:themeColor="text1"/>
          <w:sz w:val="25"/>
          <w:szCs w:val="25"/>
          <w:lang w:eastAsia="it-IT"/>
        </w:rPr>
      </w:pPr>
      <w:r w:rsidRPr="00FE1A83">
        <w:rPr>
          <w:rFonts w:eastAsia="Times New Roman"/>
          <w:color w:val="000000" w:themeColor="text1"/>
          <w:sz w:val="25"/>
          <w:szCs w:val="25"/>
          <w:lang w:eastAsia="it-IT"/>
        </w:rPr>
        <w:t>Dapprima, la Corte costituzionale ha riaffermato 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impossibilità di sostituire la propria interpretazione di una disposizione della C</w:t>
      </w:r>
      <w:r w:rsidR="00F43C71">
        <w:rPr>
          <w:rFonts w:eastAsia="Times New Roman"/>
          <w:color w:val="000000" w:themeColor="text1"/>
          <w:sz w:val="25"/>
          <w:szCs w:val="25"/>
          <w:lang w:eastAsia="it-IT"/>
        </w:rPr>
        <w:t>edu</w:t>
      </w:r>
      <w:r w:rsidRPr="00FE1A83">
        <w:rPr>
          <w:rFonts w:eastAsia="Times New Roman"/>
          <w:color w:val="000000" w:themeColor="text1"/>
          <w:sz w:val="25"/>
          <w:szCs w:val="25"/>
          <w:lang w:eastAsia="it-IT"/>
        </w:rPr>
        <w:t xml:space="preserve"> a quella data in occasione della sua applicazione al caso di specie dalla Corte di Strasburgo, ma, subito dopo, ha rivendicato la </w:t>
      </w:r>
      <w:r w:rsidRPr="00FE1A83">
        <w:rPr>
          <w:rFonts w:eastAsia="Times New Roman"/>
          <w:i/>
          <w:iCs/>
          <w:color w:val="000000" w:themeColor="text1"/>
          <w:sz w:val="25"/>
          <w:szCs w:val="25"/>
          <w:lang w:eastAsia="it-IT"/>
        </w:rPr>
        <w:t xml:space="preserve">propria competenza </w:t>
      </w:r>
      <w:r w:rsidRPr="00FE1A83">
        <w:rPr>
          <w:rFonts w:eastAsia="Times New Roman"/>
          <w:color w:val="000000" w:themeColor="text1"/>
          <w:sz w:val="25"/>
          <w:szCs w:val="25"/>
          <w:lang w:eastAsia="it-IT"/>
        </w:rPr>
        <w:t>“</w:t>
      </w:r>
      <w:r w:rsidRPr="00F43C71">
        <w:rPr>
          <w:rFonts w:eastAsia="Times New Roman"/>
          <w:i/>
          <w:iCs/>
          <w:color w:val="000000" w:themeColor="text1"/>
          <w:sz w:val="25"/>
          <w:szCs w:val="25"/>
          <w:lang w:eastAsia="it-IT"/>
        </w:rPr>
        <w:t>a valutare come ed in quale misura 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applicazione della Convenzione da parte della Corte europea si inserisca nell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ordinamento costituzionale italiano</w:t>
      </w:r>
      <w:r w:rsidRPr="00FE1A83">
        <w:rPr>
          <w:rFonts w:eastAsia="Times New Roman"/>
          <w:color w:val="000000" w:themeColor="text1"/>
          <w:sz w:val="25"/>
          <w:szCs w:val="25"/>
          <w:lang w:eastAsia="it-IT"/>
        </w:rPr>
        <w:t>”</w:t>
      </w:r>
      <w:r w:rsidR="00F43C71">
        <w:rPr>
          <w:rStyle w:val="Rimandonotaapidipagina"/>
          <w:rFonts w:eastAsia="Times New Roman"/>
          <w:color w:val="000000" w:themeColor="text1"/>
          <w:sz w:val="25"/>
          <w:szCs w:val="25"/>
          <w:lang w:eastAsia="it-IT"/>
        </w:rPr>
        <w:footnoteReference w:id="14"/>
      </w:r>
      <w:r w:rsidRPr="00FE1A83">
        <w:rPr>
          <w:rFonts w:eastAsia="Times New Roman"/>
          <w:color w:val="000000" w:themeColor="text1"/>
          <w:sz w:val="25"/>
          <w:szCs w:val="25"/>
          <w:lang w:eastAsia="it-IT"/>
        </w:rPr>
        <w:t xml:space="preserve">. </w:t>
      </w:r>
    </w:p>
    <w:p w14:paraId="6E96AAF5" w14:textId="11EB6662" w:rsidR="00FE1A83" w:rsidRPr="00FE1A83" w:rsidRDefault="00FE1A83" w:rsidP="00144DEC">
      <w:pPr>
        <w:spacing w:after="0" w:line="240" w:lineRule="auto"/>
        <w:ind w:firstLine="454"/>
        <w:jc w:val="both"/>
        <w:rPr>
          <w:rFonts w:eastAsia="Times New Roman"/>
          <w:color w:val="000000" w:themeColor="text1"/>
          <w:sz w:val="25"/>
          <w:szCs w:val="25"/>
          <w:lang w:eastAsia="it-IT"/>
        </w:rPr>
      </w:pPr>
      <w:r w:rsidRPr="00FE1A83">
        <w:rPr>
          <w:rFonts w:eastAsia="Times New Roman"/>
          <w:color w:val="000000" w:themeColor="text1"/>
          <w:sz w:val="25"/>
          <w:szCs w:val="25"/>
          <w:lang w:eastAsia="it-IT"/>
        </w:rPr>
        <w:t xml:space="preserve">Dunque, il fulcro della motivazione della Corte consiste, da una parte, nel riconoscimento della propria </w:t>
      </w:r>
      <w:r w:rsidRPr="00FE1A83">
        <w:rPr>
          <w:rFonts w:eastAsia="Times New Roman"/>
          <w:i/>
          <w:iCs/>
          <w:color w:val="000000" w:themeColor="text1"/>
          <w:sz w:val="25"/>
          <w:szCs w:val="25"/>
          <w:lang w:eastAsia="it-IT"/>
        </w:rPr>
        <w:t xml:space="preserve">esclusiva competenza a effettuare un bilanciamento </w:t>
      </w:r>
      <w:r w:rsidRPr="00FE1A83">
        <w:rPr>
          <w:rFonts w:eastAsia="Times New Roman"/>
          <w:color w:val="000000" w:themeColor="text1"/>
          <w:sz w:val="25"/>
          <w:szCs w:val="25"/>
          <w:lang w:eastAsia="it-IT"/>
        </w:rPr>
        <w:t>tra 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interesse tutelato dal parametro interposto, che entra nel giudizio costituzionale per il tramite dell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art. 117, primo comma, della Costituzione, e gli altri interessi costituzionalmente protetti; d</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altra parte, nell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 xml:space="preserve">affermazione che essa è </w:t>
      </w:r>
      <w:r w:rsidRPr="00FE1A83">
        <w:rPr>
          <w:rFonts w:eastAsia="Times New Roman"/>
          <w:i/>
          <w:iCs/>
          <w:color w:val="000000" w:themeColor="text1"/>
          <w:sz w:val="25"/>
          <w:szCs w:val="25"/>
          <w:lang w:eastAsia="it-IT"/>
        </w:rPr>
        <w:t xml:space="preserve">tenuta al bilanciamento </w:t>
      </w:r>
      <w:r w:rsidRPr="00FE1A83">
        <w:rPr>
          <w:rFonts w:eastAsia="Times New Roman"/>
          <w:color w:val="000000" w:themeColor="text1"/>
          <w:sz w:val="25"/>
          <w:szCs w:val="25"/>
          <w:lang w:eastAsia="it-IT"/>
        </w:rPr>
        <w:t xml:space="preserve">in ragione del suo ruolo di </w:t>
      </w:r>
      <w:r w:rsidRPr="00FE1A83">
        <w:rPr>
          <w:rFonts w:eastAsia="Times New Roman"/>
          <w:i/>
          <w:iCs/>
          <w:color w:val="000000" w:themeColor="text1"/>
          <w:sz w:val="25"/>
          <w:szCs w:val="25"/>
          <w:lang w:eastAsia="it-IT"/>
        </w:rPr>
        <w:t xml:space="preserve">Corte di sistema </w:t>
      </w:r>
      <w:r w:rsidRPr="00FE1A83">
        <w:rPr>
          <w:rFonts w:eastAsia="Times New Roman"/>
          <w:color w:val="000000" w:themeColor="text1"/>
          <w:sz w:val="25"/>
          <w:szCs w:val="25"/>
          <w:lang w:eastAsia="it-IT"/>
        </w:rPr>
        <w:t xml:space="preserve">a differenza della Corte di Strasburgo, </w:t>
      </w:r>
      <w:r w:rsidRPr="00FE1A83">
        <w:rPr>
          <w:rFonts w:eastAsia="Times New Roman"/>
          <w:i/>
          <w:iCs/>
          <w:color w:val="000000" w:themeColor="text1"/>
          <w:sz w:val="25"/>
          <w:szCs w:val="25"/>
          <w:lang w:eastAsia="it-IT"/>
        </w:rPr>
        <w:t>Corte dei casi concreti</w:t>
      </w:r>
      <w:r w:rsidRPr="00FE1A83">
        <w:rPr>
          <w:rFonts w:eastAsia="Times New Roman"/>
          <w:color w:val="000000" w:themeColor="text1"/>
          <w:sz w:val="25"/>
          <w:szCs w:val="25"/>
          <w:lang w:eastAsia="it-IT"/>
        </w:rPr>
        <w:t xml:space="preserve">. </w:t>
      </w:r>
    </w:p>
    <w:p w14:paraId="193B39F0" w14:textId="5C90A6E8" w:rsidR="00183837" w:rsidRPr="00AF336A" w:rsidRDefault="00FE1A83" w:rsidP="00144DEC">
      <w:pPr>
        <w:spacing w:after="0" w:line="240" w:lineRule="auto"/>
        <w:ind w:firstLine="454"/>
        <w:jc w:val="both"/>
        <w:rPr>
          <w:rFonts w:eastAsia="Times New Roman"/>
          <w:color w:val="000000" w:themeColor="text1"/>
          <w:sz w:val="25"/>
          <w:szCs w:val="25"/>
          <w:lang w:eastAsia="it-IT"/>
        </w:rPr>
      </w:pPr>
      <w:r w:rsidRPr="00FE1A83">
        <w:rPr>
          <w:rFonts w:eastAsia="Times New Roman"/>
          <w:color w:val="000000" w:themeColor="text1"/>
          <w:sz w:val="25"/>
          <w:szCs w:val="25"/>
          <w:lang w:eastAsia="it-IT"/>
        </w:rPr>
        <w:t>Per quanto attiene al bilanciamento di valori effettuato dalla Corte, i principi costituzionali cui essa ha fatto riferimento sono quello contenuto nell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art. 81 – con riguardo all</w:t>
      </w:r>
      <w:r w:rsidR="00144DEC" w:rsidRPr="00AF336A">
        <w:rPr>
          <w:rFonts w:eastAsia="Times New Roman"/>
          <w:color w:val="000000" w:themeColor="text1"/>
          <w:sz w:val="25"/>
          <w:szCs w:val="25"/>
          <w:lang w:eastAsia="it-IT"/>
        </w:rPr>
        <w:t>’</w:t>
      </w:r>
      <w:r w:rsidRPr="00FE1A83">
        <w:rPr>
          <w:rFonts w:eastAsia="Times New Roman"/>
          <w:color w:val="000000" w:themeColor="text1"/>
          <w:sz w:val="25"/>
          <w:szCs w:val="25"/>
          <w:lang w:eastAsia="it-IT"/>
        </w:rPr>
        <w:t>esigenza di razionalit</w:t>
      </w:r>
      <w:r w:rsidR="005E7EBB" w:rsidRPr="00AF336A">
        <w:rPr>
          <w:rFonts w:eastAsia="Times New Roman"/>
          <w:color w:val="000000" w:themeColor="text1"/>
          <w:sz w:val="25"/>
          <w:szCs w:val="25"/>
          <w:lang w:eastAsia="it-IT"/>
        </w:rPr>
        <w:t xml:space="preserve">à </w:t>
      </w:r>
      <w:r w:rsidRPr="00FE1A83">
        <w:rPr>
          <w:rFonts w:eastAsia="Times New Roman"/>
          <w:color w:val="000000" w:themeColor="text1"/>
          <w:sz w:val="25"/>
          <w:szCs w:val="25"/>
          <w:lang w:eastAsia="it-IT"/>
        </w:rPr>
        <w:t>complessiva del sistema finanziario – e, soprattutto, quelli di uguaglianza e proporzionalit</w:t>
      </w:r>
      <w:r w:rsidR="005E7EBB" w:rsidRPr="00AF336A">
        <w:rPr>
          <w:rFonts w:eastAsia="Times New Roman"/>
          <w:color w:val="000000" w:themeColor="text1"/>
          <w:sz w:val="25"/>
          <w:szCs w:val="25"/>
          <w:lang w:eastAsia="it-IT"/>
        </w:rPr>
        <w:t>à</w:t>
      </w:r>
      <w:r w:rsidRPr="00FE1A83">
        <w:rPr>
          <w:rFonts w:eastAsia="Times New Roman"/>
          <w:color w:val="000000" w:themeColor="text1"/>
          <w:sz w:val="25"/>
          <w:szCs w:val="25"/>
          <w:lang w:eastAsia="it-IT"/>
        </w:rPr>
        <w:t xml:space="preserve"> che “</w:t>
      </w:r>
      <w:r w:rsidRPr="00F43C71">
        <w:rPr>
          <w:rFonts w:eastAsia="Times New Roman"/>
          <w:i/>
          <w:iCs/>
          <w:color w:val="000000" w:themeColor="text1"/>
          <w:sz w:val="25"/>
          <w:szCs w:val="25"/>
          <w:lang w:eastAsia="it-IT"/>
        </w:rPr>
        <w:t>per il loro carattere fondante, occupano una posizione privilegiata nel bilanciamento con gli altri valori costituzionali</w:t>
      </w:r>
      <w:r w:rsidRPr="00FE1A83">
        <w:rPr>
          <w:rFonts w:eastAsia="Times New Roman"/>
          <w:color w:val="000000" w:themeColor="text1"/>
          <w:sz w:val="25"/>
          <w:szCs w:val="25"/>
          <w:lang w:eastAsia="it-IT"/>
        </w:rPr>
        <w:t>”</w:t>
      </w:r>
      <w:r w:rsidR="00183837" w:rsidRPr="00AF336A">
        <w:rPr>
          <w:rFonts w:eastAsia="Times New Roman"/>
          <w:color w:val="000000" w:themeColor="text1"/>
          <w:sz w:val="25"/>
          <w:szCs w:val="25"/>
          <w:lang w:eastAsia="it-IT"/>
        </w:rPr>
        <w:t xml:space="preserve">. </w:t>
      </w:r>
    </w:p>
    <w:p w14:paraId="0761DD1C" w14:textId="61A13406" w:rsidR="006721C8" w:rsidRPr="00AF336A" w:rsidRDefault="006721C8" w:rsidP="00144DEC">
      <w:pPr>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Da qui la conclusione che è ispirata “</w:t>
      </w:r>
      <w:r w:rsidRPr="00F43C71">
        <w:rPr>
          <w:i/>
          <w:iCs/>
          <w:color w:val="000000" w:themeColor="text1"/>
          <w:sz w:val="25"/>
          <w:szCs w:val="25"/>
        </w:rPr>
        <w:t>ai principi di uguaglianza e di proporzionalità una legge che tenga conto della circostanza che i contributi versati in Svizzera siano quattro volte inferiori a quelli versati in Italia e operi, quindi, una riparametrazione diretta a rendere i contributi proporzionati alle prestazioni, a livellare i trattamenti, per evitare sperequazioni e a rendere sostenibile l</w:t>
      </w:r>
      <w:r w:rsidR="00144DEC" w:rsidRPr="00F43C71">
        <w:rPr>
          <w:i/>
          <w:iCs/>
          <w:color w:val="000000" w:themeColor="text1"/>
          <w:sz w:val="25"/>
          <w:szCs w:val="25"/>
        </w:rPr>
        <w:t>’</w:t>
      </w:r>
      <w:r w:rsidRPr="00F43C71">
        <w:rPr>
          <w:i/>
          <w:iCs/>
          <w:color w:val="000000" w:themeColor="text1"/>
          <w:sz w:val="25"/>
          <w:szCs w:val="25"/>
        </w:rPr>
        <w:t>equilibrio del sistema previdenziale a garanzia di coloro che usufruiscono delle sue prestazioni</w:t>
      </w:r>
      <w:r w:rsidRPr="00AF336A">
        <w:rPr>
          <w:color w:val="000000" w:themeColor="text1"/>
          <w:sz w:val="25"/>
          <w:szCs w:val="25"/>
        </w:rPr>
        <w:t>”.</w:t>
      </w:r>
    </w:p>
    <w:p w14:paraId="6947B0DD" w14:textId="0F67F416" w:rsidR="005D2474" w:rsidRPr="005D2474" w:rsidRDefault="005D2474" w:rsidP="00AF336A">
      <w:pPr>
        <w:spacing w:after="0" w:line="240" w:lineRule="auto"/>
        <w:jc w:val="both"/>
        <w:rPr>
          <w:rFonts w:eastAsia="Times New Roman"/>
          <w:b/>
          <w:bCs/>
          <w:color w:val="000000" w:themeColor="text1"/>
          <w:sz w:val="25"/>
          <w:szCs w:val="25"/>
          <w:lang w:eastAsia="it-IT"/>
        </w:rPr>
      </w:pPr>
      <w:r w:rsidRPr="005D2474">
        <w:rPr>
          <w:rFonts w:eastAsia="Times New Roman"/>
          <w:color w:val="000000" w:themeColor="text1"/>
          <w:sz w:val="25"/>
          <w:szCs w:val="25"/>
          <w:lang w:eastAsia="it-IT"/>
        </w:rPr>
        <w:t xml:space="preserve"> </w:t>
      </w:r>
    </w:p>
    <w:p w14:paraId="4F68A24E" w14:textId="7250F0AA" w:rsidR="005D2474" w:rsidRPr="005D2474" w:rsidRDefault="00C63323" w:rsidP="00144DEC">
      <w:pPr>
        <w:spacing w:after="0" w:line="240" w:lineRule="auto"/>
        <w:ind w:firstLine="454"/>
        <w:jc w:val="both"/>
        <w:rPr>
          <w:rFonts w:eastAsia="Times New Roman"/>
          <w:b/>
          <w:bCs/>
          <w:color w:val="000000" w:themeColor="text1"/>
          <w:sz w:val="25"/>
          <w:szCs w:val="25"/>
          <w:lang w:eastAsia="it-IT"/>
        </w:rPr>
      </w:pPr>
      <w:r w:rsidRPr="00AF336A">
        <w:rPr>
          <w:rFonts w:eastAsia="Times New Roman"/>
          <w:b/>
          <w:bCs/>
          <w:color w:val="000000" w:themeColor="text1"/>
          <w:sz w:val="25"/>
          <w:szCs w:val="25"/>
          <w:lang w:eastAsia="it-IT"/>
        </w:rPr>
        <w:t xml:space="preserve">4. </w:t>
      </w:r>
      <w:r w:rsidR="00183837" w:rsidRPr="00AF336A">
        <w:rPr>
          <w:rFonts w:eastAsia="Times New Roman"/>
          <w:b/>
          <w:bCs/>
          <w:color w:val="000000" w:themeColor="text1"/>
          <w:sz w:val="25"/>
          <w:szCs w:val="25"/>
          <w:lang w:eastAsia="it-IT"/>
        </w:rPr>
        <w:t>La diversità incidenza dei controlimiti rispetto al diritto dell</w:t>
      </w:r>
      <w:r w:rsidR="00144DEC" w:rsidRPr="00AF336A">
        <w:rPr>
          <w:rFonts w:eastAsia="Times New Roman"/>
          <w:b/>
          <w:bCs/>
          <w:color w:val="000000" w:themeColor="text1"/>
          <w:sz w:val="25"/>
          <w:szCs w:val="25"/>
          <w:lang w:eastAsia="it-IT"/>
        </w:rPr>
        <w:t>’</w:t>
      </w:r>
      <w:r w:rsidR="00183837" w:rsidRPr="00AF336A">
        <w:rPr>
          <w:rFonts w:eastAsia="Times New Roman"/>
          <w:b/>
          <w:bCs/>
          <w:color w:val="000000" w:themeColor="text1"/>
          <w:sz w:val="25"/>
          <w:szCs w:val="25"/>
          <w:lang w:eastAsia="it-IT"/>
        </w:rPr>
        <w:t>U.E.</w:t>
      </w:r>
    </w:p>
    <w:p w14:paraId="6E3B3034" w14:textId="23081786" w:rsidR="00DE7AD3" w:rsidRPr="00AF336A" w:rsidRDefault="001875AE" w:rsidP="00144DEC">
      <w:pPr>
        <w:spacing w:after="0" w:line="240" w:lineRule="auto"/>
        <w:ind w:firstLine="454"/>
        <w:jc w:val="both"/>
        <w:rPr>
          <w:color w:val="000000" w:themeColor="text1"/>
          <w:sz w:val="25"/>
          <w:szCs w:val="25"/>
        </w:rPr>
      </w:pPr>
      <w:r w:rsidRPr="00AF336A">
        <w:rPr>
          <w:color w:val="000000" w:themeColor="text1"/>
          <w:sz w:val="25"/>
          <w:szCs w:val="25"/>
        </w:rPr>
        <w:t>Le considerazioni che precedono dimostrando che</w:t>
      </w:r>
      <w:r w:rsidR="004E2BDE" w:rsidRPr="00AF336A">
        <w:rPr>
          <w:color w:val="000000" w:themeColor="text1"/>
          <w:sz w:val="25"/>
          <w:szCs w:val="25"/>
        </w:rPr>
        <w:t xml:space="preserve"> i casi</w:t>
      </w:r>
      <w:r w:rsidR="003164C5">
        <w:rPr>
          <w:color w:val="000000" w:themeColor="text1"/>
          <w:sz w:val="25"/>
          <w:szCs w:val="25"/>
        </w:rPr>
        <w:t xml:space="preserve"> </w:t>
      </w:r>
      <w:r w:rsidR="004E2BDE" w:rsidRPr="00AF336A">
        <w:rPr>
          <w:color w:val="000000" w:themeColor="text1"/>
          <w:sz w:val="25"/>
          <w:szCs w:val="25"/>
        </w:rPr>
        <w:t>di aperta contrarietà</w:t>
      </w:r>
      <w:r w:rsidR="000245CA" w:rsidRPr="00AF336A">
        <w:rPr>
          <w:color w:val="000000" w:themeColor="text1"/>
          <w:sz w:val="25"/>
          <w:szCs w:val="25"/>
        </w:rPr>
        <w:t>,</w:t>
      </w:r>
      <w:r w:rsidR="004E2BDE" w:rsidRPr="00AF336A">
        <w:rPr>
          <w:color w:val="000000" w:themeColor="text1"/>
          <w:sz w:val="25"/>
          <w:szCs w:val="25"/>
        </w:rPr>
        <w:t xml:space="preserve"> e quindi di concreta attivazione dei controlimiti rispetto all</w:t>
      </w:r>
      <w:r w:rsidR="000245CA" w:rsidRPr="00AF336A">
        <w:rPr>
          <w:color w:val="000000" w:themeColor="text1"/>
          <w:sz w:val="25"/>
          <w:szCs w:val="25"/>
        </w:rPr>
        <w:t xml:space="preserve">a Cedu </w:t>
      </w:r>
      <w:r w:rsidR="004E2BDE" w:rsidRPr="00AF336A">
        <w:rPr>
          <w:color w:val="000000" w:themeColor="text1"/>
          <w:sz w:val="25"/>
          <w:szCs w:val="25"/>
        </w:rPr>
        <w:t>sono</w:t>
      </w:r>
      <w:r w:rsidR="000245CA" w:rsidRPr="00AF336A">
        <w:rPr>
          <w:color w:val="000000" w:themeColor="text1"/>
          <w:sz w:val="25"/>
          <w:szCs w:val="25"/>
        </w:rPr>
        <w:t>,</w:t>
      </w:r>
      <w:r w:rsidR="004E2BDE" w:rsidRPr="00AF336A">
        <w:rPr>
          <w:color w:val="000000" w:themeColor="text1"/>
          <w:sz w:val="25"/>
          <w:szCs w:val="25"/>
        </w:rPr>
        <w:t xml:space="preserve"> alla fine</w:t>
      </w:r>
      <w:r w:rsidR="000245CA" w:rsidRPr="00AF336A">
        <w:rPr>
          <w:color w:val="000000" w:themeColor="text1"/>
          <w:sz w:val="25"/>
          <w:szCs w:val="25"/>
        </w:rPr>
        <w:t>,</w:t>
      </w:r>
      <w:r w:rsidR="004E2BDE" w:rsidRPr="00AF336A">
        <w:rPr>
          <w:color w:val="000000" w:themeColor="text1"/>
          <w:sz w:val="25"/>
          <w:szCs w:val="25"/>
        </w:rPr>
        <w:t xml:space="preserve"> tutto sommato </w:t>
      </w:r>
      <w:r w:rsidR="000245CA" w:rsidRPr="00AF336A">
        <w:rPr>
          <w:color w:val="000000" w:themeColor="text1"/>
          <w:sz w:val="25"/>
          <w:szCs w:val="25"/>
        </w:rPr>
        <w:t>rari,</w:t>
      </w:r>
      <w:r w:rsidR="004E2BDE" w:rsidRPr="00AF336A">
        <w:rPr>
          <w:color w:val="000000" w:themeColor="text1"/>
          <w:sz w:val="25"/>
          <w:szCs w:val="25"/>
        </w:rPr>
        <w:t xml:space="preserve"> nel senso che spesso se ne esce o </w:t>
      </w:r>
      <w:r w:rsidR="00DE7AD3" w:rsidRPr="00AF336A">
        <w:rPr>
          <w:color w:val="000000" w:themeColor="text1"/>
          <w:sz w:val="25"/>
          <w:szCs w:val="25"/>
        </w:rPr>
        <w:t xml:space="preserve">adeguandosi </w:t>
      </w:r>
      <w:r w:rsidRPr="00AF336A">
        <w:rPr>
          <w:color w:val="000000" w:themeColor="text1"/>
          <w:sz w:val="25"/>
          <w:szCs w:val="25"/>
        </w:rPr>
        <w:t xml:space="preserve">(eventualmente con il correttivo offerto dal </w:t>
      </w:r>
      <w:r w:rsidR="004E2BDE" w:rsidRPr="00AF336A">
        <w:rPr>
          <w:color w:val="000000" w:themeColor="text1"/>
          <w:sz w:val="25"/>
          <w:szCs w:val="25"/>
        </w:rPr>
        <w:t>margine di apprezzamento</w:t>
      </w:r>
      <w:r w:rsidRPr="00AF336A">
        <w:rPr>
          <w:color w:val="000000" w:themeColor="text1"/>
          <w:sz w:val="25"/>
          <w:szCs w:val="25"/>
        </w:rPr>
        <w:t xml:space="preserve">) </w:t>
      </w:r>
      <w:r w:rsidR="004E2BDE" w:rsidRPr="00AF336A">
        <w:rPr>
          <w:color w:val="000000" w:themeColor="text1"/>
          <w:sz w:val="25"/>
          <w:szCs w:val="25"/>
        </w:rPr>
        <w:t>oppure ricorrendo</w:t>
      </w:r>
      <w:r w:rsidR="003164C5">
        <w:rPr>
          <w:color w:val="000000" w:themeColor="text1"/>
          <w:sz w:val="25"/>
          <w:szCs w:val="25"/>
        </w:rPr>
        <w:t xml:space="preserve"> </w:t>
      </w:r>
      <w:r w:rsidR="004E2BDE" w:rsidRPr="00AF336A">
        <w:rPr>
          <w:color w:val="000000" w:themeColor="text1"/>
          <w:sz w:val="25"/>
          <w:szCs w:val="25"/>
        </w:rPr>
        <w:t xml:space="preserve">alla giurisprudenza non consolidata e quindi reinterpretando in senso anche costituzionalmente orientato la </w:t>
      </w:r>
      <w:r w:rsidR="00DE7AD3" w:rsidRPr="00AF336A">
        <w:rPr>
          <w:color w:val="000000" w:themeColor="text1"/>
          <w:sz w:val="25"/>
          <w:szCs w:val="25"/>
        </w:rPr>
        <w:t>Cedu.</w:t>
      </w:r>
    </w:p>
    <w:p w14:paraId="0B8A6BB8" w14:textId="3F1AD6BB" w:rsidR="001875AE" w:rsidRPr="00AF336A" w:rsidRDefault="00DE7AD3" w:rsidP="00144DEC">
      <w:pPr>
        <w:spacing w:after="0" w:line="240" w:lineRule="auto"/>
        <w:ind w:firstLine="454"/>
        <w:jc w:val="both"/>
        <w:rPr>
          <w:color w:val="000000" w:themeColor="text1"/>
          <w:sz w:val="25"/>
          <w:szCs w:val="25"/>
        </w:rPr>
      </w:pPr>
      <w:r w:rsidRPr="00AF336A">
        <w:rPr>
          <w:color w:val="000000" w:themeColor="text1"/>
          <w:sz w:val="25"/>
          <w:szCs w:val="25"/>
        </w:rPr>
        <w:t>I</w:t>
      </w:r>
      <w:r w:rsidR="004E2BDE" w:rsidRPr="00AF336A">
        <w:rPr>
          <w:color w:val="000000" w:themeColor="text1"/>
          <w:sz w:val="25"/>
          <w:szCs w:val="25"/>
        </w:rPr>
        <w:t>l discorso cambia molto per il diritto</w:t>
      </w:r>
      <w:r w:rsidR="001875AE" w:rsidRPr="00AF336A">
        <w:rPr>
          <w:color w:val="000000" w:themeColor="text1"/>
          <w:sz w:val="25"/>
          <w:szCs w:val="25"/>
        </w:rPr>
        <w:t xml:space="preserve"> dell</w:t>
      </w:r>
      <w:r w:rsidR="00144DEC" w:rsidRPr="00AF336A">
        <w:rPr>
          <w:color w:val="000000" w:themeColor="text1"/>
          <w:sz w:val="25"/>
          <w:szCs w:val="25"/>
        </w:rPr>
        <w:t>’</w:t>
      </w:r>
      <w:r w:rsidR="001875AE" w:rsidRPr="00AF336A">
        <w:rPr>
          <w:color w:val="000000" w:themeColor="text1"/>
          <w:sz w:val="25"/>
          <w:szCs w:val="25"/>
        </w:rPr>
        <w:t xml:space="preserve">UE. </w:t>
      </w:r>
    </w:p>
    <w:p w14:paraId="544A8E24" w14:textId="452C7221" w:rsidR="00117F8C" w:rsidRPr="00AF336A" w:rsidRDefault="00117F8C" w:rsidP="00144DEC">
      <w:pPr>
        <w:spacing w:after="0" w:line="240" w:lineRule="auto"/>
        <w:ind w:firstLine="454"/>
        <w:jc w:val="both"/>
        <w:rPr>
          <w:color w:val="000000" w:themeColor="text1"/>
          <w:sz w:val="25"/>
          <w:szCs w:val="25"/>
        </w:rPr>
      </w:pPr>
      <w:r w:rsidRPr="00AF336A">
        <w:rPr>
          <w:color w:val="000000" w:themeColor="text1"/>
          <w:sz w:val="25"/>
          <w:szCs w:val="25"/>
        </w:rPr>
        <w:t>È vero che a</w:t>
      </w:r>
      <w:r w:rsidR="00DE7AD3" w:rsidRPr="00AF336A">
        <w:rPr>
          <w:color w:val="000000" w:themeColor="text1"/>
          <w:sz w:val="25"/>
          <w:szCs w:val="25"/>
        </w:rPr>
        <w:t xml:space="preserve">nche </w:t>
      </w:r>
      <w:r w:rsidR="004E2BDE" w:rsidRPr="00AF336A">
        <w:rPr>
          <w:color w:val="000000" w:themeColor="text1"/>
          <w:sz w:val="25"/>
          <w:szCs w:val="25"/>
        </w:rPr>
        <w:t xml:space="preserve">il diritto </w:t>
      </w:r>
      <w:proofErr w:type="spellStart"/>
      <w:r w:rsidR="00DE7AD3" w:rsidRPr="00AF336A">
        <w:rPr>
          <w:color w:val="000000" w:themeColor="text1"/>
          <w:sz w:val="25"/>
          <w:szCs w:val="25"/>
        </w:rPr>
        <w:t>unionale</w:t>
      </w:r>
      <w:proofErr w:type="spellEnd"/>
      <w:r w:rsidR="004E2BDE" w:rsidRPr="00AF336A">
        <w:rPr>
          <w:color w:val="000000" w:themeColor="text1"/>
          <w:sz w:val="25"/>
          <w:szCs w:val="25"/>
        </w:rPr>
        <w:t xml:space="preserve"> è un ordinamento</w:t>
      </w:r>
      <w:r w:rsidR="001875AE" w:rsidRPr="00AF336A">
        <w:rPr>
          <w:color w:val="000000" w:themeColor="text1"/>
          <w:sz w:val="25"/>
          <w:szCs w:val="25"/>
        </w:rPr>
        <w:t xml:space="preserve"> che si fa carico di tutelare </w:t>
      </w:r>
      <w:r w:rsidR="004E2BDE" w:rsidRPr="00AF336A">
        <w:rPr>
          <w:color w:val="000000" w:themeColor="text1"/>
          <w:sz w:val="25"/>
          <w:szCs w:val="25"/>
        </w:rPr>
        <w:t>la dei diritti fondamentali</w:t>
      </w:r>
      <w:r w:rsidR="001875AE" w:rsidRPr="00AF336A">
        <w:rPr>
          <w:color w:val="000000" w:themeColor="text1"/>
          <w:sz w:val="25"/>
          <w:szCs w:val="25"/>
        </w:rPr>
        <w:t>, come emerge chiaramente dall</w:t>
      </w:r>
      <w:r w:rsidRPr="00AF336A">
        <w:rPr>
          <w:color w:val="000000" w:themeColor="text1"/>
          <w:sz w:val="25"/>
          <w:szCs w:val="25"/>
        </w:rPr>
        <w:t>a Carta dei diritti fondamentali dell</w:t>
      </w:r>
      <w:r w:rsidR="00144DEC" w:rsidRPr="00AF336A">
        <w:rPr>
          <w:color w:val="000000" w:themeColor="text1"/>
          <w:sz w:val="25"/>
          <w:szCs w:val="25"/>
        </w:rPr>
        <w:t>’</w:t>
      </w:r>
      <w:r w:rsidRPr="00AF336A">
        <w:rPr>
          <w:color w:val="000000" w:themeColor="text1"/>
          <w:sz w:val="25"/>
          <w:szCs w:val="25"/>
        </w:rPr>
        <w:t>Unione Europea, a cui, dopo Lisbona, è stato riconosciuto lo stesso valore giuridico dei Trattati (art. 6 Trattato sull</w:t>
      </w:r>
      <w:r w:rsidR="00144DEC" w:rsidRPr="00AF336A">
        <w:rPr>
          <w:color w:val="000000" w:themeColor="text1"/>
          <w:sz w:val="25"/>
          <w:szCs w:val="25"/>
        </w:rPr>
        <w:t>’</w:t>
      </w:r>
      <w:r w:rsidRPr="00AF336A">
        <w:rPr>
          <w:color w:val="000000" w:themeColor="text1"/>
          <w:sz w:val="25"/>
          <w:szCs w:val="25"/>
        </w:rPr>
        <w:t xml:space="preserve">Unione Europea). È anche vero che, </w:t>
      </w:r>
      <w:r w:rsidR="004E2BDE" w:rsidRPr="00AF336A">
        <w:rPr>
          <w:color w:val="000000" w:themeColor="text1"/>
          <w:sz w:val="25"/>
          <w:szCs w:val="25"/>
        </w:rPr>
        <w:t xml:space="preserve">similmente alla </w:t>
      </w:r>
      <w:r w:rsidR="00882A4A" w:rsidRPr="00AF336A">
        <w:rPr>
          <w:color w:val="000000" w:themeColor="text1"/>
          <w:sz w:val="25"/>
          <w:szCs w:val="25"/>
        </w:rPr>
        <w:t>Cedu</w:t>
      </w:r>
      <w:r w:rsidRPr="00AF336A">
        <w:rPr>
          <w:color w:val="000000" w:themeColor="text1"/>
          <w:sz w:val="25"/>
          <w:szCs w:val="25"/>
        </w:rPr>
        <w:t>, l</w:t>
      </w:r>
      <w:r w:rsidR="00144DEC" w:rsidRPr="00AF336A">
        <w:rPr>
          <w:color w:val="000000" w:themeColor="text1"/>
          <w:sz w:val="25"/>
          <w:szCs w:val="25"/>
        </w:rPr>
        <w:t>’</w:t>
      </w:r>
      <w:r w:rsidRPr="00AF336A">
        <w:rPr>
          <w:color w:val="000000" w:themeColor="text1"/>
          <w:sz w:val="25"/>
          <w:szCs w:val="25"/>
        </w:rPr>
        <w:t>art. 53 CDFUE,</w:t>
      </w:r>
      <w:r w:rsidR="004E2BDE" w:rsidRPr="00AF336A">
        <w:rPr>
          <w:color w:val="000000" w:themeColor="text1"/>
          <w:sz w:val="25"/>
          <w:szCs w:val="25"/>
        </w:rPr>
        <w:t xml:space="preserve"> contiene una clausola di maggiore protezione</w:t>
      </w:r>
      <w:r w:rsidRPr="00AF336A">
        <w:rPr>
          <w:color w:val="000000" w:themeColor="text1"/>
          <w:sz w:val="25"/>
          <w:szCs w:val="25"/>
        </w:rPr>
        <w:t>, stabilendo, sia pure con una formulazione che tradisce qualche ambiguità, che “</w:t>
      </w:r>
      <w:r w:rsidRPr="00AF336A">
        <w:rPr>
          <w:i/>
          <w:iCs/>
          <w:color w:val="000000" w:themeColor="text1"/>
          <w:sz w:val="25"/>
          <w:szCs w:val="25"/>
        </w:rPr>
        <w:t>nessuna disposizione della presente C</w:t>
      </w:r>
      <w:r w:rsidR="005B240A" w:rsidRPr="00AF336A">
        <w:rPr>
          <w:i/>
          <w:iCs/>
          <w:color w:val="000000" w:themeColor="text1"/>
          <w:sz w:val="25"/>
          <w:szCs w:val="25"/>
        </w:rPr>
        <w:t>ar</w:t>
      </w:r>
      <w:r w:rsidRPr="00AF336A">
        <w:rPr>
          <w:i/>
          <w:iCs/>
          <w:color w:val="000000" w:themeColor="text1"/>
          <w:sz w:val="25"/>
          <w:szCs w:val="25"/>
        </w:rPr>
        <w:t>ta deve essere interpretata come limitativa o lesiva dei diritti dell</w:t>
      </w:r>
      <w:r w:rsidR="00144DEC" w:rsidRPr="00AF336A">
        <w:rPr>
          <w:i/>
          <w:iCs/>
          <w:color w:val="000000" w:themeColor="text1"/>
          <w:sz w:val="25"/>
          <w:szCs w:val="25"/>
        </w:rPr>
        <w:t>’</w:t>
      </w:r>
      <w:r w:rsidRPr="00AF336A">
        <w:rPr>
          <w:i/>
          <w:iCs/>
          <w:color w:val="000000" w:themeColor="text1"/>
          <w:sz w:val="25"/>
          <w:szCs w:val="25"/>
        </w:rPr>
        <w:t>uomo o delle libertà fondamentali riconosciute, nel rispettivo ambito di applicazione, dal diritto dell</w:t>
      </w:r>
      <w:r w:rsidR="00144DEC" w:rsidRPr="00AF336A">
        <w:rPr>
          <w:i/>
          <w:iCs/>
          <w:color w:val="000000" w:themeColor="text1"/>
          <w:sz w:val="25"/>
          <w:szCs w:val="25"/>
        </w:rPr>
        <w:t>’</w:t>
      </w:r>
      <w:r w:rsidRPr="00AF336A">
        <w:rPr>
          <w:i/>
          <w:iCs/>
          <w:color w:val="000000" w:themeColor="text1"/>
          <w:sz w:val="25"/>
          <w:szCs w:val="25"/>
        </w:rPr>
        <w:t>Unione, dal diritto intern</w:t>
      </w:r>
      <w:r w:rsidR="00183837" w:rsidRPr="00AF336A">
        <w:rPr>
          <w:i/>
          <w:iCs/>
          <w:color w:val="000000" w:themeColor="text1"/>
          <w:sz w:val="25"/>
          <w:szCs w:val="25"/>
        </w:rPr>
        <w:t>a</w:t>
      </w:r>
      <w:r w:rsidRPr="00AF336A">
        <w:rPr>
          <w:i/>
          <w:iCs/>
          <w:color w:val="000000" w:themeColor="text1"/>
          <w:sz w:val="25"/>
          <w:szCs w:val="25"/>
        </w:rPr>
        <w:t>zionale, dalle convenzioni internazionali delle quali l</w:t>
      </w:r>
      <w:r w:rsidR="00144DEC" w:rsidRPr="00AF336A">
        <w:rPr>
          <w:i/>
          <w:iCs/>
          <w:color w:val="000000" w:themeColor="text1"/>
          <w:sz w:val="25"/>
          <w:szCs w:val="25"/>
        </w:rPr>
        <w:t>’</w:t>
      </w:r>
      <w:r w:rsidRPr="00AF336A">
        <w:rPr>
          <w:i/>
          <w:iCs/>
          <w:color w:val="000000" w:themeColor="text1"/>
          <w:sz w:val="25"/>
          <w:szCs w:val="25"/>
        </w:rPr>
        <w:t>Unione o tutti gli Stati membri sono parte</w:t>
      </w:r>
      <w:r w:rsidRPr="00AF336A">
        <w:rPr>
          <w:color w:val="000000" w:themeColor="text1"/>
          <w:sz w:val="25"/>
          <w:szCs w:val="25"/>
        </w:rPr>
        <w:t xml:space="preserve">”. </w:t>
      </w:r>
    </w:p>
    <w:p w14:paraId="6FB5371F" w14:textId="5EE23FF2" w:rsidR="00164D07" w:rsidRPr="00AF336A" w:rsidRDefault="00B104D3" w:rsidP="00144DEC">
      <w:pPr>
        <w:spacing w:after="0" w:line="240" w:lineRule="auto"/>
        <w:ind w:firstLine="454"/>
        <w:jc w:val="both"/>
        <w:rPr>
          <w:color w:val="000000" w:themeColor="text1"/>
          <w:sz w:val="25"/>
          <w:szCs w:val="25"/>
        </w:rPr>
      </w:pPr>
      <w:r w:rsidRPr="00AF336A">
        <w:rPr>
          <w:color w:val="000000" w:themeColor="text1"/>
          <w:sz w:val="25"/>
          <w:szCs w:val="25"/>
        </w:rPr>
        <w:t>In realtà, quindi, se</w:t>
      </w:r>
      <w:r w:rsidR="005E7EBB" w:rsidRPr="00AF336A">
        <w:rPr>
          <w:color w:val="000000" w:themeColor="text1"/>
          <w:sz w:val="25"/>
          <w:szCs w:val="25"/>
        </w:rPr>
        <w:t>,</w:t>
      </w:r>
      <w:r w:rsidRPr="00AF336A">
        <w:rPr>
          <w:color w:val="000000" w:themeColor="text1"/>
          <w:sz w:val="25"/>
          <w:szCs w:val="25"/>
        </w:rPr>
        <w:t xml:space="preserve"> da un lato</w:t>
      </w:r>
      <w:r w:rsidR="005E7EBB" w:rsidRPr="00AF336A">
        <w:rPr>
          <w:color w:val="000000" w:themeColor="text1"/>
          <w:sz w:val="25"/>
          <w:szCs w:val="25"/>
        </w:rPr>
        <w:t>,</w:t>
      </w:r>
      <w:r w:rsidRPr="00AF336A">
        <w:rPr>
          <w:color w:val="000000" w:themeColor="text1"/>
          <w:sz w:val="25"/>
          <w:szCs w:val="25"/>
        </w:rPr>
        <w:t xml:space="preserve"> la Carta non </w:t>
      </w:r>
      <w:r w:rsidR="004E2BDE" w:rsidRPr="00AF336A">
        <w:rPr>
          <w:color w:val="000000" w:themeColor="text1"/>
          <w:sz w:val="25"/>
          <w:szCs w:val="25"/>
        </w:rPr>
        <w:t>pregiudica una possibilità di maggior tutela offerta dalle costituzioni nazionali</w:t>
      </w:r>
      <w:r w:rsidR="00164D07" w:rsidRPr="00AF336A">
        <w:rPr>
          <w:color w:val="000000" w:themeColor="text1"/>
          <w:sz w:val="25"/>
          <w:szCs w:val="25"/>
        </w:rPr>
        <w:t>,</w:t>
      </w:r>
      <w:r w:rsidR="004E2BDE" w:rsidRPr="00AF336A">
        <w:rPr>
          <w:color w:val="000000" w:themeColor="text1"/>
          <w:sz w:val="25"/>
          <w:szCs w:val="25"/>
        </w:rPr>
        <w:t xml:space="preserve"> </w:t>
      </w:r>
      <w:r w:rsidRPr="00AF336A">
        <w:rPr>
          <w:color w:val="000000" w:themeColor="text1"/>
          <w:sz w:val="25"/>
          <w:szCs w:val="25"/>
        </w:rPr>
        <w:t>dall</w:t>
      </w:r>
      <w:r w:rsidR="00144DEC" w:rsidRPr="00AF336A">
        <w:rPr>
          <w:color w:val="000000" w:themeColor="text1"/>
          <w:sz w:val="25"/>
          <w:szCs w:val="25"/>
        </w:rPr>
        <w:t>’</w:t>
      </w:r>
      <w:r w:rsidRPr="00AF336A">
        <w:rPr>
          <w:color w:val="000000" w:themeColor="text1"/>
          <w:sz w:val="25"/>
          <w:szCs w:val="25"/>
        </w:rPr>
        <w:t xml:space="preserve">altro, </w:t>
      </w:r>
      <w:r w:rsidR="004E2BDE" w:rsidRPr="00AF336A">
        <w:rPr>
          <w:color w:val="000000" w:themeColor="text1"/>
          <w:sz w:val="25"/>
          <w:szCs w:val="25"/>
        </w:rPr>
        <w:t>però</w:t>
      </w:r>
      <w:r w:rsidRPr="00AF336A">
        <w:rPr>
          <w:color w:val="000000" w:themeColor="text1"/>
          <w:sz w:val="25"/>
          <w:szCs w:val="25"/>
        </w:rPr>
        <w:t>,</w:t>
      </w:r>
      <w:r w:rsidR="004E2BDE" w:rsidRPr="00AF336A">
        <w:rPr>
          <w:color w:val="000000" w:themeColor="text1"/>
          <w:sz w:val="25"/>
          <w:szCs w:val="25"/>
        </w:rPr>
        <w:t xml:space="preserve"> poi aggiunge </w:t>
      </w:r>
      <w:r w:rsidR="00164D07" w:rsidRPr="00AF336A">
        <w:rPr>
          <w:color w:val="000000" w:themeColor="text1"/>
          <w:sz w:val="25"/>
          <w:szCs w:val="25"/>
        </w:rPr>
        <w:t>“</w:t>
      </w:r>
      <w:r w:rsidR="004E2BDE" w:rsidRPr="00AF336A">
        <w:rPr>
          <w:i/>
          <w:color w:val="000000" w:themeColor="text1"/>
          <w:sz w:val="25"/>
          <w:szCs w:val="25"/>
        </w:rPr>
        <w:t>ciascuna nel proprio ambito di applicazione</w:t>
      </w:r>
      <w:r w:rsidR="00164D07" w:rsidRPr="00AF336A">
        <w:rPr>
          <w:color w:val="000000" w:themeColor="text1"/>
          <w:sz w:val="25"/>
          <w:szCs w:val="25"/>
        </w:rPr>
        <w:t>”.</w:t>
      </w:r>
    </w:p>
    <w:p w14:paraId="57B8576B" w14:textId="42B2593D" w:rsidR="00B613A8" w:rsidRPr="00AF336A" w:rsidRDefault="00164D07" w:rsidP="00144DEC">
      <w:pPr>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 xml:space="preserve">Il </w:t>
      </w:r>
      <w:r w:rsidR="004E2BDE" w:rsidRPr="00AF336A">
        <w:rPr>
          <w:color w:val="000000" w:themeColor="text1"/>
          <w:sz w:val="25"/>
          <w:szCs w:val="25"/>
        </w:rPr>
        <w:t xml:space="preserve">problema è </w:t>
      </w:r>
      <w:r w:rsidRPr="00AF336A">
        <w:rPr>
          <w:color w:val="000000" w:themeColor="text1"/>
          <w:sz w:val="25"/>
          <w:szCs w:val="25"/>
        </w:rPr>
        <w:t>proprio questo</w:t>
      </w:r>
      <w:r w:rsidR="00B104D3" w:rsidRPr="00AF336A">
        <w:rPr>
          <w:color w:val="000000" w:themeColor="text1"/>
          <w:sz w:val="25"/>
          <w:szCs w:val="25"/>
        </w:rPr>
        <w:t>:</w:t>
      </w:r>
      <w:r w:rsidRPr="00AF336A">
        <w:rPr>
          <w:color w:val="000000" w:themeColor="text1"/>
          <w:sz w:val="25"/>
          <w:szCs w:val="25"/>
        </w:rPr>
        <w:t xml:space="preserve"> </w:t>
      </w:r>
      <w:r w:rsidR="00B104D3" w:rsidRPr="00AF336A">
        <w:rPr>
          <w:color w:val="000000" w:themeColor="text1"/>
          <w:sz w:val="25"/>
          <w:szCs w:val="25"/>
        </w:rPr>
        <w:t>ossia</w:t>
      </w:r>
      <w:r w:rsidRPr="00AF336A">
        <w:rPr>
          <w:color w:val="000000" w:themeColor="text1"/>
          <w:sz w:val="25"/>
          <w:szCs w:val="25"/>
        </w:rPr>
        <w:t xml:space="preserve"> che</w:t>
      </w:r>
      <w:r w:rsidR="004E2BDE" w:rsidRPr="00AF336A">
        <w:rPr>
          <w:color w:val="000000" w:themeColor="text1"/>
          <w:sz w:val="25"/>
          <w:szCs w:val="25"/>
        </w:rPr>
        <w:t xml:space="preserve"> il diritto </w:t>
      </w:r>
      <w:r w:rsidR="00B104D3" w:rsidRPr="00AF336A">
        <w:rPr>
          <w:color w:val="000000" w:themeColor="text1"/>
          <w:sz w:val="25"/>
          <w:szCs w:val="25"/>
        </w:rPr>
        <w:t>dell</w:t>
      </w:r>
      <w:r w:rsidR="00144DEC" w:rsidRPr="00AF336A">
        <w:rPr>
          <w:color w:val="000000" w:themeColor="text1"/>
          <w:sz w:val="25"/>
          <w:szCs w:val="25"/>
        </w:rPr>
        <w:t>’</w:t>
      </w:r>
      <w:r w:rsidR="00B104D3" w:rsidRPr="00AF336A">
        <w:rPr>
          <w:color w:val="000000" w:themeColor="text1"/>
          <w:sz w:val="25"/>
          <w:szCs w:val="25"/>
        </w:rPr>
        <w:t>Unione</w:t>
      </w:r>
      <w:r w:rsidR="004E2BDE" w:rsidRPr="00AF336A">
        <w:rPr>
          <w:color w:val="000000" w:themeColor="text1"/>
          <w:sz w:val="25"/>
          <w:szCs w:val="25"/>
        </w:rPr>
        <w:t xml:space="preserve"> non è un ordinamento che ha come scopo esclusivo la tutela dei diritti fondamentali</w:t>
      </w:r>
      <w:r w:rsidR="00B104D3" w:rsidRPr="00AF336A">
        <w:rPr>
          <w:color w:val="000000" w:themeColor="text1"/>
          <w:sz w:val="25"/>
          <w:szCs w:val="25"/>
        </w:rPr>
        <w:t xml:space="preserve"> (che rappresenta, </w:t>
      </w:r>
      <w:r w:rsidR="004E2BDE" w:rsidRPr="00AF336A">
        <w:rPr>
          <w:color w:val="000000" w:themeColor="text1"/>
          <w:sz w:val="25"/>
          <w:szCs w:val="25"/>
        </w:rPr>
        <w:t>anzi</w:t>
      </w:r>
      <w:r w:rsidR="00B104D3" w:rsidRPr="00AF336A">
        <w:rPr>
          <w:color w:val="000000" w:themeColor="text1"/>
          <w:sz w:val="25"/>
          <w:szCs w:val="25"/>
        </w:rPr>
        <w:t>, un</w:t>
      </w:r>
      <w:r w:rsidR="00144DEC" w:rsidRPr="00AF336A">
        <w:rPr>
          <w:color w:val="000000" w:themeColor="text1"/>
          <w:sz w:val="25"/>
          <w:szCs w:val="25"/>
        </w:rPr>
        <w:t>’</w:t>
      </w:r>
      <w:r w:rsidR="00B104D3" w:rsidRPr="00AF336A">
        <w:rPr>
          <w:color w:val="000000" w:themeColor="text1"/>
          <w:sz w:val="25"/>
          <w:szCs w:val="25"/>
        </w:rPr>
        <w:t>acquisizione relativamente recente)</w:t>
      </w:r>
      <w:r w:rsidR="005E7EBB" w:rsidRPr="00AF336A">
        <w:rPr>
          <w:color w:val="000000" w:themeColor="text1"/>
          <w:sz w:val="25"/>
          <w:szCs w:val="25"/>
        </w:rPr>
        <w:t>,</w:t>
      </w:r>
      <w:r w:rsidR="00B104D3" w:rsidRPr="00AF336A">
        <w:rPr>
          <w:color w:val="000000" w:themeColor="text1"/>
          <w:sz w:val="25"/>
          <w:szCs w:val="25"/>
        </w:rPr>
        <w:t xml:space="preserve"> </w:t>
      </w:r>
      <w:r w:rsidRPr="00AF336A">
        <w:rPr>
          <w:color w:val="000000" w:themeColor="text1"/>
          <w:sz w:val="25"/>
          <w:szCs w:val="25"/>
        </w:rPr>
        <w:t>ma</w:t>
      </w:r>
      <w:r w:rsidR="004E2BDE" w:rsidRPr="00AF336A">
        <w:rPr>
          <w:color w:val="000000" w:themeColor="text1"/>
          <w:sz w:val="25"/>
          <w:szCs w:val="25"/>
        </w:rPr>
        <w:t xml:space="preserve"> è un ordinamento che disciplina ambiti materiali</w:t>
      </w:r>
      <w:r w:rsidR="00B104D3" w:rsidRPr="00AF336A">
        <w:rPr>
          <w:color w:val="000000" w:themeColor="text1"/>
          <w:sz w:val="25"/>
          <w:szCs w:val="25"/>
        </w:rPr>
        <w:t>, fattispecie concrete, e ha fatto dei diritti fondamentali un proprio limite, cercando in tal modo anche di europeizzare i</w:t>
      </w:r>
      <w:r w:rsidR="005B240A" w:rsidRPr="00AF336A">
        <w:rPr>
          <w:color w:val="000000" w:themeColor="text1"/>
          <w:sz w:val="25"/>
          <w:szCs w:val="25"/>
        </w:rPr>
        <w:t xml:space="preserve"> </w:t>
      </w:r>
      <w:r w:rsidR="00B104D3" w:rsidRPr="00AF336A">
        <w:rPr>
          <w:color w:val="000000" w:themeColor="text1"/>
          <w:sz w:val="25"/>
          <w:szCs w:val="25"/>
        </w:rPr>
        <w:t xml:space="preserve">c.d. controlimiti, per accentrarne il controllo </w:t>
      </w:r>
      <w:r w:rsidR="00B613A8" w:rsidRPr="00AF336A">
        <w:rPr>
          <w:color w:val="000000" w:themeColor="text1"/>
          <w:sz w:val="25"/>
          <w:szCs w:val="25"/>
        </w:rPr>
        <w:t>(oltre all</w:t>
      </w:r>
      <w:r w:rsidR="00144DEC" w:rsidRPr="00AF336A">
        <w:rPr>
          <w:color w:val="000000" w:themeColor="text1"/>
          <w:sz w:val="25"/>
          <w:szCs w:val="25"/>
        </w:rPr>
        <w:t>’</w:t>
      </w:r>
      <w:r w:rsidR="00B613A8" w:rsidRPr="00AF336A">
        <w:rPr>
          <w:color w:val="000000" w:themeColor="text1"/>
          <w:sz w:val="25"/>
          <w:szCs w:val="25"/>
        </w:rPr>
        <w:t>art. 6 TUE, che attribuisce alla CDFUE il valore dei trattati, l</w:t>
      </w:r>
      <w:r w:rsidR="00144DEC" w:rsidRPr="00AF336A">
        <w:rPr>
          <w:color w:val="000000" w:themeColor="text1"/>
          <w:sz w:val="25"/>
          <w:szCs w:val="25"/>
        </w:rPr>
        <w:t>’</w:t>
      </w:r>
      <w:r w:rsidR="00B613A8" w:rsidRPr="00AF336A">
        <w:rPr>
          <w:color w:val="000000" w:themeColor="text1"/>
          <w:sz w:val="25"/>
          <w:szCs w:val="25"/>
        </w:rPr>
        <w:t>art. 4 TUE richiama la “clausola dell</w:t>
      </w:r>
      <w:r w:rsidR="00144DEC" w:rsidRPr="00AF336A">
        <w:rPr>
          <w:color w:val="000000" w:themeColor="text1"/>
          <w:sz w:val="25"/>
          <w:szCs w:val="25"/>
        </w:rPr>
        <w:t>’</w:t>
      </w:r>
      <w:r w:rsidR="00B613A8" w:rsidRPr="00AF336A">
        <w:rPr>
          <w:color w:val="000000" w:themeColor="text1"/>
          <w:sz w:val="25"/>
          <w:szCs w:val="25"/>
        </w:rPr>
        <w:t>identità costituzionale degli Stati” e l</w:t>
      </w:r>
      <w:r w:rsidR="00144DEC" w:rsidRPr="00AF336A">
        <w:rPr>
          <w:color w:val="000000" w:themeColor="text1"/>
          <w:sz w:val="25"/>
          <w:szCs w:val="25"/>
        </w:rPr>
        <w:t>’</w:t>
      </w:r>
      <w:r w:rsidR="00B613A8" w:rsidRPr="00AF336A">
        <w:rPr>
          <w:color w:val="000000" w:themeColor="text1"/>
          <w:sz w:val="25"/>
          <w:szCs w:val="25"/>
        </w:rPr>
        <w:t>art. 6 il “</w:t>
      </w:r>
      <w:proofErr w:type="spellStart"/>
      <w:r w:rsidR="00B613A8" w:rsidRPr="00AF336A">
        <w:rPr>
          <w:i/>
          <w:iCs/>
          <w:color w:val="000000" w:themeColor="text1"/>
          <w:sz w:val="25"/>
          <w:szCs w:val="25"/>
        </w:rPr>
        <w:t>nec</w:t>
      </w:r>
      <w:proofErr w:type="spellEnd"/>
      <w:r w:rsidR="00B613A8" w:rsidRPr="00AF336A">
        <w:rPr>
          <w:i/>
          <w:iCs/>
          <w:color w:val="000000" w:themeColor="text1"/>
          <w:sz w:val="25"/>
          <w:szCs w:val="25"/>
        </w:rPr>
        <w:t xml:space="preserve"> ultra </w:t>
      </w:r>
      <w:proofErr w:type="spellStart"/>
      <w:r w:rsidR="00B613A8" w:rsidRPr="00AF336A">
        <w:rPr>
          <w:i/>
          <w:iCs/>
          <w:color w:val="000000" w:themeColor="text1"/>
          <w:sz w:val="25"/>
          <w:szCs w:val="25"/>
        </w:rPr>
        <w:t>vires</w:t>
      </w:r>
      <w:proofErr w:type="spellEnd"/>
      <w:r w:rsidR="00B613A8" w:rsidRPr="00AF336A">
        <w:rPr>
          <w:color w:val="000000" w:themeColor="text1"/>
          <w:sz w:val="25"/>
          <w:szCs w:val="25"/>
        </w:rPr>
        <w:t>”).</w:t>
      </w:r>
      <w:r w:rsidR="00B104D3" w:rsidRPr="00B104D3">
        <w:rPr>
          <w:rFonts w:eastAsia="Times New Roman"/>
          <w:color w:val="000000" w:themeColor="text1"/>
          <w:sz w:val="25"/>
          <w:szCs w:val="25"/>
          <w:lang w:eastAsia="it-IT"/>
        </w:rPr>
        <w:t xml:space="preserve"> </w:t>
      </w:r>
    </w:p>
    <w:p w14:paraId="1FB18B38" w14:textId="01B1745A" w:rsidR="00B613A8" w:rsidRPr="00AF336A" w:rsidRDefault="00B613A8" w:rsidP="00144DEC">
      <w:pPr>
        <w:pStyle w:val="NormaleWeb"/>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In altri termini, ordinamento nazionale e ordinamento dell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U.E.</w:t>
      </w:r>
      <w:r w:rsidR="00B104D3" w:rsidRPr="00B104D3">
        <w:rPr>
          <w:rFonts w:eastAsia="Times New Roman"/>
          <w:color w:val="000000" w:themeColor="text1"/>
          <w:sz w:val="25"/>
          <w:szCs w:val="25"/>
          <w:lang w:eastAsia="it-IT"/>
        </w:rPr>
        <w:t xml:space="preserve"> concorrono nel governo di varie fattispecie, secondo una serie potenzialmente infinita di schemi normativ</w:t>
      </w:r>
      <w:r w:rsidRPr="00AF336A">
        <w:rPr>
          <w:rFonts w:eastAsia="Times New Roman"/>
          <w:color w:val="000000" w:themeColor="text1"/>
          <w:sz w:val="25"/>
          <w:szCs w:val="25"/>
          <w:lang w:eastAsia="it-IT"/>
        </w:rPr>
        <w:t>i</w:t>
      </w:r>
      <w:r w:rsidR="005E7EBB" w:rsidRPr="00AF336A">
        <w:rPr>
          <w:rStyle w:val="Rimandonotaapidipagina"/>
          <w:rFonts w:eastAsia="Times New Roman"/>
          <w:color w:val="000000" w:themeColor="text1"/>
          <w:sz w:val="25"/>
          <w:szCs w:val="25"/>
          <w:lang w:eastAsia="it-IT"/>
        </w:rPr>
        <w:footnoteReference w:id="15"/>
      </w:r>
      <w:r w:rsidR="005E7EBB" w:rsidRPr="00AF336A">
        <w:rPr>
          <w:rFonts w:eastAsia="Times New Roman"/>
          <w:color w:val="000000" w:themeColor="text1"/>
          <w:sz w:val="25"/>
          <w:szCs w:val="25"/>
          <w:lang w:eastAsia="it-IT"/>
        </w:rPr>
        <w:t xml:space="preserve">. </w:t>
      </w:r>
      <w:r w:rsidR="00256BBA" w:rsidRPr="00AF336A">
        <w:rPr>
          <w:rFonts w:eastAsia="Times New Roman"/>
          <w:color w:val="000000" w:themeColor="text1"/>
          <w:sz w:val="25"/>
          <w:szCs w:val="25"/>
          <w:lang w:eastAsia="it-IT"/>
        </w:rPr>
        <w:t xml:space="preserve">Ed è proprio per questo che </w:t>
      </w:r>
      <w:r w:rsidRPr="00AF336A">
        <w:rPr>
          <w:rFonts w:eastAsia="Times New Roman"/>
          <w:color w:val="000000" w:themeColor="text1"/>
          <w:sz w:val="25"/>
          <w:szCs w:val="25"/>
          <w:lang w:eastAsia="it-IT"/>
        </w:rPr>
        <w:t>il criterio della protezione pi</w:t>
      </w:r>
      <w:r w:rsidR="00F5177A" w:rsidRPr="00AF336A">
        <w:rPr>
          <w:rFonts w:eastAsia="Times New Roman"/>
          <w:color w:val="000000" w:themeColor="text1"/>
          <w:sz w:val="25"/>
          <w:szCs w:val="25"/>
          <w:lang w:eastAsia="it-IT"/>
        </w:rPr>
        <w:t>ù</w:t>
      </w:r>
      <w:r w:rsidRPr="00AF336A">
        <w:rPr>
          <w:rFonts w:eastAsia="Times New Roman"/>
          <w:color w:val="000000" w:themeColor="text1"/>
          <w:sz w:val="25"/>
          <w:szCs w:val="25"/>
          <w:lang w:eastAsia="it-IT"/>
        </w:rPr>
        <w:t xml:space="preserve"> estesa risulti strutturalmente inidoneo a governare i rapporti fra sistema europeo e sistemi nazionali di tutela dei diritti fondamentali. La sua applicazione, infatti, consentirebbe ai giudici nazionali di applicare il proprio sistema di tutela dei diritti fondamentali anche a norme nazionali strumentali rispetto all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applicazione del diritto europeo, alla sola condizione che sia possibile desumere da tale sistema un livello di tutela superiore rispetto a quello assicurato nell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ordinamento europeo. In altri termini,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applicazione del meccanismo della protezione pi</w:t>
      </w:r>
      <w:r w:rsidR="005B240A" w:rsidRPr="00AF336A">
        <w:rPr>
          <w:rFonts w:eastAsia="Times New Roman"/>
          <w:color w:val="000000" w:themeColor="text1"/>
          <w:sz w:val="25"/>
          <w:szCs w:val="25"/>
          <w:lang w:eastAsia="it-IT"/>
        </w:rPr>
        <w:t>ù</w:t>
      </w:r>
      <w:r w:rsidRPr="00AF336A">
        <w:rPr>
          <w:rFonts w:eastAsia="Times New Roman"/>
          <w:color w:val="000000" w:themeColor="text1"/>
          <w:sz w:val="25"/>
          <w:szCs w:val="25"/>
          <w:lang w:eastAsia="it-IT"/>
        </w:rPr>
        <w:t xml:space="preserve"> estesa finirebbe con il frammentare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unitariet</w:t>
      </w:r>
      <w:r w:rsidR="005E7EBB" w:rsidRPr="00AF336A">
        <w:rPr>
          <w:rFonts w:eastAsia="Times New Roman"/>
          <w:color w:val="000000" w:themeColor="text1"/>
          <w:sz w:val="25"/>
          <w:szCs w:val="25"/>
          <w:lang w:eastAsia="it-IT"/>
        </w:rPr>
        <w:t>à</w:t>
      </w:r>
      <w:r w:rsidRPr="00AF336A">
        <w:rPr>
          <w:rFonts w:eastAsia="Times New Roman"/>
          <w:color w:val="000000" w:themeColor="text1"/>
          <w:sz w:val="25"/>
          <w:szCs w:val="25"/>
          <w:lang w:eastAsia="it-IT"/>
        </w:rPr>
        <w:t xml:space="preserve"> del parametro di validit</w:t>
      </w:r>
      <w:r w:rsidR="00F5177A" w:rsidRPr="00AF336A">
        <w:rPr>
          <w:rFonts w:eastAsia="Times New Roman"/>
          <w:color w:val="000000" w:themeColor="text1"/>
          <w:sz w:val="25"/>
          <w:szCs w:val="25"/>
          <w:lang w:eastAsia="it-IT"/>
        </w:rPr>
        <w:t>à</w:t>
      </w:r>
      <w:r w:rsidRPr="00AF336A">
        <w:rPr>
          <w:rFonts w:eastAsia="Times New Roman"/>
          <w:color w:val="000000" w:themeColor="text1"/>
          <w:sz w:val="25"/>
          <w:szCs w:val="25"/>
          <w:lang w:eastAsia="it-IT"/>
        </w:rPr>
        <w:t xml:space="preserve"> della normativa europea e di quella nazionale ad essa «collegata», in relazione al contenuto pi</w:t>
      </w:r>
      <w:r w:rsidR="00F5177A" w:rsidRPr="00AF336A">
        <w:rPr>
          <w:rFonts w:eastAsia="Times New Roman"/>
          <w:color w:val="000000" w:themeColor="text1"/>
          <w:sz w:val="25"/>
          <w:szCs w:val="25"/>
          <w:lang w:eastAsia="it-IT"/>
        </w:rPr>
        <w:t>ù</w:t>
      </w:r>
      <w:r w:rsidRPr="00AF336A">
        <w:rPr>
          <w:rFonts w:eastAsia="Times New Roman"/>
          <w:color w:val="000000" w:themeColor="text1"/>
          <w:sz w:val="25"/>
          <w:szCs w:val="25"/>
          <w:lang w:eastAsia="it-IT"/>
        </w:rPr>
        <w:t xml:space="preserve"> o meno intenso di tutela dei diritti fondamentali assicurato in ciascuno degli Stati m</w:t>
      </w:r>
      <w:r w:rsidR="00256BBA" w:rsidRPr="00AF336A">
        <w:rPr>
          <w:rFonts w:eastAsia="Times New Roman"/>
          <w:color w:val="000000" w:themeColor="text1"/>
          <w:sz w:val="25"/>
          <w:szCs w:val="25"/>
          <w:lang w:eastAsia="it-IT"/>
        </w:rPr>
        <w:t xml:space="preserve">embri. </w:t>
      </w:r>
    </w:p>
    <w:p w14:paraId="0D46F345" w14:textId="77777777" w:rsidR="008A1A1D" w:rsidRPr="00AF336A" w:rsidRDefault="00256BBA" w:rsidP="00144DEC">
      <w:pPr>
        <w:spacing w:after="0" w:line="240" w:lineRule="auto"/>
        <w:ind w:firstLine="454"/>
        <w:jc w:val="both"/>
        <w:rPr>
          <w:color w:val="000000" w:themeColor="text1"/>
          <w:sz w:val="25"/>
          <w:szCs w:val="25"/>
        </w:rPr>
      </w:pPr>
      <w:r w:rsidRPr="00AF336A">
        <w:rPr>
          <w:color w:val="000000" w:themeColor="text1"/>
          <w:sz w:val="25"/>
          <w:szCs w:val="25"/>
        </w:rPr>
        <w:t xml:space="preserve">Ne deriva che </w:t>
      </w:r>
      <w:r w:rsidR="004E2BDE" w:rsidRPr="00AF336A">
        <w:rPr>
          <w:color w:val="000000" w:themeColor="text1"/>
          <w:sz w:val="25"/>
          <w:szCs w:val="25"/>
        </w:rPr>
        <w:t>su quelle materie in cui il diri</w:t>
      </w:r>
      <w:r w:rsidR="00164D07" w:rsidRPr="00AF336A">
        <w:rPr>
          <w:color w:val="000000" w:themeColor="text1"/>
          <w:sz w:val="25"/>
          <w:szCs w:val="25"/>
        </w:rPr>
        <w:t xml:space="preserve">tto </w:t>
      </w:r>
      <w:proofErr w:type="spellStart"/>
      <w:r w:rsidR="00B613A8" w:rsidRPr="00AF336A">
        <w:rPr>
          <w:color w:val="000000" w:themeColor="text1"/>
          <w:sz w:val="25"/>
          <w:szCs w:val="25"/>
        </w:rPr>
        <w:t>unionale</w:t>
      </w:r>
      <w:proofErr w:type="spellEnd"/>
      <w:r w:rsidR="00164D07" w:rsidRPr="00AF336A">
        <w:rPr>
          <w:color w:val="000000" w:themeColor="text1"/>
          <w:sz w:val="25"/>
          <w:szCs w:val="25"/>
        </w:rPr>
        <w:t xml:space="preserve"> ha la competenza, </w:t>
      </w:r>
      <w:r w:rsidR="00B613A8" w:rsidRPr="00AF336A">
        <w:rPr>
          <w:color w:val="000000" w:themeColor="text1"/>
          <w:sz w:val="25"/>
          <w:szCs w:val="25"/>
        </w:rPr>
        <w:t>il relativo</w:t>
      </w:r>
      <w:r w:rsidR="004E2BDE" w:rsidRPr="00AF336A">
        <w:rPr>
          <w:color w:val="000000" w:themeColor="text1"/>
          <w:sz w:val="25"/>
          <w:szCs w:val="25"/>
        </w:rPr>
        <w:t xml:space="preserve"> sistema di tutela dei diritti fondamentali non si pone</w:t>
      </w:r>
      <w:r w:rsidR="00164D07" w:rsidRPr="00AF336A">
        <w:rPr>
          <w:color w:val="000000" w:themeColor="text1"/>
          <w:sz w:val="25"/>
          <w:szCs w:val="25"/>
        </w:rPr>
        <w:t xml:space="preserve"> </w:t>
      </w:r>
      <w:r w:rsidR="00B613A8" w:rsidRPr="00AF336A">
        <w:rPr>
          <w:color w:val="000000" w:themeColor="text1"/>
          <w:sz w:val="25"/>
          <w:szCs w:val="25"/>
        </w:rPr>
        <w:t xml:space="preserve">(a differenza della CEDU) </w:t>
      </w:r>
      <w:r w:rsidR="00164D07" w:rsidRPr="00AF336A">
        <w:rPr>
          <w:color w:val="000000" w:themeColor="text1"/>
          <w:sz w:val="25"/>
          <w:szCs w:val="25"/>
        </w:rPr>
        <w:t xml:space="preserve">come complementare </w:t>
      </w:r>
      <w:r w:rsidR="004851C7" w:rsidRPr="00AF336A">
        <w:rPr>
          <w:color w:val="000000" w:themeColor="text1"/>
          <w:sz w:val="25"/>
          <w:szCs w:val="25"/>
        </w:rPr>
        <w:t xml:space="preserve">e </w:t>
      </w:r>
      <w:r w:rsidR="00164D07" w:rsidRPr="00AF336A">
        <w:rPr>
          <w:color w:val="000000" w:themeColor="text1"/>
          <w:sz w:val="25"/>
          <w:szCs w:val="25"/>
        </w:rPr>
        <w:t>concorrente</w:t>
      </w:r>
      <w:r w:rsidR="00B613A8" w:rsidRPr="00AF336A">
        <w:rPr>
          <w:color w:val="000000" w:themeColor="text1"/>
          <w:sz w:val="25"/>
          <w:szCs w:val="25"/>
        </w:rPr>
        <w:t xml:space="preserve"> rispetto a quello degli Stat</w:t>
      </w:r>
      <w:r w:rsidRPr="00AF336A">
        <w:rPr>
          <w:color w:val="000000" w:themeColor="text1"/>
          <w:sz w:val="25"/>
          <w:szCs w:val="25"/>
        </w:rPr>
        <w:t xml:space="preserve">i, </w:t>
      </w:r>
      <w:r w:rsidR="00B613A8" w:rsidRPr="00AF336A">
        <w:rPr>
          <w:color w:val="000000" w:themeColor="text1"/>
          <w:sz w:val="25"/>
          <w:szCs w:val="25"/>
        </w:rPr>
        <w:t>i</w:t>
      </w:r>
      <w:r w:rsidR="00164D07" w:rsidRPr="00AF336A">
        <w:rPr>
          <w:color w:val="000000" w:themeColor="text1"/>
          <w:sz w:val="25"/>
          <w:szCs w:val="25"/>
        </w:rPr>
        <w:t>ma</w:t>
      </w:r>
      <w:r w:rsidR="004E2BDE" w:rsidRPr="00AF336A">
        <w:rPr>
          <w:color w:val="000000" w:themeColor="text1"/>
          <w:sz w:val="25"/>
          <w:szCs w:val="25"/>
        </w:rPr>
        <w:t xml:space="preserve"> si pone come un sistema di tutela tendenzialmente </w:t>
      </w:r>
      <w:r w:rsidR="00164D07" w:rsidRPr="00AF336A">
        <w:rPr>
          <w:color w:val="000000" w:themeColor="text1"/>
          <w:sz w:val="25"/>
          <w:szCs w:val="25"/>
        </w:rPr>
        <w:t>escludente</w:t>
      </w:r>
      <w:r w:rsidR="00B613A8" w:rsidRPr="00AF336A">
        <w:rPr>
          <w:color w:val="000000" w:themeColor="text1"/>
          <w:sz w:val="25"/>
          <w:szCs w:val="25"/>
        </w:rPr>
        <w:t xml:space="preserve">. </w:t>
      </w:r>
    </w:p>
    <w:p w14:paraId="05CE333B" w14:textId="6369D518" w:rsidR="008A1A1D" w:rsidRPr="008A1A1D" w:rsidRDefault="008A1A1D" w:rsidP="00144DEC">
      <w:pPr>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Questo la CGUE lo afferma chiaramente nella nota</w:t>
      </w:r>
      <w:r w:rsidRPr="008A1A1D">
        <w:rPr>
          <w:rFonts w:eastAsia="Times New Roman"/>
          <w:color w:val="000000" w:themeColor="text1"/>
          <w:sz w:val="25"/>
          <w:szCs w:val="25"/>
          <w:lang w:eastAsia="it-IT"/>
        </w:rPr>
        <w:t xml:space="preserve"> sentenza </w:t>
      </w:r>
      <w:r w:rsidRPr="008A1A1D">
        <w:rPr>
          <w:rFonts w:eastAsia="Times New Roman"/>
          <w:i/>
          <w:iCs/>
          <w:color w:val="000000" w:themeColor="text1"/>
          <w:sz w:val="25"/>
          <w:szCs w:val="25"/>
          <w:lang w:eastAsia="it-IT"/>
        </w:rPr>
        <w:t>Melloni</w:t>
      </w:r>
      <w:r w:rsidRPr="008A1A1D">
        <w:rPr>
          <w:rFonts w:eastAsia="Times New Roman"/>
          <w:color w:val="000000" w:themeColor="text1"/>
          <w:sz w:val="25"/>
          <w:szCs w:val="25"/>
          <w:lang w:eastAsia="it-IT"/>
        </w:rPr>
        <w:t>,</w:t>
      </w:r>
      <w:r w:rsidRPr="00AF336A">
        <w:rPr>
          <w:rFonts w:eastAsia="Times New Roman"/>
          <w:color w:val="000000" w:themeColor="text1"/>
          <w:sz w:val="25"/>
          <w:szCs w:val="25"/>
          <w:lang w:eastAsia="it-IT"/>
        </w:rPr>
        <w:t xml:space="preserve"> in cui precisa</w:t>
      </w:r>
      <w:r w:rsidRPr="008A1A1D">
        <w:rPr>
          <w:rFonts w:eastAsia="Times New Roman"/>
          <w:color w:val="000000" w:themeColor="text1"/>
          <w:sz w:val="25"/>
          <w:szCs w:val="25"/>
          <w:lang w:eastAsia="it-IT"/>
        </w:rPr>
        <w:t xml:space="preserve"> che </w:t>
      </w:r>
      <w:r w:rsidR="00F5177A" w:rsidRPr="00AF336A">
        <w:rPr>
          <w:rFonts w:eastAsia="Times New Roman"/>
          <w:color w:val="000000" w:themeColor="text1"/>
          <w:sz w:val="25"/>
          <w:szCs w:val="25"/>
          <w:lang w:eastAsia="it-IT"/>
        </w:rPr>
        <w:t>“</w:t>
      </w:r>
      <w:r w:rsidR="00F5177A" w:rsidRPr="00F43C71">
        <w:rPr>
          <w:rFonts w:eastAsia="Times New Roman"/>
          <w:i/>
          <w:iCs/>
          <w:color w:val="000000" w:themeColor="text1"/>
          <w:sz w:val="25"/>
          <w:szCs w:val="25"/>
          <w:lang w:eastAsia="it-IT"/>
        </w:rPr>
        <w:t>t</w:t>
      </w:r>
      <w:r w:rsidRPr="00F43C71">
        <w:rPr>
          <w:rFonts w:eastAsia="Times New Roman"/>
          <w:i/>
          <w:iCs/>
          <w:color w:val="000000" w:themeColor="text1"/>
          <w:sz w:val="25"/>
          <w:szCs w:val="25"/>
          <w:lang w:eastAsia="it-IT"/>
        </w:rPr>
        <w:t>ale interpretazione dell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articolo 53 della Carta sarebbe lesiva del principio del primato del diritto dell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Unione, in quanto permetterebbe a uno Stato membro di ostacolare 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applicazione di atti di diritto dell</w:t>
      </w:r>
      <w:r w:rsidR="00144DEC" w:rsidRPr="00F43C71">
        <w:rPr>
          <w:rFonts w:eastAsia="Times New Roman"/>
          <w:i/>
          <w:iCs/>
          <w:color w:val="000000" w:themeColor="text1"/>
          <w:sz w:val="25"/>
          <w:szCs w:val="25"/>
          <w:lang w:eastAsia="it-IT"/>
        </w:rPr>
        <w:t>’</w:t>
      </w:r>
      <w:r w:rsidRPr="00F43C71">
        <w:rPr>
          <w:rFonts w:eastAsia="Times New Roman"/>
          <w:i/>
          <w:iCs/>
          <w:color w:val="000000" w:themeColor="text1"/>
          <w:sz w:val="25"/>
          <w:szCs w:val="25"/>
          <w:lang w:eastAsia="it-IT"/>
        </w:rPr>
        <w:t>Unione pienamente conformi alla Carta, sulla base del rilievo che essi non rispetterebbero i diritti fondamentali garantiti dalla Costituzione di tale Stato</w:t>
      </w:r>
      <w:r w:rsidR="00F5177A" w:rsidRPr="00AF336A">
        <w:rPr>
          <w:rFonts w:eastAsia="Times New Roman"/>
          <w:color w:val="000000" w:themeColor="text1"/>
          <w:sz w:val="25"/>
          <w:szCs w:val="25"/>
          <w:lang w:eastAsia="it-IT"/>
        </w:rPr>
        <w:t>”</w:t>
      </w:r>
      <w:r w:rsidR="00F43C71">
        <w:rPr>
          <w:rStyle w:val="Rimandonotaapidipagina"/>
          <w:rFonts w:eastAsia="Times New Roman"/>
          <w:color w:val="000000" w:themeColor="text1"/>
          <w:sz w:val="25"/>
          <w:szCs w:val="25"/>
          <w:lang w:eastAsia="it-IT"/>
        </w:rPr>
        <w:footnoteReference w:id="16"/>
      </w:r>
      <w:r w:rsidRPr="008A1A1D">
        <w:rPr>
          <w:rFonts w:eastAsia="Times New Roman"/>
          <w:color w:val="000000" w:themeColor="text1"/>
          <w:sz w:val="25"/>
          <w:szCs w:val="25"/>
          <w:lang w:eastAsia="it-IT"/>
        </w:rPr>
        <w:t xml:space="preserve">. </w:t>
      </w:r>
    </w:p>
    <w:p w14:paraId="564C68E2" w14:textId="14E90BC1" w:rsidR="00F5177A" w:rsidRPr="00AF336A" w:rsidRDefault="008A1A1D" w:rsidP="00144DEC">
      <w:pPr>
        <w:pStyle w:val="NormaleWeb"/>
        <w:spacing w:after="0" w:line="240" w:lineRule="auto"/>
        <w:ind w:firstLine="454"/>
        <w:jc w:val="both"/>
        <w:rPr>
          <w:rFonts w:eastAsia="Times New Roman"/>
          <w:color w:val="000000" w:themeColor="text1"/>
          <w:sz w:val="25"/>
          <w:szCs w:val="25"/>
          <w:lang w:eastAsia="it-IT"/>
        </w:rPr>
      </w:pPr>
      <w:r w:rsidRPr="008A1A1D">
        <w:rPr>
          <w:rFonts w:eastAsia="Times New Roman"/>
          <w:color w:val="000000" w:themeColor="text1"/>
          <w:sz w:val="25"/>
          <w:szCs w:val="25"/>
          <w:lang w:eastAsia="it-IT"/>
        </w:rPr>
        <w:t>Ancorch</w:t>
      </w:r>
      <w:r w:rsidR="005B240A" w:rsidRPr="00AF336A">
        <w:rPr>
          <w:rFonts w:eastAsia="Times New Roman"/>
          <w:color w:val="000000" w:themeColor="text1"/>
          <w:sz w:val="25"/>
          <w:szCs w:val="25"/>
          <w:lang w:eastAsia="it-IT"/>
        </w:rPr>
        <w:t>é</w:t>
      </w:r>
      <w:r w:rsidRPr="008A1A1D">
        <w:rPr>
          <w:rFonts w:eastAsia="Times New Roman"/>
          <w:color w:val="000000" w:themeColor="text1"/>
          <w:sz w:val="25"/>
          <w:szCs w:val="25"/>
          <w:lang w:eastAsia="it-IT"/>
        </w:rPr>
        <w:t xml:space="preserve"> </w:t>
      </w:r>
      <w:r w:rsidRPr="00AF336A">
        <w:rPr>
          <w:rFonts w:eastAsia="Times New Roman"/>
          <w:color w:val="000000" w:themeColor="text1"/>
          <w:sz w:val="25"/>
          <w:szCs w:val="25"/>
          <w:lang w:eastAsia="it-IT"/>
        </w:rPr>
        <w:t xml:space="preserve">spesso </w:t>
      </w:r>
      <w:r w:rsidRPr="008A1A1D">
        <w:rPr>
          <w:rFonts w:eastAsia="Times New Roman"/>
          <w:color w:val="000000" w:themeColor="text1"/>
          <w:sz w:val="25"/>
          <w:szCs w:val="25"/>
          <w:lang w:eastAsia="it-IT"/>
        </w:rPr>
        <w:t xml:space="preserve">criticata in dottrina, la soluzione adottata in </w:t>
      </w:r>
      <w:r w:rsidRPr="008A1A1D">
        <w:rPr>
          <w:rFonts w:eastAsia="Times New Roman"/>
          <w:i/>
          <w:iCs/>
          <w:color w:val="000000" w:themeColor="text1"/>
          <w:sz w:val="25"/>
          <w:szCs w:val="25"/>
          <w:lang w:eastAsia="it-IT"/>
        </w:rPr>
        <w:t xml:space="preserve">Melloni </w:t>
      </w:r>
      <w:r w:rsidRPr="008A1A1D">
        <w:rPr>
          <w:rFonts w:eastAsia="Times New Roman"/>
          <w:color w:val="000000" w:themeColor="text1"/>
          <w:sz w:val="25"/>
          <w:szCs w:val="25"/>
          <w:lang w:eastAsia="it-IT"/>
        </w:rPr>
        <w:t>risponda ad una logica non priva di razionalit</w:t>
      </w:r>
      <w:r w:rsidR="004D49AF" w:rsidRPr="00AF336A">
        <w:rPr>
          <w:rFonts w:eastAsia="Times New Roman"/>
          <w:color w:val="000000" w:themeColor="text1"/>
          <w:sz w:val="25"/>
          <w:szCs w:val="25"/>
          <w:lang w:eastAsia="it-IT"/>
        </w:rPr>
        <w:t>à</w:t>
      </w:r>
      <w:r w:rsidRPr="00AF336A">
        <w:rPr>
          <w:rFonts w:eastAsia="Times New Roman"/>
          <w:color w:val="000000" w:themeColor="text1"/>
          <w:sz w:val="25"/>
          <w:szCs w:val="25"/>
          <w:lang w:eastAsia="it-IT"/>
        </w:rPr>
        <w:t>, che fa prevalere</w:t>
      </w:r>
      <w:r w:rsidRPr="008A1A1D">
        <w:rPr>
          <w:rFonts w:eastAsia="Times New Roman"/>
          <w:color w:val="000000" w:themeColor="text1"/>
          <w:sz w:val="25"/>
          <w:szCs w:val="25"/>
          <w:lang w:eastAsia="it-IT"/>
        </w:rPr>
        <w:t xml:space="preserve"> le ragioni dell</w:t>
      </w:r>
      <w:r w:rsidR="00144DEC" w:rsidRPr="00AF336A">
        <w:rPr>
          <w:rFonts w:eastAsia="Times New Roman"/>
          <w:color w:val="000000" w:themeColor="text1"/>
          <w:sz w:val="25"/>
          <w:szCs w:val="25"/>
          <w:lang w:eastAsia="it-IT"/>
        </w:rPr>
        <w:t>’</w:t>
      </w:r>
      <w:r w:rsidRPr="008A1A1D">
        <w:rPr>
          <w:rFonts w:eastAsia="Times New Roman"/>
          <w:color w:val="000000" w:themeColor="text1"/>
          <w:sz w:val="25"/>
          <w:szCs w:val="25"/>
          <w:lang w:eastAsia="it-IT"/>
        </w:rPr>
        <w:t>uniformit</w:t>
      </w:r>
      <w:r w:rsidR="004D49AF" w:rsidRPr="00AF336A">
        <w:rPr>
          <w:rFonts w:eastAsia="Times New Roman"/>
          <w:color w:val="000000" w:themeColor="text1"/>
          <w:sz w:val="25"/>
          <w:szCs w:val="25"/>
          <w:lang w:eastAsia="it-IT"/>
        </w:rPr>
        <w:t>à</w:t>
      </w:r>
      <w:r w:rsidRPr="008A1A1D">
        <w:rPr>
          <w:rFonts w:eastAsia="Times New Roman"/>
          <w:color w:val="000000" w:themeColor="text1"/>
          <w:sz w:val="25"/>
          <w:szCs w:val="25"/>
          <w:lang w:eastAsia="it-IT"/>
        </w:rPr>
        <w:t xml:space="preserve"> nell</w:t>
      </w:r>
      <w:r w:rsidR="00144DEC" w:rsidRPr="00AF336A">
        <w:rPr>
          <w:rFonts w:eastAsia="Times New Roman"/>
          <w:color w:val="000000" w:themeColor="text1"/>
          <w:sz w:val="25"/>
          <w:szCs w:val="25"/>
          <w:lang w:eastAsia="it-IT"/>
        </w:rPr>
        <w:t>’</w:t>
      </w:r>
      <w:r w:rsidRPr="008A1A1D">
        <w:rPr>
          <w:rFonts w:eastAsia="Times New Roman"/>
          <w:color w:val="000000" w:themeColor="text1"/>
          <w:sz w:val="25"/>
          <w:szCs w:val="25"/>
          <w:lang w:eastAsia="it-IT"/>
        </w:rPr>
        <w:t>applicazione del diritto europeo rispetto alla preoccupazione di assicurare il massimo livello possibile di tutela a favore dei diritti individuali fondamentali</w:t>
      </w:r>
      <w:r w:rsidR="004D49AF" w:rsidRPr="00AF336A">
        <w:rPr>
          <w:rStyle w:val="Rimandonotaapidipagina"/>
          <w:rFonts w:eastAsia="Times New Roman"/>
          <w:color w:val="000000" w:themeColor="text1"/>
          <w:sz w:val="25"/>
          <w:szCs w:val="25"/>
          <w:lang w:eastAsia="it-IT"/>
        </w:rPr>
        <w:footnoteReference w:id="17"/>
      </w:r>
      <w:r w:rsidRPr="008A1A1D">
        <w:rPr>
          <w:rFonts w:eastAsia="Times New Roman"/>
          <w:color w:val="000000" w:themeColor="text1"/>
          <w:sz w:val="25"/>
          <w:szCs w:val="25"/>
          <w:lang w:eastAsia="it-IT"/>
        </w:rPr>
        <w:t xml:space="preserve">. </w:t>
      </w:r>
      <w:r w:rsidRPr="00AF336A">
        <w:rPr>
          <w:rFonts w:eastAsia="Times New Roman"/>
          <w:color w:val="000000" w:themeColor="text1"/>
          <w:sz w:val="25"/>
          <w:szCs w:val="25"/>
          <w:lang w:eastAsia="it-IT"/>
        </w:rPr>
        <w:t xml:space="preserve">La sentenza </w:t>
      </w:r>
      <w:r w:rsidRPr="008A1A1D">
        <w:rPr>
          <w:rFonts w:eastAsia="Times New Roman"/>
          <w:i/>
          <w:iCs/>
          <w:color w:val="000000" w:themeColor="text1"/>
          <w:sz w:val="25"/>
          <w:szCs w:val="25"/>
          <w:lang w:eastAsia="it-IT"/>
        </w:rPr>
        <w:t xml:space="preserve">Melloni </w:t>
      </w:r>
      <w:r w:rsidRPr="008A1A1D">
        <w:rPr>
          <w:rFonts w:eastAsia="Times New Roman"/>
          <w:color w:val="000000" w:themeColor="text1"/>
          <w:sz w:val="25"/>
          <w:szCs w:val="25"/>
          <w:lang w:eastAsia="it-IT"/>
        </w:rPr>
        <w:t xml:space="preserve">vale quindi ad escludere la </w:t>
      </w:r>
      <w:r w:rsidR="005B240A" w:rsidRPr="00AF336A">
        <w:rPr>
          <w:rFonts w:eastAsia="Times New Roman"/>
          <w:color w:val="000000" w:themeColor="text1"/>
          <w:sz w:val="25"/>
          <w:szCs w:val="25"/>
          <w:lang w:eastAsia="it-IT"/>
        </w:rPr>
        <w:t>possibilità</w:t>
      </w:r>
      <w:r w:rsidRPr="008A1A1D">
        <w:rPr>
          <w:rFonts w:eastAsia="Times New Roman"/>
          <w:color w:val="000000" w:themeColor="text1"/>
          <w:sz w:val="25"/>
          <w:szCs w:val="25"/>
          <w:lang w:eastAsia="it-IT"/>
        </w:rPr>
        <w:t xml:space="preserve">̀ di concepire il criterio della tutela </w:t>
      </w:r>
      <w:r w:rsidR="005B240A" w:rsidRPr="00AF336A">
        <w:rPr>
          <w:rFonts w:eastAsia="Times New Roman"/>
          <w:color w:val="000000" w:themeColor="text1"/>
          <w:sz w:val="25"/>
          <w:szCs w:val="25"/>
          <w:lang w:eastAsia="it-IT"/>
        </w:rPr>
        <w:t>più</w:t>
      </w:r>
      <w:r w:rsidRPr="008A1A1D">
        <w:rPr>
          <w:rFonts w:eastAsia="Times New Roman"/>
          <w:color w:val="000000" w:themeColor="text1"/>
          <w:sz w:val="25"/>
          <w:szCs w:val="25"/>
          <w:lang w:eastAsia="it-IT"/>
        </w:rPr>
        <w:t xml:space="preserve">̀ estesa come criterio di soluzione dei conflitti fra sistemi concorrenti. La Corte sembra indicare, piuttosto, come tali sistemi di tutela – quello europeo e quello nazionale – operino limitatamente al rispettivo ambito di applicazione, secondo logiche tendenzialmente di </w:t>
      </w:r>
      <w:r w:rsidR="005B240A" w:rsidRPr="00AF336A">
        <w:rPr>
          <w:rFonts w:eastAsia="Times New Roman"/>
          <w:color w:val="000000" w:themeColor="text1"/>
          <w:sz w:val="25"/>
          <w:szCs w:val="25"/>
          <w:lang w:eastAsia="it-IT"/>
        </w:rPr>
        <w:t>esclusività</w:t>
      </w:r>
      <w:r w:rsidRPr="008A1A1D">
        <w:rPr>
          <w:rFonts w:eastAsia="Times New Roman"/>
          <w:color w:val="000000" w:themeColor="text1"/>
          <w:sz w:val="25"/>
          <w:szCs w:val="25"/>
          <w:lang w:eastAsia="it-IT"/>
        </w:rPr>
        <w:t>̀.</w:t>
      </w:r>
    </w:p>
    <w:p w14:paraId="52901C79" w14:textId="56E121B8" w:rsidR="008A1A1D" w:rsidRPr="00AF336A" w:rsidRDefault="008A1A1D" w:rsidP="00144DEC">
      <w:pPr>
        <w:pStyle w:val="NormaleWeb"/>
        <w:spacing w:after="0" w:line="240" w:lineRule="auto"/>
        <w:ind w:firstLine="454"/>
        <w:jc w:val="both"/>
        <w:rPr>
          <w:rFonts w:eastAsia="Times New Roman"/>
          <w:color w:val="000000" w:themeColor="text1"/>
          <w:sz w:val="25"/>
          <w:szCs w:val="25"/>
          <w:lang w:eastAsia="it-IT"/>
        </w:rPr>
      </w:pPr>
      <w:r w:rsidRPr="008A1A1D">
        <w:rPr>
          <w:rFonts w:eastAsia="Times New Roman"/>
          <w:color w:val="000000" w:themeColor="text1"/>
          <w:sz w:val="25"/>
          <w:szCs w:val="25"/>
          <w:lang w:eastAsia="it-IT"/>
        </w:rPr>
        <w:t>Il carattere esclusivo del sistema europeo di tutela dei diritti fondamentali non consente, quindi, che esso venga meno a favore dell</w:t>
      </w:r>
      <w:r w:rsidR="00144DEC" w:rsidRPr="00AF336A">
        <w:rPr>
          <w:rFonts w:eastAsia="Times New Roman"/>
          <w:color w:val="000000" w:themeColor="text1"/>
          <w:sz w:val="25"/>
          <w:szCs w:val="25"/>
          <w:lang w:eastAsia="it-IT"/>
        </w:rPr>
        <w:t>’</w:t>
      </w:r>
      <w:r w:rsidRPr="008A1A1D">
        <w:rPr>
          <w:rFonts w:eastAsia="Times New Roman"/>
          <w:color w:val="000000" w:themeColor="text1"/>
          <w:sz w:val="25"/>
          <w:szCs w:val="25"/>
          <w:lang w:eastAsia="it-IT"/>
        </w:rPr>
        <w:t xml:space="preserve">applicazione di norme costituzionali nazionali maggiormente </w:t>
      </w:r>
      <w:r w:rsidR="00273289">
        <w:rPr>
          <w:rFonts w:eastAsia="Times New Roman"/>
          <w:color w:val="000000" w:themeColor="text1"/>
          <w:sz w:val="25"/>
          <w:szCs w:val="25"/>
          <w:lang w:eastAsia="it-IT"/>
        </w:rPr>
        <w:t>“</w:t>
      </w:r>
      <w:r w:rsidRPr="008A1A1D">
        <w:rPr>
          <w:rFonts w:eastAsia="Times New Roman"/>
          <w:color w:val="000000" w:themeColor="text1"/>
          <w:sz w:val="25"/>
          <w:szCs w:val="25"/>
          <w:lang w:eastAsia="it-IT"/>
        </w:rPr>
        <w:t>garantiste</w:t>
      </w:r>
      <w:r w:rsidR="00273289">
        <w:rPr>
          <w:rFonts w:eastAsia="Times New Roman"/>
          <w:color w:val="000000" w:themeColor="text1"/>
          <w:sz w:val="25"/>
          <w:szCs w:val="25"/>
          <w:lang w:eastAsia="it-IT"/>
        </w:rPr>
        <w:t>”</w:t>
      </w:r>
      <w:r w:rsidRPr="008A1A1D">
        <w:rPr>
          <w:rFonts w:eastAsia="Times New Roman"/>
          <w:color w:val="000000" w:themeColor="text1"/>
          <w:sz w:val="25"/>
          <w:szCs w:val="25"/>
          <w:lang w:eastAsia="it-IT"/>
        </w:rPr>
        <w:t xml:space="preserve"> nei confronti dei diritti individuali. Esso consente, semmai, che le esigenze di una tutela pi</w:t>
      </w:r>
      <w:r w:rsidR="00F5177A" w:rsidRPr="00AF336A">
        <w:rPr>
          <w:rFonts w:eastAsia="Times New Roman"/>
          <w:color w:val="000000" w:themeColor="text1"/>
          <w:sz w:val="25"/>
          <w:szCs w:val="25"/>
          <w:lang w:eastAsia="it-IT"/>
        </w:rPr>
        <w:t>ù</w:t>
      </w:r>
      <w:r w:rsidRPr="008A1A1D">
        <w:rPr>
          <w:rFonts w:eastAsia="Times New Roman"/>
          <w:color w:val="000000" w:themeColor="text1"/>
          <w:sz w:val="25"/>
          <w:szCs w:val="25"/>
          <w:lang w:eastAsia="it-IT"/>
        </w:rPr>
        <w:t xml:space="preserve"> intensa possano essere recepite e </w:t>
      </w:r>
      <w:r w:rsidR="004D49AF" w:rsidRPr="00AF336A">
        <w:rPr>
          <w:rFonts w:eastAsia="Times New Roman"/>
          <w:color w:val="000000" w:themeColor="text1"/>
          <w:sz w:val="25"/>
          <w:szCs w:val="25"/>
          <w:lang w:eastAsia="it-IT"/>
        </w:rPr>
        <w:t>“</w:t>
      </w:r>
      <w:proofErr w:type="spellStart"/>
      <w:r w:rsidRPr="008A1A1D">
        <w:rPr>
          <w:rFonts w:eastAsia="Times New Roman"/>
          <w:color w:val="000000" w:themeColor="text1"/>
          <w:sz w:val="25"/>
          <w:szCs w:val="25"/>
          <w:lang w:eastAsia="it-IT"/>
        </w:rPr>
        <w:t>internalizzate</w:t>
      </w:r>
      <w:proofErr w:type="spellEnd"/>
      <w:r w:rsidR="004D49AF" w:rsidRPr="00AF336A">
        <w:rPr>
          <w:rFonts w:eastAsia="Times New Roman"/>
          <w:color w:val="000000" w:themeColor="text1"/>
          <w:sz w:val="25"/>
          <w:szCs w:val="25"/>
          <w:lang w:eastAsia="it-IT"/>
        </w:rPr>
        <w:t>”</w:t>
      </w:r>
      <w:r w:rsidRPr="008A1A1D">
        <w:rPr>
          <w:rFonts w:eastAsia="Times New Roman"/>
          <w:color w:val="000000" w:themeColor="text1"/>
          <w:sz w:val="25"/>
          <w:szCs w:val="25"/>
          <w:lang w:eastAsia="it-IT"/>
        </w:rPr>
        <w:t xml:space="preserve"> nel sistema europeo, secondo una logica inclusiva</w:t>
      </w:r>
      <w:r w:rsidR="00CF1E54" w:rsidRPr="00AF336A">
        <w:rPr>
          <w:rStyle w:val="Rimandonotaapidipagina"/>
          <w:rFonts w:eastAsia="Times New Roman"/>
          <w:color w:val="000000" w:themeColor="text1"/>
          <w:sz w:val="25"/>
          <w:szCs w:val="25"/>
          <w:lang w:eastAsia="it-IT"/>
        </w:rPr>
        <w:footnoteReference w:id="18"/>
      </w:r>
      <w:r w:rsidR="004D49AF" w:rsidRPr="00AF336A">
        <w:rPr>
          <w:rFonts w:eastAsia="Times New Roman"/>
          <w:color w:val="000000" w:themeColor="text1"/>
          <w:sz w:val="25"/>
          <w:szCs w:val="25"/>
          <w:lang w:eastAsia="it-IT"/>
        </w:rPr>
        <w:t xml:space="preserve">, come accaduto nel caso </w:t>
      </w:r>
      <w:proofErr w:type="spellStart"/>
      <w:r w:rsidRPr="008A1A1D">
        <w:rPr>
          <w:rFonts w:eastAsia="Times New Roman"/>
          <w:i/>
          <w:iCs/>
          <w:color w:val="000000" w:themeColor="text1"/>
          <w:sz w:val="25"/>
          <w:szCs w:val="25"/>
          <w:lang w:eastAsia="it-IT"/>
        </w:rPr>
        <w:t>Aranyosi</w:t>
      </w:r>
      <w:proofErr w:type="spellEnd"/>
      <w:r w:rsidRPr="008A1A1D">
        <w:rPr>
          <w:rFonts w:eastAsia="Times New Roman"/>
          <w:i/>
          <w:iCs/>
          <w:color w:val="000000" w:themeColor="text1"/>
          <w:sz w:val="25"/>
          <w:szCs w:val="25"/>
          <w:lang w:eastAsia="it-IT"/>
        </w:rPr>
        <w:t xml:space="preserve"> e </w:t>
      </w:r>
      <w:proofErr w:type="spellStart"/>
      <w:r w:rsidRPr="008A1A1D">
        <w:rPr>
          <w:rFonts w:eastAsia="Times New Roman"/>
          <w:i/>
          <w:iCs/>
          <w:color w:val="000000" w:themeColor="text1"/>
          <w:sz w:val="25"/>
          <w:szCs w:val="25"/>
          <w:lang w:eastAsia="it-IT"/>
        </w:rPr>
        <w:t>Cāldāraru</w:t>
      </w:r>
      <w:proofErr w:type="spellEnd"/>
      <w:r w:rsidR="004D49AF" w:rsidRPr="00273289">
        <w:rPr>
          <w:rStyle w:val="Rimandonotaapidipagina"/>
          <w:rFonts w:eastAsia="Times New Roman"/>
          <w:color w:val="000000" w:themeColor="text1"/>
          <w:sz w:val="25"/>
          <w:szCs w:val="25"/>
          <w:lang w:eastAsia="it-IT"/>
        </w:rPr>
        <w:footnoteReference w:id="19"/>
      </w:r>
      <w:r w:rsidR="004D49AF" w:rsidRPr="00AF336A">
        <w:rPr>
          <w:rFonts w:eastAsia="Times New Roman"/>
          <w:color w:val="000000" w:themeColor="text1"/>
          <w:sz w:val="25"/>
          <w:szCs w:val="25"/>
          <w:lang w:eastAsia="it-IT"/>
        </w:rPr>
        <w:t xml:space="preserve">, nel quale la Corte </w:t>
      </w:r>
      <w:r w:rsidRPr="008A1A1D">
        <w:rPr>
          <w:rFonts w:eastAsia="Times New Roman"/>
          <w:color w:val="000000" w:themeColor="text1"/>
          <w:sz w:val="25"/>
          <w:szCs w:val="25"/>
          <w:lang w:eastAsia="it-IT"/>
        </w:rPr>
        <w:t xml:space="preserve">ha </w:t>
      </w:r>
      <w:r w:rsidR="004D49AF" w:rsidRPr="00AF336A">
        <w:rPr>
          <w:rFonts w:eastAsia="Times New Roman"/>
          <w:color w:val="000000" w:themeColor="text1"/>
          <w:sz w:val="25"/>
          <w:szCs w:val="25"/>
          <w:lang w:eastAsia="it-IT"/>
        </w:rPr>
        <w:t>ammesso</w:t>
      </w:r>
      <w:r w:rsidRPr="008A1A1D">
        <w:rPr>
          <w:rFonts w:eastAsia="Times New Roman"/>
          <w:color w:val="000000" w:themeColor="text1"/>
          <w:sz w:val="25"/>
          <w:szCs w:val="25"/>
          <w:lang w:eastAsia="it-IT"/>
        </w:rPr>
        <w:t xml:space="preserve"> una deroga al sistema armonizzato di tutela dei diritti fondamentali stabilito dalla normativa europea sul mandato d</w:t>
      </w:r>
      <w:r w:rsidR="00144DEC" w:rsidRPr="00AF336A">
        <w:rPr>
          <w:rFonts w:eastAsia="Times New Roman"/>
          <w:color w:val="000000" w:themeColor="text1"/>
          <w:sz w:val="25"/>
          <w:szCs w:val="25"/>
          <w:lang w:eastAsia="it-IT"/>
        </w:rPr>
        <w:t>’</w:t>
      </w:r>
      <w:r w:rsidRPr="008A1A1D">
        <w:rPr>
          <w:rFonts w:eastAsia="Times New Roman"/>
          <w:color w:val="000000" w:themeColor="text1"/>
          <w:sz w:val="25"/>
          <w:szCs w:val="25"/>
          <w:lang w:eastAsia="it-IT"/>
        </w:rPr>
        <w:t>arresto europeo</w:t>
      </w:r>
      <w:r w:rsidR="004D49AF" w:rsidRPr="00AF336A">
        <w:rPr>
          <w:rFonts w:eastAsia="Times New Roman"/>
          <w:color w:val="000000" w:themeColor="text1"/>
          <w:sz w:val="25"/>
          <w:szCs w:val="25"/>
          <w:lang w:eastAsia="it-IT"/>
        </w:rPr>
        <w:t>, valorizzando il</w:t>
      </w:r>
      <w:r w:rsidRPr="008A1A1D">
        <w:rPr>
          <w:rFonts w:eastAsia="Times New Roman"/>
          <w:color w:val="000000" w:themeColor="text1"/>
          <w:sz w:val="25"/>
          <w:szCs w:val="25"/>
          <w:lang w:eastAsia="it-IT"/>
        </w:rPr>
        <w:t xml:space="preserve"> carattere inderogabile</w:t>
      </w:r>
      <w:r w:rsidRPr="00AF336A">
        <w:rPr>
          <w:rFonts w:eastAsia="Times New Roman"/>
          <w:color w:val="000000" w:themeColor="text1"/>
          <w:sz w:val="25"/>
          <w:szCs w:val="25"/>
          <w:lang w:eastAsia="it-IT"/>
        </w:rPr>
        <w:t xml:space="preserve"> </w:t>
      </w:r>
      <w:r w:rsidRPr="008A1A1D">
        <w:rPr>
          <w:rFonts w:eastAsia="Times New Roman"/>
          <w:color w:val="000000" w:themeColor="text1"/>
          <w:sz w:val="25"/>
          <w:szCs w:val="25"/>
          <w:lang w:eastAsia="it-IT"/>
        </w:rPr>
        <w:t xml:space="preserve">del divieto di trattamenti inumani o degradanti, il quale prevale </w:t>
      </w:r>
      <w:r w:rsidR="00CF1E54" w:rsidRPr="00AF336A">
        <w:rPr>
          <w:rFonts w:eastAsia="Times New Roman"/>
          <w:color w:val="000000" w:themeColor="text1"/>
          <w:sz w:val="25"/>
          <w:szCs w:val="25"/>
          <w:lang w:eastAsia="it-IT"/>
        </w:rPr>
        <w:t>“</w:t>
      </w:r>
      <w:r w:rsidRPr="008A1A1D">
        <w:rPr>
          <w:rFonts w:eastAsia="Times New Roman"/>
          <w:color w:val="000000" w:themeColor="text1"/>
          <w:sz w:val="25"/>
          <w:szCs w:val="25"/>
          <w:lang w:eastAsia="it-IT"/>
        </w:rPr>
        <w:t xml:space="preserve">in circostanze </w:t>
      </w:r>
      <w:r w:rsidRPr="00AF336A">
        <w:rPr>
          <w:rFonts w:eastAsia="Times New Roman"/>
          <w:color w:val="000000" w:themeColor="text1"/>
          <w:sz w:val="25"/>
          <w:szCs w:val="25"/>
          <w:lang w:eastAsia="it-IT"/>
        </w:rPr>
        <w:t>eccezionali</w:t>
      </w:r>
      <w:r w:rsidR="00CF1E54"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 xml:space="preserve">, sui </w:t>
      </w:r>
      <w:r w:rsidR="004D49AF" w:rsidRPr="00AF336A">
        <w:rPr>
          <w:rFonts w:eastAsia="Times New Roman"/>
          <w:color w:val="000000" w:themeColor="text1"/>
          <w:sz w:val="25"/>
          <w:szCs w:val="25"/>
          <w:lang w:eastAsia="it-IT"/>
        </w:rPr>
        <w:t>“</w:t>
      </w:r>
      <w:r w:rsidRPr="00273289">
        <w:rPr>
          <w:rFonts w:eastAsia="Times New Roman"/>
          <w:i/>
          <w:iCs/>
          <w:color w:val="000000" w:themeColor="text1"/>
          <w:sz w:val="25"/>
          <w:szCs w:val="25"/>
          <w:lang w:eastAsia="it-IT"/>
        </w:rPr>
        <w:t>principi di riconoscimento e di fiducia reciproca fra Stati, i quali nel diritto dell</w:t>
      </w:r>
      <w:r w:rsidR="00144DEC" w:rsidRPr="00273289">
        <w:rPr>
          <w:rFonts w:eastAsia="Times New Roman"/>
          <w:i/>
          <w:iCs/>
          <w:color w:val="000000" w:themeColor="text1"/>
          <w:sz w:val="25"/>
          <w:szCs w:val="25"/>
          <w:lang w:eastAsia="it-IT"/>
        </w:rPr>
        <w:t>’</w:t>
      </w:r>
      <w:r w:rsidRPr="00273289">
        <w:rPr>
          <w:rFonts w:eastAsia="Times New Roman"/>
          <w:i/>
          <w:iCs/>
          <w:color w:val="000000" w:themeColor="text1"/>
          <w:sz w:val="25"/>
          <w:szCs w:val="25"/>
          <w:lang w:eastAsia="it-IT"/>
        </w:rPr>
        <w:t>Unione, rivestono un</w:t>
      </w:r>
      <w:r w:rsidR="00144DEC" w:rsidRPr="00273289">
        <w:rPr>
          <w:rFonts w:eastAsia="Times New Roman"/>
          <w:i/>
          <w:iCs/>
          <w:color w:val="000000" w:themeColor="text1"/>
          <w:sz w:val="25"/>
          <w:szCs w:val="25"/>
          <w:lang w:eastAsia="it-IT"/>
        </w:rPr>
        <w:t>’</w:t>
      </w:r>
      <w:r w:rsidRPr="00273289">
        <w:rPr>
          <w:rFonts w:eastAsia="Times New Roman"/>
          <w:i/>
          <w:iCs/>
          <w:color w:val="000000" w:themeColor="text1"/>
          <w:sz w:val="25"/>
          <w:szCs w:val="25"/>
          <w:lang w:eastAsia="it-IT"/>
        </w:rPr>
        <w:t>importanza fondamentale</w:t>
      </w:r>
      <w:r w:rsidR="004D49AF"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w:t>
      </w:r>
    </w:p>
    <w:p w14:paraId="297E4C6B" w14:textId="6D467CFC" w:rsidR="00F5177A" w:rsidRPr="00AF336A" w:rsidRDefault="00F5177A" w:rsidP="00144DEC">
      <w:pPr>
        <w:pStyle w:val="NormaleWeb"/>
        <w:spacing w:after="0" w:line="240" w:lineRule="auto"/>
        <w:ind w:firstLine="454"/>
        <w:jc w:val="both"/>
        <w:rPr>
          <w:rFonts w:eastAsia="Times New Roman"/>
          <w:color w:val="000000" w:themeColor="text1"/>
          <w:sz w:val="25"/>
          <w:szCs w:val="25"/>
          <w:lang w:eastAsia="it-IT"/>
        </w:rPr>
      </w:pPr>
    </w:p>
    <w:p w14:paraId="4435C0C3" w14:textId="1DE3EB88" w:rsidR="00F5177A" w:rsidRPr="008A1A1D" w:rsidRDefault="00C63323" w:rsidP="00144DEC">
      <w:pPr>
        <w:pStyle w:val="NormaleWeb"/>
        <w:spacing w:after="0" w:line="240" w:lineRule="auto"/>
        <w:ind w:firstLine="454"/>
        <w:jc w:val="both"/>
        <w:rPr>
          <w:rFonts w:eastAsia="Times New Roman"/>
          <w:b/>
          <w:bCs/>
          <w:color w:val="000000" w:themeColor="text1"/>
          <w:sz w:val="25"/>
          <w:szCs w:val="25"/>
          <w:lang w:eastAsia="it-IT"/>
        </w:rPr>
      </w:pPr>
      <w:r w:rsidRPr="00AF336A">
        <w:rPr>
          <w:rFonts w:eastAsia="Times New Roman"/>
          <w:b/>
          <w:bCs/>
          <w:color w:val="000000" w:themeColor="text1"/>
          <w:sz w:val="25"/>
          <w:szCs w:val="25"/>
          <w:lang w:eastAsia="it-IT"/>
        </w:rPr>
        <w:t xml:space="preserve">5. </w:t>
      </w:r>
      <w:r w:rsidR="00F5177A" w:rsidRPr="00AF336A">
        <w:rPr>
          <w:rFonts w:eastAsia="Times New Roman"/>
          <w:b/>
          <w:bCs/>
          <w:color w:val="000000" w:themeColor="text1"/>
          <w:sz w:val="25"/>
          <w:szCs w:val="25"/>
          <w:lang w:eastAsia="it-IT"/>
        </w:rPr>
        <w:t xml:space="preserve">I rischi di un uso </w:t>
      </w:r>
      <w:r w:rsidR="0066357F" w:rsidRPr="00AF336A">
        <w:rPr>
          <w:rFonts w:eastAsia="Times New Roman"/>
          <w:b/>
          <w:bCs/>
          <w:color w:val="000000" w:themeColor="text1"/>
          <w:sz w:val="25"/>
          <w:szCs w:val="25"/>
          <w:lang w:eastAsia="it-IT"/>
        </w:rPr>
        <w:t>eccessivamente nazionalista</w:t>
      </w:r>
      <w:r w:rsidR="00F5177A" w:rsidRPr="00AF336A">
        <w:rPr>
          <w:rFonts w:eastAsia="Times New Roman"/>
          <w:b/>
          <w:bCs/>
          <w:color w:val="000000" w:themeColor="text1"/>
          <w:sz w:val="25"/>
          <w:szCs w:val="25"/>
          <w:lang w:eastAsia="it-IT"/>
        </w:rPr>
        <w:t xml:space="preserve"> dei controlimiti</w:t>
      </w:r>
      <w:r w:rsidR="0066357F" w:rsidRPr="00AF336A">
        <w:rPr>
          <w:rFonts w:eastAsia="Times New Roman"/>
          <w:b/>
          <w:bCs/>
          <w:color w:val="000000" w:themeColor="text1"/>
          <w:sz w:val="25"/>
          <w:szCs w:val="25"/>
          <w:lang w:eastAsia="it-IT"/>
        </w:rPr>
        <w:t>: dal caso delle</w:t>
      </w:r>
      <w:r w:rsidR="00CF1E54" w:rsidRPr="00AF336A">
        <w:rPr>
          <w:rFonts w:eastAsia="Times New Roman"/>
          <w:b/>
          <w:bCs/>
          <w:color w:val="000000" w:themeColor="text1"/>
          <w:sz w:val="25"/>
          <w:szCs w:val="25"/>
          <w:lang w:eastAsia="it-IT"/>
        </w:rPr>
        <w:t xml:space="preserve"> c.d.</w:t>
      </w:r>
      <w:r w:rsidR="0066357F" w:rsidRPr="00AF336A">
        <w:rPr>
          <w:rFonts w:eastAsia="Times New Roman"/>
          <w:b/>
          <w:bCs/>
          <w:color w:val="000000" w:themeColor="text1"/>
          <w:sz w:val="25"/>
          <w:szCs w:val="25"/>
          <w:lang w:eastAsia="it-IT"/>
        </w:rPr>
        <w:t xml:space="preserve"> pensioni slo</w:t>
      </w:r>
      <w:r w:rsidR="000D5414" w:rsidRPr="00AF336A">
        <w:rPr>
          <w:rFonts w:eastAsia="Times New Roman"/>
          <w:b/>
          <w:bCs/>
          <w:color w:val="000000" w:themeColor="text1"/>
          <w:sz w:val="25"/>
          <w:szCs w:val="25"/>
          <w:lang w:eastAsia="it-IT"/>
        </w:rPr>
        <w:t>va</w:t>
      </w:r>
      <w:r w:rsidR="0066357F" w:rsidRPr="00AF336A">
        <w:rPr>
          <w:rFonts w:eastAsia="Times New Roman"/>
          <w:b/>
          <w:bCs/>
          <w:color w:val="000000" w:themeColor="text1"/>
          <w:sz w:val="25"/>
          <w:szCs w:val="25"/>
          <w:lang w:eastAsia="it-IT"/>
        </w:rPr>
        <w:t>cche al sindacato sul</w:t>
      </w:r>
      <w:r w:rsidR="00CF1E54" w:rsidRPr="00AF336A">
        <w:rPr>
          <w:rFonts w:eastAsia="Times New Roman"/>
          <w:b/>
          <w:bCs/>
          <w:color w:val="000000" w:themeColor="text1"/>
          <w:sz w:val="25"/>
          <w:szCs w:val="25"/>
          <w:lang w:eastAsia="it-IT"/>
        </w:rPr>
        <w:t xml:space="preserve">la politica monetaria della </w:t>
      </w:r>
      <w:r w:rsidR="0066357F" w:rsidRPr="00AF336A">
        <w:rPr>
          <w:rFonts w:eastAsia="Times New Roman"/>
          <w:b/>
          <w:bCs/>
          <w:color w:val="000000" w:themeColor="text1"/>
          <w:sz w:val="25"/>
          <w:szCs w:val="25"/>
          <w:lang w:eastAsia="it-IT"/>
        </w:rPr>
        <w:t>BCE</w:t>
      </w:r>
      <w:r w:rsidR="006F3343">
        <w:rPr>
          <w:rFonts w:eastAsia="Times New Roman"/>
          <w:b/>
          <w:bCs/>
          <w:color w:val="000000" w:themeColor="text1"/>
          <w:sz w:val="25"/>
          <w:szCs w:val="25"/>
          <w:lang w:eastAsia="it-IT"/>
        </w:rPr>
        <w:t>.</w:t>
      </w:r>
    </w:p>
    <w:p w14:paraId="01B4661C" w14:textId="46600EA2" w:rsidR="00F855C6" w:rsidRPr="00AF336A" w:rsidRDefault="00E46A6B" w:rsidP="00144DEC">
      <w:pPr>
        <w:spacing w:after="0" w:line="240" w:lineRule="auto"/>
        <w:ind w:firstLine="454"/>
        <w:jc w:val="both"/>
        <w:rPr>
          <w:color w:val="000000" w:themeColor="text1"/>
          <w:sz w:val="25"/>
          <w:szCs w:val="25"/>
        </w:rPr>
      </w:pPr>
      <w:r w:rsidRPr="00AF336A">
        <w:rPr>
          <w:color w:val="000000" w:themeColor="text1"/>
          <w:sz w:val="25"/>
          <w:szCs w:val="25"/>
        </w:rPr>
        <w:t>È</w:t>
      </w:r>
      <w:r w:rsidR="003164C5">
        <w:rPr>
          <w:color w:val="000000" w:themeColor="text1"/>
          <w:sz w:val="25"/>
          <w:szCs w:val="25"/>
        </w:rPr>
        <w:t xml:space="preserve"> </w:t>
      </w:r>
      <w:r w:rsidR="004E2BDE" w:rsidRPr="00AF336A">
        <w:rPr>
          <w:color w:val="000000" w:themeColor="text1"/>
          <w:sz w:val="25"/>
          <w:szCs w:val="25"/>
        </w:rPr>
        <w:t>questo</w:t>
      </w:r>
      <w:r w:rsidR="008A1A1D" w:rsidRPr="00AF336A">
        <w:rPr>
          <w:color w:val="000000" w:themeColor="text1"/>
          <w:sz w:val="25"/>
          <w:szCs w:val="25"/>
        </w:rPr>
        <w:t>, quindi,</w:t>
      </w:r>
      <w:r w:rsidR="004E2BDE" w:rsidRPr="00AF336A">
        <w:rPr>
          <w:color w:val="000000" w:themeColor="text1"/>
          <w:sz w:val="25"/>
          <w:szCs w:val="25"/>
        </w:rPr>
        <w:t xml:space="preserve"> il vero problema</w:t>
      </w:r>
      <w:r w:rsidR="00DE7AD3" w:rsidRPr="00AF336A">
        <w:rPr>
          <w:color w:val="000000" w:themeColor="text1"/>
          <w:sz w:val="25"/>
          <w:szCs w:val="25"/>
        </w:rPr>
        <w:t xml:space="preserve"> che</w:t>
      </w:r>
      <w:r w:rsidR="004E2BDE" w:rsidRPr="00AF336A">
        <w:rPr>
          <w:color w:val="000000" w:themeColor="text1"/>
          <w:sz w:val="25"/>
          <w:szCs w:val="25"/>
        </w:rPr>
        <w:t xml:space="preserve"> ci pone il controlimite rispetto al diritto comunitario</w:t>
      </w:r>
      <w:r w:rsidR="008A1A1D" w:rsidRPr="00AF336A">
        <w:rPr>
          <w:color w:val="000000" w:themeColor="text1"/>
          <w:sz w:val="25"/>
          <w:szCs w:val="25"/>
        </w:rPr>
        <w:t xml:space="preserve">: </w:t>
      </w:r>
      <w:r w:rsidR="00F855C6" w:rsidRPr="00AF336A">
        <w:rPr>
          <w:color w:val="000000" w:themeColor="text1"/>
          <w:sz w:val="25"/>
          <w:szCs w:val="25"/>
        </w:rPr>
        <w:t xml:space="preserve">se fosse consentito agli Stati </w:t>
      </w:r>
      <w:r w:rsidR="000D5414" w:rsidRPr="00AF336A">
        <w:rPr>
          <w:color w:val="000000" w:themeColor="text1"/>
          <w:sz w:val="25"/>
          <w:szCs w:val="25"/>
        </w:rPr>
        <w:t xml:space="preserve">di </w:t>
      </w:r>
      <w:r w:rsidR="00F855C6" w:rsidRPr="00AF336A">
        <w:rPr>
          <w:color w:val="000000" w:themeColor="text1"/>
          <w:sz w:val="25"/>
          <w:szCs w:val="25"/>
        </w:rPr>
        <w:t>far valere il proprio sistema di diritti fondamentali, ciò significherebbe anche dare loro la possibilità, invocando questa maggior tutela offerta dal diritto costituzionale nazionale, di non applicare nel proprio territorio la normativa comunitaria</w:t>
      </w:r>
      <w:r w:rsidR="00CF1E54" w:rsidRPr="00AF336A">
        <w:rPr>
          <w:color w:val="000000" w:themeColor="text1"/>
          <w:sz w:val="25"/>
          <w:szCs w:val="25"/>
        </w:rPr>
        <w:t xml:space="preserve">. Ciò </w:t>
      </w:r>
      <w:r w:rsidR="00F855C6" w:rsidRPr="00AF336A">
        <w:rPr>
          <w:color w:val="000000" w:themeColor="text1"/>
          <w:sz w:val="25"/>
          <w:szCs w:val="25"/>
        </w:rPr>
        <w:t>determinerebbe la dissoluzione di un valore cardine dell</w:t>
      </w:r>
      <w:r w:rsidR="00144DEC" w:rsidRPr="00AF336A">
        <w:rPr>
          <w:color w:val="000000" w:themeColor="text1"/>
          <w:sz w:val="25"/>
          <w:szCs w:val="25"/>
        </w:rPr>
        <w:t>’</w:t>
      </w:r>
      <w:r w:rsidR="00F855C6" w:rsidRPr="00AF336A">
        <w:rPr>
          <w:color w:val="000000" w:themeColor="text1"/>
          <w:sz w:val="25"/>
          <w:szCs w:val="25"/>
        </w:rPr>
        <w:t>ordinamento dell</w:t>
      </w:r>
      <w:r w:rsidR="00144DEC" w:rsidRPr="00AF336A">
        <w:rPr>
          <w:color w:val="000000" w:themeColor="text1"/>
          <w:sz w:val="25"/>
          <w:szCs w:val="25"/>
        </w:rPr>
        <w:t>’</w:t>
      </w:r>
      <w:r w:rsidR="00F855C6" w:rsidRPr="00AF336A">
        <w:rPr>
          <w:color w:val="000000" w:themeColor="text1"/>
          <w:sz w:val="25"/>
          <w:szCs w:val="25"/>
        </w:rPr>
        <w:t>U</w:t>
      </w:r>
      <w:r w:rsidR="000D5414" w:rsidRPr="00AF336A">
        <w:rPr>
          <w:color w:val="000000" w:themeColor="text1"/>
          <w:sz w:val="25"/>
          <w:szCs w:val="25"/>
        </w:rPr>
        <w:t>.</w:t>
      </w:r>
      <w:r w:rsidR="00F855C6" w:rsidRPr="00AF336A">
        <w:rPr>
          <w:color w:val="000000" w:themeColor="text1"/>
          <w:sz w:val="25"/>
          <w:szCs w:val="25"/>
        </w:rPr>
        <w:t>E</w:t>
      </w:r>
      <w:r w:rsidR="000D5414" w:rsidRPr="00AF336A">
        <w:rPr>
          <w:color w:val="000000" w:themeColor="text1"/>
          <w:sz w:val="25"/>
          <w:szCs w:val="25"/>
        </w:rPr>
        <w:t>.</w:t>
      </w:r>
      <w:r w:rsidR="00F855C6" w:rsidRPr="00AF336A">
        <w:rPr>
          <w:color w:val="000000" w:themeColor="text1"/>
          <w:sz w:val="25"/>
          <w:szCs w:val="25"/>
        </w:rPr>
        <w:t>, consistente nell</w:t>
      </w:r>
      <w:r w:rsidR="0066357F" w:rsidRPr="00AF336A">
        <w:rPr>
          <w:color w:val="000000" w:themeColor="text1"/>
          <w:sz w:val="25"/>
          <w:szCs w:val="25"/>
        </w:rPr>
        <w:t xml:space="preserve">a </w:t>
      </w:r>
      <w:r w:rsidR="00F855C6" w:rsidRPr="00AF336A">
        <w:rPr>
          <w:color w:val="000000" w:themeColor="text1"/>
          <w:sz w:val="25"/>
          <w:szCs w:val="25"/>
        </w:rPr>
        <w:t>uniforme applicazione;</w:t>
      </w:r>
      <w:r w:rsidR="003164C5">
        <w:rPr>
          <w:color w:val="000000" w:themeColor="text1"/>
          <w:sz w:val="25"/>
          <w:szCs w:val="25"/>
        </w:rPr>
        <w:t xml:space="preserve"> </w:t>
      </w:r>
      <w:r w:rsidR="00F855C6" w:rsidRPr="00AF336A">
        <w:rPr>
          <w:color w:val="000000" w:themeColor="text1"/>
          <w:sz w:val="25"/>
          <w:szCs w:val="25"/>
        </w:rPr>
        <w:t>avremo una Europa a diverse velocità dove ognuno applica ciò che vuole a proprio uso e consumo.</w:t>
      </w:r>
    </w:p>
    <w:p w14:paraId="1A649137" w14:textId="681260F0" w:rsidR="00F855C6" w:rsidRPr="00AF336A" w:rsidRDefault="009E7355" w:rsidP="00144DEC">
      <w:pPr>
        <w:spacing w:after="0" w:line="240" w:lineRule="auto"/>
        <w:ind w:firstLine="454"/>
        <w:jc w:val="both"/>
        <w:rPr>
          <w:color w:val="000000" w:themeColor="text1"/>
          <w:sz w:val="25"/>
          <w:szCs w:val="25"/>
        </w:rPr>
      </w:pPr>
      <w:r w:rsidRPr="00AF336A">
        <w:rPr>
          <w:color w:val="000000" w:themeColor="text1"/>
          <w:sz w:val="25"/>
          <w:szCs w:val="25"/>
        </w:rPr>
        <w:t xml:space="preserve">La precarietà degli equilibri </w:t>
      </w:r>
      <w:r w:rsidR="004E2BDE" w:rsidRPr="00AF336A">
        <w:rPr>
          <w:color w:val="000000" w:themeColor="text1"/>
          <w:sz w:val="25"/>
          <w:szCs w:val="25"/>
        </w:rPr>
        <w:t xml:space="preserve">si </w:t>
      </w:r>
      <w:r w:rsidR="00F5177A" w:rsidRPr="00AF336A">
        <w:rPr>
          <w:color w:val="000000" w:themeColor="text1"/>
          <w:sz w:val="25"/>
          <w:szCs w:val="25"/>
        </w:rPr>
        <w:t>è vista</w:t>
      </w:r>
      <w:r w:rsidR="004E2BDE" w:rsidRPr="00AF336A">
        <w:rPr>
          <w:color w:val="000000" w:themeColor="text1"/>
          <w:sz w:val="25"/>
          <w:szCs w:val="25"/>
        </w:rPr>
        <w:t xml:space="preserve"> quando</w:t>
      </w:r>
      <w:r w:rsidR="00CF1E54" w:rsidRPr="00AF336A">
        <w:rPr>
          <w:color w:val="000000" w:themeColor="text1"/>
          <w:sz w:val="25"/>
          <w:szCs w:val="25"/>
        </w:rPr>
        <w:t>,</w:t>
      </w:r>
      <w:r w:rsidR="004E2BDE" w:rsidRPr="00AF336A">
        <w:rPr>
          <w:color w:val="000000" w:themeColor="text1"/>
          <w:sz w:val="25"/>
          <w:szCs w:val="25"/>
        </w:rPr>
        <w:t xml:space="preserve"> alcune volte</w:t>
      </w:r>
      <w:r w:rsidR="00E46A6B" w:rsidRPr="00AF336A">
        <w:rPr>
          <w:color w:val="000000" w:themeColor="text1"/>
          <w:sz w:val="25"/>
          <w:szCs w:val="25"/>
        </w:rPr>
        <w:t>,</w:t>
      </w:r>
      <w:r w:rsidR="004E2BDE" w:rsidRPr="00AF336A">
        <w:rPr>
          <w:color w:val="000000" w:themeColor="text1"/>
          <w:sz w:val="25"/>
          <w:szCs w:val="25"/>
        </w:rPr>
        <w:t xml:space="preserve"> non da noi ma altrove</w:t>
      </w:r>
      <w:r w:rsidR="00E46A6B" w:rsidRPr="00AF336A">
        <w:rPr>
          <w:color w:val="000000" w:themeColor="text1"/>
          <w:sz w:val="25"/>
          <w:szCs w:val="25"/>
        </w:rPr>
        <w:t>,</w:t>
      </w:r>
      <w:r w:rsidR="004E2BDE" w:rsidRPr="00AF336A">
        <w:rPr>
          <w:color w:val="000000" w:themeColor="text1"/>
          <w:sz w:val="25"/>
          <w:szCs w:val="25"/>
        </w:rPr>
        <w:t xml:space="preserve"> i controlimiti sono stati utilizzati in un</w:t>
      </w:r>
      <w:r w:rsidR="00144DEC" w:rsidRPr="00AF336A">
        <w:rPr>
          <w:color w:val="000000" w:themeColor="text1"/>
          <w:sz w:val="25"/>
          <w:szCs w:val="25"/>
        </w:rPr>
        <w:t>’</w:t>
      </w:r>
      <w:r w:rsidR="004E2BDE" w:rsidRPr="00AF336A">
        <w:rPr>
          <w:color w:val="000000" w:themeColor="text1"/>
          <w:sz w:val="25"/>
          <w:szCs w:val="25"/>
        </w:rPr>
        <w:t xml:space="preserve">ottica </w:t>
      </w:r>
      <w:r w:rsidR="00F855C6" w:rsidRPr="00AF336A">
        <w:rPr>
          <w:color w:val="000000" w:themeColor="text1"/>
          <w:sz w:val="25"/>
          <w:szCs w:val="25"/>
        </w:rPr>
        <w:t>fortemente difensiva</w:t>
      </w:r>
      <w:r w:rsidRPr="00AF336A">
        <w:rPr>
          <w:color w:val="000000" w:themeColor="text1"/>
          <w:sz w:val="25"/>
          <w:szCs w:val="25"/>
        </w:rPr>
        <w:t xml:space="preserve"> o </w:t>
      </w:r>
      <w:r w:rsidR="00CF1E54" w:rsidRPr="00AF336A">
        <w:rPr>
          <w:color w:val="000000" w:themeColor="text1"/>
          <w:sz w:val="25"/>
          <w:szCs w:val="25"/>
        </w:rPr>
        <w:t>“sovranista”</w:t>
      </w:r>
      <w:r w:rsidRPr="00AF336A">
        <w:rPr>
          <w:color w:val="000000" w:themeColor="text1"/>
          <w:sz w:val="25"/>
          <w:szCs w:val="25"/>
        </w:rPr>
        <w:t xml:space="preserve">. </w:t>
      </w:r>
    </w:p>
    <w:p w14:paraId="6FD0D99B" w14:textId="7A95F8D8" w:rsidR="00CF1E54" w:rsidRPr="00AF336A" w:rsidRDefault="00392F76" w:rsidP="00144DEC">
      <w:pPr>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 xml:space="preserve">Ricordiamo </w:t>
      </w:r>
      <w:r w:rsidR="004E2BDE" w:rsidRPr="00AF336A">
        <w:rPr>
          <w:color w:val="000000" w:themeColor="text1"/>
          <w:sz w:val="25"/>
          <w:szCs w:val="25"/>
        </w:rPr>
        <w:t>il c</w:t>
      </w:r>
      <w:r w:rsidR="00E46A6B" w:rsidRPr="00AF336A">
        <w:rPr>
          <w:color w:val="000000" w:themeColor="text1"/>
          <w:sz w:val="25"/>
          <w:szCs w:val="25"/>
        </w:rPr>
        <w:t xml:space="preserve">aso delle </w:t>
      </w:r>
      <w:r w:rsidR="00F855C6" w:rsidRPr="00AF336A">
        <w:rPr>
          <w:color w:val="000000" w:themeColor="text1"/>
          <w:sz w:val="25"/>
          <w:szCs w:val="25"/>
        </w:rPr>
        <w:t xml:space="preserve">c.d. </w:t>
      </w:r>
      <w:r w:rsidR="00E46A6B" w:rsidRPr="00AF336A">
        <w:rPr>
          <w:i/>
          <w:iCs/>
          <w:color w:val="000000" w:themeColor="text1"/>
          <w:sz w:val="25"/>
          <w:szCs w:val="25"/>
        </w:rPr>
        <w:t xml:space="preserve">pensioni </w:t>
      </w:r>
      <w:r w:rsidR="004E2BDE" w:rsidRPr="00AF336A">
        <w:rPr>
          <w:i/>
          <w:iCs/>
          <w:color w:val="000000" w:themeColor="text1"/>
          <w:sz w:val="25"/>
          <w:szCs w:val="25"/>
        </w:rPr>
        <w:t>slovacche</w:t>
      </w:r>
      <w:r w:rsidR="00E46A6B" w:rsidRPr="00AF336A">
        <w:rPr>
          <w:color w:val="000000" w:themeColor="text1"/>
          <w:sz w:val="25"/>
          <w:szCs w:val="25"/>
        </w:rPr>
        <w:t>,</w:t>
      </w:r>
      <w:r w:rsidR="004E2BDE" w:rsidRPr="00AF336A">
        <w:rPr>
          <w:color w:val="000000" w:themeColor="text1"/>
          <w:sz w:val="25"/>
          <w:szCs w:val="25"/>
        </w:rPr>
        <w:t xml:space="preserve"> dove su una questione neanche </w:t>
      </w:r>
      <w:r w:rsidR="00F855C6" w:rsidRPr="00AF336A">
        <w:rPr>
          <w:color w:val="000000" w:themeColor="text1"/>
          <w:sz w:val="25"/>
          <w:szCs w:val="25"/>
        </w:rPr>
        <w:t>(a dire il vero)</w:t>
      </w:r>
      <w:r w:rsidR="004E2BDE" w:rsidRPr="00AF336A">
        <w:rPr>
          <w:color w:val="000000" w:themeColor="text1"/>
          <w:sz w:val="25"/>
          <w:szCs w:val="25"/>
        </w:rPr>
        <w:t xml:space="preserve"> di identità costituzionale</w:t>
      </w:r>
      <w:r w:rsidR="009E7355" w:rsidRPr="00AF336A">
        <w:rPr>
          <w:color w:val="000000" w:themeColor="text1"/>
          <w:sz w:val="25"/>
          <w:szCs w:val="25"/>
        </w:rPr>
        <w:t>, Il Tribunale costituzionale ceco</w:t>
      </w:r>
      <w:r w:rsidR="00F855C6" w:rsidRPr="00AF336A">
        <w:rPr>
          <w:color w:val="000000" w:themeColor="text1"/>
          <w:sz w:val="25"/>
          <w:szCs w:val="25"/>
        </w:rPr>
        <w:t xml:space="preserve"> – </w:t>
      </w:r>
      <w:r w:rsidR="004E2BDE" w:rsidRPr="00AF336A">
        <w:rPr>
          <w:color w:val="000000" w:themeColor="text1"/>
          <w:sz w:val="25"/>
          <w:szCs w:val="25"/>
        </w:rPr>
        <w:t xml:space="preserve">che </w:t>
      </w:r>
      <w:r w:rsidR="00F855C6" w:rsidRPr="00AF336A">
        <w:rPr>
          <w:color w:val="000000" w:themeColor="text1"/>
          <w:sz w:val="25"/>
          <w:szCs w:val="25"/>
        </w:rPr>
        <w:t>è stat</w:t>
      </w:r>
      <w:r w:rsidR="009E7355" w:rsidRPr="00AF336A">
        <w:rPr>
          <w:color w:val="000000" w:themeColor="text1"/>
          <w:sz w:val="25"/>
          <w:szCs w:val="25"/>
        </w:rPr>
        <w:t>o</w:t>
      </w:r>
      <w:r w:rsidR="004E2BDE" w:rsidRPr="00AF336A">
        <w:rPr>
          <w:color w:val="000000" w:themeColor="text1"/>
          <w:sz w:val="25"/>
          <w:szCs w:val="25"/>
        </w:rPr>
        <w:t xml:space="preserve"> </w:t>
      </w:r>
      <w:r w:rsidR="009E7355" w:rsidRPr="00AF336A">
        <w:rPr>
          <w:color w:val="000000" w:themeColor="text1"/>
          <w:sz w:val="25"/>
          <w:szCs w:val="25"/>
        </w:rPr>
        <w:t>il</w:t>
      </w:r>
      <w:r w:rsidR="004E2BDE" w:rsidRPr="00AF336A">
        <w:rPr>
          <w:color w:val="000000" w:themeColor="text1"/>
          <w:sz w:val="25"/>
          <w:szCs w:val="25"/>
        </w:rPr>
        <w:t xml:space="preserve"> prim</w:t>
      </w:r>
      <w:r w:rsidR="009E7355" w:rsidRPr="00AF336A">
        <w:rPr>
          <w:color w:val="000000" w:themeColor="text1"/>
          <w:sz w:val="25"/>
          <w:szCs w:val="25"/>
        </w:rPr>
        <w:t>o</w:t>
      </w:r>
      <w:r w:rsidR="00387375" w:rsidRPr="00AF336A">
        <w:rPr>
          <w:color w:val="000000" w:themeColor="text1"/>
          <w:sz w:val="25"/>
          <w:szCs w:val="25"/>
        </w:rPr>
        <w:t>, nel 2012,</w:t>
      </w:r>
      <w:r w:rsidR="004E2BDE" w:rsidRPr="00AF336A">
        <w:rPr>
          <w:color w:val="000000" w:themeColor="text1"/>
          <w:sz w:val="25"/>
          <w:szCs w:val="25"/>
        </w:rPr>
        <w:t xml:space="preserve"> ad applicare concretamente la cosiddetta dottrina </w:t>
      </w:r>
      <w:r w:rsidR="004E2BDE" w:rsidRPr="00AF336A">
        <w:rPr>
          <w:i/>
          <w:iCs/>
          <w:color w:val="000000" w:themeColor="text1"/>
          <w:sz w:val="25"/>
          <w:szCs w:val="25"/>
        </w:rPr>
        <w:t>ultra vires</w:t>
      </w:r>
      <w:r w:rsidR="004E2BDE" w:rsidRPr="00AF336A">
        <w:rPr>
          <w:color w:val="000000" w:themeColor="text1"/>
          <w:sz w:val="25"/>
          <w:szCs w:val="25"/>
        </w:rPr>
        <w:t xml:space="preserve"> già elaborata dalla Corte costituzionale tedesca </w:t>
      </w:r>
      <w:r w:rsidR="00F855C6" w:rsidRPr="00AF336A">
        <w:rPr>
          <w:color w:val="000000" w:themeColor="text1"/>
          <w:sz w:val="25"/>
          <w:szCs w:val="25"/>
        </w:rPr>
        <w:t>–</w:t>
      </w:r>
      <w:r w:rsidR="00387375" w:rsidRPr="00AF336A">
        <w:rPr>
          <w:color w:val="000000" w:themeColor="text1"/>
          <w:sz w:val="25"/>
          <w:szCs w:val="25"/>
        </w:rPr>
        <w:t xml:space="preserve"> </w:t>
      </w:r>
      <w:r w:rsidR="009E7355" w:rsidRPr="00AF336A">
        <w:rPr>
          <w:color w:val="000000" w:themeColor="text1"/>
          <w:sz w:val="25"/>
          <w:szCs w:val="25"/>
        </w:rPr>
        <w:t xml:space="preserve">in una vicenda concernente la perequazione del trattamento pensionistico degli ex lavoratori cechi dipendenti da un datore di lavoro residente in Slovacchia, ha inaspettatamente dichiarato </w:t>
      </w:r>
      <w:r w:rsidR="009E7355" w:rsidRPr="00AF336A">
        <w:rPr>
          <w:i/>
          <w:iCs/>
          <w:color w:val="000000" w:themeColor="text1"/>
          <w:sz w:val="25"/>
          <w:szCs w:val="25"/>
        </w:rPr>
        <w:t>ultra vires</w:t>
      </w:r>
      <w:r w:rsidR="009E7355" w:rsidRPr="00AF336A">
        <w:rPr>
          <w:color w:val="000000" w:themeColor="text1"/>
          <w:sz w:val="25"/>
          <w:szCs w:val="25"/>
        </w:rPr>
        <w:t xml:space="preserve"> </w:t>
      </w:r>
      <w:r w:rsidR="00387375" w:rsidRPr="00AF336A">
        <w:rPr>
          <w:color w:val="000000" w:themeColor="text1"/>
          <w:sz w:val="25"/>
          <w:szCs w:val="25"/>
        </w:rPr>
        <w:t>una sentenza della Corte di giustizia</w:t>
      </w:r>
      <w:r w:rsidR="009E7355" w:rsidRPr="00AF336A">
        <w:rPr>
          <w:color w:val="000000" w:themeColor="text1"/>
          <w:sz w:val="25"/>
          <w:szCs w:val="25"/>
        </w:rPr>
        <w:t xml:space="preserve"> </w:t>
      </w:r>
      <w:r w:rsidR="00387375" w:rsidRPr="00AF336A">
        <w:rPr>
          <w:color w:val="000000" w:themeColor="text1"/>
          <w:sz w:val="25"/>
          <w:szCs w:val="25"/>
        </w:rPr>
        <w:t>d</w:t>
      </w:r>
      <w:r w:rsidR="009E7355" w:rsidRPr="00AF336A">
        <w:rPr>
          <w:color w:val="000000" w:themeColor="text1"/>
          <w:sz w:val="25"/>
          <w:szCs w:val="25"/>
        </w:rPr>
        <w:t>el giudice europeo</w:t>
      </w:r>
      <w:r w:rsidR="00CF1E54" w:rsidRPr="00AF336A">
        <w:rPr>
          <w:rStyle w:val="Rimandonotaapidipagina"/>
          <w:color w:val="000000" w:themeColor="text1"/>
          <w:sz w:val="25"/>
          <w:szCs w:val="25"/>
        </w:rPr>
        <w:footnoteReference w:id="20"/>
      </w:r>
      <w:r w:rsidR="009E7355" w:rsidRPr="00AF336A">
        <w:rPr>
          <w:color w:val="000000" w:themeColor="text1"/>
          <w:sz w:val="25"/>
          <w:szCs w:val="25"/>
        </w:rPr>
        <w:t xml:space="preserve">. </w:t>
      </w:r>
    </w:p>
    <w:p w14:paraId="6BF70796" w14:textId="22F22192" w:rsidR="000D5414" w:rsidRPr="00AF336A" w:rsidRDefault="00387375" w:rsidP="00144DEC">
      <w:pPr>
        <w:spacing w:after="0" w:line="240" w:lineRule="auto"/>
        <w:ind w:firstLine="454"/>
        <w:jc w:val="both"/>
        <w:rPr>
          <w:color w:val="000000" w:themeColor="text1"/>
          <w:sz w:val="25"/>
          <w:szCs w:val="25"/>
          <w:shd w:val="clear" w:color="auto" w:fill="FFFFFF"/>
        </w:rPr>
      </w:pPr>
      <w:r w:rsidRPr="00AF336A">
        <w:rPr>
          <w:rFonts w:eastAsia="Times New Roman"/>
          <w:color w:val="000000" w:themeColor="text1"/>
          <w:sz w:val="25"/>
          <w:szCs w:val="25"/>
          <w:lang w:eastAsia="it-IT"/>
        </w:rPr>
        <w:t xml:space="preserve">Il Tribunale costituzionale ceco ha dichiarato </w:t>
      </w:r>
      <w:r w:rsidRPr="00AF336A">
        <w:rPr>
          <w:rFonts w:eastAsia="Times New Roman"/>
          <w:i/>
          <w:iCs/>
          <w:color w:val="000000" w:themeColor="text1"/>
          <w:sz w:val="25"/>
          <w:szCs w:val="25"/>
          <w:lang w:eastAsia="it-IT"/>
        </w:rPr>
        <w:t>ultra vires</w:t>
      </w:r>
      <w:r w:rsidRPr="00AF336A">
        <w:rPr>
          <w:rFonts w:eastAsia="Times New Roman"/>
          <w:color w:val="000000" w:themeColor="text1"/>
          <w:sz w:val="25"/>
          <w:szCs w:val="25"/>
          <w:lang w:eastAsia="it-IT"/>
        </w:rPr>
        <w:t xml:space="preserve"> la sentenza della Corte di giustizia, </w:t>
      </w:r>
      <w:r w:rsidRPr="00AF336A">
        <w:rPr>
          <w:rFonts w:eastAsia="Times New Roman"/>
          <w:color w:val="000000" w:themeColor="text1"/>
          <w:sz w:val="25"/>
          <w:szCs w:val="25"/>
          <w:shd w:val="clear" w:color="auto" w:fill="FFFFFF"/>
          <w:lang w:eastAsia="it-IT"/>
        </w:rPr>
        <w:t>sostenendo che 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 xml:space="preserve">Unione non </w:t>
      </w:r>
      <w:r w:rsidR="000D5414" w:rsidRPr="00AF336A">
        <w:rPr>
          <w:rFonts w:eastAsia="Times New Roman"/>
          <w:color w:val="000000" w:themeColor="text1"/>
          <w:sz w:val="25"/>
          <w:szCs w:val="25"/>
          <w:shd w:val="clear" w:color="auto" w:fill="FFFFFF"/>
          <w:lang w:eastAsia="it-IT"/>
        </w:rPr>
        <w:t>avrebbe</w:t>
      </w:r>
      <w:r w:rsidRPr="00AF336A">
        <w:rPr>
          <w:rFonts w:eastAsia="Times New Roman"/>
          <w:color w:val="000000" w:themeColor="text1"/>
          <w:sz w:val="25"/>
          <w:szCs w:val="25"/>
          <w:shd w:val="clear" w:color="auto" w:fill="FFFFFF"/>
          <w:lang w:eastAsia="it-IT"/>
        </w:rPr>
        <w:t xml:space="preserve"> alcuna competenza in materia di previdenza sociale, poiché, in base all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articolo 10 della Costituzione ceca, tale materia resta nelle competenze dello Stato.</w:t>
      </w:r>
      <w:r w:rsidR="004F0A5B" w:rsidRPr="00AF336A">
        <w:rPr>
          <w:color w:val="000000" w:themeColor="text1"/>
          <w:sz w:val="25"/>
          <w:szCs w:val="25"/>
          <w:shd w:val="clear" w:color="auto" w:fill="FFFFFF"/>
        </w:rPr>
        <w:t xml:space="preserve"> </w:t>
      </w:r>
    </w:p>
    <w:p w14:paraId="107E3DF3" w14:textId="7B93652E" w:rsidR="004F0A5B" w:rsidRPr="00AF336A" w:rsidRDefault="004F0A5B" w:rsidP="00144DEC">
      <w:pPr>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shd w:val="clear" w:color="auto" w:fill="FFFFFF"/>
        </w:rPr>
        <w:t>C</w:t>
      </w:r>
      <w:r w:rsidRPr="00AF336A">
        <w:rPr>
          <w:rFonts w:eastAsia="Times New Roman"/>
          <w:color w:val="000000" w:themeColor="text1"/>
          <w:sz w:val="25"/>
          <w:szCs w:val="25"/>
          <w:shd w:val="clear" w:color="auto" w:fill="FFFFFF"/>
          <w:lang w:eastAsia="it-IT"/>
        </w:rPr>
        <w:t>iò che sorprende è 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ambito nel quale si è verificata tale applicazione dei controlimiti, poiché la Corte di Brno non si trovava a difendere il “nucleo duro” della Costituzione, ma 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accordo concluso con 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Unione al momento dell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adesione, in nome</w:t>
      </w:r>
      <w:r w:rsidR="0066357F" w:rsidRPr="00AF336A">
        <w:rPr>
          <w:rFonts w:eastAsia="Times New Roman"/>
          <w:color w:val="000000" w:themeColor="text1"/>
          <w:sz w:val="25"/>
          <w:szCs w:val="25"/>
          <w:shd w:val="clear" w:color="auto" w:fill="FFFFFF"/>
          <w:lang w:eastAsia="it-IT"/>
        </w:rPr>
        <w:t xml:space="preserve"> </w:t>
      </w:r>
      <w:r w:rsidRPr="00AF336A">
        <w:rPr>
          <w:rFonts w:eastAsia="Times New Roman"/>
          <w:color w:val="000000" w:themeColor="text1"/>
          <w:sz w:val="25"/>
          <w:szCs w:val="25"/>
          <w:shd w:val="clear" w:color="auto" w:fill="FFFFFF"/>
          <w:lang w:eastAsia="it-IT"/>
        </w:rPr>
        <w:t>del quale è stato sacrificato un principio cardine del diritto dell</w:t>
      </w:r>
      <w:r w:rsidR="00144DEC" w:rsidRPr="00AF336A">
        <w:rPr>
          <w:rFonts w:eastAsia="Times New Roman"/>
          <w:color w:val="000000" w:themeColor="text1"/>
          <w:sz w:val="25"/>
          <w:szCs w:val="25"/>
          <w:shd w:val="clear" w:color="auto" w:fill="FFFFFF"/>
          <w:lang w:eastAsia="it-IT"/>
        </w:rPr>
        <w:t>’</w:t>
      </w:r>
      <w:r w:rsidRPr="00AF336A">
        <w:rPr>
          <w:rFonts w:eastAsia="Times New Roman"/>
          <w:color w:val="000000" w:themeColor="text1"/>
          <w:sz w:val="25"/>
          <w:szCs w:val="25"/>
          <w:shd w:val="clear" w:color="auto" w:fill="FFFFFF"/>
          <w:lang w:eastAsia="it-IT"/>
        </w:rPr>
        <w:t>Unione Europa, quale il divieto di non discriminazione</w:t>
      </w:r>
      <w:r w:rsidR="000D5414" w:rsidRPr="00AF336A">
        <w:rPr>
          <w:rFonts w:eastAsia="Times New Roman"/>
          <w:color w:val="000000" w:themeColor="text1"/>
          <w:sz w:val="25"/>
          <w:szCs w:val="25"/>
          <w:shd w:val="clear" w:color="auto" w:fill="FFFFFF"/>
          <w:lang w:eastAsia="it-IT"/>
        </w:rPr>
        <w:t xml:space="preserve"> in base alla nazionalità</w:t>
      </w:r>
      <w:r w:rsidRPr="00AF336A">
        <w:rPr>
          <w:rFonts w:eastAsia="Times New Roman"/>
          <w:color w:val="000000" w:themeColor="text1"/>
          <w:sz w:val="25"/>
          <w:szCs w:val="25"/>
          <w:shd w:val="clear" w:color="auto" w:fill="FFFFFF"/>
          <w:lang w:eastAsia="it-IT"/>
        </w:rPr>
        <w:t>. Non sorprende, quindi, che a commento di questa sentenza, qualcuno in dottrina abbia sostenuto che dare la dottrina </w:t>
      </w:r>
      <w:r w:rsidRPr="00AF336A">
        <w:rPr>
          <w:rFonts w:eastAsia="Times New Roman"/>
          <w:color w:val="000000" w:themeColor="text1"/>
          <w:sz w:val="25"/>
          <w:szCs w:val="25"/>
          <w:lang w:eastAsia="it-IT"/>
        </w:rPr>
        <w:t>dell</w:t>
      </w:r>
      <w:r w:rsidR="00144DEC" w:rsidRPr="00AF336A">
        <w:rPr>
          <w:rFonts w:eastAsia="Times New Roman"/>
          <w:color w:val="000000" w:themeColor="text1"/>
          <w:sz w:val="25"/>
          <w:szCs w:val="25"/>
          <w:lang w:eastAsia="it-IT"/>
        </w:rPr>
        <w:t>’</w:t>
      </w:r>
      <w:r w:rsidRPr="00AF336A">
        <w:rPr>
          <w:rFonts w:eastAsia="Times New Roman"/>
          <w:i/>
          <w:iCs/>
          <w:color w:val="000000" w:themeColor="text1"/>
          <w:sz w:val="25"/>
          <w:szCs w:val="25"/>
          <w:lang w:eastAsia="it-IT"/>
        </w:rPr>
        <w:t>ultra vires </w:t>
      </w:r>
      <w:r w:rsidRPr="00AF336A">
        <w:rPr>
          <w:rFonts w:eastAsia="Times New Roman"/>
          <w:color w:val="000000" w:themeColor="text1"/>
          <w:sz w:val="25"/>
          <w:szCs w:val="25"/>
          <w:shd w:val="clear" w:color="auto" w:fill="FFFFFF"/>
          <w:lang w:eastAsia="it-IT"/>
        </w:rPr>
        <w:t>nelle mani dei giudici cechi avrebbe significato lasciare che “</w:t>
      </w:r>
      <w:r w:rsidRPr="00273289">
        <w:rPr>
          <w:rFonts w:eastAsia="Times New Roman"/>
          <w:i/>
          <w:iCs/>
          <w:color w:val="000000" w:themeColor="text1"/>
          <w:sz w:val="25"/>
          <w:szCs w:val="25"/>
          <w:shd w:val="clear" w:color="auto" w:fill="FFFFFF"/>
          <w:lang w:eastAsia="it-IT"/>
        </w:rPr>
        <w:t>i bambini giocassero con i fiammiferi</w:t>
      </w:r>
      <w:r w:rsidRPr="00AF336A">
        <w:rPr>
          <w:rFonts w:eastAsia="Times New Roman"/>
          <w:color w:val="000000" w:themeColor="text1"/>
          <w:sz w:val="25"/>
          <w:szCs w:val="25"/>
          <w:shd w:val="clear" w:color="auto" w:fill="FFFFFF"/>
          <w:lang w:eastAsia="it-IT"/>
        </w:rPr>
        <w:t>”</w:t>
      </w:r>
      <w:r w:rsidR="000D5414" w:rsidRPr="00AF336A">
        <w:rPr>
          <w:rStyle w:val="Rimandonotaapidipagina"/>
          <w:rFonts w:eastAsia="Times New Roman"/>
          <w:color w:val="000000" w:themeColor="text1"/>
          <w:sz w:val="25"/>
          <w:szCs w:val="25"/>
          <w:shd w:val="clear" w:color="auto" w:fill="FFFFFF"/>
          <w:lang w:eastAsia="it-IT"/>
        </w:rPr>
        <w:footnoteReference w:id="21"/>
      </w:r>
      <w:r w:rsidRPr="00AF336A">
        <w:rPr>
          <w:rFonts w:eastAsia="Times New Roman"/>
          <w:color w:val="000000" w:themeColor="text1"/>
          <w:sz w:val="25"/>
          <w:szCs w:val="25"/>
          <w:shd w:val="clear" w:color="auto" w:fill="FFFFFF"/>
          <w:lang w:eastAsia="it-IT"/>
        </w:rPr>
        <w:t>.</w:t>
      </w:r>
    </w:p>
    <w:p w14:paraId="657C7F50" w14:textId="59780A68" w:rsidR="004F0A5B" w:rsidRPr="00AF336A" w:rsidRDefault="001679D6" w:rsidP="00144DEC">
      <w:pPr>
        <w:pStyle w:val="NormaleWeb"/>
        <w:shd w:val="clear" w:color="auto" w:fill="FFFFFF"/>
        <w:spacing w:after="0" w:line="240" w:lineRule="auto"/>
        <w:ind w:firstLine="454"/>
        <w:jc w:val="both"/>
        <w:rPr>
          <w:color w:val="000000" w:themeColor="text1"/>
          <w:sz w:val="25"/>
          <w:szCs w:val="25"/>
        </w:rPr>
      </w:pPr>
      <w:r w:rsidRPr="00AF336A">
        <w:rPr>
          <w:rFonts w:eastAsia="Times New Roman"/>
          <w:color w:val="000000" w:themeColor="text1"/>
          <w:sz w:val="25"/>
          <w:szCs w:val="25"/>
          <w:lang w:eastAsia="it-IT"/>
        </w:rPr>
        <w:t>Un caso ancora più</w:t>
      </w:r>
      <w:r w:rsidR="004F0A5B" w:rsidRPr="00AF336A">
        <w:rPr>
          <w:rFonts w:eastAsia="Times New Roman"/>
          <w:color w:val="000000" w:themeColor="text1"/>
          <w:sz w:val="25"/>
          <w:szCs w:val="25"/>
          <w:lang w:eastAsia="it-IT"/>
        </w:rPr>
        <w:t xml:space="preserve"> eclatante è</w:t>
      </w:r>
      <w:r w:rsidR="0066357F" w:rsidRPr="00AF336A">
        <w:rPr>
          <w:rFonts w:eastAsia="Times New Roman"/>
          <w:color w:val="000000" w:themeColor="text1"/>
          <w:sz w:val="25"/>
          <w:szCs w:val="25"/>
          <w:lang w:eastAsia="it-IT"/>
        </w:rPr>
        <w:t xml:space="preserve"> </w:t>
      </w:r>
      <w:r w:rsidR="004F0A5B" w:rsidRPr="00AF336A">
        <w:rPr>
          <w:rFonts w:eastAsia="Times New Roman"/>
          <w:color w:val="000000" w:themeColor="text1"/>
          <w:sz w:val="25"/>
          <w:szCs w:val="25"/>
          <w:lang w:eastAsia="it-IT"/>
        </w:rPr>
        <w:t xml:space="preserve">quello </w:t>
      </w:r>
      <w:r w:rsidR="004F0A5B" w:rsidRPr="00AF336A">
        <w:rPr>
          <w:color w:val="000000" w:themeColor="text1"/>
          <w:sz w:val="25"/>
          <w:szCs w:val="25"/>
        </w:rPr>
        <w:t xml:space="preserve">rappresentato dalla recente pronuncia </w:t>
      </w:r>
      <w:r w:rsidR="004E2BDE" w:rsidRPr="00AF336A">
        <w:rPr>
          <w:color w:val="000000" w:themeColor="text1"/>
          <w:sz w:val="25"/>
          <w:szCs w:val="25"/>
        </w:rPr>
        <w:t xml:space="preserve">del </w:t>
      </w:r>
      <w:r w:rsidR="004F0A5B" w:rsidRPr="00AF336A">
        <w:rPr>
          <w:color w:val="000000" w:themeColor="text1"/>
          <w:sz w:val="25"/>
          <w:szCs w:val="25"/>
        </w:rPr>
        <w:t>T</w:t>
      </w:r>
      <w:r w:rsidR="004E2BDE" w:rsidRPr="00AF336A">
        <w:rPr>
          <w:color w:val="000000" w:themeColor="text1"/>
          <w:sz w:val="25"/>
          <w:szCs w:val="25"/>
        </w:rPr>
        <w:t>ribunale costituzionale tedesco</w:t>
      </w:r>
      <w:r w:rsidR="00273289">
        <w:rPr>
          <w:rStyle w:val="Rimandonotaapidipagina"/>
          <w:color w:val="000000" w:themeColor="text1"/>
          <w:sz w:val="25"/>
          <w:szCs w:val="25"/>
        </w:rPr>
        <w:footnoteReference w:id="22"/>
      </w:r>
      <w:r w:rsidR="004E2BDE" w:rsidRPr="00AF336A">
        <w:rPr>
          <w:color w:val="000000" w:themeColor="text1"/>
          <w:sz w:val="25"/>
          <w:szCs w:val="25"/>
        </w:rPr>
        <w:t xml:space="preserve"> </w:t>
      </w:r>
      <w:r w:rsidR="00B2793E" w:rsidRPr="00AF336A">
        <w:rPr>
          <w:color w:val="000000" w:themeColor="text1"/>
          <w:sz w:val="25"/>
          <w:szCs w:val="25"/>
        </w:rPr>
        <w:t>il quale,</w:t>
      </w:r>
      <w:r w:rsidR="004E2BDE" w:rsidRPr="00AF336A">
        <w:rPr>
          <w:color w:val="000000" w:themeColor="text1"/>
          <w:sz w:val="25"/>
          <w:szCs w:val="25"/>
        </w:rPr>
        <w:t xml:space="preserve"> </w:t>
      </w:r>
      <w:r w:rsidR="004F0A5B" w:rsidRPr="00AF336A">
        <w:rPr>
          <w:color w:val="000000" w:themeColor="text1"/>
          <w:sz w:val="25"/>
          <w:szCs w:val="25"/>
        </w:rPr>
        <w:t xml:space="preserve">anche questa volta con un </w:t>
      </w:r>
      <w:r w:rsidR="004E2BDE" w:rsidRPr="00AF336A">
        <w:rPr>
          <w:color w:val="000000" w:themeColor="text1"/>
          <w:sz w:val="25"/>
          <w:szCs w:val="25"/>
        </w:rPr>
        <w:t>uso forte</w:t>
      </w:r>
      <w:r w:rsidR="0066357F" w:rsidRPr="00AF336A">
        <w:rPr>
          <w:color w:val="000000" w:themeColor="text1"/>
          <w:sz w:val="25"/>
          <w:szCs w:val="25"/>
        </w:rPr>
        <w:t xml:space="preserve"> </w:t>
      </w:r>
      <w:r w:rsidR="004E2BDE" w:rsidRPr="00AF336A">
        <w:rPr>
          <w:color w:val="000000" w:themeColor="text1"/>
          <w:sz w:val="25"/>
          <w:szCs w:val="25"/>
        </w:rPr>
        <w:t xml:space="preserve">e </w:t>
      </w:r>
      <w:r w:rsidR="00B2793E" w:rsidRPr="00AF336A">
        <w:rPr>
          <w:color w:val="000000" w:themeColor="text1"/>
          <w:sz w:val="25"/>
          <w:szCs w:val="25"/>
        </w:rPr>
        <w:t xml:space="preserve">forse </w:t>
      </w:r>
      <w:r w:rsidR="004E2BDE" w:rsidRPr="00AF336A">
        <w:rPr>
          <w:color w:val="000000" w:themeColor="text1"/>
          <w:sz w:val="25"/>
          <w:szCs w:val="25"/>
        </w:rPr>
        <w:t xml:space="preserve">spregiudicato del controllo </w:t>
      </w:r>
      <w:r w:rsidR="004E2BDE" w:rsidRPr="00AF336A">
        <w:rPr>
          <w:i/>
          <w:iCs/>
          <w:color w:val="000000" w:themeColor="text1"/>
          <w:sz w:val="25"/>
          <w:szCs w:val="25"/>
        </w:rPr>
        <w:t xml:space="preserve">ultra </w:t>
      </w:r>
      <w:r w:rsidR="00B2793E" w:rsidRPr="00AF336A">
        <w:rPr>
          <w:i/>
          <w:iCs/>
          <w:color w:val="000000" w:themeColor="text1"/>
          <w:sz w:val="25"/>
          <w:szCs w:val="25"/>
        </w:rPr>
        <w:t>vires</w:t>
      </w:r>
      <w:r w:rsidR="00B2793E" w:rsidRPr="00AF336A">
        <w:rPr>
          <w:color w:val="000000" w:themeColor="text1"/>
          <w:sz w:val="25"/>
          <w:szCs w:val="25"/>
        </w:rPr>
        <w:t xml:space="preserve">, </w:t>
      </w:r>
      <w:r w:rsidR="004E2BDE" w:rsidRPr="00AF336A">
        <w:rPr>
          <w:color w:val="000000" w:themeColor="text1"/>
          <w:sz w:val="25"/>
          <w:szCs w:val="25"/>
        </w:rPr>
        <w:t>è andat</w:t>
      </w:r>
      <w:r w:rsidR="004F0A5B" w:rsidRPr="00AF336A">
        <w:rPr>
          <w:color w:val="000000" w:themeColor="text1"/>
          <w:sz w:val="25"/>
          <w:szCs w:val="25"/>
        </w:rPr>
        <w:t>o</w:t>
      </w:r>
      <w:r w:rsidR="004E2BDE" w:rsidRPr="00AF336A">
        <w:rPr>
          <w:color w:val="000000" w:themeColor="text1"/>
          <w:sz w:val="25"/>
          <w:szCs w:val="25"/>
        </w:rPr>
        <w:t xml:space="preserve"> a sindacare la politica monetaria della BCE</w:t>
      </w:r>
      <w:r w:rsidR="00B2793E" w:rsidRPr="00AF336A">
        <w:rPr>
          <w:color w:val="000000" w:themeColor="text1"/>
          <w:sz w:val="25"/>
          <w:szCs w:val="25"/>
        </w:rPr>
        <w:t>,</w:t>
      </w:r>
      <w:r w:rsidR="004E2BDE" w:rsidRPr="00AF336A">
        <w:rPr>
          <w:color w:val="000000" w:themeColor="text1"/>
          <w:sz w:val="25"/>
          <w:szCs w:val="25"/>
        </w:rPr>
        <w:t xml:space="preserve"> chiedendosi</w:t>
      </w:r>
      <w:r w:rsidR="004F0A5B" w:rsidRPr="00AF336A">
        <w:rPr>
          <w:color w:val="000000" w:themeColor="text1"/>
          <w:sz w:val="25"/>
          <w:szCs w:val="25"/>
        </w:rPr>
        <w:t>, in sostanza,</w:t>
      </w:r>
      <w:r w:rsidR="004E2BDE" w:rsidRPr="00AF336A">
        <w:rPr>
          <w:color w:val="000000" w:themeColor="text1"/>
          <w:sz w:val="25"/>
          <w:szCs w:val="25"/>
        </w:rPr>
        <w:t xml:space="preserve"> se </w:t>
      </w:r>
      <w:r w:rsidR="00B2793E" w:rsidRPr="00AF336A">
        <w:rPr>
          <w:color w:val="000000" w:themeColor="text1"/>
          <w:sz w:val="25"/>
          <w:szCs w:val="25"/>
        </w:rPr>
        <w:t>questa</w:t>
      </w:r>
      <w:r w:rsidRPr="00AF336A">
        <w:rPr>
          <w:color w:val="000000" w:themeColor="text1"/>
          <w:sz w:val="25"/>
          <w:szCs w:val="25"/>
        </w:rPr>
        <w:t xml:space="preserve"> </w:t>
      </w:r>
      <w:r w:rsidR="004E2BDE" w:rsidRPr="00AF336A">
        <w:rPr>
          <w:color w:val="000000" w:themeColor="text1"/>
          <w:sz w:val="25"/>
          <w:szCs w:val="25"/>
        </w:rPr>
        <w:t>nelle scelte riconducibili al</w:t>
      </w:r>
      <w:r w:rsidR="00DF0D53" w:rsidRPr="00AF336A">
        <w:rPr>
          <w:color w:val="000000" w:themeColor="text1"/>
          <w:sz w:val="25"/>
          <w:szCs w:val="25"/>
        </w:rPr>
        <w:t xml:space="preserve"> </w:t>
      </w:r>
      <w:r w:rsidR="00DF0D53" w:rsidRPr="00AF336A">
        <w:rPr>
          <w:rFonts w:eastAsia="Times New Roman"/>
          <w:color w:val="000000" w:themeColor="text1"/>
          <w:sz w:val="25"/>
          <w:szCs w:val="25"/>
          <w:lang w:eastAsia="it-IT"/>
        </w:rPr>
        <w:t xml:space="preserve">programma di acquisto di titoli del debito sovrano sui mercati secondari (programma denominato </w:t>
      </w:r>
      <w:r w:rsidR="0066357F" w:rsidRPr="00AF336A">
        <w:rPr>
          <w:rFonts w:eastAsia="Times New Roman"/>
          <w:color w:val="000000" w:themeColor="text1"/>
          <w:sz w:val="25"/>
          <w:szCs w:val="25"/>
          <w:lang w:eastAsia="it-IT"/>
        </w:rPr>
        <w:t>“</w:t>
      </w:r>
      <w:r w:rsidR="00DF0D53" w:rsidRPr="00AF336A">
        <w:rPr>
          <w:rFonts w:eastAsia="Times New Roman"/>
          <w:color w:val="000000" w:themeColor="text1"/>
          <w:sz w:val="25"/>
          <w:szCs w:val="25"/>
          <w:lang w:eastAsia="it-IT"/>
        </w:rPr>
        <w:t>PSPP</w:t>
      </w:r>
      <w:r w:rsidR="0066357F" w:rsidRPr="00AF336A">
        <w:rPr>
          <w:rFonts w:eastAsia="Times New Roman"/>
          <w:color w:val="000000" w:themeColor="text1"/>
          <w:sz w:val="25"/>
          <w:szCs w:val="25"/>
          <w:lang w:eastAsia="it-IT"/>
        </w:rPr>
        <w:t>”</w:t>
      </w:r>
      <w:r w:rsidR="00DF0D53" w:rsidRPr="00AF336A">
        <w:rPr>
          <w:rFonts w:eastAsia="Times New Roman"/>
          <w:color w:val="000000" w:themeColor="text1"/>
          <w:sz w:val="25"/>
          <w:szCs w:val="25"/>
          <w:lang w:eastAsia="it-IT"/>
        </w:rPr>
        <w:t xml:space="preserve"> mirante a rientrare in un tasso di inflazione prossimo al 2%), </w:t>
      </w:r>
      <w:r w:rsidR="004E2BDE" w:rsidRPr="00AF336A">
        <w:rPr>
          <w:color w:val="000000" w:themeColor="text1"/>
          <w:sz w:val="25"/>
          <w:szCs w:val="25"/>
        </w:rPr>
        <w:t>non avesse in realtà utilizzato la leva monetaria per perseguire scopi di politica economica</w:t>
      </w:r>
      <w:r w:rsidR="00DF0D53" w:rsidRPr="00AF336A">
        <w:rPr>
          <w:color w:val="000000" w:themeColor="text1"/>
          <w:sz w:val="25"/>
          <w:szCs w:val="25"/>
        </w:rPr>
        <w:t>, violando anche il divieto di finanziamento monetario agli Stati memb</w:t>
      </w:r>
      <w:r w:rsidRPr="00AF336A">
        <w:rPr>
          <w:color w:val="000000" w:themeColor="text1"/>
          <w:sz w:val="25"/>
          <w:szCs w:val="25"/>
        </w:rPr>
        <w:t>ri</w:t>
      </w:r>
      <w:r w:rsidR="00DF0D53" w:rsidRPr="00AF336A">
        <w:rPr>
          <w:color w:val="000000" w:themeColor="text1"/>
          <w:sz w:val="25"/>
          <w:szCs w:val="25"/>
        </w:rPr>
        <w:t>. E</w:t>
      </w:r>
      <w:r w:rsidR="004E2BDE" w:rsidRPr="00AF336A">
        <w:rPr>
          <w:color w:val="000000" w:themeColor="text1"/>
          <w:sz w:val="25"/>
          <w:szCs w:val="25"/>
        </w:rPr>
        <w:t xml:space="preserve"> lo ha fatto dopo che la Corte di giustizia </w:t>
      </w:r>
      <w:r w:rsidR="00DF0D53" w:rsidRPr="00AF336A">
        <w:rPr>
          <w:rFonts w:eastAsia="Times New Roman"/>
          <w:color w:val="000000" w:themeColor="text1"/>
          <w:sz w:val="25"/>
          <w:szCs w:val="25"/>
          <w:lang w:eastAsia="it-IT"/>
        </w:rPr>
        <w:t xml:space="preserve">(sentenza 11 dicembre 2018, C-493/17, </w:t>
      </w:r>
      <w:r w:rsidR="00DF0D53" w:rsidRPr="00AF336A">
        <w:rPr>
          <w:rFonts w:eastAsia="Times New Roman"/>
          <w:i/>
          <w:iCs/>
          <w:color w:val="000000" w:themeColor="text1"/>
          <w:sz w:val="25"/>
          <w:szCs w:val="25"/>
          <w:lang w:eastAsia="it-IT"/>
        </w:rPr>
        <w:t>Weiss e altri</w:t>
      </w:r>
      <w:r w:rsidR="00DF0D53" w:rsidRPr="00AF336A">
        <w:rPr>
          <w:rFonts w:eastAsia="Times New Roman"/>
          <w:color w:val="000000" w:themeColor="text1"/>
          <w:sz w:val="25"/>
          <w:szCs w:val="25"/>
          <w:lang w:eastAsia="it-IT"/>
        </w:rPr>
        <w:t xml:space="preserve">), interrogata in merito alla </w:t>
      </w:r>
      <w:r w:rsidRPr="00AF336A">
        <w:rPr>
          <w:rFonts w:eastAsia="Times New Roman"/>
          <w:color w:val="000000" w:themeColor="text1"/>
          <w:sz w:val="25"/>
          <w:szCs w:val="25"/>
          <w:lang w:eastAsia="it-IT"/>
        </w:rPr>
        <w:t xml:space="preserve">legittimità </w:t>
      </w:r>
      <w:r w:rsidR="00DF0D53" w:rsidRPr="00AF336A">
        <w:rPr>
          <w:rFonts w:eastAsia="Times New Roman"/>
          <w:color w:val="000000" w:themeColor="text1"/>
          <w:sz w:val="25"/>
          <w:szCs w:val="25"/>
          <w:lang w:eastAsia="it-IT"/>
        </w:rPr>
        <w:t>di tali decisioni dal giudice costituzionale tedesco, aveva dichiarato la validit</w:t>
      </w:r>
      <w:r w:rsidRPr="00AF336A">
        <w:rPr>
          <w:rFonts w:eastAsia="Times New Roman"/>
          <w:color w:val="000000" w:themeColor="text1"/>
          <w:sz w:val="25"/>
          <w:szCs w:val="25"/>
          <w:lang w:eastAsia="it-IT"/>
        </w:rPr>
        <w:t>à</w:t>
      </w:r>
      <w:r w:rsidR="00DF0D53" w:rsidRPr="00AF336A">
        <w:rPr>
          <w:rFonts w:eastAsia="Times New Roman"/>
          <w:color w:val="000000" w:themeColor="text1"/>
          <w:sz w:val="25"/>
          <w:szCs w:val="25"/>
          <w:lang w:eastAsia="it-IT"/>
        </w:rPr>
        <w:t xml:space="preserve"> del programma PSPP</w:t>
      </w:r>
      <w:r w:rsidR="00AE31CD" w:rsidRPr="00AF336A">
        <w:rPr>
          <w:rStyle w:val="Rimandonotaapidipagina"/>
          <w:rFonts w:eastAsia="Times New Roman"/>
          <w:color w:val="000000" w:themeColor="text1"/>
          <w:sz w:val="25"/>
          <w:szCs w:val="25"/>
          <w:lang w:eastAsia="it-IT"/>
        </w:rPr>
        <w:footnoteReference w:id="23"/>
      </w:r>
      <w:r w:rsidR="00DF0D53" w:rsidRPr="00AF336A">
        <w:rPr>
          <w:rFonts w:eastAsia="Times New Roman"/>
          <w:color w:val="000000" w:themeColor="text1"/>
          <w:sz w:val="25"/>
          <w:szCs w:val="25"/>
          <w:lang w:eastAsia="it-IT"/>
        </w:rPr>
        <w:t xml:space="preserve">. </w:t>
      </w:r>
    </w:p>
    <w:p w14:paraId="789690E2" w14:textId="3DE779C5" w:rsidR="00B42B2E" w:rsidRPr="00AF336A" w:rsidRDefault="00B42B2E" w:rsidP="00144DEC">
      <w:pPr>
        <w:pStyle w:val="NormaleWeb"/>
        <w:shd w:val="clear" w:color="auto" w:fill="FFFFFF"/>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 xml:space="preserve">Secondo il </w:t>
      </w:r>
      <w:r w:rsidRPr="00AF336A">
        <w:rPr>
          <w:rFonts w:eastAsia="Times New Roman"/>
          <w:color w:val="000000" w:themeColor="text1"/>
          <w:sz w:val="25"/>
          <w:szCs w:val="25"/>
          <w:lang w:eastAsia="it-IT"/>
        </w:rPr>
        <w:t>Tribunale Costituzionale tedesco, in questa pronuncia, la Corte di Giustizia ha ecceduto il suo mandato e oltrepassato le sue competenze dal momento non avrebbe considerato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importanza e la portata del principio di proporzionalit</w:t>
      </w:r>
      <w:r w:rsidR="00207230" w:rsidRPr="00AF336A">
        <w:rPr>
          <w:rFonts w:eastAsia="Times New Roman"/>
          <w:color w:val="000000" w:themeColor="text1"/>
          <w:sz w:val="25"/>
          <w:szCs w:val="25"/>
          <w:lang w:eastAsia="it-IT"/>
        </w:rPr>
        <w:t>à</w:t>
      </w:r>
      <w:r w:rsidRPr="00AF336A">
        <w:rPr>
          <w:rFonts w:eastAsia="Times New Roman"/>
          <w:b/>
          <w:bCs/>
          <w:color w:val="000000" w:themeColor="text1"/>
          <w:sz w:val="25"/>
          <w:szCs w:val="25"/>
          <w:lang w:eastAsia="it-IT"/>
        </w:rPr>
        <w:t xml:space="preserve"> </w:t>
      </w:r>
      <w:r w:rsidRPr="00AF336A">
        <w:rPr>
          <w:rFonts w:eastAsia="Times New Roman"/>
          <w:color w:val="000000" w:themeColor="text1"/>
          <w:sz w:val="25"/>
          <w:szCs w:val="25"/>
          <w:lang w:eastAsia="it-IT"/>
        </w:rPr>
        <w:t>(articolo 5, paragrafo 1, seconda frase e articolo 5, paragrafo 4, TUE), che si applica alla divisione delle competenze tra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 xml:space="preserve">Unione europea e gli Stati membri – e sarebbe pertanto semplicemente insostenibile dal punto di vista metodologico, dato che </w:t>
      </w:r>
      <w:r w:rsidR="001679D6" w:rsidRPr="00AF336A">
        <w:rPr>
          <w:rFonts w:eastAsia="Times New Roman"/>
          <w:color w:val="000000" w:themeColor="text1"/>
          <w:sz w:val="25"/>
          <w:szCs w:val="25"/>
          <w:lang w:eastAsia="it-IT"/>
        </w:rPr>
        <w:t>avrebbe</w:t>
      </w:r>
      <w:r w:rsidR="0066357F" w:rsidRPr="00AF336A">
        <w:rPr>
          <w:rFonts w:eastAsia="Times New Roman"/>
          <w:color w:val="000000" w:themeColor="text1"/>
          <w:sz w:val="25"/>
          <w:szCs w:val="25"/>
          <w:lang w:eastAsia="it-IT"/>
        </w:rPr>
        <w:t xml:space="preserve"> ignorato</w:t>
      </w:r>
      <w:r w:rsidRPr="00AF336A">
        <w:rPr>
          <w:rFonts w:eastAsia="Times New Roman"/>
          <w:color w:val="000000" w:themeColor="text1"/>
          <w:sz w:val="25"/>
          <w:szCs w:val="25"/>
          <w:lang w:eastAsia="it-IT"/>
        </w:rPr>
        <w:t xml:space="preserve"> completamente i reali effetti di politica economica del programma. </w:t>
      </w:r>
    </w:p>
    <w:p w14:paraId="50F8BFE7" w14:textId="58DAB5A9" w:rsidR="00B42B2E" w:rsidRPr="00B42B2E" w:rsidRDefault="00B42B2E" w:rsidP="00144DEC">
      <w:pPr>
        <w:shd w:val="clear" w:color="auto" w:fill="FFFFFF"/>
        <w:spacing w:after="0" w:line="240" w:lineRule="auto"/>
        <w:ind w:firstLine="454"/>
        <w:jc w:val="both"/>
        <w:rPr>
          <w:rFonts w:eastAsia="Times New Roman"/>
          <w:color w:val="000000" w:themeColor="text1"/>
          <w:sz w:val="25"/>
          <w:szCs w:val="25"/>
          <w:lang w:eastAsia="it-IT"/>
        </w:rPr>
      </w:pPr>
      <w:r w:rsidRPr="00B42B2E">
        <w:rPr>
          <w:rFonts w:eastAsia="Times New Roman"/>
          <w:color w:val="000000" w:themeColor="text1"/>
          <w:sz w:val="25"/>
          <w:szCs w:val="25"/>
          <w:lang w:eastAsia="it-IT"/>
        </w:rPr>
        <w:t xml:space="preserve">Secondo il Tribunale costituzionale tedesco, se gli Stati membri dovessero astenersi completamente dal condurre qualsiasi tipo di giudizio </w:t>
      </w:r>
      <w:r w:rsidRPr="00B42B2E">
        <w:rPr>
          <w:rFonts w:eastAsia="Times New Roman"/>
          <w:i/>
          <w:iCs/>
          <w:color w:val="000000" w:themeColor="text1"/>
          <w:sz w:val="25"/>
          <w:szCs w:val="25"/>
          <w:lang w:eastAsia="it-IT"/>
        </w:rPr>
        <w:t>ultra vires</w:t>
      </w:r>
      <w:r w:rsidRPr="00B42B2E">
        <w:rPr>
          <w:rFonts w:eastAsia="Times New Roman"/>
          <w:color w:val="000000" w:themeColor="text1"/>
          <w:sz w:val="25"/>
          <w:szCs w:val="25"/>
          <w:lang w:eastAsia="it-IT"/>
        </w:rPr>
        <w:t>, concederebbero agli organi dell</w:t>
      </w:r>
      <w:r w:rsidR="00144DEC" w:rsidRPr="00AF336A">
        <w:rPr>
          <w:rFonts w:eastAsia="Times New Roman"/>
          <w:color w:val="000000" w:themeColor="text1"/>
          <w:sz w:val="25"/>
          <w:szCs w:val="25"/>
          <w:lang w:eastAsia="it-IT"/>
        </w:rPr>
        <w:t>’</w:t>
      </w:r>
      <w:r w:rsidRPr="00B42B2E">
        <w:rPr>
          <w:rFonts w:eastAsia="Times New Roman"/>
          <w:color w:val="000000" w:themeColor="text1"/>
          <w:sz w:val="25"/>
          <w:szCs w:val="25"/>
          <w:lang w:eastAsia="it-IT"/>
        </w:rPr>
        <w:t>UE un</w:t>
      </w:r>
      <w:r w:rsidR="00144DEC" w:rsidRPr="00AF336A">
        <w:rPr>
          <w:rFonts w:eastAsia="Times New Roman"/>
          <w:color w:val="000000" w:themeColor="text1"/>
          <w:sz w:val="25"/>
          <w:szCs w:val="25"/>
          <w:lang w:eastAsia="it-IT"/>
        </w:rPr>
        <w:t>’</w:t>
      </w:r>
      <w:r w:rsidRPr="00B42B2E">
        <w:rPr>
          <w:rFonts w:eastAsia="Times New Roman"/>
          <w:color w:val="000000" w:themeColor="text1"/>
          <w:sz w:val="25"/>
          <w:szCs w:val="25"/>
          <w:lang w:eastAsia="it-IT"/>
        </w:rPr>
        <w:t>autorit</w:t>
      </w:r>
      <w:r w:rsidR="00AE31CD" w:rsidRPr="00AF336A">
        <w:rPr>
          <w:rFonts w:eastAsia="Times New Roman"/>
          <w:color w:val="000000" w:themeColor="text1"/>
          <w:sz w:val="25"/>
          <w:szCs w:val="25"/>
          <w:lang w:eastAsia="it-IT"/>
        </w:rPr>
        <w:t>à</w:t>
      </w:r>
      <w:r w:rsidRPr="00B42B2E">
        <w:rPr>
          <w:rFonts w:eastAsia="Times New Roman"/>
          <w:color w:val="000000" w:themeColor="text1"/>
          <w:sz w:val="25"/>
          <w:szCs w:val="25"/>
          <w:lang w:eastAsia="it-IT"/>
        </w:rPr>
        <w:t xml:space="preserve"> esclusiva sui trattati anche nei casi in cui l</w:t>
      </w:r>
      <w:r w:rsidR="00144DEC" w:rsidRPr="00AF336A">
        <w:rPr>
          <w:rFonts w:eastAsia="Times New Roman"/>
          <w:color w:val="000000" w:themeColor="text1"/>
          <w:sz w:val="25"/>
          <w:szCs w:val="25"/>
          <w:lang w:eastAsia="it-IT"/>
        </w:rPr>
        <w:t>’</w:t>
      </w:r>
      <w:r w:rsidRPr="00B42B2E">
        <w:rPr>
          <w:rFonts w:eastAsia="Times New Roman"/>
          <w:color w:val="000000" w:themeColor="text1"/>
          <w:sz w:val="25"/>
          <w:szCs w:val="25"/>
          <w:lang w:eastAsia="it-IT"/>
        </w:rPr>
        <w:t xml:space="preserve">UE adotti </w:t>
      </w:r>
      <w:r w:rsidR="00273289">
        <w:rPr>
          <w:rFonts w:eastAsia="Times New Roman"/>
          <w:color w:val="000000" w:themeColor="text1"/>
          <w:sz w:val="25"/>
          <w:szCs w:val="25"/>
          <w:lang w:eastAsia="it-IT"/>
        </w:rPr>
        <w:t>“</w:t>
      </w:r>
      <w:r w:rsidRPr="00B42B2E">
        <w:rPr>
          <w:rFonts w:eastAsia="Times New Roman"/>
          <w:i/>
          <w:iCs/>
          <w:color w:val="000000" w:themeColor="text1"/>
          <w:sz w:val="25"/>
          <w:szCs w:val="25"/>
          <w:lang w:eastAsia="it-IT"/>
        </w:rPr>
        <w:t>un</w:t>
      </w:r>
      <w:r w:rsidR="00144DEC" w:rsidRPr="00AF336A">
        <w:rPr>
          <w:rFonts w:eastAsia="Times New Roman"/>
          <w:i/>
          <w:iCs/>
          <w:color w:val="000000" w:themeColor="text1"/>
          <w:sz w:val="25"/>
          <w:szCs w:val="25"/>
          <w:lang w:eastAsia="it-IT"/>
        </w:rPr>
        <w:t>’</w:t>
      </w:r>
      <w:r w:rsidRPr="00B42B2E">
        <w:rPr>
          <w:rFonts w:eastAsia="Times New Roman"/>
          <w:i/>
          <w:iCs/>
          <w:color w:val="000000" w:themeColor="text1"/>
          <w:sz w:val="25"/>
          <w:szCs w:val="25"/>
          <w:lang w:eastAsia="it-IT"/>
        </w:rPr>
        <w:t>interpretazione giuridica che equivarrebbe essenzialmente a una modifica del trattato o a un</w:t>
      </w:r>
      <w:r w:rsidR="00144DEC" w:rsidRPr="00AF336A">
        <w:rPr>
          <w:rFonts w:eastAsia="Times New Roman"/>
          <w:i/>
          <w:iCs/>
          <w:color w:val="000000" w:themeColor="text1"/>
          <w:sz w:val="25"/>
          <w:szCs w:val="25"/>
          <w:lang w:eastAsia="it-IT"/>
        </w:rPr>
        <w:t>’</w:t>
      </w:r>
      <w:r w:rsidRPr="00B42B2E">
        <w:rPr>
          <w:rFonts w:eastAsia="Times New Roman"/>
          <w:i/>
          <w:iCs/>
          <w:color w:val="000000" w:themeColor="text1"/>
          <w:sz w:val="25"/>
          <w:szCs w:val="25"/>
          <w:lang w:eastAsia="it-IT"/>
        </w:rPr>
        <w:t>espansione delle sue competenze</w:t>
      </w:r>
      <w:r w:rsidR="00273289">
        <w:rPr>
          <w:rFonts w:eastAsia="Times New Roman"/>
          <w:color w:val="000000" w:themeColor="text1"/>
          <w:sz w:val="25"/>
          <w:szCs w:val="25"/>
          <w:lang w:eastAsia="it-IT"/>
        </w:rPr>
        <w:t>”</w:t>
      </w:r>
      <w:r w:rsidRPr="00B42B2E">
        <w:rPr>
          <w:rFonts w:eastAsia="Times New Roman"/>
          <w:color w:val="000000" w:themeColor="text1"/>
          <w:sz w:val="25"/>
          <w:szCs w:val="25"/>
          <w:lang w:eastAsia="it-IT"/>
        </w:rPr>
        <w:t xml:space="preserve">. </w:t>
      </w:r>
    </w:p>
    <w:p w14:paraId="0285FDD4" w14:textId="2E6EA417" w:rsidR="00AE31CD" w:rsidRPr="00AF336A" w:rsidRDefault="00B42B2E" w:rsidP="00273289">
      <w:pPr>
        <w:spacing w:after="0" w:line="240" w:lineRule="auto"/>
        <w:ind w:firstLine="454"/>
        <w:jc w:val="both"/>
        <w:rPr>
          <w:rFonts w:eastAsia="Times New Roman"/>
          <w:color w:val="000000" w:themeColor="text1"/>
          <w:sz w:val="25"/>
          <w:szCs w:val="25"/>
          <w:lang w:eastAsia="it-IT"/>
        </w:rPr>
      </w:pPr>
      <w:r w:rsidRPr="00B42B2E">
        <w:rPr>
          <w:rFonts w:eastAsia="Times New Roman"/>
          <w:color w:val="000000" w:themeColor="text1"/>
          <w:sz w:val="25"/>
          <w:szCs w:val="25"/>
          <w:lang w:eastAsia="it-IT"/>
        </w:rPr>
        <w:t>Sebbene i casi in cui le istituzioni dell</w:t>
      </w:r>
      <w:r w:rsidR="00144DEC" w:rsidRPr="00AF336A">
        <w:rPr>
          <w:rFonts w:eastAsia="Times New Roman"/>
          <w:color w:val="000000" w:themeColor="text1"/>
          <w:sz w:val="25"/>
          <w:szCs w:val="25"/>
          <w:lang w:eastAsia="it-IT"/>
        </w:rPr>
        <w:t>’</w:t>
      </w:r>
      <w:r w:rsidRPr="00B42B2E">
        <w:rPr>
          <w:rFonts w:eastAsia="Times New Roman"/>
          <w:color w:val="000000" w:themeColor="text1"/>
          <w:sz w:val="25"/>
          <w:szCs w:val="25"/>
          <w:lang w:eastAsia="it-IT"/>
        </w:rPr>
        <w:t xml:space="preserve">UE superino le loro competenze </w:t>
      </w:r>
      <w:r w:rsidR="00AE31CD" w:rsidRPr="00AF336A">
        <w:rPr>
          <w:rFonts w:eastAsia="Times New Roman"/>
          <w:color w:val="000000" w:themeColor="text1"/>
          <w:sz w:val="25"/>
          <w:szCs w:val="25"/>
          <w:lang w:eastAsia="it-IT"/>
        </w:rPr>
        <w:t xml:space="preserve">– aggiunge il </w:t>
      </w:r>
      <w:r w:rsidR="00AE31CD" w:rsidRPr="00AF336A">
        <w:rPr>
          <w:rFonts w:eastAsia="Times New Roman"/>
          <w:i/>
          <w:iCs/>
          <w:color w:val="000000" w:themeColor="text1"/>
          <w:sz w:val="25"/>
          <w:szCs w:val="25"/>
          <w:shd w:val="clear" w:color="auto" w:fill="FFFFFF"/>
          <w:lang w:eastAsia="it-IT"/>
        </w:rPr>
        <w:t>Bundesverfassungsgericht</w:t>
      </w:r>
      <w:r w:rsidR="00AE31CD" w:rsidRPr="00AF336A">
        <w:rPr>
          <w:rFonts w:eastAsia="Times New Roman"/>
          <w:color w:val="000000" w:themeColor="text1"/>
          <w:sz w:val="25"/>
          <w:szCs w:val="25"/>
          <w:lang w:eastAsia="it-IT"/>
        </w:rPr>
        <w:t xml:space="preserve"> – </w:t>
      </w:r>
      <w:r w:rsidRPr="00B42B2E">
        <w:rPr>
          <w:rFonts w:eastAsia="Times New Roman"/>
          <w:color w:val="000000" w:themeColor="text1"/>
          <w:sz w:val="25"/>
          <w:szCs w:val="25"/>
          <w:lang w:eastAsia="it-IT"/>
        </w:rPr>
        <w:t>siano eccezionalmente possibili, è prevedibile che questi casi rimangano rari a causa delle garanzie istituzionali e procedurali sancite dal diritto dell</w:t>
      </w:r>
      <w:r w:rsidR="00144DEC" w:rsidRPr="00AF336A">
        <w:rPr>
          <w:rFonts w:eastAsia="Times New Roman"/>
          <w:color w:val="000000" w:themeColor="text1"/>
          <w:sz w:val="25"/>
          <w:szCs w:val="25"/>
          <w:lang w:eastAsia="it-IT"/>
        </w:rPr>
        <w:t>’</w:t>
      </w:r>
      <w:r w:rsidRPr="00B42B2E">
        <w:rPr>
          <w:rFonts w:eastAsia="Times New Roman"/>
          <w:color w:val="000000" w:themeColor="text1"/>
          <w:sz w:val="25"/>
          <w:szCs w:val="25"/>
          <w:lang w:eastAsia="it-IT"/>
        </w:rPr>
        <w:t>UE. Laddove esondazioni delle competenze si verifichino, l</w:t>
      </w:r>
      <w:r w:rsidR="00144DEC" w:rsidRPr="00AF336A">
        <w:rPr>
          <w:rFonts w:eastAsia="Times New Roman"/>
          <w:color w:val="000000" w:themeColor="text1"/>
          <w:sz w:val="25"/>
          <w:szCs w:val="25"/>
          <w:lang w:eastAsia="it-IT"/>
        </w:rPr>
        <w:t>’</w:t>
      </w:r>
      <w:r w:rsidRPr="00B42B2E">
        <w:rPr>
          <w:rFonts w:eastAsia="Times New Roman"/>
          <w:color w:val="000000" w:themeColor="text1"/>
          <w:sz w:val="25"/>
          <w:szCs w:val="25"/>
          <w:lang w:eastAsia="it-IT"/>
        </w:rPr>
        <w:t>impianto costituzionale tedesco potrebbe non corrispondere alla prospettiva del diritto dell</w:t>
      </w:r>
      <w:r w:rsidR="00144DEC" w:rsidRPr="00AF336A">
        <w:rPr>
          <w:rFonts w:eastAsia="Times New Roman"/>
          <w:color w:val="000000" w:themeColor="text1"/>
          <w:sz w:val="25"/>
          <w:szCs w:val="25"/>
          <w:lang w:eastAsia="it-IT"/>
        </w:rPr>
        <w:t>’</w:t>
      </w:r>
      <w:r w:rsidRPr="00B42B2E">
        <w:rPr>
          <w:rFonts w:eastAsia="Times New Roman"/>
          <w:color w:val="000000" w:themeColor="text1"/>
          <w:sz w:val="25"/>
          <w:szCs w:val="25"/>
          <w:lang w:eastAsia="it-IT"/>
        </w:rPr>
        <w:t xml:space="preserve">UE dato che, anche ai sensi del trattato di Lisbona, gli </w:t>
      </w:r>
      <w:r w:rsidR="00273289">
        <w:rPr>
          <w:rFonts w:eastAsia="Times New Roman"/>
          <w:color w:val="000000" w:themeColor="text1"/>
          <w:sz w:val="25"/>
          <w:szCs w:val="25"/>
          <w:lang w:eastAsia="it-IT"/>
        </w:rPr>
        <w:t>“</w:t>
      </w:r>
      <w:r w:rsidRPr="00B42B2E">
        <w:rPr>
          <w:rFonts w:eastAsia="Times New Roman"/>
          <w:i/>
          <w:iCs/>
          <w:color w:val="000000" w:themeColor="text1"/>
          <w:sz w:val="25"/>
          <w:szCs w:val="25"/>
          <w:lang w:eastAsia="it-IT"/>
        </w:rPr>
        <w:t xml:space="preserve">Stati membri restano i </w:t>
      </w:r>
      <w:r w:rsidR="00153A99">
        <w:rPr>
          <w:rFonts w:eastAsia="Times New Roman"/>
          <w:i/>
          <w:iCs/>
          <w:color w:val="000000" w:themeColor="text1"/>
          <w:sz w:val="25"/>
          <w:szCs w:val="25"/>
          <w:lang w:eastAsia="it-IT"/>
        </w:rPr>
        <w:t>“</w:t>
      </w:r>
      <w:r w:rsidRPr="00B42B2E">
        <w:rPr>
          <w:rFonts w:eastAsia="Times New Roman"/>
          <w:i/>
          <w:iCs/>
          <w:color w:val="000000" w:themeColor="text1"/>
          <w:sz w:val="25"/>
          <w:szCs w:val="25"/>
          <w:lang w:eastAsia="it-IT"/>
        </w:rPr>
        <w:t>padroni dei trattati</w:t>
      </w:r>
      <w:r w:rsidR="00153A99">
        <w:rPr>
          <w:rFonts w:eastAsia="Times New Roman"/>
          <w:i/>
          <w:iCs/>
          <w:color w:val="000000" w:themeColor="text1"/>
          <w:sz w:val="25"/>
          <w:szCs w:val="25"/>
          <w:lang w:eastAsia="it-IT"/>
        </w:rPr>
        <w:t>”</w:t>
      </w:r>
      <w:r w:rsidRPr="00B42B2E">
        <w:rPr>
          <w:rFonts w:eastAsia="Times New Roman"/>
          <w:i/>
          <w:iCs/>
          <w:color w:val="000000" w:themeColor="text1"/>
          <w:sz w:val="25"/>
          <w:szCs w:val="25"/>
          <w:lang w:eastAsia="it-IT"/>
        </w:rPr>
        <w:t xml:space="preserve"> e l</w:t>
      </w:r>
      <w:r w:rsidR="00144DEC" w:rsidRPr="00AF336A">
        <w:rPr>
          <w:rFonts w:eastAsia="Times New Roman"/>
          <w:i/>
          <w:iCs/>
          <w:color w:val="000000" w:themeColor="text1"/>
          <w:sz w:val="25"/>
          <w:szCs w:val="25"/>
          <w:lang w:eastAsia="it-IT"/>
        </w:rPr>
        <w:t>’</w:t>
      </w:r>
      <w:r w:rsidRPr="00B42B2E">
        <w:rPr>
          <w:rFonts w:eastAsia="Times New Roman"/>
          <w:i/>
          <w:iCs/>
          <w:color w:val="000000" w:themeColor="text1"/>
          <w:sz w:val="25"/>
          <w:szCs w:val="25"/>
          <w:lang w:eastAsia="it-IT"/>
        </w:rPr>
        <w:t>UE non si è evoluta in uno Stato federale</w:t>
      </w:r>
      <w:r w:rsidR="00273289">
        <w:rPr>
          <w:rFonts w:eastAsia="Times New Roman"/>
          <w:color w:val="000000" w:themeColor="text1"/>
          <w:sz w:val="25"/>
          <w:szCs w:val="25"/>
          <w:lang w:eastAsia="it-IT"/>
        </w:rPr>
        <w:t>”</w:t>
      </w:r>
      <w:r w:rsidRPr="00B42B2E">
        <w:rPr>
          <w:rFonts w:eastAsia="Times New Roman"/>
          <w:color w:val="000000" w:themeColor="text1"/>
          <w:sz w:val="25"/>
          <w:szCs w:val="25"/>
          <w:lang w:eastAsia="it-IT"/>
        </w:rPr>
        <w:t xml:space="preserve">. </w:t>
      </w:r>
    </w:p>
    <w:p w14:paraId="547D7CEC" w14:textId="6CA3D8C8" w:rsidR="009A358B" w:rsidRPr="00AF336A" w:rsidRDefault="009A358B" w:rsidP="00273289">
      <w:pPr>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 xml:space="preserve">Come non ricordare, ancora, </w:t>
      </w:r>
      <w:r w:rsidR="004E2BDE" w:rsidRPr="00AF336A">
        <w:rPr>
          <w:color w:val="000000" w:themeColor="text1"/>
          <w:sz w:val="25"/>
          <w:szCs w:val="25"/>
        </w:rPr>
        <w:t xml:space="preserve">il </w:t>
      </w:r>
      <w:r w:rsidRPr="00AF336A">
        <w:rPr>
          <w:color w:val="000000" w:themeColor="text1"/>
          <w:sz w:val="25"/>
          <w:szCs w:val="25"/>
        </w:rPr>
        <w:t xml:space="preserve">recentissimo </w:t>
      </w:r>
      <w:r w:rsidR="004E2BDE" w:rsidRPr="00AF336A">
        <w:rPr>
          <w:color w:val="000000" w:themeColor="text1"/>
          <w:sz w:val="25"/>
          <w:szCs w:val="25"/>
        </w:rPr>
        <w:t>caso polacco</w:t>
      </w:r>
      <w:r w:rsidRPr="00AF336A">
        <w:rPr>
          <w:color w:val="000000" w:themeColor="text1"/>
          <w:sz w:val="25"/>
          <w:szCs w:val="25"/>
        </w:rPr>
        <w:t>,</w:t>
      </w:r>
      <w:r w:rsidR="004E2BDE" w:rsidRPr="00AF336A">
        <w:rPr>
          <w:color w:val="000000" w:themeColor="text1"/>
          <w:sz w:val="25"/>
          <w:szCs w:val="25"/>
        </w:rPr>
        <w:t xml:space="preserve"> </w:t>
      </w:r>
      <w:r w:rsidR="001A4784" w:rsidRPr="00AF336A">
        <w:rPr>
          <w:color w:val="000000" w:themeColor="text1"/>
          <w:sz w:val="25"/>
          <w:szCs w:val="25"/>
        </w:rPr>
        <w:t>anch</w:t>
      </w:r>
      <w:r w:rsidR="00144DEC" w:rsidRPr="00AF336A">
        <w:rPr>
          <w:color w:val="000000" w:themeColor="text1"/>
          <w:sz w:val="25"/>
          <w:szCs w:val="25"/>
        </w:rPr>
        <w:t>’</w:t>
      </w:r>
      <w:r w:rsidRPr="00AF336A">
        <w:rPr>
          <w:color w:val="000000" w:themeColor="text1"/>
          <w:sz w:val="25"/>
          <w:szCs w:val="25"/>
        </w:rPr>
        <w:t xml:space="preserve">esso </w:t>
      </w:r>
      <w:r w:rsidR="004E2BDE" w:rsidRPr="00AF336A">
        <w:rPr>
          <w:color w:val="000000" w:themeColor="text1"/>
          <w:sz w:val="25"/>
          <w:szCs w:val="25"/>
        </w:rPr>
        <w:t>estrem</w:t>
      </w:r>
      <w:r w:rsidRPr="00AF336A">
        <w:rPr>
          <w:color w:val="000000" w:themeColor="text1"/>
          <w:sz w:val="25"/>
          <w:szCs w:val="25"/>
        </w:rPr>
        <w:t xml:space="preserve">o: </w:t>
      </w:r>
      <w:r w:rsidRPr="00AF336A">
        <w:rPr>
          <w:rFonts w:eastAsia="Times New Roman"/>
          <w:color w:val="000000" w:themeColor="text1"/>
          <w:sz w:val="25"/>
          <w:szCs w:val="25"/>
          <w:lang w:eastAsia="it-IT"/>
        </w:rPr>
        <w:t>secondo il Tribunale costituzionale polacco (sentenza P 7/20 del 14 luglio 2021),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ordinanza con la quale la Corte di giustizia aveva richiesto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 xml:space="preserve">immediata sospensione della legge che istituiva un nuovo regime disciplinare per i giudici è da considerarsi </w:t>
      </w:r>
      <w:r w:rsidRPr="00AF336A">
        <w:rPr>
          <w:rFonts w:eastAsia="Times New Roman"/>
          <w:i/>
          <w:iCs/>
          <w:color w:val="000000" w:themeColor="text1"/>
          <w:sz w:val="25"/>
          <w:szCs w:val="25"/>
          <w:lang w:eastAsia="it-IT"/>
        </w:rPr>
        <w:t xml:space="preserve">ultra vires </w:t>
      </w:r>
      <w:r w:rsidRPr="00AF336A">
        <w:rPr>
          <w:rFonts w:eastAsia="Times New Roman"/>
          <w:color w:val="000000" w:themeColor="text1"/>
          <w:sz w:val="25"/>
          <w:szCs w:val="25"/>
          <w:lang w:eastAsia="it-IT"/>
        </w:rPr>
        <w:t>e non pu</w:t>
      </w:r>
      <w:r w:rsidR="001679D6" w:rsidRPr="00AF336A">
        <w:rPr>
          <w:rFonts w:eastAsia="Times New Roman"/>
          <w:color w:val="000000" w:themeColor="text1"/>
          <w:sz w:val="25"/>
          <w:szCs w:val="25"/>
          <w:lang w:eastAsia="it-IT"/>
        </w:rPr>
        <w:t>ò</w:t>
      </w:r>
      <w:r w:rsidRPr="00AF336A">
        <w:rPr>
          <w:rFonts w:eastAsia="Times New Roman"/>
          <w:color w:val="000000" w:themeColor="text1"/>
          <w:sz w:val="25"/>
          <w:szCs w:val="25"/>
          <w:lang w:eastAsia="it-IT"/>
        </w:rPr>
        <w:t xml:space="preserve"> trovare applicazione nell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ordinamento interno. Pi</w:t>
      </w:r>
      <w:r w:rsidR="001679D6" w:rsidRPr="00AF336A">
        <w:rPr>
          <w:rFonts w:eastAsia="Times New Roman"/>
          <w:color w:val="000000" w:themeColor="text1"/>
          <w:sz w:val="25"/>
          <w:szCs w:val="25"/>
          <w:lang w:eastAsia="it-IT"/>
        </w:rPr>
        <w:t>ù</w:t>
      </w:r>
      <w:r w:rsidRPr="00AF336A">
        <w:rPr>
          <w:rFonts w:eastAsia="Times New Roman"/>
          <w:color w:val="000000" w:themeColor="text1"/>
          <w:sz w:val="25"/>
          <w:szCs w:val="25"/>
          <w:lang w:eastAsia="it-IT"/>
        </w:rPr>
        <w:t xml:space="preserve"> nello specifico, il combinato disposto degli artt. 4, par. 3, TUE e 279 TFUE, nella misura in cui impone la sospensione cautelare della normativa nazionale ritenuta in contrasto con il diritto dell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Unione, risulterebbe incompatibile con le conferenti norme della Costituzione che regolano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adattamento del diritto polacco al diritto dell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 xml:space="preserve">Unione. </w:t>
      </w:r>
    </w:p>
    <w:p w14:paraId="0902B407" w14:textId="2AC0AF91" w:rsidR="00F80A80" w:rsidRPr="00AF336A" w:rsidRDefault="001A4784" w:rsidP="00144DEC">
      <w:pPr>
        <w:spacing w:after="0" w:line="240" w:lineRule="auto"/>
        <w:ind w:firstLine="454"/>
        <w:jc w:val="both"/>
        <w:rPr>
          <w:color w:val="000000" w:themeColor="text1"/>
          <w:sz w:val="25"/>
          <w:szCs w:val="25"/>
        </w:rPr>
      </w:pPr>
      <w:r w:rsidRPr="00AF336A">
        <w:rPr>
          <w:color w:val="000000" w:themeColor="text1"/>
          <w:sz w:val="25"/>
          <w:szCs w:val="25"/>
        </w:rPr>
        <w:t xml:space="preserve">Ma </w:t>
      </w:r>
      <w:r w:rsidR="004E2BDE" w:rsidRPr="00AF336A">
        <w:rPr>
          <w:color w:val="000000" w:themeColor="text1"/>
          <w:sz w:val="25"/>
          <w:szCs w:val="25"/>
        </w:rPr>
        <w:t xml:space="preserve">rimanendo </w:t>
      </w:r>
      <w:r w:rsidRPr="00AF336A">
        <w:rPr>
          <w:color w:val="000000" w:themeColor="text1"/>
          <w:sz w:val="25"/>
          <w:szCs w:val="25"/>
        </w:rPr>
        <w:t>a</w:t>
      </w:r>
      <w:r w:rsidR="003164C5">
        <w:rPr>
          <w:color w:val="000000" w:themeColor="text1"/>
          <w:sz w:val="25"/>
          <w:szCs w:val="25"/>
        </w:rPr>
        <w:t xml:space="preserve"> </w:t>
      </w:r>
      <w:r w:rsidRPr="00AF336A">
        <w:rPr>
          <w:color w:val="000000" w:themeColor="text1"/>
          <w:sz w:val="25"/>
          <w:szCs w:val="25"/>
        </w:rPr>
        <w:t>S</w:t>
      </w:r>
      <w:r w:rsidR="004E2BDE" w:rsidRPr="00AF336A">
        <w:rPr>
          <w:color w:val="000000" w:themeColor="text1"/>
          <w:sz w:val="25"/>
          <w:szCs w:val="25"/>
        </w:rPr>
        <w:t xml:space="preserve">tati </w:t>
      </w:r>
      <w:r w:rsidRPr="00AF336A">
        <w:rPr>
          <w:color w:val="000000" w:themeColor="text1"/>
          <w:sz w:val="25"/>
          <w:szCs w:val="25"/>
        </w:rPr>
        <w:t>dove</w:t>
      </w:r>
      <w:r w:rsidR="004E2BDE" w:rsidRPr="00AF336A">
        <w:rPr>
          <w:color w:val="000000" w:themeColor="text1"/>
          <w:sz w:val="25"/>
          <w:szCs w:val="25"/>
        </w:rPr>
        <w:t xml:space="preserve"> la tradizione della cosiddetta </w:t>
      </w:r>
      <w:r w:rsidRPr="00AF336A">
        <w:rPr>
          <w:i/>
          <w:iCs/>
          <w:color w:val="000000" w:themeColor="text1"/>
          <w:sz w:val="25"/>
          <w:szCs w:val="25"/>
        </w:rPr>
        <w:t>rule of law</w:t>
      </w:r>
      <w:r w:rsidR="003164C5">
        <w:rPr>
          <w:color w:val="000000" w:themeColor="text1"/>
          <w:sz w:val="25"/>
          <w:szCs w:val="25"/>
        </w:rPr>
        <w:t xml:space="preserve"> </w:t>
      </w:r>
      <w:r w:rsidR="004E2BDE" w:rsidRPr="00AF336A">
        <w:rPr>
          <w:color w:val="000000" w:themeColor="text1"/>
          <w:sz w:val="25"/>
          <w:szCs w:val="25"/>
        </w:rPr>
        <w:t xml:space="preserve">è </w:t>
      </w:r>
      <w:r w:rsidR="009A358B" w:rsidRPr="00AF336A">
        <w:rPr>
          <w:color w:val="000000" w:themeColor="text1"/>
          <w:sz w:val="25"/>
          <w:szCs w:val="25"/>
        </w:rPr>
        <w:t xml:space="preserve">ben </w:t>
      </w:r>
      <w:r w:rsidR="004E2BDE" w:rsidRPr="00AF336A">
        <w:rPr>
          <w:color w:val="000000" w:themeColor="text1"/>
          <w:sz w:val="25"/>
          <w:szCs w:val="25"/>
        </w:rPr>
        <w:t xml:space="preserve">più </w:t>
      </w:r>
      <w:r w:rsidR="009A358B" w:rsidRPr="00AF336A">
        <w:rPr>
          <w:color w:val="000000" w:themeColor="text1"/>
          <w:sz w:val="25"/>
          <w:szCs w:val="25"/>
        </w:rPr>
        <w:t>consolidata</w:t>
      </w:r>
      <w:r w:rsidR="001679D6" w:rsidRPr="00AF336A">
        <w:rPr>
          <w:color w:val="000000" w:themeColor="text1"/>
          <w:sz w:val="25"/>
          <w:szCs w:val="25"/>
        </w:rPr>
        <w:t xml:space="preserve"> rispetto alla Polonia</w:t>
      </w:r>
      <w:r w:rsidR="009A358B" w:rsidRPr="00AF336A">
        <w:rPr>
          <w:color w:val="000000" w:themeColor="text1"/>
          <w:sz w:val="25"/>
          <w:szCs w:val="25"/>
        </w:rPr>
        <w:t>, come</w:t>
      </w:r>
      <w:r w:rsidR="004E2BDE" w:rsidRPr="00AF336A">
        <w:rPr>
          <w:color w:val="000000" w:themeColor="text1"/>
          <w:sz w:val="25"/>
          <w:szCs w:val="25"/>
        </w:rPr>
        <w:t xml:space="preserve"> </w:t>
      </w:r>
      <w:r w:rsidR="001679D6" w:rsidRPr="00AF336A">
        <w:rPr>
          <w:color w:val="000000" w:themeColor="text1"/>
          <w:sz w:val="25"/>
          <w:szCs w:val="25"/>
        </w:rPr>
        <w:t>appunto</w:t>
      </w:r>
      <w:r w:rsidR="004E2BDE" w:rsidRPr="00AF336A">
        <w:rPr>
          <w:color w:val="000000" w:themeColor="text1"/>
          <w:sz w:val="25"/>
          <w:szCs w:val="25"/>
        </w:rPr>
        <w:t xml:space="preserve"> la Germania</w:t>
      </w:r>
      <w:r w:rsidRPr="00AF336A">
        <w:rPr>
          <w:color w:val="000000" w:themeColor="text1"/>
          <w:sz w:val="25"/>
          <w:szCs w:val="25"/>
        </w:rPr>
        <w:t xml:space="preserve">, </w:t>
      </w:r>
      <w:r w:rsidR="00F80A80" w:rsidRPr="00AF336A">
        <w:rPr>
          <w:color w:val="000000" w:themeColor="text1"/>
          <w:sz w:val="25"/>
          <w:szCs w:val="25"/>
        </w:rPr>
        <w:t>va ancora ricordata</w:t>
      </w:r>
      <w:r w:rsidR="001679D6" w:rsidRPr="00AF336A">
        <w:rPr>
          <w:color w:val="000000" w:themeColor="text1"/>
          <w:sz w:val="25"/>
          <w:szCs w:val="25"/>
        </w:rPr>
        <w:t xml:space="preserve"> nel 2012</w:t>
      </w:r>
      <w:r w:rsidR="00F80A80" w:rsidRPr="00AF336A">
        <w:rPr>
          <w:color w:val="000000" w:themeColor="text1"/>
          <w:sz w:val="25"/>
          <w:szCs w:val="25"/>
        </w:rPr>
        <w:t xml:space="preserve"> </w:t>
      </w:r>
      <w:r w:rsidR="004E2BDE" w:rsidRPr="00AF336A">
        <w:rPr>
          <w:color w:val="000000" w:themeColor="text1"/>
          <w:sz w:val="25"/>
          <w:szCs w:val="25"/>
        </w:rPr>
        <w:t>l</w:t>
      </w:r>
      <w:r w:rsidR="00144DEC" w:rsidRPr="00AF336A">
        <w:rPr>
          <w:color w:val="000000" w:themeColor="text1"/>
          <w:sz w:val="25"/>
          <w:szCs w:val="25"/>
        </w:rPr>
        <w:t>’</w:t>
      </w:r>
      <w:r w:rsidR="004E2BDE" w:rsidRPr="00AF336A">
        <w:rPr>
          <w:color w:val="000000" w:themeColor="text1"/>
          <w:sz w:val="25"/>
          <w:szCs w:val="25"/>
        </w:rPr>
        <w:t>apprensione dell</w:t>
      </w:r>
      <w:r w:rsidR="00144DEC" w:rsidRPr="00AF336A">
        <w:rPr>
          <w:color w:val="000000" w:themeColor="text1"/>
          <w:sz w:val="25"/>
          <w:szCs w:val="25"/>
        </w:rPr>
        <w:t>’</w:t>
      </w:r>
      <w:r w:rsidRPr="00AF336A">
        <w:rPr>
          <w:color w:val="000000" w:themeColor="text1"/>
          <w:sz w:val="25"/>
          <w:szCs w:val="25"/>
        </w:rPr>
        <w:t>E</w:t>
      </w:r>
      <w:r w:rsidR="004E2BDE" w:rsidRPr="00AF336A">
        <w:rPr>
          <w:color w:val="000000" w:themeColor="text1"/>
          <w:sz w:val="25"/>
          <w:szCs w:val="25"/>
        </w:rPr>
        <w:t xml:space="preserve">uropa intera </w:t>
      </w:r>
      <w:r w:rsidR="00F80A80" w:rsidRPr="00AF336A">
        <w:rPr>
          <w:color w:val="000000" w:themeColor="text1"/>
          <w:sz w:val="25"/>
          <w:szCs w:val="25"/>
        </w:rPr>
        <w:t xml:space="preserve">in attesa della </w:t>
      </w:r>
      <w:r w:rsidR="004E2BDE" w:rsidRPr="00AF336A">
        <w:rPr>
          <w:color w:val="000000" w:themeColor="text1"/>
          <w:sz w:val="25"/>
          <w:szCs w:val="25"/>
        </w:rPr>
        <w:t>sentenza della Corte costituzionale tedesca sul</w:t>
      </w:r>
      <w:r w:rsidR="00F80A80" w:rsidRPr="00AF336A">
        <w:rPr>
          <w:color w:val="000000" w:themeColor="text1"/>
          <w:sz w:val="25"/>
          <w:szCs w:val="25"/>
        </w:rPr>
        <w:t xml:space="preserve"> </w:t>
      </w:r>
      <w:r w:rsidR="004E2BDE" w:rsidRPr="00AF336A">
        <w:rPr>
          <w:color w:val="000000" w:themeColor="text1"/>
          <w:sz w:val="25"/>
          <w:szCs w:val="25"/>
        </w:rPr>
        <w:t>MES</w:t>
      </w:r>
      <w:r w:rsidR="00F80A80" w:rsidRPr="00AF336A">
        <w:rPr>
          <w:color w:val="000000" w:themeColor="text1"/>
          <w:sz w:val="25"/>
          <w:szCs w:val="25"/>
        </w:rPr>
        <w:t xml:space="preserve"> (il c.d. fondo salva Stati)</w:t>
      </w:r>
      <w:r w:rsidRPr="00AF336A">
        <w:rPr>
          <w:color w:val="000000" w:themeColor="text1"/>
          <w:sz w:val="25"/>
          <w:szCs w:val="25"/>
        </w:rPr>
        <w:t xml:space="preserve">, quando si </w:t>
      </w:r>
      <w:r w:rsidR="004E2BDE" w:rsidRPr="00AF336A">
        <w:rPr>
          <w:color w:val="000000" w:themeColor="text1"/>
          <w:sz w:val="25"/>
          <w:szCs w:val="25"/>
        </w:rPr>
        <w:t xml:space="preserve">temeva che se </w:t>
      </w:r>
      <w:r w:rsidR="00F80A80" w:rsidRPr="00AF336A">
        <w:rPr>
          <w:color w:val="000000" w:themeColor="text1"/>
          <w:sz w:val="25"/>
          <w:szCs w:val="25"/>
        </w:rPr>
        <w:t xml:space="preserve">una sua eventuale bocciatura da parte dei giudici di Karlsruhe avrebbe potuto determinare il fallimento di alcuni Stati europei. E comunque, </w:t>
      </w:r>
      <w:r w:rsidR="001679D6" w:rsidRPr="00AF336A">
        <w:rPr>
          <w:color w:val="000000" w:themeColor="text1"/>
          <w:sz w:val="25"/>
          <w:szCs w:val="25"/>
        </w:rPr>
        <w:t>anche in quell</w:t>
      </w:r>
      <w:r w:rsidR="00144DEC" w:rsidRPr="00AF336A">
        <w:rPr>
          <w:color w:val="000000" w:themeColor="text1"/>
          <w:sz w:val="25"/>
          <w:szCs w:val="25"/>
        </w:rPr>
        <w:t>’</w:t>
      </w:r>
      <w:r w:rsidR="001679D6" w:rsidRPr="00AF336A">
        <w:rPr>
          <w:color w:val="000000" w:themeColor="text1"/>
          <w:sz w:val="25"/>
          <w:szCs w:val="25"/>
        </w:rPr>
        <w:t xml:space="preserve">occasione </w:t>
      </w:r>
      <w:r w:rsidR="00F80A80" w:rsidRPr="00AF336A">
        <w:rPr>
          <w:color w:val="000000" w:themeColor="text1"/>
          <w:sz w:val="25"/>
          <w:szCs w:val="25"/>
        </w:rPr>
        <w:t>l</w:t>
      </w:r>
      <w:r w:rsidR="00144DEC" w:rsidRPr="00AF336A">
        <w:rPr>
          <w:color w:val="000000" w:themeColor="text1"/>
          <w:sz w:val="25"/>
          <w:szCs w:val="25"/>
        </w:rPr>
        <w:t>’</w:t>
      </w:r>
      <w:r w:rsidR="00F80A80" w:rsidRPr="00AF336A">
        <w:rPr>
          <w:color w:val="000000" w:themeColor="text1"/>
          <w:sz w:val="25"/>
          <w:szCs w:val="25"/>
        </w:rPr>
        <w:t>avallo del Tribunale costituzionale tedesco avvenne con una serie di riserve e condizioni, volt</w:t>
      </w:r>
      <w:r w:rsidR="001679D6" w:rsidRPr="00AF336A">
        <w:rPr>
          <w:color w:val="000000" w:themeColor="text1"/>
          <w:sz w:val="25"/>
          <w:szCs w:val="25"/>
        </w:rPr>
        <w:t>e</w:t>
      </w:r>
      <w:r w:rsidR="00F80A80" w:rsidRPr="00AF336A">
        <w:rPr>
          <w:color w:val="000000" w:themeColor="text1"/>
          <w:sz w:val="25"/>
          <w:szCs w:val="25"/>
        </w:rPr>
        <w:t xml:space="preserve"> a preservare l</w:t>
      </w:r>
      <w:r w:rsidR="00144DEC" w:rsidRPr="00AF336A">
        <w:rPr>
          <w:color w:val="000000" w:themeColor="text1"/>
          <w:sz w:val="25"/>
          <w:szCs w:val="25"/>
        </w:rPr>
        <w:t>’</w:t>
      </w:r>
      <w:r w:rsidR="00F80A80" w:rsidRPr="00AF336A">
        <w:rPr>
          <w:color w:val="000000" w:themeColor="text1"/>
          <w:sz w:val="25"/>
          <w:szCs w:val="25"/>
        </w:rPr>
        <w:t xml:space="preserve">identità costituzionale tedesca e, in particolare, il controllo del </w:t>
      </w:r>
      <w:r w:rsidR="00F80A80" w:rsidRPr="00AF336A">
        <w:rPr>
          <w:i/>
          <w:iCs/>
          <w:color w:val="000000" w:themeColor="text1"/>
          <w:sz w:val="25"/>
          <w:szCs w:val="25"/>
        </w:rPr>
        <w:t xml:space="preserve">Bundestag </w:t>
      </w:r>
      <w:r w:rsidR="00F80A80" w:rsidRPr="00AF336A">
        <w:rPr>
          <w:color w:val="000000" w:themeColor="text1"/>
          <w:sz w:val="25"/>
          <w:szCs w:val="25"/>
        </w:rPr>
        <w:t xml:space="preserve">sulle scelte di bilancio. </w:t>
      </w:r>
    </w:p>
    <w:p w14:paraId="3A33BC80" w14:textId="6DD356A9" w:rsidR="00F50124" w:rsidRPr="00AF336A" w:rsidRDefault="00F50124" w:rsidP="00AF336A">
      <w:pPr>
        <w:spacing w:after="0" w:line="240" w:lineRule="auto"/>
        <w:jc w:val="both"/>
        <w:rPr>
          <w:b/>
          <w:bCs/>
          <w:color w:val="000000" w:themeColor="text1"/>
          <w:sz w:val="25"/>
          <w:szCs w:val="25"/>
        </w:rPr>
      </w:pPr>
    </w:p>
    <w:p w14:paraId="5FB07B44" w14:textId="4BCF8650" w:rsidR="00F50124" w:rsidRPr="00AF336A" w:rsidRDefault="00C63323" w:rsidP="00144DEC">
      <w:pPr>
        <w:spacing w:after="0" w:line="240" w:lineRule="auto"/>
        <w:ind w:firstLine="454"/>
        <w:jc w:val="both"/>
        <w:rPr>
          <w:b/>
          <w:bCs/>
          <w:color w:val="000000" w:themeColor="text1"/>
          <w:sz w:val="25"/>
          <w:szCs w:val="25"/>
        </w:rPr>
      </w:pPr>
      <w:r w:rsidRPr="00AF336A">
        <w:rPr>
          <w:b/>
          <w:bCs/>
          <w:color w:val="000000" w:themeColor="text1"/>
          <w:sz w:val="25"/>
          <w:szCs w:val="25"/>
        </w:rPr>
        <w:t xml:space="preserve">6. </w:t>
      </w:r>
      <w:r w:rsidR="00F50124" w:rsidRPr="00AF336A">
        <w:rPr>
          <w:b/>
          <w:bCs/>
          <w:color w:val="000000" w:themeColor="text1"/>
          <w:sz w:val="25"/>
          <w:szCs w:val="25"/>
        </w:rPr>
        <w:t>L</w:t>
      </w:r>
      <w:r w:rsidR="00144DEC" w:rsidRPr="00AF336A">
        <w:rPr>
          <w:b/>
          <w:bCs/>
          <w:color w:val="000000" w:themeColor="text1"/>
          <w:sz w:val="25"/>
          <w:szCs w:val="25"/>
        </w:rPr>
        <w:t>’</w:t>
      </w:r>
      <w:r w:rsidR="00F50124" w:rsidRPr="00AF336A">
        <w:rPr>
          <w:b/>
          <w:bCs/>
          <w:color w:val="000000" w:themeColor="text1"/>
          <w:sz w:val="25"/>
          <w:szCs w:val="25"/>
        </w:rPr>
        <w:t>uso dialogico e collaborativo dei controlimiti e il dialogo fra le Corti</w:t>
      </w:r>
      <w:r w:rsidR="006F3343">
        <w:rPr>
          <w:b/>
          <w:bCs/>
          <w:color w:val="000000" w:themeColor="text1"/>
          <w:sz w:val="25"/>
          <w:szCs w:val="25"/>
        </w:rPr>
        <w:t>.</w:t>
      </w:r>
    </w:p>
    <w:p w14:paraId="353B6F20" w14:textId="3D1C0CB1" w:rsidR="00597548" w:rsidRPr="00AF336A" w:rsidRDefault="00F50124" w:rsidP="00144DEC">
      <w:pPr>
        <w:spacing w:after="0" w:line="240" w:lineRule="auto"/>
        <w:ind w:firstLine="454"/>
        <w:jc w:val="both"/>
        <w:rPr>
          <w:color w:val="000000" w:themeColor="text1"/>
          <w:sz w:val="25"/>
          <w:szCs w:val="25"/>
        </w:rPr>
      </w:pPr>
      <w:r w:rsidRPr="00AF336A">
        <w:rPr>
          <w:color w:val="000000" w:themeColor="text1"/>
          <w:sz w:val="25"/>
          <w:szCs w:val="25"/>
        </w:rPr>
        <w:t>I casi citati nel paragrafo precedent</w:t>
      </w:r>
      <w:r w:rsidR="00AE31CD" w:rsidRPr="00AF336A">
        <w:rPr>
          <w:color w:val="000000" w:themeColor="text1"/>
          <w:sz w:val="25"/>
          <w:szCs w:val="25"/>
        </w:rPr>
        <w:t>e</w:t>
      </w:r>
      <w:r w:rsidR="004E2BDE" w:rsidRPr="00AF336A">
        <w:rPr>
          <w:color w:val="000000" w:themeColor="text1"/>
          <w:sz w:val="25"/>
          <w:szCs w:val="25"/>
        </w:rPr>
        <w:t xml:space="preserve"> dimostrano che il conflitto tra identità costituzionale e unit</w:t>
      </w:r>
      <w:r w:rsidR="00597548" w:rsidRPr="00AF336A">
        <w:rPr>
          <w:color w:val="000000" w:themeColor="text1"/>
          <w:sz w:val="25"/>
          <w:szCs w:val="25"/>
        </w:rPr>
        <w:t>à</w:t>
      </w:r>
      <w:r w:rsidR="003164C5">
        <w:rPr>
          <w:color w:val="000000" w:themeColor="text1"/>
          <w:sz w:val="25"/>
          <w:szCs w:val="25"/>
        </w:rPr>
        <w:t xml:space="preserve"> </w:t>
      </w:r>
      <w:r w:rsidR="004E2BDE" w:rsidRPr="00AF336A">
        <w:rPr>
          <w:color w:val="000000" w:themeColor="text1"/>
          <w:sz w:val="25"/>
          <w:szCs w:val="25"/>
        </w:rPr>
        <w:t xml:space="preserve">europea </w:t>
      </w:r>
      <w:r w:rsidR="00084CA1" w:rsidRPr="00AF336A">
        <w:rPr>
          <w:color w:val="000000" w:themeColor="text1"/>
          <w:sz w:val="25"/>
          <w:szCs w:val="25"/>
        </w:rPr>
        <w:t>può essere</w:t>
      </w:r>
      <w:r w:rsidR="00597548" w:rsidRPr="00AF336A">
        <w:rPr>
          <w:color w:val="000000" w:themeColor="text1"/>
          <w:sz w:val="25"/>
          <w:szCs w:val="25"/>
        </w:rPr>
        <w:t xml:space="preserve"> </w:t>
      </w:r>
      <w:r w:rsidR="004E2BDE" w:rsidRPr="00AF336A">
        <w:rPr>
          <w:color w:val="000000" w:themeColor="text1"/>
          <w:sz w:val="25"/>
          <w:szCs w:val="25"/>
        </w:rPr>
        <w:t xml:space="preserve">un </w:t>
      </w:r>
      <w:r w:rsidR="00597548" w:rsidRPr="00AF336A">
        <w:rPr>
          <w:color w:val="000000" w:themeColor="text1"/>
          <w:sz w:val="25"/>
          <w:szCs w:val="25"/>
        </w:rPr>
        <w:t>confli</w:t>
      </w:r>
      <w:r w:rsidR="004E2BDE" w:rsidRPr="00AF336A">
        <w:rPr>
          <w:color w:val="000000" w:themeColor="text1"/>
          <w:sz w:val="25"/>
          <w:szCs w:val="25"/>
        </w:rPr>
        <w:t>tto drammatico e difficilmente risolvibile se non in un</w:t>
      </w:r>
      <w:r w:rsidR="00144DEC" w:rsidRPr="00AF336A">
        <w:rPr>
          <w:color w:val="000000" w:themeColor="text1"/>
          <w:sz w:val="25"/>
          <w:szCs w:val="25"/>
        </w:rPr>
        <w:t>’</w:t>
      </w:r>
      <w:r w:rsidR="004E2BDE" w:rsidRPr="00AF336A">
        <w:rPr>
          <w:color w:val="000000" w:themeColor="text1"/>
          <w:sz w:val="25"/>
          <w:szCs w:val="25"/>
        </w:rPr>
        <w:t xml:space="preserve">ottica diversa </w:t>
      </w:r>
      <w:r w:rsidR="00084CA1" w:rsidRPr="00AF336A">
        <w:rPr>
          <w:color w:val="000000" w:themeColor="text1"/>
          <w:sz w:val="25"/>
          <w:szCs w:val="25"/>
        </w:rPr>
        <w:t xml:space="preserve">da quella </w:t>
      </w:r>
      <w:r w:rsidR="00FF30A4" w:rsidRPr="00AF336A">
        <w:rPr>
          <w:color w:val="000000" w:themeColor="text1"/>
          <w:sz w:val="25"/>
          <w:szCs w:val="25"/>
        </w:rPr>
        <w:t>sovranista</w:t>
      </w:r>
      <w:r w:rsidR="001679D6" w:rsidRPr="00AF336A">
        <w:rPr>
          <w:color w:val="000000" w:themeColor="text1"/>
          <w:sz w:val="25"/>
          <w:szCs w:val="25"/>
        </w:rPr>
        <w:t>-</w:t>
      </w:r>
      <w:r w:rsidR="004E2BDE" w:rsidRPr="00AF336A">
        <w:rPr>
          <w:color w:val="000000" w:themeColor="text1"/>
          <w:sz w:val="25"/>
          <w:szCs w:val="25"/>
        </w:rPr>
        <w:t>nazionalista</w:t>
      </w:r>
      <w:r w:rsidR="00FF30A4" w:rsidRPr="00AF336A">
        <w:rPr>
          <w:color w:val="000000" w:themeColor="text1"/>
          <w:sz w:val="25"/>
          <w:szCs w:val="25"/>
        </w:rPr>
        <w:t xml:space="preserve"> </w:t>
      </w:r>
      <w:r w:rsidR="004E2BDE" w:rsidRPr="00AF336A">
        <w:rPr>
          <w:color w:val="000000" w:themeColor="text1"/>
          <w:sz w:val="25"/>
          <w:szCs w:val="25"/>
        </w:rPr>
        <w:t xml:space="preserve">del controlimite che alcune </w:t>
      </w:r>
      <w:r w:rsidR="001679D6" w:rsidRPr="00AF336A">
        <w:rPr>
          <w:color w:val="000000" w:themeColor="text1"/>
          <w:sz w:val="25"/>
          <w:szCs w:val="25"/>
        </w:rPr>
        <w:t>C</w:t>
      </w:r>
      <w:r w:rsidR="004E2BDE" w:rsidRPr="00AF336A">
        <w:rPr>
          <w:color w:val="000000" w:themeColor="text1"/>
          <w:sz w:val="25"/>
          <w:szCs w:val="25"/>
        </w:rPr>
        <w:t xml:space="preserve">orti costituzionali </w:t>
      </w:r>
      <w:r w:rsidR="00084CA1" w:rsidRPr="00AF336A">
        <w:rPr>
          <w:color w:val="000000" w:themeColor="text1"/>
          <w:sz w:val="25"/>
          <w:szCs w:val="25"/>
        </w:rPr>
        <w:t xml:space="preserve">europee </w:t>
      </w:r>
      <w:r w:rsidR="004E2BDE" w:rsidRPr="00AF336A">
        <w:rPr>
          <w:color w:val="000000" w:themeColor="text1"/>
          <w:sz w:val="25"/>
          <w:szCs w:val="25"/>
        </w:rPr>
        <w:t>hanno attivato nel corso degli ultimi anni</w:t>
      </w:r>
      <w:r w:rsidR="00084CA1" w:rsidRPr="00AF336A">
        <w:rPr>
          <w:color w:val="000000" w:themeColor="text1"/>
          <w:sz w:val="25"/>
          <w:szCs w:val="25"/>
        </w:rPr>
        <w:t xml:space="preserve">; </w:t>
      </w:r>
      <w:r w:rsidR="004E2BDE" w:rsidRPr="00AF336A">
        <w:rPr>
          <w:color w:val="000000" w:themeColor="text1"/>
          <w:sz w:val="25"/>
          <w:szCs w:val="25"/>
        </w:rPr>
        <w:t>serve</w:t>
      </w:r>
      <w:r w:rsidR="00FF30A4" w:rsidRPr="00AF336A">
        <w:rPr>
          <w:color w:val="000000" w:themeColor="text1"/>
          <w:sz w:val="25"/>
          <w:szCs w:val="25"/>
        </w:rPr>
        <w:t>,</w:t>
      </w:r>
      <w:r w:rsidR="008B62C8" w:rsidRPr="00AF336A">
        <w:rPr>
          <w:color w:val="000000" w:themeColor="text1"/>
          <w:sz w:val="25"/>
          <w:szCs w:val="25"/>
        </w:rPr>
        <w:t xml:space="preserve"> </w:t>
      </w:r>
      <w:r w:rsidR="004E2BDE" w:rsidRPr="00AF336A">
        <w:rPr>
          <w:color w:val="000000" w:themeColor="text1"/>
          <w:sz w:val="25"/>
          <w:szCs w:val="25"/>
        </w:rPr>
        <w:t>come molto virtuosamente la nostra giurisprudenza costituzionale</w:t>
      </w:r>
      <w:r w:rsidR="00597548" w:rsidRPr="00AF336A">
        <w:rPr>
          <w:color w:val="000000" w:themeColor="text1"/>
          <w:sz w:val="25"/>
          <w:szCs w:val="25"/>
        </w:rPr>
        <w:t xml:space="preserve"> ha </w:t>
      </w:r>
      <w:r w:rsidR="004E2BDE" w:rsidRPr="00AF336A">
        <w:rPr>
          <w:color w:val="000000" w:themeColor="text1"/>
          <w:sz w:val="25"/>
          <w:szCs w:val="25"/>
        </w:rPr>
        <w:t>iniziato a fare</w:t>
      </w:r>
      <w:r w:rsidR="00084CA1" w:rsidRPr="00AF336A">
        <w:rPr>
          <w:color w:val="000000" w:themeColor="text1"/>
          <w:sz w:val="25"/>
          <w:szCs w:val="25"/>
        </w:rPr>
        <w:t xml:space="preserve">, </w:t>
      </w:r>
      <w:r w:rsidR="004E2BDE" w:rsidRPr="00AF336A">
        <w:rPr>
          <w:color w:val="000000" w:themeColor="text1"/>
          <w:sz w:val="25"/>
          <w:szCs w:val="25"/>
        </w:rPr>
        <w:t xml:space="preserve">un uso dialogico e collaborativo dei controlimiti che </w:t>
      </w:r>
      <w:r w:rsidR="00597548" w:rsidRPr="00AF336A">
        <w:rPr>
          <w:color w:val="000000" w:themeColor="text1"/>
          <w:sz w:val="25"/>
          <w:szCs w:val="25"/>
        </w:rPr>
        <w:t xml:space="preserve">è </w:t>
      </w:r>
      <w:r w:rsidR="004E2BDE" w:rsidRPr="00AF336A">
        <w:rPr>
          <w:color w:val="000000" w:themeColor="text1"/>
          <w:sz w:val="25"/>
          <w:szCs w:val="25"/>
        </w:rPr>
        <w:t>l</w:t>
      </w:r>
      <w:r w:rsidR="00144DEC" w:rsidRPr="00AF336A">
        <w:rPr>
          <w:color w:val="000000" w:themeColor="text1"/>
          <w:sz w:val="25"/>
          <w:szCs w:val="25"/>
        </w:rPr>
        <w:t>’</w:t>
      </w:r>
      <w:r w:rsidR="004E2BDE" w:rsidRPr="00AF336A">
        <w:rPr>
          <w:color w:val="000000" w:themeColor="text1"/>
          <w:sz w:val="25"/>
          <w:szCs w:val="25"/>
        </w:rPr>
        <w:t xml:space="preserve">unico uso </w:t>
      </w:r>
      <w:r w:rsidR="00FF30A4" w:rsidRPr="00AF336A">
        <w:rPr>
          <w:color w:val="000000" w:themeColor="text1"/>
          <w:sz w:val="25"/>
          <w:szCs w:val="25"/>
        </w:rPr>
        <w:t xml:space="preserve">concretamente </w:t>
      </w:r>
      <w:r w:rsidR="004E2BDE" w:rsidRPr="00AF336A">
        <w:rPr>
          <w:color w:val="000000" w:themeColor="text1"/>
          <w:sz w:val="25"/>
          <w:szCs w:val="25"/>
        </w:rPr>
        <w:t>possibile</w:t>
      </w:r>
      <w:r w:rsidR="00597548" w:rsidRPr="00AF336A">
        <w:rPr>
          <w:color w:val="000000" w:themeColor="text1"/>
          <w:sz w:val="25"/>
          <w:szCs w:val="25"/>
        </w:rPr>
        <w:t>.</w:t>
      </w:r>
    </w:p>
    <w:p w14:paraId="2BAF25CE" w14:textId="34F396C2" w:rsidR="00C81D79" w:rsidRPr="00AF336A" w:rsidRDefault="00C81D79" w:rsidP="00144DEC">
      <w:pPr>
        <w:pStyle w:val="NormaleWeb"/>
        <w:spacing w:after="0" w:line="240" w:lineRule="auto"/>
        <w:ind w:firstLine="454"/>
        <w:jc w:val="both"/>
        <w:rPr>
          <w:rFonts w:eastAsia="Times New Roman"/>
          <w:color w:val="000000" w:themeColor="text1"/>
          <w:sz w:val="25"/>
          <w:szCs w:val="25"/>
          <w:lang w:eastAsia="it-IT"/>
        </w:rPr>
      </w:pPr>
      <w:r w:rsidRPr="00C81D79">
        <w:rPr>
          <w:rFonts w:eastAsia="Times New Roman"/>
          <w:color w:val="000000" w:themeColor="text1"/>
          <w:sz w:val="25"/>
          <w:szCs w:val="25"/>
          <w:lang w:eastAsia="it-IT"/>
        </w:rPr>
        <w:t>I</w:t>
      </w:r>
      <w:r w:rsidR="00F50124" w:rsidRPr="00AF336A">
        <w:rPr>
          <w:rFonts w:eastAsia="Times New Roman"/>
          <w:color w:val="000000" w:themeColor="text1"/>
          <w:sz w:val="25"/>
          <w:szCs w:val="25"/>
          <w:lang w:eastAsia="it-IT"/>
        </w:rPr>
        <w:t>n Italia, il</w:t>
      </w:r>
      <w:r w:rsidRPr="00C81D79">
        <w:rPr>
          <w:rFonts w:eastAsia="Times New Roman"/>
          <w:color w:val="000000" w:themeColor="text1"/>
          <w:sz w:val="25"/>
          <w:szCs w:val="25"/>
          <w:lang w:eastAsia="it-IT"/>
        </w:rPr>
        <w:t xml:space="preserve"> </w:t>
      </w:r>
      <w:r w:rsidRPr="00AF336A">
        <w:rPr>
          <w:rFonts w:eastAsia="Times New Roman"/>
          <w:color w:val="000000" w:themeColor="text1"/>
          <w:sz w:val="25"/>
          <w:szCs w:val="25"/>
          <w:lang w:eastAsia="it-IT"/>
        </w:rPr>
        <w:t xml:space="preserve">noto </w:t>
      </w:r>
      <w:r w:rsidRPr="00C81D79">
        <w:rPr>
          <w:rFonts w:eastAsia="Times New Roman"/>
          <w:color w:val="000000" w:themeColor="text1"/>
          <w:sz w:val="25"/>
          <w:szCs w:val="25"/>
          <w:lang w:eastAsia="it-IT"/>
        </w:rPr>
        <w:t xml:space="preserve">caso </w:t>
      </w:r>
      <w:r w:rsidRPr="00C81D79">
        <w:rPr>
          <w:rFonts w:eastAsia="Times New Roman"/>
          <w:i/>
          <w:iCs/>
          <w:color w:val="000000" w:themeColor="text1"/>
          <w:sz w:val="25"/>
          <w:szCs w:val="25"/>
          <w:lang w:eastAsia="it-IT"/>
        </w:rPr>
        <w:t xml:space="preserve">Taricco </w:t>
      </w:r>
      <w:r w:rsidRPr="00C81D79">
        <w:rPr>
          <w:rFonts w:eastAsia="Times New Roman"/>
          <w:color w:val="000000" w:themeColor="text1"/>
          <w:sz w:val="25"/>
          <w:szCs w:val="25"/>
          <w:lang w:eastAsia="it-IT"/>
        </w:rPr>
        <w:t>ha dimostrato come, nel quadro di un principio di leale collaborazione</w:t>
      </w:r>
      <w:r w:rsidRPr="00AF336A">
        <w:rPr>
          <w:rFonts w:eastAsia="Times New Roman"/>
          <w:color w:val="000000" w:themeColor="text1"/>
          <w:sz w:val="25"/>
          <w:szCs w:val="25"/>
          <w:lang w:eastAsia="it-IT"/>
        </w:rPr>
        <w:t xml:space="preserve"> </w:t>
      </w:r>
      <w:r w:rsidRPr="00C81D79">
        <w:rPr>
          <w:rFonts w:eastAsia="Times New Roman"/>
          <w:color w:val="000000" w:themeColor="text1"/>
          <w:sz w:val="25"/>
          <w:szCs w:val="25"/>
          <w:lang w:eastAsia="it-IT"/>
        </w:rPr>
        <w:t>e nel dialogo tra le Corti, concetti quali quello d</w:t>
      </w:r>
      <w:r w:rsidR="007B70D2" w:rsidRPr="00AF336A">
        <w:rPr>
          <w:rFonts w:eastAsia="Times New Roman"/>
          <w:color w:val="000000" w:themeColor="text1"/>
          <w:sz w:val="25"/>
          <w:szCs w:val="25"/>
          <w:lang w:eastAsia="it-IT"/>
        </w:rPr>
        <w:t>i</w:t>
      </w:r>
      <w:r w:rsidR="00F50124" w:rsidRPr="00AF336A">
        <w:rPr>
          <w:rFonts w:eastAsia="Times New Roman"/>
          <w:color w:val="000000" w:themeColor="text1"/>
          <w:sz w:val="25"/>
          <w:szCs w:val="25"/>
          <w:lang w:eastAsia="it-IT"/>
        </w:rPr>
        <w:t xml:space="preserve"> </w:t>
      </w:r>
      <w:r w:rsidR="007B70D2" w:rsidRPr="00AF336A">
        <w:rPr>
          <w:rFonts w:eastAsia="Times New Roman"/>
          <w:color w:val="000000" w:themeColor="text1"/>
          <w:sz w:val="25"/>
          <w:szCs w:val="25"/>
          <w:lang w:eastAsia="it-IT"/>
        </w:rPr>
        <w:t>“</w:t>
      </w:r>
      <w:r w:rsidRPr="00C81D79">
        <w:rPr>
          <w:rFonts w:eastAsia="Times New Roman"/>
          <w:color w:val="000000" w:themeColor="text1"/>
          <w:sz w:val="25"/>
          <w:szCs w:val="25"/>
          <w:lang w:eastAsia="it-IT"/>
        </w:rPr>
        <w:t>tradizioni costituzionali comuni</w:t>
      </w:r>
      <w:r w:rsidR="007B70D2" w:rsidRPr="00AF336A">
        <w:rPr>
          <w:rFonts w:eastAsia="Times New Roman"/>
          <w:color w:val="000000" w:themeColor="text1"/>
          <w:sz w:val="25"/>
          <w:szCs w:val="25"/>
          <w:lang w:eastAsia="it-IT"/>
        </w:rPr>
        <w:t>”</w:t>
      </w:r>
      <w:r w:rsidRPr="00C81D79">
        <w:rPr>
          <w:rFonts w:eastAsia="Times New Roman"/>
          <w:color w:val="000000" w:themeColor="text1"/>
          <w:sz w:val="25"/>
          <w:szCs w:val="25"/>
          <w:lang w:eastAsia="it-IT"/>
        </w:rPr>
        <w:t xml:space="preserve"> agli Stati membri possano consentire di trovare un saldo punto di equilibrio in cui comporre le contrapposte esigenze nazionali e sovranazionali. </w:t>
      </w:r>
      <w:r w:rsidRPr="00AF336A">
        <w:rPr>
          <w:rFonts w:eastAsia="Times New Roman"/>
          <w:color w:val="000000" w:themeColor="text1"/>
          <w:sz w:val="25"/>
          <w:szCs w:val="25"/>
          <w:lang w:eastAsia="it-IT"/>
        </w:rPr>
        <w:t>In questa prospettiva, la strada maestra sembra essere quella della prosecuzione del dialogo tra le Corti, il quale, per essere vincente deve tuttavia rispettare due condizioni: (</w:t>
      </w:r>
      <w:r w:rsidRPr="00AF336A">
        <w:rPr>
          <w:rFonts w:eastAsia="Times New Roman"/>
          <w:i/>
          <w:iCs/>
          <w:color w:val="000000" w:themeColor="text1"/>
          <w:sz w:val="25"/>
          <w:szCs w:val="25"/>
          <w:lang w:eastAsia="it-IT"/>
        </w:rPr>
        <w:t>i</w:t>
      </w:r>
      <w:r w:rsidRPr="00AF336A">
        <w:rPr>
          <w:rFonts w:eastAsia="Times New Roman"/>
          <w:color w:val="000000" w:themeColor="text1"/>
          <w:sz w:val="25"/>
          <w:szCs w:val="25"/>
          <w:lang w:eastAsia="it-IT"/>
        </w:rPr>
        <w:t>) la prima è la disponibilit</w:t>
      </w:r>
      <w:r w:rsidR="007B70D2" w:rsidRPr="00AF336A">
        <w:rPr>
          <w:rFonts w:eastAsia="Times New Roman"/>
          <w:color w:val="000000" w:themeColor="text1"/>
          <w:sz w:val="25"/>
          <w:szCs w:val="25"/>
          <w:lang w:eastAsia="it-IT"/>
        </w:rPr>
        <w:t>à</w:t>
      </w:r>
      <w:r w:rsidRPr="00AF336A">
        <w:rPr>
          <w:rFonts w:eastAsia="Times New Roman"/>
          <w:color w:val="000000" w:themeColor="text1"/>
          <w:sz w:val="25"/>
          <w:szCs w:val="25"/>
          <w:lang w:eastAsia="it-IT"/>
        </w:rPr>
        <w:t xml:space="preserve"> della Corte di giustizia ad ascoltare le esigenze costituzionali invocate delle Corti costituzionali (e supreme) degli Stati membri e a tenere conto nelle proprie pronunce dei valori e dei principi costituzionali considerati irrinunciabili dagli Stati membri; e (</w:t>
      </w:r>
      <w:r w:rsidRPr="00AF336A">
        <w:rPr>
          <w:rFonts w:eastAsia="Times New Roman"/>
          <w:i/>
          <w:iCs/>
          <w:color w:val="000000" w:themeColor="text1"/>
          <w:sz w:val="25"/>
          <w:szCs w:val="25"/>
          <w:lang w:eastAsia="it-IT"/>
        </w:rPr>
        <w:t>ii</w:t>
      </w:r>
      <w:r w:rsidRPr="00AF336A">
        <w:rPr>
          <w:rFonts w:eastAsia="Times New Roman"/>
          <w:color w:val="000000" w:themeColor="text1"/>
          <w:sz w:val="25"/>
          <w:szCs w:val="25"/>
          <w:lang w:eastAsia="it-IT"/>
        </w:rPr>
        <w:t>) la seconda è che i sistemi nazionali rinuncino a porsi in maniera autoreferenziale ed accettino di contemperare i propri valori costituzionali con i valori e le esigenze derivanti dall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appartenenza all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Unione europea. Se le Corti riusciranno a cogliere un giusto equilibrio fra questi due imperativi si apriranno nuove opportunit</w:t>
      </w:r>
      <w:r w:rsidR="007B70D2" w:rsidRPr="00AF336A">
        <w:rPr>
          <w:rFonts w:eastAsia="Times New Roman"/>
          <w:color w:val="000000" w:themeColor="text1"/>
          <w:sz w:val="25"/>
          <w:szCs w:val="25"/>
          <w:lang w:eastAsia="it-IT"/>
        </w:rPr>
        <w:t>à</w:t>
      </w:r>
      <w:r w:rsidRPr="00AF336A">
        <w:rPr>
          <w:rFonts w:eastAsia="Times New Roman"/>
          <w:color w:val="000000" w:themeColor="text1"/>
          <w:sz w:val="25"/>
          <w:szCs w:val="25"/>
          <w:lang w:eastAsia="it-IT"/>
        </w:rPr>
        <w:t xml:space="preserve"> di integrazione per la tutela dei diritti fondamentali garantita nell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ambito dell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Unione europea e per l</w:t>
      </w:r>
      <w:r w:rsidR="00144DEC"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avanzamento del processo di maturazione della realt</w:t>
      </w:r>
      <w:r w:rsidR="006A3361" w:rsidRPr="00AF336A">
        <w:rPr>
          <w:rFonts w:eastAsia="Times New Roman"/>
          <w:color w:val="000000" w:themeColor="text1"/>
          <w:sz w:val="25"/>
          <w:szCs w:val="25"/>
          <w:lang w:eastAsia="it-IT"/>
        </w:rPr>
        <w:t>à</w:t>
      </w:r>
      <w:r w:rsidRPr="00AF336A">
        <w:rPr>
          <w:rFonts w:eastAsia="Times New Roman"/>
          <w:color w:val="000000" w:themeColor="text1"/>
          <w:sz w:val="25"/>
          <w:szCs w:val="25"/>
          <w:lang w:eastAsia="it-IT"/>
        </w:rPr>
        <w:t xml:space="preserve"> giuridica sovranazionale</w:t>
      </w:r>
      <w:r w:rsidR="006A3361" w:rsidRPr="00AF336A">
        <w:rPr>
          <w:rStyle w:val="Rimandonotaapidipagina"/>
          <w:rFonts w:eastAsia="Times New Roman"/>
          <w:color w:val="000000" w:themeColor="text1"/>
          <w:sz w:val="25"/>
          <w:szCs w:val="25"/>
          <w:lang w:eastAsia="it-IT"/>
        </w:rPr>
        <w:footnoteReference w:id="24"/>
      </w:r>
      <w:r w:rsidRPr="00AF336A">
        <w:rPr>
          <w:rFonts w:eastAsia="Times New Roman"/>
          <w:color w:val="000000" w:themeColor="text1"/>
          <w:sz w:val="25"/>
          <w:szCs w:val="25"/>
          <w:lang w:eastAsia="it-IT"/>
        </w:rPr>
        <w:t xml:space="preserve">. </w:t>
      </w:r>
    </w:p>
    <w:p w14:paraId="19AC6ADD" w14:textId="731FF2A7" w:rsidR="00FF30A4" w:rsidRPr="00AF336A" w:rsidRDefault="00C81D79"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P</w:t>
      </w:r>
      <w:r w:rsidR="004E2BDE" w:rsidRPr="00AF336A">
        <w:rPr>
          <w:color w:val="000000" w:themeColor="text1"/>
          <w:sz w:val="25"/>
          <w:szCs w:val="25"/>
        </w:rPr>
        <w:t xml:space="preserve">ensiamo ancora alla sentenza </w:t>
      </w:r>
      <w:r w:rsidR="00F50124" w:rsidRPr="00AF336A">
        <w:rPr>
          <w:color w:val="000000" w:themeColor="text1"/>
          <w:sz w:val="25"/>
          <w:szCs w:val="25"/>
        </w:rPr>
        <w:t>(sentenza n. 84/2020, preceduta dall</w:t>
      </w:r>
      <w:r w:rsidR="00144DEC" w:rsidRPr="00AF336A">
        <w:rPr>
          <w:color w:val="000000" w:themeColor="text1"/>
          <w:sz w:val="25"/>
          <w:szCs w:val="25"/>
        </w:rPr>
        <w:t>’</w:t>
      </w:r>
      <w:r w:rsidR="00F50124" w:rsidRPr="00AF336A">
        <w:rPr>
          <w:color w:val="000000" w:themeColor="text1"/>
          <w:sz w:val="25"/>
          <w:szCs w:val="25"/>
        </w:rPr>
        <w:t xml:space="preserve">ordinanza di rinvio pregiudiziale 117/2019) </w:t>
      </w:r>
      <w:r w:rsidR="004E2BDE" w:rsidRPr="00AF336A">
        <w:rPr>
          <w:color w:val="000000" w:themeColor="text1"/>
          <w:sz w:val="25"/>
          <w:szCs w:val="25"/>
        </w:rPr>
        <w:t xml:space="preserve">della Corte </w:t>
      </w:r>
      <w:r w:rsidR="00F50124" w:rsidRPr="00AF336A">
        <w:rPr>
          <w:color w:val="000000" w:themeColor="text1"/>
          <w:sz w:val="25"/>
          <w:szCs w:val="25"/>
        </w:rPr>
        <w:t xml:space="preserve">costituzionale </w:t>
      </w:r>
      <w:r w:rsidR="004E2BDE" w:rsidRPr="00AF336A">
        <w:rPr>
          <w:color w:val="000000" w:themeColor="text1"/>
          <w:sz w:val="25"/>
          <w:szCs w:val="25"/>
        </w:rPr>
        <w:t xml:space="preserve">sul cosiddetto diritto al silenzio nei procedimenti formalmente amministrativi ma sostanzialmente </w:t>
      </w:r>
      <w:r w:rsidR="00597548" w:rsidRPr="00AF336A">
        <w:rPr>
          <w:color w:val="000000" w:themeColor="text1"/>
          <w:sz w:val="25"/>
          <w:szCs w:val="25"/>
        </w:rPr>
        <w:t>punitivi</w:t>
      </w:r>
      <w:r w:rsidR="00FF30A4" w:rsidRPr="00AF336A">
        <w:rPr>
          <w:color w:val="000000" w:themeColor="text1"/>
          <w:sz w:val="25"/>
          <w:szCs w:val="25"/>
        </w:rPr>
        <w:t>. A</w:t>
      </w:r>
      <w:r w:rsidR="004E2BDE" w:rsidRPr="00AF336A">
        <w:rPr>
          <w:color w:val="000000" w:themeColor="text1"/>
          <w:sz w:val="25"/>
          <w:szCs w:val="25"/>
        </w:rPr>
        <w:t xml:space="preserve">nche </w:t>
      </w:r>
      <w:r w:rsidR="00FF30A4" w:rsidRPr="00AF336A">
        <w:rPr>
          <w:color w:val="000000" w:themeColor="text1"/>
          <w:sz w:val="25"/>
          <w:szCs w:val="25"/>
        </w:rPr>
        <w:t>in quella occasione</w:t>
      </w:r>
      <w:r w:rsidR="006A3361" w:rsidRPr="00AF336A">
        <w:rPr>
          <w:color w:val="000000" w:themeColor="text1"/>
          <w:sz w:val="25"/>
          <w:szCs w:val="25"/>
        </w:rPr>
        <w:t>,</w:t>
      </w:r>
      <w:r w:rsidR="004E2BDE" w:rsidRPr="00AF336A">
        <w:rPr>
          <w:color w:val="000000" w:themeColor="text1"/>
          <w:sz w:val="25"/>
          <w:szCs w:val="25"/>
        </w:rPr>
        <w:t xml:space="preserve"> </w:t>
      </w:r>
      <w:r w:rsidR="00F50124" w:rsidRPr="00AF336A">
        <w:rPr>
          <w:color w:val="000000" w:themeColor="text1"/>
          <w:sz w:val="25"/>
          <w:szCs w:val="25"/>
        </w:rPr>
        <w:t>il giudice costituzionale italiano</w:t>
      </w:r>
      <w:r w:rsidR="004E2BDE" w:rsidRPr="00AF336A">
        <w:rPr>
          <w:color w:val="000000" w:themeColor="text1"/>
          <w:sz w:val="25"/>
          <w:szCs w:val="25"/>
        </w:rPr>
        <w:t xml:space="preserve"> è stat</w:t>
      </w:r>
      <w:r w:rsidR="00273289">
        <w:rPr>
          <w:color w:val="000000" w:themeColor="text1"/>
          <w:sz w:val="25"/>
          <w:szCs w:val="25"/>
        </w:rPr>
        <w:t>o</w:t>
      </w:r>
      <w:r w:rsidR="004E2BDE" w:rsidRPr="00AF336A">
        <w:rPr>
          <w:color w:val="000000" w:themeColor="text1"/>
          <w:sz w:val="25"/>
          <w:szCs w:val="25"/>
        </w:rPr>
        <w:t xml:space="preserve"> collaborativ</w:t>
      </w:r>
      <w:r w:rsidR="00F50124" w:rsidRPr="00AF336A">
        <w:rPr>
          <w:color w:val="000000" w:themeColor="text1"/>
          <w:sz w:val="25"/>
          <w:szCs w:val="25"/>
        </w:rPr>
        <w:t>o</w:t>
      </w:r>
      <w:r w:rsidR="00597548" w:rsidRPr="00AF336A">
        <w:rPr>
          <w:color w:val="000000" w:themeColor="text1"/>
          <w:sz w:val="25"/>
          <w:szCs w:val="25"/>
        </w:rPr>
        <w:t>,</w:t>
      </w:r>
      <w:r w:rsidR="004E2BDE" w:rsidRPr="00AF336A">
        <w:rPr>
          <w:color w:val="000000" w:themeColor="text1"/>
          <w:sz w:val="25"/>
          <w:szCs w:val="25"/>
        </w:rPr>
        <w:t xml:space="preserve"> </w:t>
      </w:r>
      <w:r w:rsidR="00F50124" w:rsidRPr="00AF336A">
        <w:rPr>
          <w:color w:val="000000" w:themeColor="text1"/>
          <w:sz w:val="25"/>
          <w:szCs w:val="25"/>
        </w:rPr>
        <w:t xml:space="preserve">perché, </w:t>
      </w:r>
      <w:r w:rsidR="004E2BDE" w:rsidRPr="00AF336A">
        <w:rPr>
          <w:color w:val="000000" w:themeColor="text1"/>
          <w:sz w:val="25"/>
          <w:szCs w:val="25"/>
        </w:rPr>
        <w:t xml:space="preserve">di fronte ad una norma </w:t>
      </w:r>
      <w:r w:rsidR="00FF30A4" w:rsidRPr="00AF336A">
        <w:rPr>
          <w:color w:val="000000" w:themeColor="text1"/>
          <w:sz w:val="25"/>
          <w:szCs w:val="25"/>
        </w:rPr>
        <w:t xml:space="preserve">di derivazione comunitaria </w:t>
      </w:r>
      <w:r w:rsidR="004E2BDE" w:rsidRPr="00AF336A">
        <w:rPr>
          <w:color w:val="000000" w:themeColor="text1"/>
          <w:sz w:val="25"/>
          <w:szCs w:val="25"/>
        </w:rPr>
        <w:t>che c</w:t>
      </w:r>
      <w:r w:rsidR="006A3361" w:rsidRPr="00AF336A">
        <w:rPr>
          <w:color w:val="000000" w:themeColor="text1"/>
          <w:sz w:val="25"/>
          <w:szCs w:val="25"/>
        </w:rPr>
        <w:t>o</w:t>
      </w:r>
      <w:r w:rsidR="004E2BDE" w:rsidRPr="00AF336A">
        <w:rPr>
          <w:color w:val="000000" w:themeColor="text1"/>
          <w:sz w:val="25"/>
          <w:szCs w:val="25"/>
        </w:rPr>
        <w:t>nculca</w:t>
      </w:r>
      <w:r w:rsidR="00FF30A4" w:rsidRPr="00AF336A">
        <w:rPr>
          <w:color w:val="000000" w:themeColor="text1"/>
          <w:sz w:val="25"/>
          <w:szCs w:val="25"/>
        </w:rPr>
        <w:t>va</w:t>
      </w:r>
      <w:r w:rsidR="004E2BDE" w:rsidRPr="00AF336A">
        <w:rPr>
          <w:color w:val="000000" w:themeColor="text1"/>
          <w:sz w:val="25"/>
          <w:szCs w:val="25"/>
        </w:rPr>
        <w:t xml:space="preserve"> il diritto di difesa</w:t>
      </w:r>
      <w:r w:rsidR="00FF30A4" w:rsidRPr="00AF336A">
        <w:rPr>
          <w:color w:val="000000" w:themeColor="text1"/>
          <w:sz w:val="25"/>
          <w:szCs w:val="25"/>
        </w:rPr>
        <w:t xml:space="preserve"> (nel senso che non si può costringere taluno a parlare contro di sé)</w:t>
      </w:r>
      <w:r w:rsidR="00597548" w:rsidRPr="00AF336A">
        <w:rPr>
          <w:color w:val="000000" w:themeColor="text1"/>
          <w:sz w:val="25"/>
          <w:szCs w:val="25"/>
        </w:rPr>
        <w:t xml:space="preserve"> </w:t>
      </w:r>
      <w:r w:rsidR="004E2BDE" w:rsidRPr="00AF336A">
        <w:rPr>
          <w:color w:val="000000" w:themeColor="text1"/>
          <w:sz w:val="25"/>
          <w:szCs w:val="25"/>
        </w:rPr>
        <w:t xml:space="preserve">e a fronte della possibile contestuale violazione sia della </w:t>
      </w:r>
      <w:r w:rsidR="00597548" w:rsidRPr="00AF336A">
        <w:rPr>
          <w:color w:val="000000" w:themeColor="text1"/>
          <w:sz w:val="25"/>
          <w:szCs w:val="25"/>
        </w:rPr>
        <w:t>C</w:t>
      </w:r>
      <w:r w:rsidR="004E2BDE" w:rsidRPr="00AF336A">
        <w:rPr>
          <w:color w:val="000000" w:themeColor="text1"/>
          <w:sz w:val="25"/>
          <w:szCs w:val="25"/>
        </w:rPr>
        <w:t xml:space="preserve">ostituzione sia della </w:t>
      </w:r>
      <w:r w:rsidR="00F50124" w:rsidRPr="00AF336A">
        <w:rPr>
          <w:color w:val="000000" w:themeColor="text1"/>
          <w:sz w:val="25"/>
          <w:szCs w:val="25"/>
        </w:rPr>
        <w:t>C</w:t>
      </w:r>
      <w:r w:rsidR="004E2BDE" w:rsidRPr="00AF336A">
        <w:rPr>
          <w:color w:val="000000" w:themeColor="text1"/>
          <w:sz w:val="25"/>
          <w:szCs w:val="25"/>
        </w:rPr>
        <w:t>arta di Nizza</w:t>
      </w:r>
      <w:r w:rsidR="00597548" w:rsidRPr="00AF336A">
        <w:rPr>
          <w:color w:val="000000" w:themeColor="text1"/>
          <w:sz w:val="25"/>
          <w:szCs w:val="25"/>
        </w:rPr>
        <w:t>,</w:t>
      </w:r>
      <w:r w:rsidR="004E2BDE" w:rsidRPr="00AF336A">
        <w:rPr>
          <w:color w:val="000000" w:themeColor="text1"/>
          <w:sz w:val="25"/>
          <w:szCs w:val="25"/>
        </w:rPr>
        <w:t xml:space="preserve"> la Corte</w:t>
      </w:r>
      <w:r w:rsidR="003A591E" w:rsidRPr="00AF336A">
        <w:rPr>
          <w:color w:val="000000" w:themeColor="text1"/>
          <w:sz w:val="25"/>
          <w:szCs w:val="25"/>
        </w:rPr>
        <w:t xml:space="preserve"> costituzionale</w:t>
      </w:r>
      <w:r w:rsidR="00FF30A4" w:rsidRPr="00AF336A">
        <w:rPr>
          <w:color w:val="000000" w:themeColor="text1"/>
          <w:sz w:val="25"/>
          <w:szCs w:val="25"/>
        </w:rPr>
        <w:t>,</w:t>
      </w:r>
      <w:r w:rsidR="004E2BDE" w:rsidRPr="00AF336A">
        <w:rPr>
          <w:color w:val="000000" w:themeColor="text1"/>
          <w:sz w:val="25"/>
          <w:szCs w:val="25"/>
        </w:rPr>
        <w:t xml:space="preserve"> ancora una volta</w:t>
      </w:r>
      <w:r w:rsidR="00FF30A4" w:rsidRPr="00AF336A">
        <w:rPr>
          <w:color w:val="000000" w:themeColor="text1"/>
          <w:sz w:val="25"/>
          <w:szCs w:val="25"/>
        </w:rPr>
        <w:t>,</w:t>
      </w:r>
      <w:r w:rsidR="004E2BDE" w:rsidRPr="00AF336A">
        <w:rPr>
          <w:color w:val="000000" w:themeColor="text1"/>
          <w:sz w:val="25"/>
          <w:szCs w:val="25"/>
        </w:rPr>
        <w:t xml:space="preserve"> anziché andare dritta per la sua strada </w:t>
      </w:r>
      <w:r w:rsidR="00FF30A4" w:rsidRPr="00AF336A">
        <w:rPr>
          <w:color w:val="000000" w:themeColor="text1"/>
          <w:sz w:val="25"/>
          <w:szCs w:val="25"/>
        </w:rPr>
        <w:t>azionando</w:t>
      </w:r>
      <w:r w:rsidR="00597548" w:rsidRPr="00AF336A">
        <w:rPr>
          <w:color w:val="000000" w:themeColor="text1"/>
          <w:sz w:val="25"/>
          <w:szCs w:val="25"/>
        </w:rPr>
        <w:t xml:space="preserve"> il </w:t>
      </w:r>
      <w:r w:rsidR="004E2BDE" w:rsidRPr="00AF336A">
        <w:rPr>
          <w:color w:val="000000" w:themeColor="text1"/>
          <w:sz w:val="25"/>
          <w:szCs w:val="25"/>
        </w:rPr>
        <w:t>controlimite</w:t>
      </w:r>
      <w:r w:rsidR="003A591E" w:rsidRPr="00AF336A">
        <w:rPr>
          <w:color w:val="000000" w:themeColor="text1"/>
          <w:sz w:val="25"/>
          <w:szCs w:val="25"/>
        </w:rPr>
        <w:t>,</w:t>
      </w:r>
      <w:r w:rsidR="004E2BDE" w:rsidRPr="00AF336A">
        <w:rPr>
          <w:color w:val="000000" w:themeColor="text1"/>
          <w:sz w:val="25"/>
          <w:szCs w:val="25"/>
        </w:rPr>
        <w:t xml:space="preserve"> si </w:t>
      </w:r>
      <w:r w:rsidR="00FF30A4" w:rsidRPr="00AF336A">
        <w:rPr>
          <w:color w:val="000000" w:themeColor="text1"/>
          <w:sz w:val="25"/>
          <w:szCs w:val="25"/>
        </w:rPr>
        <w:t>è rivolta alla</w:t>
      </w:r>
      <w:r w:rsidR="004E2BDE" w:rsidRPr="00AF336A">
        <w:rPr>
          <w:color w:val="000000" w:themeColor="text1"/>
          <w:sz w:val="25"/>
          <w:szCs w:val="25"/>
        </w:rPr>
        <w:t xml:space="preserve"> Corte di giustizia</w:t>
      </w:r>
      <w:r w:rsidR="00FF30A4" w:rsidRPr="00AF336A">
        <w:rPr>
          <w:color w:val="000000" w:themeColor="text1"/>
          <w:sz w:val="25"/>
          <w:szCs w:val="25"/>
        </w:rPr>
        <w:t>. Lo ha fatto</w:t>
      </w:r>
      <w:r w:rsidR="003164C5">
        <w:rPr>
          <w:color w:val="000000" w:themeColor="text1"/>
          <w:sz w:val="25"/>
          <w:szCs w:val="25"/>
        </w:rPr>
        <w:t xml:space="preserve"> </w:t>
      </w:r>
      <w:r w:rsidR="004E2BDE" w:rsidRPr="00AF336A">
        <w:rPr>
          <w:color w:val="000000" w:themeColor="text1"/>
          <w:sz w:val="25"/>
          <w:szCs w:val="25"/>
        </w:rPr>
        <w:t>in una situazion</w:t>
      </w:r>
      <w:r w:rsidR="00B4521B" w:rsidRPr="00AF336A">
        <w:rPr>
          <w:color w:val="000000" w:themeColor="text1"/>
          <w:sz w:val="25"/>
          <w:szCs w:val="25"/>
        </w:rPr>
        <w:t>e</w:t>
      </w:r>
      <w:r w:rsidR="004E2BDE" w:rsidRPr="00AF336A">
        <w:rPr>
          <w:color w:val="000000" w:themeColor="text1"/>
          <w:sz w:val="25"/>
          <w:szCs w:val="25"/>
        </w:rPr>
        <w:t xml:space="preserve"> non scontata</w:t>
      </w:r>
      <w:r w:rsidR="00B4521B" w:rsidRPr="00AF336A">
        <w:rPr>
          <w:color w:val="000000" w:themeColor="text1"/>
          <w:sz w:val="25"/>
          <w:szCs w:val="25"/>
        </w:rPr>
        <w:t>: l</w:t>
      </w:r>
      <w:r w:rsidR="00FF30A4" w:rsidRPr="00AF336A">
        <w:rPr>
          <w:color w:val="000000" w:themeColor="text1"/>
          <w:sz w:val="25"/>
          <w:szCs w:val="25"/>
        </w:rPr>
        <w:t xml:space="preserve">a questione, piuttosto lineare nei suoi elementi essenziali, non era </w:t>
      </w:r>
      <w:r w:rsidR="00B4521B" w:rsidRPr="00AF336A">
        <w:rPr>
          <w:color w:val="000000" w:themeColor="text1"/>
          <w:sz w:val="25"/>
          <w:szCs w:val="25"/>
        </w:rPr>
        <w:t>infatti</w:t>
      </w:r>
      <w:r w:rsidR="00FF30A4" w:rsidRPr="00AF336A">
        <w:rPr>
          <w:color w:val="000000" w:themeColor="text1"/>
          <w:sz w:val="25"/>
          <w:szCs w:val="25"/>
        </w:rPr>
        <w:t xml:space="preserve"> di agevole soluzione. Le criticit</w:t>
      </w:r>
      <w:r w:rsidR="00B4521B" w:rsidRPr="00AF336A">
        <w:rPr>
          <w:color w:val="000000" w:themeColor="text1"/>
          <w:sz w:val="25"/>
          <w:szCs w:val="25"/>
        </w:rPr>
        <w:t>à</w:t>
      </w:r>
      <w:r w:rsidR="00FF30A4" w:rsidRPr="00AF336A">
        <w:rPr>
          <w:color w:val="000000" w:themeColor="text1"/>
          <w:sz w:val="25"/>
          <w:szCs w:val="25"/>
        </w:rPr>
        <w:t xml:space="preserve"> principali dipendevano dal fatto che l</w:t>
      </w:r>
      <w:r w:rsidR="00144DEC" w:rsidRPr="00AF336A">
        <w:rPr>
          <w:color w:val="000000" w:themeColor="text1"/>
          <w:sz w:val="25"/>
          <w:szCs w:val="25"/>
        </w:rPr>
        <w:t>’</w:t>
      </w:r>
      <w:r w:rsidR="00FF30A4" w:rsidRPr="00AF336A">
        <w:rPr>
          <w:color w:val="000000" w:themeColor="text1"/>
          <w:sz w:val="25"/>
          <w:szCs w:val="25"/>
        </w:rPr>
        <w:t>obbligo per gli Stati di sanzionare chi rifiuta di rispondere alle domande poste dall</w:t>
      </w:r>
      <w:r w:rsidR="00144DEC" w:rsidRPr="00AF336A">
        <w:rPr>
          <w:color w:val="000000" w:themeColor="text1"/>
          <w:sz w:val="25"/>
          <w:szCs w:val="25"/>
        </w:rPr>
        <w:t>’</w:t>
      </w:r>
      <w:r w:rsidR="00FF30A4" w:rsidRPr="00AF336A">
        <w:rPr>
          <w:color w:val="000000" w:themeColor="text1"/>
          <w:sz w:val="25"/>
          <w:szCs w:val="25"/>
        </w:rPr>
        <w:t>autorit</w:t>
      </w:r>
      <w:r w:rsidR="006A3361" w:rsidRPr="00AF336A">
        <w:rPr>
          <w:color w:val="000000" w:themeColor="text1"/>
          <w:sz w:val="25"/>
          <w:szCs w:val="25"/>
        </w:rPr>
        <w:t>à</w:t>
      </w:r>
      <w:r w:rsidR="00FF30A4" w:rsidRPr="00AF336A">
        <w:rPr>
          <w:color w:val="000000" w:themeColor="text1"/>
          <w:sz w:val="25"/>
          <w:szCs w:val="25"/>
        </w:rPr>
        <w:t xml:space="preserve"> di vigilanza è stato imposto dalla Direttiva (CE) n. 6/2003</w:t>
      </w:r>
      <w:r w:rsidR="00FF30A4" w:rsidRPr="00AF336A">
        <w:rPr>
          <w:color w:val="000000" w:themeColor="text1"/>
          <w:position w:val="10"/>
          <w:sz w:val="25"/>
          <w:szCs w:val="25"/>
        </w:rPr>
        <w:t xml:space="preserve"> </w:t>
      </w:r>
      <w:r w:rsidR="00FF30A4" w:rsidRPr="00AF336A">
        <w:rPr>
          <w:color w:val="000000" w:themeColor="text1"/>
          <w:sz w:val="25"/>
          <w:szCs w:val="25"/>
        </w:rPr>
        <w:t>e ribadito dal Regolamento (UE) n. 596/2014.</w:t>
      </w:r>
      <w:r w:rsidR="00FF30A4" w:rsidRPr="00AF336A">
        <w:rPr>
          <w:color w:val="000000" w:themeColor="text1"/>
          <w:position w:val="10"/>
          <w:sz w:val="25"/>
          <w:szCs w:val="25"/>
        </w:rPr>
        <w:t xml:space="preserve"> </w:t>
      </w:r>
      <w:r w:rsidR="00FF30A4" w:rsidRPr="00AF336A">
        <w:rPr>
          <w:color w:val="000000" w:themeColor="text1"/>
          <w:sz w:val="25"/>
          <w:szCs w:val="25"/>
        </w:rPr>
        <w:t xml:space="preserve">La dichiarazione di </w:t>
      </w:r>
      <w:r w:rsidR="00D245A4" w:rsidRPr="00AF336A">
        <w:rPr>
          <w:color w:val="000000" w:themeColor="text1"/>
          <w:sz w:val="25"/>
          <w:szCs w:val="25"/>
        </w:rPr>
        <w:t>incostituzionalità</w:t>
      </w:r>
      <w:r w:rsidR="00FF30A4" w:rsidRPr="00AF336A">
        <w:rPr>
          <w:color w:val="000000" w:themeColor="text1"/>
          <w:sz w:val="25"/>
          <w:szCs w:val="25"/>
        </w:rPr>
        <w:t>̀ dell</w:t>
      </w:r>
      <w:r w:rsidR="00144DEC" w:rsidRPr="00AF336A">
        <w:rPr>
          <w:color w:val="000000" w:themeColor="text1"/>
          <w:sz w:val="25"/>
          <w:szCs w:val="25"/>
        </w:rPr>
        <w:t>’</w:t>
      </w:r>
      <w:r w:rsidR="00FF30A4" w:rsidRPr="00AF336A">
        <w:rPr>
          <w:color w:val="000000" w:themeColor="text1"/>
          <w:sz w:val="25"/>
          <w:szCs w:val="25"/>
        </w:rPr>
        <w:t>art. 187-</w:t>
      </w:r>
      <w:r w:rsidR="00FF30A4" w:rsidRPr="00AF336A">
        <w:rPr>
          <w:i/>
          <w:iCs/>
          <w:color w:val="000000" w:themeColor="text1"/>
          <w:sz w:val="25"/>
          <w:szCs w:val="25"/>
        </w:rPr>
        <w:t xml:space="preserve">quinquiesdecies </w:t>
      </w:r>
      <w:r w:rsidR="00FF30A4" w:rsidRPr="00AF336A">
        <w:rPr>
          <w:color w:val="000000" w:themeColor="text1"/>
          <w:sz w:val="25"/>
          <w:szCs w:val="25"/>
        </w:rPr>
        <w:t xml:space="preserve">del Testo unico delle disposizioni in materia di intermediazione finanziaria avrebbe potuto, dunque, porsi di per sé in contrasto con il diritto sovranazionale. </w:t>
      </w:r>
    </w:p>
    <w:p w14:paraId="6D40B0CF" w14:textId="25CC5F4F" w:rsidR="00D245A4" w:rsidRPr="00AF336A" w:rsidRDefault="00FF30A4"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La tesi sostenuta dalla Corte costituzionale muoveva, peraltro, da una posizione giurisprudenziale notevolmente diversa da quella seguita dalla Corte di giustizia con riferimento alle indagini svolte dalla Commissione per l</w:t>
      </w:r>
      <w:r w:rsidR="00144DEC" w:rsidRPr="00AF336A">
        <w:rPr>
          <w:color w:val="000000" w:themeColor="text1"/>
          <w:sz w:val="25"/>
          <w:szCs w:val="25"/>
        </w:rPr>
        <w:t>’</w:t>
      </w:r>
      <w:r w:rsidRPr="00AF336A">
        <w:rPr>
          <w:color w:val="000000" w:themeColor="text1"/>
          <w:sz w:val="25"/>
          <w:szCs w:val="25"/>
        </w:rPr>
        <w:t>accertamento di illeciti anticoncorrenziali</w:t>
      </w:r>
      <w:r w:rsidR="004E2BDE" w:rsidRPr="00AF336A">
        <w:rPr>
          <w:color w:val="000000" w:themeColor="text1"/>
          <w:sz w:val="25"/>
          <w:szCs w:val="25"/>
        </w:rPr>
        <w:t xml:space="preserve"> </w:t>
      </w:r>
      <w:r w:rsidR="00D245A4" w:rsidRPr="00AF336A">
        <w:rPr>
          <w:color w:val="000000" w:themeColor="text1"/>
          <w:sz w:val="25"/>
          <w:szCs w:val="25"/>
        </w:rPr>
        <w:t>La Corte di giustizia, infatti, ha ammesso in pi</w:t>
      </w:r>
      <w:r w:rsidR="00307EAB" w:rsidRPr="00AF336A">
        <w:rPr>
          <w:color w:val="000000" w:themeColor="text1"/>
          <w:sz w:val="25"/>
          <w:szCs w:val="25"/>
        </w:rPr>
        <w:t>ù</w:t>
      </w:r>
      <w:r w:rsidR="00D245A4" w:rsidRPr="00AF336A">
        <w:rPr>
          <w:color w:val="000000" w:themeColor="text1"/>
          <w:sz w:val="25"/>
          <w:szCs w:val="25"/>
        </w:rPr>
        <w:t xml:space="preserve"> occasioni l</w:t>
      </w:r>
      <w:r w:rsidR="00144DEC" w:rsidRPr="00AF336A">
        <w:rPr>
          <w:color w:val="000000" w:themeColor="text1"/>
          <w:sz w:val="25"/>
          <w:szCs w:val="25"/>
        </w:rPr>
        <w:t>’</w:t>
      </w:r>
      <w:r w:rsidR="00D245A4" w:rsidRPr="00AF336A">
        <w:rPr>
          <w:color w:val="000000" w:themeColor="text1"/>
          <w:sz w:val="25"/>
          <w:szCs w:val="25"/>
        </w:rPr>
        <w:t xml:space="preserve">obbligo di </w:t>
      </w:r>
      <w:r w:rsidR="00273289">
        <w:rPr>
          <w:color w:val="000000" w:themeColor="text1"/>
          <w:sz w:val="25"/>
          <w:szCs w:val="25"/>
        </w:rPr>
        <w:t>“</w:t>
      </w:r>
      <w:r w:rsidR="00D245A4" w:rsidRPr="00AF336A">
        <w:rPr>
          <w:color w:val="000000" w:themeColor="text1"/>
          <w:sz w:val="25"/>
          <w:szCs w:val="25"/>
        </w:rPr>
        <w:t>attiva collaborazione</w:t>
      </w:r>
      <w:r w:rsidR="00273289">
        <w:rPr>
          <w:color w:val="000000" w:themeColor="text1"/>
          <w:sz w:val="25"/>
          <w:szCs w:val="25"/>
        </w:rPr>
        <w:t>”</w:t>
      </w:r>
      <w:r w:rsidR="00D245A4" w:rsidRPr="00AF336A">
        <w:rPr>
          <w:color w:val="000000" w:themeColor="text1"/>
          <w:sz w:val="25"/>
          <w:szCs w:val="25"/>
        </w:rPr>
        <w:t xml:space="preserve"> dei soggetti indagati,</w:t>
      </w:r>
      <w:r w:rsidR="003164C5">
        <w:rPr>
          <w:color w:val="000000" w:themeColor="text1"/>
          <w:position w:val="10"/>
          <w:sz w:val="25"/>
          <w:szCs w:val="25"/>
        </w:rPr>
        <w:t xml:space="preserve"> </w:t>
      </w:r>
      <w:r w:rsidR="00D245A4" w:rsidRPr="00AF336A">
        <w:rPr>
          <w:color w:val="000000" w:themeColor="text1"/>
          <w:sz w:val="25"/>
          <w:szCs w:val="25"/>
        </w:rPr>
        <w:t xml:space="preserve">affermando che gli stessi sono tenuti a </w:t>
      </w:r>
      <w:r w:rsidR="00273289">
        <w:rPr>
          <w:color w:val="000000" w:themeColor="text1"/>
          <w:sz w:val="25"/>
          <w:szCs w:val="25"/>
        </w:rPr>
        <w:t>“</w:t>
      </w:r>
      <w:r w:rsidR="00D245A4" w:rsidRPr="00AF336A">
        <w:rPr>
          <w:color w:val="000000" w:themeColor="text1"/>
          <w:sz w:val="25"/>
          <w:szCs w:val="25"/>
        </w:rPr>
        <w:t xml:space="preserve">rispondere </w:t>
      </w:r>
      <w:r w:rsidR="00216170" w:rsidRPr="00AF336A">
        <w:rPr>
          <w:color w:val="000000" w:themeColor="text1"/>
          <w:sz w:val="25"/>
          <w:szCs w:val="25"/>
        </w:rPr>
        <w:t>ai quesiti di mero fatto posti dalla commissione</w:t>
      </w:r>
      <w:r w:rsidR="00273289">
        <w:rPr>
          <w:color w:val="000000" w:themeColor="text1"/>
          <w:sz w:val="25"/>
          <w:szCs w:val="25"/>
        </w:rPr>
        <w:t>”</w:t>
      </w:r>
      <w:r w:rsidR="00307EAB" w:rsidRPr="00AF336A">
        <w:rPr>
          <w:color w:val="000000" w:themeColor="text1"/>
          <w:sz w:val="25"/>
          <w:szCs w:val="25"/>
        </w:rPr>
        <w:t xml:space="preserve"> </w:t>
      </w:r>
      <w:r w:rsidR="00216170" w:rsidRPr="00AF336A">
        <w:rPr>
          <w:color w:val="000000" w:themeColor="text1"/>
          <w:sz w:val="25"/>
          <w:szCs w:val="25"/>
        </w:rPr>
        <w:t>e a soddisfare le richieste della stessa di produzione di documenti. L</w:t>
      </w:r>
      <w:r w:rsidR="00144DEC" w:rsidRPr="00AF336A">
        <w:rPr>
          <w:color w:val="000000" w:themeColor="text1"/>
          <w:sz w:val="25"/>
          <w:szCs w:val="25"/>
        </w:rPr>
        <w:t>’</w:t>
      </w:r>
      <w:r w:rsidR="00216170" w:rsidRPr="00AF336A">
        <w:rPr>
          <w:color w:val="000000" w:themeColor="text1"/>
          <w:sz w:val="25"/>
          <w:szCs w:val="25"/>
        </w:rPr>
        <w:t>unico limite al dovere di rispondere imposto sino a quel momento riguardava il divieto per la Commissione di imporre all</w:t>
      </w:r>
      <w:r w:rsidR="00144DEC" w:rsidRPr="00AF336A">
        <w:rPr>
          <w:color w:val="000000" w:themeColor="text1"/>
          <w:sz w:val="25"/>
          <w:szCs w:val="25"/>
        </w:rPr>
        <w:t>’</w:t>
      </w:r>
      <w:r w:rsidR="00216170" w:rsidRPr="00AF336A">
        <w:rPr>
          <w:color w:val="000000" w:themeColor="text1"/>
          <w:sz w:val="25"/>
          <w:szCs w:val="25"/>
        </w:rPr>
        <w:t>impresa l</w:t>
      </w:r>
      <w:r w:rsidR="00144DEC" w:rsidRPr="00AF336A">
        <w:rPr>
          <w:color w:val="000000" w:themeColor="text1"/>
          <w:sz w:val="25"/>
          <w:szCs w:val="25"/>
        </w:rPr>
        <w:t>’</w:t>
      </w:r>
      <w:r w:rsidR="00216170" w:rsidRPr="00AF336A">
        <w:rPr>
          <w:color w:val="000000" w:themeColor="text1"/>
          <w:sz w:val="25"/>
          <w:szCs w:val="25"/>
        </w:rPr>
        <w:t>obbligo di dare risposte attraverso le quali questa sarebbe indotta ad ammettere l</w:t>
      </w:r>
      <w:r w:rsidR="00144DEC" w:rsidRPr="00AF336A">
        <w:rPr>
          <w:color w:val="000000" w:themeColor="text1"/>
          <w:sz w:val="25"/>
          <w:szCs w:val="25"/>
        </w:rPr>
        <w:t>’</w:t>
      </w:r>
      <w:r w:rsidR="00216170" w:rsidRPr="00AF336A">
        <w:rPr>
          <w:color w:val="000000" w:themeColor="text1"/>
          <w:sz w:val="25"/>
          <w:szCs w:val="25"/>
        </w:rPr>
        <w:t xml:space="preserve">esistenza della trasgressione, che deve invece essere provata dalla Commissione. Al momento del rinvio pregiudiziale formulato dalla nostra Corte costituzionale si era, quindi, in presenza di una netta divergenza nella giurisprudenza delle due Corti, dovuta evidentemente ad un diverso bilanciamento dei valori in gioco. </w:t>
      </w:r>
    </w:p>
    <w:p w14:paraId="3AFF8FF7" w14:textId="77777777" w:rsidR="00307EAB" w:rsidRPr="00AF336A" w:rsidRDefault="00307EAB" w:rsidP="00144DEC">
      <w:pPr>
        <w:pStyle w:val="NormaleWeb"/>
        <w:spacing w:after="0" w:line="240" w:lineRule="auto"/>
        <w:ind w:firstLine="454"/>
        <w:jc w:val="both"/>
        <w:rPr>
          <w:b/>
          <w:bCs/>
          <w:color w:val="000000" w:themeColor="text1"/>
          <w:sz w:val="25"/>
          <w:szCs w:val="25"/>
        </w:rPr>
      </w:pPr>
    </w:p>
    <w:p w14:paraId="1478F501" w14:textId="736096F5" w:rsidR="00307EAB" w:rsidRPr="00AF336A" w:rsidRDefault="00C63323" w:rsidP="00144DEC">
      <w:pPr>
        <w:pStyle w:val="NormaleWeb"/>
        <w:spacing w:after="0" w:line="240" w:lineRule="auto"/>
        <w:ind w:firstLine="454"/>
        <w:jc w:val="both"/>
        <w:rPr>
          <w:b/>
          <w:bCs/>
          <w:color w:val="000000" w:themeColor="text1"/>
          <w:sz w:val="25"/>
          <w:szCs w:val="25"/>
        </w:rPr>
      </w:pPr>
      <w:r w:rsidRPr="00AF336A">
        <w:rPr>
          <w:b/>
          <w:bCs/>
          <w:color w:val="000000" w:themeColor="text1"/>
          <w:sz w:val="25"/>
          <w:szCs w:val="25"/>
        </w:rPr>
        <w:t xml:space="preserve">7. </w:t>
      </w:r>
      <w:r w:rsidR="00307EAB" w:rsidRPr="00AF336A">
        <w:rPr>
          <w:b/>
          <w:bCs/>
          <w:color w:val="000000" w:themeColor="text1"/>
          <w:sz w:val="25"/>
          <w:szCs w:val="25"/>
        </w:rPr>
        <w:t>Il nuovo approccio della Corte costituzionale</w:t>
      </w:r>
      <w:r w:rsidRPr="00AF336A">
        <w:rPr>
          <w:b/>
          <w:bCs/>
          <w:color w:val="000000" w:themeColor="text1"/>
          <w:sz w:val="25"/>
          <w:szCs w:val="25"/>
        </w:rPr>
        <w:t xml:space="preserve"> italiana</w:t>
      </w:r>
      <w:r w:rsidR="00307EAB" w:rsidRPr="00AF336A">
        <w:rPr>
          <w:b/>
          <w:bCs/>
          <w:color w:val="000000" w:themeColor="text1"/>
          <w:sz w:val="25"/>
          <w:szCs w:val="25"/>
        </w:rPr>
        <w:t xml:space="preserve"> nel dialogo con la Corte di giustizia</w:t>
      </w:r>
      <w:r w:rsidRPr="00AF336A">
        <w:rPr>
          <w:b/>
          <w:bCs/>
          <w:color w:val="000000" w:themeColor="text1"/>
          <w:sz w:val="25"/>
          <w:szCs w:val="25"/>
        </w:rPr>
        <w:t>: dal “non rinvio” alla “doppia pregiudizialità”</w:t>
      </w:r>
      <w:r w:rsidR="006F3343">
        <w:rPr>
          <w:b/>
          <w:bCs/>
          <w:color w:val="000000" w:themeColor="text1"/>
          <w:sz w:val="25"/>
          <w:szCs w:val="25"/>
        </w:rPr>
        <w:t>.</w:t>
      </w:r>
    </w:p>
    <w:p w14:paraId="52559700" w14:textId="3D4FFC58" w:rsidR="00216170" w:rsidRPr="00AF336A" w:rsidRDefault="00216170"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La vicenda in commento ha, dunque, senz</w:t>
      </w:r>
      <w:r w:rsidR="00144DEC" w:rsidRPr="00AF336A">
        <w:rPr>
          <w:color w:val="000000" w:themeColor="text1"/>
          <w:sz w:val="25"/>
          <w:szCs w:val="25"/>
        </w:rPr>
        <w:t>’</w:t>
      </w:r>
      <w:r w:rsidRPr="00AF336A">
        <w:rPr>
          <w:color w:val="000000" w:themeColor="text1"/>
          <w:sz w:val="25"/>
          <w:szCs w:val="25"/>
        </w:rPr>
        <w:t xml:space="preserve">altro il pregio di aver dimostrato che il nuovo orientamento in materia di </w:t>
      </w:r>
      <w:r w:rsidR="00307EAB" w:rsidRPr="00AF336A">
        <w:rPr>
          <w:color w:val="000000" w:themeColor="text1"/>
          <w:sz w:val="25"/>
          <w:szCs w:val="25"/>
        </w:rPr>
        <w:t>“</w:t>
      </w:r>
      <w:r w:rsidRPr="00AF336A">
        <w:rPr>
          <w:color w:val="000000" w:themeColor="text1"/>
          <w:sz w:val="25"/>
          <w:szCs w:val="25"/>
        </w:rPr>
        <w:t>doppia pregiudizialit</w:t>
      </w:r>
      <w:r w:rsidR="00307EAB" w:rsidRPr="00AF336A">
        <w:rPr>
          <w:color w:val="000000" w:themeColor="text1"/>
          <w:sz w:val="25"/>
          <w:szCs w:val="25"/>
        </w:rPr>
        <w:t>à”</w:t>
      </w:r>
      <w:r w:rsidRPr="00AF336A">
        <w:rPr>
          <w:color w:val="000000" w:themeColor="text1"/>
          <w:sz w:val="25"/>
          <w:szCs w:val="25"/>
        </w:rPr>
        <w:t>, ove adeguatamente implementato, pu</w:t>
      </w:r>
      <w:r w:rsidR="006A3361" w:rsidRPr="00AF336A">
        <w:rPr>
          <w:color w:val="000000" w:themeColor="text1"/>
          <w:sz w:val="25"/>
          <w:szCs w:val="25"/>
        </w:rPr>
        <w:t>ò</w:t>
      </w:r>
      <w:r w:rsidRPr="00AF336A">
        <w:rPr>
          <w:color w:val="000000" w:themeColor="text1"/>
          <w:sz w:val="25"/>
          <w:szCs w:val="25"/>
        </w:rPr>
        <w:t xml:space="preserve"> contribuire al rafforzamento del dialogo tra le Corti d</w:t>
      </w:r>
      <w:r w:rsidR="00144DEC" w:rsidRPr="00AF336A">
        <w:rPr>
          <w:color w:val="000000" w:themeColor="text1"/>
          <w:sz w:val="25"/>
          <w:szCs w:val="25"/>
        </w:rPr>
        <w:t>’</w:t>
      </w:r>
      <w:r w:rsidRPr="00AF336A">
        <w:rPr>
          <w:color w:val="000000" w:themeColor="text1"/>
          <w:sz w:val="25"/>
          <w:szCs w:val="25"/>
        </w:rPr>
        <w:t>Europa nella misura in cui consente al giudice costituzionale interpellato prioritariamente di trasmettere alla Corte di Giustizia, elementi necessari per la migliore individuazione delle “tradizioni costituzionali comuni agli Stati membri” dalle quali risultano i diritti fondamentali che entrano a far parte del diritto dell</w:t>
      </w:r>
      <w:r w:rsidR="00144DEC" w:rsidRPr="00AF336A">
        <w:rPr>
          <w:color w:val="000000" w:themeColor="text1"/>
          <w:sz w:val="25"/>
          <w:szCs w:val="25"/>
        </w:rPr>
        <w:t>’</w:t>
      </w:r>
      <w:r w:rsidRPr="00AF336A">
        <w:rPr>
          <w:color w:val="000000" w:themeColor="text1"/>
          <w:sz w:val="25"/>
          <w:szCs w:val="25"/>
        </w:rPr>
        <w:t>Unione europea in quanto principi generali (art. 6 TUE) e con le quali debbono essere “armonizzati” i diritti e principi della Carta di Nizza (art. 52), anche al fine di mitigare il rischio che venga attivata l</w:t>
      </w:r>
      <w:r w:rsidR="00144DEC" w:rsidRPr="00AF336A">
        <w:rPr>
          <w:color w:val="000000" w:themeColor="text1"/>
          <w:sz w:val="25"/>
          <w:szCs w:val="25"/>
        </w:rPr>
        <w:t>’</w:t>
      </w:r>
      <w:r w:rsidRPr="00AF336A">
        <w:rPr>
          <w:color w:val="000000" w:themeColor="text1"/>
          <w:sz w:val="25"/>
          <w:szCs w:val="25"/>
        </w:rPr>
        <w:t xml:space="preserve">arma estrema dei </w:t>
      </w:r>
      <w:r w:rsidR="00307EAB" w:rsidRPr="00AF336A">
        <w:rPr>
          <w:color w:val="000000" w:themeColor="text1"/>
          <w:sz w:val="25"/>
          <w:szCs w:val="25"/>
        </w:rPr>
        <w:t>“</w:t>
      </w:r>
      <w:r w:rsidRPr="00AF336A">
        <w:rPr>
          <w:color w:val="000000" w:themeColor="text1"/>
          <w:sz w:val="25"/>
          <w:szCs w:val="25"/>
        </w:rPr>
        <w:t>controlimiti</w:t>
      </w:r>
      <w:r w:rsidR="00307EAB" w:rsidRPr="00AF336A">
        <w:rPr>
          <w:color w:val="000000" w:themeColor="text1"/>
          <w:sz w:val="25"/>
          <w:szCs w:val="25"/>
        </w:rPr>
        <w:t>”</w:t>
      </w:r>
      <w:r w:rsidRPr="00AF336A">
        <w:rPr>
          <w:color w:val="000000" w:themeColor="text1"/>
          <w:sz w:val="25"/>
          <w:szCs w:val="25"/>
        </w:rPr>
        <w:t xml:space="preserve">. </w:t>
      </w:r>
    </w:p>
    <w:p w14:paraId="06CDF32D" w14:textId="0DD026F0" w:rsidR="00DD589D" w:rsidRPr="00AF336A" w:rsidRDefault="00216170" w:rsidP="00144DEC">
      <w:pPr>
        <w:spacing w:after="0" w:line="240" w:lineRule="auto"/>
        <w:ind w:firstLine="454"/>
        <w:jc w:val="both"/>
        <w:rPr>
          <w:color w:val="000000" w:themeColor="text1"/>
          <w:sz w:val="25"/>
          <w:szCs w:val="25"/>
        </w:rPr>
      </w:pPr>
      <w:r w:rsidRPr="00AF336A">
        <w:rPr>
          <w:color w:val="000000" w:themeColor="text1"/>
          <w:sz w:val="25"/>
          <w:szCs w:val="25"/>
        </w:rPr>
        <w:t>Dimostra, inoltre, l</w:t>
      </w:r>
      <w:r w:rsidR="00144DEC" w:rsidRPr="00AF336A">
        <w:rPr>
          <w:color w:val="000000" w:themeColor="text1"/>
          <w:sz w:val="25"/>
          <w:szCs w:val="25"/>
        </w:rPr>
        <w:t>’</w:t>
      </w:r>
      <w:r w:rsidRPr="00AF336A">
        <w:rPr>
          <w:color w:val="000000" w:themeColor="text1"/>
          <w:sz w:val="25"/>
          <w:szCs w:val="25"/>
        </w:rPr>
        <w:t>importanza di un proficuo dialogo tra</w:t>
      </w:r>
      <w:r w:rsidR="004E2BDE" w:rsidRPr="00AF336A">
        <w:rPr>
          <w:color w:val="000000" w:themeColor="text1"/>
          <w:sz w:val="25"/>
          <w:szCs w:val="25"/>
        </w:rPr>
        <w:t xml:space="preserve"> </w:t>
      </w:r>
      <w:r w:rsidR="00307EAB" w:rsidRPr="00AF336A">
        <w:rPr>
          <w:color w:val="000000" w:themeColor="text1"/>
          <w:sz w:val="25"/>
          <w:szCs w:val="25"/>
        </w:rPr>
        <w:t>C</w:t>
      </w:r>
      <w:r w:rsidR="004E2BDE" w:rsidRPr="00AF336A">
        <w:rPr>
          <w:color w:val="000000" w:themeColor="text1"/>
          <w:sz w:val="25"/>
          <w:szCs w:val="25"/>
        </w:rPr>
        <w:t>orti supreme</w:t>
      </w:r>
      <w:r w:rsidR="003A591E" w:rsidRPr="00AF336A">
        <w:rPr>
          <w:color w:val="000000" w:themeColor="text1"/>
          <w:sz w:val="25"/>
          <w:szCs w:val="25"/>
        </w:rPr>
        <w:t>,</w:t>
      </w:r>
      <w:r w:rsidR="004E2BDE" w:rsidRPr="00AF336A">
        <w:rPr>
          <w:color w:val="000000" w:themeColor="text1"/>
          <w:sz w:val="25"/>
          <w:szCs w:val="25"/>
        </w:rPr>
        <w:t xml:space="preserve"> tra Corte costituzionale e Corte di giusti</w:t>
      </w:r>
      <w:r w:rsidR="003A591E" w:rsidRPr="00AF336A">
        <w:rPr>
          <w:color w:val="000000" w:themeColor="text1"/>
          <w:sz w:val="25"/>
          <w:szCs w:val="25"/>
        </w:rPr>
        <w:t>zia.</w:t>
      </w:r>
      <w:r w:rsidR="00054C2D" w:rsidRPr="00AF336A">
        <w:rPr>
          <w:color w:val="000000" w:themeColor="text1"/>
          <w:sz w:val="25"/>
          <w:szCs w:val="25"/>
        </w:rPr>
        <w:t xml:space="preserve"> </w:t>
      </w:r>
      <w:r w:rsidR="00F92450" w:rsidRPr="00AF336A">
        <w:rPr>
          <w:color w:val="000000" w:themeColor="text1"/>
          <w:sz w:val="25"/>
          <w:szCs w:val="25"/>
        </w:rPr>
        <w:t>Nel</w:t>
      </w:r>
      <w:r w:rsidR="004E2BDE" w:rsidRPr="00AF336A">
        <w:rPr>
          <w:color w:val="000000" w:themeColor="text1"/>
          <w:sz w:val="25"/>
          <w:szCs w:val="25"/>
        </w:rPr>
        <w:t xml:space="preserve"> nostro ordinamento per molto tempo la Corte costituzionale questo dialogo si</w:t>
      </w:r>
      <w:r w:rsidRPr="00AF336A">
        <w:rPr>
          <w:color w:val="000000" w:themeColor="text1"/>
          <w:sz w:val="25"/>
          <w:szCs w:val="25"/>
        </w:rPr>
        <w:t xml:space="preserve"> era</w:t>
      </w:r>
      <w:r w:rsidR="004E2BDE" w:rsidRPr="00AF336A">
        <w:rPr>
          <w:color w:val="000000" w:themeColor="text1"/>
          <w:sz w:val="25"/>
          <w:szCs w:val="25"/>
        </w:rPr>
        <w:t xml:space="preserve"> rifiutata d</w:t>
      </w:r>
      <w:r w:rsidR="00054C2D" w:rsidRPr="00AF336A">
        <w:rPr>
          <w:color w:val="000000" w:themeColor="text1"/>
          <w:sz w:val="25"/>
          <w:szCs w:val="25"/>
        </w:rPr>
        <w:t xml:space="preserve">i instaurarlo, </w:t>
      </w:r>
      <w:r w:rsidR="00F92450" w:rsidRPr="00AF336A">
        <w:rPr>
          <w:color w:val="000000" w:themeColor="text1"/>
          <w:sz w:val="25"/>
          <w:szCs w:val="25"/>
        </w:rPr>
        <w:t>negando a sé stessa la legittimazione a</w:t>
      </w:r>
      <w:r w:rsidR="00054C2D" w:rsidRPr="00AF336A">
        <w:rPr>
          <w:color w:val="000000" w:themeColor="text1"/>
          <w:sz w:val="25"/>
          <w:szCs w:val="25"/>
        </w:rPr>
        <w:t xml:space="preserve"> sollevare questioni pregiudiziali alla Corte di giustizia, ritenendo che fosse compito del giudice comune </w:t>
      </w:r>
      <w:r w:rsidR="00DD589D" w:rsidRPr="00AF336A">
        <w:rPr>
          <w:color w:val="000000" w:themeColor="text1"/>
          <w:sz w:val="25"/>
          <w:szCs w:val="25"/>
        </w:rPr>
        <w:t>(di fronte al quale pende la causa principale) interloquire con la Corte di giustizia al fine di superare, pregiudizialmente rispetto alla questione di costituzionalità, la questione di interpretazione del diritto eurounitario.</w:t>
      </w:r>
      <w:r w:rsidR="003164C5">
        <w:rPr>
          <w:color w:val="000000" w:themeColor="text1"/>
          <w:sz w:val="25"/>
          <w:szCs w:val="25"/>
        </w:rPr>
        <w:t xml:space="preserve"> </w:t>
      </w:r>
      <w:r w:rsidR="00F92450" w:rsidRPr="00AF336A">
        <w:rPr>
          <w:color w:val="000000" w:themeColor="text1"/>
          <w:sz w:val="25"/>
          <w:szCs w:val="25"/>
        </w:rPr>
        <w:t>Modificando questo precedente orientamento, oggi, invece, la Corte si considera – sia nei giudizi instaurati in via principale (cfr. ordinanza n 103 del 2008</w:t>
      </w:r>
      <w:r w:rsidR="00307EAB" w:rsidRPr="00AF336A">
        <w:rPr>
          <w:color w:val="000000" w:themeColor="text1"/>
          <w:sz w:val="25"/>
          <w:szCs w:val="25"/>
        </w:rPr>
        <w:t>)</w:t>
      </w:r>
      <w:r w:rsidR="00F92450" w:rsidRPr="00AF336A">
        <w:rPr>
          <w:color w:val="000000" w:themeColor="text1"/>
          <w:sz w:val="25"/>
          <w:szCs w:val="25"/>
        </w:rPr>
        <w:t>, sia in quelli instaurati in via incidentale (cfr. ordinanza n. 207 del 2013) – “giurisdizionale nazionale” legittimata a utilizzare lo strumento del rinvio pregiudiziale alla Corte di giustizia ai sensi dell</w:t>
      </w:r>
      <w:r w:rsidR="00144DEC" w:rsidRPr="00AF336A">
        <w:rPr>
          <w:color w:val="000000" w:themeColor="text1"/>
          <w:sz w:val="25"/>
          <w:szCs w:val="25"/>
        </w:rPr>
        <w:t>’</w:t>
      </w:r>
      <w:r w:rsidR="00F92450" w:rsidRPr="00AF336A">
        <w:rPr>
          <w:color w:val="000000" w:themeColor="text1"/>
          <w:sz w:val="25"/>
          <w:szCs w:val="25"/>
        </w:rPr>
        <w:t xml:space="preserve">art. 267 TFUE. </w:t>
      </w:r>
    </w:p>
    <w:p w14:paraId="0BAE6C79" w14:textId="03771FC6" w:rsidR="00C15277" w:rsidRPr="00AF336A" w:rsidRDefault="00F92450" w:rsidP="00144DEC">
      <w:pPr>
        <w:spacing w:after="0" w:line="240" w:lineRule="auto"/>
        <w:ind w:firstLine="454"/>
        <w:jc w:val="both"/>
        <w:rPr>
          <w:color w:val="000000" w:themeColor="text1"/>
          <w:sz w:val="25"/>
          <w:szCs w:val="25"/>
        </w:rPr>
      </w:pPr>
      <w:r w:rsidRPr="00AF336A">
        <w:rPr>
          <w:color w:val="000000" w:themeColor="text1"/>
          <w:sz w:val="25"/>
          <w:szCs w:val="25"/>
        </w:rPr>
        <w:t>Infine, questo cambiamento ha trovato il suo culmine con la recente prese di posizione in materia di c.d. “doppia pregiudizialità”. La C</w:t>
      </w:r>
      <w:r w:rsidR="00C15277" w:rsidRPr="00AF336A">
        <w:rPr>
          <w:color w:val="000000" w:themeColor="text1"/>
          <w:sz w:val="25"/>
          <w:szCs w:val="25"/>
        </w:rPr>
        <w:t>o</w:t>
      </w:r>
      <w:r w:rsidRPr="00AF336A">
        <w:rPr>
          <w:color w:val="000000" w:themeColor="text1"/>
          <w:sz w:val="25"/>
          <w:szCs w:val="25"/>
        </w:rPr>
        <w:t>rte costituzionale, a partire d</w:t>
      </w:r>
      <w:r w:rsidR="003E0BC6" w:rsidRPr="00AF336A">
        <w:rPr>
          <w:color w:val="000000" w:themeColor="text1"/>
          <w:sz w:val="25"/>
          <w:szCs w:val="25"/>
        </w:rPr>
        <w:t xml:space="preserve">a un </w:t>
      </w:r>
      <w:r w:rsidR="003E0BC6" w:rsidRPr="00AF336A">
        <w:rPr>
          <w:i/>
          <w:iCs/>
          <w:color w:val="000000" w:themeColor="text1"/>
          <w:sz w:val="25"/>
          <w:szCs w:val="25"/>
        </w:rPr>
        <w:t>obiter dictum</w:t>
      </w:r>
      <w:r w:rsidR="003E0BC6" w:rsidRPr="00AF336A">
        <w:rPr>
          <w:color w:val="000000" w:themeColor="text1"/>
          <w:sz w:val="25"/>
          <w:szCs w:val="25"/>
        </w:rPr>
        <w:t xml:space="preserve"> contenuto nella </w:t>
      </w:r>
      <w:r w:rsidRPr="00AF336A">
        <w:rPr>
          <w:color w:val="000000" w:themeColor="text1"/>
          <w:sz w:val="25"/>
          <w:szCs w:val="25"/>
        </w:rPr>
        <w:t>sentenza n. 26</w:t>
      </w:r>
      <w:r w:rsidR="00C15277" w:rsidRPr="00AF336A">
        <w:rPr>
          <w:color w:val="000000" w:themeColor="text1"/>
          <w:sz w:val="25"/>
          <w:szCs w:val="25"/>
        </w:rPr>
        <w:t>9</w:t>
      </w:r>
      <w:r w:rsidRPr="00AF336A">
        <w:rPr>
          <w:color w:val="000000" w:themeColor="text1"/>
          <w:sz w:val="25"/>
          <w:szCs w:val="25"/>
        </w:rPr>
        <w:t xml:space="preserve"> del 2017 (ribadit</w:t>
      </w:r>
      <w:r w:rsidR="003E0BC6" w:rsidRPr="00AF336A">
        <w:rPr>
          <w:color w:val="000000" w:themeColor="text1"/>
          <w:sz w:val="25"/>
          <w:szCs w:val="25"/>
        </w:rPr>
        <w:t>o</w:t>
      </w:r>
      <w:r w:rsidRPr="00AF336A">
        <w:rPr>
          <w:color w:val="000000" w:themeColor="text1"/>
          <w:sz w:val="25"/>
          <w:szCs w:val="25"/>
        </w:rPr>
        <w:t xml:space="preserve"> e “chiarit</w:t>
      </w:r>
      <w:r w:rsidR="003E0BC6" w:rsidRPr="00AF336A">
        <w:rPr>
          <w:color w:val="000000" w:themeColor="text1"/>
          <w:sz w:val="25"/>
          <w:szCs w:val="25"/>
        </w:rPr>
        <w:t>o</w:t>
      </w:r>
      <w:r w:rsidRPr="00AF336A">
        <w:rPr>
          <w:color w:val="000000" w:themeColor="text1"/>
          <w:sz w:val="25"/>
          <w:szCs w:val="25"/>
        </w:rPr>
        <w:t xml:space="preserve">” dalle </w:t>
      </w:r>
      <w:r w:rsidR="00C15277" w:rsidRPr="00AF336A">
        <w:rPr>
          <w:color w:val="000000" w:themeColor="text1"/>
          <w:sz w:val="25"/>
          <w:szCs w:val="25"/>
        </w:rPr>
        <w:t>sentenze n. 20, 63, e 112 del 2019 e poi dall</w:t>
      </w:r>
      <w:r w:rsidR="00144DEC" w:rsidRPr="00AF336A">
        <w:rPr>
          <w:color w:val="000000" w:themeColor="text1"/>
          <w:sz w:val="25"/>
          <w:szCs w:val="25"/>
        </w:rPr>
        <w:t>’</w:t>
      </w:r>
      <w:r w:rsidR="00C15277" w:rsidRPr="00AF336A">
        <w:rPr>
          <w:color w:val="000000" w:themeColor="text1"/>
          <w:sz w:val="25"/>
          <w:szCs w:val="25"/>
        </w:rPr>
        <w:t>ordinanza n. 117 del 2019) ha rivendicato il carattere prioritario del sindacato di costituzionalità sui diritti fondamentali in caso di violazione da parte della legge nazionale sia della Costituzione, sia della Carta di Nizza (Carta dei diritti fondamentali dell</w:t>
      </w:r>
      <w:r w:rsidR="00144DEC" w:rsidRPr="00AF336A">
        <w:rPr>
          <w:color w:val="000000" w:themeColor="text1"/>
          <w:sz w:val="25"/>
          <w:szCs w:val="25"/>
        </w:rPr>
        <w:t>’</w:t>
      </w:r>
      <w:r w:rsidR="00C15277" w:rsidRPr="00AF336A">
        <w:rPr>
          <w:color w:val="000000" w:themeColor="text1"/>
          <w:sz w:val="25"/>
          <w:szCs w:val="25"/>
        </w:rPr>
        <w:t xml:space="preserve">U.E.), sottolineando la necessità di assicurare un sindacato di costituzionalità accentrato con effetti </w:t>
      </w:r>
      <w:r w:rsidR="00C15277" w:rsidRPr="00AF336A">
        <w:rPr>
          <w:i/>
          <w:iCs/>
          <w:color w:val="000000" w:themeColor="text1"/>
          <w:sz w:val="25"/>
          <w:szCs w:val="25"/>
        </w:rPr>
        <w:t>erga omnes</w:t>
      </w:r>
      <w:r w:rsidR="00C15277" w:rsidRPr="00AF336A">
        <w:rPr>
          <w:color w:val="000000" w:themeColor="text1"/>
          <w:sz w:val="25"/>
          <w:szCs w:val="25"/>
        </w:rPr>
        <w:t xml:space="preserve">, quando vengono in gioco di diritti fondamentali. </w:t>
      </w:r>
    </w:p>
    <w:p w14:paraId="2BEAA7DC" w14:textId="38A07738" w:rsidR="00C17DE1" w:rsidRPr="00AF336A" w:rsidRDefault="00407FFB" w:rsidP="00144DEC">
      <w:pPr>
        <w:pStyle w:val="NormaleWeb"/>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Peraltro, nella sentenza 20/2019, la Corte costituzionale ha esteso l</w:t>
      </w:r>
      <w:r w:rsidR="00144DEC" w:rsidRPr="00AF336A">
        <w:rPr>
          <w:color w:val="000000" w:themeColor="text1"/>
          <w:sz w:val="25"/>
          <w:szCs w:val="25"/>
        </w:rPr>
        <w:t>’</w:t>
      </w:r>
      <w:r w:rsidRPr="00AF336A">
        <w:rPr>
          <w:color w:val="000000" w:themeColor="text1"/>
          <w:sz w:val="25"/>
          <w:szCs w:val="25"/>
        </w:rPr>
        <w:t>opport</w:t>
      </w:r>
      <w:r w:rsidR="00C17DE1" w:rsidRPr="00AF336A">
        <w:rPr>
          <w:color w:val="000000" w:themeColor="text1"/>
          <w:sz w:val="25"/>
          <w:szCs w:val="25"/>
        </w:rPr>
        <w:t>u</w:t>
      </w:r>
      <w:r w:rsidRPr="00AF336A">
        <w:rPr>
          <w:color w:val="000000" w:themeColor="text1"/>
          <w:sz w:val="25"/>
          <w:szCs w:val="25"/>
        </w:rPr>
        <w:t xml:space="preserve">nità di un sindacato accentrato </w:t>
      </w:r>
      <w:r w:rsidR="00C17DE1" w:rsidRPr="00AF336A">
        <w:rPr>
          <w:rFonts w:eastAsia="Times New Roman"/>
          <w:color w:val="000000" w:themeColor="text1"/>
          <w:sz w:val="25"/>
          <w:szCs w:val="25"/>
          <w:lang w:eastAsia="it-IT"/>
        </w:rPr>
        <w:t>oltre il caso in cui sia lamentata la violazione di una disposizione della Carta dei diritti fondamentali dell</w:t>
      </w:r>
      <w:r w:rsidR="00144DEC" w:rsidRPr="00AF336A">
        <w:rPr>
          <w:rFonts w:eastAsia="Times New Roman"/>
          <w:color w:val="000000" w:themeColor="text1"/>
          <w:sz w:val="25"/>
          <w:szCs w:val="25"/>
          <w:lang w:eastAsia="it-IT"/>
        </w:rPr>
        <w:t>’</w:t>
      </w:r>
      <w:r w:rsidR="00C17DE1" w:rsidRPr="00AF336A">
        <w:rPr>
          <w:rFonts w:eastAsia="Times New Roman"/>
          <w:color w:val="000000" w:themeColor="text1"/>
          <w:sz w:val="25"/>
          <w:szCs w:val="25"/>
          <w:lang w:eastAsia="it-IT"/>
        </w:rPr>
        <w:t>Unione europea, precisand</w:t>
      </w:r>
      <w:r w:rsidR="006A3361" w:rsidRPr="00AF336A">
        <w:rPr>
          <w:rFonts w:eastAsia="Times New Roman"/>
          <w:color w:val="000000" w:themeColor="text1"/>
          <w:sz w:val="25"/>
          <w:szCs w:val="25"/>
          <w:lang w:eastAsia="it-IT"/>
        </w:rPr>
        <w:t>o</w:t>
      </w:r>
      <w:r w:rsidR="00C17DE1" w:rsidRPr="00AF336A">
        <w:rPr>
          <w:rFonts w:eastAsia="Times New Roman"/>
          <w:color w:val="000000" w:themeColor="text1"/>
          <w:sz w:val="25"/>
          <w:szCs w:val="25"/>
          <w:lang w:eastAsia="it-IT"/>
        </w:rPr>
        <w:t>, appunto, che</w:t>
      </w:r>
      <w:r w:rsidRPr="00AF336A">
        <w:rPr>
          <w:color w:val="000000" w:themeColor="text1"/>
          <w:sz w:val="25"/>
          <w:szCs w:val="25"/>
        </w:rPr>
        <w:t xml:space="preserve"> </w:t>
      </w:r>
      <w:r w:rsidR="00C15277" w:rsidRPr="00AF336A">
        <w:rPr>
          <w:color w:val="000000" w:themeColor="text1"/>
          <w:sz w:val="25"/>
          <w:szCs w:val="25"/>
        </w:rPr>
        <w:t xml:space="preserve">tale intervento si rende necessario anche nei casi in cui </w:t>
      </w:r>
      <w:r w:rsidRPr="00AF336A">
        <w:rPr>
          <w:color w:val="000000" w:themeColor="text1"/>
          <w:sz w:val="25"/>
          <w:szCs w:val="25"/>
        </w:rPr>
        <w:t>“</w:t>
      </w:r>
      <w:r w:rsidR="00C15277" w:rsidRPr="00C6385D">
        <w:rPr>
          <w:i/>
          <w:iCs/>
          <w:color w:val="000000" w:themeColor="text1"/>
          <w:sz w:val="25"/>
          <w:szCs w:val="25"/>
        </w:rPr>
        <w:t xml:space="preserve">i principi previsti </w:t>
      </w:r>
      <w:r w:rsidR="00C15277" w:rsidRPr="00C6385D">
        <w:rPr>
          <w:color w:val="000000" w:themeColor="text1"/>
          <w:sz w:val="25"/>
          <w:szCs w:val="25"/>
        </w:rPr>
        <w:t>[da una direttiva]</w:t>
      </w:r>
      <w:r w:rsidR="00C15277" w:rsidRPr="00C6385D">
        <w:rPr>
          <w:i/>
          <w:iCs/>
          <w:color w:val="000000" w:themeColor="text1"/>
          <w:sz w:val="25"/>
          <w:szCs w:val="25"/>
        </w:rPr>
        <w:t xml:space="preserve"> si present</w:t>
      </w:r>
      <w:r w:rsidR="00C15277" w:rsidRPr="00C6385D">
        <w:rPr>
          <w:color w:val="000000" w:themeColor="text1"/>
          <w:sz w:val="25"/>
          <w:szCs w:val="25"/>
        </w:rPr>
        <w:t>[i]</w:t>
      </w:r>
      <w:r w:rsidR="00C15277" w:rsidRPr="00C6385D">
        <w:rPr>
          <w:i/>
          <w:iCs/>
          <w:color w:val="000000" w:themeColor="text1"/>
          <w:sz w:val="25"/>
          <w:szCs w:val="25"/>
        </w:rPr>
        <w:t xml:space="preserve">no </w:t>
      </w:r>
      <w:r w:rsidR="00C15277" w:rsidRPr="00C6385D">
        <w:rPr>
          <w:color w:val="000000" w:themeColor="text1"/>
          <w:sz w:val="25"/>
          <w:szCs w:val="25"/>
        </w:rPr>
        <w:t>[...]</w:t>
      </w:r>
      <w:r w:rsidR="00C15277" w:rsidRPr="00C6385D">
        <w:rPr>
          <w:i/>
          <w:iCs/>
          <w:color w:val="000000" w:themeColor="text1"/>
          <w:sz w:val="25"/>
          <w:szCs w:val="25"/>
        </w:rPr>
        <w:t xml:space="preserve"> in singolare connessione con le pertinenti disposizioni della </w:t>
      </w:r>
      <w:r w:rsidR="00C15277" w:rsidRPr="00C6385D">
        <w:rPr>
          <w:color w:val="000000" w:themeColor="text1"/>
          <w:sz w:val="25"/>
          <w:szCs w:val="25"/>
        </w:rPr>
        <w:t>[Carta dei diritti fondamentali dell</w:t>
      </w:r>
      <w:r w:rsidR="00144DEC" w:rsidRPr="00C6385D">
        <w:rPr>
          <w:color w:val="000000" w:themeColor="text1"/>
          <w:sz w:val="25"/>
          <w:szCs w:val="25"/>
        </w:rPr>
        <w:t>’</w:t>
      </w:r>
      <w:r w:rsidR="00C15277" w:rsidRPr="00C6385D">
        <w:rPr>
          <w:color w:val="000000" w:themeColor="text1"/>
          <w:sz w:val="25"/>
          <w:szCs w:val="25"/>
        </w:rPr>
        <w:t>Unione europea]</w:t>
      </w:r>
      <w:r w:rsidR="00C15277" w:rsidRPr="00C6385D">
        <w:rPr>
          <w:i/>
          <w:iCs/>
          <w:color w:val="000000" w:themeColor="text1"/>
          <w:sz w:val="25"/>
          <w:szCs w:val="25"/>
        </w:rPr>
        <w:t>: non solo nel senso che essi ne forniscono specificazione o attuazione, ma anche nel senso, addirittura inverso, che essi hanno costituito “modello” per quelle norme, e perci</w:t>
      </w:r>
      <w:r w:rsidR="00C17DE1" w:rsidRPr="00C6385D">
        <w:rPr>
          <w:i/>
          <w:iCs/>
          <w:color w:val="000000" w:themeColor="text1"/>
          <w:sz w:val="25"/>
          <w:szCs w:val="25"/>
        </w:rPr>
        <w:t>ò</w:t>
      </w:r>
      <w:r w:rsidR="00C15277" w:rsidRPr="00C6385D">
        <w:rPr>
          <w:i/>
          <w:iCs/>
          <w:color w:val="000000" w:themeColor="text1"/>
          <w:sz w:val="25"/>
          <w:szCs w:val="25"/>
        </w:rPr>
        <w:t xml:space="preserve"> partecipano all</w:t>
      </w:r>
      <w:r w:rsidR="00144DEC" w:rsidRPr="00C6385D">
        <w:rPr>
          <w:i/>
          <w:iCs/>
          <w:color w:val="000000" w:themeColor="text1"/>
          <w:sz w:val="25"/>
          <w:szCs w:val="25"/>
        </w:rPr>
        <w:t>’</w:t>
      </w:r>
      <w:r w:rsidR="00C15277" w:rsidRPr="00C6385D">
        <w:rPr>
          <w:i/>
          <w:iCs/>
          <w:color w:val="000000" w:themeColor="text1"/>
          <w:sz w:val="25"/>
          <w:szCs w:val="25"/>
        </w:rPr>
        <w:t>evidenza della loro stessa natura</w:t>
      </w:r>
      <w:r w:rsidRPr="00AF336A">
        <w:rPr>
          <w:color w:val="000000" w:themeColor="text1"/>
          <w:sz w:val="25"/>
          <w:szCs w:val="25"/>
        </w:rPr>
        <w:t>”</w:t>
      </w:r>
      <w:r w:rsidR="00C15277" w:rsidRPr="00AF336A">
        <w:rPr>
          <w:color w:val="000000" w:themeColor="text1"/>
          <w:sz w:val="25"/>
          <w:szCs w:val="25"/>
        </w:rPr>
        <w:t>.</w:t>
      </w:r>
      <w:r w:rsidR="00C15277" w:rsidRPr="00AF336A">
        <w:rPr>
          <w:color w:val="000000" w:themeColor="text1"/>
          <w:position w:val="10"/>
          <w:sz w:val="25"/>
          <w:szCs w:val="25"/>
        </w:rPr>
        <w:t xml:space="preserve"> </w:t>
      </w:r>
    </w:p>
    <w:p w14:paraId="7BF4D4DF" w14:textId="7044B917" w:rsidR="00C15277" w:rsidRPr="00AF336A" w:rsidRDefault="00C17DE1" w:rsidP="00144DEC">
      <w:pPr>
        <w:pStyle w:val="NormaleWeb"/>
        <w:spacing w:after="0" w:line="240" w:lineRule="auto"/>
        <w:ind w:firstLine="454"/>
        <w:jc w:val="both"/>
        <w:rPr>
          <w:rFonts w:eastAsia="Times New Roman"/>
          <w:color w:val="000000" w:themeColor="text1"/>
          <w:sz w:val="25"/>
          <w:szCs w:val="25"/>
          <w:lang w:eastAsia="it-IT"/>
        </w:rPr>
      </w:pPr>
      <w:r w:rsidRPr="00AF336A">
        <w:rPr>
          <w:rFonts w:eastAsia="Times New Roman"/>
          <w:color w:val="000000" w:themeColor="text1"/>
          <w:sz w:val="25"/>
          <w:szCs w:val="25"/>
          <w:lang w:eastAsia="it-IT"/>
        </w:rPr>
        <w:t>Inoltre, superando le iniziali ambiguità dell</w:t>
      </w:r>
      <w:r w:rsidR="00144DEC" w:rsidRPr="00AF336A">
        <w:rPr>
          <w:rFonts w:eastAsia="Times New Roman"/>
          <w:color w:val="000000" w:themeColor="text1"/>
          <w:sz w:val="25"/>
          <w:szCs w:val="25"/>
          <w:lang w:eastAsia="it-IT"/>
        </w:rPr>
        <w:t>’</w:t>
      </w:r>
      <w:r w:rsidR="003E0BC6" w:rsidRPr="00AF336A">
        <w:rPr>
          <w:rFonts w:eastAsia="Times New Roman"/>
          <w:i/>
          <w:iCs/>
          <w:color w:val="000000" w:themeColor="text1"/>
          <w:sz w:val="25"/>
          <w:szCs w:val="25"/>
          <w:lang w:eastAsia="it-IT"/>
        </w:rPr>
        <w:t xml:space="preserve">obiter </w:t>
      </w:r>
      <w:r w:rsidR="003E0BC6" w:rsidRPr="00AF336A">
        <w:rPr>
          <w:rFonts w:eastAsia="Times New Roman"/>
          <w:color w:val="000000" w:themeColor="text1"/>
          <w:sz w:val="25"/>
          <w:szCs w:val="25"/>
          <w:lang w:eastAsia="it-IT"/>
        </w:rPr>
        <w:t>contenuto nella decisione</w:t>
      </w:r>
      <w:r w:rsidRPr="00AF336A">
        <w:rPr>
          <w:rFonts w:eastAsia="Times New Roman"/>
          <w:color w:val="000000" w:themeColor="text1"/>
          <w:sz w:val="25"/>
          <w:szCs w:val="25"/>
          <w:lang w:eastAsia="it-IT"/>
        </w:rPr>
        <w:t xml:space="preserve"> n. 26</w:t>
      </w:r>
      <w:r w:rsidR="00714D3B" w:rsidRPr="00AF336A">
        <w:rPr>
          <w:rFonts w:eastAsia="Times New Roman"/>
          <w:color w:val="000000" w:themeColor="text1"/>
          <w:sz w:val="25"/>
          <w:szCs w:val="25"/>
          <w:lang w:eastAsia="it-IT"/>
        </w:rPr>
        <w:t>9</w:t>
      </w:r>
      <w:r w:rsidRPr="00AF336A">
        <w:rPr>
          <w:rFonts w:eastAsia="Times New Roman"/>
          <w:color w:val="000000" w:themeColor="text1"/>
          <w:sz w:val="25"/>
          <w:szCs w:val="25"/>
          <w:lang w:eastAsia="it-IT"/>
        </w:rPr>
        <w:t xml:space="preserve"> del 2017</w:t>
      </w:r>
      <w:r w:rsidR="003E0BC6" w:rsidRPr="00AF336A">
        <w:rPr>
          <w:rFonts w:eastAsia="Times New Roman"/>
          <w:color w:val="000000" w:themeColor="text1"/>
          <w:sz w:val="25"/>
          <w:szCs w:val="25"/>
          <w:lang w:eastAsia="it-IT"/>
        </w:rPr>
        <w:t xml:space="preserve">, </w:t>
      </w:r>
      <w:r w:rsidR="00714D3B" w:rsidRPr="00AF336A">
        <w:rPr>
          <w:rFonts w:eastAsia="Times New Roman"/>
          <w:color w:val="000000" w:themeColor="text1"/>
          <w:sz w:val="25"/>
          <w:szCs w:val="25"/>
          <w:lang w:eastAsia="it-IT"/>
        </w:rPr>
        <w:t xml:space="preserve">nella successiva </w:t>
      </w:r>
      <w:r w:rsidRPr="00AF336A">
        <w:rPr>
          <w:color w:val="000000" w:themeColor="text1"/>
          <w:sz w:val="25"/>
          <w:szCs w:val="25"/>
        </w:rPr>
        <w:t xml:space="preserve">sentenza </w:t>
      </w:r>
      <w:r w:rsidR="00C15277" w:rsidRPr="00AF336A">
        <w:rPr>
          <w:color w:val="000000" w:themeColor="text1"/>
          <w:sz w:val="25"/>
          <w:szCs w:val="25"/>
        </w:rPr>
        <w:t>n. 63 del 2019</w:t>
      </w:r>
      <w:r w:rsidR="003E0BC6" w:rsidRPr="00AF336A">
        <w:rPr>
          <w:color w:val="000000" w:themeColor="text1"/>
          <w:sz w:val="25"/>
          <w:szCs w:val="25"/>
        </w:rPr>
        <w:t xml:space="preserve"> </w:t>
      </w:r>
      <w:r w:rsidR="00714D3B" w:rsidRPr="00AF336A">
        <w:rPr>
          <w:color w:val="000000" w:themeColor="text1"/>
          <w:sz w:val="25"/>
          <w:szCs w:val="25"/>
        </w:rPr>
        <w:t>la Corte ha</w:t>
      </w:r>
      <w:r w:rsidR="00C15277" w:rsidRPr="00AF336A">
        <w:rPr>
          <w:color w:val="000000" w:themeColor="text1"/>
          <w:sz w:val="25"/>
          <w:szCs w:val="25"/>
        </w:rPr>
        <w:t xml:space="preserve"> fatto salvo espressamente </w:t>
      </w:r>
      <w:r w:rsidR="00307EAB" w:rsidRPr="00AF336A">
        <w:rPr>
          <w:color w:val="000000" w:themeColor="text1"/>
          <w:sz w:val="25"/>
          <w:szCs w:val="25"/>
        </w:rPr>
        <w:t>“</w:t>
      </w:r>
      <w:r w:rsidR="00C15277" w:rsidRPr="00AF336A">
        <w:rPr>
          <w:i/>
          <w:iCs/>
          <w:color w:val="000000" w:themeColor="text1"/>
          <w:sz w:val="25"/>
          <w:szCs w:val="25"/>
        </w:rPr>
        <w:t>il potere del giudice comune di procedere egli stesso al rinvio pregiudiziale alla Corte di giustizia UE, anche dopo il giudizio incidentale di legittimit</w:t>
      </w:r>
      <w:r w:rsidR="007B70D2" w:rsidRPr="00AF336A">
        <w:rPr>
          <w:i/>
          <w:iCs/>
          <w:color w:val="000000" w:themeColor="text1"/>
          <w:sz w:val="25"/>
          <w:szCs w:val="25"/>
        </w:rPr>
        <w:t>à</w:t>
      </w:r>
      <w:r w:rsidR="00C15277" w:rsidRPr="00AF336A">
        <w:rPr>
          <w:i/>
          <w:iCs/>
          <w:color w:val="000000" w:themeColor="text1"/>
          <w:sz w:val="25"/>
          <w:szCs w:val="25"/>
        </w:rPr>
        <w:t xml:space="preserve"> costituzionale, e </w:t>
      </w:r>
      <w:r w:rsidR="003E0BC6" w:rsidRPr="00AF336A">
        <w:rPr>
          <w:i/>
          <w:iCs/>
          <w:color w:val="000000" w:themeColor="text1"/>
          <w:sz w:val="25"/>
          <w:szCs w:val="25"/>
        </w:rPr>
        <w:t>–</w:t>
      </w:r>
      <w:r w:rsidR="00C15277" w:rsidRPr="00AF336A">
        <w:rPr>
          <w:i/>
          <w:iCs/>
          <w:color w:val="000000" w:themeColor="text1"/>
          <w:sz w:val="25"/>
          <w:szCs w:val="25"/>
        </w:rPr>
        <w:t xml:space="preserve"> ricorrendone i presupposti </w:t>
      </w:r>
      <w:r w:rsidR="003E0BC6" w:rsidRPr="00AF336A">
        <w:rPr>
          <w:i/>
          <w:iCs/>
          <w:color w:val="000000" w:themeColor="text1"/>
          <w:sz w:val="25"/>
          <w:szCs w:val="25"/>
        </w:rPr>
        <w:t>–</w:t>
      </w:r>
      <w:r w:rsidR="00C15277" w:rsidRPr="00AF336A">
        <w:rPr>
          <w:i/>
          <w:iCs/>
          <w:color w:val="000000" w:themeColor="text1"/>
          <w:sz w:val="25"/>
          <w:szCs w:val="25"/>
        </w:rPr>
        <w:t xml:space="preserve"> di non applicare, nella fattispecie sottoposta al suo esame, la disposizione nazionale</w:t>
      </w:r>
      <w:r w:rsidR="00307EAB" w:rsidRPr="00AF336A">
        <w:rPr>
          <w:color w:val="000000" w:themeColor="text1"/>
          <w:sz w:val="25"/>
          <w:szCs w:val="25"/>
        </w:rPr>
        <w:t>”</w:t>
      </w:r>
      <w:r w:rsidRPr="00AF336A">
        <w:rPr>
          <w:color w:val="000000" w:themeColor="text1"/>
          <w:sz w:val="25"/>
          <w:szCs w:val="25"/>
        </w:rPr>
        <w:t>. Viene, a tal proposito, espres</w:t>
      </w:r>
      <w:r w:rsidR="00714D3B" w:rsidRPr="00AF336A">
        <w:rPr>
          <w:color w:val="000000" w:themeColor="text1"/>
          <w:sz w:val="25"/>
          <w:szCs w:val="25"/>
        </w:rPr>
        <w:t>s</w:t>
      </w:r>
      <w:r w:rsidRPr="00AF336A">
        <w:rPr>
          <w:color w:val="000000" w:themeColor="text1"/>
          <w:sz w:val="25"/>
          <w:szCs w:val="25"/>
        </w:rPr>
        <w:t xml:space="preserve">amente richiamata </w:t>
      </w:r>
      <w:r w:rsidR="008C16C5" w:rsidRPr="00AF336A">
        <w:rPr>
          <w:rFonts w:eastAsia="Times New Roman"/>
          <w:color w:val="000000" w:themeColor="text1"/>
          <w:sz w:val="25"/>
          <w:szCs w:val="25"/>
          <w:lang w:eastAsia="it-IT"/>
        </w:rPr>
        <w:t>la giurisprudenza della Corte di giustizia, secondo cui il giudice nazionale investito di una controversia conce</w:t>
      </w:r>
      <w:r w:rsidR="007B70D2" w:rsidRPr="00AF336A">
        <w:rPr>
          <w:rFonts w:eastAsia="Times New Roman"/>
          <w:color w:val="000000" w:themeColor="text1"/>
          <w:sz w:val="25"/>
          <w:szCs w:val="25"/>
          <w:lang w:eastAsia="it-IT"/>
        </w:rPr>
        <w:t>rne</w:t>
      </w:r>
      <w:r w:rsidR="008C16C5" w:rsidRPr="00AF336A">
        <w:rPr>
          <w:rFonts w:eastAsia="Times New Roman"/>
          <w:color w:val="000000" w:themeColor="text1"/>
          <w:sz w:val="25"/>
          <w:szCs w:val="25"/>
          <w:lang w:eastAsia="it-IT"/>
        </w:rPr>
        <w:t>nte</w:t>
      </w:r>
      <w:r w:rsidR="007B70D2" w:rsidRPr="00AF336A">
        <w:rPr>
          <w:rFonts w:eastAsia="Times New Roman"/>
          <w:color w:val="000000" w:themeColor="text1"/>
          <w:sz w:val="25"/>
          <w:szCs w:val="25"/>
          <w:lang w:eastAsia="it-IT"/>
        </w:rPr>
        <w:t xml:space="preserve"> </w:t>
      </w:r>
      <w:r w:rsidR="008C16C5" w:rsidRPr="00AF336A">
        <w:rPr>
          <w:rFonts w:eastAsia="Times New Roman"/>
          <w:color w:val="000000" w:themeColor="text1"/>
          <w:sz w:val="25"/>
          <w:szCs w:val="25"/>
          <w:lang w:eastAsia="it-IT"/>
        </w:rPr>
        <w:t>il diritto dell</w:t>
      </w:r>
      <w:r w:rsidR="00144DEC" w:rsidRPr="00AF336A">
        <w:rPr>
          <w:rFonts w:eastAsia="Times New Roman"/>
          <w:color w:val="000000" w:themeColor="text1"/>
          <w:sz w:val="25"/>
          <w:szCs w:val="25"/>
          <w:lang w:eastAsia="it-IT"/>
        </w:rPr>
        <w:t>’</w:t>
      </w:r>
      <w:r w:rsidR="00C6385D">
        <w:rPr>
          <w:rFonts w:eastAsia="Times New Roman"/>
          <w:color w:val="000000" w:themeColor="text1"/>
          <w:sz w:val="25"/>
          <w:szCs w:val="25"/>
          <w:lang w:eastAsia="it-IT"/>
        </w:rPr>
        <w:t>U</w:t>
      </w:r>
      <w:r w:rsidR="008C16C5" w:rsidRPr="00AF336A">
        <w:rPr>
          <w:rFonts w:eastAsia="Times New Roman"/>
          <w:color w:val="000000" w:themeColor="text1"/>
          <w:sz w:val="25"/>
          <w:szCs w:val="25"/>
          <w:lang w:eastAsia="it-IT"/>
        </w:rPr>
        <w:t>nione, il quale ritenga che una norma nazionale non solo è contraria al diritto dell</w:t>
      </w:r>
      <w:r w:rsidR="00144DEC" w:rsidRPr="00AF336A">
        <w:rPr>
          <w:rFonts w:eastAsia="Times New Roman"/>
          <w:color w:val="000000" w:themeColor="text1"/>
          <w:sz w:val="25"/>
          <w:szCs w:val="25"/>
          <w:lang w:eastAsia="it-IT"/>
        </w:rPr>
        <w:t>’</w:t>
      </w:r>
      <w:r w:rsidR="008C16C5" w:rsidRPr="00AF336A">
        <w:rPr>
          <w:rFonts w:eastAsia="Times New Roman"/>
          <w:color w:val="000000" w:themeColor="text1"/>
          <w:sz w:val="25"/>
          <w:szCs w:val="25"/>
          <w:lang w:eastAsia="it-IT"/>
        </w:rPr>
        <w:t>unione, ma è anche inficiata da vizi di costituzionalità, non deve essere privato della facoltà né dispensato dall</w:t>
      </w:r>
      <w:r w:rsidR="00144DEC" w:rsidRPr="00AF336A">
        <w:rPr>
          <w:rFonts w:eastAsia="Times New Roman"/>
          <w:color w:val="000000" w:themeColor="text1"/>
          <w:sz w:val="25"/>
          <w:szCs w:val="25"/>
          <w:lang w:eastAsia="it-IT"/>
        </w:rPr>
        <w:t>’</w:t>
      </w:r>
      <w:r w:rsidR="008C16C5" w:rsidRPr="00AF336A">
        <w:rPr>
          <w:rFonts w:eastAsia="Times New Roman"/>
          <w:color w:val="000000" w:themeColor="text1"/>
          <w:sz w:val="25"/>
          <w:szCs w:val="25"/>
          <w:lang w:eastAsia="it-IT"/>
        </w:rPr>
        <w:t>obbligo, di cui all</w:t>
      </w:r>
      <w:r w:rsidR="00144DEC" w:rsidRPr="00AF336A">
        <w:rPr>
          <w:rFonts w:eastAsia="Times New Roman"/>
          <w:color w:val="000000" w:themeColor="text1"/>
          <w:sz w:val="25"/>
          <w:szCs w:val="25"/>
          <w:lang w:eastAsia="it-IT"/>
        </w:rPr>
        <w:t>’</w:t>
      </w:r>
      <w:r w:rsidR="008C16C5" w:rsidRPr="00AF336A">
        <w:rPr>
          <w:rFonts w:eastAsia="Times New Roman"/>
          <w:color w:val="000000" w:themeColor="text1"/>
          <w:sz w:val="25"/>
          <w:szCs w:val="25"/>
          <w:lang w:eastAsia="it-IT"/>
        </w:rPr>
        <w:t>art. 267 TFUE, di sottoporre alla Corte di giustizia questioni relative all</w:t>
      </w:r>
      <w:r w:rsidR="00144DEC" w:rsidRPr="00AF336A">
        <w:rPr>
          <w:rFonts w:eastAsia="Times New Roman"/>
          <w:color w:val="000000" w:themeColor="text1"/>
          <w:sz w:val="25"/>
          <w:szCs w:val="25"/>
          <w:lang w:eastAsia="it-IT"/>
        </w:rPr>
        <w:t>’</w:t>
      </w:r>
      <w:r w:rsidR="008C16C5" w:rsidRPr="00AF336A">
        <w:rPr>
          <w:rFonts w:eastAsia="Times New Roman"/>
          <w:color w:val="000000" w:themeColor="text1"/>
          <w:sz w:val="25"/>
          <w:szCs w:val="25"/>
          <w:lang w:eastAsia="it-IT"/>
        </w:rPr>
        <w:t>interpretazione o validità del diritto dell</w:t>
      </w:r>
      <w:r w:rsidR="00144DEC" w:rsidRPr="00AF336A">
        <w:rPr>
          <w:rFonts w:eastAsia="Times New Roman"/>
          <w:color w:val="000000" w:themeColor="text1"/>
          <w:sz w:val="25"/>
          <w:szCs w:val="25"/>
          <w:lang w:eastAsia="it-IT"/>
        </w:rPr>
        <w:t>’</w:t>
      </w:r>
      <w:r w:rsidR="008C16C5" w:rsidRPr="00AF336A">
        <w:rPr>
          <w:rFonts w:eastAsia="Times New Roman"/>
          <w:color w:val="000000" w:themeColor="text1"/>
          <w:sz w:val="25"/>
          <w:szCs w:val="25"/>
          <w:lang w:eastAsia="it-IT"/>
        </w:rPr>
        <w:t>unione per il solo fatto che la constatazione dell</w:t>
      </w:r>
      <w:r w:rsidR="00144DEC" w:rsidRPr="00AF336A">
        <w:rPr>
          <w:rFonts w:eastAsia="Times New Roman"/>
          <w:color w:val="000000" w:themeColor="text1"/>
          <w:sz w:val="25"/>
          <w:szCs w:val="25"/>
          <w:lang w:eastAsia="it-IT"/>
        </w:rPr>
        <w:t>’</w:t>
      </w:r>
      <w:r w:rsidR="003E0BC6" w:rsidRPr="00AF336A">
        <w:rPr>
          <w:rFonts w:eastAsia="Times New Roman"/>
          <w:color w:val="000000" w:themeColor="text1"/>
          <w:sz w:val="25"/>
          <w:szCs w:val="25"/>
          <w:lang w:eastAsia="it-IT"/>
        </w:rPr>
        <w:t>incostituzionalità</w:t>
      </w:r>
      <w:r w:rsidR="008C16C5" w:rsidRPr="00AF336A">
        <w:rPr>
          <w:rFonts w:eastAsia="Times New Roman"/>
          <w:color w:val="000000" w:themeColor="text1"/>
          <w:sz w:val="25"/>
          <w:szCs w:val="25"/>
          <w:lang w:eastAsia="it-IT"/>
        </w:rPr>
        <w:t xml:space="preserve"> nel diritto interno sia soggetto a ricorso obbligatorio davanti alla Corte costituzionale</w:t>
      </w:r>
      <w:r w:rsidR="00C6385D">
        <w:rPr>
          <w:rStyle w:val="Rimandonotaapidipagina"/>
          <w:rFonts w:eastAsia="Times New Roman"/>
          <w:color w:val="000000" w:themeColor="text1"/>
          <w:sz w:val="25"/>
          <w:szCs w:val="25"/>
          <w:lang w:eastAsia="it-IT"/>
        </w:rPr>
        <w:footnoteReference w:id="25"/>
      </w:r>
      <w:r w:rsidR="008C16C5" w:rsidRPr="00AF336A">
        <w:rPr>
          <w:rFonts w:eastAsia="Times New Roman"/>
          <w:color w:val="000000" w:themeColor="text1"/>
          <w:sz w:val="25"/>
          <w:szCs w:val="25"/>
          <w:lang w:eastAsia="it-IT"/>
        </w:rPr>
        <w:t xml:space="preserve">. </w:t>
      </w:r>
    </w:p>
    <w:p w14:paraId="73DA9A85" w14:textId="1418BD18" w:rsidR="001B50C6" w:rsidRPr="00AF336A" w:rsidRDefault="003A591E" w:rsidP="00144DEC">
      <w:pPr>
        <w:pStyle w:val="NormaleWeb"/>
        <w:spacing w:after="0" w:line="240" w:lineRule="auto"/>
        <w:ind w:firstLine="454"/>
        <w:jc w:val="both"/>
        <w:rPr>
          <w:rFonts w:eastAsia="Times New Roman"/>
          <w:color w:val="000000" w:themeColor="text1"/>
          <w:sz w:val="25"/>
          <w:szCs w:val="25"/>
          <w:lang w:eastAsia="it-IT"/>
        </w:rPr>
      </w:pPr>
      <w:r w:rsidRPr="00AF336A">
        <w:rPr>
          <w:color w:val="000000" w:themeColor="text1"/>
          <w:sz w:val="25"/>
          <w:szCs w:val="25"/>
        </w:rPr>
        <w:t>Que</w:t>
      </w:r>
      <w:r w:rsidR="008C16C5" w:rsidRPr="00AF336A">
        <w:rPr>
          <w:color w:val="000000" w:themeColor="text1"/>
          <w:sz w:val="25"/>
          <w:szCs w:val="25"/>
        </w:rPr>
        <w:t xml:space="preserve">sto nuovo corso della giurisprudenza costituzionale sulla c.d. doppia pregiudizialità </w:t>
      </w:r>
      <w:r w:rsidR="001B50C6" w:rsidRPr="00AF336A">
        <w:rPr>
          <w:color w:val="000000" w:themeColor="text1"/>
          <w:sz w:val="25"/>
          <w:szCs w:val="25"/>
        </w:rPr>
        <w:t>è stat</w:t>
      </w:r>
      <w:r w:rsidR="00C6385D">
        <w:rPr>
          <w:color w:val="000000" w:themeColor="text1"/>
          <w:sz w:val="25"/>
          <w:szCs w:val="25"/>
        </w:rPr>
        <w:t>o</w:t>
      </w:r>
      <w:r w:rsidR="008C16C5" w:rsidRPr="00AF336A">
        <w:rPr>
          <w:color w:val="000000" w:themeColor="text1"/>
          <w:sz w:val="25"/>
          <w:szCs w:val="25"/>
        </w:rPr>
        <w:t xml:space="preserve"> all</w:t>
      </w:r>
      <w:r w:rsidR="00144DEC" w:rsidRPr="00AF336A">
        <w:rPr>
          <w:color w:val="000000" w:themeColor="text1"/>
          <w:sz w:val="25"/>
          <w:szCs w:val="25"/>
        </w:rPr>
        <w:t>’</w:t>
      </w:r>
      <w:r w:rsidR="008C16C5" w:rsidRPr="00AF336A">
        <w:rPr>
          <w:color w:val="000000" w:themeColor="text1"/>
          <w:sz w:val="25"/>
          <w:szCs w:val="25"/>
        </w:rPr>
        <w:t>inizio (specie all</w:t>
      </w:r>
      <w:r w:rsidR="00144DEC" w:rsidRPr="00AF336A">
        <w:rPr>
          <w:color w:val="000000" w:themeColor="text1"/>
          <w:sz w:val="25"/>
          <w:szCs w:val="25"/>
        </w:rPr>
        <w:t>’</w:t>
      </w:r>
      <w:r w:rsidR="008C16C5" w:rsidRPr="00AF336A">
        <w:rPr>
          <w:color w:val="000000" w:themeColor="text1"/>
          <w:sz w:val="25"/>
          <w:szCs w:val="25"/>
        </w:rPr>
        <w:t>indomani dell</w:t>
      </w:r>
      <w:r w:rsidR="00144DEC" w:rsidRPr="00AF336A">
        <w:rPr>
          <w:color w:val="000000" w:themeColor="text1"/>
          <w:sz w:val="25"/>
          <w:szCs w:val="25"/>
        </w:rPr>
        <w:t>’</w:t>
      </w:r>
      <w:r w:rsidR="008C16C5" w:rsidRPr="00AF336A">
        <w:rPr>
          <w:color w:val="000000" w:themeColor="text1"/>
          <w:sz w:val="25"/>
          <w:szCs w:val="25"/>
        </w:rPr>
        <w:t>ordinanza n. 269/2017) fortemente criticato</w:t>
      </w:r>
      <w:r w:rsidR="001B50C6" w:rsidRPr="00AF336A">
        <w:rPr>
          <w:color w:val="000000" w:themeColor="text1"/>
          <w:sz w:val="25"/>
          <w:szCs w:val="25"/>
        </w:rPr>
        <w:t>, perché da più parti</w:t>
      </w:r>
      <w:r w:rsidR="003164C5">
        <w:rPr>
          <w:color w:val="000000" w:themeColor="text1"/>
          <w:sz w:val="25"/>
          <w:szCs w:val="25"/>
        </w:rPr>
        <w:t xml:space="preserve"> </w:t>
      </w:r>
      <w:r w:rsidR="001B50C6" w:rsidRPr="00AF336A">
        <w:rPr>
          <w:color w:val="000000" w:themeColor="text1"/>
          <w:sz w:val="25"/>
          <w:szCs w:val="25"/>
        </w:rPr>
        <w:t>è stato letto come</w:t>
      </w:r>
      <w:r w:rsidR="008C16C5" w:rsidRPr="00AF336A">
        <w:rPr>
          <w:color w:val="000000" w:themeColor="text1"/>
          <w:sz w:val="25"/>
          <w:szCs w:val="25"/>
        </w:rPr>
        <w:t xml:space="preserve"> un arretramento </w:t>
      </w:r>
      <w:r w:rsidR="004E2BDE" w:rsidRPr="00AF336A">
        <w:rPr>
          <w:color w:val="000000" w:themeColor="text1"/>
          <w:sz w:val="25"/>
          <w:szCs w:val="25"/>
        </w:rPr>
        <w:t xml:space="preserve">rispetto </w:t>
      </w:r>
      <w:r w:rsidRPr="00AF336A">
        <w:rPr>
          <w:color w:val="000000" w:themeColor="text1"/>
          <w:sz w:val="25"/>
          <w:szCs w:val="25"/>
        </w:rPr>
        <w:t>a</w:t>
      </w:r>
      <w:r w:rsidR="004E2BDE" w:rsidRPr="00AF336A">
        <w:rPr>
          <w:color w:val="000000" w:themeColor="text1"/>
          <w:sz w:val="25"/>
          <w:szCs w:val="25"/>
        </w:rPr>
        <w:t>l principio di primazia</w:t>
      </w:r>
      <w:r w:rsidRPr="00AF336A">
        <w:rPr>
          <w:color w:val="000000" w:themeColor="text1"/>
          <w:sz w:val="25"/>
          <w:szCs w:val="25"/>
        </w:rPr>
        <w:t>, nel senso che</w:t>
      </w:r>
      <w:r w:rsidR="004E2BDE" w:rsidRPr="00AF336A">
        <w:rPr>
          <w:color w:val="000000" w:themeColor="text1"/>
          <w:sz w:val="25"/>
          <w:szCs w:val="25"/>
        </w:rPr>
        <w:t xml:space="preserve"> si pensava che la Corte volesse riappropriarsi di un controllo di costituzionalità </w:t>
      </w:r>
      <w:r w:rsidR="0021333F" w:rsidRPr="00AF336A">
        <w:rPr>
          <w:color w:val="000000" w:themeColor="text1"/>
          <w:sz w:val="25"/>
          <w:szCs w:val="25"/>
        </w:rPr>
        <w:t>ac</w:t>
      </w:r>
      <w:r w:rsidR="004E2BDE" w:rsidRPr="00AF336A">
        <w:rPr>
          <w:color w:val="000000" w:themeColor="text1"/>
          <w:sz w:val="25"/>
          <w:szCs w:val="25"/>
        </w:rPr>
        <w:t>centrato</w:t>
      </w:r>
      <w:r w:rsidR="0021333F" w:rsidRPr="00AF336A">
        <w:rPr>
          <w:color w:val="000000" w:themeColor="text1"/>
          <w:sz w:val="25"/>
          <w:szCs w:val="25"/>
        </w:rPr>
        <w:t>,</w:t>
      </w:r>
      <w:r w:rsidR="004E2BDE" w:rsidRPr="00AF336A">
        <w:rPr>
          <w:color w:val="000000" w:themeColor="text1"/>
          <w:sz w:val="25"/>
          <w:szCs w:val="25"/>
        </w:rPr>
        <w:t xml:space="preserve"> almeno in certi casi</w:t>
      </w:r>
      <w:r w:rsidR="0021333F" w:rsidRPr="00AF336A">
        <w:rPr>
          <w:color w:val="000000" w:themeColor="text1"/>
          <w:sz w:val="25"/>
          <w:szCs w:val="25"/>
        </w:rPr>
        <w:t>,</w:t>
      </w:r>
      <w:r w:rsidR="004E2BDE" w:rsidRPr="00AF336A">
        <w:rPr>
          <w:color w:val="000000" w:themeColor="text1"/>
          <w:sz w:val="25"/>
          <w:szCs w:val="25"/>
        </w:rPr>
        <w:t xml:space="preserve"> sulle leggi </w:t>
      </w:r>
      <w:proofErr w:type="spellStart"/>
      <w:r w:rsidR="004E2BDE" w:rsidRPr="00AF336A">
        <w:rPr>
          <w:color w:val="000000" w:themeColor="text1"/>
          <w:sz w:val="25"/>
          <w:szCs w:val="25"/>
        </w:rPr>
        <w:t>anti</w:t>
      </w:r>
      <w:r w:rsidR="0021333F" w:rsidRPr="00AF336A">
        <w:rPr>
          <w:color w:val="000000" w:themeColor="text1"/>
          <w:sz w:val="25"/>
          <w:szCs w:val="25"/>
        </w:rPr>
        <w:t>comunitarie</w:t>
      </w:r>
      <w:proofErr w:type="spellEnd"/>
      <w:r w:rsidR="001B50C6" w:rsidRPr="00AF336A">
        <w:rPr>
          <w:color w:val="000000" w:themeColor="text1"/>
          <w:sz w:val="25"/>
          <w:szCs w:val="25"/>
        </w:rPr>
        <w:t>: definit</w:t>
      </w:r>
      <w:r w:rsidR="00C6385D">
        <w:rPr>
          <w:color w:val="000000" w:themeColor="text1"/>
          <w:sz w:val="25"/>
          <w:szCs w:val="25"/>
        </w:rPr>
        <w:t>o</w:t>
      </w:r>
      <w:r w:rsidR="001B50C6" w:rsidRPr="00AF336A">
        <w:rPr>
          <w:color w:val="000000" w:themeColor="text1"/>
          <w:sz w:val="25"/>
          <w:szCs w:val="25"/>
        </w:rPr>
        <w:t xml:space="preserve"> </w:t>
      </w:r>
      <w:r w:rsidR="001B50C6" w:rsidRPr="00AF336A">
        <w:rPr>
          <w:rFonts w:eastAsia="Times New Roman"/>
          <w:color w:val="000000" w:themeColor="text1"/>
          <w:sz w:val="25"/>
          <w:szCs w:val="25"/>
          <w:lang w:eastAsia="it-IT"/>
        </w:rPr>
        <w:t>come la pi</w:t>
      </w:r>
      <w:r w:rsidR="006A3361" w:rsidRPr="00AF336A">
        <w:rPr>
          <w:rFonts w:eastAsia="Times New Roman"/>
          <w:color w:val="000000" w:themeColor="text1"/>
          <w:sz w:val="25"/>
          <w:szCs w:val="25"/>
          <w:lang w:eastAsia="it-IT"/>
        </w:rPr>
        <w:t>ù</w:t>
      </w:r>
      <w:r w:rsidR="001B50C6" w:rsidRPr="00AF336A">
        <w:rPr>
          <w:rFonts w:eastAsia="Times New Roman"/>
          <w:color w:val="000000" w:themeColor="text1"/>
          <w:sz w:val="25"/>
          <w:szCs w:val="25"/>
          <w:lang w:eastAsia="it-IT"/>
        </w:rPr>
        <w:t xml:space="preserve"> rilevante novit</w:t>
      </w:r>
      <w:r w:rsidR="006A3361" w:rsidRPr="00AF336A">
        <w:rPr>
          <w:rFonts w:eastAsia="Times New Roman"/>
          <w:color w:val="000000" w:themeColor="text1"/>
          <w:sz w:val="25"/>
          <w:szCs w:val="25"/>
          <w:lang w:eastAsia="it-IT"/>
        </w:rPr>
        <w:t>à</w:t>
      </w:r>
      <w:r w:rsidR="001B50C6" w:rsidRPr="00AF336A">
        <w:rPr>
          <w:rFonts w:eastAsia="Times New Roman"/>
          <w:color w:val="000000" w:themeColor="text1"/>
          <w:sz w:val="25"/>
          <w:szCs w:val="25"/>
          <w:lang w:eastAsia="it-IT"/>
        </w:rPr>
        <w:t xml:space="preserve"> giurisprudenziale nei rapporti fra diritto interno e diritto eurounitario dopo la sentenza n. 170 del 1984</w:t>
      </w:r>
      <w:r w:rsidR="00C6385D" w:rsidRPr="00AF336A">
        <w:rPr>
          <w:rStyle w:val="Rimandonotaapidipagina"/>
          <w:color w:val="000000" w:themeColor="text1"/>
          <w:sz w:val="25"/>
          <w:szCs w:val="25"/>
        </w:rPr>
        <w:footnoteReference w:id="26"/>
      </w:r>
      <w:r w:rsidR="001B50C6" w:rsidRPr="00AF336A">
        <w:rPr>
          <w:rFonts w:eastAsia="Times New Roman"/>
          <w:color w:val="000000" w:themeColor="text1"/>
          <w:sz w:val="25"/>
          <w:szCs w:val="25"/>
          <w:lang w:eastAsia="it-IT"/>
        </w:rPr>
        <w:t>,</w:t>
      </w:r>
      <w:r w:rsidR="00750CD1" w:rsidRPr="00AF336A">
        <w:rPr>
          <w:rFonts w:eastAsia="Times New Roman"/>
          <w:color w:val="000000" w:themeColor="text1"/>
          <w:sz w:val="25"/>
          <w:szCs w:val="25"/>
          <w:lang w:eastAsia="it-IT"/>
        </w:rPr>
        <w:t xml:space="preserve"> </w:t>
      </w:r>
      <w:r w:rsidR="001B50C6" w:rsidRPr="00AF336A">
        <w:rPr>
          <w:color w:val="000000" w:themeColor="text1"/>
          <w:sz w:val="25"/>
          <w:szCs w:val="25"/>
        </w:rPr>
        <w:t xml:space="preserve">qualcuno vi ha </w:t>
      </w:r>
      <w:r w:rsidR="00750CD1" w:rsidRPr="00AF336A">
        <w:rPr>
          <w:color w:val="000000" w:themeColor="text1"/>
          <w:sz w:val="25"/>
          <w:szCs w:val="25"/>
        </w:rPr>
        <w:t>pers</w:t>
      </w:r>
      <w:r w:rsidR="00307EAB" w:rsidRPr="00AF336A">
        <w:rPr>
          <w:color w:val="000000" w:themeColor="text1"/>
          <w:sz w:val="25"/>
          <w:szCs w:val="25"/>
        </w:rPr>
        <w:t>i</w:t>
      </w:r>
      <w:r w:rsidR="00750CD1" w:rsidRPr="00AF336A">
        <w:rPr>
          <w:color w:val="000000" w:themeColor="text1"/>
          <w:sz w:val="25"/>
          <w:szCs w:val="25"/>
        </w:rPr>
        <w:t xml:space="preserve">no </w:t>
      </w:r>
      <w:r w:rsidR="001B50C6" w:rsidRPr="00AF336A">
        <w:rPr>
          <w:color w:val="000000" w:themeColor="text1"/>
          <w:sz w:val="25"/>
          <w:szCs w:val="25"/>
        </w:rPr>
        <w:t xml:space="preserve">visto un danno </w:t>
      </w:r>
      <w:r w:rsidR="001B50C6" w:rsidRPr="00AF336A">
        <w:rPr>
          <w:rFonts w:eastAsia="Times New Roman"/>
          <w:color w:val="000000" w:themeColor="text1"/>
          <w:sz w:val="25"/>
          <w:szCs w:val="25"/>
          <w:lang w:eastAsia="it-IT"/>
        </w:rPr>
        <w:t xml:space="preserve">di </w:t>
      </w:r>
      <w:r w:rsidR="003E0BC6" w:rsidRPr="00AF336A">
        <w:rPr>
          <w:rFonts w:eastAsia="Times New Roman"/>
          <w:color w:val="000000" w:themeColor="text1"/>
          <w:sz w:val="25"/>
          <w:szCs w:val="25"/>
          <w:lang w:eastAsia="it-IT"/>
        </w:rPr>
        <w:t>“</w:t>
      </w:r>
      <w:r w:rsidR="001B50C6" w:rsidRPr="00C6385D">
        <w:rPr>
          <w:rFonts w:eastAsia="Times New Roman"/>
          <w:i/>
          <w:iCs/>
          <w:color w:val="000000" w:themeColor="text1"/>
          <w:sz w:val="25"/>
          <w:szCs w:val="25"/>
          <w:lang w:eastAsia="it-IT"/>
        </w:rPr>
        <w:t>gravità incalcolabile</w:t>
      </w:r>
      <w:r w:rsidR="003E0BC6" w:rsidRPr="00AF336A">
        <w:rPr>
          <w:rFonts w:eastAsia="Times New Roman"/>
          <w:color w:val="000000" w:themeColor="text1"/>
          <w:sz w:val="25"/>
          <w:szCs w:val="25"/>
          <w:lang w:eastAsia="it-IT"/>
        </w:rPr>
        <w:t>”</w:t>
      </w:r>
      <w:r w:rsidR="003E0BC6" w:rsidRPr="00AF336A">
        <w:rPr>
          <w:rStyle w:val="Rimandonotaapidipagina"/>
          <w:rFonts w:eastAsia="Times New Roman"/>
          <w:color w:val="000000" w:themeColor="text1"/>
          <w:sz w:val="25"/>
          <w:szCs w:val="25"/>
          <w:lang w:eastAsia="it-IT"/>
        </w:rPr>
        <w:footnoteReference w:id="27"/>
      </w:r>
      <w:r w:rsidR="001B50C6" w:rsidRPr="00AF336A">
        <w:rPr>
          <w:rFonts w:eastAsia="Times New Roman"/>
          <w:color w:val="000000" w:themeColor="text1"/>
          <w:sz w:val="25"/>
          <w:szCs w:val="25"/>
          <w:lang w:eastAsia="it-IT"/>
        </w:rPr>
        <w:t xml:space="preserve"> per l</w:t>
      </w:r>
      <w:r w:rsidR="00144DEC" w:rsidRPr="00AF336A">
        <w:rPr>
          <w:rFonts w:eastAsia="Times New Roman"/>
          <w:color w:val="000000" w:themeColor="text1"/>
          <w:sz w:val="25"/>
          <w:szCs w:val="25"/>
          <w:lang w:eastAsia="it-IT"/>
        </w:rPr>
        <w:t>’</w:t>
      </w:r>
      <w:r w:rsidR="001B50C6" w:rsidRPr="00AF336A">
        <w:rPr>
          <w:rFonts w:eastAsia="Times New Roman"/>
          <w:color w:val="000000" w:themeColor="text1"/>
          <w:sz w:val="25"/>
          <w:szCs w:val="25"/>
          <w:lang w:eastAsia="it-IT"/>
        </w:rPr>
        <w:t>avanzamento del processo di integrazione europea</w:t>
      </w:r>
      <w:r w:rsidR="00C6385D">
        <w:rPr>
          <w:rFonts w:eastAsia="Times New Roman"/>
          <w:color w:val="000000" w:themeColor="text1"/>
          <w:sz w:val="25"/>
          <w:szCs w:val="25"/>
          <w:lang w:eastAsia="it-IT"/>
        </w:rPr>
        <w:t>.</w:t>
      </w:r>
    </w:p>
    <w:p w14:paraId="623A734E" w14:textId="70B7C7B9" w:rsidR="00750CD1" w:rsidRPr="00AF336A" w:rsidRDefault="0021333F"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I</w:t>
      </w:r>
      <w:r w:rsidR="004E2BDE" w:rsidRPr="00AF336A">
        <w:rPr>
          <w:color w:val="000000" w:themeColor="text1"/>
          <w:sz w:val="25"/>
          <w:szCs w:val="25"/>
        </w:rPr>
        <w:t>n realtà non è stato così</w:t>
      </w:r>
      <w:r w:rsidR="001B50C6" w:rsidRPr="00AF336A">
        <w:rPr>
          <w:color w:val="000000" w:themeColor="text1"/>
          <w:sz w:val="25"/>
          <w:szCs w:val="25"/>
        </w:rPr>
        <w:t>:</w:t>
      </w:r>
      <w:r w:rsidR="004E2BDE" w:rsidRPr="00AF336A">
        <w:rPr>
          <w:color w:val="000000" w:themeColor="text1"/>
          <w:sz w:val="25"/>
          <w:szCs w:val="25"/>
        </w:rPr>
        <w:t xml:space="preserve"> la Corte ha introdotto un criterio preferenziale di priorità della questione di costituzionalità</w:t>
      </w:r>
      <w:r w:rsidR="001B50C6" w:rsidRPr="00AF336A">
        <w:rPr>
          <w:color w:val="000000" w:themeColor="text1"/>
          <w:sz w:val="25"/>
          <w:szCs w:val="25"/>
        </w:rPr>
        <w:t>, nei casi di</w:t>
      </w:r>
      <w:r w:rsidR="00750CD1" w:rsidRPr="00AF336A">
        <w:rPr>
          <w:color w:val="000000" w:themeColor="text1"/>
          <w:sz w:val="25"/>
          <w:szCs w:val="25"/>
        </w:rPr>
        <w:t xml:space="preserve"> </w:t>
      </w:r>
      <w:r w:rsidR="001B50C6" w:rsidRPr="00AF336A">
        <w:rPr>
          <w:color w:val="000000" w:themeColor="text1"/>
          <w:sz w:val="25"/>
          <w:szCs w:val="25"/>
        </w:rPr>
        <w:t>doppia pregiudizialità come sopra definiti</w:t>
      </w:r>
      <w:r w:rsidR="00750CD1" w:rsidRPr="00AF336A">
        <w:rPr>
          <w:color w:val="000000" w:themeColor="text1"/>
          <w:sz w:val="25"/>
          <w:szCs w:val="25"/>
        </w:rPr>
        <w:t xml:space="preserve">, </w:t>
      </w:r>
      <w:r w:rsidR="002568CF" w:rsidRPr="00AF336A">
        <w:rPr>
          <w:color w:val="000000" w:themeColor="text1"/>
          <w:sz w:val="25"/>
          <w:szCs w:val="25"/>
        </w:rPr>
        <w:t xml:space="preserve">attraverso il quale si </w:t>
      </w:r>
      <w:r w:rsidR="00667503" w:rsidRPr="00AF336A">
        <w:rPr>
          <w:color w:val="000000" w:themeColor="text1"/>
          <w:sz w:val="25"/>
          <w:szCs w:val="25"/>
        </w:rPr>
        <w:t>è voluto</w:t>
      </w:r>
      <w:r w:rsidR="002568CF" w:rsidRPr="00AF336A">
        <w:rPr>
          <w:color w:val="000000" w:themeColor="text1"/>
          <w:sz w:val="25"/>
          <w:szCs w:val="25"/>
        </w:rPr>
        <w:t xml:space="preserve"> proporre </w:t>
      </w:r>
      <w:r w:rsidR="00750CD1" w:rsidRPr="00AF336A">
        <w:rPr>
          <w:color w:val="000000" w:themeColor="text1"/>
          <w:sz w:val="25"/>
          <w:szCs w:val="25"/>
        </w:rPr>
        <w:t xml:space="preserve">un </w:t>
      </w:r>
      <w:r w:rsidR="002568CF" w:rsidRPr="00AF336A">
        <w:rPr>
          <w:color w:val="000000" w:themeColor="text1"/>
          <w:sz w:val="25"/>
          <w:szCs w:val="25"/>
        </w:rPr>
        <w:t xml:space="preserve">nuovo </w:t>
      </w:r>
      <w:r w:rsidR="00667503" w:rsidRPr="00AF336A">
        <w:rPr>
          <w:color w:val="000000" w:themeColor="text1"/>
          <w:sz w:val="25"/>
          <w:szCs w:val="25"/>
        </w:rPr>
        <w:t>“</w:t>
      </w:r>
      <w:r w:rsidR="00750CD1" w:rsidRPr="00AF336A">
        <w:rPr>
          <w:color w:val="000000" w:themeColor="text1"/>
          <w:sz w:val="25"/>
          <w:szCs w:val="25"/>
        </w:rPr>
        <w:t xml:space="preserve">patto </w:t>
      </w:r>
      <w:r w:rsidR="002568CF" w:rsidRPr="00AF336A">
        <w:rPr>
          <w:color w:val="000000" w:themeColor="text1"/>
          <w:sz w:val="25"/>
          <w:szCs w:val="25"/>
        </w:rPr>
        <w:t>ai</w:t>
      </w:r>
      <w:r w:rsidR="00750CD1" w:rsidRPr="00AF336A">
        <w:rPr>
          <w:color w:val="000000" w:themeColor="text1"/>
          <w:sz w:val="25"/>
          <w:szCs w:val="25"/>
        </w:rPr>
        <w:t xml:space="preserve"> giudici comuni</w:t>
      </w:r>
      <w:r w:rsidR="00667503" w:rsidRPr="00AF336A">
        <w:rPr>
          <w:color w:val="000000" w:themeColor="text1"/>
          <w:sz w:val="25"/>
          <w:szCs w:val="25"/>
        </w:rPr>
        <w:t>”</w:t>
      </w:r>
      <w:r w:rsidR="002568CF" w:rsidRPr="00AF336A">
        <w:rPr>
          <w:color w:val="000000" w:themeColor="text1"/>
          <w:sz w:val="25"/>
          <w:szCs w:val="25"/>
        </w:rPr>
        <w:t xml:space="preserve"> nella tutela dei diri</w:t>
      </w:r>
      <w:r w:rsidR="00307EAB" w:rsidRPr="00AF336A">
        <w:rPr>
          <w:color w:val="000000" w:themeColor="text1"/>
          <w:sz w:val="25"/>
          <w:szCs w:val="25"/>
        </w:rPr>
        <w:t>tti</w:t>
      </w:r>
      <w:r w:rsidR="002568CF" w:rsidRPr="00AF336A">
        <w:rPr>
          <w:color w:val="000000" w:themeColor="text1"/>
          <w:sz w:val="25"/>
          <w:szCs w:val="25"/>
        </w:rPr>
        <w:t xml:space="preserve"> fondamentali, senza a</w:t>
      </w:r>
      <w:r w:rsidR="00307EAB" w:rsidRPr="00AF336A">
        <w:rPr>
          <w:color w:val="000000" w:themeColor="text1"/>
          <w:sz w:val="25"/>
          <w:szCs w:val="25"/>
        </w:rPr>
        <w:t>lcuna</w:t>
      </w:r>
      <w:r w:rsidR="002568CF" w:rsidRPr="00AF336A">
        <w:rPr>
          <w:color w:val="000000" w:themeColor="text1"/>
          <w:sz w:val="25"/>
          <w:szCs w:val="25"/>
        </w:rPr>
        <w:t xml:space="preserve"> rigida preclusione</w:t>
      </w:r>
      <w:r w:rsidR="00307EAB" w:rsidRPr="00AF336A">
        <w:rPr>
          <w:color w:val="000000" w:themeColor="text1"/>
          <w:sz w:val="25"/>
          <w:szCs w:val="25"/>
        </w:rPr>
        <w:t xml:space="preserve">, </w:t>
      </w:r>
      <w:r w:rsidR="00750CD1" w:rsidRPr="00AF336A">
        <w:rPr>
          <w:color w:val="000000" w:themeColor="text1"/>
          <w:sz w:val="25"/>
          <w:szCs w:val="25"/>
        </w:rPr>
        <w:t>finalizzato a poter attivare un dialogo proficuo con la Corte di giustizia proprio sui controlimiti.</w:t>
      </w:r>
    </w:p>
    <w:p w14:paraId="7E8EEA88" w14:textId="55DCA9AD" w:rsidR="00B12DFB" w:rsidRPr="00AF336A" w:rsidRDefault="00750CD1" w:rsidP="00144DEC">
      <w:pPr>
        <w:pStyle w:val="NormaleWeb"/>
        <w:spacing w:after="0" w:line="240" w:lineRule="auto"/>
        <w:ind w:firstLine="454"/>
        <w:jc w:val="both"/>
        <w:rPr>
          <w:color w:val="000000" w:themeColor="text1"/>
          <w:sz w:val="25"/>
          <w:szCs w:val="25"/>
        </w:rPr>
      </w:pPr>
      <w:r w:rsidRPr="00AF336A">
        <w:rPr>
          <w:color w:val="000000" w:themeColor="text1"/>
          <w:sz w:val="25"/>
          <w:szCs w:val="25"/>
        </w:rPr>
        <w:t>Particolarmente significativa, in tal senso, è l</w:t>
      </w:r>
      <w:r w:rsidR="00144DEC" w:rsidRPr="00AF336A">
        <w:rPr>
          <w:color w:val="000000" w:themeColor="text1"/>
          <w:sz w:val="25"/>
          <w:szCs w:val="25"/>
        </w:rPr>
        <w:t>’</w:t>
      </w:r>
      <w:r w:rsidRPr="00AF336A">
        <w:rPr>
          <w:color w:val="000000" w:themeColor="text1"/>
          <w:sz w:val="25"/>
          <w:szCs w:val="25"/>
        </w:rPr>
        <w:t>ordinanza n. 117/2019 (quella che porta alla dichiarazione di incostituzionalità della norma che non ricon</w:t>
      </w:r>
      <w:r w:rsidR="002568CF" w:rsidRPr="00AF336A">
        <w:rPr>
          <w:color w:val="000000" w:themeColor="text1"/>
          <w:sz w:val="25"/>
          <w:szCs w:val="25"/>
        </w:rPr>
        <w:t>osceva</w:t>
      </w:r>
      <w:r w:rsidRPr="00AF336A">
        <w:rPr>
          <w:color w:val="000000" w:themeColor="text1"/>
          <w:sz w:val="25"/>
          <w:szCs w:val="25"/>
        </w:rPr>
        <w:t xml:space="preserve"> il diritto al silenzio nei procedimenti amministrativi sostanzialmente punitivi): essa conferma l</w:t>
      </w:r>
      <w:r w:rsidR="00144DEC" w:rsidRPr="00AF336A">
        <w:rPr>
          <w:color w:val="000000" w:themeColor="text1"/>
          <w:sz w:val="25"/>
          <w:szCs w:val="25"/>
        </w:rPr>
        <w:t>’</w:t>
      </w:r>
      <w:r w:rsidRPr="00AF336A">
        <w:rPr>
          <w:color w:val="000000" w:themeColor="text1"/>
          <w:sz w:val="25"/>
          <w:szCs w:val="25"/>
        </w:rPr>
        <w:t xml:space="preserve">intento della Corte costituzionale di acquisire una rinnovata posizione nelle dinamiche dialogiche </w:t>
      </w:r>
      <w:proofErr w:type="spellStart"/>
      <w:r w:rsidRPr="00AF336A">
        <w:rPr>
          <w:color w:val="000000" w:themeColor="text1"/>
          <w:sz w:val="25"/>
          <w:szCs w:val="25"/>
        </w:rPr>
        <w:t>interordinamentali</w:t>
      </w:r>
      <w:proofErr w:type="spellEnd"/>
      <w:r w:rsidRPr="00AF336A">
        <w:rPr>
          <w:color w:val="000000" w:themeColor="text1"/>
          <w:sz w:val="25"/>
          <w:szCs w:val="25"/>
        </w:rPr>
        <w:t xml:space="preserve">. </w:t>
      </w:r>
      <w:r w:rsidR="00667503" w:rsidRPr="00AF336A">
        <w:rPr>
          <w:color w:val="000000" w:themeColor="text1"/>
          <w:sz w:val="25"/>
          <w:szCs w:val="25"/>
        </w:rPr>
        <w:t>La Consulta,</w:t>
      </w:r>
      <w:r w:rsidRPr="00AF336A">
        <w:rPr>
          <w:color w:val="000000" w:themeColor="text1"/>
          <w:sz w:val="25"/>
          <w:szCs w:val="25"/>
        </w:rPr>
        <w:t xml:space="preserve"> infatti, ove i giudici raccolgano il suo invito a sollevare prioritariamente la questione di costituzionalit</w:t>
      </w:r>
      <w:r w:rsidR="00B54561" w:rsidRPr="00AF336A">
        <w:rPr>
          <w:color w:val="000000" w:themeColor="text1"/>
          <w:sz w:val="25"/>
          <w:szCs w:val="25"/>
        </w:rPr>
        <w:t>à</w:t>
      </w:r>
      <w:r w:rsidRPr="00AF336A">
        <w:rPr>
          <w:color w:val="000000" w:themeColor="text1"/>
          <w:sz w:val="25"/>
          <w:szCs w:val="25"/>
        </w:rPr>
        <w:t xml:space="preserve"> nelle ipotesi di </w:t>
      </w:r>
      <w:r w:rsidR="00B54561" w:rsidRPr="00AF336A">
        <w:rPr>
          <w:color w:val="000000" w:themeColor="text1"/>
          <w:sz w:val="25"/>
          <w:szCs w:val="25"/>
        </w:rPr>
        <w:t>“</w:t>
      </w:r>
      <w:r w:rsidRPr="00AF336A">
        <w:rPr>
          <w:color w:val="000000" w:themeColor="text1"/>
          <w:sz w:val="25"/>
          <w:szCs w:val="25"/>
        </w:rPr>
        <w:t>doppia pregiudizialit</w:t>
      </w:r>
      <w:r w:rsidR="00B54561" w:rsidRPr="00AF336A">
        <w:rPr>
          <w:color w:val="000000" w:themeColor="text1"/>
          <w:sz w:val="25"/>
          <w:szCs w:val="25"/>
        </w:rPr>
        <w:t>à”</w:t>
      </w:r>
      <w:r w:rsidRPr="00AF336A">
        <w:rPr>
          <w:color w:val="000000" w:themeColor="text1"/>
          <w:sz w:val="25"/>
          <w:szCs w:val="25"/>
        </w:rPr>
        <w:t xml:space="preserve">, ha dimostrato di essere disponibile ad attivare il </w:t>
      </w:r>
      <w:r w:rsidR="00C6385D">
        <w:rPr>
          <w:color w:val="000000" w:themeColor="text1"/>
          <w:sz w:val="25"/>
          <w:szCs w:val="25"/>
        </w:rPr>
        <w:t>“</w:t>
      </w:r>
      <w:r w:rsidRPr="006F3343">
        <w:rPr>
          <w:i/>
          <w:iCs/>
          <w:color w:val="000000" w:themeColor="text1"/>
          <w:sz w:val="25"/>
          <w:szCs w:val="25"/>
        </w:rPr>
        <w:t>rinvio pregiudiziale alla Corte di giustizia ogniqualvolta ci</w:t>
      </w:r>
      <w:r w:rsidR="003E0BC6" w:rsidRPr="006F3343">
        <w:rPr>
          <w:i/>
          <w:iCs/>
          <w:color w:val="000000" w:themeColor="text1"/>
          <w:sz w:val="25"/>
          <w:szCs w:val="25"/>
        </w:rPr>
        <w:t>ò</w:t>
      </w:r>
      <w:r w:rsidRPr="006F3343">
        <w:rPr>
          <w:i/>
          <w:iCs/>
          <w:color w:val="000000" w:themeColor="text1"/>
          <w:sz w:val="25"/>
          <w:szCs w:val="25"/>
        </w:rPr>
        <w:t xml:space="preserve"> sia necessario per chiarire il significato e gli effetti delle norme della Carta</w:t>
      </w:r>
      <w:r w:rsidR="00C6385D">
        <w:rPr>
          <w:color w:val="000000" w:themeColor="text1"/>
          <w:sz w:val="25"/>
          <w:szCs w:val="25"/>
        </w:rPr>
        <w:t>”</w:t>
      </w:r>
      <w:r w:rsidRPr="00AF336A">
        <w:rPr>
          <w:color w:val="000000" w:themeColor="text1"/>
          <w:sz w:val="25"/>
          <w:szCs w:val="25"/>
        </w:rPr>
        <w:t>,</w:t>
      </w:r>
      <w:r w:rsidRPr="00AF336A">
        <w:rPr>
          <w:color w:val="000000" w:themeColor="text1"/>
          <w:position w:val="10"/>
          <w:sz w:val="25"/>
          <w:szCs w:val="25"/>
        </w:rPr>
        <w:t xml:space="preserve"> </w:t>
      </w:r>
      <w:r w:rsidRPr="00AF336A">
        <w:rPr>
          <w:color w:val="000000" w:themeColor="text1"/>
          <w:sz w:val="25"/>
          <w:szCs w:val="25"/>
        </w:rPr>
        <w:t xml:space="preserve">potendo, </w:t>
      </w:r>
      <w:r w:rsidR="00667503" w:rsidRPr="00AF336A">
        <w:rPr>
          <w:color w:val="000000" w:themeColor="text1"/>
          <w:sz w:val="25"/>
          <w:szCs w:val="25"/>
        </w:rPr>
        <w:t>“</w:t>
      </w:r>
      <w:r w:rsidRPr="006F3343">
        <w:rPr>
          <w:i/>
          <w:iCs/>
          <w:color w:val="000000" w:themeColor="text1"/>
          <w:sz w:val="25"/>
          <w:szCs w:val="25"/>
        </w:rPr>
        <w:t>all</w:t>
      </w:r>
      <w:r w:rsidR="00144DEC" w:rsidRPr="006F3343">
        <w:rPr>
          <w:i/>
          <w:iCs/>
          <w:color w:val="000000" w:themeColor="text1"/>
          <w:sz w:val="25"/>
          <w:szCs w:val="25"/>
        </w:rPr>
        <w:t>’</w:t>
      </w:r>
      <w:r w:rsidRPr="006F3343">
        <w:rPr>
          <w:i/>
          <w:iCs/>
          <w:color w:val="000000" w:themeColor="text1"/>
          <w:sz w:val="25"/>
          <w:szCs w:val="25"/>
        </w:rPr>
        <w:t>esito di tale valutazione, dichiarare l</w:t>
      </w:r>
      <w:r w:rsidR="00144DEC" w:rsidRPr="006F3343">
        <w:rPr>
          <w:i/>
          <w:iCs/>
          <w:color w:val="000000" w:themeColor="text1"/>
          <w:sz w:val="25"/>
          <w:szCs w:val="25"/>
        </w:rPr>
        <w:t>’</w:t>
      </w:r>
      <w:r w:rsidRPr="006F3343">
        <w:rPr>
          <w:i/>
          <w:iCs/>
          <w:color w:val="000000" w:themeColor="text1"/>
          <w:sz w:val="25"/>
          <w:szCs w:val="25"/>
        </w:rPr>
        <w:t>illegittimità costituzionale della disposizione censurata, rimuovendo così la stessa dall</w:t>
      </w:r>
      <w:r w:rsidR="00144DEC" w:rsidRPr="006F3343">
        <w:rPr>
          <w:i/>
          <w:iCs/>
          <w:color w:val="000000" w:themeColor="text1"/>
          <w:sz w:val="25"/>
          <w:szCs w:val="25"/>
        </w:rPr>
        <w:t>’</w:t>
      </w:r>
      <w:r w:rsidRPr="006F3343">
        <w:rPr>
          <w:i/>
          <w:iCs/>
          <w:color w:val="000000" w:themeColor="text1"/>
          <w:sz w:val="25"/>
          <w:szCs w:val="25"/>
        </w:rPr>
        <w:t xml:space="preserve">ordinamento nazionale con effetti </w:t>
      </w:r>
      <w:r w:rsidRPr="006F3343">
        <w:rPr>
          <w:color w:val="000000" w:themeColor="text1"/>
          <w:sz w:val="25"/>
          <w:szCs w:val="25"/>
        </w:rPr>
        <w:t>erga omnes</w:t>
      </w:r>
      <w:r w:rsidR="00667503" w:rsidRPr="00AF336A">
        <w:rPr>
          <w:color w:val="000000" w:themeColor="text1"/>
          <w:sz w:val="25"/>
          <w:szCs w:val="25"/>
        </w:rPr>
        <w:t>”</w:t>
      </w:r>
      <w:r w:rsidR="00B12DFB" w:rsidRPr="00AF336A">
        <w:rPr>
          <w:color w:val="000000" w:themeColor="text1"/>
          <w:sz w:val="25"/>
          <w:szCs w:val="25"/>
        </w:rPr>
        <w:t>.</w:t>
      </w:r>
    </w:p>
    <w:p w14:paraId="56738F26" w14:textId="6D67C0DB" w:rsidR="0021333F" w:rsidRPr="00AF336A" w:rsidRDefault="00B12DFB" w:rsidP="00144DEC">
      <w:pPr>
        <w:spacing w:after="0" w:line="240" w:lineRule="auto"/>
        <w:ind w:firstLine="454"/>
        <w:jc w:val="both"/>
        <w:rPr>
          <w:color w:val="000000" w:themeColor="text1"/>
          <w:sz w:val="25"/>
          <w:szCs w:val="25"/>
        </w:rPr>
      </w:pPr>
      <w:r w:rsidRPr="00B12DFB">
        <w:rPr>
          <w:rFonts w:eastAsia="Times New Roman"/>
          <w:color w:val="000000" w:themeColor="text1"/>
          <w:sz w:val="25"/>
          <w:szCs w:val="25"/>
          <w:lang w:eastAsia="it-IT"/>
        </w:rPr>
        <w:t xml:space="preserve">Questa impostazione, </w:t>
      </w:r>
      <w:r w:rsidRPr="00AF336A">
        <w:rPr>
          <w:rFonts w:eastAsia="Times New Roman"/>
          <w:color w:val="000000" w:themeColor="text1"/>
          <w:sz w:val="25"/>
          <w:szCs w:val="25"/>
          <w:lang w:eastAsia="it-IT"/>
        </w:rPr>
        <w:t>come è stato bene evidenziato in dottrina</w:t>
      </w:r>
      <w:r w:rsidR="003E0BC6" w:rsidRPr="00AF336A">
        <w:rPr>
          <w:rStyle w:val="Rimandonotaapidipagina"/>
          <w:rFonts w:eastAsia="Times New Roman"/>
          <w:color w:val="000000" w:themeColor="text1"/>
          <w:sz w:val="25"/>
          <w:szCs w:val="25"/>
          <w:lang w:eastAsia="it-IT"/>
        </w:rPr>
        <w:footnoteReference w:id="28"/>
      </w:r>
      <w:r w:rsidRPr="00B12DFB">
        <w:rPr>
          <w:rFonts w:eastAsia="Times New Roman"/>
          <w:color w:val="000000" w:themeColor="text1"/>
          <w:sz w:val="25"/>
          <w:szCs w:val="25"/>
          <w:lang w:eastAsia="it-IT"/>
        </w:rPr>
        <w:t xml:space="preserve">, è da salutare con favore </w:t>
      </w:r>
      <w:r w:rsidRPr="00AF336A">
        <w:rPr>
          <w:rFonts w:eastAsia="Times New Roman"/>
          <w:color w:val="000000" w:themeColor="text1"/>
          <w:sz w:val="25"/>
          <w:szCs w:val="25"/>
          <w:lang w:eastAsia="it-IT"/>
        </w:rPr>
        <w:t>sia perché</w:t>
      </w:r>
      <w:r w:rsidRPr="00B12DFB">
        <w:rPr>
          <w:rFonts w:eastAsia="Times New Roman"/>
          <w:color w:val="000000" w:themeColor="text1"/>
          <w:sz w:val="25"/>
          <w:szCs w:val="25"/>
          <w:lang w:eastAsia="it-IT"/>
        </w:rPr>
        <w:t xml:space="preserve"> rappresenta la manifestazione di un chiaro </w:t>
      </w:r>
      <w:proofErr w:type="spellStart"/>
      <w:r w:rsidRPr="00B12DFB">
        <w:rPr>
          <w:rFonts w:eastAsia="Times New Roman"/>
          <w:i/>
          <w:iCs/>
          <w:color w:val="000000" w:themeColor="text1"/>
          <w:sz w:val="25"/>
          <w:szCs w:val="25"/>
          <w:lang w:eastAsia="it-IT"/>
        </w:rPr>
        <w:t>favor</w:t>
      </w:r>
      <w:proofErr w:type="spellEnd"/>
      <w:r w:rsidRPr="00B12DFB">
        <w:rPr>
          <w:rFonts w:eastAsia="Times New Roman"/>
          <w:color w:val="000000" w:themeColor="text1"/>
          <w:sz w:val="25"/>
          <w:szCs w:val="25"/>
          <w:lang w:eastAsia="it-IT"/>
        </w:rPr>
        <w:t xml:space="preserve"> verso un dialogo fra Corti ispirato alla </w:t>
      </w:r>
      <w:r w:rsidR="00E33179" w:rsidRPr="00AF336A">
        <w:rPr>
          <w:rFonts w:eastAsia="Times New Roman"/>
          <w:color w:val="000000" w:themeColor="text1"/>
          <w:sz w:val="25"/>
          <w:szCs w:val="25"/>
          <w:lang w:eastAsia="it-IT"/>
        </w:rPr>
        <w:t>“</w:t>
      </w:r>
      <w:r w:rsidRPr="00B12DFB">
        <w:rPr>
          <w:rFonts w:eastAsia="Times New Roman"/>
          <w:color w:val="000000" w:themeColor="text1"/>
          <w:sz w:val="25"/>
          <w:szCs w:val="25"/>
          <w:lang w:eastAsia="it-IT"/>
        </w:rPr>
        <w:t>costruttiva e leale cooperazione fra i diversi sistemi di garanzia</w:t>
      </w:r>
      <w:r w:rsidR="00E33179" w:rsidRPr="00AF336A">
        <w:rPr>
          <w:rFonts w:eastAsia="Times New Roman"/>
          <w:color w:val="000000" w:themeColor="text1"/>
          <w:sz w:val="25"/>
          <w:szCs w:val="25"/>
          <w:lang w:eastAsia="it-IT"/>
        </w:rPr>
        <w:t>”</w:t>
      </w:r>
      <w:r w:rsidRPr="00AF336A">
        <w:rPr>
          <w:rFonts w:eastAsia="Times New Roman"/>
          <w:color w:val="000000" w:themeColor="text1"/>
          <w:sz w:val="25"/>
          <w:szCs w:val="25"/>
          <w:lang w:eastAsia="it-IT"/>
        </w:rPr>
        <w:t xml:space="preserve"> sia perché</w:t>
      </w:r>
      <w:r w:rsidR="003164C5">
        <w:rPr>
          <w:rFonts w:eastAsia="Times New Roman"/>
          <w:color w:val="000000" w:themeColor="text1"/>
          <w:sz w:val="25"/>
          <w:szCs w:val="25"/>
          <w:lang w:eastAsia="it-IT"/>
        </w:rPr>
        <w:t xml:space="preserve"> </w:t>
      </w:r>
      <w:r w:rsidRPr="00B12DFB">
        <w:rPr>
          <w:rFonts w:eastAsia="Times New Roman"/>
          <w:color w:val="000000" w:themeColor="text1"/>
          <w:sz w:val="25"/>
          <w:szCs w:val="25"/>
          <w:lang w:eastAsia="it-IT"/>
        </w:rPr>
        <w:t>testimonia la consapevolezza della Corte costituzionale sul fatto che la volont</w:t>
      </w:r>
      <w:r w:rsidR="00E33179" w:rsidRPr="00AF336A">
        <w:rPr>
          <w:rFonts w:eastAsia="Times New Roman"/>
          <w:color w:val="000000" w:themeColor="text1"/>
          <w:sz w:val="25"/>
          <w:szCs w:val="25"/>
          <w:lang w:eastAsia="it-IT"/>
        </w:rPr>
        <w:t xml:space="preserve">à </w:t>
      </w:r>
      <w:r w:rsidRPr="00B12DFB">
        <w:rPr>
          <w:rFonts w:eastAsia="Times New Roman"/>
          <w:color w:val="000000" w:themeColor="text1"/>
          <w:sz w:val="25"/>
          <w:szCs w:val="25"/>
          <w:lang w:eastAsia="it-IT"/>
        </w:rPr>
        <w:t>di (</w:t>
      </w:r>
      <w:proofErr w:type="spellStart"/>
      <w:r w:rsidRPr="00B12DFB">
        <w:rPr>
          <w:rFonts w:eastAsia="Times New Roman"/>
          <w:color w:val="000000" w:themeColor="text1"/>
          <w:sz w:val="25"/>
          <w:szCs w:val="25"/>
          <w:lang w:eastAsia="it-IT"/>
        </w:rPr>
        <w:t>ri</w:t>
      </w:r>
      <w:proofErr w:type="spellEnd"/>
      <w:r w:rsidRPr="00B12DFB">
        <w:rPr>
          <w:rFonts w:eastAsia="Times New Roman"/>
          <w:color w:val="000000" w:themeColor="text1"/>
          <w:sz w:val="25"/>
          <w:szCs w:val="25"/>
          <w:lang w:eastAsia="it-IT"/>
        </w:rPr>
        <w:t>)accentrare presso di sé la tutela dei diritti necessiti la previa accettazione di un dialogo diretto con la Corte di giustizia</w:t>
      </w:r>
      <w:r w:rsidR="002568CF" w:rsidRPr="00AF336A">
        <w:rPr>
          <w:rFonts w:eastAsia="Times New Roman"/>
          <w:color w:val="000000" w:themeColor="text1"/>
          <w:sz w:val="25"/>
          <w:szCs w:val="25"/>
          <w:lang w:eastAsia="it-IT"/>
        </w:rPr>
        <w:t xml:space="preserve">, al fine di arrivare </w:t>
      </w:r>
      <w:r w:rsidR="004E2BDE" w:rsidRPr="00AF336A">
        <w:rPr>
          <w:color w:val="000000" w:themeColor="text1"/>
          <w:sz w:val="25"/>
          <w:szCs w:val="25"/>
        </w:rPr>
        <w:t>ad un innalzamento del livello di tutela senza creare conflitti</w:t>
      </w:r>
      <w:r w:rsidR="0021333F" w:rsidRPr="00AF336A">
        <w:rPr>
          <w:color w:val="000000" w:themeColor="text1"/>
          <w:sz w:val="25"/>
          <w:szCs w:val="25"/>
        </w:rPr>
        <w:t>.</w:t>
      </w:r>
    </w:p>
    <w:p w14:paraId="0F149CAF" w14:textId="24CBA976" w:rsidR="00B54561" w:rsidRPr="00AF336A" w:rsidRDefault="00B54561" w:rsidP="00144DEC">
      <w:pPr>
        <w:spacing w:after="0" w:line="240" w:lineRule="auto"/>
        <w:ind w:firstLine="454"/>
        <w:jc w:val="both"/>
        <w:rPr>
          <w:b/>
          <w:bCs/>
          <w:color w:val="000000" w:themeColor="text1"/>
          <w:sz w:val="25"/>
          <w:szCs w:val="25"/>
        </w:rPr>
      </w:pPr>
    </w:p>
    <w:p w14:paraId="3430DD13" w14:textId="5B8C246C" w:rsidR="00B54561" w:rsidRPr="00AF336A" w:rsidRDefault="00C63323" w:rsidP="00144DEC">
      <w:pPr>
        <w:spacing w:after="0" w:line="240" w:lineRule="auto"/>
        <w:ind w:firstLine="454"/>
        <w:jc w:val="both"/>
        <w:rPr>
          <w:rFonts w:eastAsia="Times New Roman"/>
          <w:b/>
          <w:bCs/>
          <w:color w:val="000000" w:themeColor="text1"/>
          <w:sz w:val="25"/>
          <w:szCs w:val="25"/>
          <w:lang w:eastAsia="it-IT"/>
        </w:rPr>
      </w:pPr>
      <w:r w:rsidRPr="00AF336A">
        <w:rPr>
          <w:b/>
          <w:bCs/>
          <w:color w:val="000000" w:themeColor="text1"/>
          <w:sz w:val="25"/>
          <w:szCs w:val="25"/>
        </w:rPr>
        <w:t xml:space="preserve">8. </w:t>
      </w:r>
      <w:r w:rsidR="00B54561" w:rsidRPr="00AF336A">
        <w:rPr>
          <w:b/>
          <w:bCs/>
          <w:color w:val="000000" w:themeColor="text1"/>
          <w:sz w:val="25"/>
          <w:szCs w:val="25"/>
        </w:rPr>
        <w:t>Conclusioni</w:t>
      </w:r>
      <w:r w:rsidR="006F3343">
        <w:rPr>
          <w:b/>
          <w:bCs/>
          <w:color w:val="000000" w:themeColor="text1"/>
          <w:sz w:val="25"/>
          <w:szCs w:val="25"/>
        </w:rPr>
        <w:t>.</w:t>
      </w:r>
    </w:p>
    <w:p w14:paraId="165354C7" w14:textId="4370AD60" w:rsidR="0021333F" w:rsidRPr="00AF336A" w:rsidRDefault="00E34D68" w:rsidP="00144DEC">
      <w:pPr>
        <w:spacing w:after="0" w:line="240" w:lineRule="auto"/>
        <w:ind w:firstLine="454"/>
        <w:jc w:val="both"/>
        <w:rPr>
          <w:color w:val="000000" w:themeColor="text1"/>
          <w:sz w:val="25"/>
          <w:szCs w:val="25"/>
        </w:rPr>
      </w:pPr>
      <w:r w:rsidRPr="00AF336A">
        <w:rPr>
          <w:color w:val="000000" w:themeColor="text1"/>
          <w:sz w:val="25"/>
          <w:szCs w:val="25"/>
        </w:rPr>
        <w:t>Alla luce delle considerazioni che precedono, n</w:t>
      </w:r>
      <w:r w:rsidR="0021333F" w:rsidRPr="00AF336A">
        <w:rPr>
          <w:color w:val="000000" w:themeColor="text1"/>
          <w:sz w:val="25"/>
          <w:szCs w:val="25"/>
        </w:rPr>
        <w:t xml:space="preserve">oi </w:t>
      </w:r>
      <w:r w:rsidR="004E2BDE" w:rsidRPr="00AF336A">
        <w:rPr>
          <w:color w:val="000000" w:themeColor="text1"/>
          <w:sz w:val="25"/>
          <w:szCs w:val="25"/>
        </w:rPr>
        <w:t xml:space="preserve">oggi possiamo immaginare </w:t>
      </w:r>
      <w:r w:rsidR="002568CF" w:rsidRPr="00AF336A">
        <w:rPr>
          <w:color w:val="000000" w:themeColor="text1"/>
          <w:sz w:val="25"/>
          <w:szCs w:val="25"/>
        </w:rPr>
        <w:t>due</w:t>
      </w:r>
      <w:r w:rsidR="004E2BDE" w:rsidRPr="00AF336A">
        <w:rPr>
          <w:color w:val="000000" w:themeColor="text1"/>
          <w:sz w:val="25"/>
          <w:szCs w:val="25"/>
        </w:rPr>
        <w:t xml:space="preserve"> </w:t>
      </w:r>
      <w:r w:rsidR="002568CF" w:rsidRPr="00AF336A">
        <w:rPr>
          <w:color w:val="000000" w:themeColor="text1"/>
          <w:sz w:val="25"/>
          <w:szCs w:val="25"/>
        </w:rPr>
        <w:t>diversi</w:t>
      </w:r>
      <w:r w:rsidR="004E2BDE" w:rsidRPr="00AF336A">
        <w:rPr>
          <w:color w:val="000000" w:themeColor="text1"/>
          <w:sz w:val="25"/>
          <w:szCs w:val="25"/>
        </w:rPr>
        <w:t xml:space="preserve"> approcci </w:t>
      </w:r>
      <w:r w:rsidR="002568CF" w:rsidRPr="00AF336A">
        <w:rPr>
          <w:color w:val="000000" w:themeColor="text1"/>
          <w:sz w:val="25"/>
          <w:szCs w:val="25"/>
        </w:rPr>
        <w:t>rispetto all</w:t>
      </w:r>
      <w:r w:rsidR="00144DEC" w:rsidRPr="00AF336A">
        <w:rPr>
          <w:color w:val="000000" w:themeColor="text1"/>
          <w:sz w:val="25"/>
          <w:szCs w:val="25"/>
        </w:rPr>
        <w:t>’</w:t>
      </w:r>
      <w:r w:rsidR="002568CF" w:rsidRPr="00AF336A">
        <w:rPr>
          <w:color w:val="000000" w:themeColor="text1"/>
          <w:sz w:val="25"/>
          <w:szCs w:val="25"/>
        </w:rPr>
        <w:t>uso dei</w:t>
      </w:r>
      <w:r w:rsidR="004E2BDE" w:rsidRPr="00AF336A">
        <w:rPr>
          <w:color w:val="000000" w:themeColor="text1"/>
          <w:sz w:val="25"/>
          <w:szCs w:val="25"/>
        </w:rPr>
        <w:t xml:space="preserve"> controlimiti</w:t>
      </w:r>
      <w:r w:rsidR="002568CF" w:rsidRPr="00AF336A">
        <w:rPr>
          <w:color w:val="000000" w:themeColor="text1"/>
          <w:sz w:val="25"/>
          <w:szCs w:val="25"/>
        </w:rPr>
        <w:t>: uno più “difensivo” e “sovranista”, l</w:t>
      </w:r>
      <w:r w:rsidR="00144DEC" w:rsidRPr="00AF336A">
        <w:rPr>
          <w:color w:val="000000" w:themeColor="text1"/>
          <w:sz w:val="25"/>
          <w:szCs w:val="25"/>
        </w:rPr>
        <w:t>’</w:t>
      </w:r>
      <w:r w:rsidR="002568CF" w:rsidRPr="00AF336A">
        <w:rPr>
          <w:color w:val="000000" w:themeColor="text1"/>
          <w:sz w:val="25"/>
          <w:szCs w:val="25"/>
        </w:rPr>
        <w:t xml:space="preserve">altro “dialogico” e “collaborativo”. Il primo rischia, tuttavia, </w:t>
      </w:r>
      <w:r w:rsidR="004E2BDE" w:rsidRPr="00AF336A">
        <w:rPr>
          <w:color w:val="000000" w:themeColor="text1"/>
          <w:sz w:val="25"/>
          <w:szCs w:val="25"/>
        </w:rPr>
        <w:t>di far naufragare un valore fondamentale dell</w:t>
      </w:r>
      <w:r w:rsidR="00144DEC" w:rsidRPr="00AF336A">
        <w:rPr>
          <w:color w:val="000000" w:themeColor="text1"/>
          <w:sz w:val="25"/>
          <w:szCs w:val="25"/>
        </w:rPr>
        <w:t>’</w:t>
      </w:r>
      <w:r w:rsidR="0021333F" w:rsidRPr="00AF336A">
        <w:rPr>
          <w:color w:val="000000" w:themeColor="text1"/>
          <w:sz w:val="25"/>
          <w:szCs w:val="25"/>
        </w:rPr>
        <w:t xml:space="preserve">UE </w:t>
      </w:r>
      <w:r w:rsidR="002568CF" w:rsidRPr="00AF336A">
        <w:rPr>
          <w:color w:val="000000" w:themeColor="text1"/>
          <w:sz w:val="25"/>
          <w:szCs w:val="25"/>
        </w:rPr>
        <w:t>(l</w:t>
      </w:r>
      <w:r w:rsidR="00144DEC" w:rsidRPr="00AF336A">
        <w:rPr>
          <w:color w:val="000000" w:themeColor="text1"/>
          <w:sz w:val="25"/>
          <w:szCs w:val="25"/>
        </w:rPr>
        <w:t>’</w:t>
      </w:r>
      <w:r w:rsidR="002568CF" w:rsidRPr="00AF336A">
        <w:rPr>
          <w:color w:val="000000" w:themeColor="text1"/>
          <w:sz w:val="25"/>
          <w:szCs w:val="25"/>
        </w:rPr>
        <w:t xml:space="preserve">uniforme applicazione) </w:t>
      </w:r>
      <w:r w:rsidR="004E2BDE" w:rsidRPr="00AF336A">
        <w:rPr>
          <w:color w:val="000000" w:themeColor="text1"/>
          <w:sz w:val="25"/>
          <w:szCs w:val="25"/>
        </w:rPr>
        <w:t>e di metter</w:t>
      </w:r>
      <w:r w:rsidR="002568CF" w:rsidRPr="00AF336A">
        <w:rPr>
          <w:color w:val="000000" w:themeColor="text1"/>
          <w:sz w:val="25"/>
          <w:szCs w:val="25"/>
        </w:rPr>
        <w:t>e</w:t>
      </w:r>
      <w:r w:rsidR="004E2BDE" w:rsidRPr="00AF336A">
        <w:rPr>
          <w:color w:val="000000" w:themeColor="text1"/>
          <w:sz w:val="25"/>
          <w:szCs w:val="25"/>
        </w:rPr>
        <w:t xml:space="preserve"> in </w:t>
      </w:r>
      <w:r w:rsidR="0021333F" w:rsidRPr="00AF336A">
        <w:rPr>
          <w:color w:val="000000" w:themeColor="text1"/>
          <w:sz w:val="25"/>
          <w:szCs w:val="25"/>
        </w:rPr>
        <w:t xml:space="preserve">serio </w:t>
      </w:r>
      <w:r w:rsidR="004E2BDE" w:rsidRPr="00AF336A">
        <w:rPr>
          <w:color w:val="000000" w:themeColor="text1"/>
          <w:sz w:val="25"/>
          <w:szCs w:val="25"/>
        </w:rPr>
        <w:t>pericolo</w:t>
      </w:r>
      <w:r w:rsidR="002568CF" w:rsidRPr="00AF336A">
        <w:rPr>
          <w:color w:val="000000" w:themeColor="text1"/>
          <w:sz w:val="25"/>
          <w:szCs w:val="25"/>
        </w:rPr>
        <w:t xml:space="preserve"> il processo di integrazione europea</w:t>
      </w:r>
      <w:r w:rsidR="00B54561" w:rsidRPr="00AF336A">
        <w:rPr>
          <w:color w:val="000000" w:themeColor="text1"/>
          <w:sz w:val="25"/>
          <w:szCs w:val="25"/>
        </w:rPr>
        <w:t>.</w:t>
      </w:r>
    </w:p>
    <w:p w14:paraId="38B02E4D" w14:textId="37480695" w:rsidR="00336443" w:rsidRPr="00AF336A" w:rsidRDefault="0021333F" w:rsidP="00144DEC">
      <w:pPr>
        <w:spacing w:after="0" w:line="240" w:lineRule="auto"/>
        <w:ind w:firstLine="454"/>
        <w:jc w:val="both"/>
        <w:rPr>
          <w:color w:val="000000" w:themeColor="text1"/>
          <w:sz w:val="25"/>
          <w:szCs w:val="25"/>
        </w:rPr>
      </w:pPr>
      <w:r w:rsidRPr="00AF336A">
        <w:rPr>
          <w:color w:val="000000" w:themeColor="text1"/>
          <w:sz w:val="25"/>
          <w:szCs w:val="25"/>
        </w:rPr>
        <w:t>L</w:t>
      </w:r>
      <w:r w:rsidR="00144DEC" w:rsidRPr="00AF336A">
        <w:rPr>
          <w:color w:val="000000" w:themeColor="text1"/>
          <w:sz w:val="25"/>
          <w:szCs w:val="25"/>
        </w:rPr>
        <w:t>’</w:t>
      </w:r>
      <w:r w:rsidR="004E2BDE" w:rsidRPr="00AF336A">
        <w:rPr>
          <w:color w:val="000000" w:themeColor="text1"/>
          <w:sz w:val="25"/>
          <w:szCs w:val="25"/>
        </w:rPr>
        <w:t>unico approccio possibile</w:t>
      </w:r>
      <w:r w:rsidR="002568CF" w:rsidRPr="00AF336A">
        <w:rPr>
          <w:color w:val="000000" w:themeColor="text1"/>
          <w:sz w:val="25"/>
          <w:szCs w:val="25"/>
        </w:rPr>
        <w:t xml:space="preserve"> </w:t>
      </w:r>
      <w:r w:rsidR="002228B5" w:rsidRPr="00AF336A">
        <w:rPr>
          <w:color w:val="000000" w:themeColor="text1"/>
          <w:sz w:val="25"/>
          <w:szCs w:val="25"/>
        </w:rPr>
        <w:t xml:space="preserve">– </w:t>
      </w:r>
      <w:r w:rsidR="002568CF" w:rsidRPr="00AF336A">
        <w:rPr>
          <w:color w:val="000000" w:themeColor="text1"/>
          <w:sz w:val="25"/>
          <w:szCs w:val="25"/>
        </w:rPr>
        <w:t xml:space="preserve">a maggior in un momento storico in cui </w:t>
      </w:r>
      <w:r w:rsidR="002228B5" w:rsidRPr="00AF336A">
        <w:rPr>
          <w:color w:val="000000" w:themeColor="text1"/>
          <w:sz w:val="25"/>
          <w:szCs w:val="25"/>
        </w:rPr>
        <w:t>il continente europeo</w:t>
      </w:r>
      <w:r w:rsidR="002568CF" w:rsidRPr="00AF336A">
        <w:rPr>
          <w:color w:val="000000" w:themeColor="text1"/>
          <w:sz w:val="25"/>
          <w:szCs w:val="25"/>
        </w:rPr>
        <w:t xml:space="preserve"> vive al suo interno </w:t>
      </w:r>
      <w:r w:rsidR="00336443" w:rsidRPr="00AF336A">
        <w:rPr>
          <w:color w:val="000000" w:themeColor="text1"/>
          <w:sz w:val="25"/>
          <w:szCs w:val="25"/>
        </w:rPr>
        <w:t>la tragedia</w:t>
      </w:r>
      <w:r w:rsidR="002568CF" w:rsidRPr="00AF336A">
        <w:rPr>
          <w:color w:val="000000" w:themeColor="text1"/>
          <w:sz w:val="25"/>
          <w:szCs w:val="25"/>
        </w:rPr>
        <w:t xml:space="preserve"> di un </w:t>
      </w:r>
      <w:r w:rsidR="00336443" w:rsidRPr="00AF336A">
        <w:rPr>
          <w:color w:val="000000" w:themeColor="text1"/>
          <w:sz w:val="25"/>
          <w:szCs w:val="25"/>
        </w:rPr>
        <w:t xml:space="preserve">sanguinario </w:t>
      </w:r>
      <w:r w:rsidR="002568CF" w:rsidRPr="00AF336A">
        <w:rPr>
          <w:color w:val="000000" w:themeColor="text1"/>
          <w:sz w:val="25"/>
          <w:szCs w:val="25"/>
        </w:rPr>
        <w:t>conflitto bellico</w:t>
      </w:r>
      <w:r w:rsidR="00336443" w:rsidRPr="00AF336A">
        <w:rPr>
          <w:color w:val="000000" w:themeColor="text1"/>
          <w:sz w:val="25"/>
          <w:szCs w:val="25"/>
        </w:rPr>
        <w:t xml:space="preserve"> </w:t>
      </w:r>
      <w:r w:rsidR="002228B5" w:rsidRPr="00AF336A">
        <w:rPr>
          <w:color w:val="000000" w:themeColor="text1"/>
          <w:sz w:val="25"/>
          <w:szCs w:val="25"/>
        </w:rPr>
        <w:t xml:space="preserve">(e con il dramma della </w:t>
      </w:r>
      <w:r w:rsidR="00336443" w:rsidRPr="00AF336A">
        <w:rPr>
          <w:color w:val="000000" w:themeColor="text1"/>
          <w:sz w:val="25"/>
          <w:szCs w:val="25"/>
        </w:rPr>
        <w:t>pandemia</w:t>
      </w:r>
      <w:r w:rsidR="00E34D68" w:rsidRPr="00AF336A">
        <w:rPr>
          <w:color w:val="000000" w:themeColor="text1"/>
          <w:sz w:val="25"/>
          <w:szCs w:val="25"/>
        </w:rPr>
        <w:t>,</w:t>
      </w:r>
      <w:r w:rsidR="002228B5" w:rsidRPr="00AF336A">
        <w:rPr>
          <w:color w:val="000000" w:themeColor="text1"/>
          <w:sz w:val="25"/>
          <w:szCs w:val="25"/>
        </w:rPr>
        <w:t xml:space="preserve"> comunque ancora incombente</w:t>
      </w:r>
      <w:r w:rsidR="00336443" w:rsidRPr="00AF336A">
        <w:rPr>
          <w:color w:val="000000" w:themeColor="text1"/>
          <w:sz w:val="25"/>
          <w:szCs w:val="25"/>
        </w:rPr>
        <w:t xml:space="preserve">) </w:t>
      </w:r>
      <w:r w:rsidR="002228B5" w:rsidRPr="00AF336A">
        <w:rPr>
          <w:color w:val="000000" w:themeColor="text1"/>
          <w:sz w:val="25"/>
          <w:szCs w:val="25"/>
        </w:rPr>
        <w:t xml:space="preserve">– </w:t>
      </w:r>
      <w:r w:rsidR="002568CF" w:rsidRPr="00AF336A">
        <w:rPr>
          <w:color w:val="000000" w:themeColor="text1"/>
          <w:sz w:val="25"/>
          <w:szCs w:val="25"/>
        </w:rPr>
        <w:t>non può che essere</w:t>
      </w:r>
      <w:r w:rsidR="004E2BDE" w:rsidRPr="00AF336A">
        <w:rPr>
          <w:color w:val="000000" w:themeColor="text1"/>
          <w:sz w:val="25"/>
          <w:szCs w:val="25"/>
        </w:rPr>
        <w:t xml:space="preserve"> </w:t>
      </w:r>
      <w:r w:rsidR="007174D0" w:rsidRPr="00AF336A">
        <w:rPr>
          <w:color w:val="000000" w:themeColor="text1"/>
          <w:sz w:val="25"/>
          <w:szCs w:val="25"/>
        </w:rPr>
        <w:t>quello</w:t>
      </w:r>
      <w:r w:rsidR="002568CF" w:rsidRPr="00AF336A">
        <w:rPr>
          <w:color w:val="000000" w:themeColor="text1"/>
          <w:sz w:val="25"/>
          <w:szCs w:val="25"/>
        </w:rPr>
        <w:t xml:space="preserve"> “dialogico”</w:t>
      </w:r>
      <w:r w:rsidR="00336443" w:rsidRPr="00AF336A">
        <w:rPr>
          <w:color w:val="000000" w:themeColor="text1"/>
          <w:sz w:val="25"/>
          <w:szCs w:val="25"/>
        </w:rPr>
        <w:t>,</w:t>
      </w:r>
      <w:r w:rsidR="002568CF" w:rsidRPr="00AF336A">
        <w:rPr>
          <w:color w:val="000000" w:themeColor="text1"/>
          <w:sz w:val="25"/>
          <w:szCs w:val="25"/>
        </w:rPr>
        <w:t xml:space="preserve"> </w:t>
      </w:r>
      <w:r w:rsidR="007174D0" w:rsidRPr="00AF336A">
        <w:rPr>
          <w:color w:val="000000" w:themeColor="text1"/>
          <w:sz w:val="25"/>
          <w:szCs w:val="25"/>
        </w:rPr>
        <w:t>seguito dal</w:t>
      </w:r>
      <w:r w:rsidR="004E2BDE" w:rsidRPr="00AF336A">
        <w:rPr>
          <w:color w:val="000000" w:themeColor="text1"/>
          <w:sz w:val="25"/>
          <w:szCs w:val="25"/>
        </w:rPr>
        <w:t>la nostra Corte costituzionale</w:t>
      </w:r>
      <w:r w:rsidR="00336443" w:rsidRPr="00AF336A">
        <w:rPr>
          <w:color w:val="000000" w:themeColor="text1"/>
          <w:sz w:val="25"/>
          <w:szCs w:val="25"/>
        </w:rPr>
        <w:t xml:space="preserve">, </w:t>
      </w:r>
      <w:r w:rsidR="004E2BDE" w:rsidRPr="00AF336A">
        <w:rPr>
          <w:color w:val="000000" w:themeColor="text1"/>
          <w:sz w:val="25"/>
          <w:szCs w:val="25"/>
        </w:rPr>
        <w:t xml:space="preserve">ma anche </w:t>
      </w:r>
      <w:r w:rsidR="007174D0" w:rsidRPr="00AF336A">
        <w:rPr>
          <w:color w:val="000000" w:themeColor="text1"/>
          <w:sz w:val="25"/>
          <w:szCs w:val="25"/>
        </w:rPr>
        <w:t xml:space="preserve">da </w:t>
      </w:r>
      <w:r w:rsidR="004E2BDE" w:rsidRPr="00AF336A">
        <w:rPr>
          <w:color w:val="000000" w:themeColor="text1"/>
          <w:sz w:val="25"/>
          <w:szCs w:val="25"/>
        </w:rPr>
        <w:t>altre</w:t>
      </w:r>
      <w:r w:rsidR="00336443" w:rsidRPr="00AF336A">
        <w:rPr>
          <w:color w:val="000000" w:themeColor="text1"/>
          <w:sz w:val="25"/>
          <w:szCs w:val="25"/>
        </w:rPr>
        <w:t xml:space="preserve"> (</w:t>
      </w:r>
      <w:r w:rsidR="002568CF" w:rsidRPr="00AF336A">
        <w:rPr>
          <w:color w:val="000000" w:themeColor="text1"/>
          <w:sz w:val="25"/>
          <w:szCs w:val="25"/>
        </w:rPr>
        <w:t xml:space="preserve">ad esempio, dal Tribunale Costituzionale Spagnolo nel caso </w:t>
      </w:r>
      <w:r w:rsidR="002568CF" w:rsidRPr="00AF336A">
        <w:rPr>
          <w:i/>
          <w:iCs/>
          <w:color w:val="000000" w:themeColor="text1"/>
          <w:sz w:val="25"/>
          <w:szCs w:val="25"/>
        </w:rPr>
        <w:t>Melloni</w:t>
      </w:r>
      <w:r w:rsidR="002568CF" w:rsidRPr="00AF336A">
        <w:rPr>
          <w:color w:val="000000" w:themeColor="text1"/>
          <w:sz w:val="25"/>
          <w:szCs w:val="25"/>
        </w:rPr>
        <w:t>).</w:t>
      </w:r>
      <w:r w:rsidR="007174D0" w:rsidRPr="00AF336A">
        <w:rPr>
          <w:color w:val="000000" w:themeColor="text1"/>
          <w:sz w:val="25"/>
          <w:szCs w:val="25"/>
        </w:rPr>
        <w:t xml:space="preserve"> </w:t>
      </w:r>
    </w:p>
    <w:p w14:paraId="6ED3DE99" w14:textId="6D55B86A" w:rsidR="00E34D68" w:rsidRPr="00AF336A" w:rsidRDefault="007174D0" w:rsidP="00144DEC">
      <w:pPr>
        <w:spacing w:after="0" w:line="240" w:lineRule="auto"/>
        <w:ind w:firstLine="454"/>
        <w:jc w:val="both"/>
        <w:rPr>
          <w:color w:val="000000" w:themeColor="text1"/>
          <w:sz w:val="25"/>
          <w:szCs w:val="25"/>
        </w:rPr>
      </w:pPr>
      <w:r w:rsidRPr="00AF336A">
        <w:rPr>
          <w:color w:val="000000" w:themeColor="text1"/>
          <w:sz w:val="25"/>
          <w:szCs w:val="25"/>
        </w:rPr>
        <w:t xml:space="preserve">Del </w:t>
      </w:r>
      <w:r w:rsidR="004E2BDE" w:rsidRPr="00AF336A">
        <w:rPr>
          <w:color w:val="000000" w:themeColor="text1"/>
          <w:sz w:val="25"/>
          <w:szCs w:val="25"/>
        </w:rPr>
        <w:t>resto</w:t>
      </w:r>
      <w:r w:rsidRPr="00AF336A">
        <w:rPr>
          <w:color w:val="000000" w:themeColor="text1"/>
          <w:sz w:val="25"/>
          <w:szCs w:val="25"/>
        </w:rPr>
        <w:t xml:space="preserve">, </w:t>
      </w:r>
      <w:r w:rsidR="004E2BDE" w:rsidRPr="00AF336A">
        <w:rPr>
          <w:color w:val="000000" w:themeColor="text1"/>
          <w:sz w:val="25"/>
          <w:szCs w:val="25"/>
        </w:rPr>
        <w:t>quell</w:t>
      </w:r>
      <w:r w:rsidR="00144DEC" w:rsidRPr="00AF336A">
        <w:rPr>
          <w:color w:val="000000" w:themeColor="text1"/>
          <w:sz w:val="25"/>
          <w:szCs w:val="25"/>
        </w:rPr>
        <w:t>’</w:t>
      </w:r>
      <w:r w:rsidR="004E2BDE" w:rsidRPr="00AF336A">
        <w:rPr>
          <w:color w:val="000000" w:themeColor="text1"/>
          <w:sz w:val="25"/>
          <w:szCs w:val="25"/>
        </w:rPr>
        <w:t>approccio di diffidenza che</w:t>
      </w:r>
      <w:r w:rsidR="00EC5AF1" w:rsidRPr="00AF336A">
        <w:rPr>
          <w:color w:val="000000" w:themeColor="text1"/>
          <w:sz w:val="25"/>
          <w:szCs w:val="25"/>
        </w:rPr>
        <w:t xml:space="preserve"> ha</w:t>
      </w:r>
      <w:r w:rsidR="004E2BDE" w:rsidRPr="00AF336A">
        <w:rPr>
          <w:color w:val="000000" w:themeColor="text1"/>
          <w:sz w:val="25"/>
          <w:szCs w:val="25"/>
        </w:rPr>
        <w:t xml:space="preserve"> </w:t>
      </w:r>
      <w:r w:rsidR="00EC5AF1" w:rsidRPr="00AF336A">
        <w:rPr>
          <w:color w:val="000000" w:themeColor="text1"/>
          <w:sz w:val="25"/>
          <w:szCs w:val="25"/>
        </w:rPr>
        <w:t>condotto</w:t>
      </w:r>
      <w:r w:rsidRPr="00AF336A">
        <w:rPr>
          <w:color w:val="000000" w:themeColor="text1"/>
          <w:sz w:val="25"/>
          <w:szCs w:val="25"/>
        </w:rPr>
        <w:t xml:space="preserve"> a</w:t>
      </w:r>
      <w:r w:rsidR="004E2BDE" w:rsidRPr="00AF336A">
        <w:rPr>
          <w:color w:val="000000" w:themeColor="text1"/>
          <w:sz w:val="25"/>
          <w:szCs w:val="25"/>
        </w:rPr>
        <w:t xml:space="preserve"> rivendicare </w:t>
      </w:r>
      <w:r w:rsidR="00EC5AF1" w:rsidRPr="00AF336A">
        <w:rPr>
          <w:color w:val="000000" w:themeColor="text1"/>
          <w:sz w:val="25"/>
          <w:szCs w:val="25"/>
        </w:rPr>
        <w:t>in maniera prepotente</w:t>
      </w:r>
      <w:r w:rsidR="004E2BDE" w:rsidRPr="00AF336A">
        <w:rPr>
          <w:color w:val="000000" w:themeColor="text1"/>
          <w:sz w:val="25"/>
          <w:szCs w:val="25"/>
        </w:rPr>
        <w:t xml:space="preserve"> l</w:t>
      </w:r>
      <w:r w:rsidR="00144DEC" w:rsidRPr="00AF336A">
        <w:rPr>
          <w:color w:val="000000" w:themeColor="text1"/>
          <w:sz w:val="25"/>
          <w:szCs w:val="25"/>
        </w:rPr>
        <w:t>’</w:t>
      </w:r>
      <w:r w:rsidR="00B54561" w:rsidRPr="00AF336A">
        <w:rPr>
          <w:color w:val="000000" w:themeColor="text1"/>
          <w:sz w:val="25"/>
          <w:szCs w:val="25"/>
        </w:rPr>
        <w:t>i</w:t>
      </w:r>
      <w:r w:rsidR="004E2BDE" w:rsidRPr="00AF336A">
        <w:rPr>
          <w:color w:val="000000" w:themeColor="text1"/>
          <w:sz w:val="25"/>
          <w:szCs w:val="25"/>
        </w:rPr>
        <w:t xml:space="preserve">dentità costituzionale nazionale </w:t>
      </w:r>
      <w:r w:rsidR="00336443" w:rsidRPr="00AF336A">
        <w:rPr>
          <w:color w:val="000000" w:themeColor="text1"/>
          <w:sz w:val="25"/>
          <w:szCs w:val="25"/>
        </w:rPr>
        <w:t>attraverso</w:t>
      </w:r>
      <w:r w:rsidR="004E2BDE" w:rsidRPr="00AF336A">
        <w:rPr>
          <w:color w:val="000000" w:themeColor="text1"/>
          <w:sz w:val="25"/>
          <w:szCs w:val="25"/>
        </w:rPr>
        <w:t xml:space="preserve"> i controlimiti </w:t>
      </w:r>
      <w:r w:rsidR="00336443" w:rsidRPr="00AF336A">
        <w:rPr>
          <w:color w:val="000000" w:themeColor="text1"/>
          <w:sz w:val="25"/>
          <w:szCs w:val="25"/>
        </w:rPr>
        <w:t>(</w:t>
      </w:r>
      <w:r w:rsidR="004E2BDE" w:rsidRPr="00AF336A">
        <w:rPr>
          <w:color w:val="000000" w:themeColor="text1"/>
          <w:sz w:val="25"/>
          <w:szCs w:val="25"/>
        </w:rPr>
        <w:t xml:space="preserve">e che caratterizza storicamente </w:t>
      </w:r>
      <w:r w:rsidR="00336443" w:rsidRPr="00AF336A">
        <w:rPr>
          <w:color w:val="000000" w:themeColor="text1"/>
          <w:sz w:val="25"/>
          <w:szCs w:val="25"/>
        </w:rPr>
        <w:t>i P</w:t>
      </w:r>
      <w:r w:rsidR="004E2BDE" w:rsidRPr="00AF336A">
        <w:rPr>
          <w:color w:val="000000" w:themeColor="text1"/>
          <w:sz w:val="25"/>
          <w:szCs w:val="25"/>
        </w:rPr>
        <w:t xml:space="preserve">aesi </w:t>
      </w:r>
      <w:r w:rsidR="00E33179" w:rsidRPr="00AF336A">
        <w:rPr>
          <w:color w:val="000000" w:themeColor="text1"/>
          <w:sz w:val="25"/>
          <w:szCs w:val="25"/>
        </w:rPr>
        <w:t>d</w:t>
      </w:r>
      <w:r w:rsidR="004E2BDE" w:rsidRPr="00AF336A">
        <w:rPr>
          <w:color w:val="000000" w:themeColor="text1"/>
          <w:sz w:val="25"/>
          <w:szCs w:val="25"/>
        </w:rPr>
        <w:t>ell</w:t>
      </w:r>
      <w:r w:rsidR="00144DEC" w:rsidRPr="00AF336A">
        <w:rPr>
          <w:color w:val="000000" w:themeColor="text1"/>
          <w:sz w:val="25"/>
          <w:szCs w:val="25"/>
        </w:rPr>
        <w:t>’</w:t>
      </w:r>
      <w:r w:rsidRPr="00AF336A">
        <w:rPr>
          <w:color w:val="000000" w:themeColor="text1"/>
          <w:sz w:val="25"/>
          <w:szCs w:val="25"/>
        </w:rPr>
        <w:t>E</w:t>
      </w:r>
      <w:r w:rsidR="004E2BDE" w:rsidRPr="00AF336A">
        <w:rPr>
          <w:color w:val="000000" w:themeColor="text1"/>
          <w:sz w:val="25"/>
          <w:szCs w:val="25"/>
        </w:rPr>
        <w:t>uropa centro</w:t>
      </w:r>
      <w:r w:rsidR="00336443" w:rsidRPr="00AF336A">
        <w:rPr>
          <w:color w:val="000000" w:themeColor="text1"/>
          <w:sz w:val="25"/>
          <w:szCs w:val="25"/>
        </w:rPr>
        <w:t>-</w:t>
      </w:r>
      <w:r w:rsidR="004E2BDE" w:rsidRPr="00AF336A">
        <w:rPr>
          <w:color w:val="000000" w:themeColor="text1"/>
          <w:sz w:val="25"/>
          <w:szCs w:val="25"/>
        </w:rPr>
        <w:t>oriental</w:t>
      </w:r>
      <w:r w:rsidRPr="00AF336A">
        <w:rPr>
          <w:color w:val="000000" w:themeColor="text1"/>
          <w:sz w:val="25"/>
          <w:szCs w:val="25"/>
        </w:rPr>
        <w:t>e</w:t>
      </w:r>
      <w:r w:rsidR="004E2BDE" w:rsidRPr="00AF336A">
        <w:rPr>
          <w:color w:val="000000" w:themeColor="text1"/>
          <w:sz w:val="25"/>
          <w:szCs w:val="25"/>
        </w:rPr>
        <w:t xml:space="preserve"> </w:t>
      </w:r>
      <w:r w:rsidRPr="00AF336A">
        <w:rPr>
          <w:color w:val="000000" w:themeColor="text1"/>
          <w:sz w:val="25"/>
          <w:szCs w:val="25"/>
        </w:rPr>
        <w:t>i quali</w:t>
      </w:r>
      <w:r w:rsidR="004E2BDE" w:rsidRPr="00AF336A">
        <w:rPr>
          <w:color w:val="000000" w:themeColor="text1"/>
          <w:sz w:val="25"/>
          <w:szCs w:val="25"/>
        </w:rPr>
        <w:t xml:space="preserve"> hanno </w:t>
      </w:r>
      <w:r w:rsidR="00336443" w:rsidRPr="00AF336A">
        <w:rPr>
          <w:color w:val="000000" w:themeColor="text1"/>
          <w:sz w:val="25"/>
          <w:szCs w:val="25"/>
        </w:rPr>
        <w:t>C</w:t>
      </w:r>
      <w:r w:rsidR="004E2BDE" w:rsidRPr="00AF336A">
        <w:rPr>
          <w:color w:val="000000" w:themeColor="text1"/>
          <w:sz w:val="25"/>
          <w:szCs w:val="25"/>
        </w:rPr>
        <w:t>ostituzioni c</w:t>
      </w:r>
      <w:r w:rsidR="00336443" w:rsidRPr="00AF336A">
        <w:rPr>
          <w:color w:val="000000" w:themeColor="text1"/>
          <w:sz w:val="25"/>
          <w:szCs w:val="25"/>
        </w:rPr>
        <w:t xml:space="preserve">on </w:t>
      </w:r>
      <w:r w:rsidR="002228B5" w:rsidRPr="00AF336A">
        <w:rPr>
          <w:color w:val="000000" w:themeColor="text1"/>
          <w:sz w:val="25"/>
          <w:szCs w:val="25"/>
        </w:rPr>
        <w:t xml:space="preserve">esplicite </w:t>
      </w:r>
      <w:r w:rsidR="004E2BDE" w:rsidRPr="00AF336A">
        <w:rPr>
          <w:color w:val="000000" w:themeColor="text1"/>
          <w:sz w:val="25"/>
          <w:szCs w:val="25"/>
        </w:rPr>
        <w:t xml:space="preserve">matrici </w:t>
      </w:r>
      <w:r w:rsidRPr="00AF336A">
        <w:rPr>
          <w:color w:val="000000" w:themeColor="text1"/>
          <w:sz w:val="25"/>
          <w:szCs w:val="25"/>
        </w:rPr>
        <w:t>sovraniste</w:t>
      </w:r>
      <w:r w:rsidR="00336443" w:rsidRPr="00AF336A">
        <w:rPr>
          <w:color w:val="000000" w:themeColor="text1"/>
          <w:sz w:val="25"/>
          <w:szCs w:val="25"/>
        </w:rPr>
        <w:t>)</w:t>
      </w:r>
      <w:r w:rsidRPr="00AF336A">
        <w:rPr>
          <w:color w:val="000000" w:themeColor="text1"/>
          <w:sz w:val="25"/>
          <w:szCs w:val="25"/>
        </w:rPr>
        <w:t xml:space="preserve">, </w:t>
      </w:r>
      <w:r w:rsidR="004E2BDE" w:rsidRPr="00AF336A">
        <w:rPr>
          <w:color w:val="000000" w:themeColor="text1"/>
          <w:sz w:val="25"/>
          <w:szCs w:val="25"/>
        </w:rPr>
        <w:t>si</w:t>
      </w:r>
      <w:r w:rsidR="00336443" w:rsidRPr="00AF336A">
        <w:rPr>
          <w:color w:val="000000" w:themeColor="text1"/>
          <w:sz w:val="25"/>
          <w:szCs w:val="25"/>
        </w:rPr>
        <w:t xml:space="preserve"> è diffuso nello scorso decennio </w:t>
      </w:r>
      <w:r w:rsidR="004E2BDE" w:rsidRPr="00AF336A">
        <w:rPr>
          <w:color w:val="000000" w:themeColor="text1"/>
          <w:sz w:val="25"/>
          <w:szCs w:val="25"/>
        </w:rPr>
        <w:t xml:space="preserve">anche in altri </w:t>
      </w:r>
      <w:r w:rsidR="00336443" w:rsidRPr="00AF336A">
        <w:rPr>
          <w:color w:val="000000" w:themeColor="text1"/>
          <w:sz w:val="25"/>
          <w:szCs w:val="25"/>
        </w:rPr>
        <w:t>contesti</w:t>
      </w:r>
      <w:r w:rsidR="003164C5">
        <w:rPr>
          <w:color w:val="000000" w:themeColor="text1"/>
          <w:sz w:val="25"/>
          <w:szCs w:val="25"/>
        </w:rPr>
        <w:t xml:space="preserve"> </w:t>
      </w:r>
      <w:r w:rsidRPr="00AF336A">
        <w:rPr>
          <w:color w:val="000000" w:themeColor="text1"/>
          <w:sz w:val="25"/>
          <w:szCs w:val="25"/>
        </w:rPr>
        <w:t>–</w:t>
      </w:r>
      <w:r w:rsidR="00336443" w:rsidRPr="00AF336A">
        <w:rPr>
          <w:color w:val="000000" w:themeColor="text1"/>
          <w:sz w:val="25"/>
          <w:szCs w:val="25"/>
        </w:rPr>
        <w:t xml:space="preserve"> ad es. </w:t>
      </w:r>
      <w:r w:rsidR="00EC5AF1" w:rsidRPr="00AF336A">
        <w:rPr>
          <w:color w:val="000000" w:themeColor="text1"/>
          <w:sz w:val="25"/>
          <w:szCs w:val="25"/>
        </w:rPr>
        <w:t xml:space="preserve">in </w:t>
      </w:r>
      <w:r w:rsidR="004E2BDE" w:rsidRPr="00AF336A">
        <w:rPr>
          <w:color w:val="000000" w:themeColor="text1"/>
          <w:sz w:val="25"/>
          <w:szCs w:val="25"/>
        </w:rPr>
        <w:t>Germania</w:t>
      </w:r>
      <w:r w:rsidR="00336443" w:rsidRPr="00AF336A">
        <w:rPr>
          <w:color w:val="000000" w:themeColor="text1"/>
          <w:sz w:val="25"/>
          <w:szCs w:val="25"/>
        </w:rPr>
        <w:t xml:space="preserve"> o</w:t>
      </w:r>
      <w:r w:rsidR="004E2BDE" w:rsidRPr="00AF336A">
        <w:rPr>
          <w:color w:val="000000" w:themeColor="text1"/>
          <w:sz w:val="25"/>
          <w:szCs w:val="25"/>
        </w:rPr>
        <w:t xml:space="preserve"> </w:t>
      </w:r>
      <w:r w:rsidR="00EC5AF1" w:rsidRPr="00AF336A">
        <w:rPr>
          <w:color w:val="000000" w:themeColor="text1"/>
          <w:sz w:val="25"/>
          <w:szCs w:val="25"/>
        </w:rPr>
        <w:t xml:space="preserve">in </w:t>
      </w:r>
      <w:r w:rsidR="004E2BDE" w:rsidRPr="00AF336A">
        <w:rPr>
          <w:color w:val="000000" w:themeColor="text1"/>
          <w:sz w:val="25"/>
          <w:szCs w:val="25"/>
        </w:rPr>
        <w:t>Danimarca da cui provengono pure</w:t>
      </w:r>
      <w:r w:rsidR="003164C5">
        <w:rPr>
          <w:color w:val="000000" w:themeColor="text1"/>
          <w:sz w:val="25"/>
          <w:szCs w:val="25"/>
        </w:rPr>
        <w:t xml:space="preserve"> </w:t>
      </w:r>
      <w:r w:rsidR="004E2BDE" w:rsidRPr="00AF336A">
        <w:rPr>
          <w:color w:val="000000" w:themeColor="text1"/>
          <w:sz w:val="25"/>
          <w:szCs w:val="25"/>
        </w:rPr>
        <w:t>sentenze ardite sui controlimiti</w:t>
      </w:r>
      <w:r w:rsidR="00EC5AF1" w:rsidRPr="00AF336A">
        <w:rPr>
          <w:rStyle w:val="Rimandonotaapidipagina"/>
          <w:color w:val="000000" w:themeColor="text1"/>
          <w:sz w:val="25"/>
          <w:szCs w:val="25"/>
        </w:rPr>
        <w:footnoteReference w:id="29"/>
      </w:r>
      <w:r w:rsidR="00336443" w:rsidRPr="00AF336A">
        <w:rPr>
          <w:color w:val="000000" w:themeColor="text1"/>
          <w:sz w:val="25"/>
          <w:szCs w:val="25"/>
        </w:rPr>
        <w:t xml:space="preserve"> –</w:t>
      </w:r>
      <w:r w:rsidR="004E2BDE" w:rsidRPr="00AF336A">
        <w:rPr>
          <w:color w:val="000000" w:themeColor="text1"/>
          <w:sz w:val="25"/>
          <w:szCs w:val="25"/>
        </w:rPr>
        <w:t xml:space="preserve">in una fase storica di </w:t>
      </w:r>
      <w:r w:rsidR="00336443" w:rsidRPr="00AF336A">
        <w:rPr>
          <w:color w:val="000000" w:themeColor="text1"/>
          <w:sz w:val="25"/>
          <w:szCs w:val="25"/>
        </w:rPr>
        <w:t xml:space="preserve">diffidenza e di </w:t>
      </w:r>
      <w:r w:rsidR="004E2BDE" w:rsidRPr="00AF336A">
        <w:rPr>
          <w:color w:val="000000" w:themeColor="text1"/>
          <w:sz w:val="25"/>
          <w:szCs w:val="25"/>
        </w:rPr>
        <w:t>a</w:t>
      </w:r>
      <w:r w:rsidR="00336443" w:rsidRPr="00AF336A">
        <w:rPr>
          <w:color w:val="000000" w:themeColor="text1"/>
          <w:sz w:val="25"/>
          <w:szCs w:val="25"/>
        </w:rPr>
        <w:t>vversione, anche a livello sociale,</w:t>
      </w:r>
      <w:r w:rsidR="004E2BDE" w:rsidRPr="00AF336A">
        <w:rPr>
          <w:color w:val="000000" w:themeColor="text1"/>
          <w:sz w:val="25"/>
          <w:szCs w:val="25"/>
        </w:rPr>
        <w:t xml:space="preserve"> verso l</w:t>
      </w:r>
      <w:r w:rsidR="00144DEC" w:rsidRPr="00AF336A">
        <w:rPr>
          <w:color w:val="000000" w:themeColor="text1"/>
          <w:sz w:val="25"/>
          <w:szCs w:val="25"/>
        </w:rPr>
        <w:t>’</w:t>
      </w:r>
      <w:r w:rsidR="00336443" w:rsidRPr="00AF336A">
        <w:rPr>
          <w:color w:val="000000" w:themeColor="text1"/>
          <w:sz w:val="25"/>
          <w:szCs w:val="25"/>
        </w:rPr>
        <w:t>U</w:t>
      </w:r>
      <w:r w:rsidR="004E2BDE" w:rsidRPr="00AF336A">
        <w:rPr>
          <w:color w:val="000000" w:themeColor="text1"/>
          <w:sz w:val="25"/>
          <w:szCs w:val="25"/>
        </w:rPr>
        <w:t>nione europea</w:t>
      </w:r>
      <w:r w:rsidR="00336443" w:rsidRPr="00AF336A">
        <w:rPr>
          <w:color w:val="000000" w:themeColor="text1"/>
          <w:sz w:val="25"/>
          <w:szCs w:val="25"/>
        </w:rPr>
        <w:t xml:space="preserve">. </w:t>
      </w:r>
    </w:p>
    <w:p w14:paraId="4EF17C85" w14:textId="4FAF15FD" w:rsidR="002228B5" w:rsidRPr="00E34D68" w:rsidRDefault="00336443" w:rsidP="00144DEC">
      <w:pPr>
        <w:spacing w:after="0" w:line="240" w:lineRule="auto"/>
        <w:ind w:firstLine="454"/>
        <w:jc w:val="both"/>
        <w:rPr>
          <w:color w:val="000000" w:themeColor="text1"/>
          <w:sz w:val="24"/>
          <w:szCs w:val="24"/>
        </w:rPr>
      </w:pPr>
      <w:r w:rsidRPr="00E34D68">
        <w:rPr>
          <w:color w:val="000000" w:themeColor="text1"/>
          <w:sz w:val="24"/>
          <w:szCs w:val="24"/>
        </w:rPr>
        <w:t>Per troppo tempo</w:t>
      </w:r>
      <w:r w:rsidR="002228B5" w:rsidRPr="00E34D68">
        <w:rPr>
          <w:color w:val="000000" w:themeColor="text1"/>
          <w:sz w:val="24"/>
          <w:szCs w:val="24"/>
        </w:rPr>
        <w:t>,</w:t>
      </w:r>
      <w:r w:rsidRPr="00E34D68">
        <w:rPr>
          <w:color w:val="000000" w:themeColor="text1"/>
          <w:sz w:val="24"/>
          <w:szCs w:val="24"/>
        </w:rPr>
        <w:t xml:space="preserve"> </w:t>
      </w:r>
      <w:r w:rsidR="00B54561" w:rsidRPr="00E34D68">
        <w:rPr>
          <w:color w:val="000000" w:themeColor="text1"/>
          <w:sz w:val="24"/>
          <w:szCs w:val="24"/>
        </w:rPr>
        <w:t xml:space="preserve">e troppe volte, </w:t>
      </w:r>
      <w:r w:rsidR="007174D0" w:rsidRPr="00E34D68">
        <w:rPr>
          <w:color w:val="000000" w:themeColor="text1"/>
          <w:sz w:val="24"/>
          <w:szCs w:val="24"/>
        </w:rPr>
        <w:t>l</w:t>
      </w:r>
      <w:r w:rsidR="00144DEC">
        <w:rPr>
          <w:color w:val="000000" w:themeColor="text1"/>
          <w:sz w:val="24"/>
          <w:szCs w:val="24"/>
        </w:rPr>
        <w:t>’</w:t>
      </w:r>
      <w:r w:rsidR="007174D0" w:rsidRPr="00E34D68">
        <w:rPr>
          <w:color w:val="000000" w:themeColor="text1"/>
          <w:sz w:val="24"/>
          <w:szCs w:val="24"/>
        </w:rPr>
        <w:t>UE</w:t>
      </w:r>
      <w:r w:rsidRPr="00E34D68">
        <w:rPr>
          <w:color w:val="000000" w:themeColor="text1"/>
          <w:sz w:val="24"/>
          <w:szCs w:val="24"/>
        </w:rPr>
        <w:t xml:space="preserve"> è stata </w:t>
      </w:r>
      <w:r w:rsidR="004E2BDE" w:rsidRPr="00E34D68">
        <w:rPr>
          <w:color w:val="000000" w:themeColor="text1"/>
          <w:sz w:val="24"/>
          <w:szCs w:val="24"/>
        </w:rPr>
        <w:t xml:space="preserve">vista </w:t>
      </w:r>
      <w:r w:rsidRPr="00E34D68">
        <w:rPr>
          <w:color w:val="000000" w:themeColor="text1"/>
          <w:sz w:val="24"/>
          <w:szCs w:val="24"/>
        </w:rPr>
        <w:t xml:space="preserve">(a torto o a ragione) </w:t>
      </w:r>
      <w:r w:rsidR="004E2BDE" w:rsidRPr="00E34D68">
        <w:rPr>
          <w:color w:val="000000" w:themeColor="text1"/>
          <w:sz w:val="24"/>
          <w:szCs w:val="24"/>
        </w:rPr>
        <w:t>non come Unione di diritti</w:t>
      </w:r>
      <w:r w:rsidR="00A12F01" w:rsidRPr="00E34D68">
        <w:rPr>
          <w:color w:val="000000" w:themeColor="text1"/>
          <w:sz w:val="24"/>
          <w:szCs w:val="24"/>
        </w:rPr>
        <w:t xml:space="preserve"> e di opportunità,</w:t>
      </w:r>
      <w:r w:rsidR="004E2BDE" w:rsidRPr="00E34D68">
        <w:rPr>
          <w:color w:val="000000" w:themeColor="text1"/>
          <w:sz w:val="24"/>
          <w:szCs w:val="24"/>
        </w:rPr>
        <w:t xml:space="preserve"> ma come Unione burocratica</w:t>
      </w:r>
      <w:r w:rsidRPr="00E34D68">
        <w:rPr>
          <w:color w:val="000000" w:themeColor="text1"/>
          <w:sz w:val="24"/>
          <w:szCs w:val="24"/>
        </w:rPr>
        <w:t xml:space="preserve">, che </w:t>
      </w:r>
      <w:r w:rsidR="002228B5" w:rsidRPr="00E34D68">
        <w:rPr>
          <w:color w:val="000000" w:themeColor="text1"/>
          <w:sz w:val="24"/>
          <w:szCs w:val="24"/>
        </w:rPr>
        <w:t>“</w:t>
      </w:r>
      <w:r w:rsidRPr="00E34D68">
        <w:rPr>
          <w:color w:val="000000" w:themeColor="text1"/>
          <w:sz w:val="24"/>
          <w:szCs w:val="24"/>
        </w:rPr>
        <w:t>zavorra</w:t>
      </w:r>
      <w:r w:rsidR="002228B5" w:rsidRPr="00E34D68">
        <w:rPr>
          <w:color w:val="000000" w:themeColor="text1"/>
          <w:sz w:val="24"/>
          <w:szCs w:val="24"/>
        </w:rPr>
        <w:t>”</w:t>
      </w:r>
      <w:r w:rsidRPr="00E34D68">
        <w:rPr>
          <w:color w:val="000000" w:themeColor="text1"/>
          <w:sz w:val="24"/>
          <w:szCs w:val="24"/>
        </w:rPr>
        <w:t xml:space="preserve"> gli Stati con rigidi limiti di bilancio e regole </w:t>
      </w:r>
      <w:r w:rsidR="00A12F01" w:rsidRPr="00E34D68">
        <w:rPr>
          <w:color w:val="000000" w:themeColor="text1"/>
          <w:sz w:val="24"/>
          <w:szCs w:val="24"/>
        </w:rPr>
        <w:t xml:space="preserve">improntate ad un elevato tecnicismo. Tutto questo </w:t>
      </w:r>
      <w:r w:rsidR="004E2BDE" w:rsidRPr="00E34D68">
        <w:rPr>
          <w:color w:val="000000" w:themeColor="text1"/>
          <w:sz w:val="24"/>
          <w:szCs w:val="24"/>
        </w:rPr>
        <w:t>ha alimentato</w:t>
      </w:r>
      <w:r w:rsidR="00A12F01" w:rsidRPr="00E34D68">
        <w:rPr>
          <w:color w:val="000000" w:themeColor="text1"/>
          <w:sz w:val="24"/>
          <w:szCs w:val="24"/>
        </w:rPr>
        <w:t>,</w:t>
      </w:r>
      <w:r w:rsidR="004E2BDE" w:rsidRPr="00E34D68">
        <w:rPr>
          <w:color w:val="000000" w:themeColor="text1"/>
          <w:sz w:val="24"/>
          <w:szCs w:val="24"/>
        </w:rPr>
        <w:t xml:space="preserve"> un p</w:t>
      </w:r>
      <w:r w:rsidR="00A12F01" w:rsidRPr="00E34D68">
        <w:rPr>
          <w:color w:val="000000" w:themeColor="text1"/>
          <w:sz w:val="24"/>
          <w:szCs w:val="24"/>
        </w:rPr>
        <w:t>o</w:t>
      </w:r>
      <w:r w:rsidR="00144DEC">
        <w:rPr>
          <w:color w:val="000000" w:themeColor="text1"/>
          <w:sz w:val="24"/>
          <w:szCs w:val="24"/>
        </w:rPr>
        <w:t>’</w:t>
      </w:r>
      <w:r w:rsidR="007174D0" w:rsidRPr="00E34D68">
        <w:rPr>
          <w:color w:val="000000" w:themeColor="text1"/>
          <w:sz w:val="24"/>
          <w:szCs w:val="24"/>
        </w:rPr>
        <w:t xml:space="preserve"> ovunque</w:t>
      </w:r>
      <w:r w:rsidR="00A12F01" w:rsidRPr="00E34D68">
        <w:rPr>
          <w:color w:val="000000" w:themeColor="text1"/>
          <w:sz w:val="24"/>
          <w:szCs w:val="24"/>
        </w:rPr>
        <w:t>,</w:t>
      </w:r>
      <w:r w:rsidR="007174D0" w:rsidRPr="00E34D68">
        <w:rPr>
          <w:color w:val="000000" w:themeColor="text1"/>
          <w:sz w:val="24"/>
          <w:szCs w:val="24"/>
        </w:rPr>
        <w:t xml:space="preserve"> </w:t>
      </w:r>
      <w:r w:rsidR="004E2BDE" w:rsidRPr="00E34D68">
        <w:rPr>
          <w:color w:val="000000" w:themeColor="text1"/>
          <w:sz w:val="24"/>
          <w:szCs w:val="24"/>
        </w:rPr>
        <w:t xml:space="preserve">il </w:t>
      </w:r>
      <w:r w:rsidR="00A12F01" w:rsidRPr="00E34D68">
        <w:rPr>
          <w:color w:val="000000" w:themeColor="text1"/>
          <w:sz w:val="24"/>
          <w:szCs w:val="24"/>
        </w:rPr>
        <w:t>vento</w:t>
      </w:r>
      <w:r w:rsidR="004E2BDE" w:rsidRPr="00E34D68">
        <w:rPr>
          <w:color w:val="000000" w:themeColor="text1"/>
          <w:sz w:val="24"/>
          <w:szCs w:val="24"/>
        </w:rPr>
        <w:t xml:space="preserve"> anti</w:t>
      </w:r>
      <w:r w:rsidR="007174D0" w:rsidRPr="00E34D68">
        <w:rPr>
          <w:color w:val="000000" w:themeColor="text1"/>
          <w:sz w:val="24"/>
          <w:szCs w:val="24"/>
        </w:rPr>
        <w:t>europeista</w:t>
      </w:r>
      <w:r w:rsidR="00A12F01" w:rsidRPr="00E34D68">
        <w:rPr>
          <w:color w:val="000000" w:themeColor="text1"/>
          <w:sz w:val="24"/>
          <w:szCs w:val="24"/>
        </w:rPr>
        <w:t xml:space="preserve"> che ha attraverso il vecchio</w:t>
      </w:r>
      <w:r w:rsidR="003164C5">
        <w:rPr>
          <w:color w:val="000000" w:themeColor="text1"/>
          <w:sz w:val="24"/>
          <w:szCs w:val="24"/>
        </w:rPr>
        <w:t xml:space="preserve"> </w:t>
      </w:r>
      <w:r w:rsidR="00A12F01" w:rsidRPr="00E34D68">
        <w:rPr>
          <w:color w:val="000000" w:themeColor="text1"/>
          <w:sz w:val="24"/>
          <w:szCs w:val="24"/>
        </w:rPr>
        <w:t>continente</w:t>
      </w:r>
      <w:r w:rsidR="007174D0" w:rsidRPr="00E34D68">
        <w:rPr>
          <w:color w:val="000000" w:themeColor="text1"/>
          <w:sz w:val="24"/>
          <w:szCs w:val="24"/>
        </w:rPr>
        <w:t xml:space="preserve">. </w:t>
      </w:r>
    </w:p>
    <w:p w14:paraId="15E80B0C" w14:textId="23BA2A70" w:rsidR="007174D0" w:rsidRPr="00E34D68" w:rsidRDefault="00A12F01" w:rsidP="005B240A">
      <w:pPr>
        <w:spacing w:after="0" w:line="240" w:lineRule="auto"/>
        <w:ind w:firstLine="454"/>
        <w:jc w:val="both"/>
        <w:rPr>
          <w:color w:val="000000" w:themeColor="text1"/>
          <w:sz w:val="24"/>
          <w:szCs w:val="24"/>
        </w:rPr>
      </w:pPr>
      <w:r w:rsidRPr="00E34D68">
        <w:rPr>
          <w:color w:val="000000" w:themeColor="text1"/>
          <w:sz w:val="24"/>
          <w:szCs w:val="24"/>
        </w:rPr>
        <w:t>Qualcosa ora</w:t>
      </w:r>
      <w:r w:rsidR="00E34D68" w:rsidRPr="00E34D68">
        <w:rPr>
          <w:color w:val="000000" w:themeColor="text1"/>
          <w:sz w:val="24"/>
          <w:szCs w:val="24"/>
        </w:rPr>
        <w:t>, però,</w:t>
      </w:r>
      <w:r w:rsidRPr="00E34D68">
        <w:rPr>
          <w:color w:val="000000" w:themeColor="text1"/>
          <w:sz w:val="24"/>
          <w:szCs w:val="24"/>
        </w:rPr>
        <w:t xml:space="preserve"> è cambiato. L</w:t>
      </w:r>
      <w:r w:rsidR="004E2BDE" w:rsidRPr="00E34D68">
        <w:rPr>
          <w:color w:val="000000" w:themeColor="text1"/>
          <w:sz w:val="24"/>
          <w:szCs w:val="24"/>
        </w:rPr>
        <w:t xml:space="preserve">e </w:t>
      </w:r>
      <w:r w:rsidR="00E34D68" w:rsidRPr="00E34D68">
        <w:rPr>
          <w:color w:val="000000" w:themeColor="text1"/>
          <w:sz w:val="24"/>
          <w:szCs w:val="24"/>
        </w:rPr>
        <w:t>tragiche</w:t>
      </w:r>
      <w:r w:rsidR="004E2BDE" w:rsidRPr="00E34D68">
        <w:rPr>
          <w:color w:val="000000" w:themeColor="text1"/>
          <w:sz w:val="24"/>
          <w:szCs w:val="24"/>
        </w:rPr>
        <w:t xml:space="preserve"> vicende degli ultimi anni</w:t>
      </w:r>
      <w:r w:rsidR="007174D0" w:rsidRPr="00E34D68">
        <w:rPr>
          <w:color w:val="000000" w:themeColor="text1"/>
          <w:sz w:val="24"/>
          <w:szCs w:val="24"/>
        </w:rPr>
        <w:t xml:space="preserve"> </w:t>
      </w:r>
      <w:r w:rsidR="002228B5" w:rsidRPr="00E34D68">
        <w:rPr>
          <w:color w:val="000000" w:themeColor="text1"/>
          <w:sz w:val="24"/>
          <w:szCs w:val="24"/>
        </w:rPr>
        <w:t>(</w:t>
      </w:r>
      <w:r w:rsidR="004E2BDE" w:rsidRPr="00E34D68">
        <w:rPr>
          <w:color w:val="000000" w:themeColor="text1"/>
          <w:sz w:val="24"/>
          <w:szCs w:val="24"/>
        </w:rPr>
        <w:t>prima la pandemia e poi oggi purtroppo il conflitto bellico</w:t>
      </w:r>
      <w:r w:rsidR="002228B5" w:rsidRPr="00E34D68">
        <w:rPr>
          <w:color w:val="000000" w:themeColor="text1"/>
          <w:sz w:val="24"/>
          <w:szCs w:val="24"/>
        </w:rPr>
        <w:t>)</w:t>
      </w:r>
      <w:r w:rsidR="007174D0" w:rsidRPr="00E34D68">
        <w:rPr>
          <w:color w:val="000000" w:themeColor="text1"/>
          <w:sz w:val="24"/>
          <w:szCs w:val="24"/>
        </w:rPr>
        <w:t xml:space="preserve"> h</w:t>
      </w:r>
      <w:r w:rsidR="004E2BDE" w:rsidRPr="00E34D68">
        <w:rPr>
          <w:color w:val="000000" w:themeColor="text1"/>
          <w:sz w:val="24"/>
          <w:szCs w:val="24"/>
        </w:rPr>
        <w:t>anno cambiato</w:t>
      </w:r>
      <w:r w:rsidR="00B54561" w:rsidRPr="00E34D68">
        <w:rPr>
          <w:color w:val="000000" w:themeColor="text1"/>
          <w:sz w:val="24"/>
          <w:szCs w:val="24"/>
        </w:rPr>
        <w:t>,</w:t>
      </w:r>
      <w:r w:rsidRPr="00E34D68">
        <w:rPr>
          <w:color w:val="000000" w:themeColor="text1"/>
          <w:sz w:val="24"/>
          <w:szCs w:val="24"/>
        </w:rPr>
        <w:t xml:space="preserve"> in primo luogo</w:t>
      </w:r>
      <w:r w:rsidR="00B54561" w:rsidRPr="00E34D68">
        <w:rPr>
          <w:color w:val="000000" w:themeColor="text1"/>
          <w:sz w:val="24"/>
          <w:szCs w:val="24"/>
        </w:rPr>
        <w:t>,</w:t>
      </w:r>
      <w:r w:rsidR="004E2BDE" w:rsidRPr="00E34D68">
        <w:rPr>
          <w:color w:val="000000" w:themeColor="text1"/>
          <w:sz w:val="24"/>
          <w:szCs w:val="24"/>
        </w:rPr>
        <w:t xml:space="preserve"> </w:t>
      </w:r>
      <w:r w:rsidR="007174D0" w:rsidRPr="00E34D68">
        <w:rPr>
          <w:color w:val="000000" w:themeColor="text1"/>
          <w:sz w:val="24"/>
          <w:szCs w:val="24"/>
        </w:rPr>
        <w:t>l</w:t>
      </w:r>
      <w:r w:rsidR="00144DEC">
        <w:rPr>
          <w:color w:val="000000" w:themeColor="text1"/>
          <w:sz w:val="24"/>
          <w:szCs w:val="24"/>
        </w:rPr>
        <w:t>’</w:t>
      </w:r>
      <w:r w:rsidR="007174D0" w:rsidRPr="00E34D68">
        <w:rPr>
          <w:color w:val="000000" w:themeColor="text1"/>
          <w:sz w:val="24"/>
          <w:szCs w:val="24"/>
        </w:rPr>
        <w:t>U</w:t>
      </w:r>
      <w:r w:rsidR="00B54561" w:rsidRPr="00E34D68">
        <w:rPr>
          <w:color w:val="000000" w:themeColor="text1"/>
          <w:sz w:val="24"/>
          <w:szCs w:val="24"/>
        </w:rPr>
        <w:t>nione europea, facendo emergere in senso ad esso un</w:t>
      </w:r>
      <w:r w:rsidR="00144DEC">
        <w:rPr>
          <w:color w:val="000000" w:themeColor="text1"/>
          <w:sz w:val="24"/>
          <w:szCs w:val="24"/>
        </w:rPr>
        <w:t>’</w:t>
      </w:r>
      <w:r w:rsidR="00B54561" w:rsidRPr="00E34D68">
        <w:rPr>
          <w:color w:val="000000" w:themeColor="text1"/>
          <w:sz w:val="24"/>
          <w:szCs w:val="24"/>
        </w:rPr>
        <w:t>anima sociale e solidaristica, prima offuscata dalla originaria e tradizionale vocazione economicistica. È cambiata,</w:t>
      </w:r>
      <w:r w:rsidRPr="00E34D68">
        <w:rPr>
          <w:color w:val="000000" w:themeColor="text1"/>
          <w:sz w:val="24"/>
          <w:szCs w:val="24"/>
        </w:rPr>
        <w:t xml:space="preserve"> di conseguenza,</w:t>
      </w:r>
      <w:r w:rsidR="004E2BDE" w:rsidRPr="00E34D68">
        <w:rPr>
          <w:color w:val="000000" w:themeColor="text1"/>
          <w:sz w:val="24"/>
          <w:szCs w:val="24"/>
        </w:rPr>
        <w:t xml:space="preserve"> anche</w:t>
      </w:r>
      <w:r w:rsidR="003164C5">
        <w:rPr>
          <w:color w:val="000000" w:themeColor="text1"/>
          <w:sz w:val="24"/>
          <w:szCs w:val="24"/>
        </w:rPr>
        <w:t xml:space="preserve"> </w:t>
      </w:r>
      <w:r w:rsidR="004E2BDE" w:rsidRPr="00E34D68">
        <w:rPr>
          <w:color w:val="000000" w:themeColor="text1"/>
          <w:sz w:val="24"/>
          <w:szCs w:val="24"/>
        </w:rPr>
        <w:t>la sensibilità della società civile rispetto all</w:t>
      </w:r>
      <w:r w:rsidR="00144DEC">
        <w:rPr>
          <w:color w:val="000000" w:themeColor="text1"/>
          <w:sz w:val="24"/>
          <w:szCs w:val="24"/>
        </w:rPr>
        <w:t>’</w:t>
      </w:r>
      <w:r w:rsidR="00B54561" w:rsidRPr="00E34D68">
        <w:rPr>
          <w:color w:val="000000" w:themeColor="text1"/>
          <w:sz w:val="24"/>
          <w:szCs w:val="24"/>
        </w:rPr>
        <w:t>U</w:t>
      </w:r>
      <w:r w:rsidR="004E2BDE" w:rsidRPr="00E34D68">
        <w:rPr>
          <w:color w:val="000000" w:themeColor="text1"/>
          <w:sz w:val="24"/>
          <w:szCs w:val="24"/>
        </w:rPr>
        <w:t>nione europea e</w:t>
      </w:r>
      <w:r w:rsidR="002228B5" w:rsidRPr="00E34D68">
        <w:rPr>
          <w:color w:val="000000" w:themeColor="text1"/>
          <w:sz w:val="24"/>
          <w:szCs w:val="24"/>
        </w:rPr>
        <w:t>,</w:t>
      </w:r>
      <w:r w:rsidR="004E2BDE" w:rsidRPr="00E34D68">
        <w:rPr>
          <w:color w:val="000000" w:themeColor="text1"/>
          <w:sz w:val="24"/>
          <w:szCs w:val="24"/>
        </w:rPr>
        <w:t xml:space="preserve"> quindi</w:t>
      </w:r>
      <w:r w:rsidR="002228B5" w:rsidRPr="00E34D68">
        <w:rPr>
          <w:color w:val="000000" w:themeColor="text1"/>
          <w:sz w:val="24"/>
          <w:szCs w:val="24"/>
        </w:rPr>
        <w:t>,</w:t>
      </w:r>
      <w:r w:rsidR="004E2BDE" w:rsidRPr="00E34D68">
        <w:rPr>
          <w:color w:val="000000" w:themeColor="text1"/>
          <w:sz w:val="24"/>
          <w:szCs w:val="24"/>
        </w:rPr>
        <w:t xml:space="preserve"> di riflesso</w:t>
      </w:r>
      <w:r w:rsidR="002228B5" w:rsidRPr="00E34D68">
        <w:rPr>
          <w:color w:val="000000" w:themeColor="text1"/>
          <w:sz w:val="24"/>
          <w:szCs w:val="24"/>
        </w:rPr>
        <w:t>,</w:t>
      </w:r>
      <w:r w:rsidR="004E2BDE" w:rsidRPr="00E34D68">
        <w:rPr>
          <w:color w:val="000000" w:themeColor="text1"/>
          <w:sz w:val="24"/>
          <w:szCs w:val="24"/>
        </w:rPr>
        <w:t xml:space="preserve"> anche la sensibilità delle </w:t>
      </w:r>
      <w:r w:rsidR="002228B5" w:rsidRPr="00E34D68">
        <w:rPr>
          <w:color w:val="000000" w:themeColor="text1"/>
          <w:sz w:val="24"/>
          <w:szCs w:val="24"/>
        </w:rPr>
        <w:t>I</w:t>
      </w:r>
      <w:r w:rsidR="004E2BDE" w:rsidRPr="00E34D68">
        <w:rPr>
          <w:color w:val="000000" w:themeColor="text1"/>
          <w:sz w:val="24"/>
          <w:szCs w:val="24"/>
        </w:rPr>
        <w:t>stituzioni nazionali</w:t>
      </w:r>
      <w:r w:rsidR="002228B5" w:rsidRPr="00E34D68">
        <w:rPr>
          <w:color w:val="000000" w:themeColor="text1"/>
          <w:sz w:val="24"/>
          <w:szCs w:val="24"/>
        </w:rPr>
        <w:t>,</w:t>
      </w:r>
      <w:r w:rsidR="004E2BDE" w:rsidRPr="00E34D68">
        <w:rPr>
          <w:color w:val="000000" w:themeColor="text1"/>
          <w:sz w:val="24"/>
          <w:szCs w:val="24"/>
        </w:rPr>
        <w:t xml:space="preserve"> anche </w:t>
      </w:r>
      <w:r w:rsidR="004E0D10" w:rsidRPr="00E34D68">
        <w:rPr>
          <w:color w:val="000000" w:themeColor="text1"/>
          <w:sz w:val="24"/>
          <w:szCs w:val="24"/>
        </w:rPr>
        <w:t>nei</w:t>
      </w:r>
      <w:r w:rsidR="004E2BDE" w:rsidRPr="00E34D68">
        <w:rPr>
          <w:color w:val="000000" w:themeColor="text1"/>
          <w:sz w:val="24"/>
          <w:szCs w:val="24"/>
        </w:rPr>
        <w:t xml:space="preserve"> </w:t>
      </w:r>
      <w:r w:rsidRPr="00E34D68">
        <w:rPr>
          <w:color w:val="000000" w:themeColor="text1"/>
          <w:sz w:val="24"/>
          <w:szCs w:val="24"/>
        </w:rPr>
        <w:t>P</w:t>
      </w:r>
      <w:r w:rsidR="004E2BDE" w:rsidRPr="00E34D68">
        <w:rPr>
          <w:color w:val="000000" w:themeColor="text1"/>
          <w:sz w:val="24"/>
          <w:szCs w:val="24"/>
        </w:rPr>
        <w:t>aesi</w:t>
      </w:r>
      <w:r w:rsidR="004E0D10" w:rsidRPr="00E34D68">
        <w:rPr>
          <w:color w:val="000000" w:themeColor="text1"/>
          <w:sz w:val="24"/>
          <w:szCs w:val="24"/>
        </w:rPr>
        <w:t xml:space="preserve"> con più forte tradizione sovranista. </w:t>
      </w:r>
    </w:p>
    <w:p w14:paraId="14ECC7F3" w14:textId="02751F1D" w:rsidR="008B62C8" w:rsidRPr="00E34D68" w:rsidRDefault="00A12F01" w:rsidP="00C6385D">
      <w:pPr>
        <w:spacing w:after="0" w:line="240" w:lineRule="auto"/>
        <w:ind w:firstLine="454"/>
        <w:jc w:val="both"/>
        <w:rPr>
          <w:rFonts w:eastAsia="Times New Roman"/>
          <w:color w:val="000000" w:themeColor="text1"/>
          <w:sz w:val="24"/>
          <w:szCs w:val="24"/>
          <w:lang w:eastAsia="it-IT"/>
        </w:rPr>
      </w:pPr>
      <w:r w:rsidRPr="00E34D68">
        <w:rPr>
          <w:color w:val="000000" w:themeColor="text1"/>
          <w:sz w:val="24"/>
          <w:szCs w:val="24"/>
        </w:rPr>
        <w:t>Q</w:t>
      </w:r>
      <w:r w:rsidR="004E2BDE" w:rsidRPr="00E34D68">
        <w:rPr>
          <w:color w:val="000000" w:themeColor="text1"/>
          <w:sz w:val="24"/>
          <w:szCs w:val="24"/>
        </w:rPr>
        <w:t>ue</w:t>
      </w:r>
      <w:r w:rsidR="007174D0" w:rsidRPr="00E34D68">
        <w:rPr>
          <w:color w:val="000000" w:themeColor="text1"/>
          <w:sz w:val="24"/>
          <w:szCs w:val="24"/>
        </w:rPr>
        <w:t xml:space="preserve">sto può essere forse </w:t>
      </w:r>
      <w:r w:rsidR="005D2801" w:rsidRPr="00E34D68">
        <w:rPr>
          <w:color w:val="000000" w:themeColor="text1"/>
          <w:sz w:val="24"/>
          <w:szCs w:val="24"/>
        </w:rPr>
        <w:t>l</w:t>
      </w:r>
      <w:r w:rsidR="00144DEC">
        <w:rPr>
          <w:color w:val="000000" w:themeColor="text1"/>
          <w:sz w:val="24"/>
          <w:szCs w:val="24"/>
        </w:rPr>
        <w:t>’</w:t>
      </w:r>
      <w:r w:rsidR="005D2801" w:rsidRPr="00E34D68">
        <w:rPr>
          <w:color w:val="000000" w:themeColor="text1"/>
          <w:sz w:val="24"/>
          <w:szCs w:val="24"/>
        </w:rPr>
        <w:t xml:space="preserve">unico </w:t>
      </w:r>
      <w:r w:rsidRPr="00E34D68">
        <w:rPr>
          <w:color w:val="000000" w:themeColor="text1"/>
          <w:sz w:val="24"/>
          <w:szCs w:val="24"/>
        </w:rPr>
        <w:t xml:space="preserve">“messaggio di speranza” negli </w:t>
      </w:r>
      <w:r w:rsidR="004E2BDE" w:rsidRPr="00E34D68">
        <w:rPr>
          <w:color w:val="000000" w:themeColor="text1"/>
          <w:sz w:val="24"/>
          <w:szCs w:val="24"/>
        </w:rPr>
        <w:t>anni drammatici che stiamo attraversando</w:t>
      </w:r>
      <w:r w:rsidRPr="00E34D68">
        <w:rPr>
          <w:color w:val="000000" w:themeColor="text1"/>
          <w:sz w:val="24"/>
          <w:szCs w:val="24"/>
        </w:rPr>
        <w:t>: l</w:t>
      </w:r>
      <w:r w:rsidR="00144DEC">
        <w:rPr>
          <w:color w:val="000000" w:themeColor="text1"/>
          <w:sz w:val="24"/>
          <w:szCs w:val="24"/>
        </w:rPr>
        <w:t>’</w:t>
      </w:r>
      <w:r w:rsidRPr="00E34D68">
        <w:rPr>
          <w:color w:val="000000" w:themeColor="text1"/>
          <w:sz w:val="24"/>
          <w:szCs w:val="24"/>
        </w:rPr>
        <w:t xml:space="preserve">auspicio che la nuova Europa </w:t>
      </w:r>
      <w:r w:rsidR="004E2BDE" w:rsidRPr="00E34D68">
        <w:rPr>
          <w:color w:val="000000" w:themeColor="text1"/>
          <w:sz w:val="24"/>
          <w:szCs w:val="24"/>
        </w:rPr>
        <w:t xml:space="preserve">possa alimentare la consapevolezza </w:t>
      </w:r>
      <w:r w:rsidR="007174D0" w:rsidRPr="00E34D68">
        <w:rPr>
          <w:color w:val="000000" w:themeColor="text1"/>
          <w:sz w:val="24"/>
          <w:szCs w:val="24"/>
        </w:rPr>
        <w:t>ch</w:t>
      </w:r>
      <w:r w:rsidR="004E2BDE" w:rsidRPr="00E34D68">
        <w:rPr>
          <w:color w:val="000000" w:themeColor="text1"/>
          <w:sz w:val="24"/>
          <w:szCs w:val="24"/>
        </w:rPr>
        <w:t xml:space="preserve">e </w:t>
      </w:r>
      <w:r w:rsidR="004E0D10" w:rsidRPr="00E34D68">
        <w:rPr>
          <w:color w:val="000000" w:themeColor="text1"/>
          <w:sz w:val="24"/>
          <w:szCs w:val="24"/>
        </w:rPr>
        <w:t>il solo</w:t>
      </w:r>
      <w:r w:rsidR="004E2BDE" w:rsidRPr="00E34D68">
        <w:rPr>
          <w:color w:val="000000" w:themeColor="text1"/>
          <w:sz w:val="24"/>
          <w:szCs w:val="24"/>
        </w:rPr>
        <w:t xml:space="preserve"> modo per risolvere quello che altrimenti è un dissidio incolmabile </w:t>
      </w:r>
      <w:r w:rsidR="007174D0" w:rsidRPr="00E34D68">
        <w:rPr>
          <w:color w:val="000000" w:themeColor="text1"/>
          <w:sz w:val="24"/>
          <w:szCs w:val="24"/>
        </w:rPr>
        <w:t xml:space="preserve">è </w:t>
      </w:r>
      <w:r w:rsidR="00B54561" w:rsidRPr="00E34D68">
        <w:rPr>
          <w:color w:val="000000" w:themeColor="text1"/>
          <w:sz w:val="24"/>
          <w:szCs w:val="24"/>
        </w:rPr>
        <w:t>l</w:t>
      </w:r>
      <w:r w:rsidR="00144DEC">
        <w:rPr>
          <w:color w:val="000000" w:themeColor="text1"/>
          <w:sz w:val="24"/>
          <w:szCs w:val="24"/>
        </w:rPr>
        <w:t>’</w:t>
      </w:r>
      <w:r w:rsidR="004E2BDE" w:rsidRPr="00E34D68">
        <w:rPr>
          <w:color w:val="000000" w:themeColor="text1"/>
          <w:sz w:val="24"/>
          <w:szCs w:val="24"/>
        </w:rPr>
        <w:t xml:space="preserve">uso dialogico </w:t>
      </w:r>
      <w:r w:rsidR="007174D0" w:rsidRPr="00E34D68">
        <w:rPr>
          <w:color w:val="000000" w:themeColor="text1"/>
          <w:sz w:val="24"/>
          <w:szCs w:val="24"/>
        </w:rPr>
        <w:t xml:space="preserve">e </w:t>
      </w:r>
      <w:r w:rsidR="004E2BDE" w:rsidRPr="00E34D68">
        <w:rPr>
          <w:color w:val="000000" w:themeColor="text1"/>
          <w:sz w:val="24"/>
          <w:szCs w:val="24"/>
        </w:rPr>
        <w:t>collaborativo</w:t>
      </w:r>
      <w:r w:rsidRPr="00E34D68">
        <w:rPr>
          <w:color w:val="000000" w:themeColor="text1"/>
          <w:sz w:val="24"/>
          <w:szCs w:val="24"/>
        </w:rPr>
        <w:t xml:space="preserve"> delle diverse identità costituzionali nazionali</w:t>
      </w:r>
      <w:r w:rsidR="008B62C8" w:rsidRPr="00E34D68">
        <w:rPr>
          <w:color w:val="000000" w:themeColor="text1"/>
          <w:sz w:val="24"/>
          <w:szCs w:val="24"/>
        </w:rPr>
        <w:t xml:space="preserve">, per costruire quel futuro di pace </w:t>
      </w:r>
      <w:r w:rsidRPr="00A12F01">
        <w:rPr>
          <w:rFonts w:eastAsia="Times New Roman"/>
          <w:color w:val="000000" w:themeColor="text1"/>
          <w:sz w:val="24"/>
          <w:szCs w:val="24"/>
          <w:lang w:eastAsia="it-IT"/>
        </w:rPr>
        <w:t xml:space="preserve">fondato su valori comuni, di </w:t>
      </w:r>
      <w:r w:rsidR="008B62C8" w:rsidRPr="00E34D68">
        <w:rPr>
          <w:rFonts w:eastAsia="Times New Roman"/>
          <w:color w:val="000000" w:themeColor="text1"/>
          <w:sz w:val="24"/>
          <w:szCs w:val="24"/>
          <w:lang w:eastAsia="it-IT"/>
        </w:rPr>
        <w:t>cui parla il preambolo della Carta di Nizza. L</w:t>
      </w:r>
      <w:r w:rsidR="00144DEC">
        <w:rPr>
          <w:rFonts w:eastAsia="Times New Roman"/>
          <w:color w:val="000000" w:themeColor="text1"/>
          <w:sz w:val="24"/>
          <w:szCs w:val="24"/>
          <w:lang w:eastAsia="it-IT"/>
        </w:rPr>
        <w:t>’</w:t>
      </w:r>
      <w:r w:rsidR="008B62C8" w:rsidRPr="00E34D68">
        <w:rPr>
          <w:rFonts w:eastAsia="Times New Roman"/>
          <w:color w:val="000000" w:themeColor="text1"/>
          <w:sz w:val="24"/>
          <w:szCs w:val="24"/>
          <w:lang w:eastAsia="it-IT"/>
        </w:rPr>
        <w:t>equilibrio tra unità e diversità è spesso complesso, ma va trovato: perché, per usare le parole della Corte costituzionale</w:t>
      </w:r>
      <w:r w:rsidR="00B54561" w:rsidRPr="00E34D68">
        <w:rPr>
          <w:rFonts w:eastAsia="Times New Roman"/>
          <w:color w:val="000000" w:themeColor="text1"/>
          <w:sz w:val="24"/>
          <w:szCs w:val="24"/>
          <w:lang w:eastAsia="it-IT"/>
        </w:rPr>
        <w:t xml:space="preserve"> nel caso </w:t>
      </w:r>
      <w:r w:rsidR="00B54561" w:rsidRPr="00E34D68">
        <w:rPr>
          <w:rFonts w:eastAsia="Times New Roman"/>
          <w:i/>
          <w:iCs/>
          <w:color w:val="000000" w:themeColor="text1"/>
          <w:sz w:val="24"/>
          <w:szCs w:val="24"/>
          <w:lang w:eastAsia="it-IT"/>
        </w:rPr>
        <w:t>Taricco</w:t>
      </w:r>
      <w:r w:rsidR="00B54561" w:rsidRPr="00E34D68">
        <w:rPr>
          <w:rFonts w:eastAsia="Times New Roman"/>
          <w:color w:val="000000" w:themeColor="text1"/>
          <w:sz w:val="24"/>
          <w:szCs w:val="24"/>
          <w:lang w:eastAsia="it-IT"/>
        </w:rPr>
        <w:t>,</w:t>
      </w:r>
      <w:r w:rsidR="008B62C8" w:rsidRPr="00E34D68">
        <w:rPr>
          <w:rFonts w:eastAsia="Times New Roman"/>
          <w:color w:val="000000" w:themeColor="text1"/>
          <w:sz w:val="24"/>
          <w:szCs w:val="24"/>
          <w:lang w:eastAsia="it-IT"/>
        </w:rPr>
        <w:t xml:space="preserve"> “</w:t>
      </w:r>
      <w:r w:rsidR="008B62C8" w:rsidRPr="00C6385D">
        <w:rPr>
          <w:rFonts w:eastAsia="Times New Roman"/>
          <w:i/>
          <w:iCs/>
          <w:color w:val="000000" w:themeColor="text1"/>
          <w:sz w:val="24"/>
          <w:szCs w:val="24"/>
          <w:lang w:eastAsia="it-IT"/>
        </w:rPr>
        <w:t>la legittimazione e la forza stessa dell</w:t>
      </w:r>
      <w:r w:rsidR="00144DEC" w:rsidRPr="00C6385D">
        <w:rPr>
          <w:rFonts w:eastAsia="Times New Roman"/>
          <w:i/>
          <w:iCs/>
          <w:color w:val="000000" w:themeColor="text1"/>
          <w:sz w:val="24"/>
          <w:szCs w:val="24"/>
          <w:lang w:eastAsia="it-IT"/>
        </w:rPr>
        <w:t>’</w:t>
      </w:r>
      <w:r w:rsidR="008B62C8" w:rsidRPr="00C6385D">
        <w:rPr>
          <w:rFonts w:eastAsia="Times New Roman"/>
          <w:i/>
          <w:iCs/>
          <w:color w:val="000000" w:themeColor="text1"/>
          <w:sz w:val="24"/>
          <w:szCs w:val="24"/>
          <w:lang w:eastAsia="it-IT"/>
        </w:rPr>
        <w:t>unità in seno ad un ordinamento caratterizzato dal pluralismo (art. 2 TUE) nascono dalla sua capacità di includere il tasso di diversit</w:t>
      </w:r>
      <w:r w:rsidR="00E34D68" w:rsidRPr="00C6385D">
        <w:rPr>
          <w:rFonts w:eastAsia="Times New Roman"/>
          <w:i/>
          <w:iCs/>
          <w:color w:val="000000" w:themeColor="text1"/>
          <w:sz w:val="24"/>
          <w:szCs w:val="24"/>
          <w:lang w:eastAsia="it-IT"/>
        </w:rPr>
        <w:t>à</w:t>
      </w:r>
      <w:r w:rsidR="008B62C8" w:rsidRPr="00C6385D">
        <w:rPr>
          <w:rFonts w:eastAsia="Times New Roman"/>
          <w:i/>
          <w:iCs/>
          <w:color w:val="000000" w:themeColor="text1"/>
          <w:sz w:val="24"/>
          <w:szCs w:val="24"/>
          <w:lang w:eastAsia="it-IT"/>
        </w:rPr>
        <w:t xml:space="preserve"> minimo, ma necessario per preservare l</w:t>
      </w:r>
      <w:r w:rsidR="00144DEC" w:rsidRPr="00C6385D">
        <w:rPr>
          <w:rFonts w:eastAsia="Times New Roman"/>
          <w:i/>
          <w:iCs/>
          <w:color w:val="000000" w:themeColor="text1"/>
          <w:sz w:val="24"/>
          <w:szCs w:val="24"/>
          <w:lang w:eastAsia="it-IT"/>
        </w:rPr>
        <w:t>’</w:t>
      </w:r>
      <w:r w:rsidR="008B62C8" w:rsidRPr="00C6385D">
        <w:rPr>
          <w:rFonts w:eastAsia="Times New Roman"/>
          <w:i/>
          <w:iCs/>
          <w:color w:val="000000" w:themeColor="text1"/>
          <w:sz w:val="24"/>
          <w:szCs w:val="24"/>
          <w:lang w:eastAsia="it-IT"/>
        </w:rPr>
        <w:t>identit</w:t>
      </w:r>
      <w:r w:rsidR="00B54561" w:rsidRPr="00C6385D">
        <w:rPr>
          <w:rFonts w:eastAsia="Times New Roman"/>
          <w:i/>
          <w:iCs/>
          <w:color w:val="000000" w:themeColor="text1"/>
          <w:sz w:val="24"/>
          <w:szCs w:val="24"/>
          <w:lang w:eastAsia="it-IT"/>
        </w:rPr>
        <w:t>à</w:t>
      </w:r>
      <w:r w:rsidR="008B62C8" w:rsidRPr="00C6385D">
        <w:rPr>
          <w:rFonts w:eastAsia="Times New Roman"/>
          <w:i/>
          <w:iCs/>
          <w:color w:val="000000" w:themeColor="text1"/>
          <w:sz w:val="24"/>
          <w:szCs w:val="24"/>
          <w:lang w:eastAsia="it-IT"/>
        </w:rPr>
        <w:t xml:space="preserve"> nazionale insita nella struttura fondamentale dello Stato membro</w:t>
      </w:r>
      <w:r w:rsidR="008B62C8" w:rsidRPr="00E34D68">
        <w:rPr>
          <w:rFonts w:eastAsia="Times New Roman"/>
          <w:color w:val="000000" w:themeColor="text1"/>
          <w:sz w:val="24"/>
          <w:szCs w:val="24"/>
          <w:lang w:eastAsia="it-IT"/>
        </w:rPr>
        <w:t>”</w:t>
      </w:r>
      <w:r w:rsidR="00E34D68" w:rsidRPr="00E34D68">
        <w:rPr>
          <w:rStyle w:val="Rimandonotaapidipagina"/>
          <w:rFonts w:eastAsia="Times New Roman"/>
          <w:color w:val="000000" w:themeColor="text1"/>
          <w:sz w:val="24"/>
          <w:szCs w:val="24"/>
          <w:lang w:eastAsia="it-IT"/>
        </w:rPr>
        <w:footnoteReference w:id="30"/>
      </w:r>
      <w:r w:rsidR="008B62C8" w:rsidRPr="00E34D68">
        <w:rPr>
          <w:rFonts w:eastAsia="Times New Roman"/>
          <w:color w:val="000000" w:themeColor="text1"/>
          <w:sz w:val="24"/>
          <w:szCs w:val="24"/>
          <w:lang w:eastAsia="it-IT"/>
        </w:rPr>
        <w:t xml:space="preserve">. </w:t>
      </w:r>
    </w:p>
    <w:p w14:paraId="5D21A267" w14:textId="5ABF69A7" w:rsidR="00A12F01" w:rsidRPr="00A12F01" w:rsidRDefault="00A12F01" w:rsidP="00144DEC">
      <w:pPr>
        <w:spacing w:after="0" w:line="240" w:lineRule="auto"/>
        <w:ind w:firstLine="454"/>
        <w:jc w:val="both"/>
        <w:rPr>
          <w:rFonts w:eastAsia="Times New Roman"/>
          <w:color w:val="000000" w:themeColor="text1"/>
          <w:sz w:val="24"/>
          <w:szCs w:val="24"/>
          <w:lang w:eastAsia="it-IT"/>
        </w:rPr>
      </w:pPr>
    </w:p>
    <w:p w14:paraId="7D240C55" w14:textId="77777777" w:rsidR="00A12F01" w:rsidRPr="00E34D68" w:rsidRDefault="00A12F01" w:rsidP="00144DEC">
      <w:pPr>
        <w:spacing w:after="0" w:line="240" w:lineRule="auto"/>
        <w:ind w:firstLine="454"/>
        <w:jc w:val="both"/>
        <w:rPr>
          <w:color w:val="000000" w:themeColor="text1"/>
          <w:sz w:val="24"/>
          <w:szCs w:val="24"/>
        </w:rPr>
      </w:pPr>
    </w:p>
    <w:p w14:paraId="1A3A57AC" w14:textId="77777777" w:rsidR="00694CD5" w:rsidRPr="005B240A" w:rsidRDefault="00694CD5" w:rsidP="00694CD5">
      <w:pPr>
        <w:spacing w:after="0" w:line="240" w:lineRule="auto"/>
        <w:ind w:left="4248" w:firstLine="708"/>
        <w:jc w:val="right"/>
        <w:rPr>
          <w:b/>
          <w:bCs/>
          <w:color w:val="000000" w:themeColor="text1"/>
          <w:sz w:val="24"/>
          <w:szCs w:val="24"/>
        </w:rPr>
      </w:pPr>
      <w:r w:rsidRPr="005B240A">
        <w:rPr>
          <w:b/>
          <w:bCs/>
          <w:color w:val="000000" w:themeColor="text1"/>
          <w:sz w:val="24"/>
          <w:szCs w:val="24"/>
        </w:rPr>
        <w:t xml:space="preserve">Roberto </w:t>
      </w:r>
      <w:proofErr w:type="spellStart"/>
      <w:r w:rsidRPr="005B240A">
        <w:rPr>
          <w:b/>
          <w:bCs/>
          <w:color w:val="000000" w:themeColor="text1"/>
          <w:sz w:val="24"/>
          <w:szCs w:val="24"/>
        </w:rPr>
        <w:t>Giovagnoli</w:t>
      </w:r>
      <w:proofErr w:type="spellEnd"/>
      <w:r w:rsidRPr="005B240A">
        <w:rPr>
          <w:b/>
          <w:bCs/>
          <w:color w:val="000000" w:themeColor="text1"/>
          <w:sz w:val="24"/>
          <w:szCs w:val="24"/>
        </w:rPr>
        <w:t xml:space="preserve"> </w:t>
      </w:r>
    </w:p>
    <w:p w14:paraId="4B422F56" w14:textId="77777777" w:rsidR="00694CD5" w:rsidRDefault="00694CD5" w:rsidP="00694CD5">
      <w:pPr>
        <w:spacing w:after="0" w:line="240" w:lineRule="auto"/>
        <w:ind w:left="4248" w:firstLine="708"/>
        <w:jc w:val="right"/>
        <w:rPr>
          <w:color w:val="000000" w:themeColor="text1"/>
          <w:sz w:val="24"/>
          <w:szCs w:val="24"/>
        </w:rPr>
      </w:pPr>
      <w:r>
        <w:rPr>
          <w:color w:val="000000" w:themeColor="text1"/>
          <w:sz w:val="24"/>
          <w:szCs w:val="24"/>
        </w:rPr>
        <w:t xml:space="preserve">Presidente di Sezione del Consiglio di Stato </w:t>
      </w:r>
    </w:p>
    <w:p w14:paraId="451EC584" w14:textId="77777777" w:rsidR="00694CD5" w:rsidRDefault="00694CD5" w:rsidP="00694CD5">
      <w:pPr>
        <w:spacing w:after="0" w:line="240" w:lineRule="auto"/>
        <w:ind w:left="4248" w:firstLine="708"/>
        <w:jc w:val="right"/>
        <w:rPr>
          <w:color w:val="000000" w:themeColor="text1"/>
          <w:sz w:val="24"/>
          <w:szCs w:val="24"/>
        </w:rPr>
      </w:pPr>
    </w:p>
    <w:p w14:paraId="488C3989" w14:textId="77777777" w:rsidR="00694CD5" w:rsidRPr="00E34D68" w:rsidRDefault="00694CD5" w:rsidP="00694CD5">
      <w:pPr>
        <w:spacing w:after="0" w:line="240" w:lineRule="auto"/>
        <w:ind w:left="4248" w:firstLine="708"/>
        <w:jc w:val="right"/>
        <w:rPr>
          <w:color w:val="000000" w:themeColor="text1"/>
          <w:sz w:val="24"/>
          <w:szCs w:val="24"/>
        </w:rPr>
      </w:pPr>
      <w:r>
        <w:rPr>
          <w:color w:val="000000" w:themeColor="text1"/>
          <w:sz w:val="24"/>
          <w:szCs w:val="24"/>
        </w:rPr>
        <w:t>Pubblicato il 7 aprile 2022</w:t>
      </w:r>
    </w:p>
    <w:p w14:paraId="54767344" w14:textId="7EDA5D4D" w:rsidR="005B240A" w:rsidRPr="00E34D68" w:rsidRDefault="005B240A" w:rsidP="00694CD5">
      <w:pPr>
        <w:spacing w:after="0" w:line="240" w:lineRule="auto"/>
        <w:ind w:left="4248" w:firstLine="708"/>
        <w:jc w:val="both"/>
        <w:rPr>
          <w:color w:val="000000" w:themeColor="text1"/>
          <w:sz w:val="24"/>
          <w:szCs w:val="24"/>
        </w:rPr>
      </w:pPr>
      <w:bookmarkStart w:id="0" w:name="_GoBack"/>
      <w:bookmarkEnd w:id="0"/>
    </w:p>
    <w:sectPr w:rsidR="005B240A" w:rsidRPr="00E34D68" w:rsidSect="006F3343">
      <w:headerReference w:type="default" r:id="rId8"/>
      <w:footerReference w:type="even" r:id="rId9"/>
      <w:footerReference w:type="default" r:id="rId10"/>
      <w:footerReference w:type="first" r:id="rId11"/>
      <w:pgSz w:w="11906" w:h="16838"/>
      <w:pgMar w:top="1417" w:right="1134" w:bottom="1134" w:left="1134" w:header="62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241C6" w14:textId="77777777" w:rsidR="003E1CA8" w:rsidRDefault="003E1CA8" w:rsidP="004E2BDE">
      <w:pPr>
        <w:spacing w:after="0" w:line="240" w:lineRule="auto"/>
      </w:pPr>
      <w:r>
        <w:separator/>
      </w:r>
    </w:p>
  </w:endnote>
  <w:endnote w:type="continuationSeparator" w:id="0">
    <w:p w14:paraId="5BB00769" w14:textId="77777777" w:rsidR="003E1CA8" w:rsidRDefault="003E1CA8" w:rsidP="004E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860542014"/>
      <w:docPartObj>
        <w:docPartGallery w:val="Page Numbers (Bottom of Page)"/>
        <w:docPartUnique/>
      </w:docPartObj>
    </w:sdtPr>
    <w:sdtEndPr>
      <w:rPr>
        <w:rStyle w:val="Numeropagina"/>
      </w:rPr>
    </w:sdtEndPr>
    <w:sdtContent>
      <w:p w14:paraId="5B050137" w14:textId="7D90CF70" w:rsidR="00AF00DA" w:rsidRDefault="00AF00DA" w:rsidP="004700B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E375000" w14:textId="77777777" w:rsidR="00AF00DA" w:rsidRDefault="00AF00DA" w:rsidP="00AF00D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818874000"/>
      <w:docPartObj>
        <w:docPartGallery w:val="Page Numbers (Bottom of Page)"/>
        <w:docPartUnique/>
      </w:docPartObj>
    </w:sdtPr>
    <w:sdtEndPr>
      <w:rPr>
        <w:rStyle w:val="Numeropagina"/>
      </w:rPr>
    </w:sdtEndPr>
    <w:sdtContent>
      <w:p w14:paraId="297C8569" w14:textId="62199293" w:rsidR="00AF00DA" w:rsidRDefault="00AF00DA" w:rsidP="004700B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94CD5">
          <w:rPr>
            <w:rStyle w:val="Numeropagina"/>
            <w:noProof/>
          </w:rPr>
          <w:t>15</w:t>
        </w:r>
        <w:r>
          <w:rPr>
            <w:rStyle w:val="Numeropagina"/>
          </w:rPr>
          <w:fldChar w:fldCharType="end"/>
        </w:r>
      </w:p>
    </w:sdtContent>
  </w:sdt>
  <w:p w14:paraId="15F66B3B" w14:textId="77777777" w:rsidR="00AF00DA" w:rsidRDefault="00AF00DA" w:rsidP="00AF00DA">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8B59A" w14:textId="2899175A" w:rsidR="006F3343" w:rsidRDefault="006F3343" w:rsidP="006F3343">
    <w:pPr>
      <w:pStyle w:val="Pidipagina"/>
      <w:jc w:val="both"/>
    </w:pPr>
    <w:r>
      <w:t xml:space="preserve">* </w:t>
    </w:r>
    <w:r>
      <w:rPr>
        <w:color w:val="000000" w:themeColor="text1"/>
      </w:rPr>
      <w:t>Il presente scritto rappresenta la rielaborazione della relazione tenuta al Convegno “</w:t>
    </w:r>
    <w:r>
      <w:rPr>
        <w:i/>
        <w:iCs/>
        <w:color w:val="000000" w:themeColor="text1"/>
      </w:rPr>
      <w:t>Questioni controverse di diritto amministrativo. Un dialogo tra Accademia e Giurisprudenza</w:t>
    </w:r>
    <w:r>
      <w:rPr>
        <w:color w:val="000000" w:themeColor="text1"/>
      </w:rPr>
      <w:t>”, organizzato dall’Ufficio Studi, massimario e formazione della Giustizia amministrativa, svoltosi il 1° aprile 2022, presso l’Aula di Pompeo di Palazzo Spada.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84223" w14:textId="77777777" w:rsidR="003E1CA8" w:rsidRDefault="003E1CA8" w:rsidP="004E2BDE">
      <w:pPr>
        <w:spacing w:after="0" w:line="240" w:lineRule="auto"/>
      </w:pPr>
      <w:r>
        <w:separator/>
      </w:r>
    </w:p>
  </w:footnote>
  <w:footnote w:type="continuationSeparator" w:id="0">
    <w:p w14:paraId="568CAB7A" w14:textId="77777777" w:rsidR="003E1CA8" w:rsidRDefault="003E1CA8" w:rsidP="004E2BDE">
      <w:pPr>
        <w:spacing w:after="0" w:line="240" w:lineRule="auto"/>
      </w:pPr>
      <w:r>
        <w:continuationSeparator/>
      </w:r>
    </w:p>
  </w:footnote>
  <w:footnote w:id="1">
    <w:p w14:paraId="1FBA46FA" w14:textId="56022D44" w:rsidR="003164C5" w:rsidRPr="00153A99" w:rsidRDefault="003164C5" w:rsidP="00153A99">
      <w:pPr>
        <w:pStyle w:val="Testonotaapidipagina"/>
      </w:pPr>
      <w:r w:rsidRPr="00153A99">
        <w:rPr>
          <w:rStyle w:val="Rimandonotaapidipagina"/>
        </w:rPr>
        <w:footnoteRef/>
      </w:r>
      <w:r w:rsidRPr="00153A99">
        <w:t xml:space="preserve"> Corte </w:t>
      </w:r>
      <w:proofErr w:type="spellStart"/>
      <w:proofErr w:type="gramStart"/>
      <w:r w:rsidRPr="00153A99">
        <w:t>cost</w:t>
      </w:r>
      <w:proofErr w:type="spellEnd"/>
      <w:r w:rsidRPr="00153A99">
        <w:t>.,</w:t>
      </w:r>
      <w:proofErr w:type="gramEnd"/>
      <w:r w:rsidRPr="00153A99">
        <w:t xml:space="preserve"> 26 novembre 2009, n. 311, capo 6.</w:t>
      </w:r>
    </w:p>
  </w:footnote>
  <w:footnote w:id="2">
    <w:p w14:paraId="2ABCB548" w14:textId="23506FF0" w:rsidR="00666917" w:rsidRPr="00153A99" w:rsidRDefault="00666917"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w:t>
      </w:r>
      <w:r w:rsidRPr="00153A99">
        <w:rPr>
          <w:smallCaps/>
          <w:color w:val="000000" w:themeColor="text1"/>
        </w:rPr>
        <w:t>Luciani</w:t>
      </w:r>
      <w:r w:rsidRPr="00153A99">
        <w:rPr>
          <w:color w:val="000000" w:themeColor="text1"/>
        </w:rPr>
        <w:t xml:space="preserve">, </w:t>
      </w:r>
      <w:r w:rsidRPr="00153A99">
        <w:rPr>
          <w:i/>
          <w:iCs/>
          <w:color w:val="000000" w:themeColor="text1"/>
        </w:rPr>
        <w:t>I controlimiti e l</w:t>
      </w:r>
      <w:r w:rsidR="00144DEC" w:rsidRPr="00153A99">
        <w:rPr>
          <w:i/>
          <w:iCs/>
          <w:color w:val="000000" w:themeColor="text1"/>
        </w:rPr>
        <w:t>’</w:t>
      </w:r>
      <w:r w:rsidRPr="00153A99">
        <w:rPr>
          <w:i/>
          <w:iCs/>
          <w:color w:val="000000" w:themeColor="text1"/>
        </w:rPr>
        <w:t>eterogenesi dei fini</w:t>
      </w:r>
      <w:r w:rsidRPr="00153A99">
        <w:rPr>
          <w:color w:val="000000" w:themeColor="text1"/>
        </w:rPr>
        <w:t xml:space="preserve">, in </w:t>
      </w:r>
      <w:r w:rsidRPr="00153A99">
        <w:rPr>
          <w:i/>
          <w:color w:val="000000" w:themeColor="text1"/>
        </w:rPr>
        <w:t>Questione giustizia</w:t>
      </w:r>
      <w:r w:rsidRPr="00153A99">
        <w:rPr>
          <w:color w:val="000000" w:themeColor="text1"/>
        </w:rPr>
        <w:t>, 1/2015</w:t>
      </w:r>
      <w:r w:rsidR="006F3343">
        <w:rPr>
          <w:color w:val="000000" w:themeColor="text1"/>
        </w:rPr>
        <w:t>.</w:t>
      </w:r>
      <w:r w:rsidRPr="00153A99">
        <w:rPr>
          <w:color w:val="000000" w:themeColor="text1"/>
        </w:rPr>
        <w:t xml:space="preserve"> </w:t>
      </w:r>
    </w:p>
  </w:footnote>
  <w:footnote w:id="3">
    <w:p w14:paraId="2548699D" w14:textId="5FE31663" w:rsidR="00972A1A" w:rsidRPr="00153A99" w:rsidRDefault="00972A1A"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w:t>
      </w:r>
      <w:r w:rsidRPr="00153A99">
        <w:rPr>
          <w:rFonts w:eastAsia="Times New Roman"/>
          <w:smallCaps/>
          <w:color w:val="000000" w:themeColor="text1"/>
          <w:lang w:eastAsia="it-IT"/>
        </w:rPr>
        <w:t xml:space="preserve">Cannizzaro, </w:t>
      </w:r>
      <w:r w:rsidRPr="00153A99">
        <w:rPr>
          <w:rFonts w:eastAsia="Times New Roman"/>
          <w:i/>
          <w:iCs/>
          <w:color w:val="000000" w:themeColor="text1"/>
          <w:lang w:eastAsia="it-IT"/>
        </w:rPr>
        <w:t>Sistemi concorrenti di tutela dei diritti fondamentali e controlimiti costituzionali</w:t>
      </w:r>
      <w:r w:rsidRPr="00153A99">
        <w:rPr>
          <w:rFonts w:eastAsia="Times New Roman"/>
          <w:smallCaps/>
          <w:color w:val="000000" w:themeColor="text1"/>
          <w:lang w:eastAsia="it-IT"/>
        </w:rPr>
        <w:t xml:space="preserve">, </w:t>
      </w:r>
      <w:r w:rsidRPr="00153A99">
        <w:rPr>
          <w:rFonts w:eastAsia="Times New Roman"/>
          <w:color w:val="000000" w:themeColor="text1"/>
          <w:lang w:eastAsia="it-IT"/>
        </w:rPr>
        <w:t>in</w:t>
      </w:r>
      <w:r w:rsidRPr="00153A99">
        <w:rPr>
          <w:rFonts w:eastAsia="Times New Roman"/>
          <w:smallCaps/>
          <w:color w:val="000000" w:themeColor="text1"/>
          <w:lang w:eastAsia="it-IT"/>
        </w:rPr>
        <w:t xml:space="preserve"> </w:t>
      </w:r>
      <w:r w:rsidRPr="00153A99">
        <w:rPr>
          <w:rFonts w:eastAsia="Times New Roman"/>
          <w:color w:val="000000" w:themeColor="text1"/>
          <w:lang w:eastAsia="it-IT"/>
        </w:rPr>
        <w:t>Bernardi (a cura di)</w:t>
      </w:r>
      <w:r w:rsidR="00DF2CCA">
        <w:rPr>
          <w:rFonts w:eastAsia="Times New Roman"/>
          <w:color w:val="000000" w:themeColor="text1"/>
          <w:lang w:eastAsia="it-IT"/>
        </w:rPr>
        <w:t>,</w:t>
      </w:r>
      <w:r w:rsidRPr="00153A99">
        <w:rPr>
          <w:rFonts w:eastAsia="Times New Roman"/>
          <w:smallCaps/>
          <w:color w:val="000000" w:themeColor="text1"/>
          <w:lang w:eastAsia="it-IT"/>
        </w:rPr>
        <w:t xml:space="preserve"> </w:t>
      </w:r>
      <w:r w:rsidRPr="00153A99">
        <w:rPr>
          <w:rFonts w:eastAsia="Times New Roman"/>
          <w:i/>
          <w:iCs/>
          <w:smallCaps/>
          <w:color w:val="000000" w:themeColor="text1"/>
          <w:lang w:eastAsia="it-IT"/>
        </w:rPr>
        <w:t>I</w:t>
      </w:r>
      <w:r w:rsidRPr="00153A99">
        <w:rPr>
          <w:rFonts w:eastAsia="Times New Roman"/>
          <w:i/>
          <w:iCs/>
          <w:color w:val="000000" w:themeColor="text1"/>
          <w:lang w:eastAsia="it-IT"/>
        </w:rPr>
        <w:t xml:space="preserve"> controlimiti: primato delle norme europee e difesa dei principi costituzionali, </w:t>
      </w:r>
      <w:proofErr w:type="spellStart"/>
      <w:r w:rsidRPr="00153A99">
        <w:rPr>
          <w:rFonts w:eastAsia="Times New Roman"/>
          <w:color w:val="000000" w:themeColor="text1"/>
          <w:lang w:eastAsia="it-IT"/>
        </w:rPr>
        <w:t>Jovene</w:t>
      </w:r>
      <w:proofErr w:type="spellEnd"/>
      <w:r w:rsidRPr="00153A99">
        <w:rPr>
          <w:rFonts w:eastAsia="Times New Roman"/>
          <w:color w:val="000000" w:themeColor="text1"/>
          <w:lang w:eastAsia="it-IT"/>
        </w:rPr>
        <w:t>, 2017</w:t>
      </w:r>
      <w:r w:rsidR="006F3343">
        <w:rPr>
          <w:rFonts w:eastAsia="Times New Roman"/>
          <w:color w:val="000000" w:themeColor="text1"/>
          <w:lang w:eastAsia="it-IT"/>
        </w:rPr>
        <w:t>.</w:t>
      </w:r>
    </w:p>
  </w:footnote>
  <w:footnote w:id="4">
    <w:p w14:paraId="3B614145" w14:textId="26EEC897" w:rsidR="00D609BB" w:rsidRPr="00153A99" w:rsidRDefault="00D609BB" w:rsidP="00153A99">
      <w:pPr>
        <w:pStyle w:val="Testonotaapidipagina"/>
      </w:pPr>
      <w:r w:rsidRPr="00153A99">
        <w:rPr>
          <w:rStyle w:val="Rimandonotaapidipagina"/>
        </w:rPr>
        <w:footnoteRef/>
      </w:r>
      <w:r w:rsidRPr="00153A99">
        <w:t xml:space="preserve"> Corte cost., 26 marzo 2015, n. 49.</w:t>
      </w:r>
    </w:p>
  </w:footnote>
  <w:footnote w:id="5">
    <w:p w14:paraId="5B9C2B62" w14:textId="24C8DD63" w:rsidR="002E3B0F" w:rsidRPr="00153A99" w:rsidRDefault="002E3B0F" w:rsidP="00153A99">
      <w:pPr>
        <w:pStyle w:val="Testonotaapidipagina"/>
      </w:pPr>
      <w:r w:rsidRPr="00153A99">
        <w:rPr>
          <w:rStyle w:val="Rimandonotaapidipagina"/>
        </w:rPr>
        <w:footnoteRef/>
      </w:r>
      <w:r w:rsidRPr="00153A99">
        <w:t xml:space="preserve"> Corte </w:t>
      </w:r>
      <w:r w:rsidR="00BB0BDE" w:rsidRPr="00153A99">
        <w:t>c</w:t>
      </w:r>
      <w:r w:rsidRPr="00153A99">
        <w:t>ost., 24 ottobre 2007, n. 348, capo 4, punto 6.</w:t>
      </w:r>
    </w:p>
  </w:footnote>
  <w:footnote w:id="6">
    <w:p w14:paraId="3B358186" w14:textId="1F43D1D2" w:rsidR="002E3B0F" w:rsidRPr="00153A99" w:rsidRDefault="002E3B0F" w:rsidP="00153A99">
      <w:pPr>
        <w:pStyle w:val="Testonotaapidipagina"/>
      </w:pPr>
      <w:r w:rsidRPr="00153A99">
        <w:rPr>
          <w:rStyle w:val="Rimandonotaapidipagina"/>
        </w:rPr>
        <w:footnoteRef/>
      </w:r>
      <w:r w:rsidRPr="00153A99">
        <w:t xml:space="preserve"> Corte </w:t>
      </w:r>
      <w:r w:rsidR="00BB0BDE" w:rsidRPr="00153A99">
        <w:t>c</w:t>
      </w:r>
      <w:r w:rsidRPr="00153A99">
        <w:t>ost., 24 ottobre 2007, n. 349, capo 6, punto 2.</w:t>
      </w:r>
    </w:p>
  </w:footnote>
  <w:footnote w:id="7">
    <w:p w14:paraId="0A290AE7" w14:textId="313BA965" w:rsidR="002E3B0F" w:rsidRPr="00153A99" w:rsidRDefault="002E3B0F" w:rsidP="00153A99">
      <w:pPr>
        <w:pStyle w:val="Testonotaapidipagina"/>
      </w:pPr>
      <w:r w:rsidRPr="00153A99">
        <w:rPr>
          <w:rStyle w:val="Rimandonotaapidipagina"/>
        </w:rPr>
        <w:footnoteRef/>
      </w:r>
      <w:r w:rsidRPr="00153A99">
        <w:t xml:space="preserve"> Corte </w:t>
      </w:r>
      <w:r w:rsidR="00BB0BDE" w:rsidRPr="00153A99">
        <w:t>c</w:t>
      </w:r>
      <w:r w:rsidRPr="00153A99">
        <w:t>ost., 23 maggio 1964, n. 40, capo 4. Nello stesso senso, successivamente, anche Id., 6 dicembre 1976, n. 234.</w:t>
      </w:r>
    </w:p>
  </w:footnote>
  <w:footnote w:id="8">
    <w:p w14:paraId="5C1E0DC0" w14:textId="62204051" w:rsidR="002E3B0F" w:rsidRPr="00153A99" w:rsidRDefault="002E3B0F" w:rsidP="00153A99">
      <w:pPr>
        <w:pStyle w:val="Testonotaapidipagina"/>
      </w:pPr>
      <w:r w:rsidRPr="00153A99">
        <w:rPr>
          <w:rStyle w:val="Rimandonotaapidipagina"/>
        </w:rPr>
        <w:footnoteRef/>
      </w:r>
      <w:r w:rsidRPr="00153A99">
        <w:t xml:space="preserve"> Corte </w:t>
      </w:r>
      <w:r w:rsidR="00BB0BDE" w:rsidRPr="00153A99">
        <w:t>c</w:t>
      </w:r>
      <w:r w:rsidRPr="00153A99">
        <w:t>ost., 11 marzo 2011, n. 80, capo 2.</w:t>
      </w:r>
    </w:p>
  </w:footnote>
  <w:footnote w:id="9">
    <w:p w14:paraId="5C1476DF" w14:textId="33C5DA18" w:rsidR="00BB0BDE" w:rsidRPr="00153A99" w:rsidRDefault="00BB0BDE" w:rsidP="00153A99">
      <w:pPr>
        <w:pStyle w:val="Testonotaapidipagina"/>
      </w:pPr>
      <w:r w:rsidRPr="00153A99">
        <w:rPr>
          <w:rStyle w:val="Rimandonotaapidipagina"/>
        </w:rPr>
        <w:footnoteRef/>
      </w:r>
      <w:r w:rsidRPr="00153A99">
        <w:t xml:space="preserve"> In questo senso, ancora, Corte cost., 26 marzo 2015, n. 49.</w:t>
      </w:r>
    </w:p>
  </w:footnote>
  <w:footnote w:id="10">
    <w:p w14:paraId="41A4F6A8" w14:textId="74C7B405" w:rsidR="002B4370" w:rsidRPr="00153A99" w:rsidRDefault="002B4370"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Le</w:t>
      </w:r>
      <w:r w:rsidRPr="00153A99">
        <w:rPr>
          <w:rFonts w:eastAsia="Times New Roman"/>
          <w:color w:val="000000" w:themeColor="text1"/>
          <w:lang w:eastAsia="it-IT"/>
        </w:rPr>
        <w:t xml:space="preserve"> evidenzia con chiarezza </w:t>
      </w:r>
      <w:r w:rsidRPr="00153A99">
        <w:rPr>
          <w:rFonts w:eastAsia="Times New Roman"/>
          <w:smallCaps/>
          <w:color w:val="000000" w:themeColor="text1"/>
          <w:lang w:eastAsia="it-IT"/>
        </w:rPr>
        <w:t>Bignami</w:t>
      </w:r>
      <w:r w:rsidRPr="00153A99">
        <w:rPr>
          <w:rFonts w:eastAsia="Times New Roman"/>
          <w:color w:val="000000" w:themeColor="text1"/>
          <w:lang w:eastAsia="it-IT"/>
        </w:rPr>
        <w:t xml:space="preserve">, </w:t>
      </w:r>
      <w:r w:rsidRPr="00153A99">
        <w:rPr>
          <w:rFonts w:eastAsia="Times New Roman"/>
          <w:i/>
          <w:iCs/>
          <w:color w:val="000000" w:themeColor="text1"/>
          <w:lang w:eastAsia="it-IT"/>
        </w:rPr>
        <w:t>Le gemelle crescono in salute: la confisca urbanistica tra Costituzione, Cedu e diritto vivente</w:t>
      </w:r>
      <w:r w:rsidRPr="00153A99">
        <w:rPr>
          <w:rFonts w:eastAsia="Times New Roman"/>
          <w:color w:val="000000" w:themeColor="text1"/>
          <w:lang w:eastAsia="it-IT"/>
        </w:rPr>
        <w:t xml:space="preserve">, in </w:t>
      </w:r>
      <w:r w:rsidRPr="00153A99">
        <w:rPr>
          <w:rFonts w:eastAsia="Times New Roman"/>
          <w:i/>
          <w:iCs/>
          <w:color w:val="000000" w:themeColor="text1"/>
          <w:lang w:eastAsia="it-IT"/>
        </w:rPr>
        <w:t xml:space="preserve">Dir. Pen. </w:t>
      </w:r>
      <w:proofErr w:type="spellStart"/>
      <w:r w:rsidRPr="00153A99">
        <w:rPr>
          <w:rFonts w:eastAsia="Times New Roman"/>
          <w:i/>
          <w:iCs/>
          <w:color w:val="000000" w:themeColor="text1"/>
          <w:lang w:eastAsia="it-IT"/>
        </w:rPr>
        <w:t>Cont</w:t>
      </w:r>
      <w:proofErr w:type="spellEnd"/>
      <w:r w:rsidRPr="00153A99">
        <w:rPr>
          <w:rFonts w:eastAsia="Times New Roman"/>
          <w:i/>
          <w:iCs/>
          <w:color w:val="000000" w:themeColor="text1"/>
          <w:lang w:eastAsia="it-IT"/>
        </w:rPr>
        <w:t>.</w:t>
      </w:r>
      <w:r w:rsidR="00DF2CCA">
        <w:rPr>
          <w:rFonts w:eastAsia="Times New Roman"/>
          <w:color w:val="000000" w:themeColor="text1"/>
          <w:lang w:eastAsia="it-IT"/>
        </w:rPr>
        <w:t>,</w:t>
      </w:r>
      <w:r w:rsidRPr="00153A99">
        <w:rPr>
          <w:rFonts w:eastAsia="Times New Roman"/>
          <w:color w:val="000000" w:themeColor="text1"/>
          <w:lang w:eastAsia="it-IT"/>
        </w:rPr>
        <w:t xml:space="preserve"> 2/2015</w:t>
      </w:r>
      <w:r w:rsidR="00DF2CCA">
        <w:rPr>
          <w:rFonts w:eastAsia="Times New Roman"/>
          <w:color w:val="000000" w:themeColor="text1"/>
          <w:lang w:eastAsia="it-IT"/>
        </w:rPr>
        <w:t>.</w:t>
      </w:r>
    </w:p>
  </w:footnote>
  <w:footnote w:id="11">
    <w:p w14:paraId="2AC068CE" w14:textId="453E799E" w:rsidR="00F43C71" w:rsidRPr="00153A99" w:rsidRDefault="00F43C71" w:rsidP="00153A99">
      <w:pPr>
        <w:pStyle w:val="Testonotaapidipagina"/>
      </w:pPr>
      <w:r w:rsidRPr="00153A99">
        <w:rPr>
          <w:rStyle w:val="Rimandonotaapidipagina"/>
        </w:rPr>
        <w:footnoteRef/>
      </w:r>
      <w:r w:rsidRPr="00153A99">
        <w:t xml:space="preserve"> Corte cost., 28 novembre 2012, n. 264, capo 4, punto 2.</w:t>
      </w:r>
    </w:p>
  </w:footnote>
  <w:footnote w:id="12">
    <w:p w14:paraId="59344610" w14:textId="30E1F4E8" w:rsidR="00F43C71" w:rsidRPr="00153A99" w:rsidRDefault="00F43C71" w:rsidP="00153A99">
      <w:pPr>
        <w:pStyle w:val="Testonotaapidipagina"/>
      </w:pPr>
      <w:r w:rsidRPr="00153A99">
        <w:rPr>
          <w:rStyle w:val="Rimandonotaapidipagina"/>
        </w:rPr>
        <w:footnoteRef/>
      </w:r>
      <w:r w:rsidRPr="00153A99">
        <w:t xml:space="preserve"> Corte cost., 4 dicembre 2009, n. 317, capo 7. </w:t>
      </w:r>
    </w:p>
  </w:footnote>
  <w:footnote w:id="13">
    <w:p w14:paraId="600D0BBB" w14:textId="63A88D13" w:rsidR="005E7EBB" w:rsidRPr="00153A99" w:rsidRDefault="005E7EBB" w:rsidP="00153A99">
      <w:pPr>
        <w:spacing w:after="0" w:line="240" w:lineRule="auto"/>
        <w:jc w:val="both"/>
        <w:rPr>
          <w:color w:val="000000" w:themeColor="text1"/>
          <w:sz w:val="20"/>
          <w:szCs w:val="20"/>
        </w:rPr>
      </w:pPr>
      <w:r w:rsidRPr="00153A99">
        <w:rPr>
          <w:rStyle w:val="Rimandonotaapidipagina"/>
          <w:color w:val="000000" w:themeColor="text1"/>
          <w:sz w:val="20"/>
          <w:szCs w:val="20"/>
        </w:rPr>
        <w:footnoteRef/>
      </w:r>
      <w:r w:rsidRPr="00153A99">
        <w:rPr>
          <w:color w:val="000000" w:themeColor="text1"/>
          <w:sz w:val="20"/>
          <w:szCs w:val="20"/>
        </w:rPr>
        <w:t xml:space="preserve"> Prima di passare all</w:t>
      </w:r>
      <w:r w:rsidR="00144DEC" w:rsidRPr="00153A99">
        <w:rPr>
          <w:color w:val="000000" w:themeColor="text1"/>
          <w:sz w:val="20"/>
          <w:szCs w:val="20"/>
        </w:rPr>
        <w:t>’</w:t>
      </w:r>
      <w:r w:rsidRPr="00153A99">
        <w:rPr>
          <w:color w:val="000000" w:themeColor="text1"/>
          <w:sz w:val="20"/>
          <w:szCs w:val="20"/>
        </w:rPr>
        <w:t>esame della vicenda giudiziaria, è opportuno definire che cosa s</w:t>
      </w:r>
      <w:r w:rsidR="00144DEC" w:rsidRPr="00153A99">
        <w:rPr>
          <w:color w:val="000000" w:themeColor="text1"/>
          <w:sz w:val="20"/>
          <w:szCs w:val="20"/>
        </w:rPr>
        <w:t>’</w:t>
      </w:r>
      <w:r w:rsidRPr="00153A99">
        <w:rPr>
          <w:color w:val="000000" w:themeColor="text1"/>
          <w:sz w:val="20"/>
          <w:szCs w:val="20"/>
        </w:rPr>
        <w:t>intenda con “pensioni svizzere”.</w:t>
      </w:r>
    </w:p>
    <w:p w14:paraId="6F87FD0B" w14:textId="2B6A33A3" w:rsidR="005E7EBB" w:rsidRPr="00153A99" w:rsidRDefault="005E7EBB" w:rsidP="00153A99">
      <w:pPr>
        <w:spacing w:after="0" w:line="240" w:lineRule="auto"/>
        <w:jc w:val="both"/>
        <w:rPr>
          <w:color w:val="000000" w:themeColor="text1"/>
          <w:sz w:val="20"/>
          <w:szCs w:val="20"/>
        </w:rPr>
      </w:pPr>
      <w:r w:rsidRPr="00153A99">
        <w:rPr>
          <w:color w:val="000000" w:themeColor="text1"/>
          <w:sz w:val="20"/>
          <w:szCs w:val="20"/>
        </w:rPr>
        <w:t xml:space="preserve">Con il </w:t>
      </w:r>
      <w:proofErr w:type="spellStart"/>
      <w:r w:rsidRPr="00153A99">
        <w:rPr>
          <w:color w:val="000000" w:themeColor="text1"/>
          <w:sz w:val="20"/>
          <w:szCs w:val="20"/>
        </w:rPr>
        <w:t>d.P.R.</w:t>
      </w:r>
      <w:proofErr w:type="spellEnd"/>
      <w:r w:rsidRPr="00153A99">
        <w:rPr>
          <w:color w:val="000000" w:themeColor="text1"/>
          <w:sz w:val="20"/>
          <w:szCs w:val="20"/>
        </w:rPr>
        <w:t xml:space="preserve"> n. 488 del 1968 il sistema pensionistico italiano è passato da “contributivo” a “retributivo”. In base a questo secondo sistema, la pensione si calcola applicando un coefficiente – proporzionato al numero complessivo di settimane di contribuzione vantate dall</w:t>
      </w:r>
      <w:r w:rsidR="00144DEC" w:rsidRPr="00153A99">
        <w:rPr>
          <w:color w:val="000000" w:themeColor="text1"/>
          <w:sz w:val="20"/>
          <w:szCs w:val="20"/>
        </w:rPr>
        <w:t>’</w:t>
      </w:r>
      <w:r w:rsidRPr="00153A99">
        <w:rPr>
          <w:color w:val="000000" w:themeColor="text1"/>
          <w:sz w:val="20"/>
          <w:szCs w:val="20"/>
        </w:rPr>
        <w:t>interessato – alla retribuzione annua pensionabile, vale a dire alla retribuzione annua media percepita dal lavoratore durante un periodo di riferimento.</w:t>
      </w:r>
    </w:p>
    <w:p w14:paraId="4F036F5A" w14:textId="534AFACB" w:rsidR="005E7EBB" w:rsidRPr="00153A99" w:rsidRDefault="005E7EBB" w:rsidP="00153A99">
      <w:pPr>
        <w:spacing w:after="0" w:line="240" w:lineRule="auto"/>
        <w:jc w:val="both"/>
        <w:rPr>
          <w:color w:val="000000" w:themeColor="text1"/>
          <w:sz w:val="20"/>
          <w:szCs w:val="20"/>
        </w:rPr>
      </w:pPr>
      <w:r w:rsidRPr="00153A99">
        <w:rPr>
          <w:color w:val="000000" w:themeColor="text1"/>
          <w:sz w:val="20"/>
          <w:szCs w:val="20"/>
        </w:rPr>
        <w:t>Per quanto riguarda il lavoro svolto all</w:t>
      </w:r>
      <w:r w:rsidR="00144DEC" w:rsidRPr="00153A99">
        <w:rPr>
          <w:color w:val="000000" w:themeColor="text1"/>
          <w:sz w:val="20"/>
          <w:szCs w:val="20"/>
        </w:rPr>
        <w:t>’</w:t>
      </w:r>
      <w:r w:rsidRPr="00153A99">
        <w:rPr>
          <w:color w:val="000000" w:themeColor="text1"/>
          <w:sz w:val="20"/>
          <w:szCs w:val="20"/>
        </w:rPr>
        <w:t>estero, fino a prima della legislazione che è stata oggetto di scrutinio da parte della Corte costituzionale, colui che svolgeva il proprio lavoro in Svizzera e percepiva un dato stipendio, versava un contributo stabilito dalla legge elvetica, inferiore rispetto al contributo richiesto dalla legislazione italiana con riferimento alla medesima retribuzione (misurato nell</w:t>
      </w:r>
      <w:r w:rsidR="00144DEC" w:rsidRPr="00153A99">
        <w:rPr>
          <w:color w:val="000000" w:themeColor="text1"/>
          <w:sz w:val="20"/>
          <w:szCs w:val="20"/>
        </w:rPr>
        <w:t>’</w:t>
      </w:r>
      <w:r w:rsidRPr="00153A99">
        <w:rPr>
          <w:color w:val="000000" w:themeColor="text1"/>
          <w:sz w:val="20"/>
          <w:szCs w:val="20"/>
        </w:rPr>
        <w:t>8% dovuto in Svizzera, contro il 25% previsto in Italia).</w:t>
      </w:r>
    </w:p>
    <w:p w14:paraId="51D3C050" w14:textId="02774527" w:rsidR="005E7EBB" w:rsidRPr="00153A99" w:rsidRDefault="005E7EBB" w:rsidP="00153A99">
      <w:pPr>
        <w:pStyle w:val="NormaleWeb"/>
        <w:spacing w:after="0" w:line="240" w:lineRule="auto"/>
        <w:jc w:val="both"/>
        <w:rPr>
          <w:rFonts w:eastAsia="Times New Roman"/>
          <w:color w:val="000000" w:themeColor="text1"/>
          <w:sz w:val="20"/>
          <w:szCs w:val="20"/>
          <w:lang w:eastAsia="it-IT"/>
        </w:rPr>
      </w:pPr>
      <w:r w:rsidRPr="00153A99">
        <w:rPr>
          <w:color w:val="000000" w:themeColor="text1"/>
          <w:sz w:val="20"/>
          <w:szCs w:val="20"/>
        </w:rPr>
        <w:t>In seguito all</w:t>
      </w:r>
      <w:r w:rsidR="00144DEC" w:rsidRPr="00153A99">
        <w:rPr>
          <w:color w:val="000000" w:themeColor="text1"/>
          <w:sz w:val="20"/>
          <w:szCs w:val="20"/>
        </w:rPr>
        <w:t>’</w:t>
      </w:r>
      <w:r w:rsidRPr="00153A99">
        <w:rPr>
          <w:color w:val="000000" w:themeColor="text1"/>
          <w:sz w:val="20"/>
          <w:szCs w:val="20"/>
        </w:rPr>
        <w:t>Accordo aggiuntivo alla Convenzione tra l</w:t>
      </w:r>
      <w:r w:rsidR="00144DEC" w:rsidRPr="00153A99">
        <w:rPr>
          <w:color w:val="000000" w:themeColor="text1"/>
          <w:sz w:val="20"/>
          <w:szCs w:val="20"/>
        </w:rPr>
        <w:t>’</w:t>
      </w:r>
      <w:r w:rsidRPr="00153A99">
        <w:rPr>
          <w:color w:val="000000" w:themeColor="text1"/>
          <w:sz w:val="20"/>
          <w:szCs w:val="20"/>
        </w:rPr>
        <w:t xml:space="preserve">Italia e la Svizzera relativo alla sicurezza sociale del 14 dicembre 1962, concluso a Berna il 4 luglio 1969 e ratificato con legge n. 283 del 1973, si era affermato un orientamento giurisprudenziale – seguito anche dalla Corte di cassazione – secondo il quale il lavoratore italiano, nel momento in cui chiedeva il riconoscimento del lavoro svolto in Svizzera – chiedendo </w:t>
      </w:r>
      <w:r w:rsidRPr="00153A99">
        <w:rPr>
          <w:rFonts w:eastAsia="Times New Roman"/>
          <w:color w:val="000000" w:themeColor="text1"/>
          <w:sz w:val="20"/>
          <w:szCs w:val="20"/>
          <w:lang w:eastAsia="it-IT"/>
        </w:rPr>
        <w:t>all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 xml:space="preserve">I.N.P.S. il trasferimento dei contributi ivi versati in suo favore – aveva diritto a ottenere che la pensione venisse determinata con il metodo retributivo sulla base della </w:t>
      </w:r>
      <w:r w:rsidRPr="00153A99">
        <w:rPr>
          <w:rFonts w:eastAsia="Times New Roman"/>
          <w:i/>
          <w:iCs/>
          <w:color w:val="000000" w:themeColor="text1"/>
          <w:sz w:val="20"/>
          <w:szCs w:val="20"/>
          <w:lang w:eastAsia="it-IT"/>
        </w:rPr>
        <w:t xml:space="preserve">retribuzione effettivamente percepita </w:t>
      </w:r>
      <w:r w:rsidRPr="00153A99">
        <w:rPr>
          <w:rFonts w:eastAsia="Times New Roman"/>
          <w:color w:val="000000" w:themeColor="text1"/>
          <w:sz w:val="20"/>
          <w:szCs w:val="20"/>
          <w:lang w:eastAsia="it-IT"/>
        </w:rPr>
        <w:t>in Svizzera, nonostante i contributi accreditati fossero stati versati secondo 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 xml:space="preserve">aliquota prevista dalla legislazione elvetica. </w:t>
      </w:r>
    </w:p>
    <w:p w14:paraId="43859720" w14:textId="182CD1C5" w:rsidR="005E7EBB" w:rsidRPr="00153A99" w:rsidRDefault="005E7EBB" w:rsidP="00153A99">
      <w:pPr>
        <w:pStyle w:val="Testonotaapidipagina"/>
        <w:jc w:val="both"/>
        <w:rPr>
          <w:color w:val="000000" w:themeColor="text1"/>
        </w:rPr>
      </w:pPr>
      <w:r w:rsidRPr="00153A99">
        <w:rPr>
          <w:rFonts w:eastAsia="Times New Roman"/>
          <w:color w:val="000000" w:themeColor="text1"/>
          <w:lang w:eastAsia="it-IT"/>
        </w:rPr>
        <w:t>Tale giurisprudenza è sempre stata contestata dall</w:t>
      </w:r>
      <w:r w:rsidR="00144DEC" w:rsidRPr="00153A99">
        <w:rPr>
          <w:rFonts w:eastAsia="Times New Roman"/>
          <w:color w:val="000000" w:themeColor="text1"/>
          <w:lang w:eastAsia="it-IT"/>
        </w:rPr>
        <w:t>’</w:t>
      </w:r>
      <w:r w:rsidRPr="00153A99">
        <w:rPr>
          <w:rFonts w:eastAsia="Times New Roman"/>
          <w:color w:val="000000" w:themeColor="text1"/>
          <w:lang w:eastAsia="it-IT"/>
        </w:rPr>
        <w:t>ente nazionale per la previdenza e sul punto è intervenuta, infine, la legge n. 296 del 2006 (Disposizioni per la formazione del bilancio annuale e pluriennale dello Stato – legge finanziaria per il 2007), che, all</w:t>
      </w:r>
      <w:r w:rsidR="00144DEC" w:rsidRPr="00153A99">
        <w:rPr>
          <w:rFonts w:eastAsia="Times New Roman"/>
          <w:color w:val="000000" w:themeColor="text1"/>
          <w:lang w:eastAsia="it-IT"/>
        </w:rPr>
        <w:t>’</w:t>
      </w:r>
      <w:r w:rsidRPr="00153A99">
        <w:rPr>
          <w:rFonts w:eastAsia="Times New Roman"/>
          <w:color w:val="000000" w:themeColor="text1"/>
          <w:lang w:eastAsia="it-IT"/>
        </w:rPr>
        <w:t>art. 1 comma 777, ha previsto che la retribuzione percepita all</w:t>
      </w:r>
      <w:r w:rsidR="00144DEC" w:rsidRPr="00153A99">
        <w:rPr>
          <w:rFonts w:eastAsia="Times New Roman"/>
          <w:color w:val="000000" w:themeColor="text1"/>
          <w:lang w:eastAsia="it-IT"/>
        </w:rPr>
        <w:t>’</w:t>
      </w:r>
      <w:r w:rsidRPr="00153A99">
        <w:rPr>
          <w:rFonts w:eastAsia="Times New Roman"/>
          <w:color w:val="000000" w:themeColor="text1"/>
          <w:lang w:eastAsia="it-IT"/>
        </w:rPr>
        <w:t xml:space="preserve">estero – e che deve essere posta alla base del calcolo della pensione – debba essere ricalcolata tenendo conto dello stesso rapporto percentuale tra i contributi versati e la retribuzione percepita in vigore nel nostro Paese nello stesso periodo, fatti salvi i trattamenti </w:t>
      </w:r>
      <w:r w:rsidR="005B240A" w:rsidRPr="00153A99">
        <w:rPr>
          <w:rFonts w:eastAsia="Times New Roman"/>
          <w:color w:val="000000" w:themeColor="text1"/>
          <w:lang w:eastAsia="it-IT"/>
        </w:rPr>
        <w:t>già</w:t>
      </w:r>
      <w:r w:rsidRPr="00153A99">
        <w:rPr>
          <w:rFonts w:eastAsia="Times New Roman"/>
          <w:color w:val="000000" w:themeColor="text1"/>
          <w:lang w:eastAsia="it-IT"/>
        </w:rPr>
        <w:t>̀ liquidati.</w:t>
      </w:r>
    </w:p>
  </w:footnote>
  <w:footnote w:id="14">
    <w:p w14:paraId="25EF970B" w14:textId="1AC3B87B" w:rsidR="00F43C71" w:rsidRPr="00153A99" w:rsidRDefault="00F43C71" w:rsidP="00153A99">
      <w:pPr>
        <w:pStyle w:val="Testonotaapidipagina"/>
      </w:pPr>
      <w:r w:rsidRPr="00153A99">
        <w:rPr>
          <w:rStyle w:val="Rimandonotaapidipagina"/>
        </w:rPr>
        <w:footnoteRef/>
      </w:r>
      <w:r w:rsidRPr="00153A99">
        <w:t xml:space="preserve"> v. </w:t>
      </w:r>
      <w:proofErr w:type="spellStart"/>
      <w:r w:rsidRPr="00153A99">
        <w:rPr>
          <w:i/>
          <w:iCs/>
        </w:rPr>
        <w:t>supra</w:t>
      </w:r>
      <w:proofErr w:type="spellEnd"/>
      <w:r w:rsidRPr="00153A99">
        <w:rPr>
          <w:i/>
          <w:iCs/>
        </w:rPr>
        <w:t xml:space="preserve"> </w:t>
      </w:r>
      <w:r w:rsidRPr="00153A99">
        <w:t>nota 12.</w:t>
      </w:r>
    </w:p>
  </w:footnote>
  <w:footnote w:id="15">
    <w:p w14:paraId="3F410AD3" w14:textId="16FB5829" w:rsidR="005E7EBB" w:rsidRPr="00153A99" w:rsidRDefault="005E7EBB"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w:t>
      </w:r>
      <w:r w:rsidRPr="00153A99">
        <w:rPr>
          <w:rFonts w:eastAsia="Times New Roman"/>
          <w:color w:val="000000" w:themeColor="text1"/>
          <w:lang w:eastAsia="it-IT"/>
        </w:rPr>
        <w:t xml:space="preserve">Lo evidenzia </w:t>
      </w:r>
      <w:r w:rsidRPr="00153A99">
        <w:rPr>
          <w:rFonts w:eastAsia="Times New Roman"/>
          <w:smallCaps/>
          <w:color w:val="000000" w:themeColor="text1"/>
          <w:lang w:eastAsia="it-IT"/>
        </w:rPr>
        <w:t xml:space="preserve">Cannizzaro, </w:t>
      </w:r>
      <w:r w:rsidRPr="00153A99">
        <w:rPr>
          <w:rFonts w:eastAsia="Times New Roman"/>
          <w:i/>
          <w:iCs/>
          <w:color w:val="000000" w:themeColor="text1"/>
          <w:lang w:eastAsia="it-IT"/>
        </w:rPr>
        <w:t>Sistemi concorrenti di tutela dei diritti fondamentali e controlimiti costituzionali</w:t>
      </w:r>
      <w:r w:rsidRPr="00153A99">
        <w:rPr>
          <w:rFonts w:eastAsia="Times New Roman"/>
          <w:smallCaps/>
          <w:color w:val="000000" w:themeColor="text1"/>
          <w:lang w:eastAsia="it-IT"/>
        </w:rPr>
        <w:t>,</w:t>
      </w:r>
      <w:r w:rsidRPr="00153A99">
        <w:rPr>
          <w:rFonts w:eastAsia="Times New Roman"/>
          <w:color w:val="000000" w:themeColor="text1"/>
          <w:lang w:eastAsia="it-IT"/>
        </w:rPr>
        <w:t xml:space="preserve"> cit. </w:t>
      </w:r>
    </w:p>
  </w:footnote>
  <w:footnote w:id="16">
    <w:p w14:paraId="6E20DC8C" w14:textId="5DA807E0" w:rsidR="00F43C71" w:rsidRPr="00153A99" w:rsidRDefault="00F43C71" w:rsidP="00153A99">
      <w:pPr>
        <w:pStyle w:val="Testonotaapidipagina"/>
      </w:pPr>
      <w:r w:rsidRPr="00153A99">
        <w:rPr>
          <w:rStyle w:val="Rimandonotaapidipagina"/>
        </w:rPr>
        <w:footnoteRef/>
      </w:r>
      <w:r w:rsidRPr="00153A99">
        <w:t xml:space="preserve"> C</w:t>
      </w:r>
      <w:r w:rsidR="00273289" w:rsidRPr="00153A99">
        <w:t>orte di giustizia</w:t>
      </w:r>
      <w:r w:rsidRPr="00153A99">
        <w:t>,</w:t>
      </w:r>
      <w:r w:rsidR="00273289" w:rsidRPr="00153A99">
        <w:t xml:space="preserve"> Grande Sezione,</w:t>
      </w:r>
      <w:r w:rsidRPr="00153A99">
        <w:t xml:space="preserve"> 26 febbraio 2013</w:t>
      </w:r>
      <w:r w:rsidR="00273289" w:rsidRPr="00153A99">
        <w:t>, causa C‑399/11</w:t>
      </w:r>
      <w:r w:rsidRPr="00153A99">
        <w:t>.</w:t>
      </w:r>
    </w:p>
  </w:footnote>
  <w:footnote w:id="17">
    <w:p w14:paraId="75774AD9" w14:textId="72BDC33F" w:rsidR="004D49AF" w:rsidRPr="00153A99" w:rsidRDefault="004D49AF"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w:t>
      </w:r>
      <w:r w:rsidRPr="00153A99">
        <w:rPr>
          <w:smallCaps/>
          <w:color w:val="000000" w:themeColor="text1"/>
        </w:rPr>
        <w:t>Cannizzaro</w:t>
      </w:r>
      <w:r w:rsidRPr="00153A99">
        <w:rPr>
          <w:color w:val="000000" w:themeColor="text1"/>
        </w:rPr>
        <w:t xml:space="preserve">, </w:t>
      </w:r>
      <w:r w:rsidRPr="00153A99">
        <w:rPr>
          <w:i/>
          <w:iCs/>
          <w:color w:val="000000" w:themeColor="text1"/>
        </w:rPr>
        <w:t>op. cit.</w:t>
      </w:r>
      <w:r w:rsidRPr="00153A99">
        <w:rPr>
          <w:color w:val="000000" w:themeColor="text1"/>
        </w:rPr>
        <w:t xml:space="preserve"> </w:t>
      </w:r>
    </w:p>
  </w:footnote>
  <w:footnote w:id="18">
    <w:p w14:paraId="3DB7C2BB" w14:textId="61076D3B" w:rsidR="00CF1E54" w:rsidRPr="00153A99" w:rsidRDefault="00CF1E54"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w:t>
      </w:r>
      <w:r w:rsidRPr="00153A99">
        <w:rPr>
          <w:smallCaps/>
          <w:color w:val="000000" w:themeColor="text1"/>
        </w:rPr>
        <w:t>Cannizzaro</w:t>
      </w:r>
      <w:r w:rsidRPr="00153A99">
        <w:rPr>
          <w:color w:val="000000" w:themeColor="text1"/>
        </w:rPr>
        <w:t xml:space="preserve">, </w:t>
      </w:r>
      <w:r w:rsidRPr="00153A99">
        <w:rPr>
          <w:i/>
          <w:iCs/>
          <w:color w:val="000000" w:themeColor="text1"/>
        </w:rPr>
        <w:t>op. cit.</w:t>
      </w:r>
      <w:r w:rsidRPr="00153A99">
        <w:rPr>
          <w:color w:val="000000" w:themeColor="text1"/>
        </w:rPr>
        <w:t xml:space="preserve"> </w:t>
      </w:r>
    </w:p>
  </w:footnote>
  <w:footnote w:id="19">
    <w:p w14:paraId="2BDA6F9E" w14:textId="32C635C9" w:rsidR="004D49AF" w:rsidRPr="00153A99" w:rsidRDefault="004D49AF" w:rsidP="00153A99">
      <w:pPr>
        <w:pStyle w:val="NormaleWeb"/>
        <w:spacing w:after="0" w:line="240" w:lineRule="auto"/>
        <w:jc w:val="both"/>
        <w:rPr>
          <w:rFonts w:eastAsia="Times New Roman"/>
          <w:color w:val="000000" w:themeColor="text1"/>
          <w:sz w:val="20"/>
          <w:szCs w:val="20"/>
          <w:lang w:eastAsia="it-IT"/>
        </w:rPr>
      </w:pPr>
      <w:r w:rsidRPr="00153A99">
        <w:rPr>
          <w:rStyle w:val="Rimandonotaapidipagina"/>
          <w:color w:val="000000" w:themeColor="text1"/>
          <w:sz w:val="20"/>
          <w:szCs w:val="20"/>
        </w:rPr>
        <w:footnoteRef/>
      </w:r>
      <w:r w:rsidRPr="00153A99">
        <w:rPr>
          <w:color w:val="000000" w:themeColor="text1"/>
          <w:sz w:val="20"/>
          <w:szCs w:val="20"/>
        </w:rPr>
        <w:t xml:space="preserve"> </w:t>
      </w:r>
      <w:r w:rsidRPr="00153A99">
        <w:rPr>
          <w:rFonts w:eastAsia="Times New Roman"/>
          <w:color w:val="000000" w:themeColor="text1"/>
          <w:sz w:val="20"/>
          <w:szCs w:val="20"/>
          <w:lang w:eastAsia="it-IT"/>
        </w:rPr>
        <w:t>Corte di giustizia, Grande Sezione, 5 aprile 2016, cause riunite C-404/15 e C-659/15</w:t>
      </w:r>
      <w:r w:rsidR="00273289" w:rsidRPr="00153A99">
        <w:rPr>
          <w:rFonts w:eastAsia="Times New Roman"/>
          <w:color w:val="000000" w:themeColor="text1"/>
          <w:sz w:val="20"/>
          <w:szCs w:val="20"/>
          <w:lang w:eastAsia="it-IT"/>
        </w:rPr>
        <w:t>.</w:t>
      </w:r>
    </w:p>
  </w:footnote>
  <w:footnote w:id="20">
    <w:p w14:paraId="2CFA83FA" w14:textId="3E38A717" w:rsidR="00CF1E54" w:rsidRPr="00153A99" w:rsidRDefault="00CF1E54" w:rsidP="00153A99">
      <w:pPr>
        <w:spacing w:after="0" w:line="240" w:lineRule="auto"/>
        <w:jc w:val="both"/>
        <w:rPr>
          <w:color w:val="000000" w:themeColor="text1"/>
          <w:sz w:val="20"/>
          <w:szCs w:val="20"/>
        </w:rPr>
      </w:pPr>
      <w:r w:rsidRPr="00153A99">
        <w:rPr>
          <w:rStyle w:val="Rimandonotaapidipagina"/>
          <w:color w:val="000000" w:themeColor="text1"/>
          <w:sz w:val="20"/>
          <w:szCs w:val="20"/>
        </w:rPr>
        <w:footnoteRef/>
      </w:r>
      <w:r w:rsidRPr="00153A99">
        <w:rPr>
          <w:color w:val="000000" w:themeColor="text1"/>
          <w:sz w:val="20"/>
          <w:szCs w:val="20"/>
        </w:rPr>
        <w:t xml:space="preserve"> </w:t>
      </w:r>
      <w:r w:rsidRPr="00153A99">
        <w:rPr>
          <w:rFonts w:eastAsia="Times New Roman"/>
          <w:color w:val="000000" w:themeColor="text1"/>
          <w:sz w:val="20"/>
          <w:szCs w:val="20"/>
          <w:lang w:eastAsia="it-IT"/>
        </w:rPr>
        <w:t>Dietro la questione c</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 xml:space="preserve">è un accordo internazionale stipulato al momento della proclamazione di indipendenza della Repubblica Ceca e della Slovacchia e finalizzato alla regolazione del trattamento previdenziale degli ex cittadini cecoslovacchi. In particolare, secondo questo accordo, il regime applicabile in materia di pensioni avrebbe dovuto essere individuato sulla base del criterio di residenza del datore di lavoro. Applicando questo criterio si è dunque determinata una complessa situazione per cui cittadini cechi si sono trovati affidati al (più povero) sistema previdenziale slovacco e hanno ottenuto pensioni </w:t>
      </w:r>
      <w:r w:rsidR="005B240A" w:rsidRPr="00153A99">
        <w:rPr>
          <w:rFonts w:eastAsia="Times New Roman"/>
          <w:color w:val="000000" w:themeColor="text1"/>
          <w:sz w:val="20"/>
          <w:szCs w:val="20"/>
          <w:lang w:eastAsia="it-IT"/>
        </w:rPr>
        <w:t>più</w:t>
      </w:r>
      <w:r w:rsidRPr="00153A99">
        <w:rPr>
          <w:rFonts w:eastAsia="Times New Roman"/>
          <w:color w:val="000000" w:themeColor="text1"/>
          <w:sz w:val="20"/>
          <w:szCs w:val="20"/>
          <w:lang w:eastAsia="it-IT"/>
        </w:rPr>
        <w:t xml:space="preserve">̀ basse di quelle che avrebbero ricevuto se fossero stati inseriti nel sistema pensionistico nazionale. </w:t>
      </w:r>
    </w:p>
    <w:p w14:paraId="21A5DCA6" w14:textId="14807276" w:rsidR="00CF1E54" w:rsidRPr="00153A99" w:rsidRDefault="00CF1E54" w:rsidP="00153A99">
      <w:pPr>
        <w:spacing w:after="0" w:line="240" w:lineRule="auto"/>
        <w:jc w:val="both"/>
        <w:rPr>
          <w:rFonts w:eastAsia="Times New Roman"/>
          <w:color w:val="000000" w:themeColor="text1"/>
          <w:sz w:val="20"/>
          <w:szCs w:val="20"/>
          <w:lang w:eastAsia="it-IT"/>
        </w:rPr>
      </w:pPr>
      <w:r w:rsidRPr="00153A99">
        <w:rPr>
          <w:rFonts w:eastAsia="Times New Roman"/>
          <w:color w:val="000000" w:themeColor="text1"/>
          <w:sz w:val="20"/>
          <w:szCs w:val="20"/>
          <w:lang w:eastAsia="it-IT"/>
        </w:rPr>
        <w:t xml:space="preserve">Nel tentativo di risolvere questa contraddizione, il giudice costituzionale ceco (con la decisione </w:t>
      </w:r>
      <w:r w:rsidRPr="00153A99">
        <w:rPr>
          <w:rFonts w:eastAsia="Times New Roman"/>
          <w:i/>
          <w:iCs/>
          <w:color w:val="000000" w:themeColor="text1"/>
          <w:sz w:val="20"/>
          <w:szCs w:val="20"/>
          <w:lang w:eastAsia="it-IT"/>
        </w:rPr>
        <w:t xml:space="preserve">PL ÙS </w:t>
      </w:r>
      <w:r w:rsidRPr="00153A99">
        <w:rPr>
          <w:rFonts w:eastAsia="Times New Roman"/>
          <w:color w:val="000000" w:themeColor="text1"/>
          <w:sz w:val="20"/>
          <w:szCs w:val="20"/>
          <w:lang w:eastAsia="it-IT"/>
        </w:rPr>
        <w:t>405/02), in nome del principio di eguaglianza e in nome dell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obbligo costituzionale di garantire la sicurezza materiale agli anziani, ha sancito 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 xml:space="preserve">obbligo di integrare le pensioni slovacche dei cittadini cechi che avessero permanentemente risieduto sul territorio nazionale. </w:t>
      </w:r>
    </w:p>
    <w:p w14:paraId="66786B6E" w14:textId="0155A3E2" w:rsidR="00CF1E54" w:rsidRPr="00153A99" w:rsidRDefault="00CF1E54" w:rsidP="00153A99">
      <w:pPr>
        <w:pStyle w:val="Testonotaapidipagina"/>
        <w:jc w:val="both"/>
        <w:rPr>
          <w:color w:val="000000" w:themeColor="text1"/>
        </w:rPr>
      </w:pPr>
      <w:r w:rsidRPr="00153A99">
        <w:rPr>
          <w:rFonts w:eastAsia="Times New Roman"/>
          <w:color w:val="000000" w:themeColor="text1"/>
          <w:lang w:eastAsia="it-IT"/>
        </w:rPr>
        <w:t>Nell</w:t>
      </w:r>
      <w:r w:rsidR="00144DEC" w:rsidRPr="00153A99">
        <w:rPr>
          <w:rFonts w:eastAsia="Times New Roman"/>
          <w:color w:val="000000" w:themeColor="text1"/>
          <w:lang w:eastAsia="it-IT"/>
        </w:rPr>
        <w:t>’</w:t>
      </w:r>
      <w:r w:rsidRPr="00153A99">
        <w:rPr>
          <w:rFonts w:eastAsia="Times New Roman"/>
          <w:color w:val="000000" w:themeColor="text1"/>
          <w:lang w:eastAsia="it-IT"/>
        </w:rPr>
        <w:t>evidente intento di non dare seguito a questo provvedimento, il supremo tribunale amministrativo ha interpellato la Corte di giustizia con due questioni pregiudiziali con le quali si chiede di verificare se l</w:t>
      </w:r>
      <w:r w:rsidR="00144DEC" w:rsidRPr="00153A99">
        <w:rPr>
          <w:rFonts w:eastAsia="Times New Roman"/>
          <w:color w:val="000000" w:themeColor="text1"/>
          <w:lang w:eastAsia="it-IT"/>
        </w:rPr>
        <w:t>’</w:t>
      </w:r>
      <w:r w:rsidRPr="00153A99">
        <w:rPr>
          <w:rFonts w:eastAsia="Times New Roman"/>
          <w:color w:val="000000" w:themeColor="text1"/>
          <w:lang w:eastAsia="it-IT"/>
        </w:rPr>
        <w:t>obbligo di integrazione non configuri una lesione del Regolamento CEE 1408/71 (con cui, in seguito all</w:t>
      </w:r>
      <w:r w:rsidR="00144DEC" w:rsidRPr="00153A99">
        <w:rPr>
          <w:rFonts w:eastAsia="Times New Roman"/>
          <w:color w:val="000000" w:themeColor="text1"/>
          <w:lang w:eastAsia="it-IT"/>
        </w:rPr>
        <w:t>’</w:t>
      </w:r>
      <w:r w:rsidRPr="00153A99">
        <w:rPr>
          <w:rFonts w:eastAsia="Times New Roman"/>
          <w:color w:val="000000" w:themeColor="text1"/>
          <w:lang w:eastAsia="it-IT"/>
        </w:rPr>
        <w:t>ingresso della Repubblica ceca nell</w:t>
      </w:r>
      <w:r w:rsidR="00144DEC" w:rsidRPr="00153A99">
        <w:rPr>
          <w:rFonts w:eastAsia="Times New Roman"/>
          <w:color w:val="000000" w:themeColor="text1"/>
          <w:lang w:eastAsia="it-IT"/>
        </w:rPr>
        <w:t>’</w:t>
      </w:r>
      <w:r w:rsidRPr="00153A99">
        <w:rPr>
          <w:rFonts w:eastAsia="Times New Roman"/>
          <w:color w:val="000000" w:themeColor="text1"/>
          <w:lang w:eastAsia="it-IT"/>
        </w:rPr>
        <w:t>Unione, si era provveduto a europeizzare l</w:t>
      </w:r>
      <w:r w:rsidR="00144DEC" w:rsidRPr="00153A99">
        <w:rPr>
          <w:rFonts w:eastAsia="Times New Roman"/>
          <w:color w:val="000000" w:themeColor="text1"/>
          <w:lang w:eastAsia="it-IT"/>
        </w:rPr>
        <w:t>’</w:t>
      </w:r>
      <w:r w:rsidRPr="00153A99">
        <w:rPr>
          <w:rFonts w:eastAsia="Times New Roman"/>
          <w:color w:val="000000" w:themeColor="text1"/>
          <w:lang w:eastAsia="it-IT"/>
        </w:rPr>
        <w:t>accordo internazionale alla base della vicenda) o, in alternativa, se esso non configuri una lesione del principio di non discriminazione in ragione della nazionalità. Il giudice europeo ha mantenuto un basso profilo e, dopo aver escluso che l</w:t>
      </w:r>
      <w:r w:rsidR="00144DEC" w:rsidRPr="00153A99">
        <w:rPr>
          <w:rFonts w:eastAsia="Times New Roman"/>
          <w:color w:val="000000" w:themeColor="text1"/>
          <w:lang w:eastAsia="it-IT"/>
        </w:rPr>
        <w:t>’</w:t>
      </w:r>
      <w:r w:rsidRPr="00153A99">
        <w:rPr>
          <w:rFonts w:eastAsia="Times New Roman"/>
          <w:color w:val="000000" w:themeColor="text1"/>
          <w:lang w:eastAsia="it-IT"/>
        </w:rPr>
        <w:t>europeizzazione dell</w:t>
      </w:r>
      <w:r w:rsidR="00144DEC" w:rsidRPr="00153A99">
        <w:rPr>
          <w:rFonts w:eastAsia="Times New Roman"/>
          <w:color w:val="000000" w:themeColor="text1"/>
          <w:lang w:eastAsia="it-IT"/>
        </w:rPr>
        <w:t>’</w:t>
      </w:r>
      <w:r w:rsidRPr="00153A99">
        <w:rPr>
          <w:rFonts w:eastAsia="Times New Roman"/>
          <w:color w:val="000000" w:themeColor="text1"/>
          <w:lang w:eastAsia="it-IT"/>
        </w:rPr>
        <w:t>accordo ceco - slovacco impedisca di per se stessa la possibilità di un reintegro, si è semplicemente limitato a sostenere che la soluzione del giudice costituzionale è comunitariamente illegittima nel momento in cui riconosce ai soli cittadini nazionali (e non anche agli altri cittadini comunitari) il diritto all</w:t>
      </w:r>
      <w:r w:rsidR="00144DEC" w:rsidRPr="00153A99">
        <w:rPr>
          <w:rFonts w:eastAsia="Times New Roman"/>
          <w:color w:val="000000" w:themeColor="text1"/>
          <w:lang w:eastAsia="it-IT"/>
        </w:rPr>
        <w:t>’</w:t>
      </w:r>
      <w:r w:rsidRPr="00153A99">
        <w:rPr>
          <w:rFonts w:eastAsia="Times New Roman"/>
          <w:color w:val="000000" w:themeColor="text1"/>
          <w:lang w:eastAsia="it-IT"/>
        </w:rPr>
        <w:t>integrazione.</w:t>
      </w:r>
    </w:p>
  </w:footnote>
  <w:footnote w:id="21">
    <w:p w14:paraId="21292A61" w14:textId="4E010657" w:rsidR="000D5414" w:rsidRPr="00153A99" w:rsidRDefault="000D5414" w:rsidP="00153A99">
      <w:pPr>
        <w:pStyle w:val="Testonotaapidipagina"/>
        <w:jc w:val="both"/>
        <w:rPr>
          <w:color w:val="000000" w:themeColor="text1"/>
          <w:lang w:val="en-US"/>
        </w:rPr>
      </w:pPr>
      <w:r w:rsidRPr="00153A99">
        <w:rPr>
          <w:rStyle w:val="Rimandonotaapidipagina"/>
          <w:color w:val="000000" w:themeColor="text1"/>
        </w:rPr>
        <w:footnoteRef/>
      </w:r>
      <w:r w:rsidRPr="00153A99">
        <w:rPr>
          <w:color w:val="000000" w:themeColor="text1"/>
          <w:lang w:val="en-US"/>
        </w:rPr>
        <w:t xml:space="preserve"> </w:t>
      </w:r>
      <w:r w:rsidRPr="00153A99">
        <w:rPr>
          <w:rFonts w:eastAsia="Times New Roman"/>
          <w:smallCaps/>
          <w:color w:val="000000" w:themeColor="text1"/>
          <w:shd w:val="clear" w:color="auto" w:fill="FFFFFF"/>
          <w:lang w:val="en-US" w:eastAsia="it-IT"/>
        </w:rPr>
        <w:t xml:space="preserve">Jan </w:t>
      </w:r>
      <w:proofErr w:type="spellStart"/>
      <w:r w:rsidRPr="00153A99">
        <w:rPr>
          <w:rFonts w:eastAsia="Times New Roman"/>
          <w:smallCaps/>
          <w:color w:val="000000" w:themeColor="text1"/>
          <w:shd w:val="clear" w:color="auto" w:fill="FFFFFF"/>
          <w:lang w:val="en-US" w:eastAsia="it-IT"/>
        </w:rPr>
        <w:t>Komarek</w:t>
      </w:r>
      <w:proofErr w:type="spellEnd"/>
      <w:r w:rsidRPr="00153A99">
        <w:rPr>
          <w:rFonts w:eastAsia="Times New Roman"/>
          <w:color w:val="000000" w:themeColor="text1"/>
          <w:shd w:val="clear" w:color="auto" w:fill="FFFFFF"/>
          <w:lang w:val="en-US" w:eastAsia="it-IT"/>
        </w:rPr>
        <w:t xml:space="preserve">, </w:t>
      </w:r>
      <w:r w:rsidRPr="00153A99">
        <w:rPr>
          <w:rFonts w:eastAsia="Times New Roman"/>
          <w:i/>
          <w:iCs/>
          <w:color w:val="000000" w:themeColor="text1"/>
          <w:shd w:val="clear" w:color="auto" w:fill="FFFFFF"/>
          <w:lang w:val="en-US" w:eastAsia="it-IT"/>
        </w:rPr>
        <w:t xml:space="preserve">Playing </w:t>
      </w:r>
      <w:proofErr w:type="gramStart"/>
      <w:r w:rsidRPr="00153A99">
        <w:rPr>
          <w:rFonts w:eastAsia="Times New Roman"/>
          <w:i/>
          <w:iCs/>
          <w:color w:val="000000" w:themeColor="text1"/>
          <w:shd w:val="clear" w:color="auto" w:fill="FFFFFF"/>
          <w:lang w:val="en-US" w:eastAsia="it-IT"/>
        </w:rPr>
        <w:t>With</w:t>
      </w:r>
      <w:proofErr w:type="gramEnd"/>
      <w:r w:rsidRPr="00153A99">
        <w:rPr>
          <w:rFonts w:eastAsia="Times New Roman"/>
          <w:i/>
          <w:iCs/>
          <w:color w:val="000000" w:themeColor="text1"/>
          <w:shd w:val="clear" w:color="auto" w:fill="FFFFFF"/>
          <w:lang w:val="en-US" w:eastAsia="it-IT"/>
        </w:rPr>
        <w:t xml:space="preserve"> Matches: The Czech Constitutional Court</w:t>
      </w:r>
      <w:r w:rsidR="00144DEC" w:rsidRPr="00153A99">
        <w:rPr>
          <w:rFonts w:eastAsia="Times New Roman"/>
          <w:i/>
          <w:iCs/>
          <w:color w:val="000000" w:themeColor="text1"/>
          <w:shd w:val="clear" w:color="auto" w:fill="FFFFFF"/>
          <w:lang w:val="en-US" w:eastAsia="it-IT"/>
        </w:rPr>
        <w:t>’</w:t>
      </w:r>
      <w:r w:rsidRPr="00153A99">
        <w:rPr>
          <w:rFonts w:eastAsia="Times New Roman"/>
          <w:i/>
          <w:iCs/>
          <w:color w:val="000000" w:themeColor="text1"/>
          <w:shd w:val="clear" w:color="auto" w:fill="FFFFFF"/>
          <w:lang w:val="en-US" w:eastAsia="it-IT"/>
        </w:rPr>
        <w:t>s Ultra Vires Revolution</w:t>
      </w:r>
      <w:r w:rsidRPr="00153A99">
        <w:rPr>
          <w:rFonts w:eastAsia="Times New Roman"/>
          <w:color w:val="000000" w:themeColor="text1"/>
          <w:shd w:val="clear" w:color="auto" w:fill="FFFFFF"/>
          <w:lang w:val="en-US" w:eastAsia="it-IT"/>
        </w:rPr>
        <w:t>”</w:t>
      </w:r>
      <w:r w:rsidR="005B240A" w:rsidRPr="00153A99">
        <w:rPr>
          <w:rFonts w:eastAsia="Times New Roman"/>
          <w:color w:val="000000" w:themeColor="text1"/>
          <w:shd w:val="clear" w:color="auto" w:fill="FFFFFF"/>
          <w:lang w:val="en-US" w:eastAsia="it-IT"/>
        </w:rPr>
        <w:t xml:space="preserve">, </w:t>
      </w:r>
      <w:proofErr w:type="spellStart"/>
      <w:r w:rsidRPr="00153A99">
        <w:rPr>
          <w:rFonts w:eastAsia="Times New Roman"/>
          <w:color w:val="000000" w:themeColor="text1"/>
          <w:shd w:val="clear" w:color="auto" w:fill="FFFFFF"/>
          <w:lang w:val="en-US" w:eastAsia="it-IT"/>
        </w:rPr>
        <w:t>nel</w:t>
      </w:r>
      <w:proofErr w:type="spellEnd"/>
      <w:r w:rsidRPr="00153A99">
        <w:rPr>
          <w:rFonts w:eastAsia="Times New Roman"/>
          <w:color w:val="000000" w:themeColor="text1"/>
          <w:shd w:val="clear" w:color="auto" w:fill="FFFFFF"/>
          <w:lang w:val="en-US" w:eastAsia="it-IT"/>
        </w:rPr>
        <w:t xml:space="preserve"> </w:t>
      </w:r>
      <w:proofErr w:type="spellStart"/>
      <w:r w:rsidRPr="00153A99">
        <w:rPr>
          <w:rFonts w:eastAsia="Times New Roman"/>
          <w:color w:val="000000" w:themeColor="text1"/>
          <w:shd w:val="clear" w:color="auto" w:fill="FFFFFF"/>
          <w:lang w:val="en-US" w:eastAsia="it-IT"/>
        </w:rPr>
        <w:t>suo</w:t>
      </w:r>
      <w:proofErr w:type="spellEnd"/>
      <w:r w:rsidRPr="00153A99">
        <w:rPr>
          <w:rFonts w:eastAsia="Times New Roman"/>
          <w:color w:val="000000" w:themeColor="text1"/>
          <w:shd w:val="clear" w:color="auto" w:fill="FFFFFF"/>
          <w:lang w:val="en-US" w:eastAsia="it-IT"/>
        </w:rPr>
        <w:t xml:space="preserve"> </w:t>
      </w:r>
      <w:proofErr w:type="spellStart"/>
      <w:r w:rsidRPr="00153A99">
        <w:rPr>
          <w:rFonts w:eastAsia="Times New Roman"/>
          <w:color w:val="000000" w:themeColor="text1"/>
          <w:shd w:val="clear" w:color="auto" w:fill="FFFFFF"/>
          <w:lang w:val="en-US" w:eastAsia="it-IT"/>
        </w:rPr>
        <w:t>commento</w:t>
      </w:r>
      <w:proofErr w:type="spellEnd"/>
      <w:r w:rsidRPr="00153A99">
        <w:rPr>
          <w:rFonts w:eastAsia="Times New Roman"/>
          <w:color w:val="000000" w:themeColor="text1"/>
          <w:shd w:val="clear" w:color="auto" w:fill="FFFFFF"/>
          <w:lang w:val="en-US" w:eastAsia="it-IT"/>
        </w:rPr>
        <w:t xml:space="preserve"> per </w:t>
      </w:r>
      <w:proofErr w:type="spellStart"/>
      <w:r w:rsidRPr="00153A99">
        <w:rPr>
          <w:rFonts w:eastAsia="Times New Roman"/>
          <w:i/>
          <w:iCs/>
          <w:color w:val="000000" w:themeColor="text1"/>
          <w:shd w:val="clear" w:color="auto" w:fill="FFFFFF"/>
          <w:lang w:val="en-US" w:eastAsia="it-IT"/>
        </w:rPr>
        <w:t>Verfassungsblog</w:t>
      </w:r>
      <w:proofErr w:type="spellEnd"/>
      <w:r w:rsidR="00273289" w:rsidRPr="00153A99">
        <w:rPr>
          <w:rFonts w:eastAsia="Times New Roman"/>
          <w:color w:val="000000" w:themeColor="text1"/>
          <w:shd w:val="clear" w:color="auto" w:fill="FFFFFF"/>
          <w:lang w:val="en-US" w:eastAsia="it-IT"/>
        </w:rPr>
        <w:t>.</w:t>
      </w:r>
    </w:p>
  </w:footnote>
  <w:footnote w:id="22">
    <w:p w14:paraId="6D3414D7" w14:textId="615C6471" w:rsidR="00273289" w:rsidRPr="00153A99" w:rsidRDefault="00273289" w:rsidP="00153A99">
      <w:pPr>
        <w:pStyle w:val="Testonotaapidipagina"/>
      </w:pPr>
      <w:r w:rsidRPr="00153A99">
        <w:rPr>
          <w:rStyle w:val="Rimandonotaapidipagina"/>
        </w:rPr>
        <w:footnoteRef/>
      </w:r>
      <w:r w:rsidRPr="00153A99">
        <w:t xml:space="preserve"> </w:t>
      </w:r>
      <w:proofErr w:type="spellStart"/>
      <w:r w:rsidRPr="00153A99">
        <w:t>Bundesverfassungsgerich</w:t>
      </w:r>
      <w:proofErr w:type="spellEnd"/>
      <w:r w:rsidRPr="00153A99">
        <w:t>, 5 maggio 2020.</w:t>
      </w:r>
    </w:p>
  </w:footnote>
  <w:footnote w:id="23">
    <w:p w14:paraId="588DCC00" w14:textId="65E52EE8" w:rsidR="00AE31CD" w:rsidRPr="00153A99" w:rsidRDefault="00AE31CD" w:rsidP="00153A99">
      <w:pPr>
        <w:pStyle w:val="NormaleWeb"/>
        <w:shd w:val="clear" w:color="auto" w:fill="FFFFFF"/>
        <w:spacing w:after="0" w:line="240" w:lineRule="auto"/>
        <w:jc w:val="both"/>
        <w:rPr>
          <w:color w:val="000000" w:themeColor="text1"/>
          <w:sz w:val="20"/>
          <w:szCs w:val="20"/>
        </w:rPr>
      </w:pPr>
      <w:r w:rsidRPr="00153A99">
        <w:rPr>
          <w:rStyle w:val="Rimandonotaapidipagina"/>
          <w:color w:val="000000" w:themeColor="text1"/>
          <w:sz w:val="20"/>
          <w:szCs w:val="20"/>
        </w:rPr>
        <w:footnoteRef/>
      </w:r>
      <w:r w:rsidRPr="00153A99">
        <w:rPr>
          <w:color w:val="000000" w:themeColor="text1"/>
          <w:sz w:val="20"/>
          <w:szCs w:val="20"/>
        </w:rPr>
        <w:t xml:space="preserve"> </w:t>
      </w:r>
      <w:r w:rsidRPr="00153A99">
        <w:rPr>
          <w:rFonts w:eastAsia="Times New Roman"/>
          <w:color w:val="000000" w:themeColor="text1"/>
          <w:sz w:val="20"/>
          <w:szCs w:val="20"/>
          <w:lang w:eastAsia="it-IT"/>
        </w:rPr>
        <w:t>Ciò in quanto, secondo la Corte di giustizia, detto programma rientrava nel settore della politica monetaria per la quale 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Unione dispone di una competenza esclusiva per gli Stati membri la cui moneta è 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euro e rispetta il principio di proporzionalità. La Corte, in particolare, aveva accertato che il programma PSPP non viola il divieto di finanziamento monetario, il quale vieta al SEBC di concedere qualsiasi forma di credito ad uno Stato membro; che 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attuazione del programma non equivale all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acquisto di titoli sui mercati primari e non produce 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effetto di sottrarre gli Stati membri all</w:t>
      </w:r>
      <w:r w:rsidR="00144DEC" w:rsidRPr="00153A99">
        <w:rPr>
          <w:rFonts w:eastAsia="Times New Roman"/>
          <w:color w:val="000000" w:themeColor="text1"/>
          <w:sz w:val="20"/>
          <w:szCs w:val="20"/>
          <w:lang w:eastAsia="it-IT"/>
        </w:rPr>
        <w:t>’</w:t>
      </w:r>
      <w:r w:rsidRPr="00153A99">
        <w:rPr>
          <w:rFonts w:eastAsia="Times New Roman"/>
          <w:color w:val="000000" w:themeColor="text1"/>
          <w:sz w:val="20"/>
          <w:szCs w:val="20"/>
          <w:lang w:eastAsia="it-IT"/>
        </w:rPr>
        <w:t xml:space="preserve">incitamento a condurre una sana politica di bilancio. </w:t>
      </w:r>
    </w:p>
    <w:p w14:paraId="4D0CC635" w14:textId="52D80E57" w:rsidR="00AE31CD" w:rsidRPr="00153A99" w:rsidRDefault="00AE31CD" w:rsidP="00153A99">
      <w:pPr>
        <w:pStyle w:val="Testonotaapidipagina"/>
        <w:jc w:val="both"/>
        <w:rPr>
          <w:color w:val="000000" w:themeColor="text1"/>
        </w:rPr>
      </w:pPr>
    </w:p>
  </w:footnote>
  <w:footnote w:id="24">
    <w:p w14:paraId="3BFAA322" w14:textId="0D294635" w:rsidR="006A3361" w:rsidRPr="00153A99" w:rsidRDefault="006A3361"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Così </w:t>
      </w:r>
      <w:r w:rsidRPr="00153A99">
        <w:rPr>
          <w:smallCaps/>
          <w:color w:val="000000" w:themeColor="text1"/>
        </w:rPr>
        <w:t>Pellegrini</w:t>
      </w:r>
      <w:r w:rsidRPr="00153A99">
        <w:rPr>
          <w:color w:val="000000" w:themeColor="text1"/>
        </w:rPr>
        <w:t xml:space="preserve">, </w:t>
      </w:r>
      <w:r w:rsidRPr="00153A99">
        <w:rPr>
          <w:i/>
          <w:iCs/>
          <w:color w:val="000000" w:themeColor="text1"/>
        </w:rPr>
        <w:t>I controlimiti al primato del diritto dell</w:t>
      </w:r>
      <w:r w:rsidR="00144DEC" w:rsidRPr="00153A99">
        <w:rPr>
          <w:i/>
          <w:iCs/>
          <w:color w:val="000000" w:themeColor="text1"/>
        </w:rPr>
        <w:t>’</w:t>
      </w:r>
      <w:r w:rsidRPr="00153A99">
        <w:rPr>
          <w:i/>
          <w:iCs/>
          <w:color w:val="000000" w:themeColor="text1"/>
        </w:rPr>
        <w:t xml:space="preserve">unione </w:t>
      </w:r>
      <w:r w:rsidR="005B240A" w:rsidRPr="00153A99">
        <w:rPr>
          <w:i/>
          <w:iCs/>
          <w:color w:val="000000" w:themeColor="text1"/>
        </w:rPr>
        <w:t>europea</w:t>
      </w:r>
      <w:r w:rsidRPr="00153A99">
        <w:rPr>
          <w:i/>
          <w:iCs/>
          <w:color w:val="000000" w:themeColor="text1"/>
        </w:rPr>
        <w:t xml:space="preserve"> nel dialogo fra le Corti</w:t>
      </w:r>
      <w:r w:rsidRPr="00153A99">
        <w:rPr>
          <w:color w:val="000000" w:themeColor="text1"/>
        </w:rPr>
        <w:t>, Firenze, 2021</w:t>
      </w:r>
      <w:r w:rsidR="00C6385D" w:rsidRPr="00153A99">
        <w:rPr>
          <w:color w:val="000000" w:themeColor="text1"/>
        </w:rPr>
        <w:t>.</w:t>
      </w:r>
    </w:p>
  </w:footnote>
  <w:footnote w:id="25">
    <w:p w14:paraId="604BA892" w14:textId="521179F3" w:rsidR="00C6385D" w:rsidRPr="00153A99" w:rsidRDefault="00C6385D" w:rsidP="00153A99">
      <w:pPr>
        <w:pStyle w:val="Testonotaapidipagina"/>
      </w:pPr>
      <w:r w:rsidRPr="00153A99">
        <w:rPr>
          <w:rStyle w:val="Rimandonotaapidipagina"/>
        </w:rPr>
        <w:footnoteRef/>
      </w:r>
      <w:r w:rsidRPr="00153A99">
        <w:t xml:space="preserve"> </w:t>
      </w:r>
      <w:r w:rsidRPr="00153A99">
        <w:rPr>
          <w:i/>
          <w:iCs/>
        </w:rPr>
        <w:t xml:space="preserve">Ex </w:t>
      </w:r>
      <w:proofErr w:type="spellStart"/>
      <w:r w:rsidRPr="00153A99">
        <w:rPr>
          <w:i/>
          <w:iCs/>
        </w:rPr>
        <w:t>multis</w:t>
      </w:r>
      <w:proofErr w:type="spellEnd"/>
      <w:r w:rsidRPr="00153A99">
        <w:t>, v. C</w:t>
      </w:r>
      <w:r w:rsidR="00DF2CCA">
        <w:t>orte di giustizia</w:t>
      </w:r>
      <w:r w:rsidRPr="00153A99">
        <w:t xml:space="preserve">, Grande Sezione, 22 giugno 2002, C-188/10 e C189/10, </w:t>
      </w:r>
      <w:proofErr w:type="spellStart"/>
      <w:r w:rsidRPr="00153A99">
        <w:rPr>
          <w:i/>
          <w:iCs/>
        </w:rPr>
        <w:t>Melki</w:t>
      </w:r>
      <w:proofErr w:type="spellEnd"/>
      <w:r w:rsidRPr="00153A99">
        <w:rPr>
          <w:i/>
          <w:iCs/>
        </w:rPr>
        <w:t xml:space="preserve"> e </w:t>
      </w:r>
      <w:proofErr w:type="spellStart"/>
      <w:r w:rsidRPr="00153A99">
        <w:rPr>
          <w:i/>
          <w:iCs/>
        </w:rPr>
        <w:t>Abdeli</w:t>
      </w:r>
      <w:proofErr w:type="spellEnd"/>
      <w:r w:rsidRPr="00153A99">
        <w:t>.</w:t>
      </w:r>
    </w:p>
  </w:footnote>
  <w:footnote w:id="26">
    <w:p w14:paraId="66F09AE5" w14:textId="77777777" w:rsidR="00C6385D" w:rsidRPr="00153A99" w:rsidRDefault="00C6385D" w:rsidP="00153A99">
      <w:pPr>
        <w:pStyle w:val="Testonotaapidipagina"/>
        <w:jc w:val="both"/>
        <w:rPr>
          <w:i/>
          <w:iCs/>
          <w:color w:val="000000" w:themeColor="text1"/>
        </w:rPr>
      </w:pPr>
      <w:r w:rsidRPr="00153A99">
        <w:rPr>
          <w:rStyle w:val="Rimandonotaapidipagina"/>
          <w:color w:val="000000" w:themeColor="text1"/>
        </w:rPr>
        <w:footnoteRef/>
      </w:r>
      <w:r w:rsidRPr="00153A99">
        <w:rPr>
          <w:color w:val="000000" w:themeColor="text1"/>
        </w:rPr>
        <w:t xml:space="preserve"> </w:t>
      </w:r>
      <w:r w:rsidRPr="00153A99">
        <w:rPr>
          <w:smallCaps/>
          <w:color w:val="000000" w:themeColor="text1"/>
        </w:rPr>
        <w:t>Scaccia</w:t>
      </w:r>
      <w:r w:rsidRPr="00153A99">
        <w:rPr>
          <w:color w:val="000000" w:themeColor="text1"/>
        </w:rPr>
        <w:t xml:space="preserve">, </w:t>
      </w:r>
      <w:r w:rsidRPr="00153A99">
        <w:rPr>
          <w:i/>
          <w:iCs/>
          <w:color w:val="000000" w:themeColor="text1"/>
        </w:rPr>
        <w:t>L’inversione della doppia pregiudiziale nella sentenza della Corte costituzionale n. 269 del 2017: presupposti teorici e problemi applicativi</w:t>
      </w:r>
      <w:r w:rsidRPr="00153A99">
        <w:rPr>
          <w:color w:val="000000" w:themeColor="text1"/>
        </w:rPr>
        <w:t xml:space="preserve">, in </w:t>
      </w:r>
      <w:r w:rsidRPr="00153A99">
        <w:rPr>
          <w:i/>
          <w:iCs/>
          <w:color w:val="000000" w:themeColor="text1"/>
        </w:rPr>
        <w:t>forumcostituzionale.it</w:t>
      </w:r>
    </w:p>
  </w:footnote>
  <w:footnote w:id="27">
    <w:p w14:paraId="1294AD00" w14:textId="6BB03B82" w:rsidR="00667503" w:rsidRPr="00153A99" w:rsidRDefault="003E0BC6" w:rsidP="00153A99">
      <w:pPr>
        <w:pStyle w:val="NormaleWeb"/>
        <w:spacing w:line="240" w:lineRule="auto"/>
        <w:jc w:val="both"/>
        <w:rPr>
          <w:rFonts w:eastAsia="Times New Roman"/>
          <w:i/>
          <w:iCs/>
          <w:color w:val="000000" w:themeColor="text1"/>
          <w:sz w:val="20"/>
          <w:szCs w:val="20"/>
          <w:lang w:eastAsia="it-IT"/>
        </w:rPr>
      </w:pPr>
      <w:r w:rsidRPr="00153A99">
        <w:rPr>
          <w:rStyle w:val="Rimandonotaapidipagina"/>
          <w:color w:val="000000" w:themeColor="text1"/>
          <w:sz w:val="20"/>
          <w:szCs w:val="20"/>
        </w:rPr>
        <w:footnoteRef/>
      </w:r>
      <w:r w:rsidRPr="00153A99">
        <w:rPr>
          <w:color w:val="000000" w:themeColor="text1"/>
          <w:sz w:val="20"/>
          <w:szCs w:val="20"/>
        </w:rPr>
        <w:t xml:space="preserve"> </w:t>
      </w:r>
      <w:r w:rsidR="00667503" w:rsidRPr="00153A99">
        <w:rPr>
          <w:rFonts w:eastAsia="Times New Roman"/>
          <w:smallCaps/>
          <w:color w:val="000000" w:themeColor="text1"/>
          <w:sz w:val="20"/>
          <w:szCs w:val="20"/>
          <w:lang w:eastAsia="it-IT"/>
        </w:rPr>
        <w:t>Ruggeri</w:t>
      </w:r>
      <w:r w:rsidR="00667503" w:rsidRPr="00153A99">
        <w:rPr>
          <w:rFonts w:eastAsia="Times New Roman"/>
          <w:color w:val="000000" w:themeColor="text1"/>
          <w:sz w:val="20"/>
          <w:szCs w:val="20"/>
          <w:lang w:eastAsia="it-IT"/>
        </w:rPr>
        <w:t xml:space="preserve">, </w:t>
      </w:r>
      <w:r w:rsidR="00667503" w:rsidRPr="00153A99">
        <w:rPr>
          <w:rFonts w:eastAsia="Times New Roman"/>
          <w:i/>
          <w:iCs/>
          <w:color w:val="000000" w:themeColor="text1"/>
          <w:sz w:val="20"/>
          <w:szCs w:val="20"/>
          <w:lang w:eastAsia="it-IT"/>
        </w:rPr>
        <w:t>La Consulta rimette a punto i rapporti tra diritto eurounitario</w:t>
      </w:r>
      <w:r w:rsidR="00667503" w:rsidRPr="00153A99">
        <w:rPr>
          <w:rFonts w:eastAsia="Times New Roman"/>
          <w:color w:val="000000" w:themeColor="text1"/>
          <w:sz w:val="20"/>
          <w:szCs w:val="20"/>
          <w:lang w:eastAsia="it-IT"/>
        </w:rPr>
        <w:t xml:space="preserve"> </w:t>
      </w:r>
      <w:r w:rsidR="00667503" w:rsidRPr="00153A99">
        <w:rPr>
          <w:rFonts w:eastAsia="Times New Roman"/>
          <w:i/>
          <w:iCs/>
          <w:color w:val="000000" w:themeColor="text1"/>
          <w:sz w:val="20"/>
          <w:szCs w:val="20"/>
          <w:lang w:eastAsia="it-IT"/>
        </w:rPr>
        <w:t>e diritto interno con una pronuncia in chiaroscuro</w:t>
      </w:r>
      <w:r w:rsidR="00667503" w:rsidRPr="00153A99">
        <w:rPr>
          <w:rFonts w:eastAsia="Times New Roman"/>
          <w:color w:val="000000" w:themeColor="text1"/>
          <w:sz w:val="20"/>
          <w:szCs w:val="20"/>
          <w:lang w:eastAsia="it-IT"/>
        </w:rPr>
        <w:t xml:space="preserve">, in </w:t>
      </w:r>
      <w:r w:rsidR="00667503" w:rsidRPr="00153A99">
        <w:rPr>
          <w:rFonts w:eastAsia="Times New Roman"/>
          <w:i/>
          <w:iCs/>
          <w:color w:val="000000" w:themeColor="text1"/>
          <w:sz w:val="20"/>
          <w:szCs w:val="20"/>
          <w:lang w:eastAsia="it-IT"/>
        </w:rPr>
        <w:t>giurcost.org</w:t>
      </w:r>
    </w:p>
    <w:p w14:paraId="757B6AA8" w14:textId="6CBD8B33" w:rsidR="003E0BC6" w:rsidRPr="00153A99" w:rsidRDefault="003E0BC6" w:rsidP="00153A99">
      <w:pPr>
        <w:pStyle w:val="Testonotaapidipagina"/>
        <w:jc w:val="both"/>
        <w:rPr>
          <w:color w:val="000000" w:themeColor="text1"/>
        </w:rPr>
      </w:pPr>
    </w:p>
  </w:footnote>
  <w:footnote w:id="28">
    <w:p w14:paraId="4F6B4A89" w14:textId="1F7AA1C5" w:rsidR="003E0BC6" w:rsidRPr="00153A99" w:rsidRDefault="003E0BC6" w:rsidP="00153A99">
      <w:pPr>
        <w:pStyle w:val="Testonotaapidipagina"/>
        <w:jc w:val="both"/>
        <w:rPr>
          <w:color w:val="000000" w:themeColor="text1"/>
        </w:rPr>
      </w:pPr>
      <w:r w:rsidRPr="00153A99">
        <w:rPr>
          <w:rStyle w:val="Rimandonotaapidipagina"/>
          <w:color w:val="000000" w:themeColor="text1"/>
        </w:rPr>
        <w:footnoteRef/>
      </w:r>
      <w:r w:rsidRPr="00153A99">
        <w:rPr>
          <w:color w:val="000000" w:themeColor="text1"/>
        </w:rPr>
        <w:t xml:space="preserve"> </w:t>
      </w:r>
      <w:r w:rsidRPr="00153A99">
        <w:rPr>
          <w:smallCaps/>
          <w:color w:val="000000" w:themeColor="text1"/>
        </w:rPr>
        <w:t>Pellegrini</w:t>
      </w:r>
      <w:r w:rsidRPr="00153A99">
        <w:rPr>
          <w:color w:val="000000" w:themeColor="text1"/>
        </w:rPr>
        <w:t xml:space="preserve">, </w:t>
      </w:r>
      <w:r w:rsidRPr="00153A99">
        <w:rPr>
          <w:i/>
          <w:iCs/>
          <w:color w:val="000000" w:themeColor="text1"/>
        </w:rPr>
        <w:t>op. cit.</w:t>
      </w:r>
      <w:r w:rsidRPr="00153A99">
        <w:rPr>
          <w:color w:val="000000" w:themeColor="text1"/>
        </w:rPr>
        <w:t xml:space="preserve"> </w:t>
      </w:r>
    </w:p>
  </w:footnote>
  <w:footnote w:id="29">
    <w:p w14:paraId="1FE2AFF5" w14:textId="0FA9CEC5" w:rsidR="00660A44" w:rsidRPr="00153A99" w:rsidRDefault="00EC5AF1" w:rsidP="00153A99">
      <w:pPr>
        <w:spacing w:line="240" w:lineRule="auto"/>
        <w:jc w:val="both"/>
        <w:rPr>
          <w:rFonts w:eastAsia="Times New Roman"/>
          <w:color w:val="000000" w:themeColor="text1"/>
          <w:sz w:val="20"/>
          <w:szCs w:val="20"/>
          <w:lang w:eastAsia="it-IT"/>
        </w:rPr>
      </w:pPr>
      <w:r w:rsidRPr="00153A99">
        <w:rPr>
          <w:rStyle w:val="Rimandonotaapidipagina"/>
          <w:color w:val="000000" w:themeColor="text1"/>
          <w:sz w:val="20"/>
          <w:szCs w:val="20"/>
        </w:rPr>
        <w:footnoteRef/>
      </w:r>
      <w:r w:rsidR="00660A44" w:rsidRPr="00153A99">
        <w:rPr>
          <w:color w:val="000000" w:themeColor="text1"/>
          <w:sz w:val="20"/>
          <w:szCs w:val="20"/>
        </w:rPr>
        <w:t xml:space="preserve"> </w:t>
      </w:r>
      <w:r w:rsidR="00660A44" w:rsidRPr="00153A99">
        <w:rPr>
          <w:rFonts w:eastAsia="Times New Roman"/>
          <w:color w:val="000000" w:themeColor="text1"/>
          <w:sz w:val="20"/>
          <w:szCs w:val="20"/>
          <w:shd w:val="clear" w:color="auto" w:fill="FFFFFF"/>
          <w:lang w:eastAsia="it-IT"/>
        </w:rPr>
        <w:t>Con </w:t>
      </w:r>
      <w:r w:rsidR="00F30E1C" w:rsidRPr="00153A99">
        <w:rPr>
          <w:rFonts w:eastAsia="Times New Roman"/>
          <w:color w:val="000000" w:themeColor="text1"/>
          <w:sz w:val="20"/>
          <w:szCs w:val="20"/>
          <w:lang w:eastAsia="it-IT"/>
        </w:rPr>
        <w:t>sentenza</w:t>
      </w:r>
      <w:r w:rsidR="00F30E1C" w:rsidRPr="00153A99">
        <w:rPr>
          <w:rFonts w:eastAsia="Times New Roman"/>
          <w:color w:val="000000" w:themeColor="text1"/>
          <w:sz w:val="20"/>
          <w:szCs w:val="20"/>
          <w:shd w:val="clear" w:color="auto" w:fill="FFFFFF"/>
          <w:lang w:eastAsia="it-IT"/>
        </w:rPr>
        <w:t xml:space="preserve"> </w:t>
      </w:r>
      <w:r w:rsidR="00660A44" w:rsidRPr="00153A99">
        <w:rPr>
          <w:rFonts w:eastAsia="Times New Roman"/>
          <w:color w:val="000000" w:themeColor="text1"/>
          <w:sz w:val="20"/>
          <w:szCs w:val="20"/>
          <w:shd w:val="clear" w:color="auto" w:fill="FFFFFF"/>
          <w:lang w:eastAsia="it-IT"/>
        </w:rPr>
        <w:t>n. 15/2014, del 6 dicembre 2016, la Corte suprema danese ha rifiutato di dare attuazione alla sentenza della Corte di giustizia nella causa </w:t>
      </w:r>
      <w:proofErr w:type="spellStart"/>
      <w:r w:rsidR="00660A44" w:rsidRPr="00153A99">
        <w:rPr>
          <w:rFonts w:eastAsia="Times New Roman"/>
          <w:i/>
          <w:iCs/>
          <w:color w:val="000000" w:themeColor="text1"/>
          <w:sz w:val="20"/>
          <w:szCs w:val="20"/>
          <w:lang w:eastAsia="it-IT"/>
        </w:rPr>
        <w:t>Dansk</w:t>
      </w:r>
      <w:proofErr w:type="spellEnd"/>
      <w:r w:rsidR="00660A44" w:rsidRPr="00153A99">
        <w:rPr>
          <w:rFonts w:eastAsia="Times New Roman"/>
          <w:i/>
          <w:iCs/>
          <w:color w:val="000000" w:themeColor="text1"/>
          <w:sz w:val="20"/>
          <w:szCs w:val="20"/>
          <w:lang w:eastAsia="it-IT"/>
        </w:rPr>
        <w:t xml:space="preserve"> Industri</w:t>
      </w:r>
      <w:r w:rsidR="00660A44" w:rsidRPr="00153A99">
        <w:rPr>
          <w:rFonts w:eastAsia="Times New Roman"/>
          <w:color w:val="000000" w:themeColor="text1"/>
          <w:sz w:val="20"/>
          <w:szCs w:val="20"/>
          <w:shd w:val="clear" w:color="auto" w:fill="FFFFFF"/>
          <w:lang w:eastAsia="it-IT"/>
        </w:rPr>
        <w:t> </w:t>
      </w:r>
      <w:r w:rsidR="00F30E1C" w:rsidRPr="00153A99">
        <w:rPr>
          <w:rFonts w:eastAsia="Times New Roman"/>
          <w:color w:val="000000" w:themeColor="text1"/>
          <w:sz w:val="20"/>
          <w:szCs w:val="20"/>
          <w:shd w:val="clear" w:color="auto" w:fill="FFFFFF"/>
          <w:lang w:eastAsia="it-IT"/>
        </w:rPr>
        <w:t xml:space="preserve">(sentenza </w:t>
      </w:r>
      <w:r w:rsidR="00660A44" w:rsidRPr="00153A99">
        <w:rPr>
          <w:rFonts w:eastAsia="Times New Roman"/>
          <w:color w:val="000000" w:themeColor="text1"/>
          <w:sz w:val="20"/>
          <w:szCs w:val="20"/>
          <w:shd w:val="clear" w:color="auto" w:fill="FFFFFF"/>
          <w:lang w:eastAsia="it-IT"/>
        </w:rPr>
        <w:t>del 19 aprile 2016, C-441/14), ritenendola in contrasto con lo strumento di adesione della Danimarca all</w:t>
      </w:r>
      <w:r w:rsidR="00144DEC" w:rsidRPr="00153A99">
        <w:rPr>
          <w:rFonts w:eastAsia="Times New Roman"/>
          <w:color w:val="000000" w:themeColor="text1"/>
          <w:sz w:val="20"/>
          <w:szCs w:val="20"/>
          <w:shd w:val="clear" w:color="auto" w:fill="FFFFFF"/>
          <w:lang w:eastAsia="it-IT"/>
        </w:rPr>
        <w:t>’</w:t>
      </w:r>
      <w:r w:rsidR="00660A44" w:rsidRPr="00153A99">
        <w:rPr>
          <w:rFonts w:eastAsia="Times New Roman"/>
          <w:color w:val="000000" w:themeColor="text1"/>
          <w:sz w:val="20"/>
          <w:szCs w:val="20"/>
          <w:shd w:val="clear" w:color="auto" w:fill="FFFFFF"/>
          <w:lang w:eastAsia="it-IT"/>
        </w:rPr>
        <w:t>Unione e con il riparto di competenze in esso cristallizzato.</w:t>
      </w:r>
      <w:r w:rsidR="00F30E1C" w:rsidRPr="00153A99">
        <w:rPr>
          <w:rFonts w:eastAsia="Times New Roman"/>
          <w:color w:val="000000" w:themeColor="text1"/>
          <w:sz w:val="20"/>
          <w:szCs w:val="20"/>
          <w:shd w:val="clear" w:color="auto" w:fill="FFFFFF"/>
          <w:lang w:eastAsia="it-IT"/>
        </w:rPr>
        <w:t xml:space="preserve"> La Corte danese in quell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occasione ha ritenuto che la Corte UE abbia ecceduto i propri poteri nel richiedere 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applicazione del principio di non discriminazione sulla base dell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età ad una controversia tra privati. La questione riguardava una norma dell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ordinamento danese secondo cui i lavoratori licenziati che abbiano compiuto il 60° anno di età, e che abbiano già maturato la pensione, non abbiano diritto all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indennità di disoccupazione. La Corte di giustizia, investita attraverso il rinvio pregiudiziale, aveva ritenuto che la norma fosse in contrasto con il principio di discriminazione in base all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età, applicabile anche ai rapporti orizzontali in quanto principio generale, e che in senso contrario non potessero essere invocate esigente di tutela dell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affidamento o della certezza giuridica. La Corte danese ha invece ritenuto che non vi fosse base normativa per l</w:t>
      </w:r>
      <w:r w:rsidR="00144DEC" w:rsidRPr="00153A99">
        <w:rPr>
          <w:rFonts w:eastAsia="Times New Roman"/>
          <w:color w:val="000000" w:themeColor="text1"/>
          <w:sz w:val="20"/>
          <w:szCs w:val="20"/>
          <w:shd w:val="clear" w:color="auto" w:fill="FFFFFF"/>
          <w:lang w:eastAsia="it-IT"/>
        </w:rPr>
        <w:t>’</w:t>
      </w:r>
      <w:r w:rsidR="00F30E1C" w:rsidRPr="00153A99">
        <w:rPr>
          <w:rFonts w:eastAsia="Times New Roman"/>
          <w:color w:val="000000" w:themeColor="text1"/>
          <w:sz w:val="20"/>
          <w:szCs w:val="20"/>
          <w:shd w:val="clear" w:color="auto" w:fill="FFFFFF"/>
          <w:lang w:eastAsia="it-IT"/>
        </w:rPr>
        <w:t xml:space="preserve">applicazione diretta del principio di non discriminazione ai rapporti orizzontali. </w:t>
      </w:r>
    </w:p>
  </w:footnote>
  <w:footnote w:id="30">
    <w:p w14:paraId="73D1C7A4" w14:textId="3B7DA69D" w:rsidR="00E34D68" w:rsidRPr="00153A99" w:rsidRDefault="00E34D68" w:rsidP="00153A99">
      <w:pPr>
        <w:spacing w:line="240" w:lineRule="auto"/>
        <w:jc w:val="both"/>
        <w:rPr>
          <w:rFonts w:eastAsia="Times New Roman"/>
          <w:color w:val="000000" w:themeColor="text1"/>
          <w:sz w:val="20"/>
          <w:szCs w:val="20"/>
          <w:lang w:eastAsia="it-IT"/>
        </w:rPr>
      </w:pPr>
      <w:r w:rsidRPr="00153A99">
        <w:rPr>
          <w:rStyle w:val="Rimandonotaapidipagina"/>
          <w:color w:val="000000" w:themeColor="text1"/>
          <w:sz w:val="20"/>
          <w:szCs w:val="20"/>
        </w:rPr>
        <w:footnoteRef/>
      </w:r>
      <w:r w:rsidRPr="00153A99">
        <w:rPr>
          <w:color w:val="000000" w:themeColor="text1"/>
          <w:sz w:val="20"/>
          <w:szCs w:val="20"/>
        </w:rPr>
        <w:t xml:space="preserve"> </w:t>
      </w:r>
      <w:r w:rsidRPr="00153A99">
        <w:rPr>
          <w:rFonts w:eastAsia="Times New Roman"/>
          <w:color w:val="000000" w:themeColor="text1"/>
          <w:spacing w:val="3"/>
          <w:sz w:val="20"/>
          <w:szCs w:val="20"/>
          <w:lang w:eastAsia="it-IT"/>
        </w:rPr>
        <w:t>Corte cost., 26 gennaio 2017, n. 24</w:t>
      </w:r>
      <w:r w:rsidR="00C6385D" w:rsidRPr="00153A99">
        <w:rPr>
          <w:rFonts w:eastAsia="Times New Roman"/>
          <w:color w:val="000000" w:themeColor="text1"/>
          <w:spacing w:val="3"/>
          <w:sz w:val="20"/>
          <w:szCs w:val="20"/>
          <w:lang w:eastAsia="it-IT"/>
        </w:rPr>
        <w:t>.</w:t>
      </w:r>
    </w:p>
    <w:p w14:paraId="72BCE91B" w14:textId="51E4E73F" w:rsidR="00E34D68" w:rsidRPr="00153A99" w:rsidRDefault="00E34D68" w:rsidP="00153A99">
      <w:pPr>
        <w:pStyle w:val="Testonotaapidipagina"/>
        <w:jc w:val="both"/>
        <w:rPr>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7C9DB" w14:textId="4AC31980" w:rsidR="00164D07" w:rsidRDefault="00164D07">
    <w:pPr>
      <w:pStyle w:val="Intestazione"/>
      <w:jc w:val="right"/>
    </w:pPr>
  </w:p>
  <w:p w14:paraId="6417A3E2" w14:textId="77777777" w:rsidR="00164D07" w:rsidRDefault="00164D0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95558"/>
    <w:multiLevelType w:val="hybridMultilevel"/>
    <w:tmpl w:val="95429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B47982"/>
    <w:multiLevelType w:val="hybridMultilevel"/>
    <w:tmpl w:val="6BE0DECC"/>
    <w:lvl w:ilvl="0" w:tplc="DA78D4F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A25B02"/>
    <w:multiLevelType w:val="hybridMultilevel"/>
    <w:tmpl w:val="B664B5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9A2312"/>
    <w:multiLevelType w:val="hybridMultilevel"/>
    <w:tmpl w:val="8C8C41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93"/>
    <w:rsid w:val="00016C13"/>
    <w:rsid w:val="000245CA"/>
    <w:rsid w:val="0003799B"/>
    <w:rsid w:val="00054C2D"/>
    <w:rsid w:val="0006398C"/>
    <w:rsid w:val="00077519"/>
    <w:rsid w:val="00084CA1"/>
    <w:rsid w:val="000D5414"/>
    <w:rsid w:val="00117F8C"/>
    <w:rsid w:val="00144DEC"/>
    <w:rsid w:val="00153A99"/>
    <w:rsid w:val="00164D07"/>
    <w:rsid w:val="001679D6"/>
    <w:rsid w:val="00183837"/>
    <w:rsid w:val="001875AE"/>
    <w:rsid w:val="001A4784"/>
    <w:rsid w:val="001B3C78"/>
    <w:rsid w:val="001B50C6"/>
    <w:rsid w:val="001C6711"/>
    <w:rsid w:val="00205033"/>
    <w:rsid w:val="00207230"/>
    <w:rsid w:val="00207DD8"/>
    <w:rsid w:val="0021333F"/>
    <w:rsid w:val="00216170"/>
    <w:rsid w:val="002228B5"/>
    <w:rsid w:val="002568CF"/>
    <w:rsid w:val="00256BBA"/>
    <w:rsid w:val="00273289"/>
    <w:rsid w:val="002B4370"/>
    <w:rsid w:val="002D3765"/>
    <w:rsid w:val="002D449F"/>
    <w:rsid w:val="002E3B0F"/>
    <w:rsid w:val="00307EAB"/>
    <w:rsid w:val="003164C5"/>
    <w:rsid w:val="00336443"/>
    <w:rsid w:val="00387375"/>
    <w:rsid w:val="00392F76"/>
    <w:rsid w:val="003A591E"/>
    <w:rsid w:val="003E0BC6"/>
    <w:rsid w:val="003E1CA8"/>
    <w:rsid w:val="00407FFB"/>
    <w:rsid w:val="00420411"/>
    <w:rsid w:val="004851C7"/>
    <w:rsid w:val="004B428E"/>
    <w:rsid w:val="004C5903"/>
    <w:rsid w:val="004D1241"/>
    <w:rsid w:val="004D49AF"/>
    <w:rsid w:val="004E0D10"/>
    <w:rsid w:val="004E2BDE"/>
    <w:rsid w:val="004E4E23"/>
    <w:rsid w:val="004F0A5B"/>
    <w:rsid w:val="00527240"/>
    <w:rsid w:val="00545921"/>
    <w:rsid w:val="00562BBE"/>
    <w:rsid w:val="00582074"/>
    <w:rsid w:val="005922D9"/>
    <w:rsid w:val="00597548"/>
    <w:rsid w:val="005B0D79"/>
    <w:rsid w:val="005B240A"/>
    <w:rsid w:val="005D2474"/>
    <w:rsid w:val="005D2801"/>
    <w:rsid w:val="005E7EBB"/>
    <w:rsid w:val="006172A7"/>
    <w:rsid w:val="00660A44"/>
    <w:rsid w:val="0066357F"/>
    <w:rsid w:val="00666917"/>
    <w:rsid w:val="00667503"/>
    <w:rsid w:val="006721C8"/>
    <w:rsid w:val="00673F37"/>
    <w:rsid w:val="00694CD5"/>
    <w:rsid w:val="00697B9F"/>
    <w:rsid w:val="006A3361"/>
    <w:rsid w:val="006A6CCB"/>
    <w:rsid w:val="006D608E"/>
    <w:rsid w:val="006E2E05"/>
    <w:rsid w:val="006F0494"/>
    <w:rsid w:val="006F3343"/>
    <w:rsid w:val="00703309"/>
    <w:rsid w:val="00710D46"/>
    <w:rsid w:val="00714D3B"/>
    <w:rsid w:val="007174D0"/>
    <w:rsid w:val="00750CD1"/>
    <w:rsid w:val="00767817"/>
    <w:rsid w:val="007B0806"/>
    <w:rsid w:val="007B65A2"/>
    <w:rsid w:val="007B70D2"/>
    <w:rsid w:val="007D6009"/>
    <w:rsid w:val="00807202"/>
    <w:rsid w:val="00863D57"/>
    <w:rsid w:val="00882A4A"/>
    <w:rsid w:val="008A1A1D"/>
    <w:rsid w:val="008B62C8"/>
    <w:rsid w:val="008C16C5"/>
    <w:rsid w:val="0093385B"/>
    <w:rsid w:val="00972A1A"/>
    <w:rsid w:val="009A358B"/>
    <w:rsid w:val="009B7012"/>
    <w:rsid w:val="009C55EE"/>
    <w:rsid w:val="009D787C"/>
    <w:rsid w:val="009E2BD4"/>
    <w:rsid w:val="009E645C"/>
    <w:rsid w:val="009E7355"/>
    <w:rsid w:val="00A06213"/>
    <w:rsid w:val="00A07728"/>
    <w:rsid w:val="00A12F01"/>
    <w:rsid w:val="00A5084A"/>
    <w:rsid w:val="00A6799B"/>
    <w:rsid w:val="00A76004"/>
    <w:rsid w:val="00AE0707"/>
    <w:rsid w:val="00AE31CD"/>
    <w:rsid w:val="00AF00DA"/>
    <w:rsid w:val="00AF336A"/>
    <w:rsid w:val="00B104D3"/>
    <w:rsid w:val="00B12DFB"/>
    <w:rsid w:val="00B2793E"/>
    <w:rsid w:val="00B42B2E"/>
    <w:rsid w:val="00B438DD"/>
    <w:rsid w:val="00B4521B"/>
    <w:rsid w:val="00B54561"/>
    <w:rsid w:val="00B613A8"/>
    <w:rsid w:val="00B67CB1"/>
    <w:rsid w:val="00B8285A"/>
    <w:rsid w:val="00BB0BDE"/>
    <w:rsid w:val="00C15277"/>
    <w:rsid w:val="00C17DE1"/>
    <w:rsid w:val="00C416A5"/>
    <w:rsid w:val="00C54DD4"/>
    <w:rsid w:val="00C63323"/>
    <w:rsid w:val="00C6385D"/>
    <w:rsid w:val="00C81D79"/>
    <w:rsid w:val="00CF1E54"/>
    <w:rsid w:val="00D245A4"/>
    <w:rsid w:val="00D35F3D"/>
    <w:rsid w:val="00D46F8E"/>
    <w:rsid w:val="00D609BB"/>
    <w:rsid w:val="00DB38A4"/>
    <w:rsid w:val="00DD589D"/>
    <w:rsid w:val="00DE1F62"/>
    <w:rsid w:val="00DE7AD3"/>
    <w:rsid w:val="00DF0D53"/>
    <w:rsid w:val="00DF2CCA"/>
    <w:rsid w:val="00E33179"/>
    <w:rsid w:val="00E34D68"/>
    <w:rsid w:val="00E46A6B"/>
    <w:rsid w:val="00E71BFE"/>
    <w:rsid w:val="00E82878"/>
    <w:rsid w:val="00E87D4C"/>
    <w:rsid w:val="00EC5AF1"/>
    <w:rsid w:val="00ED53AC"/>
    <w:rsid w:val="00F30E1C"/>
    <w:rsid w:val="00F43C71"/>
    <w:rsid w:val="00F44C93"/>
    <w:rsid w:val="00F50124"/>
    <w:rsid w:val="00F5177A"/>
    <w:rsid w:val="00F80A80"/>
    <w:rsid w:val="00F855C6"/>
    <w:rsid w:val="00F92450"/>
    <w:rsid w:val="00FE1A83"/>
    <w:rsid w:val="00FF30A4"/>
    <w:rsid w:val="00FF5BD1"/>
    <w:rsid w:val="00FF6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9D17"/>
  <w15:docId w15:val="{4F10DC4E-59E1-2249-8D17-A339F84E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2B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BDE"/>
  </w:style>
  <w:style w:type="paragraph" w:styleId="Pidipagina">
    <w:name w:val="footer"/>
    <w:basedOn w:val="Normale"/>
    <w:link w:val="PidipaginaCarattere"/>
    <w:uiPriority w:val="99"/>
    <w:unhideWhenUsed/>
    <w:rsid w:val="004E2B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BDE"/>
  </w:style>
  <w:style w:type="paragraph" w:styleId="Paragrafoelenco">
    <w:name w:val="List Paragraph"/>
    <w:basedOn w:val="Normale"/>
    <w:uiPriority w:val="34"/>
    <w:qFormat/>
    <w:rsid w:val="009E2BD4"/>
    <w:pPr>
      <w:ind w:left="720"/>
      <w:contextualSpacing/>
    </w:pPr>
  </w:style>
  <w:style w:type="paragraph" w:styleId="NormaleWeb">
    <w:name w:val="Normal (Web)"/>
    <w:basedOn w:val="Normale"/>
    <w:uiPriority w:val="99"/>
    <w:unhideWhenUsed/>
    <w:rsid w:val="00B67CB1"/>
    <w:rPr>
      <w:sz w:val="24"/>
      <w:szCs w:val="24"/>
    </w:rPr>
  </w:style>
  <w:style w:type="character" w:customStyle="1" w:styleId="apple-converted-space">
    <w:name w:val="apple-converted-space"/>
    <w:basedOn w:val="Carpredefinitoparagrafo"/>
    <w:rsid w:val="007B0806"/>
  </w:style>
  <w:style w:type="character" w:styleId="Collegamentoipertestuale">
    <w:name w:val="Hyperlink"/>
    <w:basedOn w:val="Carpredefinitoparagrafo"/>
    <w:uiPriority w:val="99"/>
    <w:semiHidden/>
    <w:unhideWhenUsed/>
    <w:rsid w:val="00A6799B"/>
    <w:rPr>
      <w:color w:val="0000FF"/>
      <w:u w:val="single"/>
    </w:rPr>
  </w:style>
  <w:style w:type="character" w:customStyle="1" w:styleId="spelle">
    <w:name w:val="spelle"/>
    <w:basedOn w:val="Carpredefinitoparagrafo"/>
    <w:rsid w:val="00A6799B"/>
  </w:style>
  <w:style w:type="paragraph" w:customStyle="1" w:styleId="dt">
    <w:name w:val="dt"/>
    <w:basedOn w:val="Normale"/>
    <w:rsid w:val="006721C8"/>
    <w:pPr>
      <w:spacing w:before="100" w:beforeAutospacing="1" w:after="100" w:afterAutospacing="1" w:line="240" w:lineRule="auto"/>
    </w:pPr>
    <w:rPr>
      <w:rFonts w:eastAsia="Times New Roman"/>
      <w:sz w:val="24"/>
      <w:szCs w:val="24"/>
      <w:lang w:eastAsia="it-IT"/>
    </w:rPr>
  </w:style>
  <w:style w:type="character" w:styleId="Enfasicorsivo">
    <w:name w:val="Emphasis"/>
    <w:basedOn w:val="Carpredefinitoparagrafo"/>
    <w:uiPriority w:val="20"/>
    <w:qFormat/>
    <w:rsid w:val="004F0A5B"/>
    <w:rPr>
      <w:i/>
      <w:iCs/>
    </w:rPr>
  </w:style>
  <w:style w:type="paragraph" w:styleId="Testonotaapidipagina">
    <w:name w:val="footnote text"/>
    <w:basedOn w:val="Normale"/>
    <w:link w:val="TestonotaapidipaginaCarattere"/>
    <w:uiPriority w:val="99"/>
    <w:semiHidden/>
    <w:unhideWhenUsed/>
    <w:rsid w:val="0052724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27240"/>
    <w:rPr>
      <w:sz w:val="20"/>
      <w:szCs w:val="20"/>
    </w:rPr>
  </w:style>
  <w:style w:type="character" w:styleId="Rimandonotaapidipagina">
    <w:name w:val="footnote reference"/>
    <w:basedOn w:val="Carpredefinitoparagrafo"/>
    <w:uiPriority w:val="99"/>
    <w:semiHidden/>
    <w:unhideWhenUsed/>
    <w:rsid w:val="00527240"/>
    <w:rPr>
      <w:vertAlign w:val="superscript"/>
    </w:rPr>
  </w:style>
  <w:style w:type="character" w:styleId="Enfasigrassetto">
    <w:name w:val="Strong"/>
    <w:basedOn w:val="Carpredefinitoparagrafo"/>
    <w:uiPriority w:val="22"/>
    <w:qFormat/>
    <w:rsid w:val="00E34D68"/>
    <w:rPr>
      <w:b/>
      <w:bCs/>
    </w:rPr>
  </w:style>
  <w:style w:type="character" w:styleId="Numeropagina">
    <w:name w:val="page number"/>
    <w:basedOn w:val="Carpredefinitoparagrafo"/>
    <w:uiPriority w:val="99"/>
    <w:semiHidden/>
    <w:unhideWhenUsed/>
    <w:rsid w:val="00AF00DA"/>
  </w:style>
  <w:style w:type="character" w:styleId="Rimandocommento">
    <w:name w:val="annotation reference"/>
    <w:basedOn w:val="Carpredefinitoparagrafo"/>
    <w:uiPriority w:val="99"/>
    <w:semiHidden/>
    <w:unhideWhenUsed/>
    <w:rsid w:val="003164C5"/>
    <w:rPr>
      <w:sz w:val="16"/>
      <w:szCs w:val="16"/>
    </w:rPr>
  </w:style>
  <w:style w:type="paragraph" w:styleId="Testocommento">
    <w:name w:val="annotation text"/>
    <w:basedOn w:val="Normale"/>
    <w:link w:val="TestocommentoCarattere"/>
    <w:uiPriority w:val="99"/>
    <w:semiHidden/>
    <w:unhideWhenUsed/>
    <w:rsid w:val="003164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164C5"/>
    <w:rPr>
      <w:sz w:val="20"/>
      <w:szCs w:val="20"/>
    </w:rPr>
  </w:style>
  <w:style w:type="paragraph" w:styleId="Soggettocommento">
    <w:name w:val="annotation subject"/>
    <w:basedOn w:val="Testocommento"/>
    <w:next w:val="Testocommento"/>
    <w:link w:val="SoggettocommentoCarattere"/>
    <w:uiPriority w:val="99"/>
    <w:semiHidden/>
    <w:unhideWhenUsed/>
    <w:rsid w:val="003164C5"/>
    <w:rPr>
      <w:b/>
      <w:bCs/>
    </w:rPr>
  </w:style>
  <w:style w:type="character" w:customStyle="1" w:styleId="SoggettocommentoCarattere">
    <w:name w:val="Soggetto commento Carattere"/>
    <w:basedOn w:val="TestocommentoCarattere"/>
    <w:link w:val="Soggettocommento"/>
    <w:uiPriority w:val="99"/>
    <w:semiHidden/>
    <w:rsid w:val="003164C5"/>
    <w:rPr>
      <w:b/>
      <w:bCs/>
      <w:sz w:val="20"/>
      <w:szCs w:val="20"/>
    </w:rPr>
  </w:style>
  <w:style w:type="paragraph" w:styleId="Testonotadichiusura">
    <w:name w:val="endnote text"/>
    <w:basedOn w:val="Normale"/>
    <w:link w:val="TestonotadichiusuraCarattere"/>
    <w:uiPriority w:val="99"/>
    <w:semiHidden/>
    <w:unhideWhenUsed/>
    <w:rsid w:val="006F334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F3343"/>
    <w:rPr>
      <w:sz w:val="20"/>
      <w:szCs w:val="20"/>
    </w:rPr>
  </w:style>
  <w:style w:type="character" w:styleId="Rimandonotadichiusura">
    <w:name w:val="endnote reference"/>
    <w:basedOn w:val="Carpredefinitoparagrafo"/>
    <w:uiPriority w:val="99"/>
    <w:semiHidden/>
    <w:unhideWhenUsed/>
    <w:rsid w:val="006F33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088">
      <w:bodyDiv w:val="1"/>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8690">
      <w:bodyDiv w:val="1"/>
      <w:marLeft w:val="0"/>
      <w:marRight w:val="0"/>
      <w:marTop w:val="0"/>
      <w:marBottom w:val="0"/>
      <w:divBdr>
        <w:top w:val="none" w:sz="0" w:space="0" w:color="auto"/>
        <w:left w:val="none" w:sz="0" w:space="0" w:color="auto"/>
        <w:bottom w:val="none" w:sz="0" w:space="0" w:color="auto"/>
        <w:right w:val="none" w:sz="0" w:space="0" w:color="auto"/>
      </w:divBdr>
    </w:div>
    <w:div w:id="189609327">
      <w:bodyDiv w:val="1"/>
      <w:marLeft w:val="0"/>
      <w:marRight w:val="0"/>
      <w:marTop w:val="0"/>
      <w:marBottom w:val="0"/>
      <w:divBdr>
        <w:top w:val="none" w:sz="0" w:space="0" w:color="auto"/>
        <w:left w:val="none" w:sz="0" w:space="0" w:color="auto"/>
        <w:bottom w:val="none" w:sz="0" w:space="0" w:color="auto"/>
        <w:right w:val="none" w:sz="0" w:space="0" w:color="auto"/>
      </w:divBdr>
    </w:div>
    <w:div w:id="222984010">
      <w:bodyDiv w:val="1"/>
      <w:marLeft w:val="0"/>
      <w:marRight w:val="0"/>
      <w:marTop w:val="0"/>
      <w:marBottom w:val="0"/>
      <w:divBdr>
        <w:top w:val="none" w:sz="0" w:space="0" w:color="auto"/>
        <w:left w:val="none" w:sz="0" w:space="0" w:color="auto"/>
        <w:bottom w:val="none" w:sz="0" w:space="0" w:color="auto"/>
        <w:right w:val="none" w:sz="0" w:space="0" w:color="auto"/>
      </w:divBdr>
      <w:divsChild>
        <w:div w:id="499469484">
          <w:marLeft w:val="0"/>
          <w:marRight w:val="0"/>
          <w:marTop w:val="0"/>
          <w:marBottom w:val="0"/>
          <w:divBdr>
            <w:top w:val="none" w:sz="0" w:space="0" w:color="auto"/>
            <w:left w:val="none" w:sz="0" w:space="0" w:color="auto"/>
            <w:bottom w:val="none" w:sz="0" w:space="0" w:color="auto"/>
            <w:right w:val="none" w:sz="0" w:space="0" w:color="auto"/>
          </w:divBdr>
          <w:divsChild>
            <w:div w:id="1206024104">
              <w:marLeft w:val="0"/>
              <w:marRight w:val="0"/>
              <w:marTop w:val="0"/>
              <w:marBottom w:val="0"/>
              <w:divBdr>
                <w:top w:val="none" w:sz="0" w:space="0" w:color="auto"/>
                <w:left w:val="none" w:sz="0" w:space="0" w:color="auto"/>
                <w:bottom w:val="none" w:sz="0" w:space="0" w:color="auto"/>
                <w:right w:val="none" w:sz="0" w:space="0" w:color="auto"/>
              </w:divBdr>
              <w:divsChild>
                <w:div w:id="1023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88616">
      <w:bodyDiv w:val="1"/>
      <w:marLeft w:val="0"/>
      <w:marRight w:val="0"/>
      <w:marTop w:val="0"/>
      <w:marBottom w:val="0"/>
      <w:divBdr>
        <w:top w:val="none" w:sz="0" w:space="0" w:color="auto"/>
        <w:left w:val="none" w:sz="0" w:space="0" w:color="auto"/>
        <w:bottom w:val="none" w:sz="0" w:space="0" w:color="auto"/>
        <w:right w:val="none" w:sz="0" w:space="0" w:color="auto"/>
      </w:divBdr>
    </w:div>
    <w:div w:id="237176682">
      <w:bodyDiv w:val="1"/>
      <w:marLeft w:val="0"/>
      <w:marRight w:val="0"/>
      <w:marTop w:val="0"/>
      <w:marBottom w:val="0"/>
      <w:divBdr>
        <w:top w:val="none" w:sz="0" w:space="0" w:color="auto"/>
        <w:left w:val="none" w:sz="0" w:space="0" w:color="auto"/>
        <w:bottom w:val="none" w:sz="0" w:space="0" w:color="auto"/>
        <w:right w:val="none" w:sz="0" w:space="0" w:color="auto"/>
      </w:divBdr>
      <w:divsChild>
        <w:div w:id="978345807">
          <w:marLeft w:val="0"/>
          <w:marRight w:val="0"/>
          <w:marTop w:val="0"/>
          <w:marBottom w:val="0"/>
          <w:divBdr>
            <w:top w:val="none" w:sz="0" w:space="0" w:color="auto"/>
            <w:left w:val="none" w:sz="0" w:space="0" w:color="auto"/>
            <w:bottom w:val="none" w:sz="0" w:space="0" w:color="auto"/>
            <w:right w:val="none" w:sz="0" w:space="0" w:color="auto"/>
          </w:divBdr>
          <w:divsChild>
            <w:div w:id="1532962743">
              <w:marLeft w:val="0"/>
              <w:marRight w:val="0"/>
              <w:marTop w:val="0"/>
              <w:marBottom w:val="0"/>
              <w:divBdr>
                <w:top w:val="none" w:sz="0" w:space="0" w:color="auto"/>
                <w:left w:val="none" w:sz="0" w:space="0" w:color="auto"/>
                <w:bottom w:val="none" w:sz="0" w:space="0" w:color="auto"/>
                <w:right w:val="none" w:sz="0" w:space="0" w:color="auto"/>
              </w:divBdr>
              <w:divsChild>
                <w:div w:id="2615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2595">
      <w:bodyDiv w:val="1"/>
      <w:marLeft w:val="0"/>
      <w:marRight w:val="0"/>
      <w:marTop w:val="0"/>
      <w:marBottom w:val="0"/>
      <w:divBdr>
        <w:top w:val="none" w:sz="0" w:space="0" w:color="auto"/>
        <w:left w:val="none" w:sz="0" w:space="0" w:color="auto"/>
        <w:bottom w:val="none" w:sz="0" w:space="0" w:color="auto"/>
        <w:right w:val="none" w:sz="0" w:space="0" w:color="auto"/>
      </w:divBdr>
      <w:divsChild>
        <w:div w:id="510997958">
          <w:marLeft w:val="0"/>
          <w:marRight w:val="0"/>
          <w:marTop w:val="0"/>
          <w:marBottom w:val="0"/>
          <w:divBdr>
            <w:top w:val="none" w:sz="0" w:space="0" w:color="auto"/>
            <w:left w:val="none" w:sz="0" w:space="0" w:color="auto"/>
            <w:bottom w:val="none" w:sz="0" w:space="0" w:color="auto"/>
            <w:right w:val="none" w:sz="0" w:space="0" w:color="auto"/>
          </w:divBdr>
          <w:divsChild>
            <w:div w:id="547647974">
              <w:marLeft w:val="0"/>
              <w:marRight w:val="0"/>
              <w:marTop w:val="0"/>
              <w:marBottom w:val="0"/>
              <w:divBdr>
                <w:top w:val="none" w:sz="0" w:space="0" w:color="auto"/>
                <w:left w:val="none" w:sz="0" w:space="0" w:color="auto"/>
                <w:bottom w:val="none" w:sz="0" w:space="0" w:color="auto"/>
                <w:right w:val="none" w:sz="0" w:space="0" w:color="auto"/>
              </w:divBdr>
              <w:divsChild>
                <w:div w:id="5557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4308">
      <w:bodyDiv w:val="1"/>
      <w:marLeft w:val="0"/>
      <w:marRight w:val="0"/>
      <w:marTop w:val="0"/>
      <w:marBottom w:val="0"/>
      <w:divBdr>
        <w:top w:val="none" w:sz="0" w:space="0" w:color="auto"/>
        <w:left w:val="none" w:sz="0" w:space="0" w:color="auto"/>
        <w:bottom w:val="none" w:sz="0" w:space="0" w:color="auto"/>
        <w:right w:val="none" w:sz="0" w:space="0" w:color="auto"/>
      </w:divBdr>
      <w:divsChild>
        <w:div w:id="631785804">
          <w:marLeft w:val="0"/>
          <w:marRight w:val="0"/>
          <w:marTop w:val="0"/>
          <w:marBottom w:val="0"/>
          <w:divBdr>
            <w:top w:val="none" w:sz="0" w:space="0" w:color="auto"/>
            <w:left w:val="none" w:sz="0" w:space="0" w:color="auto"/>
            <w:bottom w:val="none" w:sz="0" w:space="0" w:color="auto"/>
            <w:right w:val="none" w:sz="0" w:space="0" w:color="auto"/>
          </w:divBdr>
          <w:divsChild>
            <w:div w:id="570040240">
              <w:marLeft w:val="0"/>
              <w:marRight w:val="0"/>
              <w:marTop w:val="0"/>
              <w:marBottom w:val="0"/>
              <w:divBdr>
                <w:top w:val="none" w:sz="0" w:space="0" w:color="auto"/>
                <w:left w:val="none" w:sz="0" w:space="0" w:color="auto"/>
                <w:bottom w:val="none" w:sz="0" w:space="0" w:color="auto"/>
                <w:right w:val="none" w:sz="0" w:space="0" w:color="auto"/>
              </w:divBdr>
              <w:divsChild>
                <w:div w:id="1754160199">
                  <w:marLeft w:val="0"/>
                  <w:marRight w:val="0"/>
                  <w:marTop w:val="0"/>
                  <w:marBottom w:val="0"/>
                  <w:divBdr>
                    <w:top w:val="none" w:sz="0" w:space="0" w:color="auto"/>
                    <w:left w:val="none" w:sz="0" w:space="0" w:color="auto"/>
                    <w:bottom w:val="none" w:sz="0" w:space="0" w:color="auto"/>
                    <w:right w:val="none" w:sz="0" w:space="0" w:color="auto"/>
                  </w:divBdr>
                  <w:divsChild>
                    <w:div w:id="20861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7176">
      <w:bodyDiv w:val="1"/>
      <w:marLeft w:val="0"/>
      <w:marRight w:val="0"/>
      <w:marTop w:val="0"/>
      <w:marBottom w:val="0"/>
      <w:divBdr>
        <w:top w:val="none" w:sz="0" w:space="0" w:color="auto"/>
        <w:left w:val="none" w:sz="0" w:space="0" w:color="auto"/>
        <w:bottom w:val="none" w:sz="0" w:space="0" w:color="auto"/>
        <w:right w:val="none" w:sz="0" w:space="0" w:color="auto"/>
      </w:divBdr>
    </w:div>
    <w:div w:id="399865000">
      <w:bodyDiv w:val="1"/>
      <w:marLeft w:val="0"/>
      <w:marRight w:val="0"/>
      <w:marTop w:val="0"/>
      <w:marBottom w:val="0"/>
      <w:divBdr>
        <w:top w:val="none" w:sz="0" w:space="0" w:color="auto"/>
        <w:left w:val="none" w:sz="0" w:space="0" w:color="auto"/>
        <w:bottom w:val="none" w:sz="0" w:space="0" w:color="auto"/>
        <w:right w:val="none" w:sz="0" w:space="0" w:color="auto"/>
      </w:divBdr>
      <w:divsChild>
        <w:div w:id="396512839">
          <w:marLeft w:val="0"/>
          <w:marRight w:val="0"/>
          <w:marTop w:val="0"/>
          <w:marBottom w:val="0"/>
          <w:divBdr>
            <w:top w:val="none" w:sz="0" w:space="0" w:color="auto"/>
            <w:left w:val="none" w:sz="0" w:space="0" w:color="auto"/>
            <w:bottom w:val="none" w:sz="0" w:space="0" w:color="auto"/>
            <w:right w:val="none" w:sz="0" w:space="0" w:color="auto"/>
          </w:divBdr>
          <w:divsChild>
            <w:div w:id="1860268761">
              <w:marLeft w:val="0"/>
              <w:marRight w:val="0"/>
              <w:marTop w:val="0"/>
              <w:marBottom w:val="0"/>
              <w:divBdr>
                <w:top w:val="none" w:sz="0" w:space="0" w:color="auto"/>
                <w:left w:val="none" w:sz="0" w:space="0" w:color="auto"/>
                <w:bottom w:val="none" w:sz="0" w:space="0" w:color="auto"/>
                <w:right w:val="none" w:sz="0" w:space="0" w:color="auto"/>
              </w:divBdr>
              <w:divsChild>
                <w:div w:id="10931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1062">
      <w:bodyDiv w:val="1"/>
      <w:marLeft w:val="0"/>
      <w:marRight w:val="0"/>
      <w:marTop w:val="0"/>
      <w:marBottom w:val="0"/>
      <w:divBdr>
        <w:top w:val="none" w:sz="0" w:space="0" w:color="auto"/>
        <w:left w:val="none" w:sz="0" w:space="0" w:color="auto"/>
        <w:bottom w:val="none" w:sz="0" w:space="0" w:color="auto"/>
        <w:right w:val="none" w:sz="0" w:space="0" w:color="auto"/>
      </w:divBdr>
      <w:divsChild>
        <w:div w:id="1672369575">
          <w:marLeft w:val="0"/>
          <w:marRight w:val="0"/>
          <w:marTop w:val="0"/>
          <w:marBottom w:val="0"/>
          <w:divBdr>
            <w:top w:val="none" w:sz="0" w:space="0" w:color="auto"/>
            <w:left w:val="none" w:sz="0" w:space="0" w:color="auto"/>
            <w:bottom w:val="none" w:sz="0" w:space="0" w:color="auto"/>
            <w:right w:val="none" w:sz="0" w:space="0" w:color="auto"/>
          </w:divBdr>
          <w:divsChild>
            <w:div w:id="1379624292">
              <w:marLeft w:val="0"/>
              <w:marRight w:val="0"/>
              <w:marTop w:val="0"/>
              <w:marBottom w:val="0"/>
              <w:divBdr>
                <w:top w:val="none" w:sz="0" w:space="0" w:color="auto"/>
                <w:left w:val="none" w:sz="0" w:space="0" w:color="auto"/>
                <w:bottom w:val="none" w:sz="0" w:space="0" w:color="auto"/>
                <w:right w:val="none" w:sz="0" w:space="0" w:color="auto"/>
              </w:divBdr>
              <w:divsChild>
                <w:div w:id="12049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4069">
      <w:bodyDiv w:val="1"/>
      <w:marLeft w:val="0"/>
      <w:marRight w:val="0"/>
      <w:marTop w:val="0"/>
      <w:marBottom w:val="0"/>
      <w:divBdr>
        <w:top w:val="none" w:sz="0" w:space="0" w:color="auto"/>
        <w:left w:val="none" w:sz="0" w:space="0" w:color="auto"/>
        <w:bottom w:val="none" w:sz="0" w:space="0" w:color="auto"/>
        <w:right w:val="none" w:sz="0" w:space="0" w:color="auto"/>
      </w:divBdr>
      <w:divsChild>
        <w:div w:id="1984890044">
          <w:marLeft w:val="0"/>
          <w:marRight w:val="0"/>
          <w:marTop w:val="0"/>
          <w:marBottom w:val="0"/>
          <w:divBdr>
            <w:top w:val="none" w:sz="0" w:space="0" w:color="auto"/>
            <w:left w:val="none" w:sz="0" w:space="0" w:color="auto"/>
            <w:bottom w:val="none" w:sz="0" w:space="0" w:color="auto"/>
            <w:right w:val="none" w:sz="0" w:space="0" w:color="auto"/>
          </w:divBdr>
          <w:divsChild>
            <w:div w:id="1788504631">
              <w:marLeft w:val="0"/>
              <w:marRight w:val="0"/>
              <w:marTop w:val="0"/>
              <w:marBottom w:val="0"/>
              <w:divBdr>
                <w:top w:val="none" w:sz="0" w:space="0" w:color="auto"/>
                <w:left w:val="none" w:sz="0" w:space="0" w:color="auto"/>
                <w:bottom w:val="none" w:sz="0" w:space="0" w:color="auto"/>
                <w:right w:val="none" w:sz="0" w:space="0" w:color="auto"/>
              </w:divBdr>
              <w:divsChild>
                <w:div w:id="21170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8864">
      <w:bodyDiv w:val="1"/>
      <w:marLeft w:val="0"/>
      <w:marRight w:val="0"/>
      <w:marTop w:val="0"/>
      <w:marBottom w:val="0"/>
      <w:divBdr>
        <w:top w:val="none" w:sz="0" w:space="0" w:color="auto"/>
        <w:left w:val="none" w:sz="0" w:space="0" w:color="auto"/>
        <w:bottom w:val="none" w:sz="0" w:space="0" w:color="auto"/>
        <w:right w:val="none" w:sz="0" w:space="0" w:color="auto"/>
      </w:divBdr>
    </w:div>
    <w:div w:id="467479893">
      <w:bodyDiv w:val="1"/>
      <w:marLeft w:val="0"/>
      <w:marRight w:val="0"/>
      <w:marTop w:val="0"/>
      <w:marBottom w:val="0"/>
      <w:divBdr>
        <w:top w:val="none" w:sz="0" w:space="0" w:color="auto"/>
        <w:left w:val="none" w:sz="0" w:space="0" w:color="auto"/>
        <w:bottom w:val="none" w:sz="0" w:space="0" w:color="auto"/>
        <w:right w:val="none" w:sz="0" w:space="0" w:color="auto"/>
      </w:divBdr>
    </w:div>
    <w:div w:id="473327642">
      <w:bodyDiv w:val="1"/>
      <w:marLeft w:val="0"/>
      <w:marRight w:val="0"/>
      <w:marTop w:val="0"/>
      <w:marBottom w:val="0"/>
      <w:divBdr>
        <w:top w:val="none" w:sz="0" w:space="0" w:color="auto"/>
        <w:left w:val="none" w:sz="0" w:space="0" w:color="auto"/>
        <w:bottom w:val="none" w:sz="0" w:space="0" w:color="auto"/>
        <w:right w:val="none" w:sz="0" w:space="0" w:color="auto"/>
      </w:divBdr>
      <w:divsChild>
        <w:div w:id="1922056190">
          <w:marLeft w:val="0"/>
          <w:marRight w:val="0"/>
          <w:marTop w:val="0"/>
          <w:marBottom w:val="0"/>
          <w:divBdr>
            <w:top w:val="none" w:sz="0" w:space="0" w:color="auto"/>
            <w:left w:val="none" w:sz="0" w:space="0" w:color="auto"/>
            <w:bottom w:val="none" w:sz="0" w:space="0" w:color="auto"/>
            <w:right w:val="none" w:sz="0" w:space="0" w:color="auto"/>
          </w:divBdr>
          <w:divsChild>
            <w:div w:id="1059938924">
              <w:marLeft w:val="0"/>
              <w:marRight w:val="0"/>
              <w:marTop w:val="0"/>
              <w:marBottom w:val="0"/>
              <w:divBdr>
                <w:top w:val="none" w:sz="0" w:space="0" w:color="auto"/>
                <w:left w:val="none" w:sz="0" w:space="0" w:color="auto"/>
                <w:bottom w:val="none" w:sz="0" w:space="0" w:color="auto"/>
                <w:right w:val="none" w:sz="0" w:space="0" w:color="auto"/>
              </w:divBdr>
              <w:divsChild>
                <w:div w:id="471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0633">
      <w:bodyDiv w:val="1"/>
      <w:marLeft w:val="0"/>
      <w:marRight w:val="0"/>
      <w:marTop w:val="0"/>
      <w:marBottom w:val="0"/>
      <w:divBdr>
        <w:top w:val="none" w:sz="0" w:space="0" w:color="auto"/>
        <w:left w:val="none" w:sz="0" w:space="0" w:color="auto"/>
        <w:bottom w:val="none" w:sz="0" w:space="0" w:color="auto"/>
        <w:right w:val="none" w:sz="0" w:space="0" w:color="auto"/>
      </w:divBdr>
      <w:divsChild>
        <w:div w:id="696732218">
          <w:marLeft w:val="0"/>
          <w:marRight w:val="0"/>
          <w:marTop w:val="0"/>
          <w:marBottom w:val="0"/>
          <w:divBdr>
            <w:top w:val="none" w:sz="0" w:space="0" w:color="auto"/>
            <w:left w:val="none" w:sz="0" w:space="0" w:color="auto"/>
            <w:bottom w:val="none" w:sz="0" w:space="0" w:color="auto"/>
            <w:right w:val="none" w:sz="0" w:space="0" w:color="auto"/>
          </w:divBdr>
          <w:divsChild>
            <w:div w:id="1345740110">
              <w:marLeft w:val="0"/>
              <w:marRight w:val="0"/>
              <w:marTop w:val="0"/>
              <w:marBottom w:val="0"/>
              <w:divBdr>
                <w:top w:val="none" w:sz="0" w:space="0" w:color="auto"/>
                <w:left w:val="none" w:sz="0" w:space="0" w:color="auto"/>
                <w:bottom w:val="none" w:sz="0" w:space="0" w:color="auto"/>
                <w:right w:val="none" w:sz="0" w:space="0" w:color="auto"/>
              </w:divBdr>
              <w:divsChild>
                <w:div w:id="1070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5023">
      <w:bodyDiv w:val="1"/>
      <w:marLeft w:val="0"/>
      <w:marRight w:val="0"/>
      <w:marTop w:val="0"/>
      <w:marBottom w:val="0"/>
      <w:divBdr>
        <w:top w:val="none" w:sz="0" w:space="0" w:color="auto"/>
        <w:left w:val="none" w:sz="0" w:space="0" w:color="auto"/>
        <w:bottom w:val="none" w:sz="0" w:space="0" w:color="auto"/>
        <w:right w:val="none" w:sz="0" w:space="0" w:color="auto"/>
      </w:divBdr>
      <w:divsChild>
        <w:div w:id="2005401871">
          <w:marLeft w:val="0"/>
          <w:marRight w:val="0"/>
          <w:marTop w:val="0"/>
          <w:marBottom w:val="0"/>
          <w:divBdr>
            <w:top w:val="none" w:sz="0" w:space="0" w:color="auto"/>
            <w:left w:val="none" w:sz="0" w:space="0" w:color="auto"/>
            <w:bottom w:val="none" w:sz="0" w:space="0" w:color="auto"/>
            <w:right w:val="none" w:sz="0" w:space="0" w:color="auto"/>
          </w:divBdr>
          <w:divsChild>
            <w:div w:id="537468740">
              <w:marLeft w:val="0"/>
              <w:marRight w:val="0"/>
              <w:marTop w:val="0"/>
              <w:marBottom w:val="0"/>
              <w:divBdr>
                <w:top w:val="none" w:sz="0" w:space="0" w:color="auto"/>
                <w:left w:val="none" w:sz="0" w:space="0" w:color="auto"/>
                <w:bottom w:val="none" w:sz="0" w:space="0" w:color="auto"/>
                <w:right w:val="none" w:sz="0" w:space="0" w:color="auto"/>
              </w:divBdr>
              <w:divsChild>
                <w:div w:id="16264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50879">
      <w:bodyDiv w:val="1"/>
      <w:marLeft w:val="0"/>
      <w:marRight w:val="0"/>
      <w:marTop w:val="0"/>
      <w:marBottom w:val="0"/>
      <w:divBdr>
        <w:top w:val="none" w:sz="0" w:space="0" w:color="auto"/>
        <w:left w:val="none" w:sz="0" w:space="0" w:color="auto"/>
        <w:bottom w:val="none" w:sz="0" w:space="0" w:color="auto"/>
        <w:right w:val="none" w:sz="0" w:space="0" w:color="auto"/>
      </w:divBdr>
      <w:divsChild>
        <w:div w:id="1371034711">
          <w:marLeft w:val="0"/>
          <w:marRight w:val="0"/>
          <w:marTop w:val="0"/>
          <w:marBottom w:val="0"/>
          <w:divBdr>
            <w:top w:val="none" w:sz="0" w:space="0" w:color="auto"/>
            <w:left w:val="none" w:sz="0" w:space="0" w:color="auto"/>
            <w:bottom w:val="none" w:sz="0" w:space="0" w:color="auto"/>
            <w:right w:val="none" w:sz="0" w:space="0" w:color="auto"/>
          </w:divBdr>
          <w:divsChild>
            <w:div w:id="715662744">
              <w:marLeft w:val="0"/>
              <w:marRight w:val="0"/>
              <w:marTop w:val="0"/>
              <w:marBottom w:val="0"/>
              <w:divBdr>
                <w:top w:val="none" w:sz="0" w:space="0" w:color="auto"/>
                <w:left w:val="none" w:sz="0" w:space="0" w:color="auto"/>
                <w:bottom w:val="none" w:sz="0" w:space="0" w:color="auto"/>
                <w:right w:val="none" w:sz="0" w:space="0" w:color="auto"/>
              </w:divBdr>
              <w:divsChild>
                <w:div w:id="19315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7187">
      <w:bodyDiv w:val="1"/>
      <w:marLeft w:val="0"/>
      <w:marRight w:val="0"/>
      <w:marTop w:val="0"/>
      <w:marBottom w:val="0"/>
      <w:divBdr>
        <w:top w:val="none" w:sz="0" w:space="0" w:color="auto"/>
        <w:left w:val="none" w:sz="0" w:space="0" w:color="auto"/>
        <w:bottom w:val="none" w:sz="0" w:space="0" w:color="auto"/>
        <w:right w:val="none" w:sz="0" w:space="0" w:color="auto"/>
      </w:divBdr>
      <w:divsChild>
        <w:div w:id="1672877652">
          <w:marLeft w:val="0"/>
          <w:marRight w:val="0"/>
          <w:marTop w:val="0"/>
          <w:marBottom w:val="0"/>
          <w:divBdr>
            <w:top w:val="none" w:sz="0" w:space="0" w:color="auto"/>
            <w:left w:val="none" w:sz="0" w:space="0" w:color="auto"/>
            <w:bottom w:val="none" w:sz="0" w:space="0" w:color="auto"/>
            <w:right w:val="none" w:sz="0" w:space="0" w:color="auto"/>
          </w:divBdr>
          <w:divsChild>
            <w:div w:id="11033025">
              <w:marLeft w:val="0"/>
              <w:marRight w:val="0"/>
              <w:marTop w:val="0"/>
              <w:marBottom w:val="0"/>
              <w:divBdr>
                <w:top w:val="none" w:sz="0" w:space="0" w:color="auto"/>
                <w:left w:val="none" w:sz="0" w:space="0" w:color="auto"/>
                <w:bottom w:val="none" w:sz="0" w:space="0" w:color="auto"/>
                <w:right w:val="none" w:sz="0" w:space="0" w:color="auto"/>
              </w:divBdr>
              <w:divsChild>
                <w:div w:id="11543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0072">
          <w:marLeft w:val="0"/>
          <w:marRight w:val="0"/>
          <w:marTop w:val="0"/>
          <w:marBottom w:val="0"/>
          <w:divBdr>
            <w:top w:val="none" w:sz="0" w:space="0" w:color="auto"/>
            <w:left w:val="none" w:sz="0" w:space="0" w:color="auto"/>
            <w:bottom w:val="none" w:sz="0" w:space="0" w:color="auto"/>
            <w:right w:val="none" w:sz="0" w:space="0" w:color="auto"/>
          </w:divBdr>
          <w:divsChild>
            <w:div w:id="358434281">
              <w:marLeft w:val="0"/>
              <w:marRight w:val="0"/>
              <w:marTop w:val="0"/>
              <w:marBottom w:val="0"/>
              <w:divBdr>
                <w:top w:val="none" w:sz="0" w:space="0" w:color="auto"/>
                <w:left w:val="none" w:sz="0" w:space="0" w:color="auto"/>
                <w:bottom w:val="none" w:sz="0" w:space="0" w:color="auto"/>
                <w:right w:val="none" w:sz="0" w:space="0" w:color="auto"/>
              </w:divBdr>
              <w:divsChild>
                <w:div w:id="5490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0045">
      <w:bodyDiv w:val="1"/>
      <w:marLeft w:val="0"/>
      <w:marRight w:val="0"/>
      <w:marTop w:val="0"/>
      <w:marBottom w:val="0"/>
      <w:divBdr>
        <w:top w:val="none" w:sz="0" w:space="0" w:color="auto"/>
        <w:left w:val="none" w:sz="0" w:space="0" w:color="auto"/>
        <w:bottom w:val="none" w:sz="0" w:space="0" w:color="auto"/>
        <w:right w:val="none" w:sz="0" w:space="0" w:color="auto"/>
      </w:divBdr>
      <w:divsChild>
        <w:div w:id="2141724862">
          <w:marLeft w:val="0"/>
          <w:marRight w:val="0"/>
          <w:marTop w:val="0"/>
          <w:marBottom w:val="0"/>
          <w:divBdr>
            <w:top w:val="none" w:sz="0" w:space="0" w:color="auto"/>
            <w:left w:val="none" w:sz="0" w:space="0" w:color="auto"/>
            <w:bottom w:val="none" w:sz="0" w:space="0" w:color="auto"/>
            <w:right w:val="none" w:sz="0" w:space="0" w:color="auto"/>
          </w:divBdr>
          <w:divsChild>
            <w:div w:id="1352607710">
              <w:marLeft w:val="0"/>
              <w:marRight w:val="0"/>
              <w:marTop w:val="0"/>
              <w:marBottom w:val="0"/>
              <w:divBdr>
                <w:top w:val="none" w:sz="0" w:space="0" w:color="auto"/>
                <w:left w:val="none" w:sz="0" w:space="0" w:color="auto"/>
                <w:bottom w:val="none" w:sz="0" w:space="0" w:color="auto"/>
                <w:right w:val="none" w:sz="0" w:space="0" w:color="auto"/>
              </w:divBdr>
              <w:divsChild>
                <w:div w:id="10301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425">
      <w:bodyDiv w:val="1"/>
      <w:marLeft w:val="0"/>
      <w:marRight w:val="0"/>
      <w:marTop w:val="0"/>
      <w:marBottom w:val="0"/>
      <w:divBdr>
        <w:top w:val="none" w:sz="0" w:space="0" w:color="auto"/>
        <w:left w:val="none" w:sz="0" w:space="0" w:color="auto"/>
        <w:bottom w:val="none" w:sz="0" w:space="0" w:color="auto"/>
        <w:right w:val="none" w:sz="0" w:space="0" w:color="auto"/>
      </w:divBdr>
      <w:divsChild>
        <w:div w:id="1718117991">
          <w:marLeft w:val="0"/>
          <w:marRight w:val="0"/>
          <w:marTop w:val="0"/>
          <w:marBottom w:val="0"/>
          <w:divBdr>
            <w:top w:val="none" w:sz="0" w:space="0" w:color="auto"/>
            <w:left w:val="none" w:sz="0" w:space="0" w:color="auto"/>
            <w:bottom w:val="none" w:sz="0" w:space="0" w:color="auto"/>
            <w:right w:val="none" w:sz="0" w:space="0" w:color="auto"/>
          </w:divBdr>
          <w:divsChild>
            <w:div w:id="2106339194">
              <w:marLeft w:val="0"/>
              <w:marRight w:val="0"/>
              <w:marTop w:val="0"/>
              <w:marBottom w:val="0"/>
              <w:divBdr>
                <w:top w:val="none" w:sz="0" w:space="0" w:color="auto"/>
                <w:left w:val="none" w:sz="0" w:space="0" w:color="auto"/>
                <w:bottom w:val="none" w:sz="0" w:space="0" w:color="auto"/>
                <w:right w:val="none" w:sz="0" w:space="0" w:color="auto"/>
              </w:divBdr>
              <w:divsChild>
                <w:div w:id="18440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10961">
      <w:bodyDiv w:val="1"/>
      <w:marLeft w:val="0"/>
      <w:marRight w:val="0"/>
      <w:marTop w:val="0"/>
      <w:marBottom w:val="0"/>
      <w:divBdr>
        <w:top w:val="none" w:sz="0" w:space="0" w:color="auto"/>
        <w:left w:val="none" w:sz="0" w:space="0" w:color="auto"/>
        <w:bottom w:val="none" w:sz="0" w:space="0" w:color="auto"/>
        <w:right w:val="none" w:sz="0" w:space="0" w:color="auto"/>
      </w:divBdr>
      <w:divsChild>
        <w:div w:id="541018328">
          <w:marLeft w:val="0"/>
          <w:marRight w:val="0"/>
          <w:marTop w:val="0"/>
          <w:marBottom w:val="0"/>
          <w:divBdr>
            <w:top w:val="none" w:sz="0" w:space="0" w:color="auto"/>
            <w:left w:val="none" w:sz="0" w:space="0" w:color="auto"/>
            <w:bottom w:val="none" w:sz="0" w:space="0" w:color="auto"/>
            <w:right w:val="none" w:sz="0" w:space="0" w:color="auto"/>
          </w:divBdr>
          <w:divsChild>
            <w:div w:id="633869231">
              <w:marLeft w:val="0"/>
              <w:marRight w:val="0"/>
              <w:marTop w:val="0"/>
              <w:marBottom w:val="0"/>
              <w:divBdr>
                <w:top w:val="none" w:sz="0" w:space="0" w:color="auto"/>
                <w:left w:val="none" w:sz="0" w:space="0" w:color="auto"/>
                <w:bottom w:val="none" w:sz="0" w:space="0" w:color="auto"/>
                <w:right w:val="none" w:sz="0" w:space="0" w:color="auto"/>
              </w:divBdr>
              <w:divsChild>
                <w:div w:id="1144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19394">
      <w:bodyDiv w:val="1"/>
      <w:marLeft w:val="0"/>
      <w:marRight w:val="0"/>
      <w:marTop w:val="0"/>
      <w:marBottom w:val="0"/>
      <w:divBdr>
        <w:top w:val="none" w:sz="0" w:space="0" w:color="auto"/>
        <w:left w:val="none" w:sz="0" w:space="0" w:color="auto"/>
        <w:bottom w:val="none" w:sz="0" w:space="0" w:color="auto"/>
        <w:right w:val="none" w:sz="0" w:space="0" w:color="auto"/>
      </w:divBdr>
      <w:divsChild>
        <w:div w:id="2142648766">
          <w:marLeft w:val="0"/>
          <w:marRight w:val="0"/>
          <w:marTop w:val="0"/>
          <w:marBottom w:val="0"/>
          <w:divBdr>
            <w:top w:val="none" w:sz="0" w:space="0" w:color="auto"/>
            <w:left w:val="none" w:sz="0" w:space="0" w:color="auto"/>
            <w:bottom w:val="none" w:sz="0" w:space="0" w:color="auto"/>
            <w:right w:val="none" w:sz="0" w:space="0" w:color="auto"/>
          </w:divBdr>
          <w:divsChild>
            <w:div w:id="889344262">
              <w:marLeft w:val="0"/>
              <w:marRight w:val="0"/>
              <w:marTop w:val="0"/>
              <w:marBottom w:val="0"/>
              <w:divBdr>
                <w:top w:val="none" w:sz="0" w:space="0" w:color="auto"/>
                <w:left w:val="none" w:sz="0" w:space="0" w:color="auto"/>
                <w:bottom w:val="none" w:sz="0" w:space="0" w:color="auto"/>
                <w:right w:val="none" w:sz="0" w:space="0" w:color="auto"/>
              </w:divBdr>
              <w:divsChild>
                <w:div w:id="10053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1366">
      <w:bodyDiv w:val="1"/>
      <w:marLeft w:val="0"/>
      <w:marRight w:val="0"/>
      <w:marTop w:val="0"/>
      <w:marBottom w:val="0"/>
      <w:divBdr>
        <w:top w:val="none" w:sz="0" w:space="0" w:color="auto"/>
        <w:left w:val="none" w:sz="0" w:space="0" w:color="auto"/>
        <w:bottom w:val="none" w:sz="0" w:space="0" w:color="auto"/>
        <w:right w:val="none" w:sz="0" w:space="0" w:color="auto"/>
      </w:divBdr>
      <w:divsChild>
        <w:div w:id="646012242">
          <w:marLeft w:val="0"/>
          <w:marRight w:val="0"/>
          <w:marTop w:val="0"/>
          <w:marBottom w:val="0"/>
          <w:divBdr>
            <w:top w:val="none" w:sz="0" w:space="0" w:color="auto"/>
            <w:left w:val="none" w:sz="0" w:space="0" w:color="auto"/>
            <w:bottom w:val="none" w:sz="0" w:space="0" w:color="auto"/>
            <w:right w:val="none" w:sz="0" w:space="0" w:color="auto"/>
          </w:divBdr>
          <w:divsChild>
            <w:div w:id="1590966824">
              <w:marLeft w:val="0"/>
              <w:marRight w:val="0"/>
              <w:marTop w:val="0"/>
              <w:marBottom w:val="0"/>
              <w:divBdr>
                <w:top w:val="none" w:sz="0" w:space="0" w:color="auto"/>
                <w:left w:val="none" w:sz="0" w:space="0" w:color="auto"/>
                <w:bottom w:val="none" w:sz="0" w:space="0" w:color="auto"/>
                <w:right w:val="none" w:sz="0" w:space="0" w:color="auto"/>
              </w:divBdr>
              <w:divsChild>
                <w:div w:id="1645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36956">
      <w:bodyDiv w:val="1"/>
      <w:marLeft w:val="0"/>
      <w:marRight w:val="0"/>
      <w:marTop w:val="0"/>
      <w:marBottom w:val="0"/>
      <w:divBdr>
        <w:top w:val="none" w:sz="0" w:space="0" w:color="auto"/>
        <w:left w:val="none" w:sz="0" w:space="0" w:color="auto"/>
        <w:bottom w:val="none" w:sz="0" w:space="0" w:color="auto"/>
        <w:right w:val="none" w:sz="0" w:space="0" w:color="auto"/>
      </w:divBdr>
    </w:div>
    <w:div w:id="1046371125">
      <w:bodyDiv w:val="1"/>
      <w:marLeft w:val="0"/>
      <w:marRight w:val="0"/>
      <w:marTop w:val="0"/>
      <w:marBottom w:val="0"/>
      <w:divBdr>
        <w:top w:val="none" w:sz="0" w:space="0" w:color="auto"/>
        <w:left w:val="none" w:sz="0" w:space="0" w:color="auto"/>
        <w:bottom w:val="none" w:sz="0" w:space="0" w:color="auto"/>
        <w:right w:val="none" w:sz="0" w:space="0" w:color="auto"/>
      </w:divBdr>
    </w:div>
    <w:div w:id="1064525789">
      <w:bodyDiv w:val="1"/>
      <w:marLeft w:val="0"/>
      <w:marRight w:val="0"/>
      <w:marTop w:val="0"/>
      <w:marBottom w:val="0"/>
      <w:divBdr>
        <w:top w:val="none" w:sz="0" w:space="0" w:color="auto"/>
        <w:left w:val="none" w:sz="0" w:space="0" w:color="auto"/>
        <w:bottom w:val="none" w:sz="0" w:space="0" w:color="auto"/>
        <w:right w:val="none" w:sz="0" w:space="0" w:color="auto"/>
      </w:divBdr>
      <w:divsChild>
        <w:div w:id="1695155729">
          <w:marLeft w:val="0"/>
          <w:marRight w:val="0"/>
          <w:marTop w:val="0"/>
          <w:marBottom w:val="0"/>
          <w:divBdr>
            <w:top w:val="none" w:sz="0" w:space="0" w:color="auto"/>
            <w:left w:val="none" w:sz="0" w:space="0" w:color="auto"/>
            <w:bottom w:val="none" w:sz="0" w:space="0" w:color="auto"/>
            <w:right w:val="none" w:sz="0" w:space="0" w:color="auto"/>
          </w:divBdr>
          <w:divsChild>
            <w:div w:id="1804034377">
              <w:marLeft w:val="0"/>
              <w:marRight w:val="0"/>
              <w:marTop w:val="0"/>
              <w:marBottom w:val="0"/>
              <w:divBdr>
                <w:top w:val="none" w:sz="0" w:space="0" w:color="auto"/>
                <w:left w:val="none" w:sz="0" w:space="0" w:color="auto"/>
                <w:bottom w:val="none" w:sz="0" w:space="0" w:color="auto"/>
                <w:right w:val="none" w:sz="0" w:space="0" w:color="auto"/>
              </w:divBdr>
              <w:divsChild>
                <w:div w:id="19268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7932">
      <w:bodyDiv w:val="1"/>
      <w:marLeft w:val="0"/>
      <w:marRight w:val="0"/>
      <w:marTop w:val="0"/>
      <w:marBottom w:val="0"/>
      <w:divBdr>
        <w:top w:val="none" w:sz="0" w:space="0" w:color="auto"/>
        <w:left w:val="none" w:sz="0" w:space="0" w:color="auto"/>
        <w:bottom w:val="none" w:sz="0" w:space="0" w:color="auto"/>
        <w:right w:val="none" w:sz="0" w:space="0" w:color="auto"/>
      </w:divBdr>
      <w:divsChild>
        <w:div w:id="558446758">
          <w:marLeft w:val="0"/>
          <w:marRight w:val="0"/>
          <w:marTop w:val="0"/>
          <w:marBottom w:val="0"/>
          <w:divBdr>
            <w:top w:val="none" w:sz="0" w:space="0" w:color="auto"/>
            <w:left w:val="none" w:sz="0" w:space="0" w:color="auto"/>
            <w:bottom w:val="none" w:sz="0" w:space="0" w:color="auto"/>
            <w:right w:val="none" w:sz="0" w:space="0" w:color="auto"/>
          </w:divBdr>
          <w:divsChild>
            <w:div w:id="1503161462">
              <w:marLeft w:val="0"/>
              <w:marRight w:val="0"/>
              <w:marTop w:val="0"/>
              <w:marBottom w:val="0"/>
              <w:divBdr>
                <w:top w:val="none" w:sz="0" w:space="0" w:color="auto"/>
                <w:left w:val="none" w:sz="0" w:space="0" w:color="auto"/>
                <w:bottom w:val="none" w:sz="0" w:space="0" w:color="auto"/>
                <w:right w:val="none" w:sz="0" w:space="0" w:color="auto"/>
              </w:divBdr>
              <w:divsChild>
                <w:div w:id="14838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45840">
      <w:bodyDiv w:val="1"/>
      <w:marLeft w:val="0"/>
      <w:marRight w:val="0"/>
      <w:marTop w:val="0"/>
      <w:marBottom w:val="0"/>
      <w:divBdr>
        <w:top w:val="none" w:sz="0" w:space="0" w:color="auto"/>
        <w:left w:val="none" w:sz="0" w:space="0" w:color="auto"/>
        <w:bottom w:val="none" w:sz="0" w:space="0" w:color="auto"/>
        <w:right w:val="none" w:sz="0" w:space="0" w:color="auto"/>
      </w:divBdr>
    </w:div>
    <w:div w:id="1164593391">
      <w:bodyDiv w:val="1"/>
      <w:marLeft w:val="0"/>
      <w:marRight w:val="0"/>
      <w:marTop w:val="0"/>
      <w:marBottom w:val="0"/>
      <w:divBdr>
        <w:top w:val="none" w:sz="0" w:space="0" w:color="auto"/>
        <w:left w:val="none" w:sz="0" w:space="0" w:color="auto"/>
        <w:bottom w:val="none" w:sz="0" w:space="0" w:color="auto"/>
        <w:right w:val="none" w:sz="0" w:space="0" w:color="auto"/>
      </w:divBdr>
      <w:divsChild>
        <w:div w:id="1367757591">
          <w:marLeft w:val="0"/>
          <w:marRight w:val="0"/>
          <w:marTop w:val="0"/>
          <w:marBottom w:val="0"/>
          <w:divBdr>
            <w:top w:val="none" w:sz="0" w:space="0" w:color="auto"/>
            <w:left w:val="none" w:sz="0" w:space="0" w:color="auto"/>
            <w:bottom w:val="none" w:sz="0" w:space="0" w:color="auto"/>
            <w:right w:val="none" w:sz="0" w:space="0" w:color="auto"/>
          </w:divBdr>
          <w:divsChild>
            <w:div w:id="1879663321">
              <w:marLeft w:val="0"/>
              <w:marRight w:val="0"/>
              <w:marTop w:val="0"/>
              <w:marBottom w:val="0"/>
              <w:divBdr>
                <w:top w:val="none" w:sz="0" w:space="0" w:color="auto"/>
                <w:left w:val="none" w:sz="0" w:space="0" w:color="auto"/>
                <w:bottom w:val="none" w:sz="0" w:space="0" w:color="auto"/>
                <w:right w:val="none" w:sz="0" w:space="0" w:color="auto"/>
              </w:divBdr>
              <w:divsChild>
                <w:div w:id="4745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72773">
      <w:bodyDiv w:val="1"/>
      <w:marLeft w:val="0"/>
      <w:marRight w:val="0"/>
      <w:marTop w:val="0"/>
      <w:marBottom w:val="0"/>
      <w:divBdr>
        <w:top w:val="none" w:sz="0" w:space="0" w:color="auto"/>
        <w:left w:val="none" w:sz="0" w:space="0" w:color="auto"/>
        <w:bottom w:val="none" w:sz="0" w:space="0" w:color="auto"/>
        <w:right w:val="none" w:sz="0" w:space="0" w:color="auto"/>
      </w:divBdr>
      <w:divsChild>
        <w:div w:id="1078676997">
          <w:marLeft w:val="0"/>
          <w:marRight w:val="0"/>
          <w:marTop w:val="0"/>
          <w:marBottom w:val="0"/>
          <w:divBdr>
            <w:top w:val="none" w:sz="0" w:space="0" w:color="auto"/>
            <w:left w:val="none" w:sz="0" w:space="0" w:color="auto"/>
            <w:bottom w:val="none" w:sz="0" w:space="0" w:color="auto"/>
            <w:right w:val="none" w:sz="0" w:space="0" w:color="auto"/>
          </w:divBdr>
          <w:divsChild>
            <w:div w:id="1275941542">
              <w:marLeft w:val="0"/>
              <w:marRight w:val="0"/>
              <w:marTop w:val="0"/>
              <w:marBottom w:val="0"/>
              <w:divBdr>
                <w:top w:val="none" w:sz="0" w:space="0" w:color="auto"/>
                <w:left w:val="none" w:sz="0" w:space="0" w:color="auto"/>
                <w:bottom w:val="none" w:sz="0" w:space="0" w:color="auto"/>
                <w:right w:val="none" w:sz="0" w:space="0" w:color="auto"/>
              </w:divBdr>
              <w:divsChild>
                <w:div w:id="17137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9805">
      <w:bodyDiv w:val="1"/>
      <w:marLeft w:val="0"/>
      <w:marRight w:val="0"/>
      <w:marTop w:val="0"/>
      <w:marBottom w:val="0"/>
      <w:divBdr>
        <w:top w:val="none" w:sz="0" w:space="0" w:color="auto"/>
        <w:left w:val="none" w:sz="0" w:space="0" w:color="auto"/>
        <w:bottom w:val="none" w:sz="0" w:space="0" w:color="auto"/>
        <w:right w:val="none" w:sz="0" w:space="0" w:color="auto"/>
      </w:divBdr>
      <w:divsChild>
        <w:div w:id="555435301">
          <w:marLeft w:val="0"/>
          <w:marRight w:val="0"/>
          <w:marTop w:val="0"/>
          <w:marBottom w:val="0"/>
          <w:divBdr>
            <w:top w:val="none" w:sz="0" w:space="0" w:color="auto"/>
            <w:left w:val="none" w:sz="0" w:space="0" w:color="auto"/>
            <w:bottom w:val="none" w:sz="0" w:space="0" w:color="auto"/>
            <w:right w:val="none" w:sz="0" w:space="0" w:color="auto"/>
          </w:divBdr>
          <w:divsChild>
            <w:div w:id="577713623">
              <w:marLeft w:val="0"/>
              <w:marRight w:val="0"/>
              <w:marTop w:val="0"/>
              <w:marBottom w:val="0"/>
              <w:divBdr>
                <w:top w:val="none" w:sz="0" w:space="0" w:color="auto"/>
                <w:left w:val="none" w:sz="0" w:space="0" w:color="auto"/>
                <w:bottom w:val="none" w:sz="0" w:space="0" w:color="auto"/>
                <w:right w:val="none" w:sz="0" w:space="0" w:color="auto"/>
              </w:divBdr>
              <w:divsChild>
                <w:div w:id="12952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2015">
      <w:bodyDiv w:val="1"/>
      <w:marLeft w:val="0"/>
      <w:marRight w:val="0"/>
      <w:marTop w:val="0"/>
      <w:marBottom w:val="0"/>
      <w:divBdr>
        <w:top w:val="none" w:sz="0" w:space="0" w:color="auto"/>
        <w:left w:val="none" w:sz="0" w:space="0" w:color="auto"/>
        <w:bottom w:val="none" w:sz="0" w:space="0" w:color="auto"/>
        <w:right w:val="none" w:sz="0" w:space="0" w:color="auto"/>
      </w:divBdr>
      <w:divsChild>
        <w:div w:id="1938362965">
          <w:marLeft w:val="0"/>
          <w:marRight w:val="0"/>
          <w:marTop w:val="0"/>
          <w:marBottom w:val="0"/>
          <w:divBdr>
            <w:top w:val="none" w:sz="0" w:space="0" w:color="auto"/>
            <w:left w:val="none" w:sz="0" w:space="0" w:color="auto"/>
            <w:bottom w:val="none" w:sz="0" w:space="0" w:color="auto"/>
            <w:right w:val="none" w:sz="0" w:space="0" w:color="auto"/>
          </w:divBdr>
          <w:divsChild>
            <w:div w:id="1179394904">
              <w:marLeft w:val="0"/>
              <w:marRight w:val="0"/>
              <w:marTop w:val="0"/>
              <w:marBottom w:val="0"/>
              <w:divBdr>
                <w:top w:val="none" w:sz="0" w:space="0" w:color="auto"/>
                <w:left w:val="none" w:sz="0" w:space="0" w:color="auto"/>
                <w:bottom w:val="none" w:sz="0" w:space="0" w:color="auto"/>
                <w:right w:val="none" w:sz="0" w:space="0" w:color="auto"/>
              </w:divBdr>
              <w:divsChild>
                <w:div w:id="6017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7640">
      <w:bodyDiv w:val="1"/>
      <w:marLeft w:val="0"/>
      <w:marRight w:val="0"/>
      <w:marTop w:val="0"/>
      <w:marBottom w:val="0"/>
      <w:divBdr>
        <w:top w:val="none" w:sz="0" w:space="0" w:color="auto"/>
        <w:left w:val="none" w:sz="0" w:space="0" w:color="auto"/>
        <w:bottom w:val="none" w:sz="0" w:space="0" w:color="auto"/>
        <w:right w:val="none" w:sz="0" w:space="0" w:color="auto"/>
      </w:divBdr>
    </w:div>
    <w:div w:id="1358505114">
      <w:bodyDiv w:val="1"/>
      <w:marLeft w:val="0"/>
      <w:marRight w:val="0"/>
      <w:marTop w:val="0"/>
      <w:marBottom w:val="0"/>
      <w:divBdr>
        <w:top w:val="none" w:sz="0" w:space="0" w:color="auto"/>
        <w:left w:val="none" w:sz="0" w:space="0" w:color="auto"/>
        <w:bottom w:val="none" w:sz="0" w:space="0" w:color="auto"/>
        <w:right w:val="none" w:sz="0" w:space="0" w:color="auto"/>
      </w:divBdr>
    </w:div>
    <w:div w:id="1374378018">
      <w:bodyDiv w:val="1"/>
      <w:marLeft w:val="0"/>
      <w:marRight w:val="0"/>
      <w:marTop w:val="0"/>
      <w:marBottom w:val="0"/>
      <w:divBdr>
        <w:top w:val="none" w:sz="0" w:space="0" w:color="auto"/>
        <w:left w:val="none" w:sz="0" w:space="0" w:color="auto"/>
        <w:bottom w:val="none" w:sz="0" w:space="0" w:color="auto"/>
        <w:right w:val="none" w:sz="0" w:space="0" w:color="auto"/>
      </w:divBdr>
      <w:divsChild>
        <w:div w:id="323163163">
          <w:marLeft w:val="0"/>
          <w:marRight w:val="0"/>
          <w:marTop w:val="0"/>
          <w:marBottom w:val="0"/>
          <w:divBdr>
            <w:top w:val="none" w:sz="0" w:space="0" w:color="auto"/>
            <w:left w:val="none" w:sz="0" w:space="0" w:color="auto"/>
            <w:bottom w:val="none" w:sz="0" w:space="0" w:color="auto"/>
            <w:right w:val="none" w:sz="0" w:space="0" w:color="auto"/>
          </w:divBdr>
          <w:divsChild>
            <w:div w:id="1137652103">
              <w:marLeft w:val="0"/>
              <w:marRight w:val="0"/>
              <w:marTop w:val="0"/>
              <w:marBottom w:val="0"/>
              <w:divBdr>
                <w:top w:val="none" w:sz="0" w:space="0" w:color="auto"/>
                <w:left w:val="none" w:sz="0" w:space="0" w:color="auto"/>
                <w:bottom w:val="none" w:sz="0" w:space="0" w:color="auto"/>
                <w:right w:val="none" w:sz="0" w:space="0" w:color="auto"/>
              </w:divBdr>
              <w:divsChild>
                <w:div w:id="14630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6806">
      <w:bodyDiv w:val="1"/>
      <w:marLeft w:val="0"/>
      <w:marRight w:val="0"/>
      <w:marTop w:val="0"/>
      <w:marBottom w:val="0"/>
      <w:divBdr>
        <w:top w:val="none" w:sz="0" w:space="0" w:color="auto"/>
        <w:left w:val="none" w:sz="0" w:space="0" w:color="auto"/>
        <w:bottom w:val="none" w:sz="0" w:space="0" w:color="auto"/>
        <w:right w:val="none" w:sz="0" w:space="0" w:color="auto"/>
      </w:divBdr>
      <w:divsChild>
        <w:div w:id="1749763029">
          <w:marLeft w:val="0"/>
          <w:marRight w:val="0"/>
          <w:marTop w:val="0"/>
          <w:marBottom w:val="0"/>
          <w:divBdr>
            <w:top w:val="none" w:sz="0" w:space="0" w:color="auto"/>
            <w:left w:val="none" w:sz="0" w:space="0" w:color="auto"/>
            <w:bottom w:val="none" w:sz="0" w:space="0" w:color="auto"/>
            <w:right w:val="none" w:sz="0" w:space="0" w:color="auto"/>
          </w:divBdr>
          <w:divsChild>
            <w:div w:id="1717507503">
              <w:marLeft w:val="0"/>
              <w:marRight w:val="0"/>
              <w:marTop w:val="0"/>
              <w:marBottom w:val="0"/>
              <w:divBdr>
                <w:top w:val="none" w:sz="0" w:space="0" w:color="auto"/>
                <w:left w:val="none" w:sz="0" w:space="0" w:color="auto"/>
                <w:bottom w:val="none" w:sz="0" w:space="0" w:color="auto"/>
                <w:right w:val="none" w:sz="0" w:space="0" w:color="auto"/>
              </w:divBdr>
              <w:divsChild>
                <w:div w:id="19057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2266">
      <w:bodyDiv w:val="1"/>
      <w:marLeft w:val="0"/>
      <w:marRight w:val="0"/>
      <w:marTop w:val="0"/>
      <w:marBottom w:val="0"/>
      <w:divBdr>
        <w:top w:val="none" w:sz="0" w:space="0" w:color="auto"/>
        <w:left w:val="none" w:sz="0" w:space="0" w:color="auto"/>
        <w:bottom w:val="none" w:sz="0" w:space="0" w:color="auto"/>
        <w:right w:val="none" w:sz="0" w:space="0" w:color="auto"/>
      </w:divBdr>
      <w:divsChild>
        <w:div w:id="224949332">
          <w:marLeft w:val="0"/>
          <w:marRight w:val="0"/>
          <w:marTop w:val="0"/>
          <w:marBottom w:val="0"/>
          <w:divBdr>
            <w:top w:val="none" w:sz="0" w:space="0" w:color="auto"/>
            <w:left w:val="none" w:sz="0" w:space="0" w:color="auto"/>
            <w:bottom w:val="none" w:sz="0" w:space="0" w:color="auto"/>
            <w:right w:val="none" w:sz="0" w:space="0" w:color="auto"/>
          </w:divBdr>
          <w:divsChild>
            <w:div w:id="1545288915">
              <w:marLeft w:val="0"/>
              <w:marRight w:val="0"/>
              <w:marTop w:val="0"/>
              <w:marBottom w:val="0"/>
              <w:divBdr>
                <w:top w:val="none" w:sz="0" w:space="0" w:color="auto"/>
                <w:left w:val="none" w:sz="0" w:space="0" w:color="auto"/>
                <w:bottom w:val="none" w:sz="0" w:space="0" w:color="auto"/>
                <w:right w:val="none" w:sz="0" w:space="0" w:color="auto"/>
              </w:divBdr>
              <w:divsChild>
                <w:div w:id="21079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8781">
      <w:bodyDiv w:val="1"/>
      <w:marLeft w:val="0"/>
      <w:marRight w:val="0"/>
      <w:marTop w:val="0"/>
      <w:marBottom w:val="0"/>
      <w:divBdr>
        <w:top w:val="none" w:sz="0" w:space="0" w:color="auto"/>
        <w:left w:val="none" w:sz="0" w:space="0" w:color="auto"/>
        <w:bottom w:val="none" w:sz="0" w:space="0" w:color="auto"/>
        <w:right w:val="none" w:sz="0" w:space="0" w:color="auto"/>
      </w:divBdr>
      <w:divsChild>
        <w:div w:id="390808146">
          <w:marLeft w:val="0"/>
          <w:marRight w:val="0"/>
          <w:marTop w:val="0"/>
          <w:marBottom w:val="0"/>
          <w:divBdr>
            <w:top w:val="none" w:sz="0" w:space="0" w:color="auto"/>
            <w:left w:val="none" w:sz="0" w:space="0" w:color="auto"/>
            <w:bottom w:val="none" w:sz="0" w:space="0" w:color="auto"/>
            <w:right w:val="none" w:sz="0" w:space="0" w:color="auto"/>
          </w:divBdr>
          <w:divsChild>
            <w:div w:id="1133718795">
              <w:marLeft w:val="0"/>
              <w:marRight w:val="0"/>
              <w:marTop w:val="0"/>
              <w:marBottom w:val="0"/>
              <w:divBdr>
                <w:top w:val="none" w:sz="0" w:space="0" w:color="auto"/>
                <w:left w:val="none" w:sz="0" w:space="0" w:color="auto"/>
                <w:bottom w:val="none" w:sz="0" w:space="0" w:color="auto"/>
                <w:right w:val="none" w:sz="0" w:space="0" w:color="auto"/>
              </w:divBdr>
              <w:divsChild>
                <w:div w:id="1125539011">
                  <w:marLeft w:val="0"/>
                  <w:marRight w:val="0"/>
                  <w:marTop w:val="0"/>
                  <w:marBottom w:val="0"/>
                  <w:divBdr>
                    <w:top w:val="none" w:sz="0" w:space="0" w:color="auto"/>
                    <w:left w:val="none" w:sz="0" w:space="0" w:color="auto"/>
                    <w:bottom w:val="none" w:sz="0" w:space="0" w:color="auto"/>
                    <w:right w:val="none" w:sz="0" w:space="0" w:color="auto"/>
                  </w:divBdr>
                  <w:divsChild>
                    <w:div w:id="14897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27260">
      <w:bodyDiv w:val="1"/>
      <w:marLeft w:val="0"/>
      <w:marRight w:val="0"/>
      <w:marTop w:val="0"/>
      <w:marBottom w:val="0"/>
      <w:divBdr>
        <w:top w:val="none" w:sz="0" w:space="0" w:color="auto"/>
        <w:left w:val="none" w:sz="0" w:space="0" w:color="auto"/>
        <w:bottom w:val="none" w:sz="0" w:space="0" w:color="auto"/>
        <w:right w:val="none" w:sz="0" w:space="0" w:color="auto"/>
      </w:divBdr>
      <w:divsChild>
        <w:div w:id="2018993962">
          <w:marLeft w:val="0"/>
          <w:marRight w:val="0"/>
          <w:marTop w:val="0"/>
          <w:marBottom w:val="0"/>
          <w:divBdr>
            <w:top w:val="none" w:sz="0" w:space="0" w:color="auto"/>
            <w:left w:val="none" w:sz="0" w:space="0" w:color="auto"/>
            <w:bottom w:val="none" w:sz="0" w:space="0" w:color="auto"/>
            <w:right w:val="none" w:sz="0" w:space="0" w:color="auto"/>
          </w:divBdr>
          <w:divsChild>
            <w:div w:id="1767069465">
              <w:marLeft w:val="0"/>
              <w:marRight w:val="0"/>
              <w:marTop w:val="0"/>
              <w:marBottom w:val="0"/>
              <w:divBdr>
                <w:top w:val="none" w:sz="0" w:space="0" w:color="auto"/>
                <w:left w:val="none" w:sz="0" w:space="0" w:color="auto"/>
                <w:bottom w:val="none" w:sz="0" w:space="0" w:color="auto"/>
                <w:right w:val="none" w:sz="0" w:space="0" w:color="auto"/>
              </w:divBdr>
              <w:divsChild>
                <w:div w:id="13252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2727">
      <w:bodyDiv w:val="1"/>
      <w:marLeft w:val="0"/>
      <w:marRight w:val="0"/>
      <w:marTop w:val="0"/>
      <w:marBottom w:val="0"/>
      <w:divBdr>
        <w:top w:val="none" w:sz="0" w:space="0" w:color="auto"/>
        <w:left w:val="none" w:sz="0" w:space="0" w:color="auto"/>
        <w:bottom w:val="none" w:sz="0" w:space="0" w:color="auto"/>
        <w:right w:val="none" w:sz="0" w:space="0" w:color="auto"/>
      </w:divBdr>
      <w:divsChild>
        <w:div w:id="801460746">
          <w:marLeft w:val="0"/>
          <w:marRight w:val="0"/>
          <w:marTop w:val="0"/>
          <w:marBottom w:val="0"/>
          <w:divBdr>
            <w:top w:val="none" w:sz="0" w:space="0" w:color="auto"/>
            <w:left w:val="none" w:sz="0" w:space="0" w:color="auto"/>
            <w:bottom w:val="none" w:sz="0" w:space="0" w:color="auto"/>
            <w:right w:val="none" w:sz="0" w:space="0" w:color="auto"/>
          </w:divBdr>
          <w:divsChild>
            <w:div w:id="506678605">
              <w:marLeft w:val="0"/>
              <w:marRight w:val="0"/>
              <w:marTop w:val="0"/>
              <w:marBottom w:val="0"/>
              <w:divBdr>
                <w:top w:val="none" w:sz="0" w:space="0" w:color="auto"/>
                <w:left w:val="none" w:sz="0" w:space="0" w:color="auto"/>
                <w:bottom w:val="none" w:sz="0" w:space="0" w:color="auto"/>
                <w:right w:val="none" w:sz="0" w:space="0" w:color="auto"/>
              </w:divBdr>
              <w:divsChild>
                <w:div w:id="15380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1390">
      <w:bodyDiv w:val="1"/>
      <w:marLeft w:val="0"/>
      <w:marRight w:val="0"/>
      <w:marTop w:val="0"/>
      <w:marBottom w:val="0"/>
      <w:divBdr>
        <w:top w:val="none" w:sz="0" w:space="0" w:color="auto"/>
        <w:left w:val="none" w:sz="0" w:space="0" w:color="auto"/>
        <w:bottom w:val="none" w:sz="0" w:space="0" w:color="auto"/>
        <w:right w:val="none" w:sz="0" w:space="0" w:color="auto"/>
      </w:divBdr>
    </w:div>
    <w:div w:id="1573924617">
      <w:bodyDiv w:val="1"/>
      <w:marLeft w:val="0"/>
      <w:marRight w:val="0"/>
      <w:marTop w:val="0"/>
      <w:marBottom w:val="0"/>
      <w:divBdr>
        <w:top w:val="none" w:sz="0" w:space="0" w:color="auto"/>
        <w:left w:val="none" w:sz="0" w:space="0" w:color="auto"/>
        <w:bottom w:val="none" w:sz="0" w:space="0" w:color="auto"/>
        <w:right w:val="none" w:sz="0" w:space="0" w:color="auto"/>
      </w:divBdr>
      <w:divsChild>
        <w:div w:id="1612736772">
          <w:marLeft w:val="0"/>
          <w:marRight w:val="0"/>
          <w:marTop w:val="0"/>
          <w:marBottom w:val="0"/>
          <w:divBdr>
            <w:top w:val="none" w:sz="0" w:space="0" w:color="auto"/>
            <w:left w:val="none" w:sz="0" w:space="0" w:color="auto"/>
            <w:bottom w:val="none" w:sz="0" w:space="0" w:color="auto"/>
            <w:right w:val="none" w:sz="0" w:space="0" w:color="auto"/>
          </w:divBdr>
          <w:divsChild>
            <w:div w:id="2090543983">
              <w:marLeft w:val="0"/>
              <w:marRight w:val="0"/>
              <w:marTop w:val="0"/>
              <w:marBottom w:val="0"/>
              <w:divBdr>
                <w:top w:val="none" w:sz="0" w:space="0" w:color="auto"/>
                <w:left w:val="none" w:sz="0" w:space="0" w:color="auto"/>
                <w:bottom w:val="none" w:sz="0" w:space="0" w:color="auto"/>
                <w:right w:val="none" w:sz="0" w:space="0" w:color="auto"/>
              </w:divBdr>
              <w:divsChild>
                <w:div w:id="15280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8235">
      <w:bodyDiv w:val="1"/>
      <w:marLeft w:val="0"/>
      <w:marRight w:val="0"/>
      <w:marTop w:val="0"/>
      <w:marBottom w:val="0"/>
      <w:divBdr>
        <w:top w:val="none" w:sz="0" w:space="0" w:color="auto"/>
        <w:left w:val="none" w:sz="0" w:space="0" w:color="auto"/>
        <w:bottom w:val="none" w:sz="0" w:space="0" w:color="auto"/>
        <w:right w:val="none" w:sz="0" w:space="0" w:color="auto"/>
      </w:divBdr>
      <w:divsChild>
        <w:div w:id="955133828">
          <w:marLeft w:val="0"/>
          <w:marRight w:val="0"/>
          <w:marTop w:val="0"/>
          <w:marBottom w:val="0"/>
          <w:divBdr>
            <w:top w:val="none" w:sz="0" w:space="0" w:color="auto"/>
            <w:left w:val="none" w:sz="0" w:space="0" w:color="auto"/>
            <w:bottom w:val="none" w:sz="0" w:space="0" w:color="auto"/>
            <w:right w:val="none" w:sz="0" w:space="0" w:color="auto"/>
          </w:divBdr>
          <w:divsChild>
            <w:div w:id="2054235904">
              <w:marLeft w:val="0"/>
              <w:marRight w:val="0"/>
              <w:marTop w:val="0"/>
              <w:marBottom w:val="0"/>
              <w:divBdr>
                <w:top w:val="none" w:sz="0" w:space="0" w:color="auto"/>
                <w:left w:val="none" w:sz="0" w:space="0" w:color="auto"/>
                <w:bottom w:val="none" w:sz="0" w:space="0" w:color="auto"/>
                <w:right w:val="none" w:sz="0" w:space="0" w:color="auto"/>
              </w:divBdr>
              <w:divsChild>
                <w:div w:id="7306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1288">
      <w:bodyDiv w:val="1"/>
      <w:marLeft w:val="0"/>
      <w:marRight w:val="0"/>
      <w:marTop w:val="0"/>
      <w:marBottom w:val="0"/>
      <w:divBdr>
        <w:top w:val="none" w:sz="0" w:space="0" w:color="auto"/>
        <w:left w:val="none" w:sz="0" w:space="0" w:color="auto"/>
        <w:bottom w:val="none" w:sz="0" w:space="0" w:color="auto"/>
        <w:right w:val="none" w:sz="0" w:space="0" w:color="auto"/>
      </w:divBdr>
      <w:divsChild>
        <w:div w:id="193811868">
          <w:marLeft w:val="0"/>
          <w:marRight w:val="0"/>
          <w:marTop w:val="0"/>
          <w:marBottom w:val="0"/>
          <w:divBdr>
            <w:top w:val="none" w:sz="0" w:space="0" w:color="auto"/>
            <w:left w:val="none" w:sz="0" w:space="0" w:color="auto"/>
            <w:bottom w:val="none" w:sz="0" w:space="0" w:color="auto"/>
            <w:right w:val="none" w:sz="0" w:space="0" w:color="auto"/>
          </w:divBdr>
          <w:divsChild>
            <w:div w:id="982659843">
              <w:marLeft w:val="0"/>
              <w:marRight w:val="0"/>
              <w:marTop w:val="0"/>
              <w:marBottom w:val="0"/>
              <w:divBdr>
                <w:top w:val="none" w:sz="0" w:space="0" w:color="auto"/>
                <w:left w:val="none" w:sz="0" w:space="0" w:color="auto"/>
                <w:bottom w:val="none" w:sz="0" w:space="0" w:color="auto"/>
                <w:right w:val="none" w:sz="0" w:space="0" w:color="auto"/>
              </w:divBdr>
              <w:divsChild>
                <w:div w:id="116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06877">
      <w:bodyDiv w:val="1"/>
      <w:marLeft w:val="0"/>
      <w:marRight w:val="0"/>
      <w:marTop w:val="0"/>
      <w:marBottom w:val="0"/>
      <w:divBdr>
        <w:top w:val="none" w:sz="0" w:space="0" w:color="auto"/>
        <w:left w:val="none" w:sz="0" w:space="0" w:color="auto"/>
        <w:bottom w:val="none" w:sz="0" w:space="0" w:color="auto"/>
        <w:right w:val="none" w:sz="0" w:space="0" w:color="auto"/>
      </w:divBdr>
      <w:divsChild>
        <w:div w:id="432408806">
          <w:marLeft w:val="0"/>
          <w:marRight w:val="0"/>
          <w:marTop w:val="0"/>
          <w:marBottom w:val="0"/>
          <w:divBdr>
            <w:top w:val="none" w:sz="0" w:space="0" w:color="auto"/>
            <w:left w:val="none" w:sz="0" w:space="0" w:color="auto"/>
            <w:bottom w:val="none" w:sz="0" w:space="0" w:color="auto"/>
            <w:right w:val="none" w:sz="0" w:space="0" w:color="auto"/>
          </w:divBdr>
          <w:divsChild>
            <w:div w:id="305354852">
              <w:marLeft w:val="0"/>
              <w:marRight w:val="0"/>
              <w:marTop w:val="0"/>
              <w:marBottom w:val="0"/>
              <w:divBdr>
                <w:top w:val="none" w:sz="0" w:space="0" w:color="auto"/>
                <w:left w:val="none" w:sz="0" w:space="0" w:color="auto"/>
                <w:bottom w:val="none" w:sz="0" w:space="0" w:color="auto"/>
                <w:right w:val="none" w:sz="0" w:space="0" w:color="auto"/>
              </w:divBdr>
              <w:divsChild>
                <w:div w:id="3163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8718">
      <w:bodyDiv w:val="1"/>
      <w:marLeft w:val="0"/>
      <w:marRight w:val="0"/>
      <w:marTop w:val="0"/>
      <w:marBottom w:val="0"/>
      <w:divBdr>
        <w:top w:val="none" w:sz="0" w:space="0" w:color="auto"/>
        <w:left w:val="none" w:sz="0" w:space="0" w:color="auto"/>
        <w:bottom w:val="none" w:sz="0" w:space="0" w:color="auto"/>
        <w:right w:val="none" w:sz="0" w:space="0" w:color="auto"/>
      </w:divBdr>
      <w:divsChild>
        <w:div w:id="535239621">
          <w:marLeft w:val="0"/>
          <w:marRight w:val="0"/>
          <w:marTop w:val="0"/>
          <w:marBottom w:val="0"/>
          <w:divBdr>
            <w:top w:val="none" w:sz="0" w:space="0" w:color="auto"/>
            <w:left w:val="none" w:sz="0" w:space="0" w:color="auto"/>
            <w:bottom w:val="none" w:sz="0" w:space="0" w:color="auto"/>
            <w:right w:val="none" w:sz="0" w:space="0" w:color="auto"/>
          </w:divBdr>
          <w:divsChild>
            <w:div w:id="1525896973">
              <w:marLeft w:val="0"/>
              <w:marRight w:val="0"/>
              <w:marTop w:val="0"/>
              <w:marBottom w:val="0"/>
              <w:divBdr>
                <w:top w:val="none" w:sz="0" w:space="0" w:color="auto"/>
                <w:left w:val="none" w:sz="0" w:space="0" w:color="auto"/>
                <w:bottom w:val="none" w:sz="0" w:space="0" w:color="auto"/>
                <w:right w:val="none" w:sz="0" w:space="0" w:color="auto"/>
              </w:divBdr>
              <w:divsChild>
                <w:div w:id="15671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9621">
      <w:bodyDiv w:val="1"/>
      <w:marLeft w:val="0"/>
      <w:marRight w:val="0"/>
      <w:marTop w:val="0"/>
      <w:marBottom w:val="0"/>
      <w:divBdr>
        <w:top w:val="none" w:sz="0" w:space="0" w:color="auto"/>
        <w:left w:val="none" w:sz="0" w:space="0" w:color="auto"/>
        <w:bottom w:val="none" w:sz="0" w:space="0" w:color="auto"/>
        <w:right w:val="none" w:sz="0" w:space="0" w:color="auto"/>
      </w:divBdr>
      <w:divsChild>
        <w:div w:id="364328840">
          <w:marLeft w:val="0"/>
          <w:marRight w:val="0"/>
          <w:marTop w:val="0"/>
          <w:marBottom w:val="0"/>
          <w:divBdr>
            <w:top w:val="none" w:sz="0" w:space="0" w:color="auto"/>
            <w:left w:val="none" w:sz="0" w:space="0" w:color="auto"/>
            <w:bottom w:val="none" w:sz="0" w:space="0" w:color="auto"/>
            <w:right w:val="none" w:sz="0" w:space="0" w:color="auto"/>
          </w:divBdr>
          <w:divsChild>
            <w:div w:id="875854090">
              <w:marLeft w:val="0"/>
              <w:marRight w:val="0"/>
              <w:marTop w:val="0"/>
              <w:marBottom w:val="0"/>
              <w:divBdr>
                <w:top w:val="none" w:sz="0" w:space="0" w:color="auto"/>
                <w:left w:val="none" w:sz="0" w:space="0" w:color="auto"/>
                <w:bottom w:val="none" w:sz="0" w:space="0" w:color="auto"/>
                <w:right w:val="none" w:sz="0" w:space="0" w:color="auto"/>
              </w:divBdr>
              <w:divsChild>
                <w:div w:id="10305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79504">
      <w:bodyDiv w:val="1"/>
      <w:marLeft w:val="0"/>
      <w:marRight w:val="0"/>
      <w:marTop w:val="0"/>
      <w:marBottom w:val="0"/>
      <w:divBdr>
        <w:top w:val="none" w:sz="0" w:space="0" w:color="auto"/>
        <w:left w:val="none" w:sz="0" w:space="0" w:color="auto"/>
        <w:bottom w:val="none" w:sz="0" w:space="0" w:color="auto"/>
        <w:right w:val="none" w:sz="0" w:space="0" w:color="auto"/>
      </w:divBdr>
      <w:divsChild>
        <w:div w:id="1857378389">
          <w:marLeft w:val="0"/>
          <w:marRight w:val="0"/>
          <w:marTop w:val="0"/>
          <w:marBottom w:val="0"/>
          <w:divBdr>
            <w:top w:val="none" w:sz="0" w:space="0" w:color="auto"/>
            <w:left w:val="none" w:sz="0" w:space="0" w:color="auto"/>
            <w:bottom w:val="none" w:sz="0" w:space="0" w:color="auto"/>
            <w:right w:val="none" w:sz="0" w:space="0" w:color="auto"/>
          </w:divBdr>
          <w:divsChild>
            <w:div w:id="645595142">
              <w:marLeft w:val="0"/>
              <w:marRight w:val="0"/>
              <w:marTop w:val="0"/>
              <w:marBottom w:val="0"/>
              <w:divBdr>
                <w:top w:val="none" w:sz="0" w:space="0" w:color="auto"/>
                <w:left w:val="none" w:sz="0" w:space="0" w:color="auto"/>
                <w:bottom w:val="none" w:sz="0" w:space="0" w:color="auto"/>
                <w:right w:val="none" w:sz="0" w:space="0" w:color="auto"/>
              </w:divBdr>
              <w:divsChild>
                <w:div w:id="1646817652">
                  <w:marLeft w:val="0"/>
                  <w:marRight w:val="0"/>
                  <w:marTop w:val="0"/>
                  <w:marBottom w:val="0"/>
                  <w:divBdr>
                    <w:top w:val="none" w:sz="0" w:space="0" w:color="auto"/>
                    <w:left w:val="none" w:sz="0" w:space="0" w:color="auto"/>
                    <w:bottom w:val="none" w:sz="0" w:space="0" w:color="auto"/>
                    <w:right w:val="none" w:sz="0" w:space="0" w:color="auto"/>
                  </w:divBdr>
                  <w:divsChild>
                    <w:div w:id="13286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05714">
      <w:bodyDiv w:val="1"/>
      <w:marLeft w:val="0"/>
      <w:marRight w:val="0"/>
      <w:marTop w:val="0"/>
      <w:marBottom w:val="0"/>
      <w:divBdr>
        <w:top w:val="none" w:sz="0" w:space="0" w:color="auto"/>
        <w:left w:val="none" w:sz="0" w:space="0" w:color="auto"/>
        <w:bottom w:val="none" w:sz="0" w:space="0" w:color="auto"/>
        <w:right w:val="none" w:sz="0" w:space="0" w:color="auto"/>
      </w:divBdr>
      <w:divsChild>
        <w:div w:id="1352681233">
          <w:marLeft w:val="0"/>
          <w:marRight w:val="0"/>
          <w:marTop w:val="0"/>
          <w:marBottom w:val="0"/>
          <w:divBdr>
            <w:top w:val="none" w:sz="0" w:space="0" w:color="auto"/>
            <w:left w:val="none" w:sz="0" w:space="0" w:color="auto"/>
            <w:bottom w:val="none" w:sz="0" w:space="0" w:color="auto"/>
            <w:right w:val="none" w:sz="0" w:space="0" w:color="auto"/>
          </w:divBdr>
          <w:divsChild>
            <w:div w:id="1748764424">
              <w:marLeft w:val="0"/>
              <w:marRight w:val="0"/>
              <w:marTop w:val="0"/>
              <w:marBottom w:val="0"/>
              <w:divBdr>
                <w:top w:val="none" w:sz="0" w:space="0" w:color="auto"/>
                <w:left w:val="none" w:sz="0" w:space="0" w:color="auto"/>
                <w:bottom w:val="none" w:sz="0" w:space="0" w:color="auto"/>
                <w:right w:val="none" w:sz="0" w:space="0" w:color="auto"/>
              </w:divBdr>
              <w:divsChild>
                <w:div w:id="1531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16700">
      <w:bodyDiv w:val="1"/>
      <w:marLeft w:val="0"/>
      <w:marRight w:val="0"/>
      <w:marTop w:val="0"/>
      <w:marBottom w:val="0"/>
      <w:divBdr>
        <w:top w:val="none" w:sz="0" w:space="0" w:color="auto"/>
        <w:left w:val="none" w:sz="0" w:space="0" w:color="auto"/>
        <w:bottom w:val="none" w:sz="0" w:space="0" w:color="auto"/>
        <w:right w:val="none" w:sz="0" w:space="0" w:color="auto"/>
      </w:divBdr>
      <w:divsChild>
        <w:div w:id="1196970152">
          <w:marLeft w:val="0"/>
          <w:marRight w:val="0"/>
          <w:marTop w:val="0"/>
          <w:marBottom w:val="0"/>
          <w:divBdr>
            <w:top w:val="none" w:sz="0" w:space="0" w:color="auto"/>
            <w:left w:val="none" w:sz="0" w:space="0" w:color="auto"/>
            <w:bottom w:val="none" w:sz="0" w:space="0" w:color="auto"/>
            <w:right w:val="none" w:sz="0" w:space="0" w:color="auto"/>
          </w:divBdr>
          <w:divsChild>
            <w:div w:id="28067530">
              <w:marLeft w:val="0"/>
              <w:marRight w:val="0"/>
              <w:marTop w:val="0"/>
              <w:marBottom w:val="0"/>
              <w:divBdr>
                <w:top w:val="none" w:sz="0" w:space="0" w:color="auto"/>
                <w:left w:val="none" w:sz="0" w:space="0" w:color="auto"/>
                <w:bottom w:val="none" w:sz="0" w:space="0" w:color="auto"/>
                <w:right w:val="none" w:sz="0" w:space="0" w:color="auto"/>
              </w:divBdr>
              <w:divsChild>
                <w:div w:id="9713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2980">
      <w:bodyDiv w:val="1"/>
      <w:marLeft w:val="0"/>
      <w:marRight w:val="0"/>
      <w:marTop w:val="0"/>
      <w:marBottom w:val="0"/>
      <w:divBdr>
        <w:top w:val="none" w:sz="0" w:space="0" w:color="auto"/>
        <w:left w:val="none" w:sz="0" w:space="0" w:color="auto"/>
        <w:bottom w:val="none" w:sz="0" w:space="0" w:color="auto"/>
        <w:right w:val="none" w:sz="0" w:space="0" w:color="auto"/>
      </w:divBdr>
      <w:divsChild>
        <w:div w:id="831022494">
          <w:marLeft w:val="0"/>
          <w:marRight w:val="0"/>
          <w:marTop w:val="0"/>
          <w:marBottom w:val="0"/>
          <w:divBdr>
            <w:top w:val="none" w:sz="0" w:space="0" w:color="auto"/>
            <w:left w:val="none" w:sz="0" w:space="0" w:color="auto"/>
            <w:bottom w:val="none" w:sz="0" w:space="0" w:color="auto"/>
            <w:right w:val="none" w:sz="0" w:space="0" w:color="auto"/>
          </w:divBdr>
          <w:divsChild>
            <w:div w:id="539436369">
              <w:marLeft w:val="0"/>
              <w:marRight w:val="0"/>
              <w:marTop w:val="0"/>
              <w:marBottom w:val="0"/>
              <w:divBdr>
                <w:top w:val="none" w:sz="0" w:space="0" w:color="auto"/>
                <w:left w:val="none" w:sz="0" w:space="0" w:color="auto"/>
                <w:bottom w:val="none" w:sz="0" w:space="0" w:color="auto"/>
                <w:right w:val="none" w:sz="0" w:space="0" w:color="auto"/>
              </w:divBdr>
              <w:divsChild>
                <w:div w:id="4477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09711">
      <w:bodyDiv w:val="1"/>
      <w:marLeft w:val="0"/>
      <w:marRight w:val="0"/>
      <w:marTop w:val="0"/>
      <w:marBottom w:val="0"/>
      <w:divBdr>
        <w:top w:val="none" w:sz="0" w:space="0" w:color="auto"/>
        <w:left w:val="none" w:sz="0" w:space="0" w:color="auto"/>
        <w:bottom w:val="none" w:sz="0" w:space="0" w:color="auto"/>
        <w:right w:val="none" w:sz="0" w:space="0" w:color="auto"/>
      </w:divBdr>
      <w:divsChild>
        <w:div w:id="640960279">
          <w:marLeft w:val="0"/>
          <w:marRight w:val="0"/>
          <w:marTop w:val="0"/>
          <w:marBottom w:val="0"/>
          <w:divBdr>
            <w:top w:val="none" w:sz="0" w:space="0" w:color="auto"/>
            <w:left w:val="none" w:sz="0" w:space="0" w:color="auto"/>
            <w:bottom w:val="none" w:sz="0" w:space="0" w:color="auto"/>
            <w:right w:val="none" w:sz="0" w:space="0" w:color="auto"/>
          </w:divBdr>
          <w:divsChild>
            <w:div w:id="168452030">
              <w:marLeft w:val="0"/>
              <w:marRight w:val="0"/>
              <w:marTop w:val="0"/>
              <w:marBottom w:val="0"/>
              <w:divBdr>
                <w:top w:val="none" w:sz="0" w:space="0" w:color="auto"/>
                <w:left w:val="none" w:sz="0" w:space="0" w:color="auto"/>
                <w:bottom w:val="none" w:sz="0" w:space="0" w:color="auto"/>
                <w:right w:val="none" w:sz="0" w:space="0" w:color="auto"/>
              </w:divBdr>
              <w:divsChild>
                <w:div w:id="11327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723">
          <w:marLeft w:val="0"/>
          <w:marRight w:val="0"/>
          <w:marTop w:val="0"/>
          <w:marBottom w:val="0"/>
          <w:divBdr>
            <w:top w:val="none" w:sz="0" w:space="0" w:color="auto"/>
            <w:left w:val="none" w:sz="0" w:space="0" w:color="auto"/>
            <w:bottom w:val="none" w:sz="0" w:space="0" w:color="auto"/>
            <w:right w:val="none" w:sz="0" w:space="0" w:color="auto"/>
          </w:divBdr>
          <w:divsChild>
            <w:div w:id="68162650">
              <w:marLeft w:val="0"/>
              <w:marRight w:val="0"/>
              <w:marTop w:val="0"/>
              <w:marBottom w:val="0"/>
              <w:divBdr>
                <w:top w:val="none" w:sz="0" w:space="0" w:color="auto"/>
                <w:left w:val="none" w:sz="0" w:space="0" w:color="auto"/>
                <w:bottom w:val="none" w:sz="0" w:space="0" w:color="auto"/>
                <w:right w:val="none" w:sz="0" w:space="0" w:color="auto"/>
              </w:divBdr>
              <w:divsChild>
                <w:div w:id="17865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2553">
      <w:bodyDiv w:val="1"/>
      <w:marLeft w:val="0"/>
      <w:marRight w:val="0"/>
      <w:marTop w:val="0"/>
      <w:marBottom w:val="0"/>
      <w:divBdr>
        <w:top w:val="none" w:sz="0" w:space="0" w:color="auto"/>
        <w:left w:val="none" w:sz="0" w:space="0" w:color="auto"/>
        <w:bottom w:val="none" w:sz="0" w:space="0" w:color="auto"/>
        <w:right w:val="none" w:sz="0" w:space="0" w:color="auto"/>
      </w:divBdr>
      <w:divsChild>
        <w:div w:id="17313671">
          <w:marLeft w:val="0"/>
          <w:marRight w:val="0"/>
          <w:marTop w:val="0"/>
          <w:marBottom w:val="0"/>
          <w:divBdr>
            <w:top w:val="none" w:sz="0" w:space="0" w:color="auto"/>
            <w:left w:val="none" w:sz="0" w:space="0" w:color="auto"/>
            <w:bottom w:val="none" w:sz="0" w:space="0" w:color="auto"/>
            <w:right w:val="none" w:sz="0" w:space="0" w:color="auto"/>
          </w:divBdr>
          <w:divsChild>
            <w:div w:id="1636133602">
              <w:marLeft w:val="0"/>
              <w:marRight w:val="0"/>
              <w:marTop w:val="0"/>
              <w:marBottom w:val="0"/>
              <w:divBdr>
                <w:top w:val="none" w:sz="0" w:space="0" w:color="auto"/>
                <w:left w:val="none" w:sz="0" w:space="0" w:color="auto"/>
                <w:bottom w:val="none" w:sz="0" w:space="0" w:color="auto"/>
                <w:right w:val="none" w:sz="0" w:space="0" w:color="auto"/>
              </w:divBdr>
              <w:divsChild>
                <w:div w:id="5087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4841">
      <w:bodyDiv w:val="1"/>
      <w:marLeft w:val="0"/>
      <w:marRight w:val="0"/>
      <w:marTop w:val="0"/>
      <w:marBottom w:val="0"/>
      <w:divBdr>
        <w:top w:val="none" w:sz="0" w:space="0" w:color="auto"/>
        <w:left w:val="none" w:sz="0" w:space="0" w:color="auto"/>
        <w:bottom w:val="none" w:sz="0" w:space="0" w:color="auto"/>
        <w:right w:val="none" w:sz="0" w:space="0" w:color="auto"/>
      </w:divBdr>
      <w:divsChild>
        <w:div w:id="478574348">
          <w:marLeft w:val="0"/>
          <w:marRight w:val="0"/>
          <w:marTop w:val="0"/>
          <w:marBottom w:val="0"/>
          <w:divBdr>
            <w:top w:val="none" w:sz="0" w:space="0" w:color="auto"/>
            <w:left w:val="none" w:sz="0" w:space="0" w:color="auto"/>
            <w:bottom w:val="none" w:sz="0" w:space="0" w:color="auto"/>
            <w:right w:val="none" w:sz="0" w:space="0" w:color="auto"/>
          </w:divBdr>
          <w:divsChild>
            <w:div w:id="820735131">
              <w:marLeft w:val="0"/>
              <w:marRight w:val="0"/>
              <w:marTop w:val="0"/>
              <w:marBottom w:val="0"/>
              <w:divBdr>
                <w:top w:val="none" w:sz="0" w:space="0" w:color="auto"/>
                <w:left w:val="none" w:sz="0" w:space="0" w:color="auto"/>
                <w:bottom w:val="none" w:sz="0" w:space="0" w:color="auto"/>
                <w:right w:val="none" w:sz="0" w:space="0" w:color="auto"/>
              </w:divBdr>
              <w:divsChild>
                <w:div w:id="583611340">
                  <w:marLeft w:val="0"/>
                  <w:marRight w:val="0"/>
                  <w:marTop w:val="0"/>
                  <w:marBottom w:val="0"/>
                  <w:divBdr>
                    <w:top w:val="none" w:sz="0" w:space="0" w:color="auto"/>
                    <w:left w:val="none" w:sz="0" w:space="0" w:color="auto"/>
                    <w:bottom w:val="none" w:sz="0" w:space="0" w:color="auto"/>
                    <w:right w:val="none" w:sz="0" w:space="0" w:color="auto"/>
                  </w:divBdr>
                  <w:divsChild>
                    <w:div w:id="15633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5044">
          <w:marLeft w:val="0"/>
          <w:marRight w:val="0"/>
          <w:marTop w:val="0"/>
          <w:marBottom w:val="0"/>
          <w:divBdr>
            <w:top w:val="none" w:sz="0" w:space="0" w:color="auto"/>
            <w:left w:val="none" w:sz="0" w:space="0" w:color="auto"/>
            <w:bottom w:val="none" w:sz="0" w:space="0" w:color="auto"/>
            <w:right w:val="none" w:sz="0" w:space="0" w:color="auto"/>
          </w:divBdr>
          <w:divsChild>
            <w:div w:id="1367946879">
              <w:marLeft w:val="0"/>
              <w:marRight w:val="0"/>
              <w:marTop w:val="0"/>
              <w:marBottom w:val="0"/>
              <w:divBdr>
                <w:top w:val="none" w:sz="0" w:space="0" w:color="auto"/>
                <w:left w:val="none" w:sz="0" w:space="0" w:color="auto"/>
                <w:bottom w:val="none" w:sz="0" w:space="0" w:color="auto"/>
                <w:right w:val="none" w:sz="0" w:space="0" w:color="auto"/>
              </w:divBdr>
              <w:divsChild>
                <w:div w:id="1724862852">
                  <w:marLeft w:val="0"/>
                  <w:marRight w:val="0"/>
                  <w:marTop w:val="0"/>
                  <w:marBottom w:val="0"/>
                  <w:divBdr>
                    <w:top w:val="none" w:sz="0" w:space="0" w:color="auto"/>
                    <w:left w:val="none" w:sz="0" w:space="0" w:color="auto"/>
                    <w:bottom w:val="none" w:sz="0" w:space="0" w:color="auto"/>
                    <w:right w:val="none" w:sz="0" w:space="0" w:color="auto"/>
                  </w:divBdr>
                  <w:divsChild>
                    <w:div w:id="7314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998419">
      <w:bodyDiv w:val="1"/>
      <w:marLeft w:val="0"/>
      <w:marRight w:val="0"/>
      <w:marTop w:val="0"/>
      <w:marBottom w:val="0"/>
      <w:divBdr>
        <w:top w:val="none" w:sz="0" w:space="0" w:color="auto"/>
        <w:left w:val="none" w:sz="0" w:space="0" w:color="auto"/>
        <w:bottom w:val="none" w:sz="0" w:space="0" w:color="auto"/>
        <w:right w:val="none" w:sz="0" w:space="0" w:color="auto"/>
      </w:divBdr>
      <w:divsChild>
        <w:div w:id="1395617699">
          <w:marLeft w:val="0"/>
          <w:marRight w:val="0"/>
          <w:marTop w:val="0"/>
          <w:marBottom w:val="0"/>
          <w:divBdr>
            <w:top w:val="none" w:sz="0" w:space="0" w:color="auto"/>
            <w:left w:val="none" w:sz="0" w:space="0" w:color="auto"/>
            <w:bottom w:val="none" w:sz="0" w:space="0" w:color="auto"/>
            <w:right w:val="none" w:sz="0" w:space="0" w:color="auto"/>
          </w:divBdr>
          <w:divsChild>
            <w:div w:id="947659514">
              <w:marLeft w:val="0"/>
              <w:marRight w:val="0"/>
              <w:marTop w:val="0"/>
              <w:marBottom w:val="0"/>
              <w:divBdr>
                <w:top w:val="none" w:sz="0" w:space="0" w:color="auto"/>
                <w:left w:val="none" w:sz="0" w:space="0" w:color="auto"/>
                <w:bottom w:val="none" w:sz="0" w:space="0" w:color="auto"/>
                <w:right w:val="none" w:sz="0" w:space="0" w:color="auto"/>
              </w:divBdr>
              <w:divsChild>
                <w:div w:id="12741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4546">
      <w:bodyDiv w:val="1"/>
      <w:marLeft w:val="0"/>
      <w:marRight w:val="0"/>
      <w:marTop w:val="0"/>
      <w:marBottom w:val="0"/>
      <w:divBdr>
        <w:top w:val="none" w:sz="0" w:space="0" w:color="auto"/>
        <w:left w:val="none" w:sz="0" w:space="0" w:color="auto"/>
        <w:bottom w:val="none" w:sz="0" w:space="0" w:color="auto"/>
        <w:right w:val="none" w:sz="0" w:space="0" w:color="auto"/>
      </w:divBdr>
      <w:divsChild>
        <w:div w:id="817498409">
          <w:marLeft w:val="0"/>
          <w:marRight w:val="0"/>
          <w:marTop w:val="0"/>
          <w:marBottom w:val="0"/>
          <w:divBdr>
            <w:top w:val="none" w:sz="0" w:space="0" w:color="auto"/>
            <w:left w:val="none" w:sz="0" w:space="0" w:color="auto"/>
            <w:bottom w:val="none" w:sz="0" w:space="0" w:color="auto"/>
            <w:right w:val="none" w:sz="0" w:space="0" w:color="auto"/>
          </w:divBdr>
          <w:divsChild>
            <w:div w:id="885217678">
              <w:marLeft w:val="0"/>
              <w:marRight w:val="0"/>
              <w:marTop w:val="0"/>
              <w:marBottom w:val="0"/>
              <w:divBdr>
                <w:top w:val="none" w:sz="0" w:space="0" w:color="auto"/>
                <w:left w:val="none" w:sz="0" w:space="0" w:color="auto"/>
                <w:bottom w:val="none" w:sz="0" w:space="0" w:color="auto"/>
                <w:right w:val="none" w:sz="0" w:space="0" w:color="auto"/>
              </w:divBdr>
              <w:divsChild>
                <w:div w:id="6891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6770">
      <w:bodyDiv w:val="1"/>
      <w:marLeft w:val="0"/>
      <w:marRight w:val="0"/>
      <w:marTop w:val="0"/>
      <w:marBottom w:val="0"/>
      <w:divBdr>
        <w:top w:val="none" w:sz="0" w:space="0" w:color="auto"/>
        <w:left w:val="none" w:sz="0" w:space="0" w:color="auto"/>
        <w:bottom w:val="none" w:sz="0" w:space="0" w:color="auto"/>
        <w:right w:val="none" w:sz="0" w:space="0" w:color="auto"/>
      </w:divBdr>
      <w:divsChild>
        <w:div w:id="860315801">
          <w:marLeft w:val="0"/>
          <w:marRight w:val="0"/>
          <w:marTop w:val="0"/>
          <w:marBottom w:val="0"/>
          <w:divBdr>
            <w:top w:val="none" w:sz="0" w:space="0" w:color="auto"/>
            <w:left w:val="none" w:sz="0" w:space="0" w:color="auto"/>
            <w:bottom w:val="none" w:sz="0" w:space="0" w:color="auto"/>
            <w:right w:val="none" w:sz="0" w:space="0" w:color="auto"/>
          </w:divBdr>
          <w:divsChild>
            <w:div w:id="1580018729">
              <w:marLeft w:val="0"/>
              <w:marRight w:val="0"/>
              <w:marTop w:val="0"/>
              <w:marBottom w:val="0"/>
              <w:divBdr>
                <w:top w:val="none" w:sz="0" w:space="0" w:color="auto"/>
                <w:left w:val="none" w:sz="0" w:space="0" w:color="auto"/>
                <w:bottom w:val="none" w:sz="0" w:space="0" w:color="auto"/>
                <w:right w:val="none" w:sz="0" w:space="0" w:color="auto"/>
              </w:divBdr>
              <w:divsChild>
                <w:div w:id="6273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3069">
      <w:bodyDiv w:val="1"/>
      <w:marLeft w:val="0"/>
      <w:marRight w:val="0"/>
      <w:marTop w:val="0"/>
      <w:marBottom w:val="0"/>
      <w:divBdr>
        <w:top w:val="none" w:sz="0" w:space="0" w:color="auto"/>
        <w:left w:val="none" w:sz="0" w:space="0" w:color="auto"/>
        <w:bottom w:val="none" w:sz="0" w:space="0" w:color="auto"/>
        <w:right w:val="none" w:sz="0" w:space="0" w:color="auto"/>
      </w:divBdr>
      <w:divsChild>
        <w:div w:id="1833133800">
          <w:marLeft w:val="0"/>
          <w:marRight w:val="0"/>
          <w:marTop w:val="0"/>
          <w:marBottom w:val="0"/>
          <w:divBdr>
            <w:top w:val="none" w:sz="0" w:space="0" w:color="auto"/>
            <w:left w:val="none" w:sz="0" w:space="0" w:color="auto"/>
            <w:bottom w:val="none" w:sz="0" w:space="0" w:color="auto"/>
            <w:right w:val="none" w:sz="0" w:space="0" w:color="auto"/>
          </w:divBdr>
          <w:divsChild>
            <w:div w:id="1349138338">
              <w:marLeft w:val="0"/>
              <w:marRight w:val="0"/>
              <w:marTop w:val="0"/>
              <w:marBottom w:val="0"/>
              <w:divBdr>
                <w:top w:val="none" w:sz="0" w:space="0" w:color="auto"/>
                <w:left w:val="none" w:sz="0" w:space="0" w:color="auto"/>
                <w:bottom w:val="none" w:sz="0" w:space="0" w:color="auto"/>
                <w:right w:val="none" w:sz="0" w:space="0" w:color="auto"/>
              </w:divBdr>
              <w:divsChild>
                <w:div w:id="12736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F283-2A48-4980-9D65-FB07C1A4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7863</Words>
  <Characters>44824</Characters>
  <Application>Microsoft Office Word</Application>
  <DocSecurity>0</DocSecurity>
  <Lines>373</Lines>
  <Paragraphs>105</Paragraphs>
  <ScaleCrop>false</ScaleCrop>
  <HeadingPairs>
    <vt:vector size="2" baseType="variant">
      <vt:variant>
        <vt:lpstr>Titolo</vt:lpstr>
      </vt:variant>
      <vt:variant>
        <vt:i4>1</vt:i4>
      </vt:variant>
    </vt:vector>
  </HeadingPairs>
  <TitlesOfParts>
    <vt:vector size="1" baseType="lpstr">
      <vt:lpstr/>
    </vt:vector>
  </TitlesOfParts>
  <Company>DZ-Forum.net</Company>
  <LinksUpToDate>false</LinksUpToDate>
  <CharactersWithSpaces>52582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FERRARI Giulia</cp:lastModifiedBy>
  <cp:revision>2</cp:revision>
  <dcterms:created xsi:type="dcterms:W3CDTF">2022-04-07T19:44:00Z</dcterms:created>
  <dcterms:modified xsi:type="dcterms:W3CDTF">2022-04-07T19:44:00Z</dcterms:modified>
</cp:coreProperties>
</file>