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4361" w:rsidRPr="00D964D0" w:rsidRDefault="00604361" w:rsidP="00604361">
      <w:pPr>
        <w:spacing w:line="360" w:lineRule="auto"/>
        <w:ind w:firstLine="709"/>
        <w:jc w:val="both"/>
        <w:rPr>
          <w:rFonts w:ascii="Times New Roman" w:hAnsi="Times New Roman" w:cs="Times New Roman"/>
          <w:b/>
          <w:sz w:val="28"/>
          <w:szCs w:val="28"/>
        </w:rPr>
      </w:pPr>
      <w:r w:rsidRPr="00FA3433">
        <w:rPr>
          <w:rFonts w:ascii="Times New Roman" w:hAnsi="Times New Roman" w:cs="Times New Roman"/>
          <w:b/>
          <w:sz w:val="40"/>
          <w:szCs w:val="40"/>
        </w:rPr>
        <w:t>Le concessioni demaniali marittime: una fine o un inizio?</w:t>
      </w:r>
      <w:r w:rsidRPr="00FA3433">
        <w:rPr>
          <w:sz w:val="40"/>
          <w:szCs w:val="40"/>
        </w:rPr>
        <w:t xml:space="preserve"> </w:t>
      </w:r>
      <w:r w:rsidRPr="00FA3433">
        <w:rPr>
          <w:rFonts w:ascii="Times New Roman" w:hAnsi="Times New Roman" w:cs="Times New Roman"/>
          <w:b/>
          <w:sz w:val="40"/>
          <w:szCs w:val="40"/>
        </w:rPr>
        <w:t>correzioni di rotta e nuovi approdi</w:t>
      </w:r>
      <w:r w:rsidRPr="0070322E">
        <w:rPr>
          <w:rStyle w:val="Rimandonotaapidipagina"/>
          <w:rFonts w:ascii="Times New Roman" w:hAnsi="Times New Roman" w:cs="Times New Roman"/>
          <w:b/>
          <w:sz w:val="28"/>
          <w:szCs w:val="28"/>
        </w:rPr>
        <w:footnoteReference w:customMarkFollows="1" w:id="1"/>
        <w:sym w:font="Symbol" w:char="F02A"/>
      </w:r>
    </w:p>
    <w:p w:rsidR="006F6849" w:rsidRPr="00D964D0" w:rsidRDefault="00604361" w:rsidP="00D964D0">
      <w:pPr>
        <w:spacing w:line="360" w:lineRule="auto"/>
        <w:ind w:firstLine="709"/>
        <w:jc w:val="center"/>
        <w:rPr>
          <w:rFonts w:ascii="Times New Roman" w:hAnsi="Times New Roman" w:cs="Times New Roman"/>
          <w:sz w:val="24"/>
          <w:szCs w:val="24"/>
        </w:rPr>
      </w:pPr>
      <w:r>
        <w:rPr>
          <w:rFonts w:ascii="Times New Roman" w:hAnsi="Times New Roman" w:cs="Times New Roman"/>
          <w:sz w:val="24"/>
          <w:szCs w:val="24"/>
        </w:rPr>
        <w:t xml:space="preserve"> </w:t>
      </w:r>
    </w:p>
    <w:p w:rsidR="006F6849" w:rsidRPr="00D964D0" w:rsidRDefault="006F6849" w:rsidP="00D964D0">
      <w:pPr>
        <w:spacing w:line="360" w:lineRule="auto"/>
        <w:ind w:firstLine="709"/>
        <w:jc w:val="both"/>
        <w:rPr>
          <w:rFonts w:ascii="Times New Roman" w:hAnsi="Times New Roman" w:cs="Times New Roman"/>
          <w:sz w:val="24"/>
          <w:szCs w:val="24"/>
        </w:rPr>
      </w:pPr>
    </w:p>
    <w:p w:rsidR="00223DA1" w:rsidRDefault="00223DA1" w:rsidP="00D964D0">
      <w:pPr>
        <w:spacing w:line="360" w:lineRule="auto"/>
        <w:ind w:firstLine="709"/>
        <w:jc w:val="both"/>
        <w:rPr>
          <w:rFonts w:ascii="Times New Roman" w:hAnsi="Times New Roman" w:cs="Times New Roman"/>
          <w:b/>
          <w:sz w:val="24"/>
          <w:szCs w:val="24"/>
        </w:rPr>
      </w:pPr>
      <w:r w:rsidRPr="00D964D0">
        <w:rPr>
          <w:rFonts w:ascii="Times New Roman" w:hAnsi="Times New Roman" w:cs="Times New Roman"/>
          <w:b/>
          <w:sz w:val="24"/>
          <w:szCs w:val="24"/>
        </w:rPr>
        <w:t xml:space="preserve">SOMMARIO: 1. </w:t>
      </w:r>
      <w:r w:rsidR="00986E89" w:rsidRPr="00D964D0">
        <w:rPr>
          <w:rFonts w:ascii="Times New Roman" w:hAnsi="Times New Roman" w:cs="Times New Roman"/>
          <w:b/>
          <w:sz w:val="24"/>
          <w:szCs w:val="24"/>
        </w:rPr>
        <w:t xml:space="preserve">Introduzione. 2. </w:t>
      </w:r>
      <w:r w:rsidRPr="00D964D0">
        <w:rPr>
          <w:rFonts w:ascii="Times New Roman" w:hAnsi="Times New Roman" w:cs="Times New Roman"/>
          <w:b/>
          <w:sz w:val="24"/>
          <w:szCs w:val="24"/>
        </w:rPr>
        <w:t xml:space="preserve">Il </w:t>
      </w:r>
      <w:r w:rsidRPr="00B3629C">
        <w:rPr>
          <w:rFonts w:ascii="Times New Roman" w:hAnsi="Times New Roman" w:cs="Times New Roman"/>
          <w:b/>
          <w:sz w:val="24"/>
          <w:szCs w:val="24"/>
        </w:rPr>
        <w:t xml:space="preserve">quadro normativo. </w:t>
      </w:r>
      <w:r w:rsidR="00FE7583" w:rsidRPr="00B3629C">
        <w:rPr>
          <w:rFonts w:ascii="Times New Roman" w:hAnsi="Times New Roman" w:cs="Times New Roman"/>
          <w:b/>
          <w:sz w:val="24"/>
          <w:szCs w:val="24"/>
        </w:rPr>
        <w:t>3. Le sentenze dell’adunanza plenaria del Consiglio di Stato</w:t>
      </w:r>
      <w:r w:rsidR="00D1210F">
        <w:rPr>
          <w:rFonts w:ascii="Times New Roman" w:hAnsi="Times New Roman" w:cs="Times New Roman"/>
          <w:b/>
          <w:sz w:val="24"/>
          <w:szCs w:val="24"/>
        </w:rPr>
        <w:t xml:space="preserve"> </w:t>
      </w:r>
      <w:r w:rsidR="00154A44" w:rsidRPr="00B3629C">
        <w:rPr>
          <w:rFonts w:ascii="Times New Roman" w:hAnsi="Times New Roman" w:cs="Times New Roman"/>
          <w:b/>
          <w:sz w:val="24"/>
          <w:szCs w:val="24"/>
        </w:rPr>
        <w:t>9 novembre 202</w:t>
      </w:r>
      <w:r w:rsidR="0029040A">
        <w:rPr>
          <w:rFonts w:ascii="Times New Roman" w:hAnsi="Times New Roman" w:cs="Times New Roman"/>
          <w:b/>
          <w:sz w:val="24"/>
          <w:szCs w:val="24"/>
        </w:rPr>
        <w:t>1</w:t>
      </w:r>
      <w:r w:rsidR="00FE7583" w:rsidRPr="00B3629C">
        <w:rPr>
          <w:rFonts w:ascii="Times New Roman" w:hAnsi="Times New Roman" w:cs="Times New Roman"/>
          <w:b/>
          <w:sz w:val="24"/>
          <w:szCs w:val="24"/>
        </w:rPr>
        <w:t xml:space="preserve">, </w:t>
      </w:r>
      <w:proofErr w:type="spellStart"/>
      <w:r w:rsidR="00FE7583" w:rsidRPr="00B3629C">
        <w:rPr>
          <w:rFonts w:ascii="Times New Roman" w:hAnsi="Times New Roman" w:cs="Times New Roman"/>
          <w:b/>
          <w:sz w:val="24"/>
          <w:szCs w:val="24"/>
        </w:rPr>
        <w:t>nn</w:t>
      </w:r>
      <w:proofErr w:type="spellEnd"/>
      <w:r w:rsidR="00FE7583" w:rsidRPr="00B3629C">
        <w:rPr>
          <w:rFonts w:ascii="Times New Roman" w:hAnsi="Times New Roman" w:cs="Times New Roman"/>
          <w:b/>
          <w:sz w:val="24"/>
          <w:szCs w:val="24"/>
        </w:rPr>
        <w:t>. 17 e 18.</w:t>
      </w:r>
      <w:r w:rsidR="00B3629C" w:rsidRPr="00B3629C">
        <w:rPr>
          <w:rFonts w:ascii="Times New Roman" w:hAnsi="Times New Roman" w:cs="Times New Roman"/>
          <w:sz w:val="24"/>
          <w:szCs w:val="24"/>
        </w:rPr>
        <w:t xml:space="preserve"> </w:t>
      </w:r>
      <w:r w:rsidR="00B3629C" w:rsidRPr="00B3629C">
        <w:rPr>
          <w:rFonts w:ascii="Times New Roman" w:hAnsi="Times New Roman" w:cs="Times New Roman"/>
          <w:b/>
          <w:sz w:val="24"/>
          <w:szCs w:val="24"/>
        </w:rPr>
        <w:t xml:space="preserve">4. </w:t>
      </w:r>
      <w:r w:rsidR="00733C02" w:rsidRPr="00B3629C">
        <w:rPr>
          <w:rFonts w:ascii="Times New Roman" w:hAnsi="Times New Roman" w:cs="Times New Roman"/>
          <w:b/>
          <w:sz w:val="24"/>
          <w:szCs w:val="24"/>
        </w:rPr>
        <w:t>La nuova chiamata in causa della CGUE.</w:t>
      </w:r>
      <w:r w:rsidR="00772A38" w:rsidRPr="00B3629C">
        <w:rPr>
          <w:rFonts w:ascii="Times New Roman" w:hAnsi="Times New Roman" w:cs="Times New Roman"/>
          <w:sz w:val="24"/>
          <w:szCs w:val="24"/>
        </w:rPr>
        <w:t xml:space="preserve"> </w:t>
      </w:r>
      <w:r w:rsidR="00772A38" w:rsidRPr="00B3629C">
        <w:rPr>
          <w:rFonts w:ascii="Times New Roman" w:hAnsi="Times New Roman" w:cs="Times New Roman"/>
          <w:b/>
          <w:sz w:val="24"/>
          <w:szCs w:val="24"/>
        </w:rPr>
        <w:t>5. Il nuovo panorama normativo.</w:t>
      </w:r>
      <w:r w:rsidR="00B3629C" w:rsidRPr="00B3629C">
        <w:rPr>
          <w:rFonts w:ascii="Times New Roman" w:hAnsi="Times New Roman" w:cs="Times New Roman"/>
          <w:sz w:val="24"/>
          <w:szCs w:val="24"/>
        </w:rPr>
        <w:t xml:space="preserve"> </w:t>
      </w:r>
      <w:r w:rsidR="00B3629C" w:rsidRPr="00B3629C">
        <w:rPr>
          <w:rFonts w:ascii="Times New Roman" w:hAnsi="Times New Roman" w:cs="Times New Roman"/>
          <w:b/>
          <w:sz w:val="24"/>
          <w:szCs w:val="24"/>
        </w:rPr>
        <w:t>6. La situazione conseguente.</w:t>
      </w:r>
      <w:r w:rsidR="00F25A2A">
        <w:rPr>
          <w:rFonts w:ascii="Times New Roman" w:hAnsi="Times New Roman" w:cs="Times New Roman"/>
          <w:b/>
          <w:sz w:val="24"/>
          <w:szCs w:val="24"/>
        </w:rPr>
        <w:t xml:space="preserve"> 6. Considerazioni.</w:t>
      </w:r>
      <w:r w:rsidR="00A80C69">
        <w:rPr>
          <w:rFonts w:ascii="Times New Roman" w:hAnsi="Times New Roman" w:cs="Times New Roman"/>
          <w:b/>
          <w:sz w:val="24"/>
          <w:szCs w:val="24"/>
        </w:rPr>
        <w:t xml:space="preserve"> 7. </w:t>
      </w:r>
      <w:r w:rsidR="00756B95">
        <w:rPr>
          <w:rFonts w:ascii="Times New Roman" w:hAnsi="Times New Roman" w:cs="Times New Roman"/>
          <w:b/>
          <w:sz w:val="24"/>
          <w:szCs w:val="24"/>
        </w:rPr>
        <w:t>Conclusioni</w:t>
      </w:r>
      <w:r w:rsidR="00D1210F">
        <w:rPr>
          <w:rFonts w:ascii="Times New Roman" w:hAnsi="Times New Roman" w:cs="Times New Roman"/>
          <w:b/>
          <w:sz w:val="24"/>
          <w:szCs w:val="24"/>
        </w:rPr>
        <w:t xml:space="preserve">. 8. </w:t>
      </w:r>
      <w:r w:rsidR="00F94206">
        <w:rPr>
          <w:rFonts w:ascii="Times New Roman" w:hAnsi="Times New Roman" w:cs="Times New Roman"/>
          <w:b/>
          <w:sz w:val="24"/>
          <w:szCs w:val="24"/>
        </w:rPr>
        <w:t>Turbolenze</w:t>
      </w:r>
      <w:r w:rsidR="00D1210F">
        <w:rPr>
          <w:rFonts w:ascii="Times New Roman" w:hAnsi="Times New Roman" w:cs="Times New Roman"/>
          <w:b/>
          <w:sz w:val="24"/>
          <w:szCs w:val="24"/>
        </w:rPr>
        <w:t xml:space="preserve"> dietro l’angolo</w:t>
      </w:r>
      <w:r w:rsidR="00A80C69">
        <w:rPr>
          <w:rFonts w:ascii="Times New Roman" w:hAnsi="Times New Roman" w:cs="Times New Roman"/>
          <w:b/>
          <w:sz w:val="24"/>
          <w:szCs w:val="24"/>
        </w:rPr>
        <w:t>.</w:t>
      </w:r>
    </w:p>
    <w:p w:rsidR="00F25A2A" w:rsidRPr="00B3629C" w:rsidRDefault="00F25A2A" w:rsidP="00D964D0">
      <w:pPr>
        <w:spacing w:line="360" w:lineRule="auto"/>
        <w:ind w:firstLine="709"/>
        <w:jc w:val="both"/>
        <w:rPr>
          <w:rFonts w:ascii="Times New Roman" w:hAnsi="Times New Roman" w:cs="Times New Roman"/>
          <w:b/>
          <w:sz w:val="24"/>
          <w:szCs w:val="24"/>
        </w:rPr>
      </w:pPr>
    </w:p>
    <w:p w:rsidR="00986E89" w:rsidRPr="00D964D0" w:rsidRDefault="00986E89" w:rsidP="00D964D0">
      <w:pPr>
        <w:spacing w:line="360" w:lineRule="auto"/>
        <w:ind w:firstLine="709"/>
        <w:jc w:val="both"/>
        <w:rPr>
          <w:rFonts w:ascii="Times New Roman" w:hAnsi="Times New Roman" w:cs="Times New Roman"/>
          <w:b/>
          <w:sz w:val="24"/>
          <w:szCs w:val="24"/>
        </w:rPr>
      </w:pPr>
      <w:r w:rsidRPr="00D964D0">
        <w:rPr>
          <w:rFonts w:ascii="Times New Roman" w:hAnsi="Times New Roman" w:cs="Times New Roman"/>
          <w:b/>
          <w:sz w:val="24"/>
          <w:szCs w:val="24"/>
        </w:rPr>
        <w:t>1. Introduzione.</w:t>
      </w:r>
    </w:p>
    <w:p w:rsidR="00F548B9" w:rsidRPr="00D964D0" w:rsidRDefault="00986E89" w:rsidP="00D964D0">
      <w:pPr>
        <w:spacing w:line="360" w:lineRule="auto"/>
        <w:ind w:firstLine="709"/>
        <w:jc w:val="both"/>
        <w:rPr>
          <w:rFonts w:ascii="Times New Roman" w:hAnsi="Times New Roman" w:cs="Times New Roman"/>
          <w:sz w:val="24"/>
          <w:szCs w:val="24"/>
        </w:rPr>
      </w:pPr>
      <w:r w:rsidRPr="00D964D0">
        <w:rPr>
          <w:rFonts w:ascii="Times New Roman" w:hAnsi="Times New Roman" w:cs="Times New Roman"/>
          <w:sz w:val="24"/>
          <w:szCs w:val="24"/>
        </w:rPr>
        <w:t xml:space="preserve">Il tema delle concessioni demaniali marittime </w:t>
      </w:r>
      <w:r w:rsidR="00340F69" w:rsidRPr="00340F69">
        <w:rPr>
          <w:rFonts w:ascii="Times New Roman" w:hAnsi="Times New Roman" w:cs="Times New Roman"/>
          <w:sz w:val="24"/>
          <w:szCs w:val="24"/>
        </w:rPr>
        <w:t xml:space="preserve">per finalità turistico-ricreative </w:t>
      </w:r>
      <w:r w:rsidRPr="00D964D0">
        <w:rPr>
          <w:rFonts w:ascii="Times New Roman" w:hAnsi="Times New Roman" w:cs="Times New Roman"/>
          <w:sz w:val="24"/>
          <w:szCs w:val="24"/>
        </w:rPr>
        <w:t xml:space="preserve">è </w:t>
      </w:r>
      <w:r w:rsidR="00F548B9" w:rsidRPr="00D964D0">
        <w:rPr>
          <w:rFonts w:ascii="Times New Roman" w:hAnsi="Times New Roman" w:cs="Times New Roman"/>
          <w:sz w:val="24"/>
          <w:szCs w:val="24"/>
        </w:rPr>
        <w:t>“</w:t>
      </w:r>
      <w:r w:rsidRPr="00D964D0">
        <w:rPr>
          <w:rFonts w:ascii="Times New Roman" w:hAnsi="Times New Roman" w:cs="Times New Roman"/>
          <w:sz w:val="24"/>
          <w:szCs w:val="24"/>
        </w:rPr>
        <w:t>bollente</w:t>
      </w:r>
      <w:r w:rsidR="00F548B9" w:rsidRPr="00D964D0">
        <w:rPr>
          <w:rFonts w:ascii="Times New Roman" w:hAnsi="Times New Roman" w:cs="Times New Roman"/>
          <w:sz w:val="24"/>
          <w:szCs w:val="24"/>
        </w:rPr>
        <w:t>”</w:t>
      </w:r>
      <w:r w:rsidRPr="00D964D0">
        <w:rPr>
          <w:rFonts w:ascii="Times New Roman" w:hAnsi="Times New Roman" w:cs="Times New Roman"/>
          <w:sz w:val="24"/>
          <w:szCs w:val="24"/>
        </w:rPr>
        <w:t>. Non per il sole</w:t>
      </w:r>
      <w:r w:rsidR="00F548B9" w:rsidRPr="00D964D0">
        <w:rPr>
          <w:rFonts w:ascii="Times New Roman" w:hAnsi="Times New Roman" w:cs="Times New Roman"/>
          <w:sz w:val="24"/>
          <w:szCs w:val="24"/>
        </w:rPr>
        <w:t xml:space="preserve"> o le alte temperature di questa eccezionale estate,</w:t>
      </w:r>
      <w:r w:rsidRPr="00D964D0">
        <w:rPr>
          <w:rFonts w:ascii="Times New Roman" w:hAnsi="Times New Roman" w:cs="Times New Roman"/>
          <w:sz w:val="24"/>
          <w:szCs w:val="24"/>
        </w:rPr>
        <w:t xml:space="preserve"> ma per tre ordini di ragioni: a) la mia partecipazione </w:t>
      </w:r>
      <w:r w:rsidR="001200F6">
        <w:rPr>
          <w:rFonts w:ascii="Times New Roman" w:hAnsi="Times New Roman" w:cs="Times New Roman"/>
          <w:sz w:val="24"/>
          <w:szCs w:val="24"/>
        </w:rPr>
        <w:t>nel collegio de</w:t>
      </w:r>
      <w:r w:rsidRPr="00D964D0">
        <w:rPr>
          <w:rFonts w:ascii="Times New Roman" w:hAnsi="Times New Roman" w:cs="Times New Roman"/>
          <w:sz w:val="24"/>
          <w:szCs w:val="24"/>
        </w:rPr>
        <w:t>lle cosiddette sentenze gemelle dell’adunanza plenaria del Consiglio di Stato (</w:t>
      </w:r>
      <w:r w:rsidR="00F548B9" w:rsidRPr="00D964D0">
        <w:rPr>
          <w:rFonts w:ascii="Times New Roman" w:hAnsi="Times New Roman" w:cs="Times New Roman"/>
          <w:sz w:val="24"/>
          <w:szCs w:val="24"/>
        </w:rPr>
        <w:t xml:space="preserve">9 novembre 2021, nn. 17 e 18), il che non mi consente di poterne parlare con </w:t>
      </w:r>
      <w:r w:rsidR="00E724E7">
        <w:rPr>
          <w:rFonts w:ascii="Times New Roman" w:hAnsi="Times New Roman" w:cs="Times New Roman"/>
          <w:sz w:val="24"/>
          <w:szCs w:val="24"/>
        </w:rPr>
        <w:t>distacco</w:t>
      </w:r>
      <w:r w:rsidR="00F548B9" w:rsidRPr="00D964D0">
        <w:rPr>
          <w:rFonts w:ascii="Times New Roman" w:hAnsi="Times New Roman" w:cs="Times New Roman"/>
          <w:sz w:val="24"/>
          <w:szCs w:val="24"/>
        </w:rPr>
        <w:t>; b) la pendenza del giudizio innanzi alla Corte di giustizia dell’Unione europea (CGUE)</w:t>
      </w:r>
      <w:r w:rsidR="00E724E7">
        <w:rPr>
          <w:rFonts w:ascii="Times New Roman" w:hAnsi="Times New Roman" w:cs="Times New Roman"/>
          <w:sz w:val="24"/>
          <w:szCs w:val="24"/>
        </w:rPr>
        <w:t>,</w:t>
      </w:r>
      <w:r w:rsidR="00F548B9" w:rsidRPr="00D964D0">
        <w:rPr>
          <w:rFonts w:ascii="Times New Roman" w:hAnsi="Times New Roman" w:cs="Times New Roman"/>
          <w:sz w:val="24"/>
          <w:szCs w:val="24"/>
        </w:rPr>
        <w:t xml:space="preserve"> a seguito dell’ordinanza di remissione del Tar Puglia, sezione staccata d</w:t>
      </w:r>
      <w:r w:rsidR="00E724E7">
        <w:rPr>
          <w:rFonts w:ascii="Times New Roman" w:hAnsi="Times New Roman" w:cs="Times New Roman"/>
          <w:sz w:val="24"/>
          <w:szCs w:val="24"/>
        </w:rPr>
        <w:t>i Lecce, 11 maggio 2022, n. 743</w:t>
      </w:r>
      <w:r w:rsidR="002350F7">
        <w:rPr>
          <w:rFonts w:ascii="Times New Roman" w:hAnsi="Times New Roman" w:cs="Times New Roman"/>
          <w:sz w:val="24"/>
          <w:szCs w:val="24"/>
        </w:rPr>
        <w:t>,</w:t>
      </w:r>
      <w:r w:rsidR="00F548B9" w:rsidRPr="00D964D0">
        <w:rPr>
          <w:rFonts w:ascii="Times New Roman" w:hAnsi="Times New Roman" w:cs="Times New Roman"/>
          <w:sz w:val="24"/>
          <w:szCs w:val="24"/>
        </w:rPr>
        <w:t xml:space="preserve"> e di quello innanzi alle sezioni unite della Corte di Cassazione</w:t>
      </w:r>
      <w:r w:rsidR="00E724E7">
        <w:rPr>
          <w:rFonts w:ascii="Times New Roman" w:hAnsi="Times New Roman" w:cs="Times New Roman"/>
          <w:sz w:val="24"/>
          <w:szCs w:val="24"/>
        </w:rPr>
        <w:t>,</w:t>
      </w:r>
      <w:r w:rsidR="00F548B9" w:rsidRPr="00D964D0">
        <w:rPr>
          <w:rFonts w:ascii="Times New Roman" w:hAnsi="Times New Roman" w:cs="Times New Roman"/>
          <w:sz w:val="24"/>
          <w:szCs w:val="24"/>
        </w:rPr>
        <w:t xml:space="preserve"> a seguito dell’impugnazione delle due dette sentenze per difetto di giurisdizione; c) le prossime elezioni politiche</w:t>
      </w:r>
      <w:r w:rsidR="00D1210F">
        <w:rPr>
          <w:rFonts w:ascii="Times New Roman" w:hAnsi="Times New Roman" w:cs="Times New Roman"/>
          <w:sz w:val="24"/>
          <w:szCs w:val="24"/>
        </w:rPr>
        <w:t>,</w:t>
      </w:r>
      <w:r w:rsidR="00F548B9" w:rsidRPr="00D964D0">
        <w:rPr>
          <w:rFonts w:ascii="Times New Roman" w:hAnsi="Times New Roman" w:cs="Times New Roman"/>
          <w:sz w:val="24"/>
          <w:szCs w:val="24"/>
        </w:rPr>
        <w:t xml:space="preserve"> dato che il tema </w:t>
      </w:r>
      <w:r w:rsidR="00E724E7">
        <w:rPr>
          <w:rFonts w:ascii="Times New Roman" w:hAnsi="Times New Roman" w:cs="Times New Roman"/>
          <w:sz w:val="24"/>
          <w:szCs w:val="24"/>
        </w:rPr>
        <w:t>è uno d</w:t>
      </w:r>
      <w:r w:rsidR="00F548B9" w:rsidRPr="00D964D0">
        <w:rPr>
          <w:rFonts w:ascii="Times New Roman" w:hAnsi="Times New Roman" w:cs="Times New Roman"/>
          <w:sz w:val="24"/>
          <w:szCs w:val="24"/>
        </w:rPr>
        <w:t xml:space="preserve">i </w:t>
      </w:r>
      <w:r w:rsidR="00E724E7">
        <w:rPr>
          <w:rFonts w:ascii="Times New Roman" w:hAnsi="Times New Roman" w:cs="Times New Roman"/>
          <w:sz w:val="24"/>
          <w:szCs w:val="24"/>
        </w:rPr>
        <w:t xml:space="preserve">quelli oggetto di </w:t>
      </w:r>
      <w:r w:rsidR="00F548B9" w:rsidRPr="00D964D0">
        <w:rPr>
          <w:rFonts w:ascii="Times New Roman" w:hAnsi="Times New Roman" w:cs="Times New Roman"/>
          <w:sz w:val="24"/>
          <w:szCs w:val="24"/>
        </w:rPr>
        <w:t>campagna elettorale.</w:t>
      </w:r>
    </w:p>
    <w:p w:rsidR="00F548B9" w:rsidRPr="00D964D0" w:rsidRDefault="00F548B9" w:rsidP="00D964D0">
      <w:pPr>
        <w:spacing w:line="360" w:lineRule="auto"/>
        <w:ind w:firstLine="709"/>
        <w:jc w:val="both"/>
        <w:rPr>
          <w:rFonts w:ascii="Times New Roman" w:hAnsi="Times New Roman" w:cs="Times New Roman"/>
          <w:sz w:val="24"/>
          <w:szCs w:val="24"/>
        </w:rPr>
      </w:pPr>
      <w:r w:rsidRPr="00D964D0">
        <w:rPr>
          <w:rFonts w:ascii="Times New Roman" w:hAnsi="Times New Roman" w:cs="Times New Roman"/>
          <w:sz w:val="24"/>
          <w:szCs w:val="24"/>
        </w:rPr>
        <w:t xml:space="preserve">Cercherò comunque di mettere a fuoco quelli che sono, secondo me, gli snodi rilevanti </w:t>
      </w:r>
      <w:r w:rsidR="00F25A2A">
        <w:rPr>
          <w:rFonts w:ascii="Times New Roman" w:hAnsi="Times New Roman" w:cs="Times New Roman"/>
          <w:sz w:val="24"/>
          <w:szCs w:val="24"/>
        </w:rPr>
        <w:t xml:space="preserve">e gli approdi temporanei </w:t>
      </w:r>
      <w:r w:rsidRPr="00D964D0">
        <w:rPr>
          <w:rFonts w:ascii="Times New Roman" w:hAnsi="Times New Roman" w:cs="Times New Roman"/>
          <w:sz w:val="24"/>
          <w:szCs w:val="24"/>
        </w:rPr>
        <w:t>della tematica, individuando soprattutto la situazione attuale.</w:t>
      </w:r>
    </w:p>
    <w:p w:rsidR="006A294E" w:rsidRPr="00D964D0" w:rsidRDefault="006A294E" w:rsidP="00D964D0">
      <w:pPr>
        <w:spacing w:line="360" w:lineRule="auto"/>
        <w:ind w:firstLine="709"/>
        <w:jc w:val="both"/>
        <w:rPr>
          <w:rFonts w:ascii="Times New Roman" w:hAnsi="Times New Roman" w:cs="Times New Roman"/>
          <w:sz w:val="24"/>
          <w:szCs w:val="24"/>
        </w:rPr>
      </w:pPr>
      <w:r w:rsidRPr="00D964D0">
        <w:rPr>
          <w:rFonts w:ascii="Times New Roman" w:hAnsi="Times New Roman" w:cs="Times New Roman"/>
          <w:sz w:val="24"/>
          <w:szCs w:val="24"/>
        </w:rPr>
        <w:t>Una fine o un inizio?</w:t>
      </w:r>
    </w:p>
    <w:p w:rsidR="00986E89" w:rsidRPr="00D964D0" w:rsidRDefault="00E724E7" w:rsidP="00D964D0">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Né l’uno né </w:t>
      </w:r>
      <w:r w:rsidR="006A294E" w:rsidRPr="00D964D0">
        <w:rPr>
          <w:rFonts w:ascii="Times New Roman" w:hAnsi="Times New Roman" w:cs="Times New Roman"/>
          <w:sz w:val="24"/>
          <w:szCs w:val="24"/>
        </w:rPr>
        <w:t>l’altro. Direi una specie</w:t>
      </w:r>
      <w:r w:rsidR="00F146FE" w:rsidRPr="00D964D0">
        <w:rPr>
          <w:rFonts w:ascii="Times New Roman" w:hAnsi="Times New Roman" w:cs="Times New Roman"/>
          <w:sz w:val="24"/>
          <w:szCs w:val="24"/>
        </w:rPr>
        <w:t xml:space="preserve"> di telenovela </w:t>
      </w:r>
      <w:r w:rsidR="006A294E" w:rsidRPr="00D964D0">
        <w:rPr>
          <w:rFonts w:ascii="Times New Roman" w:hAnsi="Times New Roman" w:cs="Times New Roman"/>
          <w:sz w:val="24"/>
          <w:szCs w:val="24"/>
        </w:rPr>
        <w:t xml:space="preserve">a puntate (che non delude </w:t>
      </w:r>
      <w:r w:rsidR="00D1210F">
        <w:rPr>
          <w:rFonts w:ascii="Times New Roman" w:hAnsi="Times New Roman" w:cs="Times New Roman"/>
          <w:sz w:val="24"/>
          <w:szCs w:val="24"/>
        </w:rPr>
        <w:t xml:space="preserve">mai </w:t>
      </w:r>
      <w:r w:rsidR="006A294E" w:rsidRPr="00D964D0">
        <w:rPr>
          <w:rFonts w:ascii="Times New Roman" w:hAnsi="Times New Roman" w:cs="Times New Roman"/>
          <w:sz w:val="24"/>
          <w:szCs w:val="24"/>
        </w:rPr>
        <w:t xml:space="preserve">gli spettatori, anzi li incentiva a seguire sempre di più le puntate successive) e che, incominciata da oltre dieci anni, </w:t>
      </w:r>
      <w:r w:rsidR="00D1210F">
        <w:rPr>
          <w:rFonts w:ascii="Times New Roman" w:hAnsi="Times New Roman" w:cs="Times New Roman"/>
          <w:sz w:val="24"/>
          <w:szCs w:val="24"/>
        </w:rPr>
        <w:t xml:space="preserve">è lungi dal concludersi. Non si è ancora </w:t>
      </w:r>
      <w:r w:rsidR="006A294E" w:rsidRPr="00D964D0">
        <w:rPr>
          <w:rFonts w:ascii="Times New Roman" w:hAnsi="Times New Roman" w:cs="Times New Roman"/>
          <w:sz w:val="24"/>
          <w:szCs w:val="24"/>
        </w:rPr>
        <w:t>arriva</w:t>
      </w:r>
      <w:r w:rsidR="00D1210F">
        <w:rPr>
          <w:rFonts w:ascii="Times New Roman" w:hAnsi="Times New Roman" w:cs="Times New Roman"/>
          <w:sz w:val="24"/>
          <w:szCs w:val="24"/>
        </w:rPr>
        <w:t>ti</w:t>
      </w:r>
      <w:r w:rsidR="006A294E" w:rsidRPr="00D964D0">
        <w:rPr>
          <w:rFonts w:ascii="Times New Roman" w:hAnsi="Times New Roman" w:cs="Times New Roman"/>
          <w:sz w:val="24"/>
          <w:szCs w:val="24"/>
        </w:rPr>
        <w:t xml:space="preserve"> a soluzioni certe</w:t>
      </w:r>
      <w:r w:rsidR="00F25A2A">
        <w:rPr>
          <w:rFonts w:ascii="Times New Roman" w:hAnsi="Times New Roman" w:cs="Times New Roman"/>
          <w:sz w:val="24"/>
          <w:szCs w:val="24"/>
        </w:rPr>
        <w:t>,</w:t>
      </w:r>
      <w:r w:rsidR="006A294E" w:rsidRPr="00D964D0">
        <w:rPr>
          <w:rFonts w:ascii="Times New Roman" w:hAnsi="Times New Roman" w:cs="Times New Roman"/>
          <w:sz w:val="24"/>
          <w:szCs w:val="24"/>
        </w:rPr>
        <w:t xml:space="preserve"> </w:t>
      </w:r>
      <w:r w:rsidR="00D1210F">
        <w:rPr>
          <w:rFonts w:ascii="Times New Roman" w:hAnsi="Times New Roman" w:cs="Times New Roman"/>
          <w:sz w:val="24"/>
          <w:szCs w:val="24"/>
        </w:rPr>
        <w:t xml:space="preserve">mentre, dietro l’angolo, si </w:t>
      </w:r>
      <w:r w:rsidR="00D1210F">
        <w:rPr>
          <w:rFonts w:ascii="Times New Roman" w:hAnsi="Times New Roman" w:cs="Times New Roman"/>
          <w:sz w:val="24"/>
          <w:szCs w:val="24"/>
        </w:rPr>
        <w:lastRenderedPageBreak/>
        <w:t xml:space="preserve">intravedono </w:t>
      </w:r>
      <w:r w:rsidR="006A294E" w:rsidRPr="00D964D0">
        <w:rPr>
          <w:rFonts w:ascii="Times New Roman" w:hAnsi="Times New Roman" w:cs="Times New Roman"/>
          <w:sz w:val="24"/>
          <w:szCs w:val="24"/>
        </w:rPr>
        <w:t>problemi di nuovo tipo.</w:t>
      </w:r>
      <w:r>
        <w:rPr>
          <w:rFonts w:ascii="Times New Roman" w:hAnsi="Times New Roman" w:cs="Times New Roman"/>
          <w:sz w:val="24"/>
          <w:szCs w:val="24"/>
        </w:rPr>
        <w:t xml:space="preserve"> Nello stesso tempo </w:t>
      </w:r>
      <w:r w:rsidR="00D1210F">
        <w:rPr>
          <w:rFonts w:ascii="Times New Roman" w:hAnsi="Times New Roman" w:cs="Times New Roman"/>
          <w:sz w:val="24"/>
          <w:szCs w:val="24"/>
        </w:rPr>
        <w:t>si prospettano n</w:t>
      </w:r>
      <w:r>
        <w:rPr>
          <w:rFonts w:ascii="Times New Roman" w:hAnsi="Times New Roman" w:cs="Times New Roman"/>
          <w:sz w:val="24"/>
          <w:szCs w:val="24"/>
        </w:rPr>
        <w:t xml:space="preserve">uovi scenari </w:t>
      </w:r>
      <w:r w:rsidR="00D1210F">
        <w:rPr>
          <w:rFonts w:ascii="Times New Roman" w:hAnsi="Times New Roman" w:cs="Times New Roman"/>
          <w:sz w:val="24"/>
          <w:szCs w:val="24"/>
        </w:rPr>
        <w:t>e</w:t>
      </w:r>
      <w:r>
        <w:rPr>
          <w:rFonts w:ascii="Times New Roman" w:hAnsi="Times New Roman" w:cs="Times New Roman"/>
          <w:sz w:val="24"/>
          <w:szCs w:val="24"/>
        </w:rPr>
        <w:t xml:space="preserve"> gli approdi sono ancora lontani.</w:t>
      </w:r>
    </w:p>
    <w:p w:rsidR="00986E89" w:rsidRPr="00D964D0" w:rsidRDefault="00986E89" w:rsidP="00D964D0">
      <w:pPr>
        <w:spacing w:line="360" w:lineRule="auto"/>
        <w:ind w:firstLine="709"/>
        <w:jc w:val="both"/>
        <w:rPr>
          <w:rFonts w:ascii="Times New Roman" w:hAnsi="Times New Roman" w:cs="Times New Roman"/>
          <w:sz w:val="24"/>
          <w:szCs w:val="24"/>
        </w:rPr>
      </w:pPr>
    </w:p>
    <w:p w:rsidR="009A2E71" w:rsidRPr="00D964D0" w:rsidRDefault="009A2E71" w:rsidP="00D964D0">
      <w:pPr>
        <w:spacing w:line="360" w:lineRule="auto"/>
        <w:ind w:firstLine="709"/>
        <w:jc w:val="both"/>
        <w:rPr>
          <w:rFonts w:ascii="Times New Roman" w:hAnsi="Times New Roman" w:cs="Times New Roman"/>
          <w:b/>
          <w:sz w:val="24"/>
          <w:szCs w:val="24"/>
        </w:rPr>
      </w:pPr>
      <w:r w:rsidRPr="00D964D0">
        <w:rPr>
          <w:rFonts w:ascii="Times New Roman" w:hAnsi="Times New Roman" w:cs="Times New Roman"/>
          <w:b/>
          <w:sz w:val="24"/>
          <w:szCs w:val="24"/>
        </w:rPr>
        <w:t>2. Il quadro normativo.</w:t>
      </w:r>
    </w:p>
    <w:p w:rsidR="009A2E71" w:rsidRPr="00D964D0" w:rsidRDefault="009A2E71" w:rsidP="00D964D0">
      <w:pPr>
        <w:spacing w:line="360" w:lineRule="auto"/>
        <w:ind w:firstLine="709"/>
        <w:jc w:val="both"/>
        <w:rPr>
          <w:rFonts w:ascii="Times New Roman" w:hAnsi="Times New Roman" w:cs="Times New Roman"/>
          <w:sz w:val="24"/>
          <w:szCs w:val="24"/>
        </w:rPr>
      </w:pPr>
      <w:r w:rsidRPr="00D964D0">
        <w:rPr>
          <w:rFonts w:ascii="Times New Roman" w:hAnsi="Times New Roman" w:cs="Times New Roman"/>
          <w:sz w:val="24"/>
          <w:szCs w:val="24"/>
        </w:rPr>
        <w:t>Secondo il codice civile i</w:t>
      </w:r>
      <w:r w:rsidR="009A5073" w:rsidRPr="00D964D0">
        <w:rPr>
          <w:rFonts w:ascii="Times New Roman" w:hAnsi="Times New Roman" w:cs="Times New Roman"/>
          <w:sz w:val="24"/>
          <w:szCs w:val="24"/>
        </w:rPr>
        <w:t>l lido del mare e la spiaggia fanno par</w:t>
      </w:r>
      <w:r w:rsidR="00336B7C" w:rsidRPr="00D964D0">
        <w:rPr>
          <w:rFonts w:ascii="Times New Roman" w:hAnsi="Times New Roman" w:cs="Times New Roman"/>
          <w:sz w:val="24"/>
          <w:szCs w:val="24"/>
        </w:rPr>
        <w:t>te del demanio pubblico</w:t>
      </w:r>
      <w:r w:rsidR="009A5073" w:rsidRPr="00D964D0">
        <w:rPr>
          <w:rFonts w:ascii="Times New Roman" w:hAnsi="Times New Roman" w:cs="Times New Roman"/>
          <w:sz w:val="24"/>
          <w:szCs w:val="24"/>
        </w:rPr>
        <w:t xml:space="preserve">. In quanto tali sono </w:t>
      </w:r>
      <w:r w:rsidR="00BD6A75" w:rsidRPr="00D964D0">
        <w:rPr>
          <w:rFonts w:ascii="Times New Roman" w:hAnsi="Times New Roman" w:cs="Times New Roman"/>
          <w:sz w:val="24"/>
          <w:szCs w:val="24"/>
        </w:rPr>
        <w:t>inalienabili</w:t>
      </w:r>
      <w:r w:rsidR="009A5073" w:rsidRPr="00D964D0">
        <w:rPr>
          <w:rFonts w:ascii="Times New Roman" w:hAnsi="Times New Roman" w:cs="Times New Roman"/>
          <w:sz w:val="24"/>
          <w:szCs w:val="24"/>
        </w:rPr>
        <w:t xml:space="preserve"> </w:t>
      </w:r>
      <w:r w:rsidR="00BD6A75" w:rsidRPr="00D964D0">
        <w:rPr>
          <w:rFonts w:ascii="Times New Roman" w:hAnsi="Times New Roman" w:cs="Times New Roman"/>
          <w:sz w:val="24"/>
          <w:szCs w:val="24"/>
        </w:rPr>
        <w:t>e non possono formare oggetto di diritti a favore di terzi se non nei modi e nei limiti stabiliti dalle leggi che li riguardano (artt., rispettivamente, 822, comma primo, e 823, comma primo, c.c.).</w:t>
      </w:r>
      <w:r w:rsidRPr="00D964D0">
        <w:rPr>
          <w:rFonts w:ascii="Times New Roman" w:hAnsi="Times New Roman" w:cs="Times New Roman"/>
          <w:sz w:val="24"/>
          <w:szCs w:val="24"/>
        </w:rPr>
        <w:t xml:space="preserve"> Riforme successive hanno poi trasferito </w:t>
      </w:r>
      <w:r w:rsidR="000D0D42">
        <w:rPr>
          <w:rFonts w:ascii="Times New Roman" w:hAnsi="Times New Roman" w:cs="Times New Roman"/>
          <w:sz w:val="24"/>
          <w:szCs w:val="24"/>
        </w:rPr>
        <w:t>il tutto</w:t>
      </w:r>
      <w:r w:rsidRPr="00D964D0">
        <w:rPr>
          <w:rFonts w:ascii="Times New Roman" w:hAnsi="Times New Roman" w:cs="Times New Roman"/>
          <w:sz w:val="24"/>
          <w:szCs w:val="24"/>
        </w:rPr>
        <w:t xml:space="preserve"> alle regioni.</w:t>
      </w:r>
    </w:p>
    <w:p w:rsidR="009A2E71" w:rsidRPr="00D964D0" w:rsidRDefault="009A2E71" w:rsidP="00D964D0">
      <w:pPr>
        <w:spacing w:line="360" w:lineRule="auto"/>
        <w:ind w:firstLine="709"/>
        <w:jc w:val="both"/>
        <w:rPr>
          <w:rFonts w:ascii="Times New Roman" w:hAnsi="Times New Roman" w:cs="Times New Roman"/>
          <w:sz w:val="24"/>
          <w:szCs w:val="24"/>
        </w:rPr>
      </w:pPr>
      <w:r w:rsidRPr="00D964D0">
        <w:rPr>
          <w:rFonts w:ascii="Times New Roman" w:hAnsi="Times New Roman" w:cs="Times New Roman"/>
          <w:sz w:val="24"/>
          <w:szCs w:val="24"/>
        </w:rPr>
        <w:t>La normativa europea di interesse è data dagli artt. 49 e 56 del T</w:t>
      </w:r>
      <w:r w:rsidR="00F25A2A">
        <w:rPr>
          <w:rFonts w:ascii="Times New Roman" w:hAnsi="Times New Roman" w:cs="Times New Roman"/>
          <w:sz w:val="24"/>
          <w:szCs w:val="24"/>
        </w:rPr>
        <w:t>rattato sul funzionamento dell’U</w:t>
      </w:r>
      <w:r w:rsidRPr="00D964D0">
        <w:rPr>
          <w:rFonts w:ascii="Times New Roman" w:hAnsi="Times New Roman" w:cs="Times New Roman"/>
          <w:sz w:val="24"/>
          <w:szCs w:val="24"/>
        </w:rPr>
        <w:t>nione europea (TFUE), i quali, rispettivamente, prevedono i divieti alle restrizioni alla libertà di stabilimento e alla libera prestazione dei servizi</w:t>
      </w:r>
      <w:r w:rsidRPr="00D964D0">
        <w:rPr>
          <w:rStyle w:val="Rimandonotaapidipagina"/>
          <w:rFonts w:ascii="Times New Roman" w:hAnsi="Times New Roman" w:cs="Times New Roman"/>
          <w:sz w:val="24"/>
          <w:szCs w:val="24"/>
        </w:rPr>
        <w:footnoteReference w:id="2"/>
      </w:r>
      <w:r w:rsidRPr="00D964D0">
        <w:rPr>
          <w:rFonts w:ascii="Times New Roman" w:hAnsi="Times New Roman" w:cs="Times New Roman"/>
          <w:sz w:val="24"/>
          <w:szCs w:val="24"/>
        </w:rPr>
        <w:t>.</w:t>
      </w:r>
    </w:p>
    <w:p w:rsidR="009A2E71" w:rsidRPr="00D964D0" w:rsidRDefault="00397995" w:rsidP="00D964D0">
      <w:pPr>
        <w:spacing w:line="360" w:lineRule="auto"/>
        <w:ind w:firstLine="709"/>
        <w:jc w:val="both"/>
        <w:rPr>
          <w:rFonts w:ascii="Times New Roman" w:hAnsi="Times New Roman" w:cs="Times New Roman"/>
          <w:sz w:val="24"/>
          <w:szCs w:val="24"/>
        </w:rPr>
      </w:pPr>
      <w:r w:rsidRPr="00D964D0">
        <w:rPr>
          <w:rFonts w:ascii="Times New Roman" w:hAnsi="Times New Roman" w:cs="Times New Roman"/>
          <w:sz w:val="24"/>
          <w:szCs w:val="24"/>
        </w:rPr>
        <w:t>Uno dei principi del TFUE è quello della tutela della concorrenza e del libero accesso ai mercati. Tutti gli operatori economici devono poter</w:t>
      </w:r>
      <w:r w:rsidR="000D0D42">
        <w:rPr>
          <w:rFonts w:ascii="Times New Roman" w:hAnsi="Times New Roman" w:cs="Times New Roman"/>
          <w:sz w:val="24"/>
          <w:szCs w:val="24"/>
        </w:rPr>
        <w:t>e</w:t>
      </w:r>
      <w:r w:rsidRPr="00D964D0">
        <w:rPr>
          <w:rFonts w:ascii="Times New Roman" w:hAnsi="Times New Roman" w:cs="Times New Roman"/>
          <w:sz w:val="24"/>
          <w:szCs w:val="24"/>
        </w:rPr>
        <w:t xml:space="preserve"> liberamente accedere ai relativi mercati e, conseguentemente, vanno soppresse eventuali barriere in entrata. Anche l’utiliz</w:t>
      </w:r>
      <w:r w:rsidR="002350F7">
        <w:rPr>
          <w:rFonts w:ascii="Times New Roman" w:hAnsi="Times New Roman" w:cs="Times New Roman"/>
          <w:sz w:val="24"/>
          <w:szCs w:val="24"/>
        </w:rPr>
        <w:t>zo dei beni pubblici da parte d</w:t>
      </w:r>
      <w:r w:rsidRPr="00D964D0">
        <w:rPr>
          <w:rFonts w:ascii="Times New Roman" w:hAnsi="Times New Roman" w:cs="Times New Roman"/>
          <w:sz w:val="24"/>
          <w:szCs w:val="24"/>
        </w:rPr>
        <w:t>i soggetti privati costituisce un mercato, data la rilevanza economica della relativa attività.</w:t>
      </w:r>
    </w:p>
    <w:p w:rsidR="009A5073" w:rsidRPr="00D964D0" w:rsidRDefault="00397995" w:rsidP="00D964D0">
      <w:pPr>
        <w:spacing w:line="360" w:lineRule="auto"/>
        <w:ind w:firstLine="709"/>
        <w:jc w:val="both"/>
        <w:rPr>
          <w:rFonts w:ascii="Times New Roman" w:hAnsi="Times New Roman" w:cs="Times New Roman"/>
          <w:sz w:val="24"/>
          <w:szCs w:val="24"/>
        </w:rPr>
      </w:pPr>
      <w:r w:rsidRPr="00D964D0">
        <w:rPr>
          <w:rFonts w:ascii="Times New Roman" w:hAnsi="Times New Roman" w:cs="Times New Roman"/>
          <w:sz w:val="24"/>
          <w:szCs w:val="24"/>
        </w:rPr>
        <w:t>La giurisprudenza del Consiglio di Stato sulle concessioni dei beni pubblici segue questa impostazione. Ossia, indipendentemente dalla previsione di normative specifiche o anche in mancanza di queste, l’amministrazione</w:t>
      </w:r>
      <w:r w:rsidR="000D0D42">
        <w:rPr>
          <w:rFonts w:ascii="Times New Roman" w:hAnsi="Times New Roman" w:cs="Times New Roman"/>
          <w:sz w:val="24"/>
          <w:szCs w:val="24"/>
        </w:rPr>
        <w:t>,</w:t>
      </w:r>
      <w:r w:rsidRPr="00D964D0">
        <w:rPr>
          <w:rFonts w:ascii="Times New Roman" w:hAnsi="Times New Roman" w:cs="Times New Roman"/>
          <w:sz w:val="24"/>
          <w:szCs w:val="24"/>
        </w:rPr>
        <w:t xml:space="preserve"> prima di concedere in uso esclusivo un bene pubblico e di consentire un’attività di rilievo economico, oltre che di </w:t>
      </w:r>
      <w:r w:rsidR="000D0D42">
        <w:rPr>
          <w:rFonts w:ascii="Times New Roman" w:hAnsi="Times New Roman" w:cs="Times New Roman"/>
          <w:sz w:val="24"/>
          <w:szCs w:val="24"/>
        </w:rPr>
        <w:t>procurare</w:t>
      </w:r>
      <w:r w:rsidRPr="00D964D0">
        <w:rPr>
          <w:rFonts w:ascii="Times New Roman" w:hAnsi="Times New Roman" w:cs="Times New Roman"/>
          <w:sz w:val="24"/>
          <w:szCs w:val="24"/>
        </w:rPr>
        <w:t xml:space="preserve"> a </w:t>
      </w:r>
      <w:r w:rsidR="00F146FE" w:rsidRPr="00D964D0">
        <w:rPr>
          <w:rFonts w:ascii="Times New Roman" w:hAnsi="Times New Roman" w:cs="Times New Roman"/>
          <w:sz w:val="24"/>
          <w:szCs w:val="24"/>
        </w:rPr>
        <w:t>sé</w:t>
      </w:r>
      <w:r w:rsidRPr="00D964D0">
        <w:rPr>
          <w:rFonts w:ascii="Times New Roman" w:hAnsi="Times New Roman" w:cs="Times New Roman"/>
          <w:sz w:val="24"/>
          <w:szCs w:val="24"/>
        </w:rPr>
        <w:t xml:space="preserve"> stessa un’entrata, è tenuta a seguire una procedura di evidenza pubblica per la scelta del soggetto al quale attribuire la concessione.</w:t>
      </w:r>
    </w:p>
    <w:p w:rsidR="00117B15" w:rsidRPr="00D964D0" w:rsidRDefault="00397995" w:rsidP="00D964D0">
      <w:pPr>
        <w:spacing w:line="360" w:lineRule="auto"/>
        <w:ind w:firstLine="709"/>
        <w:jc w:val="both"/>
        <w:rPr>
          <w:rFonts w:ascii="Times New Roman" w:hAnsi="Times New Roman" w:cs="Times New Roman"/>
          <w:sz w:val="24"/>
          <w:szCs w:val="24"/>
        </w:rPr>
      </w:pPr>
      <w:r w:rsidRPr="00D964D0">
        <w:rPr>
          <w:rFonts w:ascii="Times New Roman" w:hAnsi="Times New Roman" w:cs="Times New Roman"/>
          <w:sz w:val="24"/>
          <w:szCs w:val="24"/>
        </w:rPr>
        <w:t xml:space="preserve">In tema di attività di servizi </w:t>
      </w:r>
      <w:r w:rsidR="00D1210F">
        <w:rPr>
          <w:rFonts w:ascii="Times New Roman" w:hAnsi="Times New Roman" w:cs="Times New Roman"/>
          <w:sz w:val="24"/>
          <w:szCs w:val="24"/>
        </w:rPr>
        <w:t xml:space="preserve">rileva </w:t>
      </w:r>
      <w:r w:rsidR="00117B15" w:rsidRPr="00D964D0">
        <w:rPr>
          <w:rFonts w:ascii="Times New Roman" w:hAnsi="Times New Roman" w:cs="Times New Roman"/>
          <w:sz w:val="24"/>
          <w:szCs w:val="24"/>
        </w:rPr>
        <w:t>la direttiva del Parlamento europeo e del Consiglio relativa ai servizi nel mercato interno</w:t>
      </w:r>
      <w:r w:rsidR="00336B7C" w:rsidRPr="00D964D0">
        <w:rPr>
          <w:rFonts w:ascii="Times New Roman" w:hAnsi="Times New Roman" w:cs="Times New Roman"/>
          <w:sz w:val="24"/>
          <w:szCs w:val="24"/>
        </w:rPr>
        <w:t xml:space="preserve"> </w:t>
      </w:r>
      <w:r w:rsidR="00117B15" w:rsidRPr="00D964D0">
        <w:rPr>
          <w:rFonts w:ascii="Times New Roman" w:hAnsi="Times New Roman" w:cs="Times New Roman"/>
          <w:sz w:val="24"/>
          <w:szCs w:val="24"/>
        </w:rPr>
        <w:t>12 dicembre 2006, n. 2006/123/CE, cosiddetta Bolkestein</w:t>
      </w:r>
      <w:r w:rsidRPr="00D964D0">
        <w:rPr>
          <w:rFonts w:ascii="Times New Roman" w:hAnsi="Times New Roman" w:cs="Times New Roman"/>
          <w:sz w:val="24"/>
          <w:szCs w:val="24"/>
        </w:rPr>
        <w:t xml:space="preserve">, </w:t>
      </w:r>
      <w:r w:rsidR="00D1210F">
        <w:rPr>
          <w:rFonts w:ascii="Times New Roman" w:hAnsi="Times New Roman" w:cs="Times New Roman"/>
          <w:sz w:val="24"/>
          <w:szCs w:val="24"/>
        </w:rPr>
        <w:t>la quale, all’art. 12, prevede che:</w:t>
      </w:r>
    </w:p>
    <w:p w:rsidR="00117B15" w:rsidRPr="00D964D0" w:rsidRDefault="00117B15" w:rsidP="00D964D0">
      <w:pPr>
        <w:spacing w:line="360" w:lineRule="auto"/>
        <w:ind w:firstLine="709"/>
        <w:jc w:val="both"/>
        <w:rPr>
          <w:rFonts w:ascii="Times New Roman" w:hAnsi="Times New Roman" w:cs="Times New Roman"/>
          <w:i/>
          <w:sz w:val="24"/>
          <w:szCs w:val="24"/>
        </w:rPr>
      </w:pPr>
      <w:r w:rsidRPr="00D964D0">
        <w:rPr>
          <w:rFonts w:ascii="Times New Roman" w:hAnsi="Times New Roman" w:cs="Times New Roman"/>
          <w:sz w:val="24"/>
          <w:szCs w:val="24"/>
        </w:rPr>
        <w:t>“</w:t>
      </w:r>
      <w:r w:rsidRPr="00D964D0">
        <w:rPr>
          <w:rFonts w:ascii="Times New Roman" w:hAnsi="Times New Roman" w:cs="Times New Roman"/>
          <w:i/>
          <w:sz w:val="24"/>
          <w:szCs w:val="24"/>
        </w:rPr>
        <w:t xml:space="preserve">1. Qualora il numero di autorizzazioni disponibili per una determinata attività sia limitato per via della scarsità delle risorse naturali o delle capacità tecniche utilizzabili, gli Stati membri applicano una procedura di selezione tra i candidati potenziali, che presenti garanzie di imparzialità </w:t>
      </w:r>
      <w:r w:rsidRPr="00D964D0">
        <w:rPr>
          <w:rFonts w:ascii="Times New Roman" w:hAnsi="Times New Roman" w:cs="Times New Roman"/>
          <w:i/>
          <w:sz w:val="24"/>
          <w:szCs w:val="24"/>
        </w:rPr>
        <w:lastRenderedPageBreak/>
        <w:t xml:space="preserve">e di trasparenza e preveda, in particolare, un'adeguata pubblicità dell'avvio della procedura e del suo svolgimento e completamento. </w:t>
      </w:r>
    </w:p>
    <w:p w:rsidR="00117B15" w:rsidRPr="00D964D0" w:rsidRDefault="00117B15" w:rsidP="00D964D0">
      <w:pPr>
        <w:spacing w:line="360" w:lineRule="auto"/>
        <w:ind w:firstLine="709"/>
        <w:jc w:val="both"/>
        <w:rPr>
          <w:rFonts w:ascii="Times New Roman" w:hAnsi="Times New Roman" w:cs="Times New Roman"/>
          <w:i/>
          <w:sz w:val="24"/>
          <w:szCs w:val="24"/>
        </w:rPr>
      </w:pPr>
      <w:r w:rsidRPr="00D964D0">
        <w:rPr>
          <w:rFonts w:ascii="Times New Roman" w:hAnsi="Times New Roman" w:cs="Times New Roman"/>
          <w:i/>
          <w:sz w:val="24"/>
          <w:szCs w:val="24"/>
        </w:rPr>
        <w:t xml:space="preserve">2. Nei casi di cui al paragrafo 1 l'autorizzazione è rilasciata per una durata limitata adeguata e non può prevedere la procedura di rinnovo automatico né accordare altri vantaggi al prestatore uscente o a persone che con tale prestatore abbiano particolari legami. </w:t>
      </w:r>
    </w:p>
    <w:p w:rsidR="00117B15" w:rsidRPr="00D964D0" w:rsidRDefault="00117B15" w:rsidP="00D964D0">
      <w:pPr>
        <w:spacing w:line="360" w:lineRule="auto"/>
        <w:ind w:firstLine="709"/>
        <w:jc w:val="both"/>
        <w:rPr>
          <w:rFonts w:ascii="Times New Roman" w:hAnsi="Times New Roman" w:cs="Times New Roman"/>
          <w:sz w:val="24"/>
          <w:szCs w:val="24"/>
        </w:rPr>
      </w:pPr>
      <w:r w:rsidRPr="00D964D0">
        <w:rPr>
          <w:rFonts w:ascii="Times New Roman" w:hAnsi="Times New Roman" w:cs="Times New Roman"/>
          <w:i/>
          <w:sz w:val="24"/>
          <w:szCs w:val="24"/>
        </w:rPr>
        <w:t>3. Fatti salvi il paragrafo 1 e gli articoli 9 e 10, gli Stati membri possono tener conto, nello stabilire le regole della procedura di selezione, di considerazioni di salute pubblica, di obiettivi di politica sociale, della salute e della sicurezza dei lavoratori dipendenti ed autonomi, della protezione dell'ambiente, della salvaguardia del patrimonio culturale e di altri motivi imperativi d'interesse generale conformi al diritto comunitario</w:t>
      </w:r>
      <w:r w:rsidRPr="00D964D0">
        <w:rPr>
          <w:rFonts w:ascii="Times New Roman" w:hAnsi="Times New Roman" w:cs="Times New Roman"/>
          <w:sz w:val="24"/>
          <w:szCs w:val="24"/>
        </w:rPr>
        <w:t>”.</w:t>
      </w:r>
    </w:p>
    <w:p w:rsidR="00117B15" w:rsidRPr="00D964D0" w:rsidRDefault="00327DCB" w:rsidP="00D964D0">
      <w:pPr>
        <w:spacing w:line="360" w:lineRule="auto"/>
        <w:ind w:firstLine="709"/>
        <w:jc w:val="both"/>
        <w:rPr>
          <w:rFonts w:ascii="Times New Roman" w:hAnsi="Times New Roman" w:cs="Times New Roman"/>
          <w:sz w:val="24"/>
          <w:szCs w:val="24"/>
        </w:rPr>
      </w:pPr>
      <w:r w:rsidRPr="00D964D0">
        <w:rPr>
          <w:rFonts w:ascii="Times New Roman" w:hAnsi="Times New Roman" w:cs="Times New Roman"/>
          <w:sz w:val="24"/>
          <w:szCs w:val="24"/>
        </w:rPr>
        <w:t xml:space="preserve">La direttiva è stata recepita dal d.lgs. 26 marzo 2010, n. 59, che riprende il contenuto del citato art. 12 della </w:t>
      </w:r>
      <w:r w:rsidR="001200F6">
        <w:rPr>
          <w:rFonts w:ascii="Times New Roman" w:hAnsi="Times New Roman" w:cs="Times New Roman"/>
          <w:sz w:val="24"/>
          <w:szCs w:val="24"/>
        </w:rPr>
        <w:t>stessa</w:t>
      </w:r>
      <w:r w:rsidRPr="00D964D0">
        <w:rPr>
          <w:rFonts w:ascii="Times New Roman" w:hAnsi="Times New Roman" w:cs="Times New Roman"/>
          <w:sz w:val="24"/>
          <w:szCs w:val="24"/>
        </w:rPr>
        <w:t xml:space="preserve"> nell’art. 16, dal titolo “</w:t>
      </w:r>
      <w:r w:rsidRPr="00D964D0">
        <w:rPr>
          <w:rFonts w:ascii="Times New Roman" w:hAnsi="Times New Roman" w:cs="Times New Roman"/>
          <w:i/>
          <w:sz w:val="24"/>
          <w:szCs w:val="24"/>
        </w:rPr>
        <w:t>Selezione tra diversi candidati</w:t>
      </w:r>
      <w:r w:rsidRPr="00D964D0">
        <w:rPr>
          <w:rFonts w:ascii="Times New Roman" w:hAnsi="Times New Roman" w:cs="Times New Roman"/>
          <w:sz w:val="24"/>
          <w:szCs w:val="24"/>
        </w:rPr>
        <w:t>”.</w:t>
      </w:r>
    </w:p>
    <w:p w:rsidR="00422E42" w:rsidRPr="00D964D0" w:rsidRDefault="00F345B5" w:rsidP="00D964D0">
      <w:pPr>
        <w:spacing w:line="360" w:lineRule="auto"/>
        <w:ind w:firstLine="709"/>
        <w:jc w:val="both"/>
        <w:rPr>
          <w:rFonts w:ascii="Times New Roman" w:hAnsi="Times New Roman" w:cs="Times New Roman"/>
          <w:sz w:val="24"/>
          <w:szCs w:val="24"/>
        </w:rPr>
      </w:pPr>
      <w:r w:rsidRPr="00D964D0">
        <w:rPr>
          <w:rFonts w:ascii="Times New Roman" w:hAnsi="Times New Roman" w:cs="Times New Roman"/>
          <w:sz w:val="24"/>
          <w:szCs w:val="24"/>
        </w:rPr>
        <w:t xml:space="preserve">La normativa interna ha disposto varie volte, e continuativamente, la proroga delle concessioni demaniali marittime in essere. Si tratta di tre </w:t>
      </w:r>
      <w:r w:rsidR="00422E42" w:rsidRPr="00D964D0">
        <w:rPr>
          <w:rFonts w:ascii="Times New Roman" w:hAnsi="Times New Roman" w:cs="Times New Roman"/>
          <w:sz w:val="24"/>
          <w:szCs w:val="24"/>
        </w:rPr>
        <w:t xml:space="preserve">provvedimenti legislativi, a partire dall’art. 1, comma 18, </w:t>
      </w:r>
      <w:r w:rsidRPr="00D964D0">
        <w:rPr>
          <w:rFonts w:ascii="Times New Roman" w:hAnsi="Times New Roman" w:cs="Times New Roman"/>
          <w:sz w:val="24"/>
          <w:szCs w:val="24"/>
        </w:rPr>
        <w:t xml:space="preserve">del </w:t>
      </w:r>
      <w:r w:rsidR="00422E42" w:rsidRPr="00D964D0">
        <w:rPr>
          <w:rFonts w:ascii="Times New Roman" w:hAnsi="Times New Roman" w:cs="Times New Roman"/>
          <w:sz w:val="24"/>
          <w:szCs w:val="24"/>
        </w:rPr>
        <w:t xml:space="preserve">d.l. </w:t>
      </w:r>
      <w:r w:rsidRPr="00D964D0">
        <w:rPr>
          <w:rFonts w:ascii="Times New Roman" w:hAnsi="Times New Roman" w:cs="Times New Roman"/>
          <w:sz w:val="24"/>
          <w:szCs w:val="24"/>
        </w:rPr>
        <w:t xml:space="preserve">30 dicembre 2009, </w:t>
      </w:r>
      <w:r w:rsidR="00422E42" w:rsidRPr="00D964D0">
        <w:rPr>
          <w:rFonts w:ascii="Times New Roman" w:hAnsi="Times New Roman" w:cs="Times New Roman"/>
          <w:sz w:val="24"/>
          <w:szCs w:val="24"/>
        </w:rPr>
        <w:t>n. 194</w:t>
      </w:r>
      <w:r w:rsidRPr="00D964D0">
        <w:rPr>
          <w:rFonts w:ascii="Times New Roman" w:hAnsi="Times New Roman" w:cs="Times New Roman"/>
          <w:sz w:val="24"/>
          <w:szCs w:val="24"/>
        </w:rPr>
        <w:t xml:space="preserve"> </w:t>
      </w:r>
      <w:r w:rsidR="00C77CDB">
        <w:rPr>
          <w:rFonts w:ascii="Times New Roman" w:hAnsi="Times New Roman" w:cs="Times New Roman"/>
          <w:sz w:val="24"/>
          <w:szCs w:val="24"/>
        </w:rPr>
        <w:t xml:space="preserve">(così detto decreto “mille proroghe”, </w:t>
      </w:r>
      <w:r w:rsidRPr="00D964D0">
        <w:rPr>
          <w:rFonts w:ascii="Times New Roman" w:hAnsi="Times New Roman" w:cs="Times New Roman"/>
          <w:sz w:val="24"/>
          <w:szCs w:val="24"/>
        </w:rPr>
        <w:t>convertito, con modificazioni, dalla l. 26 febbraio 2010, n 25)</w:t>
      </w:r>
      <w:r w:rsidR="00422E42" w:rsidRPr="00D964D0">
        <w:rPr>
          <w:rFonts w:ascii="Times New Roman" w:hAnsi="Times New Roman" w:cs="Times New Roman"/>
          <w:sz w:val="24"/>
          <w:szCs w:val="24"/>
        </w:rPr>
        <w:t xml:space="preserve"> e a finire con l’art. 1, commi 682 e 683, </w:t>
      </w:r>
      <w:r w:rsidRPr="00D964D0">
        <w:rPr>
          <w:rFonts w:ascii="Times New Roman" w:hAnsi="Times New Roman" w:cs="Times New Roman"/>
          <w:sz w:val="24"/>
          <w:szCs w:val="24"/>
        </w:rPr>
        <w:t xml:space="preserve">della </w:t>
      </w:r>
      <w:r w:rsidR="002350F7">
        <w:rPr>
          <w:rFonts w:ascii="Times New Roman" w:hAnsi="Times New Roman" w:cs="Times New Roman"/>
          <w:sz w:val="24"/>
          <w:szCs w:val="24"/>
        </w:rPr>
        <w:t xml:space="preserve">l. </w:t>
      </w:r>
      <w:r w:rsidRPr="00D964D0">
        <w:rPr>
          <w:rFonts w:ascii="Times New Roman" w:hAnsi="Times New Roman" w:cs="Times New Roman"/>
          <w:sz w:val="24"/>
          <w:szCs w:val="24"/>
        </w:rPr>
        <w:t xml:space="preserve">30 dicembre 2018, </w:t>
      </w:r>
      <w:r w:rsidR="00422E42" w:rsidRPr="00D964D0">
        <w:rPr>
          <w:rFonts w:ascii="Times New Roman" w:hAnsi="Times New Roman" w:cs="Times New Roman"/>
          <w:sz w:val="24"/>
          <w:szCs w:val="24"/>
        </w:rPr>
        <w:t>n. 145</w:t>
      </w:r>
      <w:r w:rsidR="00C77CDB">
        <w:rPr>
          <w:rFonts w:ascii="Times New Roman" w:hAnsi="Times New Roman" w:cs="Times New Roman"/>
          <w:sz w:val="24"/>
          <w:szCs w:val="24"/>
        </w:rPr>
        <w:t xml:space="preserve"> (legge finanziaria per il 2019)</w:t>
      </w:r>
      <w:r w:rsidR="00422E42" w:rsidRPr="00D964D0">
        <w:rPr>
          <w:rFonts w:ascii="Times New Roman" w:hAnsi="Times New Roman" w:cs="Times New Roman"/>
          <w:sz w:val="24"/>
          <w:szCs w:val="24"/>
        </w:rPr>
        <w:t xml:space="preserve">. La prima </w:t>
      </w:r>
      <w:r w:rsidRPr="00D964D0">
        <w:rPr>
          <w:rFonts w:ascii="Times New Roman" w:hAnsi="Times New Roman" w:cs="Times New Roman"/>
          <w:sz w:val="24"/>
          <w:szCs w:val="24"/>
        </w:rPr>
        <w:t xml:space="preserve">proroga </w:t>
      </w:r>
      <w:r w:rsidR="002350F7">
        <w:rPr>
          <w:rFonts w:ascii="Times New Roman" w:hAnsi="Times New Roman" w:cs="Times New Roman"/>
          <w:sz w:val="24"/>
          <w:szCs w:val="24"/>
        </w:rPr>
        <w:t xml:space="preserve">inizialmente </w:t>
      </w:r>
      <w:r w:rsidRPr="00D964D0">
        <w:rPr>
          <w:rFonts w:ascii="Times New Roman" w:hAnsi="Times New Roman" w:cs="Times New Roman"/>
          <w:sz w:val="24"/>
          <w:szCs w:val="24"/>
        </w:rPr>
        <w:t>fino al 31 dicembre 2012</w:t>
      </w:r>
      <w:r w:rsidR="00422E42" w:rsidRPr="00D964D0">
        <w:rPr>
          <w:rFonts w:ascii="Times New Roman" w:hAnsi="Times New Roman" w:cs="Times New Roman"/>
          <w:sz w:val="24"/>
          <w:szCs w:val="24"/>
        </w:rPr>
        <w:t xml:space="preserve"> e l’ultima fino al 31 dicembre 2033</w:t>
      </w:r>
      <w:r w:rsidR="002350F7">
        <w:rPr>
          <w:rFonts w:ascii="Times New Roman" w:hAnsi="Times New Roman" w:cs="Times New Roman"/>
          <w:sz w:val="24"/>
          <w:szCs w:val="24"/>
        </w:rPr>
        <w:t>, ininterrottamente</w:t>
      </w:r>
      <w:r w:rsidR="00422E42" w:rsidRPr="00D964D0">
        <w:rPr>
          <w:rFonts w:ascii="Times New Roman" w:hAnsi="Times New Roman" w:cs="Times New Roman"/>
          <w:sz w:val="24"/>
          <w:szCs w:val="24"/>
        </w:rPr>
        <w:t>.</w:t>
      </w:r>
    </w:p>
    <w:p w:rsidR="00F146E1" w:rsidRPr="00D964D0" w:rsidRDefault="00F345B5" w:rsidP="00D964D0">
      <w:pPr>
        <w:spacing w:line="360" w:lineRule="auto"/>
        <w:ind w:firstLine="709"/>
        <w:jc w:val="both"/>
        <w:rPr>
          <w:rFonts w:ascii="Times New Roman" w:hAnsi="Times New Roman" w:cs="Times New Roman"/>
          <w:sz w:val="24"/>
          <w:szCs w:val="24"/>
        </w:rPr>
      </w:pPr>
      <w:r w:rsidRPr="00D964D0">
        <w:rPr>
          <w:rFonts w:ascii="Times New Roman" w:hAnsi="Times New Roman" w:cs="Times New Roman"/>
          <w:sz w:val="24"/>
          <w:szCs w:val="24"/>
        </w:rPr>
        <w:t>A lungo andare la situazione non poteva reggere</w:t>
      </w:r>
      <w:r w:rsidR="00F146E1" w:rsidRPr="00D964D0">
        <w:rPr>
          <w:rFonts w:ascii="Times New Roman" w:hAnsi="Times New Roman" w:cs="Times New Roman"/>
          <w:sz w:val="24"/>
          <w:szCs w:val="24"/>
        </w:rPr>
        <w:t xml:space="preserve"> date</w:t>
      </w:r>
      <w:r w:rsidRPr="00D964D0">
        <w:rPr>
          <w:rFonts w:ascii="Times New Roman" w:hAnsi="Times New Roman" w:cs="Times New Roman"/>
          <w:sz w:val="24"/>
          <w:szCs w:val="24"/>
        </w:rPr>
        <w:t xml:space="preserve"> anche le plurime procedure di infrazione</w:t>
      </w:r>
      <w:r w:rsidR="00F146E1" w:rsidRPr="00D964D0">
        <w:rPr>
          <w:rFonts w:ascii="Times New Roman" w:hAnsi="Times New Roman" w:cs="Times New Roman"/>
          <w:sz w:val="24"/>
          <w:szCs w:val="24"/>
        </w:rPr>
        <w:t xml:space="preserve"> messe in mot</w:t>
      </w:r>
      <w:r w:rsidRPr="00D964D0">
        <w:rPr>
          <w:rFonts w:ascii="Times New Roman" w:hAnsi="Times New Roman" w:cs="Times New Roman"/>
          <w:sz w:val="24"/>
          <w:szCs w:val="24"/>
        </w:rPr>
        <w:t>o</w:t>
      </w:r>
      <w:r w:rsidR="00F146E1" w:rsidRPr="00D964D0">
        <w:rPr>
          <w:rFonts w:ascii="Times New Roman" w:hAnsi="Times New Roman" w:cs="Times New Roman"/>
          <w:sz w:val="24"/>
          <w:szCs w:val="24"/>
        </w:rPr>
        <w:t xml:space="preserve"> dalla C</w:t>
      </w:r>
      <w:r w:rsidRPr="00D964D0">
        <w:rPr>
          <w:rFonts w:ascii="Times New Roman" w:hAnsi="Times New Roman" w:cs="Times New Roman"/>
          <w:sz w:val="24"/>
          <w:szCs w:val="24"/>
        </w:rPr>
        <w:t>ommissione europea</w:t>
      </w:r>
      <w:r w:rsidR="00823521">
        <w:rPr>
          <w:rStyle w:val="Rimandonotaapidipagina"/>
          <w:rFonts w:ascii="Times New Roman" w:hAnsi="Times New Roman" w:cs="Times New Roman"/>
          <w:sz w:val="24"/>
          <w:szCs w:val="24"/>
        </w:rPr>
        <w:footnoteReference w:id="3"/>
      </w:r>
      <w:r w:rsidRPr="00D964D0">
        <w:rPr>
          <w:rFonts w:ascii="Times New Roman" w:hAnsi="Times New Roman" w:cs="Times New Roman"/>
          <w:sz w:val="24"/>
          <w:szCs w:val="24"/>
        </w:rPr>
        <w:t xml:space="preserve">. </w:t>
      </w:r>
      <w:r w:rsidR="00F146E1" w:rsidRPr="00D964D0">
        <w:rPr>
          <w:rFonts w:ascii="Times New Roman" w:hAnsi="Times New Roman" w:cs="Times New Roman"/>
          <w:sz w:val="24"/>
          <w:szCs w:val="24"/>
        </w:rPr>
        <w:t>In</w:t>
      </w:r>
      <w:r w:rsidRPr="00D964D0">
        <w:rPr>
          <w:rFonts w:ascii="Times New Roman" w:hAnsi="Times New Roman" w:cs="Times New Roman"/>
          <w:sz w:val="24"/>
          <w:szCs w:val="24"/>
        </w:rPr>
        <w:t xml:space="preserve"> proposito </w:t>
      </w:r>
      <w:r w:rsidR="00F146E1" w:rsidRPr="00D964D0">
        <w:rPr>
          <w:rFonts w:ascii="Times New Roman" w:hAnsi="Times New Roman" w:cs="Times New Roman"/>
          <w:sz w:val="24"/>
          <w:szCs w:val="24"/>
        </w:rPr>
        <w:t xml:space="preserve">va </w:t>
      </w:r>
      <w:r w:rsidRPr="00D964D0">
        <w:rPr>
          <w:rFonts w:ascii="Times New Roman" w:hAnsi="Times New Roman" w:cs="Times New Roman"/>
          <w:sz w:val="24"/>
          <w:szCs w:val="24"/>
        </w:rPr>
        <w:t>ricordato come l’</w:t>
      </w:r>
      <w:r w:rsidR="00F146E1" w:rsidRPr="00D964D0">
        <w:rPr>
          <w:rFonts w:ascii="Times New Roman" w:hAnsi="Times New Roman" w:cs="Times New Roman"/>
          <w:sz w:val="24"/>
          <w:szCs w:val="24"/>
        </w:rPr>
        <w:t>art. 1,</w:t>
      </w:r>
      <w:r w:rsidRPr="00D964D0">
        <w:rPr>
          <w:rFonts w:ascii="Times New Roman" w:hAnsi="Times New Roman" w:cs="Times New Roman"/>
          <w:sz w:val="24"/>
          <w:szCs w:val="24"/>
        </w:rPr>
        <w:t xml:space="preserve"> comma 18</w:t>
      </w:r>
      <w:r w:rsidR="00F146E1" w:rsidRPr="00D964D0">
        <w:rPr>
          <w:rFonts w:ascii="Times New Roman" w:hAnsi="Times New Roman" w:cs="Times New Roman"/>
          <w:sz w:val="24"/>
          <w:szCs w:val="24"/>
        </w:rPr>
        <w:t>, del d.l. n.</w:t>
      </w:r>
      <w:r w:rsidR="00C77CDB">
        <w:rPr>
          <w:rFonts w:ascii="Times New Roman" w:hAnsi="Times New Roman" w:cs="Times New Roman"/>
          <w:sz w:val="24"/>
          <w:szCs w:val="24"/>
        </w:rPr>
        <w:t xml:space="preserve"> </w:t>
      </w:r>
      <w:r w:rsidRPr="00D964D0">
        <w:rPr>
          <w:rFonts w:ascii="Times New Roman" w:hAnsi="Times New Roman" w:cs="Times New Roman"/>
          <w:sz w:val="24"/>
          <w:szCs w:val="24"/>
        </w:rPr>
        <w:t>194</w:t>
      </w:r>
      <w:r w:rsidR="00F146E1" w:rsidRPr="00D964D0">
        <w:rPr>
          <w:rFonts w:ascii="Times New Roman" w:hAnsi="Times New Roman" w:cs="Times New Roman"/>
          <w:sz w:val="24"/>
          <w:szCs w:val="24"/>
        </w:rPr>
        <w:t>/</w:t>
      </w:r>
      <w:r w:rsidRPr="00D964D0">
        <w:rPr>
          <w:rFonts w:ascii="Times New Roman" w:hAnsi="Times New Roman" w:cs="Times New Roman"/>
          <w:sz w:val="24"/>
          <w:szCs w:val="24"/>
        </w:rPr>
        <w:t>2009 venne emanato proprio al fine di far chiudere la procedura di infrazione all’epoca pendente. Disponendo la soppressione del diritto di insistenza, di cui all’</w:t>
      </w:r>
      <w:r w:rsidR="00F146E1" w:rsidRPr="00D964D0">
        <w:rPr>
          <w:rFonts w:ascii="Times New Roman" w:hAnsi="Times New Roman" w:cs="Times New Roman"/>
          <w:sz w:val="24"/>
          <w:szCs w:val="24"/>
        </w:rPr>
        <w:t>art.</w:t>
      </w:r>
      <w:r w:rsidRPr="00D964D0">
        <w:rPr>
          <w:rFonts w:ascii="Times New Roman" w:hAnsi="Times New Roman" w:cs="Times New Roman"/>
          <w:sz w:val="24"/>
          <w:szCs w:val="24"/>
        </w:rPr>
        <w:t xml:space="preserve"> 37</w:t>
      </w:r>
      <w:r w:rsidR="00F146E1" w:rsidRPr="00D964D0">
        <w:rPr>
          <w:rFonts w:ascii="Times New Roman" w:hAnsi="Times New Roman" w:cs="Times New Roman"/>
          <w:sz w:val="24"/>
          <w:szCs w:val="24"/>
        </w:rPr>
        <w:t>,</w:t>
      </w:r>
      <w:r w:rsidRPr="00D964D0">
        <w:rPr>
          <w:rFonts w:ascii="Times New Roman" w:hAnsi="Times New Roman" w:cs="Times New Roman"/>
          <w:sz w:val="24"/>
          <w:szCs w:val="24"/>
        </w:rPr>
        <w:t xml:space="preserve"> secondo comma, secondo periodo</w:t>
      </w:r>
      <w:r w:rsidR="00F146E1" w:rsidRPr="00D964D0">
        <w:rPr>
          <w:rFonts w:ascii="Times New Roman" w:hAnsi="Times New Roman" w:cs="Times New Roman"/>
          <w:sz w:val="24"/>
          <w:szCs w:val="24"/>
        </w:rPr>
        <w:t>,</w:t>
      </w:r>
      <w:r w:rsidRPr="00D964D0">
        <w:rPr>
          <w:rFonts w:ascii="Times New Roman" w:hAnsi="Times New Roman" w:cs="Times New Roman"/>
          <w:sz w:val="24"/>
          <w:szCs w:val="24"/>
        </w:rPr>
        <w:t xml:space="preserve"> del codice della navigazione </w:t>
      </w:r>
      <w:r w:rsidR="00F146E1" w:rsidRPr="00D964D0">
        <w:rPr>
          <w:rFonts w:ascii="Times New Roman" w:hAnsi="Times New Roman" w:cs="Times New Roman"/>
          <w:sz w:val="24"/>
          <w:szCs w:val="24"/>
        </w:rPr>
        <w:t xml:space="preserve">- </w:t>
      </w:r>
      <w:r w:rsidRPr="00D964D0">
        <w:rPr>
          <w:rFonts w:ascii="Times New Roman" w:hAnsi="Times New Roman" w:cs="Times New Roman"/>
          <w:sz w:val="24"/>
          <w:szCs w:val="24"/>
        </w:rPr>
        <w:t>che tra l’altro era stato già da tempo</w:t>
      </w:r>
      <w:r w:rsidR="00F146E1" w:rsidRPr="00D964D0">
        <w:rPr>
          <w:rFonts w:ascii="Times New Roman" w:hAnsi="Times New Roman" w:cs="Times New Roman"/>
          <w:sz w:val="24"/>
          <w:szCs w:val="24"/>
        </w:rPr>
        <w:t xml:space="preserve"> dis</w:t>
      </w:r>
      <w:r w:rsidRPr="00D964D0">
        <w:rPr>
          <w:rFonts w:ascii="Times New Roman" w:hAnsi="Times New Roman" w:cs="Times New Roman"/>
          <w:sz w:val="24"/>
          <w:szCs w:val="24"/>
        </w:rPr>
        <w:t>applicato dalla giurisprudenza amministrativa perché ritenuto contrastante con normativa europea direttamente applicabile</w:t>
      </w:r>
      <w:r w:rsidR="00F146E1" w:rsidRPr="00D964D0">
        <w:rPr>
          <w:rFonts w:ascii="Times New Roman" w:hAnsi="Times New Roman" w:cs="Times New Roman"/>
          <w:sz w:val="24"/>
          <w:szCs w:val="24"/>
        </w:rPr>
        <w:t xml:space="preserve"> - </w:t>
      </w:r>
      <w:r w:rsidR="00C77CDB">
        <w:rPr>
          <w:rFonts w:ascii="Times New Roman" w:hAnsi="Times New Roman" w:cs="Times New Roman"/>
          <w:sz w:val="24"/>
          <w:szCs w:val="24"/>
        </w:rPr>
        <w:t xml:space="preserve">preannunciando </w:t>
      </w:r>
      <w:r w:rsidR="00F146E1" w:rsidRPr="00D964D0">
        <w:rPr>
          <w:rFonts w:ascii="Times New Roman" w:hAnsi="Times New Roman" w:cs="Times New Roman"/>
          <w:sz w:val="24"/>
          <w:szCs w:val="24"/>
        </w:rPr>
        <w:t>la revisione del quadro normativo i</w:t>
      </w:r>
      <w:r w:rsidR="000D0D42">
        <w:rPr>
          <w:rFonts w:ascii="Times New Roman" w:hAnsi="Times New Roman" w:cs="Times New Roman"/>
          <w:sz w:val="24"/>
          <w:szCs w:val="24"/>
        </w:rPr>
        <w:t>n</w:t>
      </w:r>
      <w:r w:rsidR="00F146E1" w:rsidRPr="00D964D0">
        <w:rPr>
          <w:rFonts w:ascii="Times New Roman" w:hAnsi="Times New Roman" w:cs="Times New Roman"/>
          <w:sz w:val="24"/>
          <w:szCs w:val="24"/>
        </w:rPr>
        <w:t xml:space="preserve"> materia di rilascio delle concessioni di beni demaniali marittimi con finalità turistico-ricreative da realizzare, quanto ai criteri e alle modalità da seguire nell’espletamento delle gare per l’affidamento delle nuove concessioni, sulla base di intesa in C</w:t>
      </w:r>
      <w:r w:rsidR="00371611" w:rsidRPr="00D964D0">
        <w:rPr>
          <w:rFonts w:ascii="Times New Roman" w:hAnsi="Times New Roman" w:cs="Times New Roman"/>
          <w:sz w:val="24"/>
          <w:szCs w:val="24"/>
        </w:rPr>
        <w:t>onferenza unificata e nel rispetto dei principi del TFUE, nonché proroga</w:t>
      </w:r>
      <w:r w:rsidR="00C77CDB">
        <w:rPr>
          <w:rFonts w:ascii="Times New Roman" w:hAnsi="Times New Roman" w:cs="Times New Roman"/>
          <w:sz w:val="24"/>
          <w:szCs w:val="24"/>
        </w:rPr>
        <w:t xml:space="preserve">ndo </w:t>
      </w:r>
      <w:r w:rsidR="00C77CDB" w:rsidRPr="00C77CDB">
        <w:rPr>
          <w:rFonts w:ascii="Times New Roman" w:hAnsi="Times New Roman" w:cs="Times New Roman"/>
          <w:sz w:val="24"/>
          <w:szCs w:val="24"/>
        </w:rPr>
        <w:t>al 31 dicembre 2012</w:t>
      </w:r>
      <w:r w:rsidR="00C77CDB">
        <w:rPr>
          <w:rFonts w:ascii="Times New Roman" w:hAnsi="Times New Roman" w:cs="Times New Roman"/>
          <w:sz w:val="24"/>
          <w:szCs w:val="24"/>
        </w:rPr>
        <w:t xml:space="preserve"> </w:t>
      </w:r>
      <w:r w:rsidR="00371611" w:rsidRPr="00D964D0">
        <w:rPr>
          <w:rFonts w:ascii="Times New Roman" w:hAnsi="Times New Roman" w:cs="Times New Roman"/>
          <w:sz w:val="24"/>
          <w:szCs w:val="24"/>
        </w:rPr>
        <w:t>le concessioni in essere  in scadenza</w:t>
      </w:r>
      <w:r w:rsidR="00371611" w:rsidRPr="00D964D0">
        <w:rPr>
          <w:rStyle w:val="Rimandonotaapidipagina"/>
          <w:rFonts w:ascii="Times New Roman" w:hAnsi="Times New Roman" w:cs="Times New Roman"/>
          <w:sz w:val="24"/>
          <w:szCs w:val="24"/>
        </w:rPr>
        <w:footnoteReference w:id="4"/>
      </w:r>
      <w:r w:rsidR="00371611" w:rsidRPr="00D964D0">
        <w:rPr>
          <w:rFonts w:ascii="Times New Roman" w:hAnsi="Times New Roman" w:cs="Times New Roman"/>
          <w:sz w:val="24"/>
          <w:szCs w:val="24"/>
        </w:rPr>
        <w:t>.</w:t>
      </w:r>
    </w:p>
    <w:p w:rsidR="00371611" w:rsidRPr="00D964D0" w:rsidRDefault="00371611" w:rsidP="00D964D0">
      <w:pPr>
        <w:spacing w:line="360" w:lineRule="auto"/>
        <w:ind w:firstLine="709"/>
        <w:jc w:val="both"/>
        <w:rPr>
          <w:rFonts w:ascii="Times New Roman" w:hAnsi="Times New Roman" w:cs="Times New Roman"/>
          <w:sz w:val="24"/>
          <w:szCs w:val="24"/>
        </w:rPr>
      </w:pPr>
      <w:r w:rsidRPr="00D964D0">
        <w:rPr>
          <w:rFonts w:ascii="Times New Roman" w:hAnsi="Times New Roman" w:cs="Times New Roman"/>
          <w:sz w:val="24"/>
          <w:szCs w:val="24"/>
        </w:rPr>
        <w:t>In sostanza il procedimento di revisione del quadro normativo in materia, preannunciato legislativamente oltr</w:t>
      </w:r>
      <w:r w:rsidR="00FE7583" w:rsidRPr="00D964D0">
        <w:rPr>
          <w:rFonts w:ascii="Times New Roman" w:hAnsi="Times New Roman" w:cs="Times New Roman"/>
          <w:sz w:val="24"/>
          <w:szCs w:val="24"/>
        </w:rPr>
        <w:t>e dieci anni</w:t>
      </w:r>
      <w:r w:rsidR="00C77CDB">
        <w:rPr>
          <w:rFonts w:ascii="Times New Roman" w:hAnsi="Times New Roman" w:cs="Times New Roman"/>
          <w:sz w:val="24"/>
          <w:szCs w:val="24"/>
        </w:rPr>
        <w:t xml:space="preserve"> fa</w:t>
      </w:r>
      <w:r w:rsidR="000D0D42">
        <w:rPr>
          <w:rFonts w:ascii="Times New Roman" w:hAnsi="Times New Roman" w:cs="Times New Roman"/>
          <w:sz w:val="24"/>
          <w:szCs w:val="24"/>
        </w:rPr>
        <w:t>,</w:t>
      </w:r>
      <w:r w:rsidR="00FE7583" w:rsidRPr="00D964D0">
        <w:rPr>
          <w:rFonts w:ascii="Times New Roman" w:hAnsi="Times New Roman" w:cs="Times New Roman"/>
          <w:sz w:val="24"/>
          <w:szCs w:val="24"/>
        </w:rPr>
        <w:t xml:space="preserve"> non è mai avvenuto. Malgrado le rassicurazioni date al riguardo in Europa e le </w:t>
      </w:r>
      <w:r w:rsidR="002350F7">
        <w:rPr>
          <w:rFonts w:ascii="Times New Roman" w:hAnsi="Times New Roman" w:cs="Times New Roman"/>
          <w:sz w:val="24"/>
          <w:szCs w:val="24"/>
        </w:rPr>
        <w:t xml:space="preserve">varie </w:t>
      </w:r>
      <w:r w:rsidR="00FE7583" w:rsidRPr="00D964D0">
        <w:rPr>
          <w:rFonts w:ascii="Times New Roman" w:hAnsi="Times New Roman" w:cs="Times New Roman"/>
          <w:sz w:val="24"/>
          <w:szCs w:val="24"/>
        </w:rPr>
        <w:t>procedure di infrazione iniziate.</w:t>
      </w:r>
    </w:p>
    <w:p w:rsidR="00FE7583" w:rsidRPr="00D964D0" w:rsidRDefault="00FE7583" w:rsidP="00D964D0">
      <w:pPr>
        <w:spacing w:line="360" w:lineRule="auto"/>
        <w:ind w:firstLine="709"/>
        <w:jc w:val="both"/>
        <w:rPr>
          <w:rFonts w:ascii="Times New Roman" w:hAnsi="Times New Roman" w:cs="Times New Roman"/>
          <w:sz w:val="24"/>
          <w:szCs w:val="24"/>
        </w:rPr>
      </w:pPr>
      <w:r w:rsidRPr="00D964D0">
        <w:rPr>
          <w:rFonts w:ascii="Times New Roman" w:hAnsi="Times New Roman" w:cs="Times New Roman"/>
          <w:sz w:val="24"/>
          <w:szCs w:val="24"/>
        </w:rPr>
        <w:t xml:space="preserve">Nel panorama del diritto europeo interviene intanto la sentenza della CGUE, sez. V, 14 luglio 2016, n. 458, cosiddetta sentenza Promoimpresa, la quale </w:t>
      </w:r>
      <w:r w:rsidR="00D1210F">
        <w:rPr>
          <w:rFonts w:ascii="Times New Roman" w:hAnsi="Times New Roman" w:cs="Times New Roman"/>
          <w:sz w:val="24"/>
          <w:szCs w:val="24"/>
        </w:rPr>
        <w:t>afferma</w:t>
      </w:r>
      <w:r w:rsidRPr="00D964D0">
        <w:rPr>
          <w:rFonts w:ascii="Times New Roman" w:hAnsi="Times New Roman" w:cs="Times New Roman"/>
          <w:sz w:val="24"/>
          <w:szCs w:val="24"/>
        </w:rPr>
        <w:t xml:space="preserve"> che:</w:t>
      </w:r>
    </w:p>
    <w:p w:rsidR="00117B15" w:rsidRPr="00D964D0" w:rsidRDefault="00FE7583" w:rsidP="00D964D0">
      <w:pPr>
        <w:spacing w:line="360" w:lineRule="auto"/>
        <w:ind w:firstLine="709"/>
        <w:jc w:val="both"/>
        <w:rPr>
          <w:rFonts w:ascii="Times New Roman" w:hAnsi="Times New Roman" w:cs="Times New Roman"/>
          <w:i/>
          <w:sz w:val="24"/>
          <w:szCs w:val="24"/>
        </w:rPr>
      </w:pPr>
      <w:r w:rsidRPr="00D964D0">
        <w:rPr>
          <w:rFonts w:ascii="Times New Roman" w:hAnsi="Times New Roman" w:cs="Times New Roman"/>
          <w:sz w:val="24"/>
          <w:szCs w:val="24"/>
        </w:rPr>
        <w:t>“</w:t>
      </w:r>
      <w:r w:rsidR="00117B15" w:rsidRPr="00D964D0">
        <w:rPr>
          <w:rFonts w:ascii="Times New Roman" w:hAnsi="Times New Roman" w:cs="Times New Roman"/>
          <w:i/>
          <w:sz w:val="24"/>
          <w:szCs w:val="24"/>
        </w:rPr>
        <w:t>1) L'articolo 12, paragrafi 1 e 2, della direttiva 2006/123/CE del Parlamento europeo e del Consiglio, del 12 dicembre 2006, relativa ai servizi nel mercato interno, deve essere interpretato nel senso che osta a una misura nazionale, come quella di cui ai procedimenti principali, che prevede la proroga automatica delle autorizzazioni demaniali marittime e lacuali in essere per attività turistico-ricreative, in assenza di qualsiasi procedura di selezione tra i potenziali candidati.</w:t>
      </w:r>
    </w:p>
    <w:p w:rsidR="00117B15" w:rsidRPr="00D964D0" w:rsidRDefault="00117B15" w:rsidP="00D964D0">
      <w:pPr>
        <w:spacing w:line="360" w:lineRule="auto"/>
        <w:ind w:firstLine="709"/>
        <w:jc w:val="both"/>
        <w:rPr>
          <w:rFonts w:ascii="Times New Roman" w:hAnsi="Times New Roman" w:cs="Times New Roman"/>
          <w:i/>
          <w:sz w:val="24"/>
          <w:szCs w:val="24"/>
        </w:rPr>
      </w:pPr>
      <w:r w:rsidRPr="00D964D0">
        <w:rPr>
          <w:rFonts w:ascii="Times New Roman" w:hAnsi="Times New Roman" w:cs="Times New Roman"/>
          <w:i/>
          <w:sz w:val="24"/>
          <w:szCs w:val="24"/>
        </w:rPr>
        <w:t>2) L'articolo 49 TFUE deve essere interpretato nel senso che osta a una normativa nazionale, come quella di cui ai procedimenti principali, che consente una proroga automatica delle concessioni demaniali pubbliche in essere per attività turistico-ricreative, nei limiti in cui tali concessioni presentano un interesse transfrontaliero certo.</w:t>
      </w:r>
    </w:p>
    <w:p w:rsidR="00117B15" w:rsidRPr="00D964D0" w:rsidRDefault="00AC737C" w:rsidP="00D964D0">
      <w:pPr>
        <w:spacing w:line="360" w:lineRule="auto"/>
        <w:ind w:firstLine="709"/>
        <w:jc w:val="both"/>
        <w:rPr>
          <w:rFonts w:ascii="Times New Roman" w:hAnsi="Times New Roman" w:cs="Times New Roman"/>
          <w:sz w:val="24"/>
          <w:szCs w:val="24"/>
        </w:rPr>
      </w:pPr>
      <w:r w:rsidRPr="00D964D0">
        <w:rPr>
          <w:rFonts w:ascii="Times New Roman" w:hAnsi="Times New Roman" w:cs="Times New Roman"/>
          <w:sz w:val="24"/>
          <w:szCs w:val="24"/>
        </w:rPr>
        <w:t>Secondo la Corte, quindi, la direttiva servizi si applica anche alle concessioni demaniali marittime per finalità turistico-</w:t>
      </w:r>
      <w:r w:rsidR="002350F7">
        <w:rPr>
          <w:rFonts w:ascii="Times New Roman" w:hAnsi="Times New Roman" w:cs="Times New Roman"/>
          <w:sz w:val="24"/>
          <w:szCs w:val="24"/>
        </w:rPr>
        <w:t>ricreative</w:t>
      </w:r>
      <w:r w:rsidRPr="00D964D0">
        <w:rPr>
          <w:rFonts w:ascii="Times New Roman" w:hAnsi="Times New Roman" w:cs="Times New Roman"/>
          <w:sz w:val="24"/>
          <w:szCs w:val="24"/>
        </w:rPr>
        <w:t xml:space="preserve"> con riguardo all’obbligo dell’ev</w:t>
      </w:r>
      <w:r w:rsidR="000D0D42">
        <w:rPr>
          <w:rFonts w:ascii="Times New Roman" w:hAnsi="Times New Roman" w:cs="Times New Roman"/>
          <w:sz w:val="24"/>
          <w:szCs w:val="24"/>
        </w:rPr>
        <w:t>idenza</w:t>
      </w:r>
      <w:r w:rsidRPr="00D964D0">
        <w:rPr>
          <w:rFonts w:ascii="Times New Roman" w:hAnsi="Times New Roman" w:cs="Times New Roman"/>
          <w:sz w:val="24"/>
          <w:szCs w:val="24"/>
        </w:rPr>
        <w:t xml:space="preserve"> pubblica</w:t>
      </w:r>
      <w:r w:rsidR="002350F7">
        <w:rPr>
          <w:rFonts w:ascii="Times New Roman" w:hAnsi="Times New Roman" w:cs="Times New Roman"/>
          <w:sz w:val="24"/>
          <w:szCs w:val="24"/>
        </w:rPr>
        <w:t xml:space="preserve"> per la scelta del concessionario</w:t>
      </w:r>
      <w:r w:rsidRPr="00D964D0">
        <w:rPr>
          <w:rFonts w:ascii="Times New Roman" w:hAnsi="Times New Roman" w:cs="Times New Roman"/>
          <w:sz w:val="24"/>
          <w:szCs w:val="24"/>
        </w:rPr>
        <w:t xml:space="preserve"> e l’art. 49 del TFUE vieta la proroga automatica delle dette concessioni sempreché le stesse a</w:t>
      </w:r>
      <w:r w:rsidR="000D0D42">
        <w:rPr>
          <w:rFonts w:ascii="Times New Roman" w:hAnsi="Times New Roman" w:cs="Times New Roman"/>
          <w:sz w:val="24"/>
          <w:szCs w:val="24"/>
        </w:rPr>
        <w:t>bbiano “u</w:t>
      </w:r>
      <w:r w:rsidRPr="00D964D0">
        <w:rPr>
          <w:rFonts w:ascii="Times New Roman" w:hAnsi="Times New Roman" w:cs="Times New Roman"/>
          <w:sz w:val="24"/>
          <w:szCs w:val="24"/>
        </w:rPr>
        <w:t>n interesse transfrontaliero certo”.</w:t>
      </w:r>
    </w:p>
    <w:p w:rsidR="00AC737C" w:rsidRPr="00D964D0" w:rsidRDefault="00AC737C" w:rsidP="00D964D0">
      <w:pPr>
        <w:spacing w:line="360" w:lineRule="auto"/>
        <w:ind w:firstLine="709"/>
        <w:jc w:val="both"/>
        <w:rPr>
          <w:rFonts w:ascii="Times New Roman" w:hAnsi="Times New Roman" w:cs="Times New Roman"/>
          <w:sz w:val="24"/>
          <w:szCs w:val="24"/>
        </w:rPr>
      </w:pPr>
      <w:r w:rsidRPr="00D964D0">
        <w:rPr>
          <w:rFonts w:ascii="Times New Roman" w:hAnsi="Times New Roman" w:cs="Times New Roman"/>
          <w:sz w:val="24"/>
          <w:szCs w:val="24"/>
        </w:rPr>
        <w:t xml:space="preserve">Va ricordato che i principi affermati dalle sentenze della </w:t>
      </w:r>
      <w:r w:rsidR="000D0D42">
        <w:rPr>
          <w:rFonts w:ascii="Times New Roman" w:hAnsi="Times New Roman" w:cs="Times New Roman"/>
          <w:sz w:val="24"/>
          <w:szCs w:val="24"/>
        </w:rPr>
        <w:t>CGUE</w:t>
      </w:r>
      <w:r w:rsidRPr="00D964D0">
        <w:rPr>
          <w:rFonts w:ascii="Times New Roman" w:hAnsi="Times New Roman" w:cs="Times New Roman"/>
          <w:sz w:val="24"/>
          <w:szCs w:val="24"/>
        </w:rPr>
        <w:t xml:space="preserve"> costituiscono, insieme ai regolamenti, </w:t>
      </w:r>
      <w:r w:rsidR="000D0D42">
        <w:rPr>
          <w:rFonts w:ascii="Times New Roman" w:hAnsi="Times New Roman" w:cs="Times New Roman"/>
          <w:sz w:val="24"/>
          <w:szCs w:val="24"/>
        </w:rPr>
        <w:t xml:space="preserve">ai </w:t>
      </w:r>
      <w:r w:rsidR="00C77CDB">
        <w:rPr>
          <w:rFonts w:ascii="Times New Roman" w:hAnsi="Times New Roman" w:cs="Times New Roman"/>
          <w:sz w:val="24"/>
          <w:szCs w:val="24"/>
        </w:rPr>
        <w:t>principi del T</w:t>
      </w:r>
      <w:r w:rsidRPr="00D964D0">
        <w:rPr>
          <w:rFonts w:ascii="Times New Roman" w:hAnsi="Times New Roman" w:cs="Times New Roman"/>
          <w:sz w:val="24"/>
          <w:szCs w:val="24"/>
        </w:rPr>
        <w:t>rattato e alle direttive dettagliate e incondizionate</w:t>
      </w:r>
      <w:r w:rsidR="00C77CDB">
        <w:rPr>
          <w:rFonts w:ascii="Times New Roman" w:hAnsi="Times New Roman" w:cs="Times New Roman"/>
          <w:sz w:val="24"/>
          <w:szCs w:val="24"/>
        </w:rPr>
        <w:t>,</w:t>
      </w:r>
      <w:r w:rsidRPr="00D964D0">
        <w:rPr>
          <w:rFonts w:ascii="Times New Roman" w:hAnsi="Times New Roman" w:cs="Times New Roman"/>
          <w:sz w:val="24"/>
          <w:szCs w:val="24"/>
        </w:rPr>
        <w:t xml:space="preserve"> diritto europeo immediatamente applicabile negli ordinamenti giuridici degli Stati membri. Con il conseguente obbligo di disapplicare la normativa interna contrastante</w:t>
      </w:r>
      <w:r w:rsidR="000D0D42">
        <w:rPr>
          <w:rFonts w:ascii="Times New Roman" w:hAnsi="Times New Roman" w:cs="Times New Roman"/>
          <w:sz w:val="24"/>
          <w:szCs w:val="24"/>
        </w:rPr>
        <w:t>,</w:t>
      </w:r>
      <w:r w:rsidRPr="00D964D0">
        <w:rPr>
          <w:rFonts w:ascii="Times New Roman" w:hAnsi="Times New Roman" w:cs="Times New Roman"/>
          <w:sz w:val="24"/>
          <w:szCs w:val="24"/>
        </w:rPr>
        <w:t xml:space="preserve"> non solo da parte del giudice</w:t>
      </w:r>
      <w:r w:rsidR="000D0D42">
        <w:rPr>
          <w:rFonts w:ascii="Times New Roman" w:hAnsi="Times New Roman" w:cs="Times New Roman"/>
          <w:sz w:val="24"/>
          <w:szCs w:val="24"/>
        </w:rPr>
        <w:t>,</w:t>
      </w:r>
      <w:r w:rsidRPr="00D964D0">
        <w:rPr>
          <w:rFonts w:ascii="Times New Roman" w:hAnsi="Times New Roman" w:cs="Times New Roman"/>
          <w:sz w:val="24"/>
          <w:szCs w:val="24"/>
        </w:rPr>
        <w:t xml:space="preserve"> ma anche della pubblica amministrazione. Con l’ulteriore conseguenza sulla patologia dei provvedimenti amministrativi che, se conformi alla normativa interna che però è in contrasto con la normativa europea</w:t>
      </w:r>
      <w:r w:rsidR="00D1210F">
        <w:rPr>
          <w:rFonts w:ascii="Times New Roman" w:hAnsi="Times New Roman" w:cs="Times New Roman"/>
          <w:sz w:val="24"/>
          <w:szCs w:val="24"/>
        </w:rPr>
        <w:t xml:space="preserve"> direttamente applicabile</w:t>
      </w:r>
      <w:r w:rsidRPr="00D964D0">
        <w:rPr>
          <w:rFonts w:ascii="Times New Roman" w:hAnsi="Times New Roman" w:cs="Times New Roman"/>
          <w:sz w:val="24"/>
          <w:szCs w:val="24"/>
        </w:rPr>
        <w:t>, sono illegittimi.</w:t>
      </w:r>
    </w:p>
    <w:p w:rsidR="00AC737C" w:rsidRDefault="00C11F39" w:rsidP="00D964D0">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Non si applica invece il codice dei contratti pubblici, di cui al d.lgs. </w:t>
      </w:r>
      <w:r w:rsidRPr="00C11F39">
        <w:rPr>
          <w:rFonts w:ascii="Times New Roman" w:hAnsi="Times New Roman" w:cs="Times New Roman"/>
          <w:sz w:val="24"/>
          <w:szCs w:val="24"/>
        </w:rPr>
        <w:t xml:space="preserve">18 aprile 2016, </w:t>
      </w:r>
      <w:r>
        <w:rPr>
          <w:rFonts w:ascii="Times New Roman" w:hAnsi="Times New Roman" w:cs="Times New Roman"/>
          <w:sz w:val="24"/>
          <w:szCs w:val="24"/>
        </w:rPr>
        <w:t>n. 50</w:t>
      </w:r>
      <w:r w:rsidR="0072186C">
        <w:rPr>
          <w:rFonts w:ascii="Times New Roman" w:hAnsi="Times New Roman" w:cs="Times New Roman"/>
          <w:sz w:val="24"/>
          <w:szCs w:val="24"/>
        </w:rPr>
        <w:t xml:space="preserve">, che, </w:t>
      </w:r>
      <w:r w:rsidR="00C77CDB">
        <w:rPr>
          <w:rFonts w:ascii="Times New Roman" w:hAnsi="Times New Roman" w:cs="Times New Roman"/>
          <w:sz w:val="24"/>
          <w:szCs w:val="24"/>
        </w:rPr>
        <w:t xml:space="preserve">all’art. 4, </w:t>
      </w:r>
      <w:r w:rsidR="0072186C">
        <w:rPr>
          <w:rFonts w:ascii="Times New Roman" w:hAnsi="Times New Roman" w:cs="Times New Roman"/>
          <w:sz w:val="24"/>
          <w:szCs w:val="24"/>
        </w:rPr>
        <w:t xml:space="preserve">con riguardo all’affidamento dei contratti attivi, esclusi dal relativo ambito di applicazione oggettiva, richiama </w:t>
      </w:r>
      <w:r w:rsidR="002350F7">
        <w:rPr>
          <w:rFonts w:ascii="Times New Roman" w:hAnsi="Times New Roman" w:cs="Times New Roman"/>
          <w:sz w:val="24"/>
          <w:szCs w:val="24"/>
        </w:rPr>
        <w:t xml:space="preserve">tuttavia </w:t>
      </w:r>
      <w:r w:rsidR="0072186C">
        <w:rPr>
          <w:rFonts w:ascii="Times New Roman" w:hAnsi="Times New Roman" w:cs="Times New Roman"/>
          <w:sz w:val="24"/>
          <w:szCs w:val="24"/>
        </w:rPr>
        <w:t>l’applicazione dei principi del TFUE.</w:t>
      </w:r>
    </w:p>
    <w:p w:rsidR="00C77CDB" w:rsidRPr="00D964D0" w:rsidRDefault="00C77CDB" w:rsidP="00D964D0">
      <w:pPr>
        <w:spacing w:line="360" w:lineRule="auto"/>
        <w:ind w:firstLine="709"/>
        <w:jc w:val="both"/>
        <w:rPr>
          <w:rFonts w:ascii="Times New Roman" w:hAnsi="Times New Roman" w:cs="Times New Roman"/>
          <w:sz w:val="24"/>
          <w:szCs w:val="24"/>
        </w:rPr>
      </w:pPr>
    </w:p>
    <w:p w:rsidR="00FE7583" w:rsidRPr="00D964D0" w:rsidRDefault="00FE7583" w:rsidP="00D964D0">
      <w:pPr>
        <w:spacing w:line="360" w:lineRule="auto"/>
        <w:ind w:firstLine="709"/>
        <w:jc w:val="both"/>
        <w:rPr>
          <w:rFonts w:ascii="Times New Roman" w:hAnsi="Times New Roman" w:cs="Times New Roman"/>
          <w:b/>
          <w:sz w:val="24"/>
          <w:szCs w:val="24"/>
        </w:rPr>
      </w:pPr>
      <w:r w:rsidRPr="00D964D0">
        <w:rPr>
          <w:rFonts w:ascii="Times New Roman" w:hAnsi="Times New Roman" w:cs="Times New Roman"/>
          <w:b/>
          <w:sz w:val="24"/>
          <w:szCs w:val="24"/>
        </w:rPr>
        <w:t xml:space="preserve">3. Le sentenze dell’adunanza plenaria del Consiglio di Stato </w:t>
      </w:r>
      <w:r w:rsidR="00154A44" w:rsidRPr="00D964D0">
        <w:rPr>
          <w:rFonts w:ascii="Times New Roman" w:hAnsi="Times New Roman" w:cs="Times New Roman"/>
          <w:b/>
          <w:sz w:val="24"/>
          <w:szCs w:val="24"/>
        </w:rPr>
        <w:t>9 novembre 202</w:t>
      </w:r>
      <w:r w:rsidR="0029040A">
        <w:rPr>
          <w:rFonts w:ascii="Times New Roman" w:hAnsi="Times New Roman" w:cs="Times New Roman"/>
          <w:b/>
          <w:sz w:val="24"/>
          <w:szCs w:val="24"/>
        </w:rPr>
        <w:t>1</w:t>
      </w:r>
      <w:r w:rsidRPr="00D964D0">
        <w:rPr>
          <w:rFonts w:ascii="Times New Roman" w:hAnsi="Times New Roman" w:cs="Times New Roman"/>
          <w:b/>
          <w:sz w:val="24"/>
          <w:szCs w:val="24"/>
        </w:rPr>
        <w:t xml:space="preserve">, </w:t>
      </w:r>
      <w:proofErr w:type="spellStart"/>
      <w:r w:rsidRPr="00D964D0">
        <w:rPr>
          <w:rFonts w:ascii="Times New Roman" w:hAnsi="Times New Roman" w:cs="Times New Roman"/>
          <w:b/>
          <w:sz w:val="24"/>
          <w:szCs w:val="24"/>
        </w:rPr>
        <w:t>nn</w:t>
      </w:r>
      <w:proofErr w:type="spellEnd"/>
      <w:r w:rsidRPr="00D964D0">
        <w:rPr>
          <w:rFonts w:ascii="Times New Roman" w:hAnsi="Times New Roman" w:cs="Times New Roman"/>
          <w:b/>
          <w:sz w:val="24"/>
          <w:szCs w:val="24"/>
        </w:rPr>
        <w:t>. 17 e 18.</w:t>
      </w:r>
    </w:p>
    <w:p w:rsidR="00154A44" w:rsidRPr="00D964D0" w:rsidRDefault="00154A44" w:rsidP="00D964D0">
      <w:pPr>
        <w:spacing w:line="360" w:lineRule="auto"/>
        <w:ind w:firstLine="709"/>
        <w:jc w:val="both"/>
        <w:rPr>
          <w:rFonts w:ascii="Times New Roman" w:hAnsi="Times New Roman" w:cs="Times New Roman"/>
          <w:sz w:val="24"/>
          <w:szCs w:val="24"/>
        </w:rPr>
      </w:pPr>
      <w:r w:rsidRPr="00D964D0">
        <w:rPr>
          <w:rFonts w:ascii="Times New Roman" w:hAnsi="Times New Roman" w:cs="Times New Roman"/>
          <w:sz w:val="24"/>
          <w:szCs w:val="24"/>
        </w:rPr>
        <w:t>Quest</w:t>
      </w:r>
      <w:r w:rsidR="002350F7">
        <w:rPr>
          <w:rFonts w:ascii="Times New Roman" w:hAnsi="Times New Roman" w:cs="Times New Roman"/>
          <w:sz w:val="24"/>
          <w:szCs w:val="24"/>
        </w:rPr>
        <w:t>a,</w:t>
      </w:r>
      <w:r w:rsidRPr="00D964D0">
        <w:rPr>
          <w:rFonts w:ascii="Times New Roman" w:hAnsi="Times New Roman" w:cs="Times New Roman"/>
          <w:sz w:val="24"/>
          <w:szCs w:val="24"/>
        </w:rPr>
        <w:t xml:space="preserve"> in linea di massima e per approssimazione</w:t>
      </w:r>
      <w:r w:rsidR="002350F7">
        <w:rPr>
          <w:rFonts w:ascii="Times New Roman" w:hAnsi="Times New Roman" w:cs="Times New Roman"/>
          <w:sz w:val="24"/>
          <w:szCs w:val="24"/>
        </w:rPr>
        <w:t>,</w:t>
      </w:r>
      <w:r w:rsidRPr="00D964D0">
        <w:rPr>
          <w:rFonts w:ascii="Times New Roman" w:hAnsi="Times New Roman" w:cs="Times New Roman"/>
          <w:sz w:val="24"/>
          <w:szCs w:val="24"/>
        </w:rPr>
        <w:t xml:space="preserve"> la situazione esistente nel momento in cui l’adunanza plenaria del Consiglio di Stato si è pronunciata con </w:t>
      </w:r>
      <w:r w:rsidR="0029040A">
        <w:rPr>
          <w:rFonts w:ascii="Times New Roman" w:hAnsi="Times New Roman" w:cs="Times New Roman"/>
          <w:sz w:val="24"/>
          <w:szCs w:val="24"/>
        </w:rPr>
        <w:t>le sentenze nn. 17 e 18 del 2021</w:t>
      </w:r>
      <w:r w:rsidR="00D1210F">
        <w:rPr>
          <w:rFonts w:ascii="Times New Roman" w:hAnsi="Times New Roman" w:cs="Times New Roman"/>
          <w:sz w:val="24"/>
          <w:szCs w:val="24"/>
        </w:rPr>
        <w:t>,</w:t>
      </w:r>
      <w:r w:rsidR="00D1210F" w:rsidRPr="00D1210F">
        <w:t xml:space="preserve"> </w:t>
      </w:r>
      <w:r w:rsidR="00D1210F">
        <w:rPr>
          <w:rFonts w:ascii="Times New Roman" w:hAnsi="Times New Roman" w:cs="Times New Roman"/>
          <w:sz w:val="24"/>
          <w:szCs w:val="24"/>
        </w:rPr>
        <w:t>di identico tenore</w:t>
      </w:r>
      <w:r w:rsidRPr="00D964D0">
        <w:rPr>
          <w:rFonts w:ascii="Times New Roman" w:hAnsi="Times New Roman" w:cs="Times New Roman"/>
          <w:sz w:val="24"/>
          <w:szCs w:val="24"/>
        </w:rPr>
        <w:t>.</w:t>
      </w:r>
    </w:p>
    <w:p w:rsidR="00BA3397" w:rsidRPr="00D964D0" w:rsidRDefault="00BA3397" w:rsidP="00D964D0">
      <w:pPr>
        <w:spacing w:line="360" w:lineRule="auto"/>
        <w:ind w:firstLine="709"/>
        <w:jc w:val="both"/>
        <w:rPr>
          <w:rFonts w:ascii="Times New Roman" w:hAnsi="Times New Roman" w:cs="Times New Roman"/>
          <w:sz w:val="24"/>
          <w:szCs w:val="24"/>
        </w:rPr>
      </w:pPr>
      <w:r w:rsidRPr="00D964D0">
        <w:rPr>
          <w:rFonts w:ascii="Times New Roman" w:hAnsi="Times New Roman" w:cs="Times New Roman"/>
          <w:sz w:val="24"/>
          <w:szCs w:val="24"/>
        </w:rPr>
        <w:t>La prima peculiarità</w:t>
      </w:r>
      <w:r w:rsidR="00C862AF" w:rsidRPr="00D964D0">
        <w:rPr>
          <w:rFonts w:ascii="Times New Roman" w:hAnsi="Times New Roman" w:cs="Times New Roman"/>
          <w:sz w:val="24"/>
          <w:szCs w:val="24"/>
        </w:rPr>
        <w:t xml:space="preserve"> consiste nella circostanza che </w:t>
      </w:r>
      <w:r w:rsidRPr="00D964D0">
        <w:rPr>
          <w:rFonts w:ascii="Times New Roman" w:hAnsi="Times New Roman" w:cs="Times New Roman"/>
          <w:sz w:val="24"/>
          <w:szCs w:val="24"/>
        </w:rPr>
        <w:t>l’</w:t>
      </w:r>
      <w:r w:rsidR="003510CF">
        <w:rPr>
          <w:rFonts w:ascii="Times New Roman" w:hAnsi="Times New Roman" w:cs="Times New Roman"/>
          <w:sz w:val="24"/>
          <w:szCs w:val="24"/>
        </w:rPr>
        <w:t>a</w:t>
      </w:r>
      <w:r w:rsidRPr="00D964D0">
        <w:rPr>
          <w:rFonts w:ascii="Times New Roman" w:hAnsi="Times New Roman" w:cs="Times New Roman"/>
          <w:sz w:val="24"/>
          <w:szCs w:val="24"/>
        </w:rPr>
        <w:t>dunanza plenaria è stata investita direttamente dal Presidente del Consiglio di Stato (con decreto n. 160/2021)</w:t>
      </w:r>
      <w:r w:rsidR="00C862AF" w:rsidRPr="00D964D0">
        <w:rPr>
          <w:rFonts w:ascii="Times New Roman" w:hAnsi="Times New Roman" w:cs="Times New Roman"/>
          <w:sz w:val="24"/>
          <w:szCs w:val="24"/>
        </w:rPr>
        <w:t>, in applicazione dell’art. 99, comma 2, del c.p.a. che consente allo stesso e prima della decisione, su richiesta delle parti o d’ufficio, di “</w:t>
      </w:r>
      <w:r w:rsidR="00C862AF" w:rsidRPr="00D964D0">
        <w:rPr>
          <w:rFonts w:ascii="Times New Roman" w:hAnsi="Times New Roman" w:cs="Times New Roman"/>
          <w:i/>
          <w:sz w:val="24"/>
          <w:szCs w:val="24"/>
        </w:rPr>
        <w:t>deferire all’adunanza plenaria qualunque ricorso, per risolvere questioni di massima di particolare importanza</w:t>
      </w:r>
      <w:r w:rsidR="00C862AF" w:rsidRPr="00D964D0">
        <w:rPr>
          <w:rFonts w:ascii="Times New Roman" w:hAnsi="Times New Roman" w:cs="Times New Roman"/>
          <w:sz w:val="24"/>
          <w:szCs w:val="24"/>
        </w:rPr>
        <w:t>”</w:t>
      </w:r>
      <w:r w:rsidR="00C862AF" w:rsidRPr="00D964D0">
        <w:rPr>
          <w:rStyle w:val="Rimandonotaapidipagina"/>
          <w:rFonts w:ascii="Times New Roman" w:hAnsi="Times New Roman" w:cs="Times New Roman"/>
          <w:sz w:val="24"/>
          <w:szCs w:val="24"/>
        </w:rPr>
        <w:footnoteReference w:id="5"/>
      </w:r>
      <w:r w:rsidR="00C862AF" w:rsidRPr="00D964D0">
        <w:rPr>
          <w:rFonts w:ascii="Times New Roman" w:hAnsi="Times New Roman" w:cs="Times New Roman"/>
          <w:sz w:val="24"/>
          <w:szCs w:val="24"/>
        </w:rPr>
        <w:t>.</w:t>
      </w:r>
    </w:p>
    <w:p w:rsidR="00635121" w:rsidRPr="00D964D0" w:rsidRDefault="00C862AF" w:rsidP="00D964D0">
      <w:pPr>
        <w:spacing w:line="360" w:lineRule="auto"/>
        <w:ind w:firstLine="709"/>
        <w:jc w:val="both"/>
        <w:rPr>
          <w:rFonts w:ascii="Times New Roman" w:hAnsi="Times New Roman" w:cs="Times New Roman"/>
          <w:sz w:val="24"/>
          <w:szCs w:val="24"/>
        </w:rPr>
      </w:pPr>
      <w:r w:rsidRPr="00D964D0">
        <w:rPr>
          <w:rFonts w:ascii="Times New Roman" w:hAnsi="Times New Roman" w:cs="Times New Roman"/>
          <w:sz w:val="24"/>
          <w:szCs w:val="24"/>
        </w:rPr>
        <w:t>I principi di diritto affermati sono i seguenti:</w:t>
      </w:r>
    </w:p>
    <w:p w:rsidR="00A32E22" w:rsidRPr="00D964D0" w:rsidRDefault="00C862AF" w:rsidP="00D964D0">
      <w:pPr>
        <w:spacing w:line="360" w:lineRule="auto"/>
        <w:ind w:firstLine="709"/>
        <w:jc w:val="both"/>
        <w:rPr>
          <w:rFonts w:ascii="Times New Roman" w:hAnsi="Times New Roman" w:cs="Times New Roman"/>
          <w:i/>
          <w:iCs/>
          <w:sz w:val="24"/>
          <w:szCs w:val="24"/>
        </w:rPr>
      </w:pPr>
      <w:r w:rsidRPr="00D964D0">
        <w:rPr>
          <w:rFonts w:ascii="Times New Roman" w:hAnsi="Times New Roman" w:cs="Times New Roman"/>
          <w:iCs/>
          <w:sz w:val="24"/>
          <w:szCs w:val="24"/>
        </w:rPr>
        <w:t>“</w:t>
      </w:r>
      <w:r w:rsidR="00A32E22" w:rsidRPr="00D964D0">
        <w:rPr>
          <w:rFonts w:ascii="Times New Roman" w:hAnsi="Times New Roman" w:cs="Times New Roman"/>
          <w:i/>
          <w:iCs/>
          <w:sz w:val="24"/>
          <w:szCs w:val="24"/>
        </w:rPr>
        <w:t>1. Le norme legislative nazionali che hanno disposto (e che in futuro dovessero ancora disporre) la proroga automatica delle concessioni demaniali marittime per finalità turistico-ricreative - compresa la moratoria introdotta in correlazione con l'emergenza epidemiologica da Covid-19 dall'art. 182, comma 2, d.l. n. 34/2020, convertito in legge n. 77/2020 - sono in contrasto con il diritto eurounitario, segnatamente con l'art. 49 TFUE e con l'art. 12 della direttiva 2006/123/CE. Tali norme, pertanto, non devono essere applicate né dai giudici né</w:t>
      </w:r>
      <w:r w:rsidR="005D77CB" w:rsidRPr="00D964D0">
        <w:rPr>
          <w:rFonts w:ascii="Times New Roman" w:hAnsi="Times New Roman" w:cs="Times New Roman"/>
          <w:i/>
          <w:iCs/>
          <w:sz w:val="24"/>
          <w:szCs w:val="24"/>
        </w:rPr>
        <w:t xml:space="preserve"> dalla pubblica amministrazione”.</w:t>
      </w:r>
    </w:p>
    <w:p w:rsidR="005D77CB" w:rsidRPr="00D964D0" w:rsidRDefault="005D77CB" w:rsidP="00D964D0">
      <w:pPr>
        <w:spacing w:line="360" w:lineRule="auto"/>
        <w:ind w:firstLine="709"/>
        <w:jc w:val="both"/>
        <w:rPr>
          <w:rFonts w:ascii="Times New Roman" w:hAnsi="Times New Roman" w:cs="Times New Roman"/>
          <w:sz w:val="24"/>
          <w:szCs w:val="24"/>
        </w:rPr>
      </w:pPr>
      <w:r w:rsidRPr="00D964D0">
        <w:rPr>
          <w:rFonts w:ascii="Times New Roman" w:hAnsi="Times New Roman" w:cs="Times New Roman"/>
          <w:iCs/>
          <w:sz w:val="24"/>
          <w:szCs w:val="24"/>
        </w:rPr>
        <w:t>La plenaria si conforma alla sentenza della CGUE Promoimpresa.</w:t>
      </w:r>
    </w:p>
    <w:p w:rsidR="00A32E22" w:rsidRPr="00D964D0" w:rsidRDefault="005D77CB" w:rsidP="00D964D0">
      <w:pPr>
        <w:spacing w:line="360" w:lineRule="auto"/>
        <w:ind w:firstLine="709"/>
        <w:jc w:val="both"/>
        <w:rPr>
          <w:rFonts w:ascii="Times New Roman" w:hAnsi="Times New Roman" w:cs="Times New Roman"/>
          <w:sz w:val="24"/>
          <w:szCs w:val="24"/>
        </w:rPr>
      </w:pPr>
      <w:r w:rsidRPr="00D964D0">
        <w:rPr>
          <w:rFonts w:ascii="Times New Roman" w:hAnsi="Times New Roman" w:cs="Times New Roman"/>
          <w:iCs/>
          <w:sz w:val="24"/>
          <w:szCs w:val="24"/>
        </w:rPr>
        <w:t>“</w:t>
      </w:r>
      <w:r w:rsidR="00A32E22" w:rsidRPr="00D964D0">
        <w:rPr>
          <w:rFonts w:ascii="Times New Roman" w:hAnsi="Times New Roman" w:cs="Times New Roman"/>
          <w:i/>
          <w:iCs/>
          <w:sz w:val="24"/>
          <w:szCs w:val="24"/>
        </w:rPr>
        <w:t xml:space="preserve">2. Ancorché siano intervenuti atti di proroga rilasciati dalla P.A. (e anche nei casi in cui tali siano stati rilasciati in seguito a un giudicato favorevole o abbiamo comunque formato oggetto di un giudicato favorevole) deve escludersi la sussistenza di un diritto alla prosecuzione del rapporto in capo gli attuali concessionari. Non vengono al riguardo in rilievo i poteri di autotutela decisoria della P.A. in quanto l'effetto di cui si discute è direttamente disposto dalla legge, che ha nella sostanza legificato i provvedimenti di concessione prorogandone i termini di durata. La non applicazione della legge implica, quindi, che gli effetti da essa prodotti sulle concessioni già rilasciate debbano parimenti </w:t>
      </w:r>
      <w:r w:rsidR="00A32E22" w:rsidRPr="00D1210F">
        <w:rPr>
          <w:rFonts w:ascii="Times New Roman" w:hAnsi="Times New Roman" w:cs="Times New Roman"/>
          <w:i/>
          <w:iCs/>
          <w:sz w:val="24"/>
          <w:szCs w:val="24"/>
        </w:rPr>
        <w:t>ritenersi</w:t>
      </w:r>
      <w:r w:rsidR="00A32E22" w:rsidRPr="00D1210F">
        <w:rPr>
          <w:rFonts w:ascii="Times New Roman" w:hAnsi="Times New Roman" w:cs="Times New Roman"/>
          <w:i/>
          <w:sz w:val="24"/>
          <w:szCs w:val="24"/>
        </w:rPr>
        <w:t xml:space="preserve"> tamquam non esset</w:t>
      </w:r>
      <w:r w:rsidR="00A32E22" w:rsidRPr="00D1210F">
        <w:rPr>
          <w:rFonts w:ascii="Times New Roman" w:hAnsi="Times New Roman" w:cs="Times New Roman"/>
          <w:i/>
          <w:iCs/>
          <w:sz w:val="24"/>
          <w:szCs w:val="24"/>
        </w:rPr>
        <w:t>, senza</w:t>
      </w:r>
      <w:r w:rsidR="00A32E22" w:rsidRPr="00D964D0">
        <w:rPr>
          <w:rFonts w:ascii="Times New Roman" w:hAnsi="Times New Roman" w:cs="Times New Roman"/>
          <w:i/>
          <w:iCs/>
          <w:sz w:val="24"/>
          <w:szCs w:val="24"/>
        </w:rPr>
        <w:t xml:space="preserve"> che rilevi la presenza o meno di un atto dichiarativo dell'effetto legale di proroga adottato dalla P.A. o l'esistenza di un giudicato. Venendo in rilievo un rapporto di durata, infatti, anche il giudicato è comunque esposto all'incidenza delle sopravvenienze e non attribuisce un diritto alla continuazione del rapporto.</w:t>
      </w:r>
    </w:p>
    <w:p w:rsidR="00A32E22" w:rsidRPr="00D964D0" w:rsidRDefault="00A32E22" w:rsidP="00D964D0">
      <w:pPr>
        <w:spacing w:line="360" w:lineRule="auto"/>
        <w:ind w:firstLine="709"/>
        <w:jc w:val="both"/>
        <w:rPr>
          <w:rFonts w:ascii="Times New Roman" w:hAnsi="Times New Roman" w:cs="Times New Roman"/>
          <w:sz w:val="24"/>
          <w:szCs w:val="24"/>
        </w:rPr>
      </w:pPr>
      <w:r w:rsidRPr="00D964D0">
        <w:rPr>
          <w:rFonts w:ascii="Times New Roman" w:hAnsi="Times New Roman" w:cs="Times New Roman"/>
          <w:i/>
          <w:iCs/>
          <w:sz w:val="24"/>
          <w:szCs w:val="24"/>
        </w:rPr>
        <w:t>3. Al fine di evitare il significativo impatto socio-economico che deriverebbe da una decadenza immediata e generalizzata di tutte le concessioni in essere, di tener conto dei tempi tecnici perché le amministrazioni predispongano le procedura di gara richieste e, altresì, nell'auspicio che il legislatore intervenga a riordinare la materia in conformità ai principi di derivazione europea, le concessioni demaniali per finalità turistico-ricreative già in essere continuano ad essere efficaci sino al 31 dicembre 2023, fermo restando che, oltre tale data, anche in assenza di una disciplina legislativa, esse cesseranno di produrre effetti, nonostante qualsiasi eventuale ulteriore proroga legislativa che dovesse nel frattempo intervenire, la quale andrebbe considerata senza effetto perché in contrasto con le norme dell'ordinamento dell'U.E.</w:t>
      </w:r>
    </w:p>
    <w:p w:rsidR="005D77CB" w:rsidRPr="00D964D0" w:rsidRDefault="005D77CB" w:rsidP="00D964D0">
      <w:pPr>
        <w:spacing w:line="360" w:lineRule="auto"/>
        <w:ind w:firstLine="709"/>
        <w:jc w:val="both"/>
        <w:rPr>
          <w:rFonts w:ascii="Times New Roman" w:hAnsi="Times New Roman" w:cs="Times New Roman"/>
          <w:sz w:val="24"/>
          <w:szCs w:val="24"/>
        </w:rPr>
      </w:pPr>
      <w:r w:rsidRPr="00D964D0">
        <w:rPr>
          <w:rFonts w:ascii="Times New Roman" w:hAnsi="Times New Roman" w:cs="Times New Roman"/>
          <w:sz w:val="24"/>
          <w:szCs w:val="24"/>
        </w:rPr>
        <w:t>Di seguito i passaggi rilevanti</w:t>
      </w:r>
      <w:r w:rsidR="00D1210F">
        <w:rPr>
          <w:rFonts w:ascii="Times New Roman" w:hAnsi="Times New Roman" w:cs="Times New Roman"/>
          <w:sz w:val="24"/>
          <w:szCs w:val="24"/>
        </w:rPr>
        <w:t xml:space="preserve"> delle due sentenze</w:t>
      </w:r>
      <w:r w:rsidRPr="00D964D0">
        <w:rPr>
          <w:rFonts w:ascii="Times New Roman" w:hAnsi="Times New Roman" w:cs="Times New Roman"/>
          <w:sz w:val="24"/>
          <w:szCs w:val="24"/>
        </w:rPr>
        <w:t>.</w:t>
      </w:r>
    </w:p>
    <w:p w:rsidR="00EA35E6" w:rsidRPr="00D964D0" w:rsidRDefault="005D77CB" w:rsidP="00D964D0">
      <w:pPr>
        <w:spacing w:line="360" w:lineRule="auto"/>
        <w:ind w:firstLine="709"/>
        <w:jc w:val="both"/>
        <w:rPr>
          <w:rFonts w:ascii="Times New Roman" w:hAnsi="Times New Roman" w:cs="Times New Roman"/>
          <w:sz w:val="24"/>
          <w:szCs w:val="24"/>
        </w:rPr>
      </w:pPr>
      <w:r w:rsidRPr="00D964D0">
        <w:rPr>
          <w:rFonts w:ascii="Times New Roman" w:hAnsi="Times New Roman" w:cs="Times New Roman"/>
          <w:sz w:val="24"/>
          <w:szCs w:val="24"/>
        </w:rPr>
        <w:t>a) A</w:t>
      </w:r>
      <w:r w:rsidR="00EA35E6" w:rsidRPr="00D964D0">
        <w:rPr>
          <w:rFonts w:ascii="Times New Roman" w:hAnsi="Times New Roman" w:cs="Times New Roman"/>
          <w:sz w:val="24"/>
          <w:szCs w:val="24"/>
        </w:rPr>
        <w:t xml:space="preserve">ffermazione dei principi europei di tutela della concorrenza </w:t>
      </w:r>
      <w:r w:rsidR="00D1210F">
        <w:rPr>
          <w:rFonts w:ascii="Times New Roman" w:hAnsi="Times New Roman" w:cs="Times New Roman"/>
          <w:sz w:val="24"/>
          <w:szCs w:val="24"/>
        </w:rPr>
        <w:t xml:space="preserve">(e del conseguente </w:t>
      </w:r>
      <w:r w:rsidR="00DA275D" w:rsidRPr="00D964D0">
        <w:rPr>
          <w:rFonts w:ascii="Times New Roman" w:hAnsi="Times New Roman" w:cs="Times New Roman"/>
          <w:sz w:val="24"/>
          <w:szCs w:val="24"/>
        </w:rPr>
        <w:t>obbligo d</w:t>
      </w:r>
      <w:r w:rsidR="00D1210F">
        <w:rPr>
          <w:rFonts w:ascii="Times New Roman" w:hAnsi="Times New Roman" w:cs="Times New Roman"/>
          <w:sz w:val="24"/>
          <w:szCs w:val="24"/>
        </w:rPr>
        <w:t>ell’</w:t>
      </w:r>
      <w:r w:rsidR="00DA275D" w:rsidRPr="00D964D0">
        <w:rPr>
          <w:rFonts w:ascii="Times New Roman" w:hAnsi="Times New Roman" w:cs="Times New Roman"/>
          <w:sz w:val="24"/>
          <w:szCs w:val="24"/>
        </w:rPr>
        <w:t>ev</w:t>
      </w:r>
      <w:r w:rsidR="00D1210F">
        <w:rPr>
          <w:rFonts w:ascii="Times New Roman" w:hAnsi="Times New Roman" w:cs="Times New Roman"/>
          <w:sz w:val="24"/>
          <w:szCs w:val="24"/>
        </w:rPr>
        <w:t>idenza pubblica</w:t>
      </w:r>
      <w:r w:rsidR="00DA275D" w:rsidRPr="00D964D0">
        <w:rPr>
          <w:rFonts w:ascii="Times New Roman" w:hAnsi="Times New Roman" w:cs="Times New Roman"/>
          <w:sz w:val="24"/>
          <w:szCs w:val="24"/>
        </w:rPr>
        <w:t xml:space="preserve">) </w:t>
      </w:r>
      <w:r w:rsidRPr="00D964D0">
        <w:rPr>
          <w:rFonts w:ascii="Times New Roman" w:hAnsi="Times New Roman" w:cs="Times New Roman"/>
          <w:sz w:val="24"/>
          <w:szCs w:val="24"/>
        </w:rPr>
        <w:t>e della libera circolazione.</w:t>
      </w:r>
    </w:p>
    <w:p w:rsidR="004B7E6B" w:rsidRPr="00D964D0" w:rsidRDefault="005D77CB" w:rsidP="00D964D0">
      <w:pPr>
        <w:spacing w:line="360" w:lineRule="auto"/>
        <w:ind w:firstLine="709"/>
        <w:jc w:val="both"/>
        <w:rPr>
          <w:rFonts w:ascii="Times New Roman" w:hAnsi="Times New Roman" w:cs="Times New Roman"/>
          <w:sz w:val="24"/>
          <w:szCs w:val="24"/>
        </w:rPr>
      </w:pPr>
      <w:r w:rsidRPr="00D964D0">
        <w:rPr>
          <w:rFonts w:ascii="Times New Roman" w:hAnsi="Times New Roman" w:cs="Times New Roman"/>
          <w:sz w:val="24"/>
          <w:szCs w:val="24"/>
        </w:rPr>
        <w:t>b) E</w:t>
      </w:r>
      <w:r w:rsidR="004B7E6B" w:rsidRPr="00D964D0">
        <w:rPr>
          <w:rFonts w:ascii="Times New Roman" w:hAnsi="Times New Roman" w:cs="Times New Roman"/>
          <w:sz w:val="24"/>
          <w:szCs w:val="24"/>
        </w:rPr>
        <w:t>sistenza di un interesse transfrontaliero certo</w:t>
      </w:r>
      <w:r w:rsidR="00EA35E6" w:rsidRPr="00D964D0">
        <w:rPr>
          <w:rFonts w:ascii="Times New Roman" w:hAnsi="Times New Roman" w:cs="Times New Roman"/>
          <w:sz w:val="24"/>
          <w:szCs w:val="24"/>
        </w:rPr>
        <w:t xml:space="preserve"> con riguardo alle spiagge italiane (così come le aree lacuali e fluviali)</w:t>
      </w:r>
      <w:r w:rsidRPr="00D964D0">
        <w:rPr>
          <w:rFonts w:ascii="Times New Roman" w:hAnsi="Times New Roman" w:cs="Times New Roman"/>
          <w:sz w:val="24"/>
          <w:szCs w:val="24"/>
        </w:rPr>
        <w:t>.</w:t>
      </w:r>
    </w:p>
    <w:p w:rsidR="005D77CB" w:rsidRPr="00D964D0" w:rsidRDefault="005D77CB" w:rsidP="00D964D0">
      <w:pPr>
        <w:spacing w:line="360" w:lineRule="auto"/>
        <w:ind w:firstLine="709"/>
        <w:jc w:val="both"/>
        <w:rPr>
          <w:rFonts w:ascii="Times New Roman" w:hAnsi="Times New Roman" w:cs="Times New Roman"/>
          <w:sz w:val="24"/>
          <w:szCs w:val="24"/>
        </w:rPr>
      </w:pPr>
      <w:r w:rsidRPr="00D964D0">
        <w:rPr>
          <w:rFonts w:ascii="Times New Roman" w:hAnsi="Times New Roman" w:cs="Times New Roman"/>
          <w:sz w:val="24"/>
          <w:szCs w:val="24"/>
        </w:rPr>
        <w:t>E qui un primo dubbio consegue nell’avere quasi presunto in maniera assoluta, indipendentemente da un accertamento in concreto</w:t>
      </w:r>
      <w:r w:rsidR="003510CF">
        <w:rPr>
          <w:rFonts w:ascii="Times New Roman" w:hAnsi="Times New Roman" w:cs="Times New Roman"/>
          <w:sz w:val="24"/>
          <w:szCs w:val="24"/>
        </w:rPr>
        <w:t>,</w:t>
      </w:r>
      <w:r w:rsidRPr="00D964D0">
        <w:rPr>
          <w:rFonts w:ascii="Times New Roman" w:hAnsi="Times New Roman" w:cs="Times New Roman"/>
          <w:sz w:val="24"/>
          <w:szCs w:val="24"/>
        </w:rPr>
        <w:t xml:space="preserve"> l’esistenza dell’interesse transfrontaliero certo.</w:t>
      </w:r>
      <w:r w:rsidR="00707EDC">
        <w:rPr>
          <w:rFonts w:ascii="Times New Roman" w:hAnsi="Times New Roman" w:cs="Times New Roman"/>
          <w:sz w:val="24"/>
          <w:szCs w:val="24"/>
        </w:rPr>
        <w:t xml:space="preserve"> Ma si veda quanto detto sub d).</w:t>
      </w:r>
    </w:p>
    <w:p w:rsidR="004B7E6B" w:rsidRPr="00D964D0" w:rsidRDefault="005D77CB" w:rsidP="00D964D0">
      <w:pPr>
        <w:spacing w:line="360" w:lineRule="auto"/>
        <w:ind w:firstLine="709"/>
        <w:jc w:val="both"/>
        <w:rPr>
          <w:rFonts w:ascii="Times New Roman" w:hAnsi="Times New Roman" w:cs="Times New Roman"/>
          <w:sz w:val="24"/>
          <w:szCs w:val="24"/>
        </w:rPr>
      </w:pPr>
      <w:r w:rsidRPr="00D964D0">
        <w:rPr>
          <w:rFonts w:ascii="Times New Roman" w:hAnsi="Times New Roman" w:cs="Times New Roman"/>
          <w:sz w:val="24"/>
          <w:szCs w:val="24"/>
        </w:rPr>
        <w:t>c) C</w:t>
      </w:r>
      <w:r w:rsidR="00EA35E6" w:rsidRPr="00D964D0">
        <w:rPr>
          <w:rFonts w:ascii="Times New Roman" w:hAnsi="Times New Roman" w:cs="Times New Roman"/>
          <w:sz w:val="24"/>
          <w:szCs w:val="24"/>
        </w:rPr>
        <w:t>onseguente appl</w:t>
      </w:r>
      <w:r w:rsidR="00336B7C" w:rsidRPr="00D964D0">
        <w:rPr>
          <w:rFonts w:ascii="Times New Roman" w:hAnsi="Times New Roman" w:cs="Times New Roman"/>
          <w:sz w:val="24"/>
          <w:szCs w:val="24"/>
        </w:rPr>
        <w:t xml:space="preserve">icazione degli artt. 49 e 56 </w:t>
      </w:r>
      <w:r w:rsidRPr="00D964D0">
        <w:rPr>
          <w:rFonts w:ascii="Times New Roman" w:hAnsi="Times New Roman" w:cs="Times New Roman"/>
          <w:sz w:val="24"/>
          <w:szCs w:val="24"/>
        </w:rPr>
        <w:t xml:space="preserve">del </w:t>
      </w:r>
      <w:r w:rsidR="00336B7C" w:rsidRPr="00D964D0">
        <w:rPr>
          <w:rFonts w:ascii="Times New Roman" w:hAnsi="Times New Roman" w:cs="Times New Roman"/>
          <w:sz w:val="24"/>
          <w:szCs w:val="24"/>
        </w:rPr>
        <w:t>TF</w:t>
      </w:r>
      <w:r w:rsidR="00EA35E6" w:rsidRPr="00D964D0">
        <w:rPr>
          <w:rFonts w:ascii="Times New Roman" w:hAnsi="Times New Roman" w:cs="Times New Roman"/>
          <w:sz w:val="24"/>
          <w:szCs w:val="24"/>
        </w:rPr>
        <w:t>U</w:t>
      </w:r>
      <w:r w:rsidR="00336B7C" w:rsidRPr="00D964D0">
        <w:rPr>
          <w:rFonts w:ascii="Times New Roman" w:hAnsi="Times New Roman" w:cs="Times New Roman"/>
          <w:sz w:val="24"/>
          <w:szCs w:val="24"/>
        </w:rPr>
        <w:t>E</w:t>
      </w:r>
      <w:r w:rsidRPr="00D964D0">
        <w:rPr>
          <w:rFonts w:ascii="Times New Roman" w:hAnsi="Times New Roman" w:cs="Times New Roman"/>
          <w:sz w:val="24"/>
          <w:szCs w:val="24"/>
        </w:rPr>
        <w:t>.</w:t>
      </w:r>
    </w:p>
    <w:p w:rsidR="004B7E6B" w:rsidRPr="00D964D0" w:rsidRDefault="005D77CB" w:rsidP="00D964D0">
      <w:pPr>
        <w:spacing w:line="360" w:lineRule="auto"/>
        <w:ind w:firstLine="709"/>
        <w:jc w:val="both"/>
        <w:rPr>
          <w:rFonts w:ascii="Times New Roman" w:hAnsi="Times New Roman" w:cs="Times New Roman"/>
          <w:sz w:val="24"/>
          <w:szCs w:val="24"/>
        </w:rPr>
      </w:pPr>
      <w:r w:rsidRPr="00D964D0">
        <w:rPr>
          <w:rFonts w:ascii="Times New Roman" w:hAnsi="Times New Roman" w:cs="Times New Roman"/>
          <w:sz w:val="24"/>
          <w:szCs w:val="24"/>
        </w:rPr>
        <w:t>d) L'obbligo dell’</w:t>
      </w:r>
      <w:r w:rsidR="00EA35E6" w:rsidRPr="00D964D0">
        <w:rPr>
          <w:rFonts w:ascii="Times New Roman" w:hAnsi="Times New Roman" w:cs="Times New Roman"/>
          <w:sz w:val="24"/>
          <w:szCs w:val="24"/>
        </w:rPr>
        <w:t xml:space="preserve">evidenza pubblica discende, comunque, dall'applicazione dell'art. 12 della direttiva 2006/123, </w:t>
      </w:r>
      <w:r w:rsidRPr="00D964D0">
        <w:rPr>
          <w:rFonts w:ascii="Times New Roman" w:hAnsi="Times New Roman" w:cs="Times New Roman"/>
          <w:sz w:val="24"/>
          <w:szCs w:val="24"/>
        </w:rPr>
        <w:t>la quale</w:t>
      </w:r>
      <w:r w:rsidR="00EA35E6" w:rsidRPr="00D964D0">
        <w:rPr>
          <w:rFonts w:ascii="Times New Roman" w:hAnsi="Times New Roman" w:cs="Times New Roman"/>
          <w:sz w:val="24"/>
          <w:szCs w:val="24"/>
        </w:rPr>
        <w:t xml:space="preserve"> prescinde dal requisito dell'interesse transfrontaliero certo</w:t>
      </w:r>
      <w:r w:rsidRPr="00D964D0">
        <w:rPr>
          <w:rFonts w:ascii="Times New Roman" w:hAnsi="Times New Roman" w:cs="Times New Roman"/>
          <w:sz w:val="24"/>
          <w:szCs w:val="24"/>
        </w:rPr>
        <w:t>.</w:t>
      </w:r>
    </w:p>
    <w:p w:rsidR="00B46988" w:rsidRPr="00D964D0" w:rsidRDefault="005D77CB" w:rsidP="00D964D0">
      <w:pPr>
        <w:spacing w:line="360" w:lineRule="auto"/>
        <w:ind w:firstLine="709"/>
        <w:jc w:val="both"/>
        <w:rPr>
          <w:rFonts w:ascii="Times New Roman" w:hAnsi="Times New Roman" w:cs="Times New Roman"/>
          <w:sz w:val="24"/>
          <w:szCs w:val="24"/>
        </w:rPr>
      </w:pPr>
      <w:r w:rsidRPr="00D964D0">
        <w:rPr>
          <w:rFonts w:ascii="Times New Roman" w:hAnsi="Times New Roman" w:cs="Times New Roman"/>
          <w:sz w:val="24"/>
          <w:szCs w:val="24"/>
        </w:rPr>
        <w:t>e) L</w:t>
      </w:r>
      <w:r w:rsidR="00B46988" w:rsidRPr="00D964D0">
        <w:rPr>
          <w:rFonts w:ascii="Times New Roman" w:hAnsi="Times New Roman" w:cs="Times New Roman"/>
          <w:sz w:val="24"/>
          <w:szCs w:val="24"/>
        </w:rPr>
        <w:t xml:space="preserve">e concessioni demaniali con finalità turistico-ricreative rientrano nel campo di applicazione della detta direttiva, come già affermato dalla </w:t>
      </w:r>
      <w:r w:rsidRPr="00D964D0">
        <w:rPr>
          <w:rFonts w:ascii="Times New Roman" w:hAnsi="Times New Roman" w:cs="Times New Roman"/>
          <w:sz w:val="24"/>
          <w:szCs w:val="24"/>
        </w:rPr>
        <w:t>GGU</w:t>
      </w:r>
      <w:r w:rsidR="00CB0912" w:rsidRPr="00D964D0">
        <w:rPr>
          <w:rFonts w:ascii="Times New Roman" w:hAnsi="Times New Roman" w:cs="Times New Roman"/>
          <w:sz w:val="24"/>
          <w:szCs w:val="24"/>
        </w:rPr>
        <w:t xml:space="preserve">E </w:t>
      </w:r>
      <w:r w:rsidR="00B46988" w:rsidRPr="00D964D0">
        <w:rPr>
          <w:rFonts w:ascii="Times New Roman" w:hAnsi="Times New Roman" w:cs="Times New Roman"/>
          <w:sz w:val="24"/>
          <w:szCs w:val="24"/>
        </w:rPr>
        <w:t>con la sentenza Promoimpresa</w:t>
      </w:r>
      <w:r w:rsidRPr="00D964D0">
        <w:rPr>
          <w:rFonts w:ascii="Times New Roman" w:hAnsi="Times New Roman" w:cs="Times New Roman"/>
          <w:sz w:val="24"/>
          <w:szCs w:val="24"/>
        </w:rPr>
        <w:t>,</w:t>
      </w:r>
      <w:r w:rsidR="00B46988" w:rsidRPr="00D964D0">
        <w:rPr>
          <w:rFonts w:ascii="Times New Roman" w:hAnsi="Times New Roman" w:cs="Times New Roman"/>
          <w:sz w:val="24"/>
          <w:szCs w:val="24"/>
        </w:rPr>
        <w:t xml:space="preserve"> che ha demandato al giudice nazionale solo il compito di accertare il requisito della sca</w:t>
      </w:r>
      <w:r w:rsidR="00707EDC">
        <w:rPr>
          <w:rFonts w:ascii="Times New Roman" w:hAnsi="Times New Roman" w:cs="Times New Roman"/>
          <w:sz w:val="24"/>
          <w:szCs w:val="24"/>
        </w:rPr>
        <w:t>rsità della risorsa naturale.</w:t>
      </w:r>
    </w:p>
    <w:p w:rsidR="00EA35E6" w:rsidRPr="00D964D0" w:rsidRDefault="005D77CB" w:rsidP="00D964D0">
      <w:pPr>
        <w:spacing w:line="360" w:lineRule="auto"/>
        <w:ind w:firstLine="709"/>
        <w:jc w:val="both"/>
        <w:rPr>
          <w:rFonts w:ascii="Times New Roman" w:hAnsi="Times New Roman" w:cs="Times New Roman"/>
          <w:sz w:val="24"/>
          <w:szCs w:val="24"/>
        </w:rPr>
      </w:pPr>
      <w:r w:rsidRPr="00D964D0">
        <w:rPr>
          <w:rFonts w:ascii="Times New Roman" w:hAnsi="Times New Roman" w:cs="Times New Roman"/>
          <w:sz w:val="24"/>
          <w:szCs w:val="24"/>
        </w:rPr>
        <w:t>f) L</w:t>
      </w:r>
      <w:r w:rsidR="00BF6C40" w:rsidRPr="00D964D0">
        <w:rPr>
          <w:rFonts w:ascii="Times New Roman" w:hAnsi="Times New Roman" w:cs="Times New Roman"/>
          <w:sz w:val="24"/>
          <w:szCs w:val="24"/>
        </w:rPr>
        <w:t>e concessioni di beni demaniali per finalità turistico-ricreative rappresentano autorizzazioni di servizi ai sensi dell'art. 12 della direttiva c.d. servizi, come tali sott</w:t>
      </w:r>
      <w:r w:rsidRPr="00D964D0">
        <w:rPr>
          <w:rFonts w:ascii="Times New Roman" w:hAnsi="Times New Roman" w:cs="Times New Roman"/>
          <w:sz w:val="24"/>
          <w:szCs w:val="24"/>
        </w:rPr>
        <w:t>oposte all'obbligo di gara.</w:t>
      </w:r>
    </w:p>
    <w:p w:rsidR="005D77CB" w:rsidRPr="00D964D0" w:rsidRDefault="005D77CB" w:rsidP="00D964D0">
      <w:pPr>
        <w:spacing w:line="360" w:lineRule="auto"/>
        <w:ind w:firstLine="709"/>
        <w:jc w:val="both"/>
        <w:rPr>
          <w:rFonts w:ascii="Times New Roman" w:hAnsi="Times New Roman" w:cs="Times New Roman"/>
          <w:sz w:val="24"/>
          <w:szCs w:val="24"/>
        </w:rPr>
      </w:pPr>
      <w:r w:rsidRPr="00D964D0">
        <w:rPr>
          <w:rFonts w:ascii="Times New Roman" w:hAnsi="Times New Roman" w:cs="Times New Roman"/>
          <w:sz w:val="24"/>
          <w:szCs w:val="24"/>
        </w:rPr>
        <w:t>Il che è stat</w:t>
      </w:r>
      <w:r w:rsidR="00F146FE" w:rsidRPr="00D964D0">
        <w:rPr>
          <w:rFonts w:ascii="Times New Roman" w:hAnsi="Times New Roman" w:cs="Times New Roman"/>
          <w:sz w:val="24"/>
          <w:szCs w:val="24"/>
        </w:rPr>
        <w:t>o affermato dalla sentenza Promoi</w:t>
      </w:r>
      <w:r w:rsidRPr="00D964D0">
        <w:rPr>
          <w:rFonts w:ascii="Times New Roman" w:hAnsi="Times New Roman" w:cs="Times New Roman"/>
          <w:sz w:val="24"/>
          <w:szCs w:val="24"/>
        </w:rPr>
        <w:t>mpresa.</w:t>
      </w:r>
    </w:p>
    <w:p w:rsidR="00BF6C40" w:rsidRPr="00D964D0" w:rsidRDefault="005D77CB" w:rsidP="00D964D0">
      <w:pPr>
        <w:spacing w:line="360" w:lineRule="auto"/>
        <w:ind w:firstLine="709"/>
        <w:jc w:val="both"/>
        <w:rPr>
          <w:rFonts w:ascii="Times New Roman" w:hAnsi="Times New Roman" w:cs="Times New Roman"/>
          <w:sz w:val="24"/>
          <w:szCs w:val="24"/>
        </w:rPr>
      </w:pPr>
      <w:r w:rsidRPr="00D964D0">
        <w:rPr>
          <w:rFonts w:ascii="Times New Roman" w:hAnsi="Times New Roman" w:cs="Times New Roman"/>
          <w:sz w:val="24"/>
          <w:szCs w:val="24"/>
        </w:rPr>
        <w:t>g) N</w:t>
      </w:r>
      <w:r w:rsidR="00BF6C40" w:rsidRPr="00D964D0">
        <w:rPr>
          <w:rFonts w:ascii="Times New Roman" w:hAnsi="Times New Roman" w:cs="Times New Roman"/>
          <w:sz w:val="24"/>
          <w:szCs w:val="24"/>
        </w:rPr>
        <w:t>el settore delle concessioni demaniali con finalità turistico-ricreative, le risorse naturali a disposizione di nuovi potenziali operatori economici sono scarse, in alcuni casi addirittura inesistenti, perché è stato già raggiunto il - o si è molto vicini al - tetto massimo di aree suscettibil</w:t>
      </w:r>
      <w:r w:rsidRPr="00D964D0">
        <w:rPr>
          <w:rFonts w:ascii="Times New Roman" w:hAnsi="Times New Roman" w:cs="Times New Roman"/>
          <w:sz w:val="24"/>
          <w:szCs w:val="24"/>
        </w:rPr>
        <w:t>e di essere date in concessione.</w:t>
      </w:r>
    </w:p>
    <w:p w:rsidR="005D77CB" w:rsidRPr="00D964D0" w:rsidRDefault="005D77CB" w:rsidP="00D964D0">
      <w:pPr>
        <w:spacing w:line="360" w:lineRule="auto"/>
        <w:ind w:firstLine="709"/>
        <w:jc w:val="both"/>
        <w:rPr>
          <w:rFonts w:ascii="Times New Roman" w:hAnsi="Times New Roman" w:cs="Times New Roman"/>
          <w:sz w:val="24"/>
          <w:szCs w:val="24"/>
        </w:rPr>
      </w:pPr>
      <w:r w:rsidRPr="00D964D0">
        <w:rPr>
          <w:rFonts w:ascii="Times New Roman" w:hAnsi="Times New Roman" w:cs="Times New Roman"/>
          <w:sz w:val="24"/>
          <w:szCs w:val="24"/>
        </w:rPr>
        <w:t xml:space="preserve">Anche qui un dubbio può </w:t>
      </w:r>
      <w:r w:rsidR="00F146FE" w:rsidRPr="00D964D0">
        <w:rPr>
          <w:rFonts w:ascii="Times New Roman" w:hAnsi="Times New Roman" w:cs="Times New Roman"/>
          <w:sz w:val="24"/>
          <w:szCs w:val="24"/>
        </w:rPr>
        <w:t>conseguire</w:t>
      </w:r>
      <w:r w:rsidRPr="00D964D0">
        <w:rPr>
          <w:rFonts w:ascii="Times New Roman" w:hAnsi="Times New Roman" w:cs="Times New Roman"/>
          <w:sz w:val="24"/>
          <w:szCs w:val="24"/>
        </w:rPr>
        <w:t xml:space="preserve"> dall’avere presunto il </w:t>
      </w:r>
      <w:r w:rsidR="00F146FE" w:rsidRPr="00D964D0">
        <w:rPr>
          <w:rFonts w:ascii="Times New Roman" w:hAnsi="Times New Roman" w:cs="Times New Roman"/>
          <w:sz w:val="24"/>
          <w:szCs w:val="24"/>
        </w:rPr>
        <w:t xml:space="preserve">requisito della scarsità delle risorse, a prescindere da situazioni </w:t>
      </w:r>
      <w:r w:rsidR="001200F6">
        <w:rPr>
          <w:rFonts w:ascii="Times New Roman" w:hAnsi="Times New Roman" w:cs="Times New Roman"/>
          <w:sz w:val="24"/>
          <w:szCs w:val="24"/>
        </w:rPr>
        <w:t xml:space="preserve">concrete </w:t>
      </w:r>
      <w:r w:rsidR="00F146FE" w:rsidRPr="00D964D0">
        <w:rPr>
          <w:rFonts w:ascii="Times New Roman" w:hAnsi="Times New Roman" w:cs="Times New Roman"/>
          <w:sz w:val="24"/>
          <w:szCs w:val="24"/>
        </w:rPr>
        <w:t>in cui, ad esempio, l’offerta potrebbe essere superiore alla domanda e quindi non comportare siffatto requisito.</w:t>
      </w:r>
    </w:p>
    <w:p w:rsidR="00BF6C40" w:rsidRPr="00D964D0" w:rsidRDefault="00F146FE" w:rsidP="00D964D0">
      <w:pPr>
        <w:spacing w:line="360" w:lineRule="auto"/>
        <w:ind w:firstLine="709"/>
        <w:jc w:val="both"/>
        <w:rPr>
          <w:rFonts w:ascii="Times New Roman" w:hAnsi="Times New Roman" w:cs="Times New Roman"/>
          <w:sz w:val="24"/>
          <w:szCs w:val="24"/>
        </w:rPr>
      </w:pPr>
      <w:r w:rsidRPr="00D964D0">
        <w:rPr>
          <w:rFonts w:ascii="Times New Roman" w:hAnsi="Times New Roman" w:cs="Times New Roman"/>
          <w:sz w:val="24"/>
          <w:szCs w:val="24"/>
        </w:rPr>
        <w:t>h) L</w:t>
      </w:r>
      <w:r w:rsidR="00BF6C40" w:rsidRPr="00D964D0">
        <w:rPr>
          <w:rFonts w:ascii="Times New Roman" w:hAnsi="Times New Roman" w:cs="Times New Roman"/>
          <w:sz w:val="24"/>
          <w:szCs w:val="24"/>
        </w:rPr>
        <w:t xml:space="preserve">’art. 12 della detta direttiva contiene una normativa </w:t>
      </w:r>
      <w:r w:rsidR="00BF6C40" w:rsidRPr="00D964D0">
        <w:rPr>
          <w:rFonts w:ascii="Times New Roman" w:hAnsi="Times New Roman" w:cs="Times New Roman"/>
          <w:i/>
          <w:sz w:val="24"/>
          <w:szCs w:val="24"/>
        </w:rPr>
        <w:t>self-executing</w:t>
      </w:r>
      <w:r w:rsidR="00CB0912" w:rsidRPr="00D964D0">
        <w:rPr>
          <w:rFonts w:ascii="Times New Roman" w:hAnsi="Times New Roman" w:cs="Times New Roman"/>
          <w:sz w:val="24"/>
          <w:szCs w:val="24"/>
        </w:rPr>
        <w:t xml:space="preserve">, come affermato già dalla CGUE con la sentenza Promoimpresa. </w:t>
      </w:r>
      <w:r w:rsidR="0063572D" w:rsidRPr="00D964D0">
        <w:rPr>
          <w:rFonts w:ascii="Times New Roman" w:hAnsi="Times New Roman" w:cs="Times New Roman"/>
          <w:sz w:val="24"/>
          <w:szCs w:val="24"/>
        </w:rPr>
        <w:t>Esso è applicabile al rilascio e al rinnovo delle concessioni demaniali marittime, con conseguente incompatibilità comunitaria, anche sotto tale profilo, della disciplina nazionale che prevede la proroga automatica e generalizzata d</w:t>
      </w:r>
      <w:r w:rsidRPr="00D964D0">
        <w:rPr>
          <w:rFonts w:ascii="Times New Roman" w:hAnsi="Times New Roman" w:cs="Times New Roman"/>
          <w:sz w:val="24"/>
          <w:szCs w:val="24"/>
        </w:rPr>
        <w:t>elle concessioni già rilasciate.</w:t>
      </w:r>
    </w:p>
    <w:p w:rsidR="00CB0912" w:rsidRPr="00D964D0" w:rsidRDefault="00F146FE" w:rsidP="00D964D0">
      <w:pPr>
        <w:spacing w:line="360" w:lineRule="auto"/>
        <w:ind w:firstLine="709"/>
        <w:jc w:val="both"/>
        <w:rPr>
          <w:rFonts w:ascii="Times New Roman" w:hAnsi="Times New Roman" w:cs="Times New Roman"/>
          <w:sz w:val="24"/>
          <w:szCs w:val="24"/>
        </w:rPr>
      </w:pPr>
      <w:r w:rsidRPr="00D964D0">
        <w:rPr>
          <w:rFonts w:ascii="Times New Roman" w:hAnsi="Times New Roman" w:cs="Times New Roman"/>
          <w:sz w:val="24"/>
          <w:szCs w:val="24"/>
        </w:rPr>
        <w:t>i) L’</w:t>
      </w:r>
      <w:r w:rsidR="00CB0912" w:rsidRPr="00D964D0">
        <w:rPr>
          <w:rFonts w:ascii="Times New Roman" w:hAnsi="Times New Roman" w:cs="Times New Roman"/>
          <w:sz w:val="24"/>
          <w:szCs w:val="24"/>
        </w:rPr>
        <w:t>'obbligo di non applicar</w:t>
      </w:r>
      <w:r w:rsidR="00C452E3" w:rsidRPr="00D964D0">
        <w:rPr>
          <w:rFonts w:ascii="Times New Roman" w:hAnsi="Times New Roman" w:cs="Times New Roman"/>
          <w:sz w:val="24"/>
          <w:szCs w:val="24"/>
        </w:rPr>
        <w:t>e la legge anticomunitaria grava</w:t>
      </w:r>
      <w:r w:rsidR="00CB0912" w:rsidRPr="00D964D0">
        <w:rPr>
          <w:rFonts w:ascii="Times New Roman" w:hAnsi="Times New Roman" w:cs="Times New Roman"/>
          <w:sz w:val="24"/>
          <w:szCs w:val="24"/>
        </w:rPr>
        <w:t xml:space="preserve"> in capo all'apparato amministrativo, anche nei casi in cui il contrasto riguardi una direttiva </w:t>
      </w:r>
      <w:r w:rsidR="00CB0912" w:rsidRPr="00D964D0">
        <w:rPr>
          <w:rFonts w:ascii="Times New Roman" w:hAnsi="Times New Roman" w:cs="Times New Roman"/>
          <w:i/>
          <w:sz w:val="24"/>
          <w:szCs w:val="24"/>
        </w:rPr>
        <w:t>self-executing</w:t>
      </w:r>
      <w:r w:rsidRPr="00D964D0">
        <w:rPr>
          <w:rFonts w:ascii="Times New Roman" w:hAnsi="Times New Roman" w:cs="Times New Roman"/>
          <w:sz w:val="24"/>
          <w:szCs w:val="24"/>
        </w:rPr>
        <w:t>.</w:t>
      </w:r>
    </w:p>
    <w:p w:rsidR="00F146FE" w:rsidRPr="00D964D0" w:rsidRDefault="00F146FE" w:rsidP="00D964D0">
      <w:pPr>
        <w:spacing w:line="360" w:lineRule="auto"/>
        <w:ind w:firstLine="709"/>
        <w:jc w:val="both"/>
        <w:rPr>
          <w:rFonts w:ascii="Times New Roman" w:hAnsi="Times New Roman" w:cs="Times New Roman"/>
          <w:sz w:val="24"/>
          <w:szCs w:val="24"/>
        </w:rPr>
      </w:pPr>
      <w:r w:rsidRPr="00D964D0">
        <w:rPr>
          <w:rFonts w:ascii="Times New Roman" w:hAnsi="Times New Roman" w:cs="Times New Roman"/>
          <w:sz w:val="24"/>
          <w:szCs w:val="24"/>
        </w:rPr>
        <w:t>Il che costituisce principio pacifico nella giurisprudenza della CGUE a partire dagli anni ’80, e quindi da circa quaranta anni</w:t>
      </w:r>
      <w:r w:rsidR="00D964D0">
        <w:rPr>
          <w:rStyle w:val="Rimandonotaapidipagina"/>
          <w:rFonts w:ascii="Times New Roman" w:hAnsi="Times New Roman" w:cs="Times New Roman"/>
          <w:sz w:val="24"/>
          <w:szCs w:val="24"/>
        </w:rPr>
        <w:footnoteReference w:id="6"/>
      </w:r>
      <w:r w:rsidRPr="00D964D0">
        <w:rPr>
          <w:rFonts w:ascii="Times New Roman" w:hAnsi="Times New Roman" w:cs="Times New Roman"/>
          <w:sz w:val="24"/>
          <w:szCs w:val="24"/>
        </w:rPr>
        <w:t>.</w:t>
      </w:r>
      <w:r w:rsidR="00517F7A">
        <w:rPr>
          <w:rFonts w:ascii="Times New Roman" w:hAnsi="Times New Roman" w:cs="Times New Roman"/>
          <w:sz w:val="24"/>
          <w:szCs w:val="24"/>
        </w:rPr>
        <w:t xml:space="preserve"> E anche della Corte Costituzionale, a</w:t>
      </w:r>
      <w:r w:rsidR="00517F7A" w:rsidRPr="00517F7A">
        <w:rPr>
          <w:rFonts w:ascii="Times New Roman" w:hAnsi="Times New Roman" w:cs="Times New Roman"/>
          <w:sz w:val="24"/>
          <w:szCs w:val="24"/>
        </w:rPr>
        <w:t xml:space="preserve"> partire dalla sentenza </w:t>
      </w:r>
      <w:r w:rsidR="00517F7A">
        <w:rPr>
          <w:rFonts w:ascii="Times New Roman" w:hAnsi="Times New Roman" w:cs="Times New Roman"/>
          <w:sz w:val="24"/>
          <w:szCs w:val="24"/>
        </w:rPr>
        <w:t xml:space="preserve">8 giugno </w:t>
      </w:r>
      <w:r w:rsidR="00517F7A" w:rsidRPr="00517F7A">
        <w:rPr>
          <w:rFonts w:ascii="Times New Roman" w:hAnsi="Times New Roman" w:cs="Times New Roman"/>
          <w:sz w:val="24"/>
          <w:szCs w:val="24"/>
        </w:rPr>
        <w:t>1984</w:t>
      </w:r>
      <w:r w:rsidR="00517F7A">
        <w:rPr>
          <w:rFonts w:ascii="Times New Roman" w:hAnsi="Times New Roman" w:cs="Times New Roman"/>
          <w:sz w:val="24"/>
          <w:szCs w:val="24"/>
        </w:rPr>
        <w:t>, n. 170</w:t>
      </w:r>
      <w:r w:rsidR="00517F7A" w:rsidRPr="00517F7A">
        <w:rPr>
          <w:rFonts w:ascii="Times New Roman" w:hAnsi="Times New Roman" w:cs="Times New Roman"/>
          <w:sz w:val="24"/>
          <w:szCs w:val="24"/>
        </w:rPr>
        <w:t xml:space="preserve"> - costantemente ripresa da successive sentenze - </w:t>
      </w:r>
      <w:r w:rsidR="00517F7A">
        <w:rPr>
          <w:rFonts w:ascii="Times New Roman" w:hAnsi="Times New Roman" w:cs="Times New Roman"/>
          <w:sz w:val="24"/>
          <w:szCs w:val="24"/>
        </w:rPr>
        <w:t xml:space="preserve">secondo cui </w:t>
      </w:r>
      <w:r w:rsidR="00517F7A" w:rsidRPr="00517F7A">
        <w:rPr>
          <w:rFonts w:ascii="Times New Roman" w:hAnsi="Times New Roman" w:cs="Times New Roman"/>
          <w:sz w:val="24"/>
          <w:szCs w:val="24"/>
        </w:rPr>
        <w:t xml:space="preserve">il compito di </w:t>
      </w:r>
      <w:r w:rsidR="00517F7A">
        <w:rPr>
          <w:rFonts w:ascii="Times New Roman" w:hAnsi="Times New Roman" w:cs="Times New Roman"/>
          <w:sz w:val="24"/>
          <w:szCs w:val="24"/>
        </w:rPr>
        <w:t>far</w:t>
      </w:r>
      <w:r w:rsidR="00517F7A" w:rsidRPr="00517F7A">
        <w:rPr>
          <w:rFonts w:ascii="Times New Roman" w:hAnsi="Times New Roman" w:cs="Times New Roman"/>
          <w:sz w:val="24"/>
          <w:szCs w:val="24"/>
        </w:rPr>
        <w:t xml:space="preserve"> prevalere il diritto comunitario su</w:t>
      </w:r>
      <w:r w:rsidR="00517F7A">
        <w:rPr>
          <w:rFonts w:ascii="Times New Roman" w:hAnsi="Times New Roman" w:cs="Times New Roman"/>
          <w:sz w:val="24"/>
          <w:szCs w:val="24"/>
        </w:rPr>
        <w:t>lle leggi interne non le compete siccome</w:t>
      </w:r>
      <w:r w:rsidR="00517F7A" w:rsidRPr="00517F7A">
        <w:rPr>
          <w:rFonts w:ascii="Times New Roman" w:hAnsi="Times New Roman" w:cs="Times New Roman"/>
          <w:sz w:val="24"/>
          <w:szCs w:val="24"/>
        </w:rPr>
        <w:t xml:space="preserve"> compito del giudice comune.</w:t>
      </w:r>
    </w:p>
    <w:p w:rsidR="00BA3397" w:rsidRPr="00D964D0" w:rsidRDefault="00F146FE" w:rsidP="00D964D0">
      <w:pPr>
        <w:spacing w:line="360" w:lineRule="auto"/>
        <w:ind w:firstLine="709"/>
        <w:jc w:val="both"/>
        <w:rPr>
          <w:rFonts w:ascii="Times New Roman" w:hAnsi="Times New Roman" w:cs="Times New Roman"/>
          <w:sz w:val="24"/>
          <w:szCs w:val="24"/>
        </w:rPr>
      </w:pPr>
      <w:r w:rsidRPr="00D964D0">
        <w:rPr>
          <w:rFonts w:ascii="Times New Roman" w:hAnsi="Times New Roman" w:cs="Times New Roman"/>
          <w:sz w:val="24"/>
          <w:szCs w:val="24"/>
        </w:rPr>
        <w:t>l) L</w:t>
      </w:r>
      <w:r w:rsidR="00BA3397" w:rsidRPr="00D964D0">
        <w:rPr>
          <w:rFonts w:ascii="Times New Roman" w:hAnsi="Times New Roman" w:cs="Times New Roman"/>
          <w:sz w:val="24"/>
          <w:szCs w:val="24"/>
        </w:rPr>
        <w:t>’intervallo temporale per l'operatività degli effetti della decisione della Plenaria può essere congruamente individuato al 31 dicembre 2023. Scaduto tale termine, tutte le concessioni demaniali in essere dovranno considerarsi prive di effetto, indipendentemente da se via sia - o meno - un soggett</w:t>
      </w:r>
      <w:r w:rsidR="004B252B" w:rsidRPr="00D964D0">
        <w:rPr>
          <w:rFonts w:ascii="Times New Roman" w:hAnsi="Times New Roman" w:cs="Times New Roman"/>
          <w:sz w:val="24"/>
          <w:szCs w:val="24"/>
        </w:rPr>
        <w:t>o subentrante nella concessione.</w:t>
      </w:r>
    </w:p>
    <w:p w:rsidR="00D1210F" w:rsidRDefault="00733C02" w:rsidP="00D964D0">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E qui la p</w:t>
      </w:r>
      <w:r w:rsidR="00F146FE" w:rsidRPr="00D964D0">
        <w:rPr>
          <w:rFonts w:ascii="Times New Roman" w:hAnsi="Times New Roman" w:cs="Times New Roman"/>
          <w:sz w:val="24"/>
          <w:szCs w:val="24"/>
        </w:rPr>
        <w:t xml:space="preserve">lenaria, con la rimodulazione degli effetti dell’annullamento </w:t>
      </w:r>
      <w:r>
        <w:rPr>
          <w:rFonts w:ascii="Times New Roman" w:hAnsi="Times New Roman" w:cs="Times New Roman"/>
          <w:sz w:val="24"/>
          <w:szCs w:val="24"/>
        </w:rPr>
        <w:t>giurisdizionale</w:t>
      </w:r>
      <w:r w:rsidR="00707EDC">
        <w:rPr>
          <w:rFonts w:ascii="Times New Roman" w:hAnsi="Times New Roman" w:cs="Times New Roman"/>
          <w:sz w:val="24"/>
          <w:szCs w:val="24"/>
        </w:rPr>
        <w:t>,</w:t>
      </w:r>
      <w:r>
        <w:rPr>
          <w:rFonts w:ascii="Times New Roman" w:hAnsi="Times New Roman" w:cs="Times New Roman"/>
          <w:sz w:val="24"/>
          <w:szCs w:val="24"/>
        </w:rPr>
        <w:t xml:space="preserve"> </w:t>
      </w:r>
      <w:r w:rsidR="00F146FE" w:rsidRPr="00D964D0">
        <w:rPr>
          <w:rFonts w:ascii="Times New Roman" w:hAnsi="Times New Roman" w:cs="Times New Roman"/>
          <w:sz w:val="24"/>
          <w:szCs w:val="24"/>
        </w:rPr>
        <w:t>risolve</w:t>
      </w:r>
      <w:r w:rsidR="002350F7">
        <w:rPr>
          <w:rFonts w:ascii="Times New Roman" w:hAnsi="Times New Roman" w:cs="Times New Roman"/>
          <w:sz w:val="24"/>
          <w:szCs w:val="24"/>
        </w:rPr>
        <w:t xml:space="preserve"> - anche se non lo esprime - innanzitutto un problema </w:t>
      </w:r>
      <w:r w:rsidR="00F146FE" w:rsidRPr="00D964D0">
        <w:rPr>
          <w:rFonts w:ascii="Times New Roman" w:hAnsi="Times New Roman" w:cs="Times New Roman"/>
          <w:sz w:val="24"/>
          <w:szCs w:val="24"/>
        </w:rPr>
        <w:t>pratico di non poca importanza.</w:t>
      </w:r>
      <w:r>
        <w:rPr>
          <w:rFonts w:ascii="Times New Roman" w:hAnsi="Times New Roman" w:cs="Times New Roman"/>
          <w:sz w:val="24"/>
          <w:szCs w:val="24"/>
        </w:rPr>
        <w:t xml:space="preserve"> </w:t>
      </w:r>
      <w:r w:rsidR="002350F7">
        <w:rPr>
          <w:rFonts w:ascii="Times New Roman" w:hAnsi="Times New Roman" w:cs="Times New Roman"/>
          <w:sz w:val="24"/>
          <w:szCs w:val="24"/>
        </w:rPr>
        <w:t>Q</w:t>
      </w:r>
      <w:r>
        <w:rPr>
          <w:rFonts w:ascii="Times New Roman" w:hAnsi="Times New Roman" w:cs="Times New Roman"/>
          <w:sz w:val="24"/>
          <w:szCs w:val="24"/>
        </w:rPr>
        <w:t xml:space="preserve">uello della rilevanza penale dell’occupazione abusiva del demanio marittimo, punito dall’art. 1161, comma primo, del cod. nav. con l’arresto fino a sei mesi o con l’ammenda fino a euro 516, sempre che il fatto non costituisca un più grave reato. Annullando con effetti </w:t>
      </w:r>
      <w:r w:rsidRPr="00733C02">
        <w:rPr>
          <w:rFonts w:ascii="Times New Roman" w:hAnsi="Times New Roman" w:cs="Times New Roman"/>
          <w:i/>
          <w:sz w:val="24"/>
          <w:szCs w:val="24"/>
        </w:rPr>
        <w:t>ex tunc</w:t>
      </w:r>
      <w:r>
        <w:rPr>
          <w:rFonts w:ascii="Times New Roman" w:hAnsi="Times New Roman" w:cs="Times New Roman"/>
          <w:sz w:val="24"/>
          <w:szCs w:val="24"/>
        </w:rPr>
        <w:t xml:space="preserve"> le concessioni demaniali prorogate si sarebbe immediatamente verificata la fattispecie di reato in caso di </w:t>
      </w:r>
      <w:r w:rsidR="00D1210F">
        <w:rPr>
          <w:rFonts w:ascii="Times New Roman" w:hAnsi="Times New Roman" w:cs="Times New Roman"/>
          <w:sz w:val="24"/>
          <w:szCs w:val="24"/>
        </w:rPr>
        <w:t>continuazione nell’occupazione.</w:t>
      </w:r>
    </w:p>
    <w:p w:rsidR="00F146FE" w:rsidRDefault="00707EDC" w:rsidP="00D964D0">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Poi </w:t>
      </w:r>
      <w:r w:rsidR="002350F7">
        <w:rPr>
          <w:rFonts w:ascii="Times New Roman" w:hAnsi="Times New Roman" w:cs="Times New Roman"/>
          <w:sz w:val="24"/>
          <w:szCs w:val="24"/>
        </w:rPr>
        <w:t>l’ulteriore problema</w:t>
      </w:r>
      <w:r>
        <w:rPr>
          <w:rFonts w:ascii="Times New Roman" w:hAnsi="Times New Roman" w:cs="Times New Roman"/>
          <w:sz w:val="24"/>
          <w:szCs w:val="24"/>
        </w:rPr>
        <w:t xml:space="preserve"> della previsione di </w:t>
      </w:r>
      <w:r w:rsidR="00733C02">
        <w:rPr>
          <w:rFonts w:ascii="Times New Roman" w:hAnsi="Times New Roman" w:cs="Times New Roman"/>
          <w:sz w:val="24"/>
          <w:szCs w:val="24"/>
        </w:rPr>
        <w:t xml:space="preserve">una </w:t>
      </w:r>
      <w:r w:rsidR="00733C02" w:rsidRPr="00733C02">
        <w:rPr>
          <w:rFonts w:ascii="Times New Roman" w:hAnsi="Times New Roman" w:cs="Times New Roman"/>
          <w:i/>
          <w:sz w:val="24"/>
          <w:szCs w:val="24"/>
        </w:rPr>
        <w:t>deadline</w:t>
      </w:r>
      <w:r w:rsidR="00733C02">
        <w:rPr>
          <w:rFonts w:ascii="Times New Roman" w:hAnsi="Times New Roman" w:cs="Times New Roman"/>
          <w:sz w:val="24"/>
          <w:szCs w:val="24"/>
        </w:rPr>
        <w:t xml:space="preserve"> per consentire nel </w:t>
      </w:r>
      <w:r w:rsidR="00D05778">
        <w:rPr>
          <w:rFonts w:ascii="Times New Roman" w:hAnsi="Times New Roman" w:cs="Times New Roman"/>
          <w:sz w:val="24"/>
          <w:szCs w:val="24"/>
        </w:rPr>
        <w:t>frattempo lo</w:t>
      </w:r>
      <w:r w:rsidR="00733C02">
        <w:rPr>
          <w:rFonts w:ascii="Times New Roman" w:hAnsi="Times New Roman" w:cs="Times New Roman"/>
          <w:sz w:val="24"/>
          <w:szCs w:val="24"/>
        </w:rPr>
        <w:t xml:space="preserve"> svolgimento delle gare.</w:t>
      </w:r>
    </w:p>
    <w:p w:rsidR="00D05778" w:rsidRPr="00D964D0" w:rsidRDefault="00D05778" w:rsidP="00D964D0">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Per il resto l’adunanza plenaria non ha fatto altro che ribadire principi affermati </w:t>
      </w:r>
      <w:r w:rsidR="00517F7A">
        <w:rPr>
          <w:rFonts w:ascii="Times New Roman" w:hAnsi="Times New Roman" w:cs="Times New Roman"/>
          <w:sz w:val="24"/>
          <w:szCs w:val="24"/>
        </w:rPr>
        <w:t xml:space="preserve">da tempo </w:t>
      </w:r>
      <w:r>
        <w:rPr>
          <w:rFonts w:ascii="Times New Roman" w:hAnsi="Times New Roman" w:cs="Times New Roman"/>
          <w:sz w:val="24"/>
          <w:szCs w:val="24"/>
        </w:rPr>
        <w:t>d</w:t>
      </w:r>
      <w:r w:rsidR="00707EDC">
        <w:rPr>
          <w:rFonts w:ascii="Times New Roman" w:hAnsi="Times New Roman" w:cs="Times New Roman"/>
          <w:sz w:val="24"/>
          <w:szCs w:val="24"/>
        </w:rPr>
        <w:t>alla giurisprudenza della CGUE</w:t>
      </w:r>
      <w:r w:rsidR="002350F7">
        <w:rPr>
          <w:rFonts w:ascii="Times New Roman" w:hAnsi="Times New Roman" w:cs="Times New Roman"/>
          <w:sz w:val="24"/>
          <w:szCs w:val="24"/>
        </w:rPr>
        <w:t>, della Corte Costituzionale</w:t>
      </w:r>
      <w:r w:rsidR="00707EDC">
        <w:rPr>
          <w:rFonts w:ascii="Times New Roman" w:hAnsi="Times New Roman" w:cs="Times New Roman"/>
          <w:sz w:val="24"/>
          <w:szCs w:val="24"/>
        </w:rPr>
        <w:t xml:space="preserve"> e</w:t>
      </w:r>
      <w:r>
        <w:rPr>
          <w:rFonts w:ascii="Times New Roman" w:hAnsi="Times New Roman" w:cs="Times New Roman"/>
          <w:sz w:val="24"/>
          <w:szCs w:val="24"/>
        </w:rPr>
        <w:t xml:space="preserve"> del giudice amministrativo.</w:t>
      </w:r>
    </w:p>
    <w:p w:rsidR="00F146FE" w:rsidRPr="00D964D0" w:rsidRDefault="00F146FE" w:rsidP="00D964D0">
      <w:pPr>
        <w:spacing w:line="360" w:lineRule="auto"/>
        <w:ind w:firstLine="709"/>
        <w:jc w:val="both"/>
        <w:rPr>
          <w:rFonts w:ascii="Times New Roman" w:hAnsi="Times New Roman" w:cs="Times New Roman"/>
          <w:sz w:val="24"/>
          <w:szCs w:val="24"/>
        </w:rPr>
      </w:pPr>
    </w:p>
    <w:p w:rsidR="00F146FE" w:rsidRPr="004B205E" w:rsidRDefault="00733C02" w:rsidP="00D964D0">
      <w:pPr>
        <w:spacing w:line="360" w:lineRule="auto"/>
        <w:ind w:firstLine="709"/>
        <w:jc w:val="both"/>
        <w:rPr>
          <w:rFonts w:ascii="Times New Roman" w:hAnsi="Times New Roman" w:cs="Times New Roman"/>
          <w:b/>
          <w:sz w:val="24"/>
          <w:szCs w:val="24"/>
        </w:rPr>
      </w:pPr>
      <w:r>
        <w:rPr>
          <w:rFonts w:ascii="Times New Roman" w:hAnsi="Times New Roman" w:cs="Times New Roman"/>
          <w:b/>
          <w:sz w:val="24"/>
          <w:szCs w:val="24"/>
        </w:rPr>
        <w:t xml:space="preserve">4. </w:t>
      </w:r>
      <w:r w:rsidR="004B205E" w:rsidRPr="004B205E">
        <w:rPr>
          <w:rFonts w:ascii="Times New Roman" w:hAnsi="Times New Roman" w:cs="Times New Roman"/>
          <w:b/>
          <w:sz w:val="24"/>
          <w:szCs w:val="24"/>
        </w:rPr>
        <w:t>La nuova chiamata in causa della CGUE.</w:t>
      </w:r>
    </w:p>
    <w:p w:rsidR="004B252B" w:rsidRDefault="004B205E" w:rsidP="00D964D0">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Il Tar Puglia, sezione staccata di Lecce, con l’ordinanza 11 maggio 2022, n. 743, </w:t>
      </w:r>
      <w:r w:rsidR="00797C6E">
        <w:rPr>
          <w:rFonts w:ascii="Times New Roman" w:hAnsi="Times New Roman" w:cs="Times New Roman"/>
          <w:sz w:val="24"/>
          <w:szCs w:val="24"/>
        </w:rPr>
        <w:t>non concorda</w:t>
      </w:r>
      <w:r>
        <w:rPr>
          <w:rFonts w:ascii="Times New Roman" w:hAnsi="Times New Roman" w:cs="Times New Roman"/>
          <w:sz w:val="24"/>
          <w:szCs w:val="24"/>
        </w:rPr>
        <w:t xml:space="preserve"> con il percorso argomentativo e le con</w:t>
      </w:r>
      <w:r w:rsidR="00797C6E">
        <w:rPr>
          <w:rFonts w:ascii="Times New Roman" w:hAnsi="Times New Roman" w:cs="Times New Roman"/>
          <w:sz w:val="24"/>
          <w:szCs w:val="24"/>
        </w:rPr>
        <w:t xml:space="preserve">clusioni dell’adunanza plenaria, e </w:t>
      </w:r>
      <w:r w:rsidR="00797C6E" w:rsidRPr="00797C6E">
        <w:rPr>
          <w:rFonts w:ascii="Times New Roman" w:hAnsi="Times New Roman" w:cs="Times New Roman"/>
          <w:sz w:val="24"/>
          <w:szCs w:val="24"/>
        </w:rPr>
        <w:t>c</w:t>
      </w:r>
      <w:r w:rsidR="00797C6E">
        <w:rPr>
          <w:rFonts w:ascii="Times New Roman" w:hAnsi="Times New Roman" w:cs="Times New Roman"/>
          <w:sz w:val="24"/>
          <w:szCs w:val="24"/>
        </w:rPr>
        <w:t>hiama di nuovo in causa la CGUE.</w:t>
      </w:r>
    </w:p>
    <w:p w:rsidR="005D5802" w:rsidRPr="004B205E" w:rsidRDefault="00865D67" w:rsidP="00D964D0">
      <w:pPr>
        <w:spacing w:line="360" w:lineRule="auto"/>
        <w:ind w:firstLine="709"/>
        <w:jc w:val="both"/>
        <w:rPr>
          <w:rFonts w:ascii="Times New Roman" w:hAnsi="Times New Roman" w:cs="Times New Roman"/>
          <w:sz w:val="24"/>
          <w:szCs w:val="24"/>
        </w:rPr>
      </w:pPr>
      <w:r w:rsidRPr="004B205E">
        <w:rPr>
          <w:rFonts w:ascii="Times New Roman" w:hAnsi="Times New Roman" w:cs="Times New Roman"/>
          <w:sz w:val="24"/>
          <w:szCs w:val="24"/>
        </w:rPr>
        <w:t xml:space="preserve">Si </w:t>
      </w:r>
      <w:r w:rsidR="00B959EA" w:rsidRPr="004B205E">
        <w:rPr>
          <w:rFonts w:ascii="Times New Roman" w:hAnsi="Times New Roman" w:cs="Times New Roman"/>
          <w:sz w:val="24"/>
          <w:szCs w:val="24"/>
        </w:rPr>
        <w:t>premette</w:t>
      </w:r>
      <w:r w:rsidRPr="004B205E">
        <w:rPr>
          <w:rFonts w:ascii="Times New Roman" w:hAnsi="Times New Roman" w:cs="Times New Roman"/>
          <w:sz w:val="24"/>
          <w:szCs w:val="24"/>
        </w:rPr>
        <w:t xml:space="preserve"> che:</w:t>
      </w:r>
    </w:p>
    <w:p w:rsidR="00865D67" w:rsidRPr="00D964D0" w:rsidRDefault="00865D67" w:rsidP="00D964D0">
      <w:pPr>
        <w:spacing w:line="360" w:lineRule="auto"/>
        <w:ind w:firstLine="709"/>
        <w:jc w:val="both"/>
        <w:rPr>
          <w:rFonts w:ascii="Times New Roman" w:hAnsi="Times New Roman" w:cs="Times New Roman"/>
          <w:sz w:val="24"/>
          <w:szCs w:val="24"/>
        </w:rPr>
      </w:pPr>
      <w:r w:rsidRPr="00D964D0">
        <w:rPr>
          <w:rFonts w:ascii="Times New Roman" w:hAnsi="Times New Roman" w:cs="Times New Roman"/>
          <w:sz w:val="24"/>
          <w:szCs w:val="24"/>
        </w:rPr>
        <w:t xml:space="preserve">- la giurisprudenza del T.A.R. Puglia – Sezione di Lecce (tra le tante, T.A.R. Puglia – Sezione di Lecce </w:t>
      </w:r>
      <w:r w:rsidR="004B205E">
        <w:rPr>
          <w:rFonts w:ascii="Times New Roman" w:hAnsi="Times New Roman" w:cs="Times New Roman"/>
          <w:sz w:val="24"/>
          <w:szCs w:val="24"/>
        </w:rPr>
        <w:t xml:space="preserve">n. </w:t>
      </w:r>
      <w:r w:rsidRPr="00D964D0">
        <w:rPr>
          <w:rFonts w:ascii="Times New Roman" w:hAnsi="Times New Roman" w:cs="Times New Roman"/>
          <w:sz w:val="24"/>
          <w:szCs w:val="24"/>
        </w:rPr>
        <w:t>71/2021) ha ritenuto di escludere la natura auto-es</w:t>
      </w:r>
      <w:r w:rsidR="00797C6E">
        <w:rPr>
          <w:rFonts w:ascii="Times New Roman" w:hAnsi="Times New Roman" w:cs="Times New Roman"/>
          <w:sz w:val="24"/>
          <w:szCs w:val="24"/>
        </w:rPr>
        <w:t>ecutiva della direttiva Bolkestein</w:t>
      </w:r>
      <w:r w:rsidRPr="00D964D0">
        <w:rPr>
          <w:rFonts w:ascii="Times New Roman" w:hAnsi="Times New Roman" w:cs="Times New Roman"/>
          <w:sz w:val="24"/>
          <w:szCs w:val="24"/>
        </w:rPr>
        <w:t>;</w:t>
      </w:r>
    </w:p>
    <w:p w:rsidR="00865D67" w:rsidRPr="00D964D0" w:rsidRDefault="00865D67" w:rsidP="00D964D0">
      <w:pPr>
        <w:spacing w:line="360" w:lineRule="auto"/>
        <w:ind w:firstLine="709"/>
        <w:jc w:val="both"/>
        <w:rPr>
          <w:rFonts w:ascii="Times New Roman" w:hAnsi="Times New Roman" w:cs="Times New Roman"/>
          <w:sz w:val="24"/>
          <w:szCs w:val="24"/>
        </w:rPr>
      </w:pPr>
      <w:r w:rsidRPr="00D964D0">
        <w:rPr>
          <w:rFonts w:ascii="Times New Roman" w:hAnsi="Times New Roman" w:cs="Times New Roman"/>
          <w:sz w:val="24"/>
          <w:szCs w:val="24"/>
        </w:rPr>
        <w:t xml:space="preserve">- la </w:t>
      </w:r>
      <w:r w:rsidR="00797C6E">
        <w:rPr>
          <w:rFonts w:ascii="Times New Roman" w:hAnsi="Times New Roman" w:cs="Times New Roman"/>
          <w:sz w:val="24"/>
          <w:szCs w:val="24"/>
        </w:rPr>
        <w:t>quale</w:t>
      </w:r>
      <w:r w:rsidRPr="00D964D0">
        <w:rPr>
          <w:rFonts w:ascii="Times New Roman" w:hAnsi="Times New Roman" w:cs="Times New Roman"/>
          <w:sz w:val="24"/>
          <w:szCs w:val="24"/>
        </w:rPr>
        <w:t xml:space="preserve"> è una direttiva di armonizza</w:t>
      </w:r>
      <w:r w:rsidR="00B959EA" w:rsidRPr="00D964D0">
        <w:rPr>
          <w:rFonts w:ascii="Times New Roman" w:hAnsi="Times New Roman" w:cs="Times New Roman"/>
          <w:sz w:val="24"/>
          <w:szCs w:val="24"/>
        </w:rPr>
        <w:t>zione e non di liberalizzazione.</w:t>
      </w:r>
    </w:p>
    <w:p w:rsidR="00CC78CE" w:rsidRPr="00D964D0" w:rsidRDefault="00CC78CE" w:rsidP="00D964D0">
      <w:pPr>
        <w:spacing w:line="360" w:lineRule="auto"/>
        <w:ind w:firstLine="709"/>
        <w:jc w:val="both"/>
        <w:rPr>
          <w:rFonts w:ascii="Times New Roman" w:hAnsi="Times New Roman" w:cs="Times New Roman"/>
          <w:sz w:val="24"/>
          <w:szCs w:val="24"/>
        </w:rPr>
      </w:pPr>
      <w:r w:rsidRPr="004B205E">
        <w:rPr>
          <w:rFonts w:ascii="Times New Roman" w:hAnsi="Times New Roman" w:cs="Times New Roman"/>
          <w:sz w:val="24"/>
          <w:szCs w:val="24"/>
        </w:rPr>
        <w:t xml:space="preserve">Si </w:t>
      </w:r>
      <w:r w:rsidR="00D1210F">
        <w:rPr>
          <w:rFonts w:ascii="Times New Roman" w:hAnsi="Times New Roman" w:cs="Times New Roman"/>
          <w:sz w:val="24"/>
          <w:szCs w:val="24"/>
        </w:rPr>
        <w:t>argomenta,</w:t>
      </w:r>
      <w:r w:rsidRPr="004B205E">
        <w:rPr>
          <w:rFonts w:ascii="Times New Roman" w:hAnsi="Times New Roman" w:cs="Times New Roman"/>
          <w:sz w:val="24"/>
          <w:szCs w:val="24"/>
        </w:rPr>
        <w:t xml:space="preserve"> </w:t>
      </w:r>
      <w:r w:rsidR="004B205E">
        <w:rPr>
          <w:rFonts w:ascii="Times New Roman" w:hAnsi="Times New Roman" w:cs="Times New Roman"/>
          <w:sz w:val="24"/>
          <w:szCs w:val="24"/>
        </w:rPr>
        <w:t>quindi</w:t>
      </w:r>
      <w:r w:rsidR="00D1210F">
        <w:rPr>
          <w:rFonts w:ascii="Times New Roman" w:hAnsi="Times New Roman" w:cs="Times New Roman"/>
          <w:sz w:val="24"/>
          <w:szCs w:val="24"/>
        </w:rPr>
        <w:t>,</w:t>
      </w:r>
      <w:r w:rsidR="004B205E">
        <w:rPr>
          <w:rFonts w:ascii="Times New Roman" w:hAnsi="Times New Roman" w:cs="Times New Roman"/>
          <w:sz w:val="24"/>
          <w:szCs w:val="24"/>
        </w:rPr>
        <w:t xml:space="preserve"> che </w:t>
      </w:r>
      <w:r w:rsidRPr="00D964D0">
        <w:rPr>
          <w:rFonts w:ascii="Times New Roman" w:hAnsi="Times New Roman" w:cs="Times New Roman"/>
          <w:sz w:val="24"/>
          <w:szCs w:val="24"/>
        </w:rPr>
        <w:t xml:space="preserve">la direttiva Bolkestein si sarebbe dovuta approvare all’unanimità e non </w:t>
      </w:r>
      <w:r w:rsidR="00A64226" w:rsidRPr="00D964D0">
        <w:rPr>
          <w:rFonts w:ascii="Times New Roman" w:hAnsi="Times New Roman" w:cs="Times New Roman"/>
          <w:sz w:val="24"/>
          <w:szCs w:val="24"/>
        </w:rPr>
        <w:t xml:space="preserve">a maggioranza, ex art. 115 </w:t>
      </w:r>
      <w:r w:rsidR="004B205E">
        <w:rPr>
          <w:rFonts w:ascii="Times New Roman" w:hAnsi="Times New Roman" w:cs="Times New Roman"/>
          <w:sz w:val="24"/>
          <w:szCs w:val="24"/>
        </w:rPr>
        <w:t xml:space="preserve">del </w:t>
      </w:r>
      <w:r w:rsidR="00A64226" w:rsidRPr="00D964D0">
        <w:rPr>
          <w:rFonts w:ascii="Times New Roman" w:hAnsi="Times New Roman" w:cs="Times New Roman"/>
          <w:sz w:val="24"/>
          <w:szCs w:val="24"/>
        </w:rPr>
        <w:t>TFUE.</w:t>
      </w:r>
    </w:p>
    <w:p w:rsidR="00CC78CE" w:rsidRPr="004B205E" w:rsidRDefault="004B205E" w:rsidP="00D964D0">
      <w:pPr>
        <w:spacing w:line="360" w:lineRule="auto"/>
        <w:ind w:firstLine="709"/>
        <w:jc w:val="both"/>
        <w:rPr>
          <w:rFonts w:ascii="Times New Roman" w:hAnsi="Times New Roman" w:cs="Times New Roman"/>
          <w:sz w:val="24"/>
          <w:szCs w:val="24"/>
        </w:rPr>
      </w:pPr>
      <w:r w:rsidRPr="004B205E">
        <w:rPr>
          <w:rFonts w:ascii="Times New Roman" w:hAnsi="Times New Roman" w:cs="Times New Roman"/>
          <w:sz w:val="24"/>
          <w:szCs w:val="24"/>
        </w:rPr>
        <w:t xml:space="preserve">Si pongono, </w:t>
      </w:r>
      <w:r w:rsidR="00D1210F">
        <w:rPr>
          <w:rFonts w:ascii="Times New Roman" w:hAnsi="Times New Roman" w:cs="Times New Roman"/>
          <w:sz w:val="24"/>
          <w:szCs w:val="24"/>
        </w:rPr>
        <w:t>poi</w:t>
      </w:r>
      <w:r w:rsidRPr="004B205E">
        <w:rPr>
          <w:rFonts w:ascii="Times New Roman" w:hAnsi="Times New Roman" w:cs="Times New Roman"/>
          <w:sz w:val="24"/>
          <w:szCs w:val="24"/>
        </w:rPr>
        <w:t xml:space="preserve">, </w:t>
      </w:r>
      <w:r w:rsidR="00A64226" w:rsidRPr="004B205E">
        <w:rPr>
          <w:rFonts w:ascii="Times New Roman" w:hAnsi="Times New Roman" w:cs="Times New Roman"/>
          <w:sz w:val="24"/>
          <w:szCs w:val="24"/>
        </w:rPr>
        <w:t>alla CGUE i seguenti quesiti:</w:t>
      </w:r>
    </w:p>
    <w:p w:rsidR="00A64226" w:rsidRPr="004B205E" w:rsidRDefault="00A64226" w:rsidP="00D964D0">
      <w:pPr>
        <w:spacing w:line="360" w:lineRule="auto"/>
        <w:ind w:firstLine="709"/>
        <w:jc w:val="both"/>
        <w:rPr>
          <w:rFonts w:ascii="Times New Roman" w:hAnsi="Times New Roman" w:cs="Times New Roman"/>
          <w:sz w:val="24"/>
          <w:szCs w:val="24"/>
        </w:rPr>
      </w:pPr>
      <w:r w:rsidRPr="004B205E">
        <w:rPr>
          <w:rFonts w:ascii="Times New Roman" w:hAnsi="Times New Roman" w:cs="Times New Roman"/>
          <w:sz w:val="24"/>
          <w:szCs w:val="24"/>
        </w:rPr>
        <w:t xml:space="preserve">1) se la direttiva 2006/123 </w:t>
      </w:r>
      <w:r w:rsidR="00340F69">
        <w:rPr>
          <w:rFonts w:ascii="Times New Roman" w:hAnsi="Times New Roman" w:cs="Times New Roman"/>
          <w:sz w:val="24"/>
          <w:szCs w:val="24"/>
        </w:rPr>
        <w:t>c.</w:t>
      </w:r>
      <w:r w:rsidR="00340F69" w:rsidRPr="00340F69">
        <w:rPr>
          <w:rFonts w:ascii="Times New Roman" w:hAnsi="Times New Roman" w:cs="Times New Roman"/>
          <w:sz w:val="24"/>
          <w:szCs w:val="24"/>
        </w:rPr>
        <w:t xml:space="preserve">d. Bolkestein </w:t>
      </w:r>
      <w:r w:rsidRPr="004B205E">
        <w:rPr>
          <w:rFonts w:ascii="Times New Roman" w:hAnsi="Times New Roman" w:cs="Times New Roman"/>
          <w:sz w:val="24"/>
          <w:szCs w:val="24"/>
        </w:rPr>
        <w:t>risulti valida e vincolante per gli Stati membri o se invece risulti invalida in quanto – trattandosi di direttiva di armonizzazione - adottata solo a maggioranza invece che all’unanimità, in violazione dell’art 115 T.F.U.E.;</w:t>
      </w:r>
    </w:p>
    <w:p w:rsidR="00A64226" w:rsidRPr="004B205E" w:rsidRDefault="00340F69" w:rsidP="00D964D0">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 se la direttiva 2006/123 </w:t>
      </w:r>
      <w:r w:rsidR="00A64226" w:rsidRPr="004B205E">
        <w:rPr>
          <w:rFonts w:ascii="Times New Roman" w:hAnsi="Times New Roman" w:cs="Times New Roman"/>
          <w:sz w:val="24"/>
          <w:szCs w:val="24"/>
        </w:rPr>
        <w:t>p</w:t>
      </w:r>
      <w:r w:rsidR="00772A38">
        <w:rPr>
          <w:rFonts w:ascii="Times New Roman" w:hAnsi="Times New Roman" w:cs="Times New Roman"/>
          <w:sz w:val="24"/>
          <w:szCs w:val="24"/>
        </w:rPr>
        <w:t>resenti o meno oggettivamente e</w:t>
      </w:r>
      <w:r w:rsidR="00A64226" w:rsidRPr="004B205E">
        <w:rPr>
          <w:rFonts w:ascii="Times New Roman" w:hAnsi="Times New Roman" w:cs="Times New Roman"/>
          <w:sz w:val="24"/>
          <w:szCs w:val="24"/>
        </w:rPr>
        <w:t xml:space="preserve"> astrattamente i requisiti minimi di sufficiente dettaglio della normativa e di conseguente assenza di spazi discrezionali per il legislatore nazionale tali da potersi ritenere la stessa auto-esecutiva e immediatamente applicabile;</w:t>
      </w:r>
    </w:p>
    <w:p w:rsidR="00A64226" w:rsidRPr="00D964D0" w:rsidRDefault="00A64226" w:rsidP="00D964D0">
      <w:pPr>
        <w:spacing w:line="360" w:lineRule="auto"/>
        <w:ind w:firstLine="709"/>
        <w:jc w:val="both"/>
        <w:rPr>
          <w:rFonts w:ascii="Times New Roman" w:hAnsi="Times New Roman" w:cs="Times New Roman"/>
          <w:sz w:val="24"/>
          <w:szCs w:val="24"/>
        </w:rPr>
      </w:pPr>
      <w:r w:rsidRPr="00D964D0">
        <w:rPr>
          <w:rFonts w:ascii="Times New Roman" w:hAnsi="Times New Roman" w:cs="Times New Roman"/>
          <w:sz w:val="24"/>
          <w:szCs w:val="24"/>
        </w:rPr>
        <w:t xml:space="preserve">3) </w:t>
      </w:r>
      <w:r w:rsidRPr="00772A38">
        <w:rPr>
          <w:rFonts w:ascii="Times New Roman" w:hAnsi="Times New Roman" w:cs="Times New Roman"/>
          <w:iCs/>
          <w:sz w:val="24"/>
          <w:szCs w:val="24"/>
        </w:rPr>
        <w:t>qualora ritenuta la direttiva 2006/123 non self-executing</w:t>
      </w:r>
      <w:r w:rsidRPr="00772A38">
        <w:rPr>
          <w:rFonts w:ascii="Times New Roman" w:hAnsi="Times New Roman" w:cs="Times New Roman"/>
          <w:sz w:val="24"/>
          <w:szCs w:val="24"/>
        </w:rPr>
        <w:t>, se risulti</w:t>
      </w:r>
      <w:r w:rsidRPr="00D964D0">
        <w:rPr>
          <w:rFonts w:ascii="Times New Roman" w:hAnsi="Times New Roman" w:cs="Times New Roman"/>
          <w:sz w:val="24"/>
          <w:szCs w:val="24"/>
        </w:rPr>
        <w:t xml:space="preserve"> compatibile con i principi di certezza del diritto l’effetto di mera esclusione o di disapplicazione meramente ostativa della legge nazionale anche nell’ipotesi in cui non risulti possibile per il giudice nazionale il ricorso all’interpretazione conforme ovvero se invece, in siffatta ipotesi, non debba o possa trovare applicazione la legge nazionale, ferme restando le specifiche sanzioni previste dall’ordinamento unio</w:t>
      </w:r>
      <w:r w:rsidR="00415DE5" w:rsidRPr="00D964D0">
        <w:rPr>
          <w:rFonts w:ascii="Times New Roman" w:hAnsi="Times New Roman" w:cs="Times New Roman"/>
          <w:sz w:val="24"/>
          <w:szCs w:val="24"/>
        </w:rPr>
        <w:t>nale per l’inadempimento dello S</w:t>
      </w:r>
      <w:r w:rsidRPr="00D964D0">
        <w:rPr>
          <w:rFonts w:ascii="Times New Roman" w:hAnsi="Times New Roman" w:cs="Times New Roman"/>
          <w:sz w:val="24"/>
          <w:szCs w:val="24"/>
        </w:rPr>
        <w:t>tato nazionale rispetto agli obblig</w:t>
      </w:r>
      <w:r w:rsidR="00772A38">
        <w:rPr>
          <w:rFonts w:ascii="Times New Roman" w:hAnsi="Times New Roman" w:cs="Times New Roman"/>
          <w:sz w:val="24"/>
          <w:szCs w:val="24"/>
        </w:rPr>
        <w:t>hi derivanti dalla adesione al T</w:t>
      </w:r>
      <w:r w:rsidRPr="00D964D0">
        <w:rPr>
          <w:rFonts w:ascii="Times New Roman" w:hAnsi="Times New Roman" w:cs="Times New Roman"/>
          <w:sz w:val="24"/>
          <w:szCs w:val="24"/>
        </w:rPr>
        <w:t>rattato (art. 49), ovvero derivanti dalla mancata attuazione della direttiva (procedura di infrazione);</w:t>
      </w:r>
    </w:p>
    <w:p w:rsidR="00A64226" w:rsidRPr="00D964D0" w:rsidRDefault="00A64226" w:rsidP="00D964D0">
      <w:pPr>
        <w:spacing w:line="360" w:lineRule="auto"/>
        <w:ind w:firstLine="709"/>
        <w:jc w:val="both"/>
        <w:rPr>
          <w:rFonts w:ascii="Times New Roman" w:hAnsi="Times New Roman" w:cs="Times New Roman"/>
          <w:sz w:val="24"/>
          <w:szCs w:val="24"/>
        </w:rPr>
      </w:pPr>
      <w:r w:rsidRPr="00772A38">
        <w:rPr>
          <w:rFonts w:ascii="Times New Roman" w:hAnsi="Times New Roman" w:cs="Times New Roman"/>
          <w:sz w:val="24"/>
          <w:szCs w:val="24"/>
        </w:rPr>
        <w:t>4) se l’</w:t>
      </w:r>
      <w:r w:rsidR="00757600" w:rsidRPr="00772A38">
        <w:rPr>
          <w:rFonts w:ascii="Times New Roman" w:hAnsi="Times New Roman" w:cs="Times New Roman"/>
          <w:iCs/>
          <w:sz w:val="24"/>
          <w:szCs w:val="24"/>
        </w:rPr>
        <w:t xml:space="preserve">efficacia diretta </w:t>
      </w:r>
      <w:r w:rsidRPr="00772A38">
        <w:rPr>
          <w:rFonts w:ascii="Times New Roman" w:hAnsi="Times New Roman" w:cs="Times New Roman"/>
          <w:sz w:val="24"/>
          <w:szCs w:val="24"/>
        </w:rPr>
        <w:t>dell’art. 12,</w:t>
      </w:r>
      <w:r w:rsidRPr="00D964D0">
        <w:rPr>
          <w:rFonts w:ascii="Times New Roman" w:hAnsi="Times New Roman" w:cs="Times New Roman"/>
          <w:sz w:val="24"/>
          <w:szCs w:val="24"/>
        </w:rPr>
        <w:t xml:space="preserve"> paragrafi 1,</w:t>
      </w:r>
      <w:r w:rsidR="00757600" w:rsidRPr="00D964D0">
        <w:rPr>
          <w:rFonts w:ascii="Times New Roman" w:hAnsi="Times New Roman" w:cs="Times New Roman"/>
          <w:sz w:val="24"/>
          <w:szCs w:val="24"/>
        </w:rPr>
        <w:t xml:space="preserve"> </w:t>
      </w:r>
      <w:r w:rsidRPr="00D964D0">
        <w:rPr>
          <w:rFonts w:ascii="Times New Roman" w:hAnsi="Times New Roman" w:cs="Times New Roman"/>
          <w:sz w:val="24"/>
          <w:szCs w:val="24"/>
        </w:rPr>
        <w:t>2,</w:t>
      </w:r>
      <w:r w:rsidR="00757600" w:rsidRPr="00D964D0">
        <w:rPr>
          <w:rFonts w:ascii="Times New Roman" w:hAnsi="Times New Roman" w:cs="Times New Roman"/>
          <w:sz w:val="24"/>
          <w:szCs w:val="24"/>
        </w:rPr>
        <w:t xml:space="preserve"> </w:t>
      </w:r>
      <w:r w:rsidRPr="00D964D0">
        <w:rPr>
          <w:rFonts w:ascii="Times New Roman" w:hAnsi="Times New Roman" w:cs="Times New Roman"/>
          <w:sz w:val="24"/>
          <w:szCs w:val="24"/>
        </w:rPr>
        <w:t>3</w:t>
      </w:r>
      <w:r w:rsidR="00E474B3" w:rsidRPr="00D964D0">
        <w:rPr>
          <w:rFonts w:ascii="Times New Roman" w:hAnsi="Times New Roman" w:cs="Times New Roman"/>
          <w:sz w:val="24"/>
          <w:szCs w:val="24"/>
        </w:rPr>
        <w:t>,</w:t>
      </w:r>
      <w:r w:rsidR="00772A38">
        <w:rPr>
          <w:rFonts w:ascii="Times New Roman" w:hAnsi="Times New Roman" w:cs="Times New Roman"/>
          <w:sz w:val="24"/>
          <w:szCs w:val="24"/>
        </w:rPr>
        <w:t xml:space="preserve"> della d</w:t>
      </w:r>
      <w:r w:rsidRPr="00D964D0">
        <w:rPr>
          <w:rFonts w:ascii="Times New Roman" w:hAnsi="Times New Roman" w:cs="Times New Roman"/>
          <w:sz w:val="24"/>
          <w:szCs w:val="24"/>
        </w:rPr>
        <w:t>irettiva 2006/123 equivalga al riconoscimento della natura self-executing o immediata applicabilità della direttiva medesima ovvero se, nell’ambito di una direttiva di armonizzazione quale quella in esame (“</w:t>
      </w:r>
      <w:r w:rsidRPr="00D964D0">
        <w:rPr>
          <w:rFonts w:ascii="Times New Roman" w:hAnsi="Times New Roman" w:cs="Times New Roman"/>
          <w:i/>
          <w:iCs/>
          <w:sz w:val="24"/>
          <w:szCs w:val="24"/>
        </w:rPr>
        <w:t>si deve ritenere che gli artt. da 9 a 13 della direttiva provvedano ad una armonizzazione esaustiva </w:t>
      </w:r>
      <w:r w:rsidRPr="00D964D0">
        <w:rPr>
          <w:rFonts w:ascii="Times New Roman" w:hAnsi="Times New Roman" w:cs="Times New Roman"/>
          <w:sz w:val="24"/>
          <w:szCs w:val="24"/>
        </w:rPr>
        <w:t>…” ex sentenza c.d. Promoimpresa), debba inten</w:t>
      </w:r>
      <w:r w:rsidR="00757600" w:rsidRPr="00D964D0">
        <w:rPr>
          <w:rFonts w:ascii="Times New Roman" w:hAnsi="Times New Roman" w:cs="Times New Roman"/>
          <w:sz w:val="24"/>
          <w:szCs w:val="24"/>
        </w:rPr>
        <w:t>dersi come prescrizione per lo S</w:t>
      </w:r>
      <w:r w:rsidRPr="00D964D0">
        <w:rPr>
          <w:rFonts w:ascii="Times New Roman" w:hAnsi="Times New Roman" w:cs="Times New Roman"/>
          <w:sz w:val="24"/>
          <w:szCs w:val="24"/>
        </w:rPr>
        <w:t>tato nazionale di adottare misure di armonizzazione non generiche, ma vincolate nel loro contenuto;</w:t>
      </w:r>
    </w:p>
    <w:p w:rsidR="00A64226" w:rsidRPr="00D964D0" w:rsidRDefault="00A64226" w:rsidP="00D964D0">
      <w:pPr>
        <w:spacing w:line="360" w:lineRule="auto"/>
        <w:ind w:firstLine="709"/>
        <w:jc w:val="both"/>
        <w:rPr>
          <w:rFonts w:ascii="Times New Roman" w:hAnsi="Times New Roman" w:cs="Times New Roman"/>
          <w:sz w:val="24"/>
          <w:szCs w:val="24"/>
        </w:rPr>
      </w:pPr>
      <w:r w:rsidRPr="00D964D0">
        <w:rPr>
          <w:rFonts w:ascii="Times New Roman" w:hAnsi="Times New Roman" w:cs="Times New Roman"/>
          <w:sz w:val="24"/>
          <w:szCs w:val="24"/>
        </w:rPr>
        <w:t>5) se la qualificazione di una direttiva come auto-esecutiva o meno e, nel primo caso, la disapplicazione meramente ostativa della legge nazionale possa o debba ritenersi di esclusiva competenza del giudice nazionale (al quale sono all’uopo attribuiti specifici strumenti di supporto interpretativo quali il ricorso al rinvio pregiudiziale alla Corte di Giustizia ovvero al giudizio di legittimità costituzionale) ovvero anche del singolo funzionario o dirigente di un comune;</w:t>
      </w:r>
    </w:p>
    <w:p w:rsidR="00A64226" w:rsidRPr="00D964D0" w:rsidRDefault="00A64226" w:rsidP="00D964D0">
      <w:pPr>
        <w:spacing w:line="360" w:lineRule="auto"/>
        <w:ind w:firstLine="709"/>
        <w:jc w:val="both"/>
        <w:rPr>
          <w:rFonts w:ascii="Times New Roman" w:hAnsi="Times New Roman" w:cs="Times New Roman"/>
          <w:sz w:val="24"/>
          <w:szCs w:val="24"/>
        </w:rPr>
      </w:pPr>
      <w:r w:rsidRPr="00D964D0">
        <w:rPr>
          <w:rFonts w:ascii="Times New Roman" w:hAnsi="Times New Roman" w:cs="Times New Roman"/>
          <w:sz w:val="24"/>
          <w:szCs w:val="24"/>
        </w:rPr>
        <w:t>6</w:t>
      </w:r>
      <w:r w:rsidRPr="00772A38">
        <w:rPr>
          <w:rFonts w:ascii="Times New Roman" w:hAnsi="Times New Roman" w:cs="Times New Roman"/>
          <w:sz w:val="24"/>
          <w:szCs w:val="24"/>
        </w:rPr>
        <w:t xml:space="preserve">) </w:t>
      </w:r>
      <w:r w:rsidRPr="00772A38">
        <w:rPr>
          <w:rFonts w:ascii="Times New Roman" w:hAnsi="Times New Roman" w:cs="Times New Roman"/>
          <w:iCs/>
          <w:sz w:val="24"/>
          <w:szCs w:val="24"/>
        </w:rPr>
        <w:t>qualora invece ritenuta la direttiva 2006/123 self-executing</w:t>
      </w:r>
      <w:r w:rsidRPr="00772A38">
        <w:rPr>
          <w:rFonts w:ascii="Times New Roman" w:hAnsi="Times New Roman" w:cs="Times New Roman"/>
          <w:sz w:val="24"/>
          <w:szCs w:val="24"/>
        </w:rPr>
        <w:t>,</w:t>
      </w:r>
      <w:r w:rsidRPr="00D964D0">
        <w:rPr>
          <w:rFonts w:ascii="Times New Roman" w:hAnsi="Times New Roman" w:cs="Times New Roman"/>
          <w:sz w:val="24"/>
          <w:szCs w:val="24"/>
        </w:rPr>
        <w:t xml:space="preserve"> premesso che l’art. 49 </w:t>
      </w:r>
      <w:r w:rsidR="00772A38">
        <w:rPr>
          <w:rFonts w:ascii="Times New Roman" w:hAnsi="Times New Roman" w:cs="Times New Roman"/>
          <w:sz w:val="24"/>
          <w:szCs w:val="24"/>
        </w:rPr>
        <w:t xml:space="preserve">del </w:t>
      </w:r>
      <w:r w:rsidRPr="00D964D0">
        <w:rPr>
          <w:rFonts w:ascii="Times New Roman" w:hAnsi="Times New Roman" w:cs="Times New Roman"/>
          <w:sz w:val="24"/>
          <w:szCs w:val="24"/>
        </w:rPr>
        <w:t>TFUE risulta ostativo alla proroga automatica delle concessioni-autorizzazioni demaniali marittime ad uso turistico ricreativo solo “</w:t>
      </w:r>
      <w:r w:rsidRPr="00D964D0">
        <w:rPr>
          <w:rFonts w:ascii="Times New Roman" w:hAnsi="Times New Roman" w:cs="Times New Roman"/>
          <w:i/>
          <w:iCs/>
          <w:sz w:val="24"/>
          <w:szCs w:val="24"/>
        </w:rPr>
        <w:t>nei limiti in cui tali concessioni presentano un interesse transfrontaliero certo</w:t>
      </w:r>
      <w:r w:rsidRPr="00D964D0">
        <w:rPr>
          <w:rFonts w:ascii="Times New Roman" w:hAnsi="Times New Roman" w:cs="Times New Roman"/>
          <w:sz w:val="24"/>
          <w:szCs w:val="24"/>
        </w:rPr>
        <w:t>”, se la sussistenza di tale requisito costituisca o meno un presupposto necessario anche con riferimento all’applicazione dell’art. 12</w:t>
      </w:r>
      <w:r w:rsidR="0004238C">
        <w:rPr>
          <w:rFonts w:ascii="Times New Roman" w:hAnsi="Times New Roman" w:cs="Times New Roman"/>
          <w:sz w:val="24"/>
          <w:szCs w:val="24"/>
        </w:rPr>
        <w:t>,</w:t>
      </w:r>
      <w:r w:rsidRPr="00D964D0">
        <w:rPr>
          <w:rFonts w:ascii="Times New Roman" w:hAnsi="Times New Roman" w:cs="Times New Roman"/>
          <w:sz w:val="24"/>
          <w:szCs w:val="24"/>
        </w:rPr>
        <w:t xml:space="preserve"> paragrafi 1 e 2</w:t>
      </w:r>
      <w:r w:rsidR="0004238C">
        <w:rPr>
          <w:rFonts w:ascii="Times New Roman" w:hAnsi="Times New Roman" w:cs="Times New Roman"/>
          <w:sz w:val="24"/>
          <w:szCs w:val="24"/>
        </w:rPr>
        <w:t>,</w:t>
      </w:r>
      <w:r w:rsidRPr="00D964D0">
        <w:rPr>
          <w:rFonts w:ascii="Times New Roman" w:hAnsi="Times New Roman" w:cs="Times New Roman"/>
          <w:sz w:val="24"/>
          <w:szCs w:val="24"/>
        </w:rPr>
        <w:t xml:space="preserve"> della direttiva Bolkestein;</w:t>
      </w:r>
    </w:p>
    <w:p w:rsidR="00A64226" w:rsidRPr="00D964D0" w:rsidRDefault="00A64226" w:rsidP="00D964D0">
      <w:pPr>
        <w:spacing w:line="360" w:lineRule="auto"/>
        <w:ind w:firstLine="709"/>
        <w:jc w:val="both"/>
        <w:rPr>
          <w:rFonts w:ascii="Times New Roman" w:hAnsi="Times New Roman" w:cs="Times New Roman"/>
          <w:sz w:val="24"/>
          <w:szCs w:val="24"/>
        </w:rPr>
      </w:pPr>
      <w:r w:rsidRPr="00D964D0">
        <w:rPr>
          <w:rFonts w:ascii="Times New Roman" w:hAnsi="Times New Roman" w:cs="Times New Roman"/>
          <w:sz w:val="24"/>
          <w:szCs w:val="24"/>
        </w:rPr>
        <w:t xml:space="preserve">7) se risulti coerente rispetto ai fini perseguiti dalla direttiva 2006/123 e dallo stesso art. 49 </w:t>
      </w:r>
      <w:r w:rsidR="00772A38">
        <w:rPr>
          <w:rFonts w:ascii="Times New Roman" w:hAnsi="Times New Roman" w:cs="Times New Roman"/>
          <w:sz w:val="24"/>
          <w:szCs w:val="24"/>
        </w:rPr>
        <w:t xml:space="preserve">del </w:t>
      </w:r>
      <w:r w:rsidRPr="00D964D0">
        <w:rPr>
          <w:rFonts w:ascii="Times New Roman" w:hAnsi="Times New Roman" w:cs="Times New Roman"/>
          <w:sz w:val="24"/>
          <w:szCs w:val="24"/>
        </w:rPr>
        <w:t>TFUE una statuizione da parte del giudice nazionale relativa alla sussistenza, in via generale e astratta, del requisito dell’interesse transfrontaliero certo riferito tout-court all’intero territorio nazionale ovvero se, viceversa, stante in Italia la competenza dei singoli comuni, tale valutazione non debba intendersi riferita al territorio costiero di ciascun comune e, quindi, riservata alla competenza comunale;</w:t>
      </w:r>
    </w:p>
    <w:p w:rsidR="00A64226" w:rsidRPr="00D964D0" w:rsidRDefault="00A64226" w:rsidP="00D964D0">
      <w:pPr>
        <w:spacing w:line="360" w:lineRule="auto"/>
        <w:ind w:firstLine="709"/>
        <w:jc w:val="both"/>
        <w:rPr>
          <w:rFonts w:ascii="Times New Roman" w:hAnsi="Times New Roman" w:cs="Times New Roman"/>
          <w:sz w:val="24"/>
          <w:szCs w:val="24"/>
        </w:rPr>
      </w:pPr>
      <w:r w:rsidRPr="00D964D0">
        <w:rPr>
          <w:rFonts w:ascii="Times New Roman" w:hAnsi="Times New Roman" w:cs="Times New Roman"/>
          <w:sz w:val="24"/>
          <w:szCs w:val="24"/>
        </w:rPr>
        <w:t xml:space="preserve">8) se risulti coerente rispetto ai fini perseguiti dalla direttiva 2006/123 e dallo stesso art. 49 </w:t>
      </w:r>
      <w:r w:rsidR="00772A38">
        <w:rPr>
          <w:rFonts w:ascii="Times New Roman" w:hAnsi="Times New Roman" w:cs="Times New Roman"/>
          <w:sz w:val="24"/>
          <w:szCs w:val="24"/>
        </w:rPr>
        <w:t xml:space="preserve">del </w:t>
      </w:r>
      <w:r w:rsidRPr="00D964D0">
        <w:rPr>
          <w:rFonts w:ascii="Times New Roman" w:hAnsi="Times New Roman" w:cs="Times New Roman"/>
          <w:sz w:val="24"/>
          <w:szCs w:val="24"/>
        </w:rPr>
        <w:t>TFUE una statuizione da parte del giudice nazionale relativa alla sussistenza, in via generale e astratta, del requisito della limitatezza delle risorse e delle concessioni disponibili riferito tout-court all’intero territorio nazionale ovvero se, viceversa, stante in Italia la competenza dei singoli comuni, tale valutazione non debba intendersi riferita al territorio costiero di ciascun comune e, quindi, riservata alla competenza comunale;</w:t>
      </w:r>
    </w:p>
    <w:p w:rsidR="00A64226" w:rsidRPr="00D964D0" w:rsidRDefault="00A64226" w:rsidP="00D964D0">
      <w:pPr>
        <w:spacing w:line="360" w:lineRule="auto"/>
        <w:ind w:firstLine="709"/>
        <w:jc w:val="both"/>
        <w:rPr>
          <w:rFonts w:ascii="Times New Roman" w:hAnsi="Times New Roman" w:cs="Times New Roman"/>
          <w:sz w:val="24"/>
          <w:szCs w:val="24"/>
        </w:rPr>
      </w:pPr>
      <w:r w:rsidRPr="00772A38">
        <w:rPr>
          <w:rFonts w:ascii="Times New Roman" w:hAnsi="Times New Roman" w:cs="Times New Roman"/>
          <w:sz w:val="24"/>
          <w:szCs w:val="24"/>
        </w:rPr>
        <w:t xml:space="preserve">9) </w:t>
      </w:r>
      <w:r w:rsidRPr="00772A38">
        <w:rPr>
          <w:rFonts w:ascii="Times New Roman" w:hAnsi="Times New Roman" w:cs="Times New Roman"/>
          <w:iCs/>
          <w:sz w:val="24"/>
          <w:szCs w:val="24"/>
        </w:rPr>
        <w:t>qualora in astratto ritenuta la direttiva 2006/123 self-executing</w:t>
      </w:r>
      <w:r w:rsidRPr="00772A38">
        <w:rPr>
          <w:rFonts w:ascii="Times New Roman" w:hAnsi="Times New Roman" w:cs="Times New Roman"/>
          <w:sz w:val="24"/>
          <w:szCs w:val="24"/>
        </w:rPr>
        <w:t>,</w:t>
      </w:r>
      <w:r w:rsidRPr="00D964D0">
        <w:rPr>
          <w:rFonts w:ascii="Times New Roman" w:hAnsi="Times New Roman" w:cs="Times New Roman"/>
          <w:sz w:val="24"/>
          <w:szCs w:val="24"/>
        </w:rPr>
        <w:t xml:space="preserve"> se tale immediata applicabilità possa ritenersi sussistere anche in concreto in un contesto normativo – come quello italiano – nel quale vige l’art. 49 </w:t>
      </w:r>
      <w:r w:rsidR="00772A38">
        <w:rPr>
          <w:rFonts w:ascii="Times New Roman" w:hAnsi="Times New Roman" w:cs="Times New Roman"/>
          <w:sz w:val="24"/>
          <w:szCs w:val="24"/>
        </w:rPr>
        <w:t>cod. nav.</w:t>
      </w:r>
      <w:r w:rsidRPr="00D964D0">
        <w:rPr>
          <w:rFonts w:ascii="Times New Roman" w:hAnsi="Times New Roman" w:cs="Times New Roman"/>
          <w:sz w:val="24"/>
          <w:szCs w:val="24"/>
        </w:rPr>
        <w:t xml:space="preserve"> (che prevede che all’atto di cessazione della concessione “</w:t>
      </w:r>
      <w:r w:rsidRPr="00D964D0">
        <w:rPr>
          <w:rFonts w:ascii="Times New Roman" w:hAnsi="Times New Roman" w:cs="Times New Roman"/>
          <w:i/>
          <w:iCs/>
          <w:sz w:val="24"/>
          <w:szCs w:val="24"/>
        </w:rPr>
        <w:t>tutte le opere non amovibili restano acquisite allo Stato senza alcun compenso o rimborso</w:t>
      </w:r>
      <w:r w:rsidRPr="00D964D0">
        <w:rPr>
          <w:rFonts w:ascii="Times New Roman" w:hAnsi="Times New Roman" w:cs="Times New Roman"/>
          <w:sz w:val="24"/>
          <w:szCs w:val="24"/>
        </w:rPr>
        <w:t xml:space="preserve">”) e se tale conseguenza della ritenuta natura self-executing o immediata applicabilità </w:t>
      </w:r>
      <w:r w:rsidR="00E474B3" w:rsidRPr="00D964D0">
        <w:rPr>
          <w:rFonts w:ascii="Times New Roman" w:hAnsi="Times New Roman" w:cs="Times New Roman"/>
          <w:sz w:val="24"/>
          <w:szCs w:val="24"/>
        </w:rPr>
        <w:t>della direttiva in questione (i</w:t>
      </w:r>
      <w:r w:rsidRPr="00D964D0">
        <w:rPr>
          <w:rFonts w:ascii="Times New Roman" w:hAnsi="Times New Roman" w:cs="Times New Roman"/>
          <w:sz w:val="24"/>
          <w:szCs w:val="24"/>
        </w:rPr>
        <w:t>n particolare con riferimento a strutture in muratura debitamente autorizzate ovvero a concessioni demaniali funzionalmente collegate ad attività turistico ricettiva, come hotel o villaggio) risulti compatibile con la tutela di diritti fondamentali, come il diritto di proprietà, riconosciuti come meritevo</w:t>
      </w:r>
      <w:r w:rsidR="00772A38">
        <w:rPr>
          <w:rFonts w:ascii="Times New Roman" w:hAnsi="Times New Roman" w:cs="Times New Roman"/>
          <w:sz w:val="24"/>
          <w:szCs w:val="24"/>
        </w:rPr>
        <w:t>li di tutela privilegiata nell’o</w:t>
      </w:r>
      <w:r w:rsidRPr="00D964D0">
        <w:rPr>
          <w:rFonts w:ascii="Times New Roman" w:hAnsi="Times New Roman" w:cs="Times New Roman"/>
          <w:sz w:val="24"/>
          <w:szCs w:val="24"/>
        </w:rPr>
        <w:t>rdinamento dell’U.E. e nella Carta dei Diritti Fondamentali.</w:t>
      </w:r>
    </w:p>
    <w:p w:rsidR="00A64226" w:rsidRDefault="004F2EED" w:rsidP="00D964D0">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Si tratta di problematiche inerenti la </w:t>
      </w:r>
      <w:r w:rsidR="00B743DB">
        <w:rPr>
          <w:rFonts w:ascii="Times New Roman" w:hAnsi="Times New Roman" w:cs="Times New Roman"/>
          <w:sz w:val="24"/>
          <w:szCs w:val="24"/>
        </w:rPr>
        <w:t>natura</w:t>
      </w:r>
      <w:r>
        <w:rPr>
          <w:rFonts w:ascii="Times New Roman" w:hAnsi="Times New Roman" w:cs="Times New Roman"/>
          <w:sz w:val="24"/>
          <w:szCs w:val="24"/>
        </w:rPr>
        <w:t xml:space="preserve"> della direttiva Bolkestein e la sua applicazione alla fattispecie, </w:t>
      </w:r>
      <w:r w:rsidR="0087115D">
        <w:rPr>
          <w:rFonts w:ascii="Times New Roman" w:hAnsi="Times New Roman" w:cs="Times New Roman"/>
          <w:sz w:val="24"/>
          <w:szCs w:val="24"/>
        </w:rPr>
        <w:t xml:space="preserve">nonché </w:t>
      </w:r>
      <w:r>
        <w:rPr>
          <w:rFonts w:ascii="Times New Roman" w:hAnsi="Times New Roman" w:cs="Times New Roman"/>
          <w:sz w:val="24"/>
          <w:szCs w:val="24"/>
        </w:rPr>
        <w:t>l’applicazione dei principi del TFUE</w:t>
      </w:r>
      <w:r w:rsidR="0087115D">
        <w:rPr>
          <w:rFonts w:ascii="Times New Roman" w:hAnsi="Times New Roman" w:cs="Times New Roman"/>
          <w:sz w:val="24"/>
          <w:szCs w:val="24"/>
        </w:rPr>
        <w:t xml:space="preserve">, che in parte hanno già trovato soluzione </w:t>
      </w:r>
      <w:r w:rsidR="00772A38">
        <w:rPr>
          <w:rFonts w:ascii="Times New Roman" w:hAnsi="Times New Roman" w:cs="Times New Roman"/>
          <w:sz w:val="24"/>
          <w:szCs w:val="24"/>
        </w:rPr>
        <w:t xml:space="preserve">dalla CGUE con </w:t>
      </w:r>
      <w:r w:rsidR="0087115D">
        <w:rPr>
          <w:rFonts w:ascii="Times New Roman" w:hAnsi="Times New Roman" w:cs="Times New Roman"/>
          <w:sz w:val="24"/>
          <w:szCs w:val="24"/>
        </w:rPr>
        <w:t>la sentenza Promoimpresa. E dell’individuazione dell’interess</w:t>
      </w:r>
      <w:r w:rsidR="00B743DB">
        <w:rPr>
          <w:rFonts w:ascii="Times New Roman" w:hAnsi="Times New Roman" w:cs="Times New Roman"/>
          <w:sz w:val="24"/>
          <w:szCs w:val="24"/>
        </w:rPr>
        <w:t>e transfrontaliero certo e del carattere scarso</w:t>
      </w:r>
      <w:r w:rsidR="0087115D">
        <w:rPr>
          <w:rFonts w:ascii="Times New Roman" w:hAnsi="Times New Roman" w:cs="Times New Roman"/>
          <w:sz w:val="24"/>
          <w:szCs w:val="24"/>
        </w:rPr>
        <w:t xml:space="preserve"> delle risorse</w:t>
      </w:r>
      <w:r w:rsidR="001200F6">
        <w:rPr>
          <w:rFonts w:ascii="Times New Roman" w:hAnsi="Times New Roman" w:cs="Times New Roman"/>
          <w:sz w:val="24"/>
          <w:szCs w:val="24"/>
        </w:rPr>
        <w:t>,</w:t>
      </w:r>
      <w:r w:rsidR="0087115D">
        <w:rPr>
          <w:rFonts w:ascii="Times New Roman" w:hAnsi="Times New Roman" w:cs="Times New Roman"/>
          <w:sz w:val="24"/>
          <w:szCs w:val="24"/>
        </w:rPr>
        <w:t xml:space="preserve"> che dal</w:t>
      </w:r>
      <w:r w:rsidR="00B743DB">
        <w:rPr>
          <w:rFonts w:ascii="Times New Roman" w:hAnsi="Times New Roman" w:cs="Times New Roman"/>
          <w:sz w:val="24"/>
          <w:szCs w:val="24"/>
        </w:rPr>
        <w:t>l’adunanza plenaria vengono dati</w:t>
      </w:r>
      <w:r w:rsidR="0087115D">
        <w:rPr>
          <w:rFonts w:ascii="Times New Roman" w:hAnsi="Times New Roman" w:cs="Times New Roman"/>
          <w:sz w:val="24"/>
          <w:szCs w:val="24"/>
        </w:rPr>
        <w:t xml:space="preserve"> quasi </w:t>
      </w:r>
      <w:r w:rsidR="00B743DB">
        <w:rPr>
          <w:rFonts w:ascii="Times New Roman" w:hAnsi="Times New Roman" w:cs="Times New Roman"/>
          <w:sz w:val="24"/>
          <w:szCs w:val="24"/>
        </w:rPr>
        <w:t>per scontati</w:t>
      </w:r>
      <w:r w:rsidR="0087115D">
        <w:rPr>
          <w:rFonts w:ascii="Times New Roman" w:hAnsi="Times New Roman" w:cs="Times New Roman"/>
          <w:sz w:val="24"/>
          <w:szCs w:val="24"/>
        </w:rPr>
        <w:t>.</w:t>
      </w:r>
    </w:p>
    <w:p w:rsidR="004F2EED" w:rsidRDefault="004F2EED" w:rsidP="00D964D0">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Oltre che della questione inerente la disapplicazione del diritto interno in contrasto con il diritto europeo non solo da parte del giudice ma anche dell’amministrazione, ormai consolidata nella </w:t>
      </w:r>
      <w:r w:rsidR="00340F69">
        <w:rPr>
          <w:rFonts w:ascii="Times New Roman" w:hAnsi="Times New Roman" w:cs="Times New Roman"/>
          <w:sz w:val="24"/>
          <w:szCs w:val="24"/>
        </w:rPr>
        <w:t xml:space="preserve">soluzione da parte della </w:t>
      </w:r>
      <w:r>
        <w:rPr>
          <w:rFonts w:ascii="Times New Roman" w:hAnsi="Times New Roman" w:cs="Times New Roman"/>
          <w:sz w:val="24"/>
          <w:szCs w:val="24"/>
        </w:rPr>
        <w:t xml:space="preserve">giurisprudenza </w:t>
      </w:r>
      <w:r w:rsidR="0004238C">
        <w:rPr>
          <w:rFonts w:ascii="Times New Roman" w:hAnsi="Times New Roman" w:cs="Times New Roman"/>
          <w:sz w:val="24"/>
          <w:szCs w:val="24"/>
        </w:rPr>
        <w:t xml:space="preserve">sia </w:t>
      </w:r>
      <w:r>
        <w:rPr>
          <w:rFonts w:ascii="Times New Roman" w:hAnsi="Times New Roman" w:cs="Times New Roman"/>
          <w:sz w:val="24"/>
          <w:szCs w:val="24"/>
        </w:rPr>
        <w:t>della CGUE</w:t>
      </w:r>
      <w:r w:rsidR="00340F69">
        <w:rPr>
          <w:rFonts w:ascii="Times New Roman" w:hAnsi="Times New Roman" w:cs="Times New Roman"/>
          <w:sz w:val="24"/>
          <w:szCs w:val="24"/>
        </w:rPr>
        <w:t xml:space="preserve"> </w:t>
      </w:r>
      <w:r w:rsidR="0004238C">
        <w:rPr>
          <w:rFonts w:ascii="Times New Roman" w:hAnsi="Times New Roman" w:cs="Times New Roman"/>
          <w:sz w:val="24"/>
          <w:szCs w:val="24"/>
        </w:rPr>
        <w:t>ch</w:t>
      </w:r>
      <w:r w:rsidR="00340F69">
        <w:rPr>
          <w:rFonts w:ascii="Times New Roman" w:hAnsi="Times New Roman" w:cs="Times New Roman"/>
          <w:sz w:val="24"/>
          <w:szCs w:val="24"/>
        </w:rPr>
        <w:t>e della Corte Costituzionale</w:t>
      </w:r>
      <w:r>
        <w:rPr>
          <w:rFonts w:ascii="Times New Roman" w:hAnsi="Times New Roman" w:cs="Times New Roman"/>
          <w:sz w:val="24"/>
          <w:szCs w:val="24"/>
        </w:rPr>
        <w:t>.</w:t>
      </w:r>
    </w:p>
    <w:p w:rsidR="004F2EED" w:rsidRDefault="004F2EED" w:rsidP="00D964D0">
      <w:pPr>
        <w:spacing w:line="360" w:lineRule="auto"/>
        <w:ind w:firstLine="709"/>
        <w:jc w:val="both"/>
        <w:rPr>
          <w:rFonts w:ascii="Times New Roman" w:hAnsi="Times New Roman" w:cs="Times New Roman"/>
          <w:sz w:val="24"/>
          <w:szCs w:val="24"/>
        </w:rPr>
      </w:pPr>
    </w:p>
    <w:p w:rsidR="004F2EED" w:rsidRPr="0087115D" w:rsidRDefault="00772A38" w:rsidP="00D964D0">
      <w:pPr>
        <w:spacing w:line="360" w:lineRule="auto"/>
        <w:ind w:firstLine="709"/>
        <w:jc w:val="both"/>
        <w:rPr>
          <w:rFonts w:ascii="Times New Roman" w:hAnsi="Times New Roman" w:cs="Times New Roman"/>
          <w:b/>
          <w:sz w:val="24"/>
          <w:szCs w:val="24"/>
        </w:rPr>
      </w:pPr>
      <w:r>
        <w:rPr>
          <w:rFonts w:ascii="Times New Roman" w:hAnsi="Times New Roman" w:cs="Times New Roman"/>
          <w:b/>
          <w:sz w:val="24"/>
          <w:szCs w:val="24"/>
        </w:rPr>
        <w:t xml:space="preserve">5. </w:t>
      </w:r>
      <w:r w:rsidR="0087115D" w:rsidRPr="0087115D">
        <w:rPr>
          <w:rFonts w:ascii="Times New Roman" w:hAnsi="Times New Roman" w:cs="Times New Roman"/>
          <w:b/>
          <w:sz w:val="24"/>
          <w:szCs w:val="24"/>
        </w:rPr>
        <w:t>Il nuovo panorama normativo.</w:t>
      </w:r>
    </w:p>
    <w:p w:rsidR="00865D67" w:rsidRPr="0087115D" w:rsidRDefault="0087115D" w:rsidP="00D964D0">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Intanto il panorama normativo è cambiato per effetto della l. 5 agosto 2022, n. 118, dal titolo “</w:t>
      </w:r>
      <w:r w:rsidRPr="0087115D">
        <w:rPr>
          <w:rFonts w:ascii="Times New Roman" w:hAnsi="Times New Roman" w:cs="Times New Roman"/>
          <w:i/>
          <w:sz w:val="24"/>
          <w:szCs w:val="24"/>
        </w:rPr>
        <w:t>Legge annuale per il mercato e la concorrenza 2021</w:t>
      </w:r>
      <w:r>
        <w:rPr>
          <w:rFonts w:ascii="Times New Roman" w:hAnsi="Times New Roman" w:cs="Times New Roman"/>
          <w:sz w:val="24"/>
          <w:szCs w:val="24"/>
        </w:rPr>
        <w:t xml:space="preserve">” </w:t>
      </w:r>
      <w:r w:rsidR="00482F59" w:rsidRPr="0087115D">
        <w:rPr>
          <w:rFonts w:ascii="Times New Roman" w:hAnsi="Times New Roman" w:cs="Times New Roman"/>
          <w:sz w:val="24"/>
          <w:szCs w:val="24"/>
        </w:rPr>
        <w:t>(in vigore dal 27 agosto 2022)</w:t>
      </w:r>
      <w:r>
        <w:rPr>
          <w:rFonts w:ascii="Times New Roman" w:hAnsi="Times New Roman" w:cs="Times New Roman"/>
          <w:sz w:val="24"/>
          <w:szCs w:val="24"/>
        </w:rPr>
        <w:t>.</w:t>
      </w:r>
    </w:p>
    <w:p w:rsidR="00926CC7" w:rsidRPr="00D964D0" w:rsidRDefault="00C741E2" w:rsidP="00D964D0">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Si </w:t>
      </w:r>
      <w:r w:rsidR="002B6DDA">
        <w:rPr>
          <w:rFonts w:ascii="Times New Roman" w:hAnsi="Times New Roman" w:cs="Times New Roman"/>
          <w:sz w:val="24"/>
          <w:szCs w:val="24"/>
        </w:rPr>
        <w:t>prevede l’adozione</w:t>
      </w:r>
      <w:r w:rsidR="0087115D">
        <w:rPr>
          <w:rFonts w:ascii="Times New Roman" w:hAnsi="Times New Roman" w:cs="Times New Roman"/>
          <w:sz w:val="24"/>
          <w:szCs w:val="24"/>
        </w:rPr>
        <w:t xml:space="preserve"> </w:t>
      </w:r>
      <w:r w:rsidR="00926CC7" w:rsidRPr="00D964D0">
        <w:rPr>
          <w:rFonts w:ascii="Times New Roman" w:hAnsi="Times New Roman" w:cs="Times New Roman"/>
          <w:sz w:val="24"/>
          <w:szCs w:val="24"/>
        </w:rPr>
        <w:t>di un decreto legislativo</w:t>
      </w:r>
      <w:r>
        <w:rPr>
          <w:rFonts w:ascii="Times New Roman" w:hAnsi="Times New Roman" w:cs="Times New Roman"/>
          <w:sz w:val="24"/>
          <w:szCs w:val="24"/>
        </w:rPr>
        <w:t xml:space="preserve"> per la così detta mappatura, ossia </w:t>
      </w:r>
      <w:r w:rsidR="00926CC7" w:rsidRPr="00D964D0">
        <w:rPr>
          <w:rFonts w:ascii="Times New Roman" w:hAnsi="Times New Roman" w:cs="Times New Roman"/>
          <w:sz w:val="24"/>
          <w:szCs w:val="24"/>
        </w:rPr>
        <w:t>“</w:t>
      </w:r>
      <w:r w:rsidR="00926CC7" w:rsidRPr="00D964D0">
        <w:rPr>
          <w:rFonts w:ascii="Times New Roman" w:hAnsi="Times New Roman" w:cs="Times New Roman"/>
          <w:i/>
          <w:sz w:val="24"/>
          <w:szCs w:val="24"/>
        </w:rPr>
        <w:t>per la costituzione e il coordinamento di un sistema informativo di rilevazione delle concessioni di beni pubblici al fine di promuovere la massima pubblicità e trasparenza, anche in forma sintetica, dei principali dati e delle informazioni relativi a tutti i rapporti concessori, tenendo conto delle esigenze di difesa e sicurezza</w:t>
      </w:r>
      <w:r>
        <w:rPr>
          <w:rFonts w:ascii="Times New Roman" w:hAnsi="Times New Roman" w:cs="Times New Roman"/>
          <w:sz w:val="24"/>
          <w:szCs w:val="24"/>
        </w:rPr>
        <w:t>” (art. 2).</w:t>
      </w:r>
    </w:p>
    <w:p w:rsidR="007D41BF" w:rsidRPr="00D964D0" w:rsidRDefault="007D41BF" w:rsidP="00D964D0">
      <w:pPr>
        <w:spacing w:line="360" w:lineRule="auto"/>
        <w:ind w:firstLine="709"/>
        <w:jc w:val="both"/>
        <w:rPr>
          <w:rFonts w:ascii="Times New Roman" w:hAnsi="Times New Roman" w:cs="Times New Roman"/>
          <w:sz w:val="24"/>
          <w:szCs w:val="24"/>
        </w:rPr>
      </w:pPr>
      <w:r w:rsidRPr="00D964D0">
        <w:rPr>
          <w:rFonts w:ascii="Times New Roman" w:hAnsi="Times New Roman" w:cs="Times New Roman"/>
          <w:sz w:val="24"/>
          <w:szCs w:val="24"/>
        </w:rPr>
        <w:t xml:space="preserve">Si </w:t>
      </w:r>
      <w:r w:rsidR="00C741E2">
        <w:rPr>
          <w:rFonts w:ascii="Times New Roman" w:hAnsi="Times New Roman" w:cs="Times New Roman"/>
          <w:sz w:val="24"/>
          <w:szCs w:val="24"/>
        </w:rPr>
        <w:t>prescrive</w:t>
      </w:r>
      <w:r w:rsidRPr="00D964D0">
        <w:rPr>
          <w:rFonts w:ascii="Times New Roman" w:hAnsi="Times New Roman" w:cs="Times New Roman"/>
          <w:sz w:val="24"/>
          <w:szCs w:val="24"/>
        </w:rPr>
        <w:t xml:space="preserve"> la continuazione dell’efficacia sino al 31 dicembre 2023 delle concessioni in essere demaniali marittime, lacuali e fluviali per l'esercizio delle attività turistico-ricreative e sportive, con possibilità di differimento non oltre il 31 dicembre 2024 con atto motivato dell’autorità competente e </w:t>
      </w:r>
      <w:r w:rsidR="009A5073" w:rsidRPr="00D964D0">
        <w:rPr>
          <w:rFonts w:ascii="Times New Roman" w:hAnsi="Times New Roman" w:cs="Times New Roman"/>
          <w:sz w:val="24"/>
          <w:szCs w:val="24"/>
        </w:rPr>
        <w:t>in pendenza di un contenzioso o di difficoltà oggettive legate all’espletamento delle gare</w:t>
      </w:r>
      <w:r w:rsidR="00C741E2">
        <w:rPr>
          <w:rFonts w:ascii="Times New Roman" w:hAnsi="Times New Roman" w:cs="Times New Roman"/>
          <w:sz w:val="24"/>
          <w:szCs w:val="24"/>
        </w:rPr>
        <w:t xml:space="preserve"> (art. 3).</w:t>
      </w:r>
    </w:p>
    <w:p w:rsidR="007D41BF" w:rsidRPr="00D964D0" w:rsidRDefault="002350F7" w:rsidP="00D964D0">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Si prevede l’adozione</w:t>
      </w:r>
      <w:r w:rsidR="00C741E2">
        <w:rPr>
          <w:rFonts w:ascii="Times New Roman" w:hAnsi="Times New Roman" w:cs="Times New Roman"/>
          <w:sz w:val="24"/>
          <w:szCs w:val="24"/>
        </w:rPr>
        <w:t xml:space="preserve"> </w:t>
      </w:r>
      <w:r w:rsidR="00DC1F5B" w:rsidRPr="00D964D0">
        <w:rPr>
          <w:rFonts w:ascii="Times New Roman" w:hAnsi="Times New Roman" w:cs="Times New Roman"/>
          <w:sz w:val="24"/>
          <w:szCs w:val="24"/>
        </w:rPr>
        <w:t xml:space="preserve">di uno o più decreti legislativi </w:t>
      </w:r>
      <w:r w:rsidR="00DC1F5B" w:rsidRPr="00D964D0">
        <w:rPr>
          <w:rFonts w:ascii="Times New Roman" w:hAnsi="Times New Roman" w:cs="Times New Roman"/>
          <w:b/>
          <w:sz w:val="24"/>
          <w:szCs w:val="24"/>
        </w:rPr>
        <w:t xml:space="preserve">- </w:t>
      </w:r>
      <w:r>
        <w:rPr>
          <w:rFonts w:ascii="Times New Roman" w:hAnsi="Times New Roman" w:cs="Times New Roman"/>
          <w:sz w:val="24"/>
          <w:szCs w:val="24"/>
        </w:rPr>
        <w:t>per i quali sono</w:t>
      </w:r>
      <w:r w:rsidR="00DC1F5B" w:rsidRPr="00C741E2">
        <w:rPr>
          <w:rFonts w:ascii="Times New Roman" w:hAnsi="Times New Roman" w:cs="Times New Roman"/>
          <w:sz w:val="24"/>
          <w:szCs w:val="24"/>
        </w:rPr>
        <w:t xml:space="preserve"> </w:t>
      </w:r>
      <w:r>
        <w:rPr>
          <w:rFonts w:ascii="Times New Roman" w:hAnsi="Times New Roman" w:cs="Times New Roman"/>
          <w:sz w:val="24"/>
          <w:szCs w:val="24"/>
        </w:rPr>
        <w:t>prescritti</w:t>
      </w:r>
      <w:r w:rsidR="00DC1F5B" w:rsidRPr="00C741E2">
        <w:rPr>
          <w:rFonts w:ascii="Times New Roman" w:hAnsi="Times New Roman" w:cs="Times New Roman"/>
          <w:sz w:val="24"/>
          <w:szCs w:val="24"/>
        </w:rPr>
        <w:t xml:space="preserve"> anche </w:t>
      </w:r>
      <w:r>
        <w:rPr>
          <w:rFonts w:ascii="Times New Roman" w:hAnsi="Times New Roman" w:cs="Times New Roman"/>
          <w:sz w:val="24"/>
          <w:szCs w:val="24"/>
        </w:rPr>
        <w:t>l’intesa</w:t>
      </w:r>
      <w:r w:rsidR="00DC1F5B" w:rsidRPr="00C741E2">
        <w:rPr>
          <w:rFonts w:ascii="Times New Roman" w:hAnsi="Times New Roman" w:cs="Times New Roman"/>
          <w:sz w:val="24"/>
          <w:szCs w:val="24"/>
        </w:rPr>
        <w:t xml:space="preserve"> </w:t>
      </w:r>
      <w:r>
        <w:rPr>
          <w:rFonts w:ascii="Times New Roman" w:hAnsi="Times New Roman" w:cs="Times New Roman"/>
          <w:sz w:val="24"/>
          <w:szCs w:val="24"/>
        </w:rPr>
        <w:t>in sede di</w:t>
      </w:r>
      <w:r w:rsidR="00F042D3" w:rsidRPr="00C741E2">
        <w:rPr>
          <w:rFonts w:ascii="Times New Roman" w:hAnsi="Times New Roman" w:cs="Times New Roman"/>
          <w:sz w:val="24"/>
          <w:szCs w:val="24"/>
        </w:rPr>
        <w:t xml:space="preserve"> Conferenza</w:t>
      </w:r>
      <w:r w:rsidR="00F042D3" w:rsidRPr="00D964D0">
        <w:rPr>
          <w:rFonts w:ascii="Times New Roman" w:hAnsi="Times New Roman" w:cs="Times New Roman"/>
          <w:sz w:val="24"/>
          <w:szCs w:val="24"/>
        </w:rPr>
        <w:t xml:space="preserve"> unificata</w:t>
      </w:r>
      <w:r>
        <w:rPr>
          <w:rFonts w:ascii="Times New Roman" w:hAnsi="Times New Roman" w:cs="Times New Roman"/>
          <w:sz w:val="24"/>
          <w:szCs w:val="24"/>
        </w:rPr>
        <w:t>, nonché i pareri del Consiglio di Stato</w:t>
      </w:r>
      <w:r w:rsidR="00F042D3" w:rsidRPr="00D964D0">
        <w:rPr>
          <w:rFonts w:ascii="Times New Roman" w:hAnsi="Times New Roman" w:cs="Times New Roman"/>
          <w:sz w:val="24"/>
          <w:szCs w:val="24"/>
        </w:rPr>
        <w:t xml:space="preserve"> e delle Commissioni parlamentari </w:t>
      </w:r>
      <w:r w:rsidR="00DC1F5B" w:rsidRPr="00D964D0">
        <w:rPr>
          <w:rFonts w:ascii="Times New Roman" w:hAnsi="Times New Roman" w:cs="Times New Roman"/>
          <w:b/>
          <w:sz w:val="24"/>
          <w:szCs w:val="24"/>
        </w:rPr>
        <w:t>-</w:t>
      </w:r>
      <w:r w:rsidR="00DC1F5B" w:rsidRPr="00D964D0">
        <w:rPr>
          <w:rFonts w:ascii="Times New Roman" w:hAnsi="Times New Roman" w:cs="Times New Roman"/>
          <w:sz w:val="24"/>
          <w:szCs w:val="24"/>
        </w:rPr>
        <w:t xml:space="preserve"> nel rispetto di vari principi e criteri direttivi, tra cui</w:t>
      </w:r>
      <w:r w:rsidR="00757600" w:rsidRPr="00D964D0">
        <w:rPr>
          <w:rFonts w:ascii="Times New Roman" w:hAnsi="Times New Roman" w:cs="Times New Roman"/>
          <w:sz w:val="24"/>
          <w:szCs w:val="24"/>
        </w:rPr>
        <w:t>, di rilievo</w:t>
      </w:r>
      <w:r w:rsidR="00DC1F5B" w:rsidRPr="00D964D0">
        <w:rPr>
          <w:rFonts w:ascii="Times New Roman" w:hAnsi="Times New Roman" w:cs="Times New Roman"/>
          <w:sz w:val="24"/>
          <w:szCs w:val="24"/>
        </w:rPr>
        <w:t>:</w:t>
      </w:r>
    </w:p>
    <w:p w:rsidR="00DC1F5B" w:rsidRPr="00D964D0" w:rsidRDefault="00DC1F5B" w:rsidP="00D964D0">
      <w:pPr>
        <w:spacing w:line="360" w:lineRule="auto"/>
        <w:ind w:firstLine="709"/>
        <w:jc w:val="both"/>
        <w:rPr>
          <w:rFonts w:ascii="Times New Roman" w:hAnsi="Times New Roman" w:cs="Times New Roman"/>
          <w:i/>
          <w:sz w:val="24"/>
          <w:szCs w:val="24"/>
        </w:rPr>
      </w:pPr>
      <w:r w:rsidRPr="00D964D0">
        <w:rPr>
          <w:rFonts w:ascii="Times New Roman" w:hAnsi="Times New Roman" w:cs="Times New Roman"/>
          <w:i/>
          <w:sz w:val="24"/>
          <w:szCs w:val="24"/>
        </w:rPr>
        <w:t>“…b) affidamento delle concessioni sulla base di procedure selettive, nel rispetto dei princìpi di imparzialità, non discriminazione, parità di trattamento, massima partecipazione, trasparenza e adeguata pubblicità, da avviare con adeguato anticipo rispetto alla loro scadenza;</w:t>
      </w:r>
    </w:p>
    <w:p w:rsidR="00DC1F5B" w:rsidRPr="00D964D0" w:rsidRDefault="00DC1F5B" w:rsidP="00D964D0">
      <w:pPr>
        <w:spacing w:line="360" w:lineRule="auto"/>
        <w:ind w:firstLine="709"/>
        <w:jc w:val="both"/>
        <w:rPr>
          <w:rFonts w:ascii="Times New Roman" w:hAnsi="Times New Roman" w:cs="Times New Roman"/>
          <w:i/>
          <w:sz w:val="24"/>
          <w:szCs w:val="24"/>
        </w:rPr>
      </w:pPr>
      <w:r w:rsidRPr="00D964D0">
        <w:rPr>
          <w:rFonts w:ascii="Times New Roman" w:hAnsi="Times New Roman" w:cs="Times New Roman"/>
          <w:i/>
          <w:sz w:val="24"/>
          <w:szCs w:val="24"/>
        </w:rPr>
        <w:t>c) in sede di affidamento della concessione, e comunque nel rispetto dei criteri previsti dal presente articolo, adeguata considerazione degli investimenti, del valore aziendale dell'impresa e dei beni materiali e immateriali, della professionalità acquisita anche da parte di imprese titolari di strutture turistico-ricettive che gestiscono concessioni demaniali, nonché valorizzazione di obiettivi di politica sociale, della salute e della sicurezza dei lavoratori, della protezione dell'ambiente e della salvaguardia del patrimonio culturale;…</w:t>
      </w:r>
    </w:p>
    <w:p w:rsidR="00DC1F5B" w:rsidRPr="00D964D0" w:rsidRDefault="00DC1F5B" w:rsidP="00D964D0">
      <w:pPr>
        <w:spacing w:line="360" w:lineRule="auto"/>
        <w:ind w:firstLine="709"/>
        <w:jc w:val="both"/>
        <w:rPr>
          <w:rFonts w:ascii="Times New Roman" w:hAnsi="Times New Roman" w:cs="Times New Roman"/>
          <w:i/>
          <w:sz w:val="24"/>
          <w:szCs w:val="24"/>
        </w:rPr>
      </w:pPr>
      <w:r w:rsidRPr="00D964D0">
        <w:rPr>
          <w:rFonts w:ascii="Times New Roman" w:hAnsi="Times New Roman" w:cs="Times New Roman"/>
          <w:i/>
          <w:sz w:val="24"/>
          <w:szCs w:val="24"/>
        </w:rPr>
        <w:t xml:space="preserve">5) valorizzazione e adeguata considerazione, ai fini della scelta del concessionario: </w:t>
      </w:r>
    </w:p>
    <w:p w:rsidR="00DC1F5B" w:rsidRPr="00D964D0" w:rsidRDefault="00DC1F5B" w:rsidP="00D964D0">
      <w:pPr>
        <w:spacing w:line="360" w:lineRule="auto"/>
        <w:ind w:firstLine="709"/>
        <w:jc w:val="both"/>
        <w:rPr>
          <w:rFonts w:ascii="Times New Roman" w:hAnsi="Times New Roman" w:cs="Times New Roman"/>
          <w:i/>
          <w:sz w:val="24"/>
          <w:szCs w:val="24"/>
        </w:rPr>
      </w:pPr>
      <w:r w:rsidRPr="00D964D0">
        <w:rPr>
          <w:rFonts w:ascii="Times New Roman" w:hAnsi="Times New Roman" w:cs="Times New Roman"/>
          <w:i/>
          <w:sz w:val="24"/>
          <w:szCs w:val="24"/>
        </w:rPr>
        <w:t xml:space="preserve">5.1) dell'esperienza tecnica e professionale già acquisita in relazione all'attività oggetto di concessione, secondo criteri di proporzionalità e di adeguatezza e, comunque, in maniera tale da non precludere l'accesso al settore di nuovi operatori; </w:t>
      </w:r>
    </w:p>
    <w:p w:rsidR="00DC1F5B" w:rsidRPr="00D964D0" w:rsidRDefault="00DC1F5B" w:rsidP="00D964D0">
      <w:pPr>
        <w:spacing w:line="360" w:lineRule="auto"/>
        <w:ind w:firstLine="709"/>
        <w:jc w:val="both"/>
        <w:rPr>
          <w:rFonts w:ascii="Times New Roman" w:hAnsi="Times New Roman" w:cs="Times New Roman"/>
          <w:i/>
          <w:sz w:val="24"/>
          <w:szCs w:val="24"/>
        </w:rPr>
      </w:pPr>
      <w:r w:rsidRPr="00D964D0">
        <w:rPr>
          <w:rFonts w:ascii="Times New Roman" w:hAnsi="Times New Roman" w:cs="Times New Roman"/>
          <w:i/>
          <w:sz w:val="24"/>
          <w:szCs w:val="24"/>
        </w:rPr>
        <w:t>5.2) della posizione dei soggetti che, nei cinque anni antecedenti l'avvio della procedura selettiva, hanno utilizzato una concessione quale prevalente fonte di reddito per sé e per il proprio nucleo familiare, nei limiti definiti anche tenendo conto della titolarità, alla data di avvio della procedura selettiva, in via diretta o indiretta, di altra concessione o di altre attività d'impresa o di tipo professionale del settore;</w:t>
      </w:r>
    </w:p>
    <w:p w:rsidR="00DC1F5B" w:rsidRPr="00D964D0" w:rsidRDefault="00DC1F5B" w:rsidP="00D964D0">
      <w:pPr>
        <w:spacing w:line="360" w:lineRule="auto"/>
        <w:ind w:firstLine="709"/>
        <w:jc w:val="both"/>
        <w:rPr>
          <w:rFonts w:ascii="Times New Roman" w:hAnsi="Times New Roman" w:cs="Times New Roman"/>
          <w:i/>
          <w:sz w:val="24"/>
          <w:szCs w:val="24"/>
        </w:rPr>
      </w:pPr>
      <w:r w:rsidRPr="00D964D0">
        <w:rPr>
          <w:rFonts w:ascii="Times New Roman" w:hAnsi="Times New Roman" w:cs="Times New Roman"/>
          <w:i/>
          <w:sz w:val="24"/>
          <w:szCs w:val="24"/>
        </w:rPr>
        <w:t>6) previsione di clausole sociali volte a promuovere la stabilità occupazionale del personale impiegato nell'attività del concessionario uscente, nel rispetto dei princìpi dell'Unione europea e nel quadro della promozione e garanzia degli obiettivi di politica sociale connessi alla tutela dell'occupazione, anche ai sensi dei princìpi contenuti nell'articolo 12, paragrafo 3, della direttiva 2006/123/CE del Parlamento europeo e del Consiglio, del 12 dicembre 2006;</w:t>
      </w:r>
    </w:p>
    <w:p w:rsidR="00DC1F5B" w:rsidRPr="00D964D0" w:rsidRDefault="00DC1F5B" w:rsidP="00D964D0">
      <w:pPr>
        <w:spacing w:line="360" w:lineRule="auto"/>
        <w:ind w:firstLine="709"/>
        <w:jc w:val="both"/>
        <w:rPr>
          <w:rFonts w:ascii="Times New Roman" w:hAnsi="Times New Roman" w:cs="Times New Roman"/>
          <w:i/>
          <w:sz w:val="24"/>
          <w:szCs w:val="24"/>
        </w:rPr>
      </w:pPr>
      <w:r w:rsidRPr="00D964D0">
        <w:rPr>
          <w:rFonts w:ascii="Times New Roman" w:hAnsi="Times New Roman" w:cs="Times New Roman"/>
          <w:i/>
          <w:sz w:val="24"/>
          <w:szCs w:val="24"/>
        </w:rPr>
        <w:t>7) previsione della durata della concessione per un periodo non superiore a quanto necessario per garantire al concessionario l'ammortamento e l'equa remunerazione degli investimenti autorizzati dall'ente concedente in sede di assegnazione della concessione e comunque da determinare in ragione dell'entità e della rilevanza economica delle opere da realizzare, con divieto espresso di proroghe e rinnovi anche automatici;</w:t>
      </w:r>
    </w:p>
    <w:p w:rsidR="00DC1F5B" w:rsidRPr="00D964D0" w:rsidRDefault="00DC1F5B" w:rsidP="00D964D0">
      <w:pPr>
        <w:spacing w:line="360" w:lineRule="auto"/>
        <w:ind w:firstLine="709"/>
        <w:jc w:val="both"/>
        <w:rPr>
          <w:rFonts w:ascii="Times New Roman" w:hAnsi="Times New Roman" w:cs="Times New Roman"/>
          <w:i/>
          <w:sz w:val="24"/>
          <w:szCs w:val="24"/>
        </w:rPr>
      </w:pPr>
      <w:r w:rsidRPr="00D964D0">
        <w:rPr>
          <w:rFonts w:ascii="Times New Roman" w:hAnsi="Times New Roman" w:cs="Times New Roman"/>
          <w:i/>
          <w:sz w:val="24"/>
          <w:szCs w:val="24"/>
        </w:rPr>
        <w:t>f) definizione di criteri uniformi per la quantificazione di canoni annui concessori che tengano conto del pregio naturale e dell'effettiva redditività delle aree demaniali da affidare in concessione, nonché dell'utilizzo di tali aree per attività sportive, ricreative, sociali e legate alle tradizioni locali, svolte in forma singola o associata senza scopo di lucro, ovvero per finalità di interesse pubblico;</w:t>
      </w:r>
    </w:p>
    <w:p w:rsidR="00DC1F5B" w:rsidRPr="00D964D0" w:rsidRDefault="00DC1F5B" w:rsidP="00D964D0">
      <w:pPr>
        <w:spacing w:line="360" w:lineRule="auto"/>
        <w:ind w:firstLine="709"/>
        <w:jc w:val="both"/>
        <w:rPr>
          <w:rFonts w:ascii="Times New Roman" w:hAnsi="Times New Roman" w:cs="Times New Roman"/>
          <w:sz w:val="24"/>
          <w:szCs w:val="24"/>
        </w:rPr>
      </w:pPr>
      <w:r w:rsidRPr="00D964D0">
        <w:rPr>
          <w:rFonts w:ascii="Times New Roman" w:hAnsi="Times New Roman" w:cs="Times New Roman"/>
          <w:i/>
          <w:sz w:val="24"/>
          <w:szCs w:val="24"/>
        </w:rPr>
        <w:t>…i) definizione di criteri uniformi per la quantificazione dell'indennizzo da riconoscere al concessionario uscente, posto a carico del concessionario subentrante;</w:t>
      </w:r>
      <w:r w:rsidR="003C3572" w:rsidRPr="00D964D0">
        <w:rPr>
          <w:rFonts w:ascii="Times New Roman" w:hAnsi="Times New Roman" w:cs="Times New Roman"/>
          <w:i/>
          <w:sz w:val="24"/>
          <w:szCs w:val="24"/>
        </w:rPr>
        <w:t>…</w:t>
      </w:r>
      <w:r w:rsidR="003C3572" w:rsidRPr="00D964D0">
        <w:rPr>
          <w:rFonts w:ascii="Times New Roman" w:hAnsi="Times New Roman" w:cs="Times New Roman"/>
          <w:sz w:val="24"/>
          <w:szCs w:val="24"/>
        </w:rPr>
        <w:t>”.</w:t>
      </w:r>
    </w:p>
    <w:p w:rsidR="00DC1F5B" w:rsidRDefault="005027E1" w:rsidP="00D964D0">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Ricapitolando</w:t>
      </w:r>
      <w:r w:rsidR="00340F69">
        <w:rPr>
          <w:rFonts w:ascii="Times New Roman" w:hAnsi="Times New Roman" w:cs="Times New Roman"/>
          <w:sz w:val="24"/>
          <w:szCs w:val="24"/>
        </w:rPr>
        <w:t xml:space="preserve"> i punti essenziali</w:t>
      </w:r>
      <w:r>
        <w:rPr>
          <w:rFonts w:ascii="Times New Roman" w:hAnsi="Times New Roman" w:cs="Times New Roman"/>
          <w:sz w:val="24"/>
          <w:szCs w:val="24"/>
        </w:rPr>
        <w:t>:</w:t>
      </w:r>
    </w:p>
    <w:p w:rsidR="005027E1" w:rsidRDefault="005027E1" w:rsidP="00D964D0">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a) cessazione dell’efficacia delle concessioni in essere </w:t>
      </w:r>
      <w:r w:rsidR="00B3629C">
        <w:rPr>
          <w:rFonts w:ascii="Times New Roman" w:hAnsi="Times New Roman" w:cs="Times New Roman"/>
          <w:sz w:val="24"/>
          <w:szCs w:val="24"/>
        </w:rPr>
        <w:t>al 31 dicembre 2023 o,</w:t>
      </w:r>
      <w:r>
        <w:rPr>
          <w:rFonts w:ascii="Times New Roman" w:hAnsi="Times New Roman" w:cs="Times New Roman"/>
          <w:sz w:val="24"/>
          <w:szCs w:val="24"/>
        </w:rPr>
        <w:t xml:space="preserve"> in via eccezionale</w:t>
      </w:r>
      <w:r w:rsidR="00B3629C">
        <w:rPr>
          <w:rFonts w:ascii="Times New Roman" w:hAnsi="Times New Roman" w:cs="Times New Roman"/>
          <w:sz w:val="24"/>
          <w:szCs w:val="24"/>
        </w:rPr>
        <w:t>, al 31 dicembre 2024</w:t>
      </w:r>
      <w:r>
        <w:rPr>
          <w:rFonts w:ascii="Times New Roman" w:hAnsi="Times New Roman" w:cs="Times New Roman"/>
          <w:sz w:val="24"/>
          <w:szCs w:val="24"/>
        </w:rPr>
        <w:t>;</w:t>
      </w:r>
    </w:p>
    <w:p w:rsidR="005027E1" w:rsidRDefault="005027E1" w:rsidP="00D964D0">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b) espletamento delle gare per l’affidamento delle nuove concessioni;</w:t>
      </w:r>
    </w:p>
    <w:p w:rsidR="005027E1" w:rsidRDefault="005027E1" w:rsidP="00D964D0">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c) rispetto dei principi del TFUE a tutela della concorrenza</w:t>
      </w:r>
      <w:r w:rsidR="0004238C">
        <w:rPr>
          <w:rFonts w:ascii="Times New Roman" w:hAnsi="Times New Roman" w:cs="Times New Roman"/>
          <w:sz w:val="24"/>
          <w:szCs w:val="24"/>
        </w:rPr>
        <w:t xml:space="preserve">, </w:t>
      </w:r>
      <w:r w:rsidR="0004238C" w:rsidRPr="0004238C">
        <w:rPr>
          <w:rFonts w:ascii="Times New Roman" w:hAnsi="Times New Roman" w:cs="Times New Roman"/>
          <w:sz w:val="24"/>
          <w:szCs w:val="24"/>
        </w:rPr>
        <w:t>ai fini della scelta del concessionario</w:t>
      </w:r>
      <w:r>
        <w:rPr>
          <w:rFonts w:ascii="Times New Roman" w:hAnsi="Times New Roman" w:cs="Times New Roman"/>
          <w:sz w:val="24"/>
          <w:szCs w:val="24"/>
        </w:rPr>
        <w:t>;</w:t>
      </w:r>
    </w:p>
    <w:p w:rsidR="005027E1" w:rsidRDefault="005027E1" w:rsidP="00D964D0">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d) considerazione delle professionalità acquisite nel settore, degli investimenti effettuati e riconoscimento di un indennizzo a fav</w:t>
      </w:r>
      <w:r w:rsidR="0004238C">
        <w:rPr>
          <w:rFonts w:ascii="Times New Roman" w:hAnsi="Times New Roman" w:cs="Times New Roman"/>
          <w:sz w:val="24"/>
          <w:szCs w:val="24"/>
        </w:rPr>
        <w:t>ore del concessionario uscente posto</w:t>
      </w:r>
      <w:r>
        <w:rPr>
          <w:rFonts w:ascii="Times New Roman" w:hAnsi="Times New Roman" w:cs="Times New Roman"/>
          <w:sz w:val="24"/>
          <w:szCs w:val="24"/>
        </w:rPr>
        <w:t xml:space="preserve"> a carico del concessionario subentrante.</w:t>
      </w:r>
    </w:p>
    <w:p w:rsidR="005027E1" w:rsidRDefault="005027E1" w:rsidP="00D964D0">
      <w:pPr>
        <w:spacing w:line="360" w:lineRule="auto"/>
        <w:ind w:firstLine="709"/>
        <w:jc w:val="both"/>
        <w:rPr>
          <w:rFonts w:ascii="Times New Roman" w:hAnsi="Times New Roman" w:cs="Times New Roman"/>
          <w:sz w:val="24"/>
          <w:szCs w:val="24"/>
        </w:rPr>
      </w:pPr>
    </w:p>
    <w:p w:rsidR="00823521" w:rsidRPr="00823521" w:rsidRDefault="00B3629C" w:rsidP="00D964D0">
      <w:pPr>
        <w:spacing w:line="360" w:lineRule="auto"/>
        <w:ind w:firstLine="709"/>
        <w:jc w:val="both"/>
        <w:rPr>
          <w:rFonts w:ascii="Times New Roman" w:hAnsi="Times New Roman" w:cs="Times New Roman"/>
          <w:b/>
          <w:sz w:val="24"/>
          <w:szCs w:val="24"/>
        </w:rPr>
      </w:pPr>
      <w:r>
        <w:rPr>
          <w:rFonts w:ascii="Times New Roman" w:hAnsi="Times New Roman" w:cs="Times New Roman"/>
          <w:b/>
          <w:sz w:val="24"/>
          <w:szCs w:val="24"/>
        </w:rPr>
        <w:t xml:space="preserve">6. </w:t>
      </w:r>
      <w:r w:rsidR="00823521" w:rsidRPr="00823521">
        <w:rPr>
          <w:rFonts w:ascii="Times New Roman" w:hAnsi="Times New Roman" w:cs="Times New Roman"/>
          <w:b/>
          <w:sz w:val="24"/>
          <w:szCs w:val="24"/>
        </w:rPr>
        <w:t>La situazione conseguente.</w:t>
      </w:r>
    </w:p>
    <w:p w:rsidR="00B3629C" w:rsidRDefault="00B3629C" w:rsidP="00D964D0">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Ormai le sentenze gemelle dell’adunanza plenaria del Consiglio di Stato mantengono solo un’importanza storica</w:t>
      </w:r>
      <w:r w:rsidR="00916E81">
        <w:rPr>
          <w:rFonts w:ascii="Times New Roman" w:hAnsi="Times New Roman" w:cs="Times New Roman"/>
          <w:sz w:val="24"/>
          <w:szCs w:val="24"/>
        </w:rPr>
        <w:t xml:space="preserve"> e di studio,</w:t>
      </w:r>
      <w:r>
        <w:rPr>
          <w:rFonts w:ascii="Times New Roman" w:hAnsi="Times New Roman" w:cs="Times New Roman"/>
          <w:sz w:val="24"/>
          <w:szCs w:val="24"/>
        </w:rPr>
        <w:t xml:space="preserve"> dato che la nuova disciplina </w:t>
      </w:r>
      <w:r w:rsidR="00B743DB">
        <w:rPr>
          <w:rFonts w:ascii="Times New Roman" w:hAnsi="Times New Roman" w:cs="Times New Roman"/>
          <w:sz w:val="24"/>
          <w:szCs w:val="24"/>
        </w:rPr>
        <w:t>di</w:t>
      </w:r>
      <w:r>
        <w:rPr>
          <w:rFonts w:ascii="Times New Roman" w:hAnsi="Times New Roman" w:cs="Times New Roman"/>
          <w:sz w:val="24"/>
          <w:szCs w:val="24"/>
        </w:rPr>
        <w:t xml:space="preserve"> settore è </w:t>
      </w:r>
      <w:r w:rsidR="00916E81">
        <w:rPr>
          <w:rFonts w:ascii="Times New Roman" w:hAnsi="Times New Roman" w:cs="Times New Roman"/>
          <w:sz w:val="24"/>
          <w:szCs w:val="24"/>
        </w:rPr>
        <w:t xml:space="preserve">ora </w:t>
      </w:r>
      <w:r>
        <w:rPr>
          <w:rFonts w:ascii="Times New Roman" w:hAnsi="Times New Roman" w:cs="Times New Roman"/>
          <w:sz w:val="24"/>
          <w:szCs w:val="24"/>
        </w:rPr>
        <w:t xml:space="preserve">contenuta nella l. n. 118/2022 e sarà dettagliata dai decreti legislativi emanati in attuazione della stessa. </w:t>
      </w:r>
      <w:r w:rsidR="001C78DB">
        <w:rPr>
          <w:rFonts w:ascii="Times New Roman" w:hAnsi="Times New Roman" w:cs="Times New Roman"/>
          <w:sz w:val="24"/>
          <w:szCs w:val="24"/>
        </w:rPr>
        <w:t>È</w:t>
      </w:r>
      <w:r w:rsidR="005561CE">
        <w:rPr>
          <w:rFonts w:ascii="Times New Roman" w:hAnsi="Times New Roman" w:cs="Times New Roman"/>
          <w:sz w:val="24"/>
          <w:szCs w:val="24"/>
        </w:rPr>
        <w:t xml:space="preserve"> </w:t>
      </w:r>
      <w:r>
        <w:rPr>
          <w:rFonts w:ascii="Times New Roman" w:hAnsi="Times New Roman" w:cs="Times New Roman"/>
          <w:sz w:val="24"/>
          <w:szCs w:val="24"/>
        </w:rPr>
        <w:t xml:space="preserve">evidente che le pronunce del Consiglio di Stato sono state </w:t>
      </w:r>
      <w:r w:rsidR="001200F6">
        <w:rPr>
          <w:rFonts w:ascii="Times New Roman" w:hAnsi="Times New Roman" w:cs="Times New Roman"/>
          <w:sz w:val="24"/>
          <w:szCs w:val="24"/>
        </w:rPr>
        <w:t>l’occasione</w:t>
      </w:r>
      <w:r>
        <w:rPr>
          <w:rFonts w:ascii="Times New Roman" w:hAnsi="Times New Roman" w:cs="Times New Roman"/>
          <w:sz w:val="24"/>
          <w:szCs w:val="24"/>
        </w:rPr>
        <w:t xml:space="preserve"> per procedere finalmente alla revisione </w:t>
      </w:r>
      <w:r w:rsidR="005561CE">
        <w:rPr>
          <w:rFonts w:ascii="Times New Roman" w:hAnsi="Times New Roman" w:cs="Times New Roman"/>
          <w:sz w:val="24"/>
          <w:szCs w:val="24"/>
        </w:rPr>
        <w:t xml:space="preserve">della </w:t>
      </w:r>
      <w:r w:rsidR="00B743DB">
        <w:rPr>
          <w:rFonts w:ascii="Times New Roman" w:hAnsi="Times New Roman" w:cs="Times New Roman"/>
          <w:sz w:val="24"/>
          <w:szCs w:val="24"/>
        </w:rPr>
        <w:t>relativa disciplina</w:t>
      </w:r>
      <w:r>
        <w:rPr>
          <w:rFonts w:ascii="Times New Roman" w:hAnsi="Times New Roman" w:cs="Times New Roman"/>
          <w:sz w:val="24"/>
          <w:szCs w:val="24"/>
        </w:rPr>
        <w:t>. Ma discutere sulla conformità al diritto europeo dell’interpretazione data dal Consiglio di Stato</w:t>
      </w:r>
      <w:r w:rsidR="00B743DB">
        <w:rPr>
          <w:rFonts w:ascii="Times New Roman" w:hAnsi="Times New Roman" w:cs="Times New Roman"/>
          <w:sz w:val="24"/>
          <w:szCs w:val="24"/>
        </w:rPr>
        <w:t xml:space="preserve"> è ormai operazione sterile</w:t>
      </w:r>
      <w:r>
        <w:rPr>
          <w:rFonts w:ascii="Times New Roman" w:hAnsi="Times New Roman" w:cs="Times New Roman"/>
          <w:sz w:val="24"/>
          <w:szCs w:val="24"/>
        </w:rPr>
        <w:t>.</w:t>
      </w:r>
    </w:p>
    <w:p w:rsidR="00916E81" w:rsidRDefault="00916E81" w:rsidP="00D964D0">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Allo stesso modo delle varie critiche alle sentenze gemelle:</w:t>
      </w:r>
    </w:p>
    <w:p w:rsidR="0004238C" w:rsidRDefault="00916E81" w:rsidP="00D964D0">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a) l’adunanza plenaria s</w:t>
      </w:r>
      <w:r w:rsidR="0004238C">
        <w:rPr>
          <w:rFonts w:ascii="Times New Roman" w:hAnsi="Times New Roman" w:cs="Times New Roman"/>
          <w:sz w:val="24"/>
          <w:szCs w:val="24"/>
        </w:rPr>
        <w:t>i è sostituita al legislatore.</w:t>
      </w:r>
    </w:p>
    <w:p w:rsidR="00916E81" w:rsidRDefault="0004238C" w:rsidP="00D964D0">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Accade</w:t>
      </w:r>
      <w:r w:rsidR="00916E81">
        <w:rPr>
          <w:rFonts w:ascii="Times New Roman" w:hAnsi="Times New Roman" w:cs="Times New Roman"/>
          <w:sz w:val="24"/>
          <w:szCs w:val="24"/>
        </w:rPr>
        <w:t xml:space="preserve"> invece </w:t>
      </w:r>
      <w:r>
        <w:rPr>
          <w:rFonts w:ascii="Times New Roman" w:hAnsi="Times New Roman" w:cs="Times New Roman"/>
          <w:sz w:val="24"/>
          <w:szCs w:val="24"/>
        </w:rPr>
        <w:t xml:space="preserve">spesso che </w:t>
      </w:r>
      <w:r w:rsidR="00916E81">
        <w:rPr>
          <w:rFonts w:ascii="Times New Roman" w:hAnsi="Times New Roman" w:cs="Times New Roman"/>
          <w:sz w:val="24"/>
          <w:szCs w:val="24"/>
        </w:rPr>
        <w:t xml:space="preserve">la legge </w:t>
      </w:r>
      <w:r>
        <w:rPr>
          <w:rFonts w:ascii="Times New Roman" w:hAnsi="Times New Roman" w:cs="Times New Roman"/>
          <w:sz w:val="24"/>
          <w:szCs w:val="24"/>
        </w:rPr>
        <w:t>recepisca</w:t>
      </w:r>
      <w:r w:rsidR="00916E81">
        <w:rPr>
          <w:rFonts w:ascii="Times New Roman" w:hAnsi="Times New Roman" w:cs="Times New Roman"/>
          <w:sz w:val="24"/>
          <w:szCs w:val="24"/>
        </w:rPr>
        <w:t xml:space="preserve"> i principi affermati dalla giurisprudenza amministrativa. Ne è un esempio emblematico la legge sul procedimento amministrativo (l. 7 agosto 1990, n. 241);</w:t>
      </w:r>
    </w:p>
    <w:p w:rsidR="0004238C" w:rsidRDefault="00916E81" w:rsidP="00D964D0">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b) l’adunanza plenaria </w:t>
      </w:r>
      <w:r w:rsidR="0004238C">
        <w:rPr>
          <w:rFonts w:ascii="Times New Roman" w:hAnsi="Times New Roman" w:cs="Times New Roman"/>
          <w:sz w:val="24"/>
          <w:szCs w:val="24"/>
        </w:rPr>
        <w:t xml:space="preserve">avrebbe dovuto rimettere </w:t>
      </w:r>
      <w:r>
        <w:rPr>
          <w:rFonts w:ascii="Times New Roman" w:hAnsi="Times New Roman" w:cs="Times New Roman"/>
          <w:sz w:val="24"/>
          <w:szCs w:val="24"/>
        </w:rPr>
        <w:t>alla CGUE la questione di validità de</w:t>
      </w:r>
      <w:r w:rsidR="0004238C">
        <w:rPr>
          <w:rFonts w:ascii="Times New Roman" w:hAnsi="Times New Roman" w:cs="Times New Roman"/>
          <w:sz w:val="24"/>
          <w:szCs w:val="24"/>
        </w:rPr>
        <w:t>lla direttiva Bolkestein.</w:t>
      </w:r>
    </w:p>
    <w:p w:rsidR="00916E81" w:rsidRDefault="00916E81" w:rsidP="00D964D0">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Ma le sentenze gemelle si sono poste espressamente il problema della natura giuridica della direttiva Bolkestein e l’hanno risolta;</w:t>
      </w:r>
    </w:p>
    <w:p w:rsidR="0004238C" w:rsidRDefault="00916E81" w:rsidP="00D964D0">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c) si tratta di una decisione politica. </w:t>
      </w:r>
    </w:p>
    <w:p w:rsidR="00916E81" w:rsidRDefault="0004238C" w:rsidP="00D964D0">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L</w:t>
      </w:r>
      <w:r w:rsidR="00916E81">
        <w:rPr>
          <w:rFonts w:ascii="Times New Roman" w:hAnsi="Times New Roman" w:cs="Times New Roman"/>
          <w:sz w:val="24"/>
          <w:szCs w:val="24"/>
        </w:rPr>
        <w:t>e decisioni amministrative possono avere un impatto sulla politica e non per questo costituiscono decisioni politiche.</w:t>
      </w:r>
    </w:p>
    <w:p w:rsidR="00916E81" w:rsidRDefault="00D77CE0" w:rsidP="00D964D0">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Il fatto è che, come già detto</w:t>
      </w:r>
      <w:r w:rsidR="0004238C">
        <w:rPr>
          <w:rFonts w:ascii="Times New Roman" w:hAnsi="Times New Roman" w:cs="Times New Roman"/>
          <w:sz w:val="24"/>
          <w:szCs w:val="24"/>
        </w:rPr>
        <w:t>, la plenaria non ha inventato</w:t>
      </w:r>
      <w:r>
        <w:rPr>
          <w:rFonts w:ascii="Times New Roman" w:hAnsi="Times New Roman" w:cs="Times New Roman"/>
          <w:sz w:val="24"/>
          <w:szCs w:val="24"/>
        </w:rPr>
        <w:t xml:space="preserve"> nulla.</w:t>
      </w:r>
    </w:p>
    <w:p w:rsidR="00B3629C" w:rsidRDefault="005561CE" w:rsidP="00D964D0">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Il problema dell</w:t>
      </w:r>
      <w:r w:rsidR="00B3629C">
        <w:rPr>
          <w:rFonts w:ascii="Times New Roman" w:hAnsi="Times New Roman" w:cs="Times New Roman"/>
          <w:sz w:val="24"/>
          <w:szCs w:val="24"/>
        </w:rPr>
        <w:t>’applicazione</w:t>
      </w:r>
      <w:r w:rsidR="008F2A52">
        <w:rPr>
          <w:rFonts w:ascii="Times New Roman" w:hAnsi="Times New Roman" w:cs="Times New Roman"/>
          <w:sz w:val="24"/>
          <w:szCs w:val="24"/>
        </w:rPr>
        <w:t xml:space="preserve"> </w:t>
      </w:r>
      <w:r>
        <w:rPr>
          <w:rFonts w:ascii="Times New Roman" w:hAnsi="Times New Roman" w:cs="Times New Roman"/>
          <w:sz w:val="24"/>
          <w:szCs w:val="24"/>
        </w:rPr>
        <w:t xml:space="preserve">o meno </w:t>
      </w:r>
      <w:r w:rsidR="008F2A52">
        <w:rPr>
          <w:rFonts w:ascii="Times New Roman" w:hAnsi="Times New Roman" w:cs="Times New Roman"/>
          <w:sz w:val="24"/>
          <w:szCs w:val="24"/>
        </w:rPr>
        <w:t>della direttiva Bolkestein</w:t>
      </w:r>
      <w:r w:rsidR="00B3629C">
        <w:rPr>
          <w:rFonts w:ascii="Times New Roman" w:hAnsi="Times New Roman" w:cs="Times New Roman"/>
          <w:sz w:val="24"/>
          <w:szCs w:val="24"/>
        </w:rPr>
        <w:t xml:space="preserve"> alle concessioni demaniali marittime</w:t>
      </w:r>
      <w:r w:rsidR="008F2A52">
        <w:rPr>
          <w:rFonts w:ascii="Times New Roman" w:hAnsi="Times New Roman" w:cs="Times New Roman"/>
          <w:sz w:val="24"/>
          <w:szCs w:val="24"/>
        </w:rPr>
        <w:t xml:space="preserve"> per finalità turistico-ricreative</w:t>
      </w:r>
      <w:r w:rsidR="00061334">
        <w:rPr>
          <w:rFonts w:ascii="Times New Roman" w:hAnsi="Times New Roman" w:cs="Times New Roman"/>
          <w:sz w:val="24"/>
          <w:szCs w:val="24"/>
        </w:rPr>
        <w:t xml:space="preserve"> e quello della sua natura autoesecutiva</w:t>
      </w:r>
      <w:r w:rsidR="008F2A52">
        <w:rPr>
          <w:rFonts w:ascii="Times New Roman" w:hAnsi="Times New Roman" w:cs="Times New Roman"/>
          <w:sz w:val="24"/>
          <w:szCs w:val="24"/>
        </w:rPr>
        <w:t xml:space="preserve"> </w:t>
      </w:r>
      <w:r w:rsidR="00061334">
        <w:rPr>
          <w:rFonts w:ascii="Times New Roman" w:hAnsi="Times New Roman" w:cs="Times New Roman"/>
          <w:sz w:val="24"/>
          <w:szCs w:val="24"/>
        </w:rPr>
        <w:t>divengono irrilevanti</w:t>
      </w:r>
      <w:r w:rsidR="008F2A52">
        <w:rPr>
          <w:rFonts w:ascii="Times New Roman" w:hAnsi="Times New Roman" w:cs="Times New Roman"/>
          <w:sz w:val="24"/>
          <w:szCs w:val="24"/>
        </w:rPr>
        <w:t xml:space="preserve"> una volta che la disciplina è stata fissata dal diritto interno.</w:t>
      </w:r>
    </w:p>
    <w:p w:rsidR="00D05778" w:rsidRDefault="008F2A52" w:rsidP="00D964D0">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Come era già irrilevante </w:t>
      </w:r>
      <w:r w:rsidR="0004238C">
        <w:rPr>
          <w:rFonts w:ascii="Times New Roman" w:hAnsi="Times New Roman" w:cs="Times New Roman"/>
          <w:sz w:val="24"/>
          <w:szCs w:val="24"/>
        </w:rPr>
        <w:t xml:space="preserve">l’incasellamento </w:t>
      </w:r>
      <w:r w:rsidR="005561CE">
        <w:rPr>
          <w:rFonts w:ascii="Times New Roman" w:hAnsi="Times New Roman" w:cs="Times New Roman"/>
          <w:sz w:val="24"/>
          <w:szCs w:val="24"/>
        </w:rPr>
        <w:t>nell’ambito delle c</w:t>
      </w:r>
      <w:r w:rsidR="00823521">
        <w:rPr>
          <w:rFonts w:ascii="Times New Roman" w:hAnsi="Times New Roman" w:cs="Times New Roman"/>
          <w:sz w:val="24"/>
          <w:szCs w:val="24"/>
        </w:rPr>
        <w:t xml:space="preserve">oncessioni di beni </w:t>
      </w:r>
      <w:r w:rsidR="005561CE">
        <w:rPr>
          <w:rFonts w:ascii="Times New Roman" w:hAnsi="Times New Roman" w:cs="Times New Roman"/>
          <w:sz w:val="24"/>
          <w:szCs w:val="24"/>
        </w:rPr>
        <w:t>o</w:t>
      </w:r>
      <w:r>
        <w:rPr>
          <w:rFonts w:ascii="Times New Roman" w:hAnsi="Times New Roman" w:cs="Times New Roman"/>
          <w:sz w:val="24"/>
          <w:szCs w:val="24"/>
        </w:rPr>
        <w:t xml:space="preserve"> di servizi</w:t>
      </w:r>
      <w:r w:rsidR="00D05778" w:rsidRPr="00D05778">
        <w:t xml:space="preserve"> </w:t>
      </w:r>
      <w:r w:rsidR="00D05778" w:rsidRPr="00D05778">
        <w:rPr>
          <w:rFonts w:ascii="Times New Roman" w:hAnsi="Times New Roman" w:cs="Times New Roman"/>
          <w:sz w:val="24"/>
          <w:szCs w:val="24"/>
        </w:rPr>
        <w:t xml:space="preserve">ai fini dell’esigenza dell’evidenza pubblica </w:t>
      </w:r>
      <w:r w:rsidR="00D05778">
        <w:rPr>
          <w:rFonts w:ascii="Times New Roman" w:hAnsi="Times New Roman" w:cs="Times New Roman"/>
          <w:sz w:val="24"/>
          <w:szCs w:val="24"/>
        </w:rPr>
        <w:t>per scegliere il concessionario</w:t>
      </w:r>
      <w:r>
        <w:rPr>
          <w:rFonts w:ascii="Times New Roman" w:hAnsi="Times New Roman" w:cs="Times New Roman"/>
          <w:sz w:val="24"/>
          <w:szCs w:val="24"/>
        </w:rPr>
        <w:t>, una volta che</w:t>
      </w:r>
      <w:r w:rsidR="0004238C">
        <w:rPr>
          <w:rFonts w:ascii="Times New Roman" w:hAnsi="Times New Roman" w:cs="Times New Roman"/>
          <w:sz w:val="24"/>
          <w:szCs w:val="24"/>
        </w:rPr>
        <w:t>, in caso di concessioni di beni pubblici,</w:t>
      </w:r>
      <w:r>
        <w:rPr>
          <w:rFonts w:ascii="Times New Roman" w:hAnsi="Times New Roman" w:cs="Times New Roman"/>
          <w:sz w:val="24"/>
          <w:szCs w:val="24"/>
        </w:rPr>
        <w:t xml:space="preserve"> si sarebbero comunque dovuti applicare il principio </w:t>
      </w:r>
      <w:r w:rsidR="0004238C">
        <w:rPr>
          <w:rFonts w:ascii="Times New Roman" w:hAnsi="Times New Roman" w:cs="Times New Roman"/>
          <w:sz w:val="24"/>
          <w:szCs w:val="24"/>
        </w:rPr>
        <w:t>di</w:t>
      </w:r>
      <w:r>
        <w:rPr>
          <w:rFonts w:ascii="Times New Roman" w:hAnsi="Times New Roman" w:cs="Times New Roman"/>
          <w:sz w:val="24"/>
          <w:szCs w:val="24"/>
        </w:rPr>
        <w:t xml:space="preserve"> tutela della</w:t>
      </w:r>
      <w:r w:rsidR="0004238C">
        <w:rPr>
          <w:rFonts w:ascii="Times New Roman" w:hAnsi="Times New Roman" w:cs="Times New Roman"/>
          <w:sz w:val="24"/>
          <w:szCs w:val="24"/>
        </w:rPr>
        <w:t xml:space="preserve"> concorrenza e i suoi corollari</w:t>
      </w:r>
      <w:r>
        <w:rPr>
          <w:rFonts w:ascii="Times New Roman" w:hAnsi="Times New Roman" w:cs="Times New Roman"/>
          <w:sz w:val="24"/>
          <w:szCs w:val="24"/>
        </w:rPr>
        <w:t xml:space="preserve"> </w:t>
      </w:r>
      <w:r w:rsidR="005561CE">
        <w:rPr>
          <w:rFonts w:ascii="Times New Roman" w:hAnsi="Times New Roman" w:cs="Times New Roman"/>
          <w:sz w:val="24"/>
          <w:szCs w:val="24"/>
        </w:rPr>
        <w:t>af</w:t>
      </w:r>
      <w:r>
        <w:rPr>
          <w:rFonts w:ascii="Times New Roman" w:hAnsi="Times New Roman" w:cs="Times New Roman"/>
          <w:sz w:val="24"/>
          <w:szCs w:val="24"/>
        </w:rPr>
        <w:t xml:space="preserve">fermati dal </w:t>
      </w:r>
      <w:r w:rsidR="005561CE">
        <w:rPr>
          <w:rFonts w:ascii="Times New Roman" w:hAnsi="Times New Roman" w:cs="Times New Roman"/>
          <w:sz w:val="24"/>
          <w:szCs w:val="24"/>
        </w:rPr>
        <w:t>TFUE</w:t>
      </w:r>
      <w:r>
        <w:rPr>
          <w:rFonts w:ascii="Times New Roman" w:hAnsi="Times New Roman" w:cs="Times New Roman"/>
          <w:sz w:val="24"/>
          <w:szCs w:val="24"/>
        </w:rPr>
        <w:t>, o</w:t>
      </w:r>
      <w:r w:rsidR="005561CE">
        <w:rPr>
          <w:rFonts w:ascii="Times New Roman" w:hAnsi="Times New Roman" w:cs="Times New Roman"/>
          <w:sz w:val="24"/>
          <w:szCs w:val="24"/>
        </w:rPr>
        <w:t>ppure</w:t>
      </w:r>
      <w:r w:rsidR="0004238C">
        <w:rPr>
          <w:rFonts w:ascii="Times New Roman" w:hAnsi="Times New Roman" w:cs="Times New Roman"/>
          <w:sz w:val="24"/>
          <w:szCs w:val="24"/>
        </w:rPr>
        <w:t>,</w:t>
      </w:r>
      <w:r>
        <w:rPr>
          <w:rFonts w:ascii="Times New Roman" w:hAnsi="Times New Roman" w:cs="Times New Roman"/>
          <w:sz w:val="24"/>
          <w:szCs w:val="24"/>
        </w:rPr>
        <w:t xml:space="preserve"> in caso di concessione di servizi</w:t>
      </w:r>
      <w:r w:rsidR="0004238C">
        <w:rPr>
          <w:rFonts w:ascii="Times New Roman" w:hAnsi="Times New Roman" w:cs="Times New Roman"/>
          <w:sz w:val="24"/>
          <w:szCs w:val="24"/>
        </w:rPr>
        <w:t xml:space="preserve">, </w:t>
      </w:r>
      <w:r w:rsidR="0004238C" w:rsidRPr="0004238C">
        <w:rPr>
          <w:rFonts w:ascii="Times New Roman" w:hAnsi="Times New Roman" w:cs="Times New Roman"/>
          <w:sz w:val="24"/>
          <w:szCs w:val="24"/>
        </w:rPr>
        <w:t>le procedure stabilite dalla direttiva Bolkestein</w:t>
      </w:r>
      <w:r w:rsidR="0004238C">
        <w:rPr>
          <w:rFonts w:ascii="Times New Roman" w:hAnsi="Times New Roman" w:cs="Times New Roman"/>
          <w:sz w:val="24"/>
          <w:szCs w:val="24"/>
        </w:rPr>
        <w:t>.</w:t>
      </w:r>
      <w:r w:rsidR="00D05778">
        <w:rPr>
          <w:rFonts w:ascii="Times New Roman" w:hAnsi="Times New Roman" w:cs="Times New Roman"/>
          <w:sz w:val="24"/>
          <w:szCs w:val="24"/>
        </w:rPr>
        <w:t xml:space="preserve"> </w:t>
      </w:r>
      <w:r w:rsidR="0004238C">
        <w:rPr>
          <w:rFonts w:ascii="Times New Roman" w:hAnsi="Times New Roman" w:cs="Times New Roman"/>
          <w:sz w:val="24"/>
          <w:szCs w:val="24"/>
        </w:rPr>
        <w:t>Egualmente</w:t>
      </w:r>
      <w:r w:rsidR="00D05778">
        <w:rPr>
          <w:rFonts w:ascii="Times New Roman" w:hAnsi="Times New Roman" w:cs="Times New Roman"/>
          <w:sz w:val="24"/>
          <w:szCs w:val="24"/>
        </w:rPr>
        <w:t xml:space="preserve"> la proroga automatica delle concessioni di cui trattasi</w:t>
      </w:r>
      <w:r w:rsidR="0004238C">
        <w:rPr>
          <w:rFonts w:ascii="Times New Roman" w:hAnsi="Times New Roman" w:cs="Times New Roman"/>
          <w:sz w:val="24"/>
          <w:szCs w:val="24"/>
        </w:rPr>
        <w:t>,</w:t>
      </w:r>
      <w:r w:rsidR="00D05778">
        <w:rPr>
          <w:rFonts w:ascii="Times New Roman" w:hAnsi="Times New Roman" w:cs="Times New Roman"/>
          <w:sz w:val="24"/>
          <w:szCs w:val="24"/>
        </w:rPr>
        <w:t xml:space="preserve"> </w:t>
      </w:r>
      <w:r w:rsidR="005561CE">
        <w:rPr>
          <w:rFonts w:ascii="Times New Roman" w:hAnsi="Times New Roman" w:cs="Times New Roman"/>
          <w:sz w:val="24"/>
          <w:szCs w:val="24"/>
        </w:rPr>
        <w:t>disposta dalla legge</w:t>
      </w:r>
      <w:r w:rsidR="0004238C">
        <w:rPr>
          <w:rFonts w:ascii="Times New Roman" w:hAnsi="Times New Roman" w:cs="Times New Roman"/>
          <w:sz w:val="24"/>
          <w:szCs w:val="24"/>
        </w:rPr>
        <w:t>,</w:t>
      </w:r>
      <w:r w:rsidR="005561CE">
        <w:rPr>
          <w:rFonts w:ascii="Times New Roman" w:hAnsi="Times New Roman" w:cs="Times New Roman"/>
          <w:sz w:val="24"/>
          <w:szCs w:val="24"/>
        </w:rPr>
        <w:t xml:space="preserve"> </w:t>
      </w:r>
      <w:r w:rsidR="00D05778">
        <w:rPr>
          <w:rFonts w:ascii="Times New Roman" w:hAnsi="Times New Roman" w:cs="Times New Roman"/>
          <w:sz w:val="24"/>
          <w:szCs w:val="24"/>
        </w:rPr>
        <w:t xml:space="preserve">sarebbe stata </w:t>
      </w:r>
      <w:r w:rsidR="0004238C">
        <w:rPr>
          <w:rFonts w:ascii="Times New Roman" w:hAnsi="Times New Roman" w:cs="Times New Roman"/>
          <w:sz w:val="24"/>
          <w:szCs w:val="24"/>
        </w:rPr>
        <w:t>in ogni caso</w:t>
      </w:r>
      <w:r w:rsidR="00D05778">
        <w:rPr>
          <w:rFonts w:ascii="Times New Roman" w:hAnsi="Times New Roman" w:cs="Times New Roman"/>
          <w:sz w:val="24"/>
          <w:szCs w:val="24"/>
        </w:rPr>
        <w:t xml:space="preserve"> in contrasto con </w:t>
      </w:r>
      <w:r w:rsidR="005561CE">
        <w:rPr>
          <w:rFonts w:ascii="Times New Roman" w:hAnsi="Times New Roman" w:cs="Times New Roman"/>
          <w:sz w:val="24"/>
          <w:szCs w:val="24"/>
        </w:rPr>
        <w:t>i principi del Trattato</w:t>
      </w:r>
      <w:r w:rsidR="00D77CE0">
        <w:rPr>
          <w:rFonts w:ascii="Times New Roman" w:hAnsi="Times New Roman" w:cs="Times New Roman"/>
          <w:sz w:val="24"/>
          <w:szCs w:val="24"/>
        </w:rPr>
        <w:t xml:space="preserve"> a tutela della concorrenza</w:t>
      </w:r>
      <w:r w:rsidR="0004238C">
        <w:rPr>
          <w:rFonts w:ascii="Times New Roman" w:hAnsi="Times New Roman" w:cs="Times New Roman"/>
          <w:sz w:val="24"/>
          <w:szCs w:val="24"/>
        </w:rPr>
        <w:t xml:space="preserve">; </w:t>
      </w:r>
      <w:r w:rsidR="005561CE">
        <w:rPr>
          <w:rFonts w:ascii="Times New Roman" w:hAnsi="Times New Roman" w:cs="Times New Roman"/>
          <w:sz w:val="24"/>
          <w:szCs w:val="24"/>
        </w:rPr>
        <w:t>tutta</w:t>
      </w:r>
      <w:r w:rsidR="00D05778">
        <w:rPr>
          <w:rFonts w:ascii="Times New Roman" w:hAnsi="Times New Roman" w:cs="Times New Roman"/>
          <w:sz w:val="24"/>
          <w:szCs w:val="24"/>
        </w:rPr>
        <w:t xml:space="preserve"> </w:t>
      </w:r>
      <w:r w:rsidR="005561CE">
        <w:rPr>
          <w:rFonts w:ascii="Times New Roman" w:hAnsi="Times New Roman" w:cs="Times New Roman"/>
          <w:sz w:val="24"/>
          <w:szCs w:val="24"/>
        </w:rPr>
        <w:t xml:space="preserve">normativa europea </w:t>
      </w:r>
      <w:r w:rsidR="00D05778">
        <w:rPr>
          <w:rFonts w:ascii="Times New Roman" w:hAnsi="Times New Roman" w:cs="Times New Roman"/>
          <w:sz w:val="24"/>
          <w:szCs w:val="24"/>
        </w:rPr>
        <w:t>direttamente applicabile nell’ordinamento giuridico degli Stati membri, con il conseguente</w:t>
      </w:r>
      <w:r w:rsidR="005561CE">
        <w:rPr>
          <w:rFonts w:ascii="Times New Roman" w:hAnsi="Times New Roman" w:cs="Times New Roman"/>
          <w:sz w:val="24"/>
          <w:szCs w:val="24"/>
        </w:rPr>
        <w:t xml:space="preserve"> obbligo di disapplicazione (in capo al giudice e alla pubblica amministrazione)</w:t>
      </w:r>
      <w:r w:rsidR="00B743DB">
        <w:rPr>
          <w:rFonts w:ascii="Times New Roman" w:hAnsi="Times New Roman" w:cs="Times New Roman"/>
          <w:sz w:val="24"/>
          <w:szCs w:val="24"/>
        </w:rPr>
        <w:t xml:space="preserve"> del diritto interno in contrasto</w:t>
      </w:r>
      <w:r w:rsidR="005561CE">
        <w:rPr>
          <w:rFonts w:ascii="Times New Roman" w:hAnsi="Times New Roman" w:cs="Times New Roman"/>
          <w:sz w:val="24"/>
          <w:szCs w:val="24"/>
        </w:rPr>
        <w:t>.</w:t>
      </w:r>
    </w:p>
    <w:p w:rsidR="00823521" w:rsidRDefault="00B743DB" w:rsidP="00D964D0">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L</w:t>
      </w:r>
      <w:r w:rsidR="00823521">
        <w:rPr>
          <w:rFonts w:ascii="Times New Roman" w:hAnsi="Times New Roman" w:cs="Times New Roman"/>
          <w:sz w:val="24"/>
          <w:szCs w:val="24"/>
        </w:rPr>
        <w:t xml:space="preserve">a differenza non </w:t>
      </w:r>
      <w:r w:rsidR="005561CE">
        <w:rPr>
          <w:rFonts w:ascii="Times New Roman" w:hAnsi="Times New Roman" w:cs="Times New Roman"/>
          <w:sz w:val="24"/>
          <w:szCs w:val="24"/>
        </w:rPr>
        <w:t>aveva rilievo</w:t>
      </w:r>
      <w:r w:rsidR="00D05778">
        <w:rPr>
          <w:rFonts w:ascii="Times New Roman" w:hAnsi="Times New Roman" w:cs="Times New Roman"/>
          <w:sz w:val="24"/>
          <w:szCs w:val="24"/>
        </w:rPr>
        <w:t xml:space="preserve"> già da p</w:t>
      </w:r>
      <w:r w:rsidR="00823521" w:rsidRPr="00823521">
        <w:rPr>
          <w:rFonts w:ascii="Times New Roman" w:hAnsi="Times New Roman" w:cs="Times New Roman"/>
          <w:sz w:val="24"/>
          <w:szCs w:val="24"/>
        </w:rPr>
        <w:t xml:space="preserve">rima della sentenza </w:t>
      </w:r>
      <w:r w:rsidR="00823521">
        <w:rPr>
          <w:rFonts w:ascii="Times New Roman" w:hAnsi="Times New Roman" w:cs="Times New Roman"/>
          <w:sz w:val="24"/>
          <w:szCs w:val="24"/>
        </w:rPr>
        <w:t xml:space="preserve">della CGUE Promoimpresa, </w:t>
      </w:r>
      <w:r w:rsidR="00B877D6">
        <w:rPr>
          <w:rFonts w:ascii="Times New Roman" w:hAnsi="Times New Roman" w:cs="Times New Roman"/>
          <w:sz w:val="24"/>
          <w:szCs w:val="24"/>
        </w:rPr>
        <w:t xml:space="preserve">in quanto </w:t>
      </w:r>
      <w:r w:rsidR="00823521" w:rsidRPr="00823521">
        <w:rPr>
          <w:rFonts w:ascii="Times New Roman" w:hAnsi="Times New Roman" w:cs="Times New Roman"/>
          <w:sz w:val="24"/>
          <w:szCs w:val="24"/>
        </w:rPr>
        <w:t xml:space="preserve">la giurisprudenza nazionale aveva già largamente aderito all'interpretazione dell'art. 37 cod. nav. </w:t>
      </w:r>
      <w:r w:rsidR="005561CE">
        <w:rPr>
          <w:rFonts w:ascii="Times New Roman" w:hAnsi="Times New Roman" w:cs="Times New Roman"/>
          <w:sz w:val="24"/>
          <w:szCs w:val="24"/>
        </w:rPr>
        <w:t>nel senso</w:t>
      </w:r>
      <w:r w:rsidR="00823521" w:rsidRPr="00823521">
        <w:rPr>
          <w:rFonts w:ascii="Times New Roman" w:hAnsi="Times New Roman" w:cs="Times New Roman"/>
          <w:sz w:val="24"/>
          <w:szCs w:val="24"/>
        </w:rPr>
        <w:t xml:space="preserve"> </w:t>
      </w:r>
      <w:r w:rsidR="005561CE">
        <w:rPr>
          <w:rFonts w:ascii="Times New Roman" w:hAnsi="Times New Roman" w:cs="Times New Roman"/>
          <w:sz w:val="24"/>
          <w:szCs w:val="24"/>
        </w:rPr>
        <w:t>del</w:t>
      </w:r>
      <w:r w:rsidR="00823521" w:rsidRPr="00823521">
        <w:rPr>
          <w:rFonts w:ascii="Times New Roman" w:hAnsi="Times New Roman" w:cs="Times New Roman"/>
          <w:sz w:val="24"/>
          <w:szCs w:val="24"/>
        </w:rPr>
        <w:t xml:space="preserve">l'esperimento della selezione pubblica nel rilascio delle concessioni demaniali marittime, derivante dall'esigenza di applicare le norme conformemente ai principi comunitari in materia di libera circolazione dei servizi, di </w:t>
      </w:r>
      <w:r w:rsidR="00823521" w:rsidRPr="00B877D6">
        <w:rPr>
          <w:rFonts w:ascii="Times New Roman" w:hAnsi="Times New Roman" w:cs="Times New Roman"/>
          <w:i/>
          <w:sz w:val="24"/>
          <w:szCs w:val="24"/>
        </w:rPr>
        <w:t>par condicio</w:t>
      </w:r>
      <w:r w:rsidR="00823521" w:rsidRPr="00823521">
        <w:rPr>
          <w:rFonts w:ascii="Times New Roman" w:hAnsi="Times New Roman" w:cs="Times New Roman"/>
          <w:sz w:val="24"/>
          <w:szCs w:val="24"/>
        </w:rPr>
        <w:t>, di imparzialità e di trasparenza</w:t>
      </w:r>
      <w:r w:rsidR="0004238C">
        <w:rPr>
          <w:rFonts w:ascii="Times New Roman" w:hAnsi="Times New Roman" w:cs="Times New Roman"/>
          <w:sz w:val="24"/>
          <w:szCs w:val="24"/>
        </w:rPr>
        <w:t>;</w:t>
      </w:r>
      <w:r w:rsidR="00823521" w:rsidRPr="00823521">
        <w:rPr>
          <w:rFonts w:ascii="Times New Roman" w:hAnsi="Times New Roman" w:cs="Times New Roman"/>
          <w:sz w:val="24"/>
          <w:szCs w:val="24"/>
        </w:rPr>
        <w:t xml:space="preserve"> essendo pacifico che tali principi si applicano anche a materie diverse dagli appalti, in quanto riconducibili ad attività suscettibili di apprezzamento in termini economici</w:t>
      </w:r>
      <w:r w:rsidR="00823521">
        <w:rPr>
          <w:rStyle w:val="Rimandonotaapidipagina"/>
          <w:rFonts w:ascii="Times New Roman" w:hAnsi="Times New Roman" w:cs="Times New Roman"/>
          <w:sz w:val="24"/>
          <w:szCs w:val="24"/>
        </w:rPr>
        <w:footnoteReference w:id="7"/>
      </w:r>
      <w:r w:rsidR="00823521" w:rsidRPr="00823521">
        <w:rPr>
          <w:rFonts w:ascii="Times New Roman" w:hAnsi="Times New Roman" w:cs="Times New Roman"/>
          <w:sz w:val="24"/>
          <w:szCs w:val="24"/>
        </w:rPr>
        <w:t>.</w:t>
      </w:r>
    </w:p>
    <w:p w:rsidR="00823521" w:rsidRDefault="00B11404" w:rsidP="00D964D0">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Come già detto</w:t>
      </w:r>
      <w:r w:rsidR="00493B85" w:rsidRPr="00493B85">
        <w:rPr>
          <w:rFonts w:ascii="Times New Roman" w:hAnsi="Times New Roman" w:cs="Times New Roman"/>
          <w:sz w:val="24"/>
          <w:szCs w:val="24"/>
        </w:rPr>
        <w:t xml:space="preserve">, allorquando non si tratti di acquisire un servizio e prevalga la sola concessione del bene pubblico in una tipica manifestazione di contratto attivo, il relativo affidamento </w:t>
      </w:r>
      <w:r w:rsidR="00493B85">
        <w:rPr>
          <w:rFonts w:ascii="Times New Roman" w:hAnsi="Times New Roman" w:cs="Times New Roman"/>
          <w:sz w:val="24"/>
          <w:szCs w:val="24"/>
        </w:rPr>
        <w:t>deve avvenire</w:t>
      </w:r>
      <w:r w:rsidR="00493B85" w:rsidRPr="00493B85">
        <w:rPr>
          <w:rFonts w:ascii="Times New Roman" w:hAnsi="Times New Roman" w:cs="Times New Roman"/>
          <w:sz w:val="24"/>
          <w:szCs w:val="24"/>
        </w:rPr>
        <w:t xml:space="preserve"> </w:t>
      </w:r>
      <w:r w:rsidR="00493B85">
        <w:rPr>
          <w:rFonts w:ascii="Times New Roman" w:hAnsi="Times New Roman" w:cs="Times New Roman"/>
          <w:sz w:val="24"/>
          <w:szCs w:val="24"/>
        </w:rPr>
        <w:t>“</w:t>
      </w:r>
      <w:r w:rsidR="00493B85" w:rsidRPr="00493B85">
        <w:rPr>
          <w:rFonts w:ascii="Times New Roman" w:hAnsi="Times New Roman" w:cs="Times New Roman"/>
          <w:i/>
          <w:sz w:val="24"/>
          <w:szCs w:val="24"/>
        </w:rPr>
        <w:t>nel rispetto dei principi di economicità, efficacia, imparzialità, parità di trattamento, trasparenza, proporzionalità, pubblicità, tutela dell'ambiente ed efficienza energetica</w:t>
      </w:r>
      <w:r w:rsidR="00493B85">
        <w:rPr>
          <w:rFonts w:ascii="Times New Roman" w:hAnsi="Times New Roman" w:cs="Times New Roman"/>
          <w:sz w:val="24"/>
          <w:szCs w:val="24"/>
        </w:rPr>
        <w:t>”, ai sensi dell’</w:t>
      </w:r>
      <w:r w:rsidR="00493B85" w:rsidRPr="00493B85">
        <w:rPr>
          <w:rFonts w:ascii="Times New Roman" w:hAnsi="Times New Roman" w:cs="Times New Roman"/>
          <w:sz w:val="24"/>
          <w:szCs w:val="24"/>
        </w:rPr>
        <w:t xml:space="preserve">art. 4 del d.lgs. </w:t>
      </w:r>
      <w:r w:rsidR="00493B85">
        <w:rPr>
          <w:rFonts w:ascii="Times New Roman" w:hAnsi="Times New Roman" w:cs="Times New Roman"/>
          <w:sz w:val="24"/>
          <w:szCs w:val="24"/>
        </w:rPr>
        <w:t>n. 50</w:t>
      </w:r>
      <w:r w:rsidR="00C11F39">
        <w:rPr>
          <w:rFonts w:ascii="Times New Roman" w:hAnsi="Times New Roman" w:cs="Times New Roman"/>
          <w:sz w:val="24"/>
          <w:szCs w:val="24"/>
        </w:rPr>
        <w:t>/2016</w:t>
      </w:r>
      <w:r w:rsidR="00493B85">
        <w:rPr>
          <w:rFonts w:ascii="Times New Roman" w:hAnsi="Times New Roman" w:cs="Times New Roman"/>
          <w:sz w:val="24"/>
          <w:szCs w:val="24"/>
        </w:rPr>
        <w:t>, che afferma i p</w:t>
      </w:r>
      <w:r w:rsidR="00493B85" w:rsidRPr="00493B85">
        <w:rPr>
          <w:rFonts w:ascii="Times New Roman" w:hAnsi="Times New Roman" w:cs="Times New Roman"/>
          <w:sz w:val="24"/>
          <w:szCs w:val="24"/>
        </w:rPr>
        <w:t>rinc</w:t>
      </w:r>
      <w:r w:rsidR="00493B85">
        <w:rPr>
          <w:rFonts w:ascii="Times New Roman" w:hAnsi="Times New Roman" w:cs="Times New Roman"/>
          <w:sz w:val="24"/>
          <w:szCs w:val="24"/>
        </w:rPr>
        <w:t xml:space="preserve">ipi relativi all'affidamento dei </w:t>
      </w:r>
      <w:r w:rsidR="00493B85" w:rsidRPr="00493B85">
        <w:rPr>
          <w:rFonts w:ascii="Times New Roman" w:hAnsi="Times New Roman" w:cs="Times New Roman"/>
          <w:sz w:val="24"/>
          <w:szCs w:val="24"/>
        </w:rPr>
        <w:t>contratti pubblici esclusi</w:t>
      </w:r>
      <w:r w:rsidR="00493B85">
        <w:rPr>
          <w:rFonts w:ascii="Times New Roman" w:hAnsi="Times New Roman" w:cs="Times New Roman"/>
          <w:sz w:val="24"/>
          <w:szCs w:val="24"/>
        </w:rPr>
        <w:t xml:space="preserve"> dall’applicazione del codice</w:t>
      </w:r>
      <w:r w:rsidR="0004238C">
        <w:rPr>
          <w:rFonts w:ascii="Times New Roman" w:hAnsi="Times New Roman" w:cs="Times New Roman"/>
          <w:sz w:val="24"/>
          <w:szCs w:val="24"/>
        </w:rPr>
        <w:t xml:space="preserve">; ossia </w:t>
      </w:r>
      <w:r w:rsidR="00F94206">
        <w:rPr>
          <w:rFonts w:ascii="Times New Roman" w:hAnsi="Times New Roman" w:cs="Times New Roman"/>
          <w:sz w:val="24"/>
          <w:szCs w:val="24"/>
        </w:rPr>
        <w:t>attraverso</w:t>
      </w:r>
      <w:r w:rsidR="0004238C">
        <w:rPr>
          <w:rFonts w:ascii="Times New Roman" w:hAnsi="Times New Roman" w:cs="Times New Roman"/>
          <w:sz w:val="24"/>
          <w:szCs w:val="24"/>
        </w:rPr>
        <w:t xml:space="preserve"> l’evidenza pubblica.</w:t>
      </w:r>
    </w:p>
    <w:p w:rsidR="00493B85" w:rsidRDefault="00493B85" w:rsidP="00D964D0">
      <w:pPr>
        <w:spacing w:line="360" w:lineRule="auto"/>
        <w:ind w:firstLine="709"/>
        <w:jc w:val="both"/>
        <w:rPr>
          <w:rFonts w:ascii="Times New Roman" w:hAnsi="Times New Roman" w:cs="Times New Roman"/>
          <w:sz w:val="24"/>
          <w:szCs w:val="24"/>
        </w:rPr>
      </w:pPr>
    </w:p>
    <w:p w:rsidR="002C0D43" w:rsidRPr="002C0D43" w:rsidRDefault="002C0D43" w:rsidP="00D964D0">
      <w:pPr>
        <w:spacing w:line="360" w:lineRule="auto"/>
        <w:ind w:firstLine="709"/>
        <w:jc w:val="both"/>
        <w:rPr>
          <w:rFonts w:ascii="Times New Roman" w:hAnsi="Times New Roman" w:cs="Times New Roman"/>
          <w:b/>
          <w:sz w:val="24"/>
          <w:szCs w:val="24"/>
        </w:rPr>
      </w:pPr>
      <w:r w:rsidRPr="002C0D43">
        <w:rPr>
          <w:rFonts w:ascii="Times New Roman" w:hAnsi="Times New Roman" w:cs="Times New Roman"/>
          <w:b/>
          <w:sz w:val="24"/>
          <w:szCs w:val="24"/>
        </w:rPr>
        <w:t>6. Considerazioni.</w:t>
      </w:r>
    </w:p>
    <w:p w:rsidR="00B11404" w:rsidRDefault="002C0D43" w:rsidP="00D964D0">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L</w:t>
      </w:r>
      <w:r w:rsidR="009E1D47" w:rsidRPr="00D964D0">
        <w:rPr>
          <w:rFonts w:ascii="Times New Roman" w:hAnsi="Times New Roman" w:cs="Times New Roman"/>
          <w:sz w:val="24"/>
          <w:szCs w:val="24"/>
        </w:rPr>
        <w:t xml:space="preserve">a contrapposizione tra </w:t>
      </w:r>
      <w:r>
        <w:rPr>
          <w:rFonts w:ascii="Times New Roman" w:hAnsi="Times New Roman" w:cs="Times New Roman"/>
          <w:sz w:val="24"/>
          <w:szCs w:val="24"/>
        </w:rPr>
        <w:t xml:space="preserve">la </w:t>
      </w:r>
      <w:r w:rsidR="009E1D47" w:rsidRPr="00D964D0">
        <w:rPr>
          <w:rFonts w:ascii="Times New Roman" w:hAnsi="Times New Roman" w:cs="Times New Roman"/>
          <w:sz w:val="24"/>
          <w:szCs w:val="24"/>
        </w:rPr>
        <w:t xml:space="preserve">tutela degli investimenti e </w:t>
      </w:r>
      <w:r>
        <w:rPr>
          <w:rFonts w:ascii="Times New Roman" w:hAnsi="Times New Roman" w:cs="Times New Roman"/>
          <w:sz w:val="24"/>
          <w:szCs w:val="24"/>
        </w:rPr>
        <w:t>l’</w:t>
      </w:r>
      <w:r w:rsidR="00757600" w:rsidRPr="00D964D0">
        <w:rPr>
          <w:rFonts w:ascii="Times New Roman" w:hAnsi="Times New Roman" w:cs="Times New Roman"/>
          <w:sz w:val="24"/>
          <w:szCs w:val="24"/>
        </w:rPr>
        <w:t xml:space="preserve">apertura del </w:t>
      </w:r>
      <w:r>
        <w:rPr>
          <w:rFonts w:ascii="Times New Roman" w:hAnsi="Times New Roman" w:cs="Times New Roman"/>
          <w:sz w:val="24"/>
          <w:szCs w:val="24"/>
        </w:rPr>
        <w:t>mercato costituisce un problema atavico. È vero, il mercato non può essere chiuso all’entrata di nuovi operatori del settore e se ci sono delle barriere all’ingresso le stesse vanno rimosse. Tutto condivisibile al di</w:t>
      </w:r>
      <w:r w:rsidR="00B11404">
        <w:rPr>
          <w:rFonts w:ascii="Times New Roman" w:hAnsi="Times New Roman" w:cs="Times New Roman"/>
          <w:sz w:val="24"/>
          <w:szCs w:val="24"/>
        </w:rPr>
        <w:t xml:space="preserve"> là di ogni ragionevole dubbio.</w:t>
      </w:r>
    </w:p>
    <w:p w:rsidR="002C0D43" w:rsidRDefault="002C0D43" w:rsidP="00D964D0">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Ma allo stesso modo va tutelata anche la situazione di coloro i quali hanno investito, sostenuto ingenti spese, migliorata la situazione e la fruibilità dei luoghi, </w:t>
      </w:r>
      <w:r w:rsidR="00125F80">
        <w:rPr>
          <w:rFonts w:ascii="Times New Roman" w:hAnsi="Times New Roman" w:cs="Times New Roman"/>
          <w:sz w:val="24"/>
          <w:szCs w:val="24"/>
        </w:rPr>
        <w:t>creato occupazione,</w:t>
      </w:r>
      <w:r>
        <w:rPr>
          <w:rFonts w:ascii="Times New Roman" w:hAnsi="Times New Roman" w:cs="Times New Roman"/>
          <w:sz w:val="24"/>
          <w:szCs w:val="24"/>
        </w:rPr>
        <w:t xml:space="preserve"> </w:t>
      </w:r>
      <w:r w:rsidR="00B743DB">
        <w:rPr>
          <w:rFonts w:ascii="Times New Roman" w:hAnsi="Times New Roman" w:cs="Times New Roman"/>
          <w:sz w:val="24"/>
          <w:szCs w:val="24"/>
        </w:rPr>
        <w:t>incentivato il turismo,</w:t>
      </w:r>
      <w:r w:rsidR="002B6DDA">
        <w:rPr>
          <w:rFonts w:ascii="Times New Roman" w:hAnsi="Times New Roman" w:cs="Times New Roman"/>
          <w:sz w:val="24"/>
          <w:szCs w:val="24"/>
        </w:rPr>
        <w:t xml:space="preserve"> </w:t>
      </w:r>
      <w:r>
        <w:rPr>
          <w:rFonts w:ascii="Times New Roman" w:hAnsi="Times New Roman" w:cs="Times New Roman"/>
          <w:sz w:val="24"/>
          <w:szCs w:val="24"/>
        </w:rPr>
        <w:t xml:space="preserve">confidando tra l’altro su norme di legge statale che hanno </w:t>
      </w:r>
      <w:r w:rsidR="001200F6">
        <w:rPr>
          <w:rFonts w:ascii="Times New Roman" w:hAnsi="Times New Roman" w:cs="Times New Roman"/>
          <w:sz w:val="24"/>
          <w:szCs w:val="24"/>
        </w:rPr>
        <w:t>disposto</w:t>
      </w:r>
      <w:r>
        <w:rPr>
          <w:rFonts w:ascii="Times New Roman" w:hAnsi="Times New Roman" w:cs="Times New Roman"/>
          <w:sz w:val="24"/>
          <w:szCs w:val="24"/>
        </w:rPr>
        <w:t xml:space="preserve"> la proroga delle concessioni in titolarità. Senza pensare che in alcuni casi il rilascio</w:t>
      </w:r>
      <w:r w:rsidR="00B743DB">
        <w:rPr>
          <w:rFonts w:ascii="Times New Roman" w:hAnsi="Times New Roman" w:cs="Times New Roman"/>
          <w:sz w:val="24"/>
          <w:szCs w:val="24"/>
        </w:rPr>
        <w:t xml:space="preserve"> della concessione è intervenuto</w:t>
      </w:r>
      <w:r>
        <w:rPr>
          <w:rFonts w:ascii="Times New Roman" w:hAnsi="Times New Roman" w:cs="Times New Roman"/>
          <w:sz w:val="24"/>
          <w:szCs w:val="24"/>
        </w:rPr>
        <w:t xml:space="preserve"> a distanza di anni dalla relativa domanda e alcune volte anche a seguito di contenzioso</w:t>
      </w:r>
      <w:r w:rsidR="00E842AB">
        <w:rPr>
          <w:rFonts w:ascii="Times New Roman" w:hAnsi="Times New Roman" w:cs="Times New Roman"/>
          <w:sz w:val="24"/>
          <w:szCs w:val="24"/>
        </w:rPr>
        <w:t xml:space="preserve"> instaurato innanzi al giudice amministrativo</w:t>
      </w:r>
      <w:r>
        <w:rPr>
          <w:rFonts w:ascii="Times New Roman" w:hAnsi="Times New Roman" w:cs="Times New Roman"/>
          <w:sz w:val="24"/>
          <w:szCs w:val="24"/>
        </w:rPr>
        <w:t>.</w:t>
      </w:r>
    </w:p>
    <w:p w:rsidR="009E1D47" w:rsidRDefault="00E842AB" w:rsidP="00D964D0">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Per cui occorre trovare, da parte del legislatore, </w:t>
      </w:r>
      <w:r w:rsidR="00B11404">
        <w:rPr>
          <w:rFonts w:ascii="Times New Roman" w:hAnsi="Times New Roman" w:cs="Times New Roman"/>
          <w:sz w:val="24"/>
          <w:szCs w:val="24"/>
        </w:rPr>
        <w:t>il</w:t>
      </w:r>
      <w:r>
        <w:rPr>
          <w:rFonts w:ascii="Times New Roman" w:hAnsi="Times New Roman" w:cs="Times New Roman"/>
          <w:sz w:val="24"/>
          <w:szCs w:val="24"/>
        </w:rPr>
        <w:t xml:space="preserve"> giusto equilibrio tra le due esigenze.</w:t>
      </w:r>
    </w:p>
    <w:p w:rsidR="002A5EB1" w:rsidRDefault="00E842AB" w:rsidP="00D964D0">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Costituisce </w:t>
      </w:r>
      <w:r w:rsidR="002A5EB1" w:rsidRPr="00D964D0">
        <w:rPr>
          <w:rFonts w:ascii="Times New Roman" w:hAnsi="Times New Roman" w:cs="Times New Roman"/>
          <w:sz w:val="24"/>
          <w:szCs w:val="24"/>
        </w:rPr>
        <w:t xml:space="preserve">problema ormai risolto da oltre </w:t>
      </w:r>
      <w:r w:rsidR="00B60A0E">
        <w:rPr>
          <w:rFonts w:ascii="Times New Roman" w:hAnsi="Times New Roman" w:cs="Times New Roman"/>
          <w:sz w:val="24"/>
          <w:szCs w:val="24"/>
        </w:rPr>
        <w:t>quarant</w:t>
      </w:r>
      <w:r w:rsidR="00B60A0E" w:rsidRPr="00D964D0">
        <w:rPr>
          <w:rFonts w:ascii="Times New Roman" w:hAnsi="Times New Roman" w:cs="Times New Roman"/>
          <w:sz w:val="24"/>
          <w:szCs w:val="24"/>
        </w:rPr>
        <w:t>’anni</w:t>
      </w:r>
      <w:r>
        <w:rPr>
          <w:rFonts w:ascii="Times New Roman" w:hAnsi="Times New Roman" w:cs="Times New Roman"/>
          <w:sz w:val="24"/>
          <w:szCs w:val="24"/>
        </w:rPr>
        <w:t xml:space="preserve"> quello della</w:t>
      </w:r>
      <w:r w:rsidR="002A5EB1" w:rsidRPr="00D964D0">
        <w:rPr>
          <w:rFonts w:ascii="Times New Roman" w:hAnsi="Times New Roman" w:cs="Times New Roman"/>
          <w:sz w:val="24"/>
          <w:szCs w:val="24"/>
        </w:rPr>
        <w:t xml:space="preserve"> primazia del diritto europeo e </w:t>
      </w:r>
      <w:r>
        <w:rPr>
          <w:rFonts w:ascii="Times New Roman" w:hAnsi="Times New Roman" w:cs="Times New Roman"/>
          <w:sz w:val="24"/>
          <w:szCs w:val="24"/>
        </w:rPr>
        <w:t>dell’</w:t>
      </w:r>
      <w:r w:rsidR="002A5EB1" w:rsidRPr="00D964D0">
        <w:rPr>
          <w:rFonts w:ascii="Times New Roman" w:hAnsi="Times New Roman" w:cs="Times New Roman"/>
          <w:sz w:val="24"/>
          <w:szCs w:val="24"/>
        </w:rPr>
        <w:t xml:space="preserve">applicazione diretta dei principi </w:t>
      </w:r>
      <w:r>
        <w:rPr>
          <w:rFonts w:ascii="Times New Roman" w:hAnsi="Times New Roman" w:cs="Times New Roman"/>
          <w:sz w:val="24"/>
          <w:szCs w:val="24"/>
        </w:rPr>
        <w:t>europei</w:t>
      </w:r>
      <w:r w:rsidR="002A5EB1" w:rsidRPr="00D964D0">
        <w:rPr>
          <w:rFonts w:ascii="Times New Roman" w:hAnsi="Times New Roman" w:cs="Times New Roman"/>
          <w:sz w:val="24"/>
          <w:szCs w:val="24"/>
        </w:rPr>
        <w:t xml:space="preserve"> di libertà di stabilimento e di concorrenza.</w:t>
      </w:r>
    </w:p>
    <w:p w:rsidR="00E842AB" w:rsidRDefault="00E842AB" w:rsidP="00D964D0">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Il diritto europeo stravolge i connotati degli istituti giuridici</w:t>
      </w:r>
      <w:r w:rsidR="001200F6">
        <w:rPr>
          <w:rFonts w:ascii="Times New Roman" w:hAnsi="Times New Roman" w:cs="Times New Roman"/>
          <w:sz w:val="24"/>
          <w:szCs w:val="24"/>
        </w:rPr>
        <w:t xml:space="preserve"> di diritto interno</w:t>
      </w:r>
      <w:r>
        <w:rPr>
          <w:rFonts w:ascii="Times New Roman" w:hAnsi="Times New Roman" w:cs="Times New Roman"/>
          <w:sz w:val="24"/>
          <w:szCs w:val="24"/>
        </w:rPr>
        <w:t>. Si pensi a quanto accaduto con riguardo alla cosiddetta concessione di committenza nel campo dei lavori pubblici</w:t>
      </w:r>
      <w:r w:rsidR="00125F80">
        <w:rPr>
          <w:rFonts w:ascii="Times New Roman" w:hAnsi="Times New Roman" w:cs="Times New Roman"/>
          <w:sz w:val="24"/>
          <w:szCs w:val="24"/>
        </w:rPr>
        <w:t>,</w:t>
      </w:r>
      <w:r w:rsidR="001C78DB">
        <w:rPr>
          <w:rFonts w:ascii="Times New Roman" w:hAnsi="Times New Roman" w:cs="Times New Roman"/>
          <w:sz w:val="24"/>
          <w:szCs w:val="24"/>
        </w:rPr>
        <w:t xml:space="preserve"> </w:t>
      </w:r>
      <w:r>
        <w:rPr>
          <w:rFonts w:ascii="Times New Roman" w:hAnsi="Times New Roman" w:cs="Times New Roman"/>
          <w:sz w:val="24"/>
          <w:szCs w:val="24"/>
        </w:rPr>
        <w:t xml:space="preserve">laddove si pensava che, essendo oggetto della stessa la traslazione di funzioni pubbliche, ossia di quelle inerenti il compito di stazione appaltante, la scelta del concessionario non dovesse rispettare l’obbligo dell’evidenza pubblica. </w:t>
      </w:r>
      <w:r w:rsidR="00125F80">
        <w:rPr>
          <w:rFonts w:ascii="Times New Roman" w:hAnsi="Times New Roman" w:cs="Times New Roman"/>
          <w:sz w:val="24"/>
          <w:szCs w:val="24"/>
        </w:rPr>
        <w:t>A u</w:t>
      </w:r>
      <w:r>
        <w:rPr>
          <w:rFonts w:ascii="Times New Roman" w:hAnsi="Times New Roman" w:cs="Times New Roman"/>
          <w:sz w:val="24"/>
          <w:szCs w:val="24"/>
        </w:rPr>
        <w:t xml:space="preserve">n certo punto l’impostazione </w:t>
      </w:r>
      <w:r w:rsidR="0004238C">
        <w:rPr>
          <w:rFonts w:ascii="Times New Roman" w:hAnsi="Times New Roman" w:cs="Times New Roman"/>
          <w:sz w:val="24"/>
          <w:szCs w:val="24"/>
        </w:rPr>
        <w:t>pragmatica</w:t>
      </w:r>
      <w:r>
        <w:rPr>
          <w:rFonts w:ascii="Times New Roman" w:hAnsi="Times New Roman" w:cs="Times New Roman"/>
          <w:sz w:val="24"/>
          <w:szCs w:val="24"/>
        </w:rPr>
        <w:t xml:space="preserve"> del diritto europeo ha portato al </w:t>
      </w:r>
      <w:r w:rsidR="00A80C69">
        <w:rPr>
          <w:rFonts w:ascii="Times New Roman" w:hAnsi="Times New Roman" w:cs="Times New Roman"/>
          <w:sz w:val="24"/>
          <w:szCs w:val="24"/>
        </w:rPr>
        <w:t>disconoscimento</w:t>
      </w:r>
      <w:r>
        <w:rPr>
          <w:rFonts w:ascii="Times New Roman" w:hAnsi="Times New Roman" w:cs="Times New Roman"/>
          <w:sz w:val="24"/>
          <w:szCs w:val="24"/>
        </w:rPr>
        <w:t xml:space="preserve"> di una siffatta figura, equipara</w:t>
      </w:r>
      <w:r w:rsidR="00125F80">
        <w:rPr>
          <w:rFonts w:ascii="Times New Roman" w:hAnsi="Times New Roman" w:cs="Times New Roman"/>
          <w:sz w:val="24"/>
          <w:szCs w:val="24"/>
        </w:rPr>
        <w:t xml:space="preserve">ndo, a </w:t>
      </w:r>
      <w:r>
        <w:rPr>
          <w:rFonts w:ascii="Times New Roman" w:hAnsi="Times New Roman" w:cs="Times New Roman"/>
          <w:sz w:val="24"/>
          <w:szCs w:val="24"/>
        </w:rPr>
        <w:t xml:space="preserve">fini di disciplina, l’appalto </w:t>
      </w:r>
      <w:r w:rsidR="00B743DB">
        <w:rPr>
          <w:rFonts w:ascii="Times New Roman" w:hAnsi="Times New Roman" w:cs="Times New Roman"/>
          <w:sz w:val="24"/>
          <w:szCs w:val="24"/>
        </w:rPr>
        <w:t>al</w:t>
      </w:r>
      <w:r w:rsidR="002B6DDA">
        <w:rPr>
          <w:rFonts w:ascii="Times New Roman" w:hAnsi="Times New Roman" w:cs="Times New Roman"/>
          <w:sz w:val="24"/>
          <w:szCs w:val="24"/>
        </w:rPr>
        <w:t>l</w:t>
      </w:r>
      <w:r>
        <w:rPr>
          <w:rFonts w:ascii="Times New Roman" w:hAnsi="Times New Roman" w:cs="Times New Roman"/>
          <w:sz w:val="24"/>
          <w:szCs w:val="24"/>
        </w:rPr>
        <w:t>a concessione e considera</w:t>
      </w:r>
      <w:r w:rsidR="00125F80">
        <w:rPr>
          <w:rFonts w:ascii="Times New Roman" w:hAnsi="Times New Roman" w:cs="Times New Roman"/>
          <w:sz w:val="24"/>
          <w:szCs w:val="24"/>
        </w:rPr>
        <w:t>ndo</w:t>
      </w:r>
      <w:r>
        <w:rPr>
          <w:rFonts w:ascii="Times New Roman" w:hAnsi="Times New Roman" w:cs="Times New Roman"/>
          <w:sz w:val="24"/>
          <w:szCs w:val="24"/>
        </w:rPr>
        <w:t xml:space="preserve"> come unico tipo di concessione quella di costruzione e gestione.</w:t>
      </w:r>
    </w:p>
    <w:p w:rsidR="008A508F" w:rsidRDefault="00E842AB" w:rsidP="00D964D0">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Lo stesso è accaduto con riguardo all’applicazione della direttiva </w:t>
      </w:r>
      <w:r w:rsidR="008A508F">
        <w:rPr>
          <w:rFonts w:ascii="Times New Roman" w:hAnsi="Times New Roman" w:cs="Times New Roman"/>
          <w:sz w:val="24"/>
          <w:szCs w:val="24"/>
        </w:rPr>
        <w:t xml:space="preserve">Bolkestein </w:t>
      </w:r>
      <w:r>
        <w:rPr>
          <w:rFonts w:ascii="Times New Roman" w:hAnsi="Times New Roman" w:cs="Times New Roman"/>
          <w:sz w:val="24"/>
          <w:szCs w:val="24"/>
        </w:rPr>
        <w:t xml:space="preserve">alle concessioni di cui trattasi, laddove </w:t>
      </w:r>
      <w:r w:rsidR="008A508F">
        <w:rPr>
          <w:rFonts w:ascii="Times New Roman" w:hAnsi="Times New Roman" w:cs="Times New Roman"/>
          <w:sz w:val="24"/>
          <w:szCs w:val="24"/>
        </w:rPr>
        <w:t>la CGUE ha considerato</w:t>
      </w:r>
      <w:r>
        <w:rPr>
          <w:rFonts w:ascii="Times New Roman" w:hAnsi="Times New Roman" w:cs="Times New Roman"/>
          <w:sz w:val="24"/>
          <w:szCs w:val="24"/>
        </w:rPr>
        <w:t xml:space="preserve"> </w:t>
      </w:r>
      <w:r w:rsidR="008A508F">
        <w:rPr>
          <w:rFonts w:ascii="Times New Roman" w:hAnsi="Times New Roman" w:cs="Times New Roman"/>
          <w:sz w:val="24"/>
          <w:szCs w:val="24"/>
        </w:rPr>
        <w:t xml:space="preserve">nello specifico </w:t>
      </w:r>
      <w:r w:rsidR="0004238C" w:rsidRPr="0004238C">
        <w:rPr>
          <w:rFonts w:ascii="Times New Roman" w:hAnsi="Times New Roman" w:cs="Times New Roman"/>
          <w:sz w:val="24"/>
          <w:szCs w:val="24"/>
        </w:rPr>
        <w:t xml:space="preserve">preminente </w:t>
      </w:r>
      <w:r w:rsidR="008A508F">
        <w:rPr>
          <w:rFonts w:ascii="Times New Roman" w:hAnsi="Times New Roman" w:cs="Times New Roman"/>
          <w:sz w:val="24"/>
          <w:szCs w:val="24"/>
        </w:rPr>
        <w:t xml:space="preserve">l’attività di servizi svolta da un soggetto per effetto di un provvedimento </w:t>
      </w:r>
      <w:r w:rsidR="0004238C">
        <w:rPr>
          <w:rFonts w:ascii="Times New Roman" w:hAnsi="Times New Roman" w:cs="Times New Roman"/>
          <w:sz w:val="24"/>
          <w:szCs w:val="24"/>
        </w:rPr>
        <w:t xml:space="preserve">di contenuto </w:t>
      </w:r>
      <w:r w:rsidR="00A80C69">
        <w:rPr>
          <w:rFonts w:ascii="Times New Roman" w:hAnsi="Times New Roman" w:cs="Times New Roman"/>
          <w:sz w:val="24"/>
          <w:szCs w:val="24"/>
        </w:rPr>
        <w:t xml:space="preserve">autorizzativo </w:t>
      </w:r>
      <w:r w:rsidR="008A508F">
        <w:rPr>
          <w:rFonts w:ascii="Times New Roman" w:hAnsi="Times New Roman" w:cs="Times New Roman"/>
          <w:sz w:val="24"/>
          <w:szCs w:val="24"/>
        </w:rPr>
        <w:t>dell’amministrazione, anche non necessariamente denominato “</w:t>
      </w:r>
      <w:r w:rsidR="0004238C">
        <w:rPr>
          <w:rFonts w:ascii="Times New Roman" w:hAnsi="Times New Roman" w:cs="Times New Roman"/>
          <w:sz w:val="24"/>
          <w:szCs w:val="24"/>
        </w:rPr>
        <w:t>autorizzazione</w:t>
      </w:r>
      <w:r w:rsidR="008A508F">
        <w:rPr>
          <w:rFonts w:ascii="Times New Roman" w:hAnsi="Times New Roman" w:cs="Times New Roman"/>
          <w:sz w:val="24"/>
          <w:szCs w:val="24"/>
        </w:rPr>
        <w:t>”</w:t>
      </w:r>
      <w:r w:rsidR="0004238C">
        <w:rPr>
          <w:rFonts w:ascii="Times New Roman" w:hAnsi="Times New Roman" w:cs="Times New Roman"/>
          <w:sz w:val="24"/>
          <w:szCs w:val="24"/>
        </w:rPr>
        <w:t xml:space="preserve"> (istituto</w:t>
      </w:r>
      <w:r w:rsidR="001200F6">
        <w:rPr>
          <w:rFonts w:ascii="Times New Roman" w:hAnsi="Times New Roman" w:cs="Times New Roman"/>
          <w:sz w:val="24"/>
          <w:szCs w:val="24"/>
        </w:rPr>
        <w:t xml:space="preserve"> questo</w:t>
      </w:r>
      <w:r w:rsidR="00F94206">
        <w:rPr>
          <w:rFonts w:ascii="Times New Roman" w:hAnsi="Times New Roman" w:cs="Times New Roman"/>
          <w:sz w:val="24"/>
          <w:szCs w:val="24"/>
        </w:rPr>
        <w:t>,</w:t>
      </w:r>
      <w:r w:rsidR="0004238C">
        <w:rPr>
          <w:rFonts w:ascii="Times New Roman" w:hAnsi="Times New Roman" w:cs="Times New Roman"/>
          <w:sz w:val="24"/>
          <w:szCs w:val="24"/>
        </w:rPr>
        <w:t xml:space="preserve"> nel diritto </w:t>
      </w:r>
      <w:r w:rsidR="00F94206">
        <w:rPr>
          <w:rFonts w:ascii="Times New Roman" w:hAnsi="Times New Roman" w:cs="Times New Roman"/>
          <w:sz w:val="24"/>
          <w:szCs w:val="24"/>
        </w:rPr>
        <w:t>interno,</w:t>
      </w:r>
      <w:r w:rsidR="0004238C">
        <w:rPr>
          <w:rFonts w:ascii="Times New Roman" w:hAnsi="Times New Roman" w:cs="Times New Roman"/>
          <w:sz w:val="24"/>
          <w:szCs w:val="24"/>
        </w:rPr>
        <w:t xml:space="preserve"> diverso da quello della concessione)</w:t>
      </w:r>
      <w:r w:rsidR="008A508F">
        <w:rPr>
          <w:rFonts w:ascii="Times New Roman" w:hAnsi="Times New Roman" w:cs="Times New Roman"/>
          <w:sz w:val="24"/>
          <w:szCs w:val="24"/>
        </w:rPr>
        <w:t>.</w:t>
      </w:r>
    </w:p>
    <w:p w:rsidR="008A508F" w:rsidRDefault="001200F6" w:rsidP="00D964D0">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Il che</w:t>
      </w:r>
      <w:r w:rsidR="008A508F">
        <w:rPr>
          <w:rFonts w:ascii="Times New Roman" w:hAnsi="Times New Roman" w:cs="Times New Roman"/>
          <w:sz w:val="24"/>
          <w:szCs w:val="24"/>
        </w:rPr>
        <w:t xml:space="preserve"> non è senza </w:t>
      </w:r>
      <w:r w:rsidR="00125F80">
        <w:rPr>
          <w:rFonts w:ascii="Times New Roman" w:hAnsi="Times New Roman" w:cs="Times New Roman"/>
          <w:sz w:val="24"/>
          <w:szCs w:val="24"/>
        </w:rPr>
        <w:t>ripercussioni</w:t>
      </w:r>
      <w:r w:rsidR="008A508F">
        <w:rPr>
          <w:rFonts w:ascii="Times New Roman" w:hAnsi="Times New Roman" w:cs="Times New Roman"/>
          <w:sz w:val="24"/>
          <w:szCs w:val="24"/>
        </w:rPr>
        <w:t xml:space="preserve"> su esigenze di certezza del diritto. Ma ormai</w:t>
      </w:r>
      <w:r w:rsidR="00125F80">
        <w:rPr>
          <w:rFonts w:ascii="Times New Roman" w:hAnsi="Times New Roman" w:cs="Times New Roman"/>
          <w:sz w:val="24"/>
          <w:szCs w:val="24"/>
        </w:rPr>
        <w:t>,</w:t>
      </w:r>
      <w:r w:rsidR="008A508F">
        <w:rPr>
          <w:rFonts w:ascii="Times New Roman" w:hAnsi="Times New Roman" w:cs="Times New Roman"/>
          <w:sz w:val="24"/>
          <w:szCs w:val="24"/>
        </w:rPr>
        <w:t xml:space="preserve"> in un ordinamento stratificato quale è il nostro in virtù </w:t>
      </w:r>
      <w:r w:rsidR="00125F80">
        <w:rPr>
          <w:rFonts w:ascii="Times New Roman" w:hAnsi="Times New Roman" w:cs="Times New Roman"/>
          <w:sz w:val="24"/>
          <w:szCs w:val="24"/>
        </w:rPr>
        <w:t>dell’adesione</w:t>
      </w:r>
      <w:r w:rsidR="008A508F">
        <w:rPr>
          <w:rFonts w:ascii="Times New Roman" w:hAnsi="Times New Roman" w:cs="Times New Roman"/>
          <w:sz w:val="24"/>
          <w:szCs w:val="24"/>
        </w:rPr>
        <w:t xml:space="preserve"> all’Unione europea</w:t>
      </w:r>
      <w:r w:rsidR="00125F80">
        <w:rPr>
          <w:rFonts w:ascii="Times New Roman" w:hAnsi="Times New Roman" w:cs="Times New Roman"/>
          <w:sz w:val="24"/>
          <w:szCs w:val="24"/>
        </w:rPr>
        <w:t>,</w:t>
      </w:r>
      <w:r w:rsidR="008A508F">
        <w:rPr>
          <w:rFonts w:ascii="Times New Roman" w:hAnsi="Times New Roman" w:cs="Times New Roman"/>
          <w:sz w:val="24"/>
          <w:szCs w:val="24"/>
        </w:rPr>
        <w:t xml:space="preserve"> occorre </w:t>
      </w:r>
      <w:r w:rsidR="00B743DB">
        <w:rPr>
          <w:rFonts w:ascii="Times New Roman" w:hAnsi="Times New Roman" w:cs="Times New Roman"/>
          <w:sz w:val="24"/>
          <w:szCs w:val="24"/>
        </w:rPr>
        <w:t xml:space="preserve">convivere con </w:t>
      </w:r>
      <w:r w:rsidR="008A508F">
        <w:rPr>
          <w:rFonts w:ascii="Times New Roman" w:hAnsi="Times New Roman" w:cs="Times New Roman"/>
          <w:sz w:val="24"/>
          <w:szCs w:val="24"/>
        </w:rPr>
        <w:t xml:space="preserve">le antinomie e soprattutto escogitare strumenti </w:t>
      </w:r>
      <w:r w:rsidR="00125F80">
        <w:rPr>
          <w:rFonts w:ascii="Times New Roman" w:hAnsi="Times New Roman" w:cs="Times New Roman"/>
          <w:sz w:val="24"/>
          <w:szCs w:val="24"/>
        </w:rPr>
        <w:t xml:space="preserve">efficaci </w:t>
      </w:r>
      <w:r w:rsidR="008A508F">
        <w:rPr>
          <w:rFonts w:ascii="Times New Roman" w:hAnsi="Times New Roman" w:cs="Times New Roman"/>
          <w:sz w:val="24"/>
          <w:szCs w:val="24"/>
        </w:rPr>
        <w:t>che consentano di superarle o di risolverle.</w:t>
      </w:r>
    </w:p>
    <w:p w:rsidR="00E02522" w:rsidRDefault="003E241F" w:rsidP="00D964D0">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Il settore delle concessioni demaniali marittime per finalità turistico ricreative </w:t>
      </w:r>
      <w:r w:rsidR="00125F80">
        <w:rPr>
          <w:rFonts w:ascii="Times New Roman" w:hAnsi="Times New Roman" w:cs="Times New Roman"/>
          <w:sz w:val="24"/>
          <w:szCs w:val="24"/>
        </w:rPr>
        <w:t xml:space="preserve">è di </w:t>
      </w:r>
      <w:r w:rsidR="00482F59" w:rsidRPr="00D964D0">
        <w:rPr>
          <w:rFonts w:ascii="Times New Roman" w:hAnsi="Times New Roman" w:cs="Times New Roman"/>
          <w:sz w:val="24"/>
          <w:szCs w:val="24"/>
        </w:rPr>
        <w:t xml:space="preserve">fondamentale </w:t>
      </w:r>
      <w:r w:rsidR="00125F80">
        <w:rPr>
          <w:rFonts w:ascii="Times New Roman" w:hAnsi="Times New Roman" w:cs="Times New Roman"/>
          <w:sz w:val="24"/>
          <w:szCs w:val="24"/>
        </w:rPr>
        <w:t xml:space="preserve">importanza </w:t>
      </w:r>
      <w:r w:rsidR="00482F59" w:rsidRPr="00D964D0">
        <w:rPr>
          <w:rFonts w:ascii="Times New Roman" w:hAnsi="Times New Roman" w:cs="Times New Roman"/>
          <w:sz w:val="24"/>
          <w:szCs w:val="24"/>
        </w:rPr>
        <w:t xml:space="preserve">per l’economia e </w:t>
      </w:r>
      <w:r>
        <w:rPr>
          <w:rFonts w:ascii="Times New Roman" w:hAnsi="Times New Roman" w:cs="Times New Roman"/>
          <w:sz w:val="24"/>
          <w:szCs w:val="24"/>
        </w:rPr>
        <w:t>per il turismo</w:t>
      </w:r>
      <w:r w:rsidR="00A80C69">
        <w:rPr>
          <w:rFonts w:ascii="Times New Roman" w:hAnsi="Times New Roman" w:cs="Times New Roman"/>
          <w:sz w:val="24"/>
          <w:szCs w:val="24"/>
        </w:rPr>
        <w:t xml:space="preserve"> del Paese</w:t>
      </w:r>
      <w:r>
        <w:rPr>
          <w:rFonts w:ascii="Times New Roman" w:hAnsi="Times New Roman" w:cs="Times New Roman"/>
          <w:sz w:val="24"/>
          <w:szCs w:val="24"/>
        </w:rPr>
        <w:t xml:space="preserve">. E </w:t>
      </w:r>
      <w:r w:rsidR="009E1D47" w:rsidRPr="00D964D0">
        <w:rPr>
          <w:rFonts w:ascii="Times New Roman" w:hAnsi="Times New Roman" w:cs="Times New Roman"/>
          <w:sz w:val="24"/>
          <w:szCs w:val="24"/>
        </w:rPr>
        <w:t>l</w:t>
      </w:r>
      <w:r w:rsidR="00D4334D" w:rsidRPr="00D964D0">
        <w:rPr>
          <w:rFonts w:ascii="Times New Roman" w:hAnsi="Times New Roman" w:cs="Times New Roman"/>
          <w:sz w:val="24"/>
          <w:szCs w:val="24"/>
        </w:rPr>
        <w:t xml:space="preserve">a legge sulla concorrenza è una riforma chiave </w:t>
      </w:r>
      <w:r w:rsidR="00482F59" w:rsidRPr="00D964D0">
        <w:rPr>
          <w:rFonts w:ascii="Times New Roman" w:hAnsi="Times New Roman" w:cs="Times New Roman"/>
          <w:sz w:val="24"/>
          <w:szCs w:val="24"/>
        </w:rPr>
        <w:t xml:space="preserve">del </w:t>
      </w:r>
      <w:r>
        <w:rPr>
          <w:rFonts w:ascii="Times New Roman" w:hAnsi="Times New Roman" w:cs="Times New Roman"/>
          <w:sz w:val="24"/>
          <w:szCs w:val="24"/>
        </w:rPr>
        <w:t>piano nazionale</w:t>
      </w:r>
      <w:r w:rsidR="00E02522">
        <w:rPr>
          <w:rFonts w:ascii="Times New Roman" w:hAnsi="Times New Roman" w:cs="Times New Roman"/>
          <w:sz w:val="24"/>
          <w:szCs w:val="24"/>
        </w:rPr>
        <w:t xml:space="preserve"> di rip</w:t>
      </w:r>
      <w:r>
        <w:rPr>
          <w:rFonts w:ascii="Times New Roman" w:hAnsi="Times New Roman" w:cs="Times New Roman"/>
          <w:sz w:val="24"/>
          <w:szCs w:val="24"/>
        </w:rPr>
        <w:t>r</w:t>
      </w:r>
      <w:r w:rsidR="00E02522">
        <w:rPr>
          <w:rFonts w:ascii="Times New Roman" w:hAnsi="Times New Roman" w:cs="Times New Roman"/>
          <w:sz w:val="24"/>
          <w:szCs w:val="24"/>
        </w:rPr>
        <w:t>e</w:t>
      </w:r>
      <w:r>
        <w:rPr>
          <w:rFonts w:ascii="Times New Roman" w:hAnsi="Times New Roman" w:cs="Times New Roman"/>
          <w:sz w:val="24"/>
          <w:szCs w:val="24"/>
        </w:rPr>
        <w:t>sa e resilienza (PNRR).</w:t>
      </w:r>
      <w:r w:rsidR="00E02522">
        <w:rPr>
          <w:rFonts w:ascii="Times New Roman" w:hAnsi="Times New Roman" w:cs="Times New Roman"/>
          <w:sz w:val="24"/>
          <w:szCs w:val="24"/>
        </w:rPr>
        <w:t xml:space="preserve"> Ecco il perché dell’accelerazione dell’emanazione della disciplina al riguardo. Per ottenere i fondi europei occorre liberalizzare, eliminare barriere all’entrata e</w:t>
      </w:r>
      <w:r w:rsidR="00B743DB">
        <w:rPr>
          <w:rFonts w:ascii="Times New Roman" w:hAnsi="Times New Roman" w:cs="Times New Roman"/>
          <w:sz w:val="24"/>
          <w:szCs w:val="24"/>
        </w:rPr>
        <w:t xml:space="preserve">d effettuare </w:t>
      </w:r>
      <w:r w:rsidR="00E02522">
        <w:rPr>
          <w:rFonts w:ascii="Times New Roman" w:hAnsi="Times New Roman" w:cs="Times New Roman"/>
          <w:sz w:val="24"/>
          <w:szCs w:val="24"/>
        </w:rPr>
        <w:t xml:space="preserve">le gare per l’affidamento delle nuove concessioni. È il PNRR </w:t>
      </w:r>
      <w:r w:rsidR="00A80C69">
        <w:rPr>
          <w:rFonts w:ascii="Times New Roman" w:hAnsi="Times New Roman" w:cs="Times New Roman"/>
          <w:sz w:val="24"/>
          <w:szCs w:val="24"/>
        </w:rPr>
        <w:t>la</w:t>
      </w:r>
      <w:r w:rsidR="00E02522">
        <w:rPr>
          <w:rFonts w:ascii="Times New Roman" w:hAnsi="Times New Roman" w:cs="Times New Roman"/>
          <w:sz w:val="24"/>
          <w:szCs w:val="24"/>
        </w:rPr>
        <w:t xml:space="preserve"> ver</w:t>
      </w:r>
      <w:r w:rsidR="00B60A0E">
        <w:rPr>
          <w:rFonts w:ascii="Times New Roman" w:hAnsi="Times New Roman" w:cs="Times New Roman"/>
          <w:sz w:val="24"/>
          <w:szCs w:val="24"/>
        </w:rPr>
        <w:t xml:space="preserve">a </w:t>
      </w:r>
      <w:r w:rsidR="00A80C69">
        <w:rPr>
          <w:rFonts w:ascii="Times New Roman" w:hAnsi="Times New Roman" w:cs="Times New Roman"/>
          <w:sz w:val="24"/>
          <w:szCs w:val="24"/>
        </w:rPr>
        <w:t xml:space="preserve">spinta </w:t>
      </w:r>
      <w:r w:rsidR="00E02522">
        <w:rPr>
          <w:rFonts w:ascii="Times New Roman" w:hAnsi="Times New Roman" w:cs="Times New Roman"/>
          <w:sz w:val="24"/>
          <w:szCs w:val="24"/>
        </w:rPr>
        <w:t>di tutto</w:t>
      </w:r>
      <w:r w:rsidR="00B743DB">
        <w:rPr>
          <w:rFonts w:ascii="Times New Roman" w:hAnsi="Times New Roman" w:cs="Times New Roman"/>
          <w:sz w:val="24"/>
          <w:szCs w:val="24"/>
        </w:rPr>
        <w:t xml:space="preserve"> e non le sentenze gemelle dell’adunanza plenaria</w:t>
      </w:r>
      <w:r w:rsidR="00E02522">
        <w:rPr>
          <w:rFonts w:ascii="Times New Roman" w:hAnsi="Times New Roman" w:cs="Times New Roman"/>
          <w:sz w:val="24"/>
          <w:szCs w:val="24"/>
        </w:rPr>
        <w:t>.</w:t>
      </w:r>
    </w:p>
    <w:p w:rsidR="00E02522" w:rsidRDefault="00E02522" w:rsidP="00D964D0">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I problemi si sarebbero dovuti risolvere </w:t>
      </w:r>
      <w:r w:rsidR="00061334">
        <w:rPr>
          <w:rFonts w:ascii="Times New Roman" w:hAnsi="Times New Roman" w:cs="Times New Roman"/>
          <w:sz w:val="24"/>
          <w:szCs w:val="24"/>
        </w:rPr>
        <w:t xml:space="preserve">in via prioritaria </w:t>
      </w:r>
      <w:r>
        <w:rPr>
          <w:rFonts w:ascii="Times New Roman" w:hAnsi="Times New Roman" w:cs="Times New Roman"/>
          <w:sz w:val="24"/>
          <w:szCs w:val="24"/>
        </w:rPr>
        <w:t>da parte della politica</w:t>
      </w:r>
      <w:r w:rsidR="003B3314">
        <w:rPr>
          <w:rFonts w:ascii="Times New Roman" w:hAnsi="Times New Roman" w:cs="Times New Roman"/>
          <w:sz w:val="24"/>
          <w:szCs w:val="24"/>
        </w:rPr>
        <w:t xml:space="preserve">, che non ha fatto altro che procrastinare le diverse criticità emerse </w:t>
      </w:r>
      <w:r w:rsidR="00B80F51">
        <w:rPr>
          <w:rFonts w:ascii="Times New Roman" w:hAnsi="Times New Roman" w:cs="Times New Roman"/>
          <w:sz w:val="24"/>
          <w:szCs w:val="24"/>
        </w:rPr>
        <w:t xml:space="preserve">da tempo </w:t>
      </w:r>
      <w:r w:rsidR="003B3314">
        <w:rPr>
          <w:rFonts w:ascii="Times New Roman" w:hAnsi="Times New Roman" w:cs="Times New Roman"/>
          <w:sz w:val="24"/>
          <w:szCs w:val="24"/>
        </w:rPr>
        <w:t>a livello europeo con ripetute norme di proroga</w:t>
      </w:r>
      <w:r>
        <w:rPr>
          <w:rFonts w:ascii="Times New Roman" w:hAnsi="Times New Roman" w:cs="Times New Roman"/>
          <w:sz w:val="24"/>
          <w:szCs w:val="24"/>
        </w:rPr>
        <w:t>. L</w:t>
      </w:r>
      <w:r w:rsidR="003B3314">
        <w:rPr>
          <w:rFonts w:ascii="Times New Roman" w:hAnsi="Times New Roman" w:cs="Times New Roman"/>
          <w:sz w:val="24"/>
          <w:szCs w:val="24"/>
        </w:rPr>
        <w:t xml:space="preserve">’inidoneità delle soluzioni </w:t>
      </w:r>
      <w:r w:rsidR="00A80C69">
        <w:rPr>
          <w:rFonts w:ascii="Times New Roman" w:hAnsi="Times New Roman" w:cs="Times New Roman"/>
          <w:sz w:val="24"/>
          <w:szCs w:val="24"/>
        </w:rPr>
        <w:t xml:space="preserve">e il fallimento della politica </w:t>
      </w:r>
      <w:r>
        <w:rPr>
          <w:rFonts w:ascii="Times New Roman" w:hAnsi="Times New Roman" w:cs="Times New Roman"/>
          <w:sz w:val="24"/>
          <w:szCs w:val="24"/>
        </w:rPr>
        <w:t xml:space="preserve">si </w:t>
      </w:r>
      <w:r w:rsidR="00F94206">
        <w:rPr>
          <w:rFonts w:ascii="Times New Roman" w:hAnsi="Times New Roman" w:cs="Times New Roman"/>
          <w:sz w:val="24"/>
          <w:szCs w:val="24"/>
        </w:rPr>
        <w:t>ripercuote</w:t>
      </w:r>
      <w:r>
        <w:rPr>
          <w:rFonts w:ascii="Times New Roman" w:hAnsi="Times New Roman" w:cs="Times New Roman"/>
          <w:sz w:val="24"/>
          <w:szCs w:val="24"/>
        </w:rPr>
        <w:t xml:space="preserve"> sul giudice amministrativo</w:t>
      </w:r>
      <w:r w:rsidR="00A80C69">
        <w:rPr>
          <w:rFonts w:ascii="Times New Roman" w:hAnsi="Times New Roman" w:cs="Times New Roman"/>
          <w:sz w:val="24"/>
          <w:szCs w:val="24"/>
        </w:rPr>
        <w:t>,</w:t>
      </w:r>
      <w:r>
        <w:rPr>
          <w:rFonts w:ascii="Times New Roman" w:hAnsi="Times New Roman" w:cs="Times New Roman"/>
          <w:sz w:val="24"/>
          <w:szCs w:val="24"/>
        </w:rPr>
        <w:t xml:space="preserve"> al quale viene </w:t>
      </w:r>
      <w:r w:rsidR="00A80C69">
        <w:rPr>
          <w:rFonts w:ascii="Times New Roman" w:hAnsi="Times New Roman" w:cs="Times New Roman"/>
          <w:sz w:val="24"/>
          <w:szCs w:val="24"/>
        </w:rPr>
        <w:t>passato</w:t>
      </w:r>
      <w:r>
        <w:rPr>
          <w:rFonts w:ascii="Times New Roman" w:hAnsi="Times New Roman" w:cs="Times New Roman"/>
          <w:sz w:val="24"/>
          <w:szCs w:val="24"/>
        </w:rPr>
        <w:t xml:space="preserve"> </w:t>
      </w:r>
      <w:r w:rsidR="003B3314">
        <w:rPr>
          <w:rFonts w:ascii="Times New Roman" w:hAnsi="Times New Roman" w:cs="Times New Roman"/>
          <w:sz w:val="24"/>
          <w:szCs w:val="24"/>
        </w:rPr>
        <w:t>“</w:t>
      </w:r>
      <w:r>
        <w:rPr>
          <w:rFonts w:ascii="Times New Roman" w:hAnsi="Times New Roman" w:cs="Times New Roman"/>
          <w:sz w:val="24"/>
          <w:szCs w:val="24"/>
        </w:rPr>
        <w:t>il cerino acceso</w:t>
      </w:r>
      <w:r w:rsidR="003B3314">
        <w:rPr>
          <w:rFonts w:ascii="Times New Roman" w:hAnsi="Times New Roman" w:cs="Times New Roman"/>
          <w:sz w:val="24"/>
          <w:szCs w:val="24"/>
        </w:rPr>
        <w:t>”</w:t>
      </w:r>
      <w:r>
        <w:rPr>
          <w:rFonts w:ascii="Times New Roman" w:hAnsi="Times New Roman" w:cs="Times New Roman"/>
          <w:sz w:val="24"/>
          <w:szCs w:val="24"/>
        </w:rPr>
        <w:t>.</w:t>
      </w:r>
      <w:r w:rsidR="003B3314">
        <w:rPr>
          <w:rFonts w:ascii="Times New Roman" w:hAnsi="Times New Roman" w:cs="Times New Roman"/>
          <w:sz w:val="24"/>
          <w:szCs w:val="24"/>
        </w:rPr>
        <w:t xml:space="preserve"> Ma da</w:t>
      </w:r>
      <w:r>
        <w:rPr>
          <w:rFonts w:ascii="Times New Roman" w:hAnsi="Times New Roman" w:cs="Times New Roman"/>
          <w:sz w:val="24"/>
          <w:szCs w:val="24"/>
        </w:rPr>
        <w:t>l giudice</w:t>
      </w:r>
      <w:r w:rsidR="003B3314">
        <w:rPr>
          <w:rFonts w:ascii="Times New Roman" w:hAnsi="Times New Roman" w:cs="Times New Roman"/>
          <w:sz w:val="24"/>
          <w:szCs w:val="24"/>
        </w:rPr>
        <w:t>, nella specie l’adunanza plenaria del Consiglio di Stato, non si può pretendere di sbrogliare una simile matassa</w:t>
      </w:r>
      <w:r>
        <w:rPr>
          <w:rFonts w:ascii="Times New Roman" w:hAnsi="Times New Roman" w:cs="Times New Roman"/>
          <w:sz w:val="24"/>
          <w:szCs w:val="24"/>
        </w:rPr>
        <w:t xml:space="preserve"> di problemi</w:t>
      </w:r>
      <w:r w:rsidR="001200F6">
        <w:rPr>
          <w:rFonts w:ascii="Times New Roman" w:hAnsi="Times New Roman" w:cs="Times New Roman"/>
          <w:sz w:val="24"/>
          <w:szCs w:val="24"/>
        </w:rPr>
        <w:t>,</w:t>
      </w:r>
      <w:r>
        <w:rPr>
          <w:rFonts w:ascii="Times New Roman" w:hAnsi="Times New Roman" w:cs="Times New Roman"/>
          <w:sz w:val="24"/>
          <w:szCs w:val="24"/>
        </w:rPr>
        <w:t xml:space="preserve"> data la competenza primaria del legislatore a</w:t>
      </w:r>
      <w:r w:rsidR="00A80C69">
        <w:rPr>
          <w:rFonts w:ascii="Times New Roman" w:hAnsi="Times New Roman" w:cs="Times New Roman"/>
          <w:sz w:val="24"/>
          <w:szCs w:val="24"/>
        </w:rPr>
        <w:t>l</w:t>
      </w:r>
      <w:r>
        <w:rPr>
          <w:rFonts w:ascii="Times New Roman" w:hAnsi="Times New Roman" w:cs="Times New Roman"/>
          <w:sz w:val="24"/>
          <w:szCs w:val="24"/>
        </w:rPr>
        <w:t xml:space="preserve"> riguardo. </w:t>
      </w:r>
    </w:p>
    <w:p w:rsidR="00A64226" w:rsidRPr="00D964D0" w:rsidRDefault="00A80C69" w:rsidP="00D964D0">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I</w:t>
      </w:r>
      <w:r w:rsidR="00E02522">
        <w:rPr>
          <w:rFonts w:ascii="Times New Roman" w:hAnsi="Times New Roman" w:cs="Times New Roman"/>
          <w:sz w:val="24"/>
          <w:szCs w:val="24"/>
        </w:rPr>
        <w:t xml:space="preserve"> problemi del settore</w:t>
      </w:r>
      <w:r w:rsidR="0089743A" w:rsidRPr="00D964D0">
        <w:rPr>
          <w:rFonts w:ascii="Times New Roman" w:hAnsi="Times New Roman" w:cs="Times New Roman"/>
          <w:sz w:val="24"/>
          <w:szCs w:val="24"/>
        </w:rPr>
        <w:t xml:space="preserve"> andava</w:t>
      </w:r>
      <w:r w:rsidR="00E02522">
        <w:rPr>
          <w:rFonts w:ascii="Times New Roman" w:hAnsi="Times New Roman" w:cs="Times New Roman"/>
          <w:sz w:val="24"/>
          <w:szCs w:val="24"/>
        </w:rPr>
        <w:t>no risolti</w:t>
      </w:r>
      <w:r w:rsidR="0089743A" w:rsidRPr="00D964D0">
        <w:rPr>
          <w:rFonts w:ascii="Times New Roman" w:hAnsi="Times New Roman" w:cs="Times New Roman"/>
          <w:sz w:val="24"/>
          <w:szCs w:val="24"/>
        </w:rPr>
        <w:t xml:space="preserve"> </w:t>
      </w:r>
      <w:r w:rsidR="00F94206">
        <w:rPr>
          <w:rFonts w:ascii="Times New Roman" w:hAnsi="Times New Roman" w:cs="Times New Roman"/>
          <w:sz w:val="24"/>
          <w:szCs w:val="24"/>
        </w:rPr>
        <w:t xml:space="preserve">a livello europeo </w:t>
      </w:r>
      <w:r w:rsidR="0089743A" w:rsidRPr="00D964D0">
        <w:rPr>
          <w:rFonts w:ascii="Times New Roman" w:hAnsi="Times New Roman" w:cs="Times New Roman"/>
          <w:sz w:val="24"/>
          <w:szCs w:val="24"/>
        </w:rPr>
        <w:t xml:space="preserve">a </w:t>
      </w:r>
      <w:r w:rsidR="004B02CC" w:rsidRPr="00D964D0">
        <w:rPr>
          <w:rFonts w:ascii="Times New Roman" w:hAnsi="Times New Roman" w:cs="Times New Roman"/>
          <w:sz w:val="24"/>
          <w:szCs w:val="24"/>
        </w:rPr>
        <w:t>monte</w:t>
      </w:r>
      <w:r w:rsidR="0089743A" w:rsidRPr="00D964D0">
        <w:rPr>
          <w:rFonts w:ascii="Times New Roman" w:hAnsi="Times New Roman" w:cs="Times New Roman"/>
          <w:sz w:val="24"/>
          <w:szCs w:val="24"/>
        </w:rPr>
        <w:t xml:space="preserve"> </w:t>
      </w:r>
      <w:r w:rsidR="00F94206">
        <w:rPr>
          <w:rFonts w:ascii="Times New Roman" w:hAnsi="Times New Roman" w:cs="Times New Roman"/>
          <w:sz w:val="24"/>
          <w:szCs w:val="24"/>
        </w:rPr>
        <w:t xml:space="preserve">dell’emanazione </w:t>
      </w:r>
      <w:r w:rsidR="0089743A" w:rsidRPr="00D964D0">
        <w:rPr>
          <w:rFonts w:ascii="Times New Roman" w:hAnsi="Times New Roman" w:cs="Times New Roman"/>
          <w:sz w:val="24"/>
          <w:szCs w:val="24"/>
        </w:rPr>
        <w:t xml:space="preserve">della direttiva Bolkestein, evidenziando la peculiarità della situazione delle coste italiane </w:t>
      </w:r>
      <w:r>
        <w:rPr>
          <w:rFonts w:ascii="Times New Roman" w:hAnsi="Times New Roman" w:cs="Times New Roman"/>
          <w:sz w:val="24"/>
          <w:szCs w:val="24"/>
        </w:rPr>
        <w:t>(</w:t>
      </w:r>
      <w:r w:rsidR="00703795">
        <w:rPr>
          <w:rFonts w:ascii="Times New Roman" w:hAnsi="Times New Roman" w:cs="Times New Roman"/>
          <w:sz w:val="24"/>
          <w:szCs w:val="24"/>
        </w:rPr>
        <w:t xml:space="preserve">oltre </w:t>
      </w:r>
      <w:r>
        <w:rPr>
          <w:rFonts w:ascii="Times New Roman" w:hAnsi="Times New Roman" w:cs="Times New Roman"/>
          <w:sz w:val="24"/>
          <w:szCs w:val="24"/>
        </w:rPr>
        <w:t xml:space="preserve">8.300 km, in gran parte balneabili per vari mesi all’anno) </w:t>
      </w:r>
      <w:r w:rsidR="0089743A" w:rsidRPr="00D964D0">
        <w:rPr>
          <w:rFonts w:ascii="Times New Roman" w:hAnsi="Times New Roman" w:cs="Times New Roman"/>
          <w:sz w:val="24"/>
          <w:szCs w:val="24"/>
        </w:rPr>
        <w:t>rispetto a quelle d</w:t>
      </w:r>
      <w:r w:rsidR="00F94206">
        <w:rPr>
          <w:rFonts w:ascii="Times New Roman" w:hAnsi="Times New Roman" w:cs="Times New Roman"/>
          <w:sz w:val="24"/>
          <w:szCs w:val="24"/>
        </w:rPr>
        <w:t xml:space="preserve">i molti </w:t>
      </w:r>
      <w:r w:rsidR="0089743A" w:rsidRPr="00D964D0">
        <w:rPr>
          <w:rFonts w:ascii="Times New Roman" w:hAnsi="Times New Roman" w:cs="Times New Roman"/>
          <w:sz w:val="24"/>
          <w:szCs w:val="24"/>
        </w:rPr>
        <w:t>altri Paesi dell’Unione.</w:t>
      </w:r>
      <w:r w:rsidR="003B3314">
        <w:rPr>
          <w:rFonts w:ascii="Times New Roman" w:hAnsi="Times New Roman" w:cs="Times New Roman"/>
          <w:sz w:val="24"/>
          <w:szCs w:val="24"/>
        </w:rPr>
        <w:t xml:space="preserve"> Così che le mancanze a livello ascendente si </w:t>
      </w:r>
      <w:r>
        <w:rPr>
          <w:rFonts w:ascii="Times New Roman" w:hAnsi="Times New Roman" w:cs="Times New Roman"/>
          <w:sz w:val="24"/>
          <w:szCs w:val="24"/>
        </w:rPr>
        <w:t>ripercuotono</w:t>
      </w:r>
      <w:r w:rsidR="003B3314">
        <w:rPr>
          <w:rFonts w:ascii="Times New Roman" w:hAnsi="Times New Roman" w:cs="Times New Roman"/>
          <w:sz w:val="24"/>
          <w:szCs w:val="24"/>
        </w:rPr>
        <w:t xml:space="preserve"> sul livello discendente</w:t>
      </w:r>
      <w:r>
        <w:rPr>
          <w:rFonts w:ascii="Times New Roman" w:hAnsi="Times New Roman" w:cs="Times New Roman"/>
          <w:sz w:val="24"/>
          <w:szCs w:val="24"/>
        </w:rPr>
        <w:t>, in ambito applicativo di una disciplina europea unica che non preve</w:t>
      </w:r>
      <w:r w:rsidR="00B743DB">
        <w:rPr>
          <w:rFonts w:ascii="Times New Roman" w:hAnsi="Times New Roman" w:cs="Times New Roman"/>
          <w:sz w:val="24"/>
          <w:szCs w:val="24"/>
        </w:rPr>
        <w:t xml:space="preserve">de eccezioni malgrado le diversità </w:t>
      </w:r>
      <w:r>
        <w:rPr>
          <w:rFonts w:ascii="Times New Roman" w:hAnsi="Times New Roman" w:cs="Times New Roman"/>
          <w:sz w:val="24"/>
          <w:szCs w:val="24"/>
        </w:rPr>
        <w:t>geografiche e territoriali degli Stati membri.</w:t>
      </w:r>
    </w:p>
    <w:p w:rsidR="0089743A" w:rsidRPr="00D964D0" w:rsidRDefault="0089743A" w:rsidP="00D964D0">
      <w:pPr>
        <w:spacing w:line="360" w:lineRule="auto"/>
        <w:ind w:firstLine="709"/>
        <w:jc w:val="both"/>
        <w:rPr>
          <w:rFonts w:ascii="Times New Roman" w:hAnsi="Times New Roman" w:cs="Times New Roman"/>
          <w:sz w:val="24"/>
          <w:szCs w:val="24"/>
        </w:rPr>
      </w:pPr>
      <w:r w:rsidRPr="00D964D0">
        <w:rPr>
          <w:rFonts w:ascii="Times New Roman" w:hAnsi="Times New Roman" w:cs="Times New Roman"/>
          <w:sz w:val="24"/>
          <w:szCs w:val="24"/>
        </w:rPr>
        <w:t xml:space="preserve">Una volta che si arriva alle </w:t>
      </w:r>
      <w:r w:rsidR="003B3314">
        <w:rPr>
          <w:rFonts w:ascii="Times New Roman" w:hAnsi="Times New Roman" w:cs="Times New Roman"/>
          <w:sz w:val="24"/>
          <w:szCs w:val="24"/>
        </w:rPr>
        <w:t>disposizioni contenute ne</w:t>
      </w:r>
      <w:r w:rsidRPr="00D964D0">
        <w:rPr>
          <w:rFonts w:ascii="Times New Roman" w:hAnsi="Times New Roman" w:cs="Times New Roman"/>
          <w:sz w:val="24"/>
          <w:szCs w:val="24"/>
        </w:rPr>
        <w:t xml:space="preserve">ll’art. 12 della direttiva </w:t>
      </w:r>
      <w:r w:rsidR="003B3314">
        <w:rPr>
          <w:rFonts w:ascii="Times New Roman" w:hAnsi="Times New Roman" w:cs="Times New Roman"/>
          <w:sz w:val="24"/>
          <w:szCs w:val="24"/>
        </w:rPr>
        <w:t xml:space="preserve">Bolkestein </w:t>
      </w:r>
      <w:r w:rsidRPr="00D964D0">
        <w:rPr>
          <w:rFonts w:ascii="Times New Roman" w:hAnsi="Times New Roman" w:cs="Times New Roman"/>
          <w:sz w:val="24"/>
          <w:szCs w:val="24"/>
        </w:rPr>
        <w:t>è difficile prendere una direzione diversa da</w:t>
      </w:r>
      <w:r w:rsidR="003B3314">
        <w:rPr>
          <w:rFonts w:ascii="Times New Roman" w:hAnsi="Times New Roman" w:cs="Times New Roman"/>
          <w:sz w:val="24"/>
          <w:szCs w:val="24"/>
        </w:rPr>
        <w:t xml:space="preserve"> quella seguita dall’a</w:t>
      </w:r>
      <w:r w:rsidRPr="00D964D0">
        <w:rPr>
          <w:rFonts w:ascii="Times New Roman" w:hAnsi="Times New Roman" w:cs="Times New Roman"/>
          <w:sz w:val="24"/>
          <w:szCs w:val="24"/>
        </w:rPr>
        <w:t>dunanza plenaria.</w:t>
      </w:r>
    </w:p>
    <w:p w:rsidR="00757600" w:rsidRDefault="00757600" w:rsidP="00D964D0">
      <w:pPr>
        <w:spacing w:line="360" w:lineRule="auto"/>
        <w:ind w:firstLine="709"/>
        <w:jc w:val="both"/>
        <w:rPr>
          <w:rFonts w:ascii="Times New Roman" w:hAnsi="Times New Roman" w:cs="Times New Roman"/>
          <w:sz w:val="24"/>
          <w:szCs w:val="24"/>
        </w:rPr>
      </w:pPr>
      <w:r w:rsidRPr="00D964D0">
        <w:rPr>
          <w:rFonts w:ascii="Times New Roman" w:hAnsi="Times New Roman" w:cs="Times New Roman"/>
          <w:sz w:val="24"/>
          <w:szCs w:val="24"/>
        </w:rPr>
        <w:t>Unico dubbio potrebbe essere quello del requisito della “</w:t>
      </w:r>
      <w:r w:rsidRPr="00D964D0">
        <w:rPr>
          <w:rFonts w:ascii="Times New Roman" w:hAnsi="Times New Roman" w:cs="Times New Roman"/>
          <w:i/>
          <w:sz w:val="24"/>
          <w:szCs w:val="24"/>
        </w:rPr>
        <w:t>scarsità delle risorse naturali o delle capacità tecniche utilizzabili</w:t>
      </w:r>
      <w:r w:rsidRPr="00D964D0">
        <w:rPr>
          <w:rFonts w:ascii="Times New Roman" w:hAnsi="Times New Roman" w:cs="Times New Roman"/>
          <w:sz w:val="24"/>
          <w:szCs w:val="24"/>
        </w:rPr>
        <w:t>”</w:t>
      </w:r>
      <w:r w:rsidR="00530449" w:rsidRPr="00D964D0">
        <w:rPr>
          <w:rFonts w:ascii="Times New Roman" w:hAnsi="Times New Roman" w:cs="Times New Roman"/>
          <w:sz w:val="24"/>
          <w:szCs w:val="24"/>
        </w:rPr>
        <w:t>,</w:t>
      </w:r>
      <w:r w:rsidRPr="00D964D0">
        <w:rPr>
          <w:rFonts w:ascii="Times New Roman" w:hAnsi="Times New Roman" w:cs="Times New Roman"/>
          <w:sz w:val="24"/>
          <w:szCs w:val="24"/>
        </w:rPr>
        <w:t xml:space="preserve"> richiesto dal</w:t>
      </w:r>
      <w:r w:rsidR="00530449" w:rsidRPr="00D964D0">
        <w:rPr>
          <w:rFonts w:ascii="Times New Roman" w:hAnsi="Times New Roman" w:cs="Times New Roman"/>
          <w:sz w:val="24"/>
          <w:szCs w:val="24"/>
        </w:rPr>
        <w:t xml:space="preserve"> paragrafo 1 dell</w:t>
      </w:r>
      <w:r w:rsidRPr="00D964D0">
        <w:rPr>
          <w:rFonts w:ascii="Times New Roman" w:hAnsi="Times New Roman" w:cs="Times New Roman"/>
          <w:sz w:val="24"/>
          <w:szCs w:val="24"/>
        </w:rPr>
        <w:t xml:space="preserve">’art. 12 della </w:t>
      </w:r>
      <w:r w:rsidR="003B3314">
        <w:rPr>
          <w:rFonts w:ascii="Times New Roman" w:hAnsi="Times New Roman" w:cs="Times New Roman"/>
          <w:sz w:val="24"/>
          <w:szCs w:val="24"/>
        </w:rPr>
        <w:t xml:space="preserve">detta </w:t>
      </w:r>
      <w:r w:rsidRPr="00D964D0">
        <w:rPr>
          <w:rFonts w:ascii="Times New Roman" w:hAnsi="Times New Roman" w:cs="Times New Roman"/>
          <w:sz w:val="24"/>
          <w:szCs w:val="24"/>
        </w:rPr>
        <w:t xml:space="preserve">direttiva e ritenuto </w:t>
      </w:r>
      <w:r w:rsidR="003B3314">
        <w:rPr>
          <w:rFonts w:ascii="Times New Roman" w:hAnsi="Times New Roman" w:cs="Times New Roman"/>
          <w:sz w:val="24"/>
          <w:szCs w:val="24"/>
        </w:rPr>
        <w:t>dalla p</w:t>
      </w:r>
      <w:r w:rsidR="00530449" w:rsidRPr="00D964D0">
        <w:rPr>
          <w:rFonts w:ascii="Times New Roman" w:hAnsi="Times New Roman" w:cs="Times New Roman"/>
          <w:sz w:val="24"/>
          <w:szCs w:val="24"/>
        </w:rPr>
        <w:t xml:space="preserve">lenaria sempre presente nelle concessioni di cui trattasi. Mentre l’ulteriore requisito dell’“interesse </w:t>
      </w:r>
      <w:r w:rsidR="003510CF" w:rsidRPr="00D964D0">
        <w:rPr>
          <w:rFonts w:ascii="Times New Roman" w:hAnsi="Times New Roman" w:cs="Times New Roman"/>
          <w:sz w:val="24"/>
          <w:szCs w:val="24"/>
        </w:rPr>
        <w:t>transfrontaliero</w:t>
      </w:r>
      <w:r w:rsidR="00530449" w:rsidRPr="00D964D0">
        <w:rPr>
          <w:rFonts w:ascii="Times New Roman" w:hAnsi="Times New Roman" w:cs="Times New Roman"/>
          <w:sz w:val="24"/>
          <w:szCs w:val="24"/>
        </w:rPr>
        <w:t xml:space="preserve"> certo” è richiesto dalla CGUE con la sentenza Promoimpresa </w:t>
      </w:r>
      <w:r w:rsidR="00E474B3" w:rsidRPr="00D964D0">
        <w:rPr>
          <w:rFonts w:ascii="Times New Roman" w:hAnsi="Times New Roman" w:cs="Times New Roman"/>
          <w:sz w:val="24"/>
          <w:szCs w:val="24"/>
        </w:rPr>
        <w:t xml:space="preserve">e con riguardo all’art. 49 </w:t>
      </w:r>
      <w:r w:rsidR="003B3314">
        <w:rPr>
          <w:rFonts w:ascii="Times New Roman" w:hAnsi="Times New Roman" w:cs="Times New Roman"/>
          <w:sz w:val="24"/>
          <w:szCs w:val="24"/>
        </w:rPr>
        <w:t xml:space="preserve">del </w:t>
      </w:r>
      <w:r w:rsidR="00E474B3" w:rsidRPr="00D964D0">
        <w:rPr>
          <w:rFonts w:ascii="Times New Roman" w:hAnsi="Times New Roman" w:cs="Times New Roman"/>
          <w:sz w:val="24"/>
          <w:szCs w:val="24"/>
        </w:rPr>
        <w:t xml:space="preserve">TFUE, </w:t>
      </w:r>
      <w:r w:rsidR="00530449" w:rsidRPr="00D964D0">
        <w:rPr>
          <w:rFonts w:ascii="Times New Roman" w:hAnsi="Times New Roman" w:cs="Times New Roman"/>
          <w:sz w:val="24"/>
          <w:szCs w:val="24"/>
        </w:rPr>
        <w:t>ma non dall’art. 12 della detta direttiva.</w:t>
      </w:r>
    </w:p>
    <w:p w:rsidR="00A80C69" w:rsidRDefault="00A80C69" w:rsidP="00D964D0">
      <w:pPr>
        <w:spacing w:line="360" w:lineRule="auto"/>
        <w:ind w:firstLine="709"/>
        <w:jc w:val="both"/>
        <w:rPr>
          <w:rFonts w:ascii="Times New Roman" w:hAnsi="Times New Roman" w:cs="Times New Roman"/>
          <w:sz w:val="24"/>
          <w:szCs w:val="24"/>
        </w:rPr>
      </w:pPr>
    </w:p>
    <w:p w:rsidR="00A20275" w:rsidRDefault="00A80C69" w:rsidP="00A20275">
      <w:pPr>
        <w:spacing w:line="360" w:lineRule="auto"/>
        <w:ind w:firstLine="709"/>
        <w:jc w:val="both"/>
        <w:rPr>
          <w:rFonts w:ascii="Times New Roman" w:hAnsi="Times New Roman" w:cs="Times New Roman"/>
          <w:b/>
          <w:sz w:val="24"/>
          <w:szCs w:val="24"/>
        </w:rPr>
      </w:pPr>
      <w:r>
        <w:rPr>
          <w:rFonts w:ascii="Times New Roman" w:hAnsi="Times New Roman" w:cs="Times New Roman"/>
          <w:b/>
          <w:sz w:val="24"/>
          <w:szCs w:val="24"/>
        </w:rPr>
        <w:t>7</w:t>
      </w:r>
      <w:r w:rsidR="00A20275">
        <w:rPr>
          <w:rFonts w:ascii="Times New Roman" w:hAnsi="Times New Roman" w:cs="Times New Roman"/>
          <w:b/>
          <w:sz w:val="24"/>
          <w:szCs w:val="24"/>
        </w:rPr>
        <w:t xml:space="preserve">. </w:t>
      </w:r>
      <w:r w:rsidR="00B743DB">
        <w:rPr>
          <w:rFonts w:ascii="Times New Roman" w:hAnsi="Times New Roman" w:cs="Times New Roman"/>
          <w:b/>
          <w:sz w:val="24"/>
          <w:szCs w:val="24"/>
        </w:rPr>
        <w:t>Conclusioni</w:t>
      </w:r>
      <w:r w:rsidR="00A20275">
        <w:rPr>
          <w:rFonts w:ascii="Times New Roman" w:hAnsi="Times New Roman" w:cs="Times New Roman"/>
          <w:b/>
          <w:sz w:val="24"/>
          <w:szCs w:val="24"/>
        </w:rPr>
        <w:t>.</w:t>
      </w:r>
    </w:p>
    <w:p w:rsidR="00A20275" w:rsidRDefault="00B80F51" w:rsidP="00D964D0">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Ora</w:t>
      </w:r>
      <w:r w:rsidR="00A20275">
        <w:rPr>
          <w:rFonts w:ascii="Times New Roman" w:hAnsi="Times New Roman" w:cs="Times New Roman"/>
          <w:sz w:val="24"/>
          <w:szCs w:val="24"/>
        </w:rPr>
        <w:t xml:space="preserve"> </w:t>
      </w:r>
      <w:r w:rsidR="003B3314">
        <w:rPr>
          <w:rFonts w:ascii="Times New Roman" w:hAnsi="Times New Roman" w:cs="Times New Roman"/>
          <w:sz w:val="24"/>
          <w:szCs w:val="24"/>
        </w:rPr>
        <w:t xml:space="preserve">tutto si sposta sui contenuti della l. n. </w:t>
      </w:r>
      <w:r w:rsidR="00A20275">
        <w:rPr>
          <w:rFonts w:ascii="Times New Roman" w:hAnsi="Times New Roman" w:cs="Times New Roman"/>
          <w:sz w:val="24"/>
          <w:szCs w:val="24"/>
        </w:rPr>
        <w:t>118/2022 e sulla</w:t>
      </w:r>
      <w:r w:rsidR="00B743DB">
        <w:rPr>
          <w:rFonts w:ascii="Times New Roman" w:hAnsi="Times New Roman" w:cs="Times New Roman"/>
          <w:sz w:val="24"/>
          <w:szCs w:val="24"/>
        </w:rPr>
        <w:t xml:space="preserve"> sua attuazione, visto che molti</w:t>
      </w:r>
      <w:r w:rsidR="00A20275">
        <w:rPr>
          <w:rFonts w:ascii="Times New Roman" w:hAnsi="Times New Roman" w:cs="Times New Roman"/>
          <w:sz w:val="24"/>
          <w:szCs w:val="24"/>
        </w:rPr>
        <w:t xml:space="preserve"> dei </w:t>
      </w:r>
      <w:r w:rsidR="00B743DB">
        <w:rPr>
          <w:rFonts w:ascii="Times New Roman" w:hAnsi="Times New Roman" w:cs="Times New Roman"/>
          <w:sz w:val="24"/>
          <w:szCs w:val="24"/>
        </w:rPr>
        <w:t xml:space="preserve">criteri di </w:t>
      </w:r>
      <w:r w:rsidR="00DE2502">
        <w:rPr>
          <w:rFonts w:ascii="Times New Roman" w:hAnsi="Times New Roman" w:cs="Times New Roman"/>
          <w:sz w:val="24"/>
          <w:szCs w:val="24"/>
        </w:rPr>
        <w:t xml:space="preserve">delega sono clausole in bianco, che vanno riempite </w:t>
      </w:r>
      <w:r w:rsidR="002B4BBB">
        <w:rPr>
          <w:rFonts w:ascii="Times New Roman" w:hAnsi="Times New Roman" w:cs="Times New Roman"/>
          <w:sz w:val="24"/>
          <w:szCs w:val="24"/>
        </w:rPr>
        <w:t xml:space="preserve">anche in funzione di bilanciamento </w:t>
      </w:r>
      <w:r w:rsidR="004D27E9">
        <w:rPr>
          <w:rFonts w:ascii="Times New Roman" w:hAnsi="Times New Roman" w:cs="Times New Roman"/>
          <w:sz w:val="24"/>
          <w:szCs w:val="24"/>
        </w:rPr>
        <w:t xml:space="preserve">equilibrato </w:t>
      </w:r>
      <w:r w:rsidR="002B4BBB">
        <w:rPr>
          <w:rFonts w:ascii="Times New Roman" w:hAnsi="Times New Roman" w:cs="Times New Roman"/>
          <w:sz w:val="24"/>
          <w:szCs w:val="24"/>
        </w:rPr>
        <w:t>dei vari interessi in gioco.</w:t>
      </w:r>
      <w:r w:rsidR="004D27E9">
        <w:rPr>
          <w:rFonts w:ascii="Times New Roman" w:hAnsi="Times New Roman" w:cs="Times New Roman"/>
          <w:sz w:val="24"/>
          <w:szCs w:val="24"/>
        </w:rPr>
        <w:t xml:space="preserve"> Ad esempio, i criteri sulla determinazione dell’indennizzo a carico del nuovo con</w:t>
      </w:r>
      <w:r w:rsidR="00F94206">
        <w:rPr>
          <w:rFonts w:ascii="Times New Roman" w:hAnsi="Times New Roman" w:cs="Times New Roman"/>
          <w:sz w:val="24"/>
          <w:szCs w:val="24"/>
        </w:rPr>
        <w:t xml:space="preserve">cessionario da corrispondere a quello </w:t>
      </w:r>
      <w:r w:rsidR="004D27E9">
        <w:rPr>
          <w:rFonts w:ascii="Times New Roman" w:hAnsi="Times New Roman" w:cs="Times New Roman"/>
          <w:sz w:val="24"/>
          <w:szCs w:val="24"/>
        </w:rPr>
        <w:t>uscente potranno incidere notevolmente sulla partecipazione alle gare; limitan</w:t>
      </w:r>
      <w:r w:rsidR="00F94206">
        <w:rPr>
          <w:rFonts w:ascii="Times New Roman" w:hAnsi="Times New Roman" w:cs="Times New Roman"/>
          <w:sz w:val="24"/>
          <w:szCs w:val="24"/>
        </w:rPr>
        <w:t>dola o ampliandola</w:t>
      </w:r>
      <w:r w:rsidR="004D27E9">
        <w:rPr>
          <w:rFonts w:ascii="Times New Roman" w:hAnsi="Times New Roman" w:cs="Times New Roman"/>
          <w:sz w:val="24"/>
          <w:szCs w:val="24"/>
        </w:rPr>
        <w:t>.</w:t>
      </w:r>
    </w:p>
    <w:p w:rsidR="00E474B3" w:rsidRPr="00D964D0" w:rsidRDefault="00E474B3" w:rsidP="00D964D0">
      <w:pPr>
        <w:spacing w:line="360" w:lineRule="auto"/>
        <w:ind w:firstLine="709"/>
        <w:jc w:val="both"/>
        <w:rPr>
          <w:rFonts w:ascii="Times New Roman" w:hAnsi="Times New Roman" w:cs="Times New Roman"/>
          <w:sz w:val="24"/>
          <w:szCs w:val="24"/>
        </w:rPr>
      </w:pPr>
      <w:r w:rsidRPr="00D964D0">
        <w:rPr>
          <w:rFonts w:ascii="Times New Roman" w:hAnsi="Times New Roman" w:cs="Times New Roman"/>
          <w:sz w:val="24"/>
          <w:szCs w:val="24"/>
        </w:rPr>
        <w:t xml:space="preserve">Il rischio </w:t>
      </w:r>
      <w:r w:rsidR="003B3314">
        <w:rPr>
          <w:rFonts w:ascii="Times New Roman" w:hAnsi="Times New Roman" w:cs="Times New Roman"/>
          <w:sz w:val="24"/>
          <w:szCs w:val="24"/>
        </w:rPr>
        <w:t xml:space="preserve">è </w:t>
      </w:r>
      <w:r w:rsidRPr="00D964D0">
        <w:rPr>
          <w:rFonts w:ascii="Times New Roman" w:hAnsi="Times New Roman" w:cs="Times New Roman"/>
          <w:sz w:val="24"/>
          <w:szCs w:val="24"/>
        </w:rPr>
        <w:t xml:space="preserve">che la nuova </w:t>
      </w:r>
      <w:r w:rsidR="00A20275">
        <w:rPr>
          <w:rFonts w:ascii="Times New Roman" w:hAnsi="Times New Roman" w:cs="Times New Roman"/>
          <w:sz w:val="24"/>
          <w:szCs w:val="24"/>
        </w:rPr>
        <w:t xml:space="preserve">normativa, di cui agli emanandi </w:t>
      </w:r>
      <w:r w:rsidRPr="00D964D0">
        <w:rPr>
          <w:rFonts w:ascii="Times New Roman" w:hAnsi="Times New Roman" w:cs="Times New Roman"/>
          <w:sz w:val="24"/>
          <w:szCs w:val="24"/>
        </w:rPr>
        <w:t xml:space="preserve">decreti legislativi, non risolva i problemi con una </w:t>
      </w:r>
      <w:r w:rsidR="00A20275">
        <w:rPr>
          <w:rFonts w:ascii="Times New Roman" w:hAnsi="Times New Roman" w:cs="Times New Roman"/>
          <w:sz w:val="24"/>
          <w:szCs w:val="24"/>
        </w:rPr>
        <w:t>effettiva</w:t>
      </w:r>
      <w:r w:rsidRPr="00D964D0">
        <w:rPr>
          <w:rFonts w:ascii="Times New Roman" w:hAnsi="Times New Roman" w:cs="Times New Roman"/>
          <w:sz w:val="24"/>
          <w:szCs w:val="24"/>
        </w:rPr>
        <w:t xml:space="preserve"> apertura del mercato, </w:t>
      </w:r>
      <w:r w:rsidR="00B743DB">
        <w:rPr>
          <w:rFonts w:ascii="Times New Roman" w:hAnsi="Times New Roman" w:cs="Times New Roman"/>
          <w:sz w:val="24"/>
          <w:szCs w:val="24"/>
        </w:rPr>
        <w:t xml:space="preserve">salvaguardando eccessivamente posizioni di vantaggio precostituite; </w:t>
      </w:r>
      <w:r w:rsidRPr="00D964D0">
        <w:rPr>
          <w:rFonts w:ascii="Times New Roman" w:hAnsi="Times New Roman" w:cs="Times New Roman"/>
          <w:sz w:val="24"/>
          <w:szCs w:val="24"/>
        </w:rPr>
        <w:t xml:space="preserve">andando </w:t>
      </w:r>
      <w:r w:rsidR="00B743DB">
        <w:rPr>
          <w:rFonts w:ascii="Times New Roman" w:hAnsi="Times New Roman" w:cs="Times New Roman"/>
          <w:sz w:val="24"/>
          <w:szCs w:val="24"/>
        </w:rPr>
        <w:t xml:space="preserve">così </w:t>
      </w:r>
      <w:r w:rsidRPr="00D964D0">
        <w:rPr>
          <w:rFonts w:ascii="Times New Roman" w:hAnsi="Times New Roman" w:cs="Times New Roman"/>
          <w:sz w:val="24"/>
          <w:szCs w:val="24"/>
        </w:rPr>
        <w:t>di nuovo in contrasto col diritto europeo</w:t>
      </w:r>
      <w:r w:rsidR="00A20275">
        <w:rPr>
          <w:rFonts w:ascii="Times New Roman" w:hAnsi="Times New Roman" w:cs="Times New Roman"/>
          <w:sz w:val="24"/>
          <w:szCs w:val="24"/>
        </w:rPr>
        <w:t xml:space="preserve"> e</w:t>
      </w:r>
      <w:r w:rsidR="00B743DB">
        <w:rPr>
          <w:rFonts w:ascii="Times New Roman" w:hAnsi="Times New Roman" w:cs="Times New Roman"/>
          <w:sz w:val="24"/>
          <w:szCs w:val="24"/>
        </w:rPr>
        <w:t>,</w:t>
      </w:r>
      <w:r w:rsidR="00A20275">
        <w:rPr>
          <w:rFonts w:ascii="Times New Roman" w:hAnsi="Times New Roman" w:cs="Times New Roman"/>
          <w:sz w:val="24"/>
          <w:szCs w:val="24"/>
        </w:rPr>
        <w:t xml:space="preserve"> in particolare</w:t>
      </w:r>
      <w:r w:rsidR="00B743DB">
        <w:rPr>
          <w:rFonts w:ascii="Times New Roman" w:hAnsi="Times New Roman" w:cs="Times New Roman"/>
          <w:sz w:val="24"/>
          <w:szCs w:val="24"/>
        </w:rPr>
        <w:t>,</w:t>
      </w:r>
      <w:r w:rsidR="00A20275">
        <w:rPr>
          <w:rFonts w:ascii="Times New Roman" w:hAnsi="Times New Roman" w:cs="Times New Roman"/>
          <w:sz w:val="24"/>
          <w:szCs w:val="24"/>
        </w:rPr>
        <w:t xml:space="preserve"> con i principi inerenti la tutela della concorrenza</w:t>
      </w:r>
      <w:r w:rsidRPr="00D964D0">
        <w:rPr>
          <w:rFonts w:ascii="Times New Roman" w:hAnsi="Times New Roman" w:cs="Times New Roman"/>
          <w:sz w:val="24"/>
          <w:szCs w:val="24"/>
        </w:rPr>
        <w:t>.</w:t>
      </w:r>
      <w:r w:rsidR="003B3314">
        <w:rPr>
          <w:rFonts w:ascii="Times New Roman" w:hAnsi="Times New Roman" w:cs="Times New Roman"/>
          <w:sz w:val="24"/>
          <w:szCs w:val="24"/>
        </w:rPr>
        <w:t xml:space="preserve"> E quindi</w:t>
      </w:r>
      <w:r w:rsidR="001C78DB">
        <w:rPr>
          <w:rFonts w:ascii="Times New Roman" w:hAnsi="Times New Roman" w:cs="Times New Roman"/>
          <w:sz w:val="24"/>
          <w:szCs w:val="24"/>
        </w:rPr>
        <w:t xml:space="preserve"> si possa aprire una nuova fase di sindacato della conformità </w:t>
      </w:r>
      <w:r w:rsidR="00A20275" w:rsidRPr="00A20275">
        <w:rPr>
          <w:rFonts w:ascii="Times New Roman" w:hAnsi="Times New Roman" w:cs="Times New Roman"/>
          <w:sz w:val="24"/>
          <w:szCs w:val="24"/>
        </w:rPr>
        <w:t xml:space="preserve">della nuova disciplina </w:t>
      </w:r>
      <w:r w:rsidR="001C78DB">
        <w:rPr>
          <w:rFonts w:ascii="Times New Roman" w:hAnsi="Times New Roman" w:cs="Times New Roman"/>
          <w:sz w:val="24"/>
          <w:szCs w:val="24"/>
        </w:rPr>
        <w:t xml:space="preserve">al diritto europeo o anche </w:t>
      </w:r>
      <w:r w:rsidR="00A20275">
        <w:rPr>
          <w:rFonts w:ascii="Times New Roman" w:hAnsi="Times New Roman" w:cs="Times New Roman"/>
          <w:sz w:val="24"/>
          <w:szCs w:val="24"/>
        </w:rPr>
        <w:t>al</w:t>
      </w:r>
      <w:r w:rsidR="001C78DB">
        <w:rPr>
          <w:rFonts w:ascii="Times New Roman" w:hAnsi="Times New Roman" w:cs="Times New Roman"/>
          <w:sz w:val="24"/>
          <w:szCs w:val="24"/>
        </w:rPr>
        <w:t xml:space="preserve">la Costituzione, ad esempio </w:t>
      </w:r>
      <w:r w:rsidR="00A20275">
        <w:rPr>
          <w:rFonts w:ascii="Times New Roman" w:hAnsi="Times New Roman" w:cs="Times New Roman"/>
          <w:sz w:val="24"/>
          <w:szCs w:val="24"/>
        </w:rPr>
        <w:t>in tema di riparto di competenze legislative</w:t>
      </w:r>
      <w:r w:rsidR="001C78DB">
        <w:rPr>
          <w:rFonts w:ascii="Times New Roman" w:hAnsi="Times New Roman" w:cs="Times New Roman"/>
          <w:sz w:val="24"/>
          <w:szCs w:val="24"/>
        </w:rPr>
        <w:t xml:space="preserve"> tra Stato e regioni</w:t>
      </w:r>
      <w:r w:rsidR="00B80F51">
        <w:rPr>
          <w:rFonts w:ascii="Times New Roman" w:hAnsi="Times New Roman" w:cs="Times New Roman"/>
          <w:sz w:val="24"/>
          <w:szCs w:val="24"/>
        </w:rPr>
        <w:t>.</w:t>
      </w:r>
    </w:p>
    <w:p w:rsidR="00B743DB" w:rsidRDefault="00B80F51" w:rsidP="00D964D0">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A questo punto è evidente che, in tema di</w:t>
      </w:r>
      <w:r w:rsidR="002A5EB1" w:rsidRPr="001C78DB">
        <w:rPr>
          <w:rFonts w:ascii="Times New Roman" w:hAnsi="Times New Roman" w:cs="Times New Roman"/>
          <w:sz w:val="24"/>
          <w:szCs w:val="24"/>
        </w:rPr>
        <w:t xml:space="preserve"> concessioni demaniali marittime</w:t>
      </w:r>
      <w:r w:rsidR="00A20275">
        <w:t xml:space="preserve"> </w:t>
      </w:r>
      <w:r w:rsidR="00A20275" w:rsidRPr="00A20275">
        <w:rPr>
          <w:rFonts w:ascii="Times New Roman" w:hAnsi="Times New Roman" w:cs="Times New Roman"/>
          <w:sz w:val="24"/>
          <w:szCs w:val="24"/>
        </w:rPr>
        <w:t>per finalità turistico-ricreative</w:t>
      </w:r>
      <w:r>
        <w:rPr>
          <w:rFonts w:ascii="Times New Roman" w:hAnsi="Times New Roman" w:cs="Times New Roman"/>
          <w:sz w:val="24"/>
          <w:szCs w:val="24"/>
        </w:rPr>
        <w:t xml:space="preserve">, non siamo né alla </w:t>
      </w:r>
      <w:r w:rsidR="002A5EB1" w:rsidRPr="001C78DB">
        <w:rPr>
          <w:rFonts w:ascii="Times New Roman" w:hAnsi="Times New Roman" w:cs="Times New Roman"/>
          <w:sz w:val="24"/>
          <w:szCs w:val="24"/>
        </w:rPr>
        <w:t xml:space="preserve">fine né </w:t>
      </w:r>
      <w:r>
        <w:rPr>
          <w:rFonts w:ascii="Times New Roman" w:hAnsi="Times New Roman" w:cs="Times New Roman"/>
          <w:sz w:val="24"/>
          <w:szCs w:val="24"/>
        </w:rPr>
        <w:t>tanto meno all’</w:t>
      </w:r>
      <w:r w:rsidR="00B743DB">
        <w:rPr>
          <w:rFonts w:ascii="Times New Roman" w:hAnsi="Times New Roman" w:cs="Times New Roman"/>
          <w:sz w:val="24"/>
          <w:szCs w:val="24"/>
        </w:rPr>
        <w:t>inizio.</w:t>
      </w:r>
    </w:p>
    <w:p w:rsidR="0089743A" w:rsidRDefault="00B80F51" w:rsidP="00D964D0">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Preso atto di correzioni di rotta ci si augura di nuovi approdi. Ossia di </w:t>
      </w:r>
      <w:r w:rsidR="002A5EB1" w:rsidRPr="00D964D0">
        <w:rPr>
          <w:rFonts w:ascii="Times New Roman" w:hAnsi="Times New Roman" w:cs="Times New Roman"/>
          <w:sz w:val="24"/>
          <w:szCs w:val="24"/>
        </w:rPr>
        <w:t>un percorso legislativo che possa portare</w:t>
      </w:r>
      <w:r w:rsidR="00A20275">
        <w:rPr>
          <w:rFonts w:ascii="Times New Roman" w:hAnsi="Times New Roman" w:cs="Times New Roman"/>
          <w:sz w:val="24"/>
          <w:szCs w:val="24"/>
        </w:rPr>
        <w:t>,</w:t>
      </w:r>
      <w:r w:rsidR="002A5EB1" w:rsidRPr="00D964D0">
        <w:rPr>
          <w:rFonts w:ascii="Times New Roman" w:hAnsi="Times New Roman" w:cs="Times New Roman"/>
          <w:sz w:val="24"/>
          <w:szCs w:val="24"/>
        </w:rPr>
        <w:t xml:space="preserve"> </w:t>
      </w:r>
      <w:r w:rsidR="00A20275">
        <w:rPr>
          <w:rFonts w:ascii="Times New Roman" w:hAnsi="Times New Roman" w:cs="Times New Roman"/>
          <w:sz w:val="24"/>
          <w:szCs w:val="24"/>
        </w:rPr>
        <w:t xml:space="preserve">nei tempi previsti e </w:t>
      </w:r>
      <w:r w:rsidR="002A5EB1" w:rsidRPr="00D964D0">
        <w:rPr>
          <w:rFonts w:ascii="Times New Roman" w:hAnsi="Times New Roman" w:cs="Times New Roman"/>
          <w:sz w:val="24"/>
          <w:szCs w:val="24"/>
        </w:rPr>
        <w:t>una volta per tutte</w:t>
      </w:r>
      <w:r w:rsidR="00A20275">
        <w:rPr>
          <w:rFonts w:ascii="Times New Roman" w:hAnsi="Times New Roman" w:cs="Times New Roman"/>
          <w:sz w:val="24"/>
          <w:szCs w:val="24"/>
        </w:rPr>
        <w:t>,</w:t>
      </w:r>
      <w:r w:rsidR="002A5EB1" w:rsidRPr="00D964D0">
        <w:rPr>
          <w:rFonts w:ascii="Times New Roman" w:hAnsi="Times New Roman" w:cs="Times New Roman"/>
          <w:sz w:val="24"/>
          <w:szCs w:val="24"/>
        </w:rPr>
        <w:t xml:space="preserve"> all’attuazione del principio di tutela della concorrenza da una parte e nello stesso tempo</w:t>
      </w:r>
      <w:r w:rsidR="00A20275">
        <w:rPr>
          <w:rFonts w:ascii="Times New Roman" w:hAnsi="Times New Roman" w:cs="Times New Roman"/>
          <w:sz w:val="24"/>
          <w:szCs w:val="24"/>
        </w:rPr>
        <w:t>, dall’altra,</w:t>
      </w:r>
      <w:r w:rsidR="002A5EB1" w:rsidRPr="00D964D0">
        <w:rPr>
          <w:rFonts w:ascii="Times New Roman" w:hAnsi="Times New Roman" w:cs="Times New Roman"/>
          <w:sz w:val="24"/>
          <w:szCs w:val="24"/>
        </w:rPr>
        <w:t xml:space="preserve"> </w:t>
      </w:r>
      <w:r w:rsidR="002B4BBB">
        <w:rPr>
          <w:rFonts w:ascii="Times New Roman" w:hAnsi="Times New Roman" w:cs="Times New Roman"/>
          <w:sz w:val="24"/>
          <w:szCs w:val="24"/>
        </w:rPr>
        <w:t xml:space="preserve">a </w:t>
      </w:r>
      <w:r w:rsidR="002A5EB1" w:rsidRPr="00D964D0">
        <w:rPr>
          <w:rFonts w:ascii="Times New Roman" w:hAnsi="Times New Roman" w:cs="Times New Roman"/>
          <w:sz w:val="24"/>
          <w:szCs w:val="24"/>
        </w:rPr>
        <w:t xml:space="preserve">garantire gli investimenti effettuati - </w:t>
      </w:r>
      <w:r w:rsidR="00530449" w:rsidRPr="00D964D0">
        <w:rPr>
          <w:rFonts w:ascii="Times New Roman" w:hAnsi="Times New Roman" w:cs="Times New Roman"/>
          <w:sz w:val="24"/>
          <w:szCs w:val="24"/>
        </w:rPr>
        <w:t>legittimamente</w:t>
      </w:r>
      <w:r w:rsidR="001200F6">
        <w:rPr>
          <w:rFonts w:ascii="Times New Roman" w:hAnsi="Times New Roman" w:cs="Times New Roman"/>
          <w:sz w:val="24"/>
          <w:szCs w:val="24"/>
        </w:rPr>
        <w:t>,</w:t>
      </w:r>
      <w:r w:rsidR="00530449" w:rsidRPr="00D964D0">
        <w:rPr>
          <w:rFonts w:ascii="Times New Roman" w:hAnsi="Times New Roman" w:cs="Times New Roman"/>
          <w:sz w:val="24"/>
          <w:szCs w:val="24"/>
        </w:rPr>
        <w:t xml:space="preserve"> </w:t>
      </w:r>
      <w:r w:rsidR="002A5EB1" w:rsidRPr="00D964D0">
        <w:rPr>
          <w:rFonts w:ascii="Times New Roman" w:hAnsi="Times New Roman" w:cs="Times New Roman"/>
          <w:sz w:val="24"/>
          <w:szCs w:val="24"/>
        </w:rPr>
        <w:t>a seguito di leggi statali di proroga che li hanno consentiti - il lavoro e l’occupazione</w:t>
      </w:r>
      <w:r w:rsidR="004D27E9">
        <w:rPr>
          <w:rFonts w:ascii="Times New Roman" w:hAnsi="Times New Roman" w:cs="Times New Roman"/>
          <w:sz w:val="24"/>
          <w:szCs w:val="24"/>
        </w:rPr>
        <w:t xml:space="preserve">, oltre che la giusta reddittività (finora molto esigua) del patrimonio pubblico </w:t>
      </w:r>
      <w:r w:rsidR="00F94206">
        <w:rPr>
          <w:rFonts w:ascii="Times New Roman" w:hAnsi="Times New Roman" w:cs="Times New Roman"/>
          <w:sz w:val="24"/>
          <w:szCs w:val="24"/>
        </w:rPr>
        <w:t xml:space="preserve">con la </w:t>
      </w:r>
      <w:r w:rsidR="004D27E9">
        <w:rPr>
          <w:rFonts w:ascii="Times New Roman" w:hAnsi="Times New Roman" w:cs="Times New Roman"/>
          <w:sz w:val="24"/>
          <w:szCs w:val="24"/>
        </w:rPr>
        <w:t>prev</w:t>
      </w:r>
      <w:r w:rsidR="00F94206">
        <w:rPr>
          <w:rFonts w:ascii="Times New Roman" w:hAnsi="Times New Roman" w:cs="Times New Roman"/>
          <w:sz w:val="24"/>
          <w:szCs w:val="24"/>
        </w:rPr>
        <w:t>isione di</w:t>
      </w:r>
      <w:r w:rsidR="004D27E9">
        <w:rPr>
          <w:rFonts w:ascii="Times New Roman" w:hAnsi="Times New Roman" w:cs="Times New Roman"/>
          <w:sz w:val="24"/>
          <w:szCs w:val="24"/>
        </w:rPr>
        <w:t xml:space="preserve"> canoni adeguati</w:t>
      </w:r>
      <w:r w:rsidR="002A5EB1" w:rsidRPr="00D964D0">
        <w:rPr>
          <w:rFonts w:ascii="Times New Roman" w:hAnsi="Times New Roman" w:cs="Times New Roman"/>
          <w:sz w:val="24"/>
          <w:szCs w:val="24"/>
        </w:rPr>
        <w:t>. Senza dimenticare esigenze connesse all’uso ottimale di beni che sono pur sempre pubblici e alla protezione</w:t>
      </w:r>
      <w:r w:rsidR="001C78DB">
        <w:rPr>
          <w:rFonts w:ascii="Times New Roman" w:hAnsi="Times New Roman" w:cs="Times New Roman"/>
          <w:sz w:val="24"/>
          <w:szCs w:val="24"/>
        </w:rPr>
        <w:t xml:space="preserve"> del paesaggio e dell’ambiente.</w:t>
      </w:r>
    </w:p>
    <w:p w:rsidR="00F94206" w:rsidRDefault="00F94206" w:rsidP="00D964D0">
      <w:pPr>
        <w:spacing w:line="360" w:lineRule="auto"/>
        <w:ind w:firstLine="709"/>
        <w:jc w:val="both"/>
        <w:rPr>
          <w:rFonts w:ascii="Times New Roman" w:hAnsi="Times New Roman" w:cs="Times New Roman"/>
          <w:sz w:val="24"/>
          <w:szCs w:val="24"/>
        </w:rPr>
      </w:pPr>
    </w:p>
    <w:p w:rsidR="00F94206" w:rsidRPr="00F94206" w:rsidRDefault="00F94206" w:rsidP="00D964D0">
      <w:pPr>
        <w:spacing w:line="360" w:lineRule="auto"/>
        <w:ind w:firstLine="709"/>
        <w:jc w:val="both"/>
        <w:rPr>
          <w:rFonts w:ascii="Times New Roman" w:hAnsi="Times New Roman" w:cs="Times New Roman"/>
          <w:b/>
          <w:sz w:val="24"/>
          <w:szCs w:val="24"/>
        </w:rPr>
      </w:pPr>
      <w:r w:rsidRPr="00F94206">
        <w:rPr>
          <w:rFonts w:ascii="Times New Roman" w:hAnsi="Times New Roman" w:cs="Times New Roman"/>
          <w:b/>
          <w:sz w:val="24"/>
          <w:szCs w:val="24"/>
        </w:rPr>
        <w:t xml:space="preserve">8. </w:t>
      </w:r>
      <w:r>
        <w:rPr>
          <w:rFonts w:ascii="Times New Roman" w:hAnsi="Times New Roman" w:cs="Times New Roman"/>
          <w:b/>
          <w:sz w:val="24"/>
          <w:szCs w:val="24"/>
        </w:rPr>
        <w:t>Turbolenze</w:t>
      </w:r>
      <w:r w:rsidRPr="00F94206">
        <w:rPr>
          <w:rFonts w:ascii="Times New Roman" w:hAnsi="Times New Roman" w:cs="Times New Roman"/>
          <w:b/>
          <w:sz w:val="24"/>
          <w:szCs w:val="24"/>
        </w:rPr>
        <w:t xml:space="preserve"> d</w:t>
      </w:r>
      <w:r w:rsidR="001C78DB" w:rsidRPr="00F94206">
        <w:rPr>
          <w:rFonts w:ascii="Times New Roman" w:hAnsi="Times New Roman" w:cs="Times New Roman"/>
          <w:b/>
          <w:sz w:val="24"/>
          <w:szCs w:val="24"/>
        </w:rPr>
        <w:t>ietro l’angolo</w:t>
      </w:r>
      <w:r w:rsidRPr="00F94206">
        <w:rPr>
          <w:rFonts w:ascii="Times New Roman" w:hAnsi="Times New Roman" w:cs="Times New Roman"/>
          <w:b/>
          <w:sz w:val="24"/>
          <w:szCs w:val="24"/>
        </w:rPr>
        <w:t>.</w:t>
      </w:r>
    </w:p>
    <w:p w:rsidR="00623692" w:rsidRDefault="00F94206" w:rsidP="00D964D0">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Dietro l’angolo</w:t>
      </w:r>
      <w:r w:rsidR="001C78DB">
        <w:rPr>
          <w:rFonts w:ascii="Times New Roman" w:hAnsi="Times New Roman" w:cs="Times New Roman"/>
          <w:sz w:val="24"/>
          <w:szCs w:val="24"/>
        </w:rPr>
        <w:t xml:space="preserve"> </w:t>
      </w:r>
      <w:r w:rsidR="00623692">
        <w:rPr>
          <w:rFonts w:ascii="Times New Roman" w:hAnsi="Times New Roman" w:cs="Times New Roman"/>
          <w:sz w:val="24"/>
          <w:szCs w:val="24"/>
        </w:rPr>
        <w:t>si intravedono turbolenze:</w:t>
      </w:r>
    </w:p>
    <w:p w:rsidR="00623692" w:rsidRDefault="00A20275" w:rsidP="00D964D0">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a) </w:t>
      </w:r>
      <w:r w:rsidR="00B80F51">
        <w:rPr>
          <w:rFonts w:ascii="Times New Roman" w:hAnsi="Times New Roman" w:cs="Times New Roman"/>
          <w:sz w:val="24"/>
          <w:szCs w:val="24"/>
        </w:rPr>
        <w:t>la scade</w:t>
      </w:r>
      <w:r w:rsidR="002B6DDA">
        <w:rPr>
          <w:rFonts w:ascii="Times New Roman" w:hAnsi="Times New Roman" w:cs="Times New Roman"/>
          <w:sz w:val="24"/>
          <w:szCs w:val="24"/>
        </w:rPr>
        <w:t>nza ravvicinata per l’adozione</w:t>
      </w:r>
      <w:r w:rsidR="00B80F51">
        <w:rPr>
          <w:rFonts w:ascii="Times New Roman" w:hAnsi="Times New Roman" w:cs="Times New Roman"/>
          <w:sz w:val="24"/>
          <w:szCs w:val="24"/>
        </w:rPr>
        <w:t xml:space="preserve"> dei decreti legislativi di attuazione della l. n. 118/2022 (sei mesi dall’entrata in vigore della legge e quindi entro il 27 </w:t>
      </w:r>
      <w:r w:rsidR="00C34683">
        <w:rPr>
          <w:rFonts w:ascii="Times New Roman" w:hAnsi="Times New Roman" w:cs="Times New Roman"/>
          <w:sz w:val="24"/>
          <w:szCs w:val="24"/>
        </w:rPr>
        <w:t>febbraio 2023);</w:t>
      </w:r>
    </w:p>
    <w:p w:rsidR="00A20275" w:rsidRDefault="00A20275" w:rsidP="00D964D0">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b) lo spettro della riduzione dei fondi </w:t>
      </w:r>
      <w:r w:rsidR="00623692">
        <w:rPr>
          <w:rFonts w:ascii="Times New Roman" w:hAnsi="Times New Roman" w:cs="Times New Roman"/>
          <w:sz w:val="24"/>
          <w:szCs w:val="24"/>
        </w:rPr>
        <w:t>europei</w:t>
      </w:r>
      <w:r>
        <w:rPr>
          <w:rFonts w:ascii="Times New Roman" w:hAnsi="Times New Roman" w:cs="Times New Roman"/>
          <w:sz w:val="24"/>
          <w:szCs w:val="24"/>
        </w:rPr>
        <w:t xml:space="preserve"> del </w:t>
      </w:r>
      <w:r w:rsidR="00623692">
        <w:rPr>
          <w:rFonts w:ascii="Times New Roman" w:hAnsi="Times New Roman" w:cs="Times New Roman"/>
          <w:sz w:val="24"/>
          <w:szCs w:val="24"/>
        </w:rPr>
        <w:t>PN</w:t>
      </w:r>
      <w:r>
        <w:rPr>
          <w:rFonts w:ascii="Times New Roman" w:hAnsi="Times New Roman" w:cs="Times New Roman"/>
          <w:sz w:val="24"/>
          <w:szCs w:val="24"/>
        </w:rPr>
        <w:t>RR</w:t>
      </w:r>
      <w:r w:rsidR="002B4BBB">
        <w:rPr>
          <w:rFonts w:ascii="Times New Roman" w:hAnsi="Times New Roman" w:cs="Times New Roman"/>
          <w:sz w:val="24"/>
          <w:szCs w:val="24"/>
        </w:rPr>
        <w:t xml:space="preserve"> stanziati per </w:t>
      </w:r>
      <w:r>
        <w:rPr>
          <w:rFonts w:ascii="Times New Roman" w:hAnsi="Times New Roman" w:cs="Times New Roman"/>
          <w:sz w:val="24"/>
          <w:szCs w:val="24"/>
        </w:rPr>
        <w:t>l’Italia</w:t>
      </w:r>
      <w:r w:rsidR="00623692">
        <w:rPr>
          <w:rFonts w:ascii="Times New Roman" w:hAnsi="Times New Roman" w:cs="Times New Roman"/>
          <w:sz w:val="24"/>
          <w:szCs w:val="24"/>
        </w:rPr>
        <w:t xml:space="preserve"> in caso di mancata attuazione n</w:t>
      </w:r>
      <w:r>
        <w:rPr>
          <w:rFonts w:ascii="Times New Roman" w:hAnsi="Times New Roman" w:cs="Times New Roman"/>
          <w:sz w:val="24"/>
          <w:szCs w:val="24"/>
        </w:rPr>
        <w:t>ei termini del</w:t>
      </w:r>
      <w:r w:rsidR="00623692">
        <w:rPr>
          <w:rFonts w:ascii="Times New Roman" w:hAnsi="Times New Roman" w:cs="Times New Roman"/>
          <w:sz w:val="24"/>
          <w:szCs w:val="24"/>
        </w:rPr>
        <w:t xml:space="preserve"> d.lgs. n. 118/</w:t>
      </w:r>
      <w:r>
        <w:rPr>
          <w:rFonts w:ascii="Times New Roman" w:hAnsi="Times New Roman" w:cs="Times New Roman"/>
          <w:sz w:val="24"/>
          <w:szCs w:val="24"/>
        </w:rPr>
        <w:t>2022;</w:t>
      </w:r>
    </w:p>
    <w:p w:rsidR="00623692" w:rsidRDefault="00623692" w:rsidP="00D964D0">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c) </w:t>
      </w:r>
      <w:r w:rsidR="00C34683">
        <w:rPr>
          <w:rFonts w:ascii="Times New Roman" w:hAnsi="Times New Roman" w:cs="Times New Roman"/>
          <w:sz w:val="24"/>
          <w:szCs w:val="24"/>
        </w:rPr>
        <w:t>i tempi stretti per lo svolgimento delle gare e la loro conclusione entro il 31 dicembre 2023</w:t>
      </w:r>
      <w:r w:rsidR="002B4BBB">
        <w:rPr>
          <w:rFonts w:ascii="Times New Roman" w:hAnsi="Times New Roman" w:cs="Times New Roman"/>
          <w:sz w:val="24"/>
          <w:szCs w:val="24"/>
        </w:rPr>
        <w:t xml:space="preserve"> o, in via eccezionale, il 31 dicembre 2024</w:t>
      </w:r>
      <w:r w:rsidR="00C34683">
        <w:rPr>
          <w:rFonts w:ascii="Times New Roman" w:hAnsi="Times New Roman" w:cs="Times New Roman"/>
          <w:sz w:val="24"/>
          <w:szCs w:val="24"/>
        </w:rPr>
        <w:t>;</w:t>
      </w:r>
    </w:p>
    <w:p w:rsidR="001C78DB" w:rsidRDefault="00623692" w:rsidP="00D964D0">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d) </w:t>
      </w:r>
      <w:r w:rsidR="001C78DB">
        <w:rPr>
          <w:rFonts w:ascii="Times New Roman" w:hAnsi="Times New Roman" w:cs="Times New Roman"/>
          <w:sz w:val="24"/>
          <w:szCs w:val="24"/>
        </w:rPr>
        <w:t>il contenzioso che si a</w:t>
      </w:r>
      <w:r>
        <w:rPr>
          <w:rFonts w:ascii="Times New Roman" w:hAnsi="Times New Roman" w:cs="Times New Roman"/>
          <w:sz w:val="24"/>
          <w:szCs w:val="24"/>
        </w:rPr>
        <w:t>ccompagna in maniera endemica a</w:t>
      </w:r>
      <w:r w:rsidR="001C78DB">
        <w:rPr>
          <w:rFonts w:ascii="Times New Roman" w:hAnsi="Times New Roman" w:cs="Times New Roman"/>
          <w:sz w:val="24"/>
          <w:szCs w:val="24"/>
        </w:rPr>
        <w:t xml:space="preserve"> ogni procedura di evidenza pubblica</w:t>
      </w:r>
      <w:r>
        <w:rPr>
          <w:rFonts w:ascii="Times New Roman" w:hAnsi="Times New Roman" w:cs="Times New Roman"/>
          <w:sz w:val="24"/>
          <w:szCs w:val="24"/>
        </w:rPr>
        <w:t>;</w:t>
      </w:r>
    </w:p>
    <w:p w:rsidR="00623692" w:rsidRDefault="00623692" w:rsidP="00D964D0">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e) la pretesa di nuove competenze nell’ambito dell’attuazione della delega</w:t>
      </w:r>
      <w:r w:rsidR="00F94206">
        <w:rPr>
          <w:rFonts w:ascii="Times New Roman" w:hAnsi="Times New Roman" w:cs="Times New Roman"/>
          <w:sz w:val="24"/>
          <w:szCs w:val="24"/>
        </w:rPr>
        <w:t xml:space="preserve">. Già </w:t>
      </w:r>
      <w:r>
        <w:rPr>
          <w:rFonts w:ascii="Times New Roman" w:hAnsi="Times New Roman" w:cs="Times New Roman"/>
          <w:sz w:val="24"/>
          <w:szCs w:val="24"/>
        </w:rPr>
        <w:t>l’Anac</w:t>
      </w:r>
      <w:r w:rsidR="00B743DB">
        <w:rPr>
          <w:rFonts w:ascii="Times New Roman" w:hAnsi="Times New Roman" w:cs="Times New Roman"/>
          <w:sz w:val="24"/>
          <w:szCs w:val="24"/>
        </w:rPr>
        <w:t xml:space="preserve"> </w:t>
      </w:r>
      <w:r w:rsidR="00DE2502">
        <w:rPr>
          <w:rFonts w:ascii="Times New Roman" w:hAnsi="Times New Roman" w:cs="Times New Roman"/>
          <w:sz w:val="24"/>
          <w:szCs w:val="24"/>
        </w:rPr>
        <w:t>invoca</w:t>
      </w:r>
      <w:r>
        <w:rPr>
          <w:rFonts w:ascii="Times New Roman" w:hAnsi="Times New Roman" w:cs="Times New Roman"/>
          <w:sz w:val="24"/>
          <w:szCs w:val="24"/>
        </w:rPr>
        <w:t xml:space="preserve"> il suo coinvolgimento in </w:t>
      </w:r>
      <w:r w:rsidRPr="00623692">
        <w:rPr>
          <w:rFonts w:ascii="Times New Roman" w:hAnsi="Times New Roman" w:cs="Times New Roman"/>
          <w:sz w:val="24"/>
          <w:szCs w:val="24"/>
        </w:rPr>
        <w:t>caso di contratti misti</w:t>
      </w:r>
      <w:r>
        <w:rPr>
          <w:rFonts w:ascii="Times New Roman" w:hAnsi="Times New Roman" w:cs="Times New Roman"/>
          <w:sz w:val="24"/>
          <w:szCs w:val="24"/>
        </w:rPr>
        <w:t xml:space="preserve"> di concessioni</w:t>
      </w:r>
      <w:r w:rsidRPr="00623692">
        <w:rPr>
          <w:rFonts w:ascii="Times New Roman" w:hAnsi="Times New Roman" w:cs="Times New Roman"/>
          <w:sz w:val="24"/>
          <w:szCs w:val="24"/>
        </w:rPr>
        <w:t>, laddove al contratto di concessi</w:t>
      </w:r>
      <w:r>
        <w:rPr>
          <w:rFonts w:ascii="Times New Roman" w:hAnsi="Times New Roman" w:cs="Times New Roman"/>
          <w:sz w:val="24"/>
          <w:szCs w:val="24"/>
        </w:rPr>
        <w:t xml:space="preserve">one di bene pubblico acceda anche una </w:t>
      </w:r>
      <w:r w:rsidRPr="00623692">
        <w:rPr>
          <w:rFonts w:ascii="Times New Roman" w:hAnsi="Times New Roman" w:cs="Times New Roman"/>
          <w:sz w:val="24"/>
          <w:szCs w:val="24"/>
        </w:rPr>
        <w:t>concessione di servizi o di lavori pubblici</w:t>
      </w:r>
      <w:r>
        <w:rPr>
          <w:rFonts w:ascii="Times New Roman" w:hAnsi="Times New Roman" w:cs="Times New Roman"/>
          <w:sz w:val="24"/>
          <w:szCs w:val="24"/>
        </w:rPr>
        <w:t xml:space="preserve">, per la redazione di bandi tipo </w:t>
      </w:r>
      <w:r w:rsidR="00DE2502">
        <w:rPr>
          <w:rFonts w:ascii="Times New Roman" w:hAnsi="Times New Roman" w:cs="Times New Roman"/>
          <w:sz w:val="24"/>
          <w:szCs w:val="24"/>
        </w:rPr>
        <w:t>in funzione del</w:t>
      </w:r>
      <w:r>
        <w:rPr>
          <w:rFonts w:ascii="Times New Roman" w:hAnsi="Times New Roman" w:cs="Times New Roman"/>
          <w:sz w:val="24"/>
          <w:szCs w:val="24"/>
        </w:rPr>
        <w:t>le gare da svolgersi e in tema di vigilanza collaborativa</w:t>
      </w:r>
      <w:r w:rsidR="002B4BBB">
        <w:rPr>
          <w:rFonts w:ascii="Times New Roman" w:hAnsi="Times New Roman" w:cs="Times New Roman"/>
          <w:sz w:val="24"/>
          <w:szCs w:val="24"/>
        </w:rPr>
        <w:t xml:space="preserve"> sulla</w:t>
      </w:r>
      <w:r>
        <w:rPr>
          <w:rFonts w:ascii="Times New Roman" w:hAnsi="Times New Roman" w:cs="Times New Roman"/>
          <w:sz w:val="24"/>
          <w:szCs w:val="24"/>
        </w:rPr>
        <w:t xml:space="preserve"> </w:t>
      </w:r>
      <w:r w:rsidR="002B4BBB">
        <w:rPr>
          <w:rFonts w:ascii="Times New Roman" w:hAnsi="Times New Roman" w:cs="Times New Roman"/>
          <w:sz w:val="24"/>
          <w:szCs w:val="24"/>
        </w:rPr>
        <w:t>effettuazione</w:t>
      </w:r>
      <w:r>
        <w:rPr>
          <w:rFonts w:ascii="Times New Roman" w:hAnsi="Times New Roman" w:cs="Times New Roman"/>
          <w:sz w:val="24"/>
          <w:szCs w:val="24"/>
        </w:rPr>
        <w:t xml:space="preserve"> delle stesse</w:t>
      </w:r>
      <w:r w:rsidR="00DE2502">
        <w:rPr>
          <w:rFonts w:ascii="Times New Roman" w:hAnsi="Times New Roman" w:cs="Times New Roman"/>
          <w:sz w:val="24"/>
          <w:szCs w:val="24"/>
        </w:rPr>
        <w:t>,</w:t>
      </w:r>
      <w:r w:rsidR="00DE2502" w:rsidRPr="00DE2502">
        <w:t xml:space="preserve"> </w:t>
      </w:r>
      <w:r w:rsidR="00DE2502">
        <w:rPr>
          <w:rFonts w:ascii="Times New Roman" w:hAnsi="Times New Roman" w:cs="Times New Roman"/>
          <w:sz w:val="24"/>
          <w:szCs w:val="24"/>
        </w:rPr>
        <w:t>sebbene</w:t>
      </w:r>
      <w:r w:rsidR="00DE2502" w:rsidRPr="00DE2502">
        <w:rPr>
          <w:rFonts w:ascii="Times New Roman" w:hAnsi="Times New Roman" w:cs="Times New Roman"/>
          <w:sz w:val="24"/>
          <w:szCs w:val="24"/>
        </w:rPr>
        <w:t xml:space="preserve"> alle concessioni demaniali marittime per finalità tur</w:t>
      </w:r>
      <w:r w:rsidR="00DE2502">
        <w:rPr>
          <w:rFonts w:ascii="Times New Roman" w:hAnsi="Times New Roman" w:cs="Times New Roman"/>
          <w:sz w:val="24"/>
          <w:szCs w:val="24"/>
        </w:rPr>
        <w:t>istico-ricreative non si applica</w:t>
      </w:r>
      <w:r w:rsidR="00DE2502" w:rsidRPr="00DE2502">
        <w:rPr>
          <w:rFonts w:ascii="Times New Roman" w:hAnsi="Times New Roman" w:cs="Times New Roman"/>
          <w:sz w:val="24"/>
          <w:szCs w:val="24"/>
        </w:rPr>
        <w:t xml:space="preserve"> il codice dei contratti pubblici</w:t>
      </w:r>
      <w:r>
        <w:rPr>
          <w:rStyle w:val="Rimandonotaapidipagina"/>
          <w:rFonts w:ascii="Times New Roman" w:hAnsi="Times New Roman" w:cs="Times New Roman"/>
          <w:sz w:val="24"/>
          <w:szCs w:val="24"/>
        </w:rPr>
        <w:footnoteReference w:id="8"/>
      </w:r>
      <w:r w:rsidR="00F94206">
        <w:rPr>
          <w:rFonts w:ascii="Times New Roman" w:hAnsi="Times New Roman" w:cs="Times New Roman"/>
          <w:sz w:val="24"/>
          <w:szCs w:val="24"/>
        </w:rPr>
        <w:t>.</w:t>
      </w:r>
    </w:p>
    <w:p w:rsidR="00F94206" w:rsidRDefault="00F94206" w:rsidP="00D964D0">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Si tratta di tentativo di allargamento di poteri o di giusta rivendicazione di competenze?;</w:t>
      </w:r>
    </w:p>
    <w:p w:rsidR="00DE2502" w:rsidRPr="00D964D0" w:rsidRDefault="00DE2502" w:rsidP="00D964D0">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f) la </w:t>
      </w:r>
      <w:r w:rsidR="002B4BBB">
        <w:rPr>
          <w:rFonts w:ascii="Times New Roman" w:hAnsi="Times New Roman" w:cs="Times New Roman"/>
          <w:sz w:val="24"/>
          <w:szCs w:val="24"/>
        </w:rPr>
        <w:t>pendenza alla CGUE della questione su</w:t>
      </w:r>
      <w:r>
        <w:rPr>
          <w:rFonts w:ascii="Times New Roman" w:hAnsi="Times New Roman" w:cs="Times New Roman"/>
          <w:sz w:val="24"/>
          <w:szCs w:val="24"/>
        </w:rPr>
        <w:t xml:space="preserve">lla compatibilità europea dell’art. 49 </w:t>
      </w:r>
      <w:r w:rsidR="00B60A0E">
        <w:rPr>
          <w:rFonts w:ascii="Times New Roman" w:hAnsi="Times New Roman" w:cs="Times New Roman"/>
          <w:sz w:val="24"/>
          <w:szCs w:val="24"/>
        </w:rPr>
        <w:t xml:space="preserve">del </w:t>
      </w:r>
      <w:r>
        <w:rPr>
          <w:rFonts w:ascii="Times New Roman" w:hAnsi="Times New Roman" w:cs="Times New Roman"/>
          <w:sz w:val="24"/>
          <w:szCs w:val="24"/>
        </w:rPr>
        <w:t>cod. nav.</w:t>
      </w:r>
      <w:r>
        <w:rPr>
          <w:rStyle w:val="Rimandonotaapidipagina"/>
          <w:rFonts w:ascii="Times New Roman" w:hAnsi="Times New Roman" w:cs="Times New Roman"/>
          <w:sz w:val="24"/>
          <w:szCs w:val="24"/>
        </w:rPr>
        <w:footnoteReference w:id="9"/>
      </w:r>
      <w:r w:rsidR="00F94206">
        <w:rPr>
          <w:rFonts w:ascii="Times New Roman" w:hAnsi="Times New Roman" w:cs="Times New Roman"/>
          <w:sz w:val="24"/>
          <w:szCs w:val="24"/>
        </w:rPr>
        <w:t xml:space="preserve">, rimessa dalla sez. VII del Consiglio di Stato </w:t>
      </w:r>
      <w:r w:rsidR="00F94206" w:rsidRPr="00F94206">
        <w:rPr>
          <w:rFonts w:ascii="Times New Roman" w:hAnsi="Times New Roman" w:cs="Times New Roman"/>
          <w:sz w:val="24"/>
          <w:szCs w:val="24"/>
        </w:rPr>
        <w:t>con l’ordinanza 15 settembre 2022, n. 8010.</w:t>
      </w:r>
    </w:p>
    <w:p w:rsidR="009E1D47" w:rsidRDefault="00530449" w:rsidP="00D964D0">
      <w:pPr>
        <w:spacing w:line="360" w:lineRule="auto"/>
        <w:ind w:firstLine="709"/>
        <w:jc w:val="both"/>
        <w:rPr>
          <w:rFonts w:ascii="Times New Roman" w:hAnsi="Times New Roman" w:cs="Times New Roman"/>
          <w:sz w:val="24"/>
          <w:szCs w:val="24"/>
        </w:rPr>
      </w:pPr>
      <w:r w:rsidRPr="00D964D0">
        <w:rPr>
          <w:rFonts w:ascii="Times New Roman" w:hAnsi="Times New Roman" w:cs="Times New Roman"/>
          <w:sz w:val="24"/>
          <w:szCs w:val="24"/>
        </w:rPr>
        <w:t>Sembra</w:t>
      </w:r>
      <w:r w:rsidR="001C47B4" w:rsidRPr="00D964D0">
        <w:rPr>
          <w:rFonts w:ascii="Times New Roman" w:hAnsi="Times New Roman" w:cs="Times New Roman"/>
          <w:sz w:val="24"/>
          <w:szCs w:val="24"/>
        </w:rPr>
        <w:t xml:space="preserve"> la quadratura del cerchio ma occorre provarci.</w:t>
      </w:r>
      <w:r w:rsidR="002B4BBB">
        <w:rPr>
          <w:rFonts w:ascii="Times New Roman" w:hAnsi="Times New Roman" w:cs="Times New Roman"/>
          <w:sz w:val="24"/>
          <w:szCs w:val="24"/>
        </w:rPr>
        <w:t xml:space="preserve"> A meno che il </w:t>
      </w:r>
      <w:r w:rsidR="000E3CC5">
        <w:rPr>
          <w:rFonts w:ascii="Times New Roman" w:hAnsi="Times New Roman" w:cs="Times New Roman"/>
          <w:sz w:val="24"/>
          <w:szCs w:val="24"/>
        </w:rPr>
        <w:t>contesto</w:t>
      </w:r>
      <w:r w:rsidR="00F94206">
        <w:rPr>
          <w:rFonts w:ascii="Times New Roman" w:hAnsi="Times New Roman" w:cs="Times New Roman"/>
          <w:sz w:val="24"/>
          <w:szCs w:val="24"/>
        </w:rPr>
        <w:t xml:space="preserve"> normativo</w:t>
      </w:r>
      <w:r w:rsidR="002B4BBB">
        <w:rPr>
          <w:rFonts w:ascii="Times New Roman" w:hAnsi="Times New Roman" w:cs="Times New Roman"/>
          <w:sz w:val="24"/>
          <w:szCs w:val="24"/>
        </w:rPr>
        <w:t xml:space="preserve"> non venga di nuovo modificato o </w:t>
      </w:r>
      <w:r w:rsidR="00B743DB">
        <w:rPr>
          <w:rFonts w:ascii="Times New Roman" w:hAnsi="Times New Roman" w:cs="Times New Roman"/>
          <w:sz w:val="24"/>
          <w:szCs w:val="24"/>
        </w:rPr>
        <w:t>rinviato</w:t>
      </w:r>
      <w:r w:rsidR="002B4BBB">
        <w:rPr>
          <w:rFonts w:ascii="Times New Roman" w:hAnsi="Times New Roman" w:cs="Times New Roman"/>
          <w:sz w:val="24"/>
          <w:szCs w:val="24"/>
        </w:rPr>
        <w:t>. Ma a questo punto senza il consenso dell’Europa sa</w:t>
      </w:r>
      <w:r w:rsidR="00B743DB">
        <w:rPr>
          <w:rFonts w:ascii="Times New Roman" w:hAnsi="Times New Roman" w:cs="Times New Roman"/>
          <w:sz w:val="24"/>
          <w:szCs w:val="24"/>
        </w:rPr>
        <w:t>rà molto difficile progredire</w:t>
      </w:r>
      <w:r w:rsidR="002B4BBB">
        <w:rPr>
          <w:rFonts w:ascii="Times New Roman" w:hAnsi="Times New Roman" w:cs="Times New Roman"/>
          <w:sz w:val="24"/>
          <w:szCs w:val="24"/>
        </w:rPr>
        <w:t>.</w:t>
      </w:r>
      <w:r w:rsidR="002D1CDD">
        <w:rPr>
          <w:rFonts w:ascii="Times New Roman" w:hAnsi="Times New Roman" w:cs="Times New Roman"/>
          <w:sz w:val="24"/>
          <w:szCs w:val="24"/>
        </w:rPr>
        <w:t xml:space="preserve"> </w:t>
      </w:r>
      <w:r w:rsidR="001200F6">
        <w:rPr>
          <w:rFonts w:ascii="Times New Roman" w:hAnsi="Times New Roman" w:cs="Times New Roman"/>
          <w:sz w:val="24"/>
          <w:szCs w:val="24"/>
        </w:rPr>
        <w:t>Mi pare però certo che non si possa più tornare indietro nel senso auspicato dal Tar di Lecce.</w:t>
      </w:r>
    </w:p>
    <w:p w:rsidR="00604361" w:rsidRDefault="00604361" w:rsidP="00604361">
      <w:pPr>
        <w:spacing w:line="360" w:lineRule="auto"/>
        <w:ind w:firstLine="709"/>
        <w:jc w:val="both"/>
        <w:rPr>
          <w:rFonts w:ascii="Times New Roman" w:hAnsi="Times New Roman" w:cs="Times New Roman"/>
          <w:sz w:val="24"/>
          <w:szCs w:val="24"/>
        </w:rPr>
      </w:pPr>
      <w:bookmarkStart w:id="0" w:name="_GoBack"/>
      <w:bookmarkEnd w:id="0"/>
    </w:p>
    <w:p w:rsidR="00604361" w:rsidRPr="00AF62B9" w:rsidRDefault="00604361" w:rsidP="00604361">
      <w:pPr>
        <w:spacing w:line="360" w:lineRule="auto"/>
        <w:ind w:firstLine="709"/>
        <w:jc w:val="right"/>
        <w:rPr>
          <w:rFonts w:ascii="Times New Roman" w:hAnsi="Times New Roman" w:cs="Times New Roman"/>
          <w:b/>
          <w:sz w:val="32"/>
          <w:szCs w:val="32"/>
        </w:rPr>
      </w:pPr>
      <w:r w:rsidRPr="00AF62B9">
        <w:rPr>
          <w:rFonts w:ascii="Times New Roman" w:hAnsi="Times New Roman" w:cs="Times New Roman"/>
          <w:b/>
          <w:sz w:val="32"/>
          <w:szCs w:val="32"/>
        </w:rPr>
        <w:t>Carmine Volpe</w:t>
      </w:r>
    </w:p>
    <w:p w:rsidR="00604361" w:rsidRDefault="00604361" w:rsidP="00604361">
      <w:pPr>
        <w:spacing w:line="360" w:lineRule="auto"/>
        <w:ind w:firstLine="709"/>
        <w:jc w:val="right"/>
        <w:rPr>
          <w:rFonts w:ascii="Times New Roman" w:hAnsi="Times New Roman" w:cs="Times New Roman"/>
          <w:sz w:val="32"/>
          <w:szCs w:val="32"/>
        </w:rPr>
      </w:pPr>
      <w:r>
        <w:rPr>
          <w:rFonts w:ascii="Times New Roman" w:hAnsi="Times New Roman" w:cs="Times New Roman"/>
          <w:sz w:val="32"/>
          <w:szCs w:val="32"/>
        </w:rPr>
        <w:t>Presidente di Sezione del Consiglio di Stato</w:t>
      </w:r>
    </w:p>
    <w:p w:rsidR="00604361" w:rsidRDefault="00604361" w:rsidP="00604361">
      <w:pPr>
        <w:spacing w:line="360" w:lineRule="auto"/>
        <w:ind w:firstLine="709"/>
        <w:jc w:val="right"/>
        <w:rPr>
          <w:rFonts w:ascii="Times New Roman" w:hAnsi="Times New Roman" w:cs="Times New Roman"/>
          <w:sz w:val="32"/>
          <w:szCs w:val="32"/>
        </w:rPr>
      </w:pPr>
    </w:p>
    <w:p w:rsidR="00604361" w:rsidRPr="00AF62B9" w:rsidRDefault="00604361" w:rsidP="00604361">
      <w:pPr>
        <w:spacing w:line="360" w:lineRule="auto"/>
        <w:ind w:firstLine="709"/>
        <w:jc w:val="right"/>
        <w:rPr>
          <w:rFonts w:ascii="Times New Roman" w:hAnsi="Times New Roman" w:cs="Times New Roman"/>
          <w:sz w:val="28"/>
          <w:szCs w:val="28"/>
        </w:rPr>
      </w:pPr>
      <w:r w:rsidRPr="00AF62B9">
        <w:rPr>
          <w:rFonts w:ascii="Times New Roman" w:hAnsi="Times New Roman" w:cs="Times New Roman"/>
          <w:sz w:val="28"/>
          <w:szCs w:val="28"/>
        </w:rPr>
        <w:t>Pubblicato il 21 novembre 2022</w:t>
      </w:r>
    </w:p>
    <w:p w:rsidR="00604361" w:rsidRPr="00D964D0" w:rsidRDefault="00604361" w:rsidP="00D964D0">
      <w:pPr>
        <w:spacing w:line="360" w:lineRule="auto"/>
        <w:ind w:firstLine="709"/>
        <w:jc w:val="both"/>
        <w:rPr>
          <w:rFonts w:ascii="Times New Roman" w:hAnsi="Times New Roman" w:cs="Times New Roman"/>
          <w:sz w:val="24"/>
          <w:szCs w:val="24"/>
        </w:rPr>
      </w:pPr>
    </w:p>
    <w:sectPr w:rsidR="00604361" w:rsidRPr="00D964D0">
      <w:headerReference w:type="even" r:id="rId7"/>
      <w:headerReference w:type="default" r:id="rId8"/>
      <w:footerReference w:type="even" r:id="rId9"/>
      <w:footerReference w:type="default" r:id="rId10"/>
      <w:headerReference w:type="first" r:id="rId11"/>
      <w:footerReference w:type="first" r:id="rId12"/>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62F9" w:rsidRDefault="001C62F9" w:rsidP="00CA15DC">
      <w:pPr>
        <w:spacing w:after="0" w:line="240" w:lineRule="auto"/>
      </w:pPr>
      <w:r>
        <w:separator/>
      </w:r>
    </w:p>
  </w:endnote>
  <w:endnote w:type="continuationSeparator" w:id="0">
    <w:p w:rsidR="001C62F9" w:rsidRDefault="001C62F9" w:rsidP="00CA15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0F51" w:rsidRDefault="00B80F51">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55155027"/>
      <w:docPartObj>
        <w:docPartGallery w:val="Page Numbers (Bottom of Page)"/>
        <w:docPartUnique/>
      </w:docPartObj>
    </w:sdtPr>
    <w:sdtEndPr/>
    <w:sdtContent>
      <w:p w:rsidR="00B80F51" w:rsidRDefault="00B80F51">
        <w:pPr>
          <w:pStyle w:val="Pidipagina"/>
          <w:jc w:val="right"/>
        </w:pPr>
        <w:r>
          <w:fldChar w:fldCharType="begin"/>
        </w:r>
        <w:r>
          <w:instrText>PAGE   \* MERGEFORMAT</w:instrText>
        </w:r>
        <w:r>
          <w:fldChar w:fldCharType="separate"/>
        </w:r>
        <w:r w:rsidR="00604361">
          <w:rPr>
            <w:noProof/>
          </w:rPr>
          <w:t>18</w:t>
        </w:r>
        <w:r>
          <w:fldChar w:fldCharType="end"/>
        </w:r>
      </w:p>
    </w:sdtContent>
  </w:sdt>
  <w:p w:rsidR="00B80F51" w:rsidRDefault="00B80F51">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0F51" w:rsidRDefault="00B80F51">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62F9" w:rsidRDefault="001C62F9" w:rsidP="00CA15DC">
      <w:pPr>
        <w:spacing w:after="0" w:line="240" w:lineRule="auto"/>
      </w:pPr>
      <w:r>
        <w:separator/>
      </w:r>
    </w:p>
  </w:footnote>
  <w:footnote w:type="continuationSeparator" w:id="0">
    <w:p w:rsidR="001C62F9" w:rsidRDefault="001C62F9" w:rsidP="00CA15DC">
      <w:pPr>
        <w:spacing w:after="0" w:line="240" w:lineRule="auto"/>
      </w:pPr>
      <w:r>
        <w:continuationSeparator/>
      </w:r>
    </w:p>
  </w:footnote>
  <w:footnote w:id="1">
    <w:p w:rsidR="00604361" w:rsidRPr="00A87B36" w:rsidRDefault="00604361" w:rsidP="00604361">
      <w:pPr>
        <w:pStyle w:val="Testonotaapidipagina"/>
        <w:jc w:val="both"/>
        <w:rPr>
          <w:rFonts w:ascii="Times New Roman" w:hAnsi="Times New Roman" w:cs="Times New Roman"/>
        </w:rPr>
      </w:pPr>
      <w:r w:rsidRPr="00A87B36">
        <w:rPr>
          <w:rStyle w:val="Rimandonotaapidipagina"/>
          <w:rFonts w:ascii="Times New Roman" w:hAnsi="Times New Roman" w:cs="Times New Roman"/>
        </w:rPr>
        <w:sym w:font="Symbol" w:char="F02A"/>
      </w:r>
      <w:r w:rsidRPr="00A87B36">
        <w:rPr>
          <w:rFonts w:ascii="Times New Roman" w:hAnsi="Times New Roman" w:cs="Times New Roman"/>
        </w:rPr>
        <w:t xml:space="preserve"> Lo scritto è lo svolgimento della relazione tenuta al convegno, dal titolo “Le concessioni demaniali marittime: una fine o un inizio?”, svoltosi</w:t>
      </w:r>
      <w:r>
        <w:rPr>
          <w:rFonts w:ascii="Times New Roman" w:hAnsi="Times New Roman" w:cs="Times New Roman"/>
        </w:rPr>
        <w:t xml:space="preserve"> a Maruggio il 16 settembre 2022, </w:t>
      </w:r>
      <w:r w:rsidRPr="00A87B36">
        <w:rPr>
          <w:rFonts w:ascii="Times New Roman" w:hAnsi="Times New Roman" w:cs="Times New Roman"/>
        </w:rPr>
        <w:t xml:space="preserve">dove il sottoscritto ha presieduto la seconda sessione del pomeriggio. </w:t>
      </w:r>
      <w:r>
        <w:rPr>
          <w:rFonts w:ascii="Times New Roman" w:hAnsi="Times New Roman" w:cs="Times New Roman"/>
        </w:rPr>
        <w:t>Contiene anche le ulteriori considerazioni esposte al convegno, dal titolo “Concessioni demaniali. Correzioni di rotta e nuovi approdi”, svoltosi a Salerno il 1° ottobre 2022, dove il sottoscritto ha presieduto e concluso.</w:t>
      </w:r>
    </w:p>
  </w:footnote>
  <w:footnote w:id="2">
    <w:p w:rsidR="00B80F51" w:rsidRPr="009A2E71" w:rsidRDefault="00B80F51" w:rsidP="009A2E71">
      <w:pPr>
        <w:pStyle w:val="Testonotaapidipagina"/>
        <w:jc w:val="both"/>
        <w:rPr>
          <w:rFonts w:ascii="Times New Roman" w:hAnsi="Times New Roman" w:cs="Times New Roman"/>
        </w:rPr>
      </w:pPr>
      <w:r>
        <w:rPr>
          <w:rStyle w:val="Rimandonotaapidipagina"/>
        </w:rPr>
        <w:footnoteRef/>
      </w:r>
      <w:r>
        <w:t xml:space="preserve"> </w:t>
      </w:r>
      <w:r w:rsidRPr="009A2E71">
        <w:rPr>
          <w:rFonts w:ascii="Times New Roman" w:hAnsi="Times New Roman" w:cs="Times New Roman"/>
        </w:rPr>
        <w:t>A</w:t>
      </w:r>
      <w:r>
        <w:rPr>
          <w:rFonts w:ascii="Times New Roman" w:hAnsi="Times New Roman" w:cs="Times New Roman"/>
        </w:rPr>
        <w:t xml:space="preserve">i sensi dell’art. 49 TFUE </w:t>
      </w:r>
      <w:r w:rsidRPr="009A2E71">
        <w:rPr>
          <w:rFonts w:ascii="Times New Roman" w:hAnsi="Times New Roman" w:cs="Times New Roman"/>
        </w:rPr>
        <w:t>“</w:t>
      </w:r>
      <w:r w:rsidRPr="009A2E71">
        <w:rPr>
          <w:rFonts w:ascii="Times New Roman" w:hAnsi="Times New Roman" w:cs="Times New Roman"/>
          <w:i/>
        </w:rPr>
        <w:t>Nel quadro delle disposizioni che seguono, le restrizioni alla libertà di stabilimento dei cittadini di uno Stato membro nel territorio di un altro Stato membro vengono vietate</w:t>
      </w:r>
      <w:r w:rsidRPr="009A2E71">
        <w:rPr>
          <w:rFonts w:ascii="Times New Roman" w:hAnsi="Times New Roman" w:cs="Times New Roman"/>
        </w:rPr>
        <w:t>”.</w:t>
      </w:r>
      <w:r>
        <w:rPr>
          <w:rFonts w:ascii="Times New Roman" w:hAnsi="Times New Roman" w:cs="Times New Roman"/>
        </w:rPr>
        <w:t xml:space="preserve"> L’a</w:t>
      </w:r>
      <w:r w:rsidRPr="009A2E71">
        <w:rPr>
          <w:rFonts w:ascii="Times New Roman" w:hAnsi="Times New Roman" w:cs="Times New Roman"/>
        </w:rPr>
        <w:t>rt. 56 TFUE</w:t>
      </w:r>
      <w:r>
        <w:rPr>
          <w:rFonts w:ascii="Times New Roman" w:hAnsi="Times New Roman" w:cs="Times New Roman"/>
        </w:rPr>
        <w:t xml:space="preserve"> prevede che </w:t>
      </w:r>
      <w:r w:rsidRPr="009A2E71">
        <w:rPr>
          <w:rFonts w:ascii="Times New Roman" w:hAnsi="Times New Roman" w:cs="Times New Roman"/>
        </w:rPr>
        <w:t>“</w:t>
      </w:r>
      <w:r w:rsidRPr="009A2E71">
        <w:rPr>
          <w:rFonts w:ascii="Times New Roman" w:hAnsi="Times New Roman" w:cs="Times New Roman"/>
          <w:i/>
        </w:rPr>
        <w:t>Nel quadro delle disposizioni seguenti, le restrizioni alla libera prestazione dei servizi all'interno dell'Unione sono vietate nei confronti dei cittadini degli Stati membri stabiliti in uno Stato membro che non sia quello del destinatario della prestazione</w:t>
      </w:r>
      <w:r w:rsidRPr="009A2E71">
        <w:rPr>
          <w:rFonts w:ascii="Times New Roman" w:hAnsi="Times New Roman" w:cs="Times New Roman"/>
        </w:rPr>
        <w:t>”.</w:t>
      </w:r>
    </w:p>
  </w:footnote>
  <w:footnote w:id="3">
    <w:p w:rsidR="00B80F51" w:rsidRPr="00823521" w:rsidRDefault="00B80F51" w:rsidP="00823521">
      <w:pPr>
        <w:pStyle w:val="Testonotaapidipagina"/>
        <w:jc w:val="both"/>
        <w:rPr>
          <w:rFonts w:ascii="Times New Roman" w:hAnsi="Times New Roman" w:cs="Times New Roman"/>
        </w:rPr>
      </w:pPr>
      <w:r>
        <w:rPr>
          <w:rStyle w:val="Rimandonotaapidipagina"/>
        </w:rPr>
        <w:footnoteRef/>
      </w:r>
      <w:r>
        <w:t xml:space="preserve"> </w:t>
      </w:r>
      <w:r w:rsidRPr="00823521">
        <w:rPr>
          <w:rFonts w:ascii="Times New Roman" w:hAnsi="Times New Roman" w:cs="Times New Roman"/>
        </w:rPr>
        <w:t>La Commissione europea, nella procedura di infrazione 2008/4908, aveva rilevato che la Repubblica italiana, prevedendo un diritto di preferenza a favore del concessionario uscente nell'ambito della procedura di attribuzione delle concessioni del demanio pubblico marittimo, sarebbe venuta meno agli obblighi che le incombono ai sensi dell'art. 49 del TFUE e dell'art. 12 della direttiva 2006/123/CE.</w:t>
      </w:r>
      <w:r w:rsidR="00060D27">
        <w:rPr>
          <w:rFonts w:ascii="Times New Roman" w:hAnsi="Times New Roman" w:cs="Times New Roman"/>
        </w:rPr>
        <w:t xml:space="preserve"> L’ultima procedura di infrazione è stata notificata dall’UE a dicembre 2020.</w:t>
      </w:r>
    </w:p>
  </w:footnote>
  <w:footnote w:id="4">
    <w:p w:rsidR="00B80F51" w:rsidRPr="00371611" w:rsidRDefault="00B80F51" w:rsidP="00371611">
      <w:pPr>
        <w:pStyle w:val="Testonotaapidipagina"/>
        <w:jc w:val="both"/>
        <w:rPr>
          <w:rFonts w:ascii="Times New Roman" w:hAnsi="Times New Roman" w:cs="Times New Roman"/>
        </w:rPr>
      </w:pPr>
      <w:r w:rsidRPr="00371611">
        <w:rPr>
          <w:rStyle w:val="Rimandonotaapidipagina"/>
          <w:rFonts w:ascii="Times New Roman" w:hAnsi="Times New Roman" w:cs="Times New Roman"/>
        </w:rPr>
        <w:footnoteRef/>
      </w:r>
      <w:r w:rsidRPr="00371611">
        <w:rPr>
          <w:rFonts w:ascii="Times New Roman" w:hAnsi="Times New Roman" w:cs="Times New Roman"/>
        </w:rPr>
        <w:t xml:space="preserve"> Questo il testo originario dell’art. 1, comma 18, del d.l. n. 194/2019: “</w:t>
      </w:r>
      <w:r w:rsidRPr="00371611">
        <w:rPr>
          <w:rFonts w:ascii="Times New Roman" w:hAnsi="Times New Roman" w:cs="Times New Roman"/>
          <w:i/>
        </w:rPr>
        <w:t>Ferma restando la disciplina relativa all'attribuzione di beni a regioni ed enti locali in base alla legge 5 maggio 2009, n. 42, nonché alle rispettive norme di attuazione, nelle more del procedimento di revisione del quadro normativo in materia di rilascio delle concessioni di beni demaniali marittimi con finalità turistico-ricreative, da realizzarsi, quanto ai criteri e alle modalità di affidamento di tali concessioni, sulla base di intesa in sede di Conferenza Stato-regioni ai sensi dell'articolo 8, comma 6, della legge 5 giugno 2003, n. 131, che è conclusa nel rispetto dei principi di concorrenza, di libertà di stabilimento, di garanzia dell'esercizio, dello sviluppo, della valorizzazione delle attività imprenditoriali e di tutela degli investimenti, nonché in funzione del superamento del diritto di insistenza di cui all'articolo 37, secondo comma, secondo periodo, del codice della navigazione, che è soppresso dalla data di entrata in vigore del presente decreto, il termine di durata delle concessioni in essere alla data di entrata in vigore del presente decreto e in scadenza entro il 31 dicembre 2012 è prorogato fino a tale data</w:t>
      </w:r>
      <w:r w:rsidRPr="00371611">
        <w:rPr>
          <w:rFonts w:ascii="Times New Roman" w:hAnsi="Times New Roman" w:cs="Times New Roman"/>
        </w:rPr>
        <w:t>”.</w:t>
      </w:r>
    </w:p>
  </w:footnote>
  <w:footnote w:id="5">
    <w:p w:rsidR="00B80F51" w:rsidRPr="00C862AF" w:rsidRDefault="00B80F51" w:rsidP="00C862AF">
      <w:pPr>
        <w:pStyle w:val="Testonotaapidipagina"/>
        <w:jc w:val="both"/>
        <w:rPr>
          <w:rFonts w:ascii="Times New Roman" w:hAnsi="Times New Roman" w:cs="Times New Roman"/>
        </w:rPr>
      </w:pPr>
      <w:r>
        <w:rPr>
          <w:rStyle w:val="Rimandonotaapidipagina"/>
        </w:rPr>
        <w:footnoteRef/>
      </w:r>
      <w:r>
        <w:t xml:space="preserve"> </w:t>
      </w:r>
      <w:r w:rsidRPr="00C862AF">
        <w:rPr>
          <w:rFonts w:ascii="Times New Roman" w:hAnsi="Times New Roman" w:cs="Times New Roman"/>
        </w:rPr>
        <w:t>Eguale possibilità non è consentita alle sezioni del Consiglio di Stato, le quali possono rimettere il ricorso all'esame dell'adunanza plenaria solo in caso di contrasto giurisprudenziale, esistente o potenziale (art. 99, comma 1, c.p.a.). Si tratta all'evidenza di un vuoto normativo</w:t>
      </w:r>
      <w:r w:rsidR="00C77CDB">
        <w:rPr>
          <w:rFonts w:ascii="Times New Roman" w:hAnsi="Times New Roman" w:cs="Times New Roman"/>
        </w:rPr>
        <w:t>,</w:t>
      </w:r>
      <w:r w:rsidRPr="00C862AF">
        <w:rPr>
          <w:rFonts w:ascii="Times New Roman" w:hAnsi="Times New Roman" w:cs="Times New Roman"/>
        </w:rPr>
        <w:t xml:space="preserve"> dato che medesime esigenze </w:t>
      </w:r>
      <w:r w:rsidR="00C77CDB">
        <w:rPr>
          <w:rFonts w:ascii="Times New Roman" w:hAnsi="Times New Roman" w:cs="Times New Roman"/>
        </w:rPr>
        <w:t>non possono non consentire</w:t>
      </w:r>
      <w:r w:rsidRPr="00C862AF">
        <w:rPr>
          <w:rFonts w:ascii="Times New Roman" w:hAnsi="Times New Roman" w:cs="Times New Roman"/>
        </w:rPr>
        <w:t xml:space="preserve"> anche alla sezione di rimettere in plenaria questioni di massima di particolare importanza.</w:t>
      </w:r>
    </w:p>
  </w:footnote>
  <w:footnote w:id="6">
    <w:p w:rsidR="00B80F51" w:rsidRPr="00D964D0" w:rsidRDefault="00B80F51" w:rsidP="00D964D0">
      <w:pPr>
        <w:pStyle w:val="Testonotaapidipagina"/>
        <w:jc w:val="both"/>
        <w:rPr>
          <w:rFonts w:ascii="Times New Roman" w:hAnsi="Times New Roman" w:cs="Times New Roman"/>
        </w:rPr>
      </w:pPr>
      <w:r>
        <w:rPr>
          <w:rStyle w:val="Rimandonotaapidipagina"/>
        </w:rPr>
        <w:footnoteRef/>
      </w:r>
      <w:r>
        <w:t xml:space="preserve"> </w:t>
      </w:r>
      <w:r w:rsidRPr="00D964D0">
        <w:rPr>
          <w:rFonts w:ascii="Times New Roman" w:hAnsi="Times New Roman" w:cs="Times New Roman"/>
        </w:rPr>
        <w:t>Secondo CGUE 22 giugno 1989, n. 103, “</w:t>
      </w:r>
      <w:r>
        <w:rPr>
          <w:rFonts w:ascii="Times New Roman" w:hAnsi="Times New Roman" w:cs="Times New Roman"/>
          <w:i/>
        </w:rPr>
        <w:t>…</w:t>
      </w:r>
      <w:r w:rsidRPr="00D964D0">
        <w:rPr>
          <w:rFonts w:ascii="Times New Roman" w:hAnsi="Times New Roman" w:cs="Times New Roman"/>
          <w:i/>
        </w:rPr>
        <w:t xml:space="preserve"> qualora sussistano i presupposti necessari, secondo la giurisprudenza della Corte, affinché le disposizioni di una direttiva siano invocabili dai singoli dinanzi ai giudici nazionali, tutti gli organi dell'amministrazione, compresi quelli degli enti territoriali, come i comuni, sono tenuti ad applicare le suddette disposizioni</w:t>
      </w:r>
      <w:r w:rsidRPr="00D964D0">
        <w:rPr>
          <w:rFonts w:ascii="Times New Roman" w:hAnsi="Times New Roman" w:cs="Times New Roman"/>
        </w:rPr>
        <w:t>”.</w:t>
      </w:r>
      <w:r>
        <w:rPr>
          <w:rFonts w:ascii="Times New Roman" w:hAnsi="Times New Roman" w:cs="Times New Roman"/>
        </w:rPr>
        <w:t xml:space="preserve"> Nella medesima sentenza si ricorda che “</w:t>
      </w:r>
      <w:r w:rsidRPr="00D964D0">
        <w:rPr>
          <w:rFonts w:ascii="Times New Roman" w:hAnsi="Times New Roman" w:cs="Times New Roman"/>
          <w:i/>
        </w:rPr>
        <w:t>nelle sentenze 19 gennaio 1982 ( Becker, causa 8/81, Racc . pag . 53, in particolare pag . 71 ) e 26 febbraio 1986 ( Marshall, causa 152/84, Racc . pag . 737, in particolare pag . 748), la Corte abbia considerato che in tutti i casi in cui alcune disposizioni di una direttiva appaiano, dal punto di vista sostanziale, incondizionate e sufficientemente precise, i singoli possono farle valere dinanzi ai giudici nazionali nei confronti dello Stato, sia che questo non abbia recepito tempestivamente la direttiva nel diritto nazionale sia che l'abbia recepita in modo inadeguato</w:t>
      </w:r>
      <w:r>
        <w:rPr>
          <w:rFonts w:ascii="Times New Roman" w:hAnsi="Times New Roman" w:cs="Times New Roman"/>
        </w:rPr>
        <w:t>”.</w:t>
      </w:r>
    </w:p>
    <w:p w:rsidR="00B80F51" w:rsidRDefault="00B80F51">
      <w:pPr>
        <w:pStyle w:val="Testonotaapidipagina"/>
      </w:pPr>
    </w:p>
  </w:footnote>
  <w:footnote w:id="7">
    <w:p w:rsidR="00B80F51" w:rsidRPr="00823521" w:rsidRDefault="00B80F51" w:rsidP="00823521">
      <w:pPr>
        <w:pStyle w:val="Testonotaapidipagina"/>
        <w:jc w:val="both"/>
        <w:rPr>
          <w:rFonts w:ascii="Times New Roman" w:hAnsi="Times New Roman" w:cs="Times New Roman"/>
        </w:rPr>
      </w:pPr>
      <w:r>
        <w:rPr>
          <w:rStyle w:val="Rimandonotaapidipagina"/>
        </w:rPr>
        <w:footnoteRef/>
      </w:r>
      <w:r>
        <w:t xml:space="preserve"> </w:t>
      </w:r>
      <w:r w:rsidRPr="00823521">
        <w:rPr>
          <w:rFonts w:ascii="Times New Roman" w:hAnsi="Times New Roman" w:cs="Times New Roman"/>
          <w:color w:val="000000"/>
        </w:rPr>
        <w:t>In tal senso, infatti, si è espresso, già da tempo risalente, il Consiglio di Stato, ritenend</w:t>
      </w:r>
      <w:r w:rsidR="00B743DB">
        <w:rPr>
          <w:rFonts w:ascii="Times New Roman" w:hAnsi="Times New Roman" w:cs="Times New Roman"/>
          <w:color w:val="000000"/>
        </w:rPr>
        <w:t>o applicabili i detti principi “</w:t>
      </w:r>
      <w:r w:rsidRPr="00823521">
        <w:rPr>
          <w:rFonts w:ascii="Times New Roman" w:hAnsi="Times New Roman" w:cs="Times New Roman"/>
          <w:i/>
          <w:iCs/>
          <w:color w:val="000000"/>
        </w:rPr>
        <w:t>anche alle concessioni di beni pubblici, fungendo da parametro di interpretazione e limitazione del diritto di insistenza di cui all'art. 37 del codice della navigazione</w:t>
      </w:r>
      <w:r w:rsidRPr="00823521">
        <w:rPr>
          <w:rFonts w:ascii="Times New Roman" w:hAnsi="Times New Roman" w:cs="Times New Roman"/>
          <w:color w:val="000000"/>
        </w:rPr>
        <w:t>", sottolineandosi, in particolare, che "</w:t>
      </w:r>
      <w:r w:rsidRPr="00823521">
        <w:rPr>
          <w:rFonts w:ascii="Times New Roman" w:hAnsi="Times New Roman" w:cs="Times New Roman"/>
          <w:i/>
          <w:iCs/>
          <w:color w:val="000000"/>
        </w:rPr>
        <w:t>la sottoposizione ai principi di evidenza trova il suo presupposto sufficiente nella circostanza che con la concessione di area demaniale marittima si fornisce un'occasione di guadagno a soggetti operanti sul mercato, tale da imporre una procedura competitiva ispirata ai ricordati principi di trasparenza e non discriminazione</w:t>
      </w:r>
      <w:r w:rsidR="00B743DB">
        <w:rPr>
          <w:rFonts w:ascii="Times New Roman" w:hAnsi="Times New Roman" w:cs="Times New Roman"/>
          <w:color w:val="000000"/>
        </w:rPr>
        <w:t>”</w:t>
      </w:r>
      <w:r w:rsidR="0004238C">
        <w:rPr>
          <w:rFonts w:ascii="Times New Roman" w:hAnsi="Times New Roman" w:cs="Times New Roman"/>
          <w:color w:val="000000"/>
        </w:rPr>
        <w:t xml:space="preserve"> </w:t>
      </w:r>
      <w:r>
        <w:rPr>
          <w:rFonts w:ascii="Times New Roman" w:hAnsi="Times New Roman" w:cs="Times New Roman"/>
          <w:color w:val="000000"/>
        </w:rPr>
        <w:t>(cfr. Cons. Stato, s</w:t>
      </w:r>
      <w:r w:rsidRPr="00823521">
        <w:rPr>
          <w:rFonts w:ascii="Times New Roman" w:hAnsi="Times New Roman" w:cs="Times New Roman"/>
          <w:color w:val="000000"/>
        </w:rPr>
        <w:t>ez. VI, 25 gennaio 2005</w:t>
      </w:r>
      <w:r>
        <w:rPr>
          <w:rFonts w:ascii="Times New Roman" w:hAnsi="Times New Roman" w:cs="Times New Roman"/>
          <w:color w:val="000000"/>
        </w:rPr>
        <w:t>,</w:t>
      </w:r>
      <w:r w:rsidRPr="00823521">
        <w:rPr>
          <w:rFonts w:ascii="Times New Roman" w:hAnsi="Times New Roman" w:cs="Times New Roman"/>
          <w:color w:val="000000"/>
        </w:rPr>
        <w:t xml:space="preserve"> n. 168 e, nello stesso senso, in epoca più recente</w:t>
      </w:r>
      <w:r>
        <w:rPr>
          <w:rFonts w:ascii="Times New Roman" w:hAnsi="Times New Roman" w:cs="Times New Roman"/>
          <w:color w:val="000000"/>
        </w:rPr>
        <w:t>, Cons. Stato, s</w:t>
      </w:r>
      <w:r w:rsidRPr="00823521">
        <w:rPr>
          <w:rFonts w:ascii="Times New Roman" w:hAnsi="Times New Roman" w:cs="Times New Roman"/>
          <w:color w:val="000000"/>
        </w:rPr>
        <w:t>ez. VI, 31 gennaio 2017</w:t>
      </w:r>
      <w:r w:rsidR="00B11404">
        <w:rPr>
          <w:rFonts w:ascii="Times New Roman" w:hAnsi="Times New Roman" w:cs="Times New Roman"/>
          <w:color w:val="000000"/>
        </w:rPr>
        <w:t>,</w:t>
      </w:r>
      <w:r w:rsidRPr="00823521">
        <w:rPr>
          <w:rFonts w:ascii="Times New Roman" w:hAnsi="Times New Roman" w:cs="Times New Roman"/>
          <w:color w:val="000000"/>
        </w:rPr>
        <w:t xml:space="preserve"> n. 394</w:t>
      </w:r>
      <w:r>
        <w:rPr>
          <w:rFonts w:ascii="Times New Roman" w:hAnsi="Times New Roman" w:cs="Times New Roman"/>
          <w:color w:val="000000"/>
        </w:rPr>
        <w:t>), segnalando l'esigenza di un’</w:t>
      </w:r>
      <w:r w:rsidRPr="00823521">
        <w:rPr>
          <w:rFonts w:ascii="Times New Roman" w:hAnsi="Times New Roman" w:cs="Times New Roman"/>
          <w:color w:val="000000"/>
        </w:rPr>
        <w:t>effettiva e adeguata pubblicità per aprire il confronto concorrenziale su un ampio ventaglio di offerte (cfr.</w:t>
      </w:r>
      <w:r>
        <w:rPr>
          <w:rFonts w:ascii="Times New Roman" w:hAnsi="Times New Roman" w:cs="Times New Roman"/>
          <w:color w:val="000000"/>
        </w:rPr>
        <w:t>, in epoca ancora antecedente e in via generale, Cons. Stato, s</w:t>
      </w:r>
      <w:r w:rsidRPr="00823521">
        <w:rPr>
          <w:rFonts w:ascii="Times New Roman" w:hAnsi="Times New Roman" w:cs="Times New Roman"/>
          <w:color w:val="000000"/>
        </w:rPr>
        <w:t>ez. VI, 15 febbraio 2002</w:t>
      </w:r>
      <w:r>
        <w:rPr>
          <w:rFonts w:ascii="Times New Roman" w:hAnsi="Times New Roman" w:cs="Times New Roman"/>
          <w:color w:val="000000"/>
        </w:rPr>
        <w:t>,</w:t>
      </w:r>
      <w:r w:rsidRPr="00823521">
        <w:rPr>
          <w:rFonts w:ascii="Times New Roman" w:hAnsi="Times New Roman" w:cs="Times New Roman"/>
          <w:color w:val="000000"/>
        </w:rPr>
        <w:t xml:space="preserve"> n. 934).</w:t>
      </w:r>
    </w:p>
  </w:footnote>
  <w:footnote w:id="8">
    <w:p w:rsidR="00623692" w:rsidRPr="00623692" w:rsidRDefault="00623692" w:rsidP="00623692">
      <w:pPr>
        <w:pStyle w:val="Testonotaapidipagina"/>
        <w:jc w:val="both"/>
        <w:rPr>
          <w:rFonts w:ascii="Times New Roman" w:hAnsi="Times New Roman" w:cs="Times New Roman"/>
        </w:rPr>
      </w:pPr>
      <w:r w:rsidRPr="00623692">
        <w:rPr>
          <w:rStyle w:val="Rimandonotaapidipagina"/>
          <w:rFonts w:ascii="Times New Roman" w:hAnsi="Times New Roman" w:cs="Times New Roman"/>
        </w:rPr>
        <w:footnoteRef/>
      </w:r>
      <w:r w:rsidRPr="00623692">
        <w:rPr>
          <w:rFonts w:ascii="Times New Roman" w:hAnsi="Times New Roman" w:cs="Times New Roman"/>
        </w:rPr>
        <w:t xml:space="preserve"> Segnalazione dell’Anac </w:t>
      </w:r>
      <w:r w:rsidR="00DE2502">
        <w:rPr>
          <w:rFonts w:ascii="Times New Roman" w:hAnsi="Times New Roman" w:cs="Times New Roman"/>
        </w:rPr>
        <w:t>n. 4 del 6 settembre 2022.</w:t>
      </w:r>
    </w:p>
  </w:footnote>
  <w:footnote w:id="9">
    <w:p w:rsidR="00DE2502" w:rsidRPr="00DE2502" w:rsidRDefault="00DE2502" w:rsidP="00DE2502">
      <w:pPr>
        <w:pStyle w:val="Testonotaapidipagina"/>
        <w:jc w:val="both"/>
        <w:rPr>
          <w:rFonts w:ascii="Times New Roman" w:hAnsi="Times New Roman" w:cs="Times New Roman"/>
        </w:rPr>
      </w:pPr>
      <w:r>
        <w:rPr>
          <w:rStyle w:val="Rimandonotaapidipagina"/>
        </w:rPr>
        <w:footnoteRef/>
      </w:r>
      <w:r>
        <w:t xml:space="preserve"> </w:t>
      </w:r>
      <w:r w:rsidRPr="00DE2502">
        <w:rPr>
          <w:rFonts w:ascii="Times New Roman" w:hAnsi="Times New Roman" w:cs="Times New Roman"/>
        </w:rPr>
        <w:t xml:space="preserve">Secondo </w:t>
      </w:r>
      <w:r w:rsidR="00F94206">
        <w:rPr>
          <w:rFonts w:ascii="Times New Roman" w:hAnsi="Times New Roman" w:cs="Times New Roman"/>
        </w:rPr>
        <w:t>l’art. 49 del cod. nav.,</w:t>
      </w:r>
      <w:r w:rsidRPr="00DE2502">
        <w:rPr>
          <w:rFonts w:ascii="Times New Roman" w:hAnsi="Times New Roman" w:cs="Times New Roman"/>
        </w:rPr>
        <w:t xml:space="preserve"> “</w:t>
      </w:r>
      <w:r w:rsidRPr="00DE2502">
        <w:rPr>
          <w:rFonts w:ascii="Times New Roman" w:hAnsi="Times New Roman" w:cs="Times New Roman"/>
          <w:i/>
        </w:rPr>
        <w:t>Salvo che sia diversamente stabilito nell'atto di concessione, quando venga a cessare la concessione, le opere non amovibili, costruite sulla zona demaniale, restano acquisite allo Stato, senza alcun compenso o rimborso, salva la facoltà dell'autorità concedente di ordinarne la demolizione con la restituzione del bene demaniale nel pristino stato</w:t>
      </w:r>
      <w:r w:rsidRPr="00DE2502">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0F51" w:rsidRDefault="00B80F51">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0F51" w:rsidRDefault="00B80F51">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0F51" w:rsidRDefault="00B80F51">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31F7"/>
    <w:rsid w:val="0000341A"/>
    <w:rsid w:val="00017E6E"/>
    <w:rsid w:val="000278C0"/>
    <w:rsid w:val="000376BA"/>
    <w:rsid w:val="0004238C"/>
    <w:rsid w:val="000428E0"/>
    <w:rsid w:val="00053728"/>
    <w:rsid w:val="00060D27"/>
    <w:rsid w:val="00061334"/>
    <w:rsid w:val="00064717"/>
    <w:rsid w:val="000C1AD1"/>
    <w:rsid w:val="000C2E72"/>
    <w:rsid w:val="000D01D7"/>
    <w:rsid w:val="000D0D1F"/>
    <w:rsid w:val="000D0D42"/>
    <w:rsid w:val="000E19B6"/>
    <w:rsid w:val="000E3CC5"/>
    <w:rsid w:val="000E6FE2"/>
    <w:rsid w:val="00117B15"/>
    <w:rsid w:val="001200F6"/>
    <w:rsid w:val="00125F80"/>
    <w:rsid w:val="001300E7"/>
    <w:rsid w:val="00151762"/>
    <w:rsid w:val="00154A44"/>
    <w:rsid w:val="00172D5E"/>
    <w:rsid w:val="001A0157"/>
    <w:rsid w:val="001A5EAB"/>
    <w:rsid w:val="001B3E59"/>
    <w:rsid w:val="001C4226"/>
    <w:rsid w:val="001C47B4"/>
    <w:rsid w:val="001C62F9"/>
    <w:rsid w:val="001C78DB"/>
    <w:rsid w:val="001E3526"/>
    <w:rsid w:val="001E4F01"/>
    <w:rsid w:val="001E5FAE"/>
    <w:rsid w:val="001F7639"/>
    <w:rsid w:val="00207389"/>
    <w:rsid w:val="00221E74"/>
    <w:rsid w:val="00223DA1"/>
    <w:rsid w:val="002350F7"/>
    <w:rsid w:val="002376E3"/>
    <w:rsid w:val="00242C4B"/>
    <w:rsid w:val="0024526E"/>
    <w:rsid w:val="00260DE1"/>
    <w:rsid w:val="00266D19"/>
    <w:rsid w:val="002746D0"/>
    <w:rsid w:val="00280B2E"/>
    <w:rsid w:val="0029040A"/>
    <w:rsid w:val="0029275C"/>
    <w:rsid w:val="00295B1C"/>
    <w:rsid w:val="002A5EB1"/>
    <w:rsid w:val="002B4BBB"/>
    <w:rsid w:val="002B6DDA"/>
    <w:rsid w:val="002C0D43"/>
    <w:rsid w:val="002D1CDD"/>
    <w:rsid w:val="002D2B0C"/>
    <w:rsid w:val="00302773"/>
    <w:rsid w:val="00310209"/>
    <w:rsid w:val="00327DCB"/>
    <w:rsid w:val="00336B7C"/>
    <w:rsid w:val="00340F69"/>
    <w:rsid w:val="003510CF"/>
    <w:rsid w:val="00370F41"/>
    <w:rsid w:val="00371611"/>
    <w:rsid w:val="0037528D"/>
    <w:rsid w:val="003754F4"/>
    <w:rsid w:val="00397995"/>
    <w:rsid w:val="00397FE7"/>
    <w:rsid w:val="003A48B0"/>
    <w:rsid w:val="003A5028"/>
    <w:rsid w:val="003B3214"/>
    <w:rsid w:val="003B3314"/>
    <w:rsid w:val="003B64A1"/>
    <w:rsid w:val="003B7A91"/>
    <w:rsid w:val="003C3572"/>
    <w:rsid w:val="003D3A0C"/>
    <w:rsid w:val="003E000B"/>
    <w:rsid w:val="003E241F"/>
    <w:rsid w:val="003E2861"/>
    <w:rsid w:val="003E38FE"/>
    <w:rsid w:val="003F6E55"/>
    <w:rsid w:val="0040619E"/>
    <w:rsid w:val="00415DE5"/>
    <w:rsid w:val="00422E42"/>
    <w:rsid w:val="004708CF"/>
    <w:rsid w:val="00482F59"/>
    <w:rsid w:val="00493B85"/>
    <w:rsid w:val="004A649E"/>
    <w:rsid w:val="004B02CC"/>
    <w:rsid w:val="004B205E"/>
    <w:rsid w:val="004B252B"/>
    <w:rsid w:val="004B7E6B"/>
    <w:rsid w:val="004D27E9"/>
    <w:rsid w:val="004D4DD5"/>
    <w:rsid w:val="004F2EED"/>
    <w:rsid w:val="005027E1"/>
    <w:rsid w:val="00512816"/>
    <w:rsid w:val="00517F7A"/>
    <w:rsid w:val="00521554"/>
    <w:rsid w:val="00530449"/>
    <w:rsid w:val="00540041"/>
    <w:rsid w:val="005479F5"/>
    <w:rsid w:val="005561CE"/>
    <w:rsid w:val="00564652"/>
    <w:rsid w:val="005712A9"/>
    <w:rsid w:val="00594183"/>
    <w:rsid w:val="005B17F0"/>
    <w:rsid w:val="005D3439"/>
    <w:rsid w:val="005D42C9"/>
    <w:rsid w:val="005D47CF"/>
    <w:rsid w:val="005D5802"/>
    <w:rsid w:val="005D77CB"/>
    <w:rsid w:val="005F2A02"/>
    <w:rsid w:val="00600EF4"/>
    <w:rsid w:val="00601A23"/>
    <w:rsid w:val="00602189"/>
    <w:rsid w:val="006039E4"/>
    <w:rsid w:val="00604361"/>
    <w:rsid w:val="0061151E"/>
    <w:rsid w:val="00623692"/>
    <w:rsid w:val="00635121"/>
    <w:rsid w:val="0063572D"/>
    <w:rsid w:val="006738C7"/>
    <w:rsid w:val="006764FB"/>
    <w:rsid w:val="006A0D6A"/>
    <w:rsid w:val="006A294E"/>
    <w:rsid w:val="006A4353"/>
    <w:rsid w:val="006F6849"/>
    <w:rsid w:val="0070322E"/>
    <w:rsid w:val="00703795"/>
    <w:rsid w:val="0070598F"/>
    <w:rsid w:val="00707EDC"/>
    <w:rsid w:val="0071087E"/>
    <w:rsid w:val="0072186C"/>
    <w:rsid w:val="007327F8"/>
    <w:rsid w:val="00733C02"/>
    <w:rsid w:val="0074747C"/>
    <w:rsid w:val="00756B95"/>
    <w:rsid w:val="00757600"/>
    <w:rsid w:val="0076674E"/>
    <w:rsid w:val="00772A38"/>
    <w:rsid w:val="0078733D"/>
    <w:rsid w:val="00797C6E"/>
    <w:rsid w:val="007C270E"/>
    <w:rsid w:val="007D41BF"/>
    <w:rsid w:val="007D4CEF"/>
    <w:rsid w:val="007E50AE"/>
    <w:rsid w:val="008151FC"/>
    <w:rsid w:val="00823521"/>
    <w:rsid w:val="00836E87"/>
    <w:rsid w:val="0085282F"/>
    <w:rsid w:val="00865D67"/>
    <w:rsid w:val="0087115D"/>
    <w:rsid w:val="0089743A"/>
    <w:rsid w:val="008A508F"/>
    <w:rsid w:val="008B4B6E"/>
    <w:rsid w:val="008B7E3A"/>
    <w:rsid w:val="008B7F2C"/>
    <w:rsid w:val="008E0F17"/>
    <w:rsid w:val="008F2A52"/>
    <w:rsid w:val="00916E81"/>
    <w:rsid w:val="00921672"/>
    <w:rsid w:val="00926CC7"/>
    <w:rsid w:val="00933C65"/>
    <w:rsid w:val="00986E89"/>
    <w:rsid w:val="00991A2A"/>
    <w:rsid w:val="009931F7"/>
    <w:rsid w:val="009A2E71"/>
    <w:rsid w:val="009A5073"/>
    <w:rsid w:val="009D696D"/>
    <w:rsid w:val="009E1D47"/>
    <w:rsid w:val="009F1C8E"/>
    <w:rsid w:val="009F57D2"/>
    <w:rsid w:val="00A20275"/>
    <w:rsid w:val="00A32E22"/>
    <w:rsid w:val="00A34B11"/>
    <w:rsid w:val="00A56FF2"/>
    <w:rsid w:val="00A60F4C"/>
    <w:rsid w:val="00A62C33"/>
    <w:rsid w:val="00A64226"/>
    <w:rsid w:val="00A73DF2"/>
    <w:rsid w:val="00A80C69"/>
    <w:rsid w:val="00A83D19"/>
    <w:rsid w:val="00A87B36"/>
    <w:rsid w:val="00A927F4"/>
    <w:rsid w:val="00AB1F37"/>
    <w:rsid w:val="00AC737C"/>
    <w:rsid w:val="00B11404"/>
    <w:rsid w:val="00B201B8"/>
    <w:rsid w:val="00B26FF0"/>
    <w:rsid w:val="00B30067"/>
    <w:rsid w:val="00B3629C"/>
    <w:rsid w:val="00B46988"/>
    <w:rsid w:val="00B50FA0"/>
    <w:rsid w:val="00B60A0E"/>
    <w:rsid w:val="00B610F0"/>
    <w:rsid w:val="00B743DB"/>
    <w:rsid w:val="00B760FE"/>
    <w:rsid w:val="00B80F51"/>
    <w:rsid w:val="00B81987"/>
    <w:rsid w:val="00B877D6"/>
    <w:rsid w:val="00B93B9D"/>
    <w:rsid w:val="00B959EA"/>
    <w:rsid w:val="00BA3397"/>
    <w:rsid w:val="00BD6A75"/>
    <w:rsid w:val="00BF6C40"/>
    <w:rsid w:val="00BF73A1"/>
    <w:rsid w:val="00BF7B58"/>
    <w:rsid w:val="00C11F39"/>
    <w:rsid w:val="00C24968"/>
    <w:rsid w:val="00C34683"/>
    <w:rsid w:val="00C43721"/>
    <w:rsid w:val="00C452E3"/>
    <w:rsid w:val="00C52A84"/>
    <w:rsid w:val="00C741E2"/>
    <w:rsid w:val="00C77CDB"/>
    <w:rsid w:val="00C862AF"/>
    <w:rsid w:val="00C92AC9"/>
    <w:rsid w:val="00CA0A4B"/>
    <w:rsid w:val="00CA15DC"/>
    <w:rsid w:val="00CA4069"/>
    <w:rsid w:val="00CB0460"/>
    <w:rsid w:val="00CB0912"/>
    <w:rsid w:val="00CC78CE"/>
    <w:rsid w:val="00CF1247"/>
    <w:rsid w:val="00D0127E"/>
    <w:rsid w:val="00D05778"/>
    <w:rsid w:val="00D1210F"/>
    <w:rsid w:val="00D24AB3"/>
    <w:rsid w:val="00D4334D"/>
    <w:rsid w:val="00D77A8C"/>
    <w:rsid w:val="00D77CE0"/>
    <w:rsid w:val="00D82C5C"/>
    <w:rsid w:val="00D964D0"/>
    <w:rsid w:val="00DA275D"/>
    <w:rsid w:val="00DA6E5E"/>
    <w:rsid w:val="00DB4A14"/>
    <w:rsid w:val="00DB535D"/>
    <w:rsid w:val="00DB7F31"/>
    <w:rsid w:val="00DC1E06"/>
    <w:rsid w:val="00DC1F5B"/>
    <w:rsid w:val="00DE2502"/>
    <w:rsid w:val="00DF0570"/>
    <w:rsid w:val="00DF619C"/>
    <w:rsid w:val="00E02522"/>
    <w:rsid w:val="00E362C2"/>
    <w:rsid w:val="00E441E4"/>
    <w:rsid w:val="00E474B3"/>
    <w:rsid w:val="00E63BB5"/>
    <w:rsid w:val="00E724E7"/>
    <w:rsid w:val="00E842AB"/>
    <w:rsid w:val="00E971D6"/>
    <w:rsid w:val="00EA35E6"/>
    <w:rsid w:val="00EC2F4A"/>
    <w:rsid w:val="00EF078E"/>
    <w:rsid w:val="00F042D3"/>
    <w:rsid w:val="00F04518"/>
    <w:rsid w:val="00F146E1"/>
    <w:rsid w:val="00F146FE"/>
    <w:rsid w:val="00F25A2A"/>
    <w:rsid w:val="00F271A0"/>
    <w:rsid w:val="00F345B5"/>
    <w:rsid w:val="00F548B9"/>
    <w:rsid w:val="00F94206"/>
    <w:rsid w:val="00FA3BC6"/>
    <w:rsid w:val="00FD2F5C"/>
    <w:rsid w:val="00FE7583"/>
    <w:rsid w:val="00FF303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550BB2"/>
  <w15:chartTrackingRefBased/>
  <w15:docId w15:val="{A5F9DE3E-5885-4BB2-85A1-74AF40206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A20275"/>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CA15DC"/>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CA15DC"/>
  </w:style>
  <w:style w:type="paragraph" w:styleId="Pidipagina">
    <w:name w:val="footer"/>
    <w:basedOn w:val="Normale"/>
    <w:link w:val="PidipaginaCarattere"/>
    <w:uiPriority w:val="99"/>
    <w:unhideWhenUsed/>
    <w:rsid w:val="00CA15DC"/>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CA15DC"/>
  </w:style>
  <w:style w:type="paragraph" w:styleId="Testofumetto">
    <w:name w:val="Balloon Text"/>
    <w:basedOn w:val="Normale"/>
    <w:link w:val="TestofumettoCarattere"/>
    <w:uiPriority w:val="99"/>
    <w:semiHidden/>
    <w:unhideWhenUsed/>
    <w:rsid w:val="00266D19"/>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266D19"/>
    <w:rPr>
      <w:rFonts w:ascii="Segoe UI" w:hAnsi="Segoe UI" w:cs="Segoe UI"/>
      <w:sz w:val="18"/>
      <w:szCs w:val="18"/>
    </w:rPr>
  </w:style>
  <w:style w:type="character" w:styleId="Collegamentoipertestuale">
    <w:name w:val="Hyperlink"/>
    <w:basedOn w:val="Carpredefinitoparagrafo"/>
    <w:uiPriority w:val="99"/>
    <w:unhideWhenUsed/>
    <w:rsid w:val="00A32E22"/>
    <w:rPr>
      <w:color w:val="0563C1" w:themeColor="hyperlink"/>
      <w:u w:val="single"/>
    </w:rPr>
  </w:style>
  <w:style w:type="paragraph" w:styleId="Testonotaapidipagina">
    <w:name w:val="footnote text"/>
    <w:basedOn w:val="Normale"/>
    <w:link w:val="TestonotaapidipaginaCarattere"/>
    <w:uiPriority w:val="99"/>
    <w:semiHidden/>
    <w:unhideWhenUsed/>
    <w:rsid w:val="009A2E71"/>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9A2E71"/>
    <w:rPr>
      <w:sz w:val="20"/>
      <w:szCs w:val="20"/>
    </w:rPr>
  </w:style>
  <w:style w:type="character" w:styleId="Rimandonotaapidipagina">
    <w:name w:val="footnote reference"/>
    <w:basedOn w:val="Carpredefinitoparagrafo"/>
    <w:uiPriority w:val="99"/>
    <w:semiHidden/>
    <w:unhideWhenUsed/>
    <w:rsid w:val="009A2E7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7331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2E8D60-0697-44C0-B09A-C77DEE7B5C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5955</Words>
  <Characters>33946</Characters>
  <Application>Microsoft Office Word</Application>
  <DocSecurity>0</DocSecurity>
  <Lines>282</Lines>
  <Paragraphs>79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39822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VOLPE Carmine</dc:creator>
  <cp:keywords/>
  <dc:description/>
  <cp:lastModifiedBy>FERRARI Giulia</cp:lastModifiedBy>
  <cp:revision>3</cp:revision>
  <cp:lastPrinted>2022-11-18T21:15:00Z</cp:lastPrinted>
  <dcterms:created xsi:type="dcterms:W3CDTF">2022-11-21T18:56:00Z</dcterms:created>
  <dcterms:modified xsi:type="dcterms:W3CDTF">2022-11-21T18:57:00Z</dcterms:modified>
</cp:coreProperties>
</file>