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DEE" w:rsidRPr="00487D59" w:rsidRDefault="00FB1DEE" w:rsidP="00AE7C56">
      <w:pPr>
        <w:pStyle w:val="Nessunaspaziatura"/>
        <w:jc w:val="center"/>
        <w:rPr>
          <w:rFonts w:ascii="Times New Roman" w:hAnsi="Times New Roman" w:cs="Times New Roman"/>
          <w:b/>
          <w:sz w:val="32"/>
          <w:szCs w:val="32"/>
        </w:rPr>
      </w:pPr>
      <w:proofErr w:type="spellStart"/>
      <w:r w:rsidRPr="00487D59">
        <w:rPr>
          <w:rFonts w:ascii="Times New Roman" w:hAnsi="Times New Roman" w:cs="Times New Roman"/>
          <w:b/>
          <w:i/>
          <w:sz w:val="32"/>
          <w:szCs w:val="32"/>
        </w:rPr>
        <w:t>Prospective</w:t>
      </w:r>
      <w:proofErr w:type="spellEnd"/>
      <w:r w:rsidRPr="00487D59">
        <w:rPr>
          <w:rFonts w:ascii="Times New Roman" w:hAnsi="Times New Roman" w:cs="Times New Roman"/>
          <w:b/>
          <w:i/>
          <w:sz w:val="32"/>
          <w:szCs w:val="32"/>
        </w:rPr>
        <w:t xml:space="preserve"> </w:t>
      </w:r>
      <w:proofErr w:type="spellStart"/>
      <w:r w:rsidRPr="00487D59">
        <w:rPr>
          <w:rFonts w:ascii="Times New Roman" w:hAnsi="Times New Roman" w:cs="Times New Roman"/>
          <w:b/>
          <w:i/>
          <w:sz w:val="32"/>
          <w:szCs w:val="32"/>
        </w:rPr>
        <w:t>overruling</w:t>
      </w:r>
      <w:proofErr w:type="spellEnd"/>
      <w:r w:rsidRPr="00487D59">
        <w:rPr>
          <w:rFonts w:ascii="Times New Roman" w:hAnsi="Times New Roman" w:cs="Times New Roman"/>
          <w:b/>
          <w:sz w:val="32"/>
          <w:szCs w:val="32"/>
        </w:rPr>
        <w:t>, tra tutela del privato e certezza del diritto</w:t>
      </w:r>
    </w:p>
    <w:p w:rsidR="00FB1DEE" w:rsidRPr="00821EDE" w:rsidRDefault="00FB1DEE" w:rsidP="00AE7C56">
      <w:pPr>
        <w:pStyle w:val="Nessunaspaziatura"/>
        <w:jc w:val="center"/>
        <w:rPr>
          <w:rFonts w:ascii="Times New Roman" w:hAnsi="Times New Roman" w:cs="Times New Roman"/>
          <w:b/>
          <w:sz w:val="24"/>
          <w:szCs w:val="24"/>
        </w:rPr>
      </w:pPr>
      <w:r w:rsidRPr="00487D59">
        <w:rPr>
          <w:rFonts w:ascii="Times New Roman" w:hAnsi="Times New Roman" w:cs="Times New Roman"/>
          <w:sz w:val="24"/>
          <w:szCs w:val="24"/>
        </w:rPr>
        <w:t xml:space="preserve">Nota a </w:t>
      </w:r>
      <w:hyperlink r:id="rId8" w:history="1">
        <w:r w:rsidRPr="00583823">
          <w:rPr>
            <w:rStyle w:val="Collegamentoipertestuale"/>
            <w:rFonts w:ascii="Times New Roman" w:hAnsi="Times New Roman" w:cs="Times New Roman"/>
            <w:sz w:val="24"/>
            <w:szCs w:val="24"/>
          </w:rPr>
          <w:t xml:space="preserve">Consiglio di Stato, </w:t>
        </w:r>
        <w:r w:rsidR="00553783" w:rsidRPr="00583823">
          <w:rPr>
            <w:rStyle w:val="Collegamentoipertestuale"/>
            <w:rFonts w:ascii="Times New Roman" w:hAnsi="Times New Roman" w:cs="Times New Roman"/>
            <w:sz w:val="24"/>
            <w:szCs w:val="24"/>
          </w:rPr>
          <w:t xml:space="preserve">26 luglio </w:t>
        </w:r>
        <w:r w:rsidRPr="00583823">
          <w:rPr>
            <w:rStyle w:val="Collegamentoipertestuale"/>
            <w:rFonts w:ascii="Times New Roman" w:hAnsi="Times New Roman" w:cs="Times New Roman"/>
            <w:sz w:val="24"/>
            <w:szCs w:val="24"/>
          </w:rPr>
          <w:t>2021, n. 5556</w:t>
        </w:r>
      </w:hyperlink>
      <w:r w:rsidRPr="00821EDE">
        <w:rPr>
          <w:rStyle w:val="Rimandonotaapidipagina"/>
          <w:rFonts w:ascii="Times New Roman" w:hAnsi="Times New Roman" w:cs="Times New Roman"/>
          <w:b/>
          <w:sz w:val="24"/>
          <w:szCs w:val="24"/>
        </w:rPr>
        <w:footnoteReference w:id="1"/>
      </w:r>
    </w:p>
    <w:p w:rsidR="00FB1DEE" w:rsidRPr="00821EDE" w:rsidRDefault="00FB1DEE" w:rsidP="00AE7C56">
      <w:pPr>
        <w:pStyle w:val="Nessunaspaziatura"/>
        <w:jc w:val="both"/>
        <w:rPr>
          <w:rFonts w:ascii="Times New Roman" w:hAnsi="Times New Roman" w:cs="Times New Roman"/>
          <w:sz w:val="24"/>
          <w:szCs w:val="24"/>
        </w:rPr>
      </w:pPr>
    </w:p>
    <w:p w:rsidR="00FB1DEE" w:rsidRPr="00821EDE" w:rsidRDefault="00FB1DEE" w:rsidP="00553783">
      <w:pPr>
        <w:pStyle w:val="Paragrafoelenco"/>
        <w:numPr>
          <w:ilvl w:val="0"/>
          <w:numId w:val="1"/>
        </w:numPr>
        <w:spacing w:line="240" w:lineRule="auto"/>
        <w:jc w:val="both"/>
        <w:rPr>
          <w:rFonts w:ascii="Times New Roman" w:hAnsi="Times New Roman" w:cs="Times New Roman"/>
          <w:b/>
          <w:sz w:val="24"/>
          <w:szCs w:val="24"/>
        </w:rPr>
      </w:pPr>
      <w:r w:rsidRPr="00821EDE">
        <w:rPr>
          <w:rFonts w:ascii="Times New Roman" w:hAnsi="Times New Roman" w:cs="Times New Roman"/>
          <w:b/>
          <w:sz w:val="24"/>
          <w:szCs w:val="24"/>
        </w:rPr>
        <w:t xml:space="preserve">Premessa - 2. </w:t>
      </w:r>
      <w:r w:rsidR="009C0B3D" w:rsidRPr="007B3498">
        <w:rPr>
          <w:rFonts w:ascii="Times New Roman" w:hAnsi="Times New Roman" w:cs="Times New Roman"/>
          <w:b/>
          <w:sz w:val="24"/>
          <w:szCs w:val="24"/>
        </w:rPr>
        <w:t>Il ruolo del precedente nella Giustizia italiana</w:t>
      </w:r>
      <w:r w:rsidR="009C0B3D" w:rsidRPr="00821EDE">
        <w:rPr>
          <w:rFonts w:ascii="Times New Roman" w:hAnsi="Times New Roman" w:cs="Times New Roman"/>
          <w:b/>
          <w:sz w:val="24"/>
          <w:szCs w:val="24"/>
        </w:rPr>
        <w:t xml:space="preserve"> </w:t>
      </w:r>
      <w:r w:rsidR="009C0B3D">
        <w:rPr>
          <w:rFonts w:ascii="Times New Roman" w:hAnsi="Times New Roman" w:cs="Times New Roman"/>
          <w:b/>
          <w:sz w:val="24"/>
          <w:szCs w:val="24"/>
        </w:rPr>
        <w:t xml:space="preserve">3. </w:t>
      </w:r>
      <w:proofErr w:type="spellStart"/>
      <w:r w:rsidRPr="0037650B">
        <w:rPr>
          <w:rFonts w:ascii="Times New Roman" w:hAnsi="Times New Roman" w:cs="Times New Roman"/>
          <w:b/>
          <w:i/>
          <w:sz w:val="24"/>
          <w:szCs w:val="24"/>
        </w:rPr>
        <w:t>Overruling</w:t>
      </w:r>
      <w:proofErr w:type="spellEnd"/>
      <w:r w:rsidRPr="00821EDE">
        <w:rPr>
          <w:rFonts w:ascii="Times New Roman" w:hAnsi="Times New Roman" w:cs="Times New Roman"/>
          <w:b/>
          <w:sz w:val="24"/>
          <w:szCs w:val="24"/>
        </w:rPr>
        <w:t xml:space="preserve">: lo stato dell’arte - </w:t>
      </w:r>
      <w:r w:rsidR="009C0B3D">
        <w:rPr>
          <w:rFonts w:ascii="Times New Roman" w:hAnsi="Times New Roman" w:cs="Times New Roman"/>
          <w:b/>
          <w:sz w:val="24"/>
          <w:szCs w:val="24"/>
        </w:rPr>
        <w:t>4</w:t>
      </w:r>
      <w:r w:rsidRPr="00821EDE">
        <w:rPr>
          <w:rFonts w:ascii="Times New Roman" w:hAnsi="Times New Roman" w:cs="Times New Roman"/>
          <w:b/>
          <w:sz w:val="24"/>
          <w:szCs w:val="24"/>
        </w:rPr>
        <w:t xml:space="preserve">. La </w:t>
      </w:r>
      <w:hyperlink r:id="rId9" w:history="1">
        <w:r w:rsidR="00A03610" w:rsidRPr="00583823">
          <w:rPr>
            <w:rStyle w:val="Collegamentoipertestuale"/>
            <w:rFonts w:ascii="Times New Roman" w:hAnsi="Times New Roman" w:cs="Times New Roman"/>
            <w:b/>
            <w:sz w:val="24"/>
            <w:szCs w:val="24"/>
          </w:rPr>
          <w:t xml:space="preserve">Sentenza </w:t>
        </w:r>
        <w:r w:rsidR="00553783" w:rsidRPr="00583823">
          <w:rPr>
            <w:rStyle w:val="Collegamentoipertestuale"/>
            <w:rFonts w:ascii="Times New Roman" w:hAnsi="Times New Roman" w:cs="Times New Roman"/>
            <w:b/>
            <w:sz w:val="24"/>
            <w:szCs w:val="24"/>
          </w:rPr>
          <w:t xml:space="preserve">26 luglio </w:t>
        </w:r>
        <w:r w:rsidR="00A03610" w:rsidRPr="00583823">
          <w:rPr>
            <w:rStyle w:val="Collegamentoipertestuale"/>
            <w:rFonts w:ascii="Times New Roman" w:hAnsi="Times New Roman" w:cs="Times New Roman"/>
            <w:b/>
            <w:sz w:val="24"/>
            <w:szCs w:val="24"/>
          </w:rPr>
          <w:t xml:space="preserve">2021, n. 5556, </w:t>
        </w:r>
        <w:r w:rsidRPr="00583823">
          <w:rPr>
            <w:rStyle w:val="Collegamentoipertestuale"/>
            <w:rFonts w:ascii="Times New Roman" w:hAnsi="Times New Roman" w:cs="Times New Roman"/>
            <w:b/>
            <w:sz w:val="24"/>
            <w:szCs w:val="24"/>
          </w:rPr>
          <w:t>Consiglio di Stato</w:t>
        </w:r>
      </w:hyperlink>
      <w:r w:rsidRPr="00821EDE">
        <w:rPr>
          <w:rFonts w:ascii="Times New Roman" w:hAnsi="Times New Roman" w:cs="Times New Roman"/>
          <w:b/>
          <w:sz w:val="24"/>
          <w:szCs w:val="24"/>
        </w:rPr>
        <w:t xml:space="preserve"> - </w:t>
      </w:r>
      <w:r w:rsidR="009C0B3D">
        <w:rPr>
          <w:rFonts w:ascii="Times New Roman" w:hAnsi="Times New Roman" w:cs="Times New Roman"/>
          <w:b/>
          <w:sz w:val="24"/>
          <w:szCs w:val="24"/>
        </w:rPr>
        <w:t>5</w:t>
      </w:r>
      <w:r w:rsidRPr="00821EDE">
        <w:rPr>
          <w:rFonts w:ascii="Times New Roman" w:hAnsi="Times New Roman" w:cs="Times New Roman"/>
          <w:b/>
          <w:sz w:val="24"/>
          <w:szCs w:val="24"/>
        </w:rPr>
        <w:t>. Conclusioni</w:t>
      </w:r>
    </w:p>
    <w:p w:rsidR="00FB1DEE" w:rsidRPr="00821EDE" w:rsidRDefault="00FB1DEE" w:rsidP="00AE7C56">
      <w:pPr>
        <w:pStyle w:val="Paragrafoelenco"/>
        <w:spacing w:line="240" w:lineRule="auto"/>
        <w:jc w:val="both"/>
        <w:rPr>
          <w:rFonts w:ascii="Times New Roman" w:hAnsi="Times New Roman" w:cs="Times New Roman"/>
          <w:b/>
          <w:sz w:val="24"/>
          <w:szCs w:val="24"/>
        </w:rPr>
      </w:pPr>
    </w:p>
    <w:p w:rsidR="00FB1DEE" w:rsidRPr="00821EDE" w:rsidRDefault="00FB1DEE" w:rsidP="00AE7C56">
      <w:pPr>
        <w:pStyle w:val="Paragrafoelenco"/>
        <w:numPr>
          <w:ilvl w:val="0"/>
          <w:numId w:val="2"/>
        </w:numPr>
        <w:spacing w:line="240" w:lineRule="auto"/>
        <w:jc w:val="both"/>
        <w:rPr>
          <w:rFonts w:ascii="Times New Roman" w:hAnsi="Times New Roman" w:cs="Times New Roman"/>
          <w:sz w:val="24"/>
          <w:szCs w:val="24"/>
        </w:rPr>
      </w:pPr>
      <w:r w:rsidRPr="00821EDE">
        <w:rPr>
          <w:rFonts w:ascii="Times New Roman" w:hAnsi="Times New Roman" w:cs="Times New Roman"/>
          <w:sz w:val="24"/>
          <w:szCs w:val="24"/>
        </w:rPr>
        <w:t>Premessa</w:t>
      </w:r>
    </w:p>
    <w:p w:rsidR="00FB1DEE" w:rsidRPr="00DE5B1C" w:rsidRDefault="00FB1DEE" w:rsidP="00AA33ED">
      <w:pPr>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La VI sezione del Consiglio di Stato si è recentemente pronunc</w:t>
      </w:r>
      <w:r w:rsidR="00724DD1" w:rsidRPr="00821EDE">
        <w:rPr>
          <w:rFonts w:ascii="Times New Roman" w:hAnsi="Times New Roman" w:cs="Times New Roman"/>
          <w:sz w:val="24"/>
          <w:szCs w:val="24"/>
        </w:rPr>
        <w:t>i</w:t>
      </w:r>
      <w:r w:rsidRPr="00821EDE">
        <w:rPr>
          <w:rFonts w:ascii="Times New Roman" w:hAnsi="Times New Roman" w:cs="Times New Roman"/>
          <w:sz w:val="24"/>
          <w:szCs w:val="24"/>
        </w:rPr>
        <w:t>ata su un tema estremamente dibattuto tra gli interpreti che chiama in causa principi fondamentali dell’ordinamento interno e sovrannazionale e che impatta nel rapporto tra cittadino e pubblica amministrazione,</w:t>
      </w:r>
      <w:r w:rsidR="00821EDE">
        <w:rPr>
          <w:rFonts w:ascii="Times New Roman" w:hAnsi="Times New Roman" w:cs="Times New Roman"/>
          <w:sz w:val="24"/>
          <w:szCs w:val="24"/>
        </w:rPr>
        <w:t xml:space="preserve"> nella prospettiva del</w:t>
      </w:r>
      <w:r w:rsidRPr="00821EDE">
        <w:rPr>
          <w:rFonts w:ascii="Times New Roman" w:hAnsi="Times New Roman" w:cs="Times New Roman"/>
          <w:sz w:val="24"/>
          <w:szCs w:val="24"/>
        </w:rPr>
        <w:t xml:space="preserve"> legittimo affidamento e </w:t>
      </w:r>
      <w:r w:rsidR="00822031">
        <w:rPr>
          <w:rFonts w:ascii="Times New Roman" w:hAnsi="Times New Roman" w:cs="Times New Roman"/>
          <w:sz w:val="24"/>
          <w:szCs w:val="24"/>
        </w:rPr>
        <w:t xml:space="preserve">della </w:t>
      </w:r>
      <w:r w:rsidR="00DE5B1C">
        <w:rPr>
          <w:rFonts w:ascii="Times New Roman" w:hAnsi="Times New Roman" w:cs="Times New Roman"/>
          <w:sz w:val="24"/>
          <w:szCs w:val="24"/>
        </w:rPr>
        <w:t xml:space="preserve">certezza del diritto: </w:t>
      </w:r>
      <w:r w:rsidR="00CC1AEC">
        <w:rPr>
          <w:rFonts w:ascii="Times New Roman" w:hAnsi="Times New Roman" w:cs="Times New Roman"/>
          <w:sz w:val="24"/>
          <w:szCs w:val="24"/>
        </w:rPr>
        <w:t xml:space="preserve">applicabilità del </w:t>
      </w:r>
      <w:proofErr w:type="spellStart"/>
      <w:r w:rsidR="00DE5B1C" w:rsidRPr="00DE5B1C">
        <w:rPr>
          <w:rFonts w:ascii="Times New Roman" w:hAnsi="Times New Roman" w:cs="Times New Roman"/>
          <w:i/>
          <w:sz w:val="24"/>
          <w:szCs w:val="24"/>
        </w:rPr>
        <w:t>prospective</w:t>
      </w:r>
      <w:proofErr w:type="spellEnd"/>
      <w:r w:rsidR="00DE5B1C" w:rsidRPr="00DE5B1C">
        <w:rPr>
          <w:rFonts w:ascii="Times New Roman" w:hAnsi="Times New Roman" w:cs="Times New Roman"/>
          <w:i/>
          <w:sz w:val="24"/>
          <w:szCs w:val="24"/>
        </w:rPr>
        <w:t xml:space="preserve"> </w:t>
      </w:r>
      <w:proofErr w:type="spellStart"/>
      <w:r w:rsidR="00DE5B1C" w:rsidRPr="00DE5B1C">
        <w:rPr>
          <w:rFonts w:ascii="Times New Roman" w:hAnsi="Times New Roman" w:cs="Times New Roman"/>
          <w:i/>
          <w:sz w:val="24"/>
          <w:szCs w:val="24"/>
        </w:rPr>
        <w:t>overruling</w:t>
      </w:r>
      <w:proofErr w:type="spellEnd"/>
      <w:r w:rsidR="00DE5B1C">
        <w:rPr>
          <w:rFonts w:ascii="Times New Roman" w:hAnsi="Times New Roman" w:cs="Times New Roman"/>
          <w:i/>
          <w:sz w:val="24"/>
          <w:szCs w:val="24"/>
        </w:rPr>
        <w:t xml:space="preserve"> </w:t>
      </w:r>
      <w:r w:rsidR="00CC1AEC">
        <w:rPr>
          <w:rFonts w:ascii="Times New Roman" w:hAnsi="Times New Roman" w:cs="Times New Roman"/>
          <w:sz w:val="24"/>
          <w:szCs w:val="24"/>
        </w:rPr>
        <w:t>al caso dei</w:t>
      </w:r>
      <w:r w:rsidR="00DE5B1C">
        <w:rPr>
          <w:rFonts w:ascii="Times New Roman" w:hAnsi="Times New Roman" w:cs="Times New Roman"/>
          <w:sz w:val="24"/>
          <w:szCs w:val="24"/>
        </w:rPr>
        <w:t xml:space="preserve"> titolari di diploma </w:t>
      </w:r>
      <w:r w:rsidR="00DE5B1C">
        <w:rPr>
          <w:rFonts w:ascii="Garamond" w:hAnsi="Garamond"/>
          <w:color w:val="000000"/>
          <w:sz w:val="30"/>
          <w:szCs w:val="30"/>
        </w:rPr>
        <w:t xml:space="preserve">di </w:t>
      </w:r>
      <w:r w:rsidR="00DE5B1C" w:rsidRPr="0082748E">
        <w:rPr>
          <w:rFonts w:ascii="Times New Roman" w:hAnsi="Times New Roman" w:cs="Times New Roman"/>
          <w:sz w:val="24"/>
          <w:szCs w:val="24"/>
        </w:rPr>
        <w:t>maturità magistrale conseguito entro l’anno scolastico 2001/2002</w:t>
      </w:r>
      <w:r w:rsidR="00DE5B1C">
        <w:rPr>
          <w:rFonts w:ascii="Times New Roman" w:hAnsi="Times New Roman" w:cs="Times New Roman"/>
          <w:sz w:val="24"/>
          <w:szCs w:val="24"/>
        </w:rPr>
        <w:t xml:space="preserve"> che lamentavano l’esclusione dalle graduatorie ad esaurimento in ambito scolastico.</w:t>
      </w:r>
      <w:r w:rsidR="00CC1AEC">
        <w:rPr>
          <w:rFonts w:ascii="Times New Roman" w:hAnsi="Times New Roman" w:cs="Times New Roman"/>
          <w:sz w:val="24"/>
          <w:szCs w:val="24"/>
        </w:rPr>
        <w:t xml:space="preserve"> Obiettivo del contributo è quello di indagare l’istituto del </w:t>
      </w:r>
      <w:proofErr w:type="spellStart"/>
      <w:r w:rsidR="00CC1AEC" w:rsidRPr="00CC1AEC">
        <w:rPr>
          <w:rFonts w:ascii="Times New Roman" w:hAnsi="Times New Roman" w:cs="Times New Roman"/>
          <w:i/>
          <w:sz w:val="24"/>
          <w:szCs w:val="24"/>
        </w:rPr>
        <w:t>prospective</w:t>
      </w:r>
      <w:proofErr w:type="spellEnd"/>
      <w:r w:rsidR="00CC1AEC" w:rsidRPr="00CC1AEC">
        <w:rPr>
          <w:rFonts w:ascii="Times New Roman" w:hAnsi="Times New Roman" w:cs="Times New Roman"/>
          <w:i/>
          <w:sz w:val="24"/>
          <w:szCs w:val="24"/>
        </w:rPr>
        <w:t xml:space="preserve"> </w:t>
      </w:r>
      <w:proofErr w:type="spellStart"/>
      <w:r w:rsidR="00CC1AEC" w:rsidRPr="00CC1AEC">
        <w:rPr>
          <w:rFonts w:ascii="Times New Roman" w:hAnsi="Times New Roman" w:cs="Times New Roman"/>
          <w:i/>
          <w:sz w:val="24"/>
          <w:szCs w:val="24"/>
        </w:rPr>
        <w:t>overruling</w:t>
      </w:r>
      <w:proofErr w:type="spellEnd"/>
      <w:r w:rsidR="00CC1AEC">
        <w:rPr>
          <w:rFonts w:ascii="Times New Roman" w:hAnsi="Times New Roman" w:cs="Times New Roman"/>
          <w:sz w:val="24"/>
          <w:szCs w:val="24"/>
        </w:rPr>
        <w:t xml:space="preserve">, specie nell’ambito della giustizia amministrativa, cercando di ricostruirne la parabola. Una simile trattazione non può prescindere dall’analisi preliminare di quello che è il suo presupposto applicativo, l’esistenza di un precedente giurisprudenziale e, prima ancora, il ruolo che questo può assumere in un ordinamento di </w:t>
      </w:r>
      <w:proofErr w:type="spellStart"/>
      <w:r w:rsidR="00CC1AEC" w:rsidRPr="00CC1AEC">
        <w:rPr>
          <w:rFonts w:ascii="Times New Roman" w:hAnsi="Times New Roman" w:cs="Times New Roman"/>
          <w:i/>
          <w:sz w:val="24"/>
          <w:szCs w:val="24"/>
        </w:rPr>
        <w:t>Civil</w:t>
      </w:r>
      <w:proofErr w:type="spellEnd"/>
      <w:r w:rsidR="00CC1AEC" w:rsidRPr="00CC1AEC">
        <w:rPr>
          <w:rFonts w:ascii="Times New Roman" w:hAnsi="Times New Roman" w:cs="Times New Roman"/>
          <w:i/>
          <w:sz w:val="24"/>
          <w:szCs w:val="24"/>
        </w:rPr>
        <w:t xml:space="preserve"> Law</w:t>
      </w:r>
      <w:r w:rsidR="00CC1AEC">
        <w:rPr>
          <w:rFonts w:ascii="Times New Roman" w:hAnsi="Times New Roman" w:cs="Times New Roman"/>
          <w:sz w:val="24"/>
          <w:szCs w:val="24"/>
        </w:rPr>
        <w:t xml:space="preserve"> quale è quello italiano. </w:t>
      </w:r>
    </w:p>
    <w:p w:rsidR="000350DB" w:rsidRDefault="000350DB" w:rsidP="00AA33ED">
      <w:pPr>
        <w:pStyle w:val="Paragrafoelenco"/>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ruolo del precedente nella Giustizia italiana </w:t>
      </w:r>
    </w:p>
    <w:p w:rsidR="004C7ED1" w:rsidRDefault="000350DB" w:rsidP="00AA33ED">
      <w:pPr>
        <w:pStyle w:val="Nessunaspaziatura"/>
        <w:spacing w:line="360" w:lineRule="auto"/>
        <w:jc w:val="both"/>
        <w:rPr>
          <w:rFonts w:ascii="Times New Roman" w:hAnsi="Times New Roman" w:cs="Times New Roman"/>
          <w:sz w:val="24"/>
          <w:szCs w:val="24"/>
        </w:rPr>
      </w:pPr>
      <w:r>
        <w:t>“</w:t>
      </w:r>
      <w:r w:rsidRPr="00C955F7">
        <w:rPr>
          <w:rFonts w:ascii="Times New Roman" w:hAnsi="Times New Roman" w:cs="Times New Roman"/>
          <w:i/>
          <w:sz w:val="24"/>
          <w:szCs w:val="24"/>
        </w:rPr>
        <w:t>L’attenzione è sempre sul modo di fare giurisdizione che non è mai soltanto guardare al presente alla luce del passato ma è anche sempre un orientare il futuro</w:t>
      </w:r>
      <w:r w:rsidRPr="00C955F7">
        <w:rPr>
          <w:rFonts w:ascii="Times New Roman" w:hAnsi="Times New Roman" w:cs="Times New Roman"/>
          <w:sz w:val="24"/>
          <w:szCs w:val="24"/>
        </w:rPr>
        <w:t>”</w:t>
      </w:r>
      <w:r w:rsidRPr="006203FE">
        <w:rPr>
          <w:rFonts w:ascii="Times New Roman" w:hAnsi="Times New Roman" w:cs="Times New Roman"/>
          <w:vertAlign w:val="superscript"/>
        </w:rPr>
        <w:footnoteReference w:id="2"/>
      </w:r>
      <w:r w:rsidR="006203FE">
        <w:rPr>
          <w:rFonts w:ascii="Times New Roman" w:hAnsi="Times New Roman" w:cs="Times New Roman"/>
          <w:sz w:val="24"/>
          <w:szCs w:val="24"/>
        </w:rPr>
        <w:t>.</w:t>
      </w:r>
      <w:r w:rsidRPr="00C955F7">
        <w:rPr>
          <w:rFonts w:ascii="Times New Roman" w:hAnsi="Times New Roman" w:cs="Times New Roman"/>
          <w:sz w:val="24"/>
          <w:szCs w:val="24"/>
        </w:rPr>
        <w:t xml:space="preserve"> La trattazione di un tema delicato quale quello dell’</w:t>
      </w:r>
      <w:proofErr w:type="spellStart"/>
      <w:r w:rsidRPr="00C955F7">
        <w:rPr>
          <w:rFonts w:ascii="Times New Roman" w:hAnsi="Times New Roman" w:cs="Times New Roman"/>
          <w:i/>
          <w:sz w:val="24"/>
          <w:szCs w:val="24"/>
        </w:rPr>
        <w:t>overruling</w:t>
      </w:r>
      <w:proofErr w:type="spellEnd"/>
      <w:r w:rsidRPr="00C955F7">
        <w:rPr>
          <w:rFonts w:ascii="Times New Roman" w:hAnsi="Times New Roman" w:cs="Times New Roman"/>
          <w:sz w:val="24"/>
          <w:szCs w:val="24"/>
        </w:rPr>
        <w:t xml:space="preserve"> e, più nello specifico, della tecnica del </w:t>
      </w:r>
      <w:proofErr w:type="spellStart"/>
      <w:r w:rsidRPr="00C955F7">
        <w:rPr>
          <w:rFonts w:ascii="Times New Roman" w:hAnsi="Times New Roman" w:cs="Times New Roman"/>
          <w:i/>
          <w:sz w:val="24"/>
          <w:szCs w:val="24"/>
        </w:rPr>
        <w:t>prospective</w:t>
      </w:r>
      <w:proofErr w:type="spellEnd"/>
      <w:r w:rsidRPr="00C955F7">
        <w:rPr>
          <w:rFonts w:ascii="Times New Roman" w:hAnsi="Times New Roman" w:cs="Times New Roman"/>
          <w:i/>
          <w:sz w:val="24"/>
          <w:szCs w:val="24"/>
        </w:rPr>
        <w:t xml:space="preserve"> </w:t>
      </w:r>
      <w:proofErr w:type="spellStart"/>
      <w:r w:rsidRPr="00C955F7">
        <w:rPr>
          <w:rFonts w:ascii="Times New Roman" w:hAnsi="Times New Roman" w:cs="Times New Roman"/>
          <w:i/>
          <w:sz w:val="24"/>
          <w:szCs w:val="24"/>
        </w:rPr>
        <w:t>overrulling</w:t>
      </w:r>
      <w:proofErr w:type="spellEnd"/>
      <w:r w:rsidR="00AA33ED">
        <w:rPr>
          <w:rFonts w:ascii="Times New Roman" w:hAnsi="Times New Roman" w:cs="Times New Roman"/>
          <w:i/>
          <w:sz w:val="24"/>
          <w:szCs w:val="24"/>
        </w:rPr>
        <w:t>,</w:t>
      </w:r>
      <w:r w:rsidRPr="00C955F7">
        <w:rPr>
          <w:rFonts w:ascii="Times New Roman" w:hAnsi="Times New Roman" w:cs="Times New Roman"/>
          <w:sz w:val="24"/>
          <w:szCs w:val="24"/>
        </w:rPr>
        <w:t xml:space="preserve"> non può prescindere dall’analisi di uno dei suoi </w:t>
      </w:r>
      <w:r w:rsidR="006203FE">
        <w:rPr>
          <w:rFonts w:ascii="Times New Roman" w:hAnsi="Times New Roman" w:cs="Times New Roman"/>
          <w:sz w:val="24"/>
          <w:szCs w:val="24"/>
        </w:rPr>
        <w:t>presupposti</w:t>
      </w:r>
      <w:r w:rsidRPr="00C955F7">
        <w:rPr>
          <w:rFonts w:ascii="Times New Roman" w:hAnsi="Times New Roman" w:cs="Times New Roman"/>
          <w:sz w:val="24"/>
          <w:szCs w:val="24"/>
        </w:rPr>
        <w:t xml:space="preserve">: il precedente. Quando si fa riferimento al precedente, generalmente, si pone un automatismo concettuale con la regola dello </w:t>
      </w:r>
      <w:r w:rsidRPr="00C955F7">
        <w:rPr>
          <w:rFonts w:ascii="Times New Roman" w:hAnsi="Times New Roman" w:cs="Times New Roman"/>
          <w:i/>
          <w:sz w:val="24"/>
          <w:szCs w:val="24"/>
        </w:rPr>
        <w:t xml:space="preserve">stare </w:t>
      </w:r>
      <w:proofErr w:type="spellStart"/>
      <w:r w:rsidRPr="00C955F7">
        <w:rPr>
          <w:rFonts w:ascii="Times New Roman" w:hAnsi="Times New Roman" w:cs="Times New Roman"/>
          <w:i/>
          <w:sz w:val="24"/>
          <w:szCs w:val="24"/>
        </w:rPr>
        <w:t>decisis</w:t>
      </w:r>
      <w:proofErr w:type="spellEnd"/>
      <w:r w:rsidRPr="00C955F7">
        <w:rPr>
          <w:rFonts w:ascii="Times New Roman" w:hAnsi="Times New Roman" w:cs="Times New Roman"/>
          <w:sz w:val="24"/>
          <w:szCs w:val="24"/>
        </w:rPr>
        <w:t xml:space="preserve"> propri</w:t>
      </w:r>
      <w:r w:rsidR="00D417F6">
        <w:rPr>
          <w:rFonts w:ascii="Times New Roman" w:hAnsi="Times New Roman" w:cs="Times New Roman"/>
          <w:sz w:val="24"/>
          <w:szCs w:val="24"/>
        </w:rPr>
        <w:t>a</w:t>
      </w:r>
      <w:r w:rsidRPr="00C955F7">
        <w:rPr>
          <w:rFonts w:ascii="Times New Roman" w:hAnsi="Times New Roman" w:cs="Times New Roman"/>
          <w:sz w:val="24"/>
          <w:szCs w:val="24"/>
        </w:rPr>
        <w:t xml:space="preserve"> del</w:t>
      </w:r>
      <w:r w:rsidR="00BC727F">
        <w:rPr>
          <w:rFonts w:ascii="Times New Roman" w:hAnsi="Times New Roman" w:cs="Times New Roman"/>
          <w:sz w:val="24"/>
          <w:szCs w:val="24"/>
        </w:rPr>
        <w:t xml:space="preserve"> sistema giuridico del</w:t>
      </w:r>
      <w:r w:rsidRPr="00C955F7">
        <w:rPr>
          <w:rFonts w:ascii="Times New Roman" w:hAnsi="Times New Roman" w:cs="Times New Roman"/>
          <w:sz w:val="24"/>
          <w:szCs w:val="24"/>
        </w:rPr>
        <w:t xml:space="preserve">la </w:t>
      </w:r>
      <w:r w:rsidRPr="00BC727F">
        <w:rPr>
          <w:rFonts w:ascii="Times New Roman" w:hAnsi="Times New Roman" w:cs="Times New Roman"/>
          <w:i/>
          <w:sz w:val="24"/>
          <w:szCs w:val="24"/>
        </w:rPr>
        <w:t>Common Law</w:t>
      </w:r>
      <w:r w:rsidRPr="00C955F7">
        <w:rPr>
          <w:rFonts w:ascii="Times New Roman" w:hAnsi="Times New Roman" w:cs="Times New Roman"/>
          <w:sz w:val="24"/>
          <w:szCs w:val="24"/>
        </w:rPr>
        <w:t>. In questa prospettiva</w:t>
      </w:r>
      <w:r w:rsidR="00D417F6">
        <w:rPr>
          <w:rFonts w:ascii="Times New Roman" w:hAnsi="Times New Roman" w:cs="Times New Roman"/>
          <w:sz w:val="24"/>
          <w:szCs w:val="24"/>
        </w:rPr>
        <w:t>,</w:t>
      </w:r>
      <w:r w:rsidRPr="00C955F7">
        <w:rPr>
          <w:rFonts w:ascii="Times New Roman" w:hAnsi="Times New Roman" w:cs="Times New Roman"/>
          <w:sz w:val="24"/>
          <w:szCs w:val="24"/>
        </w:rPr>
        <w:t xml:space="preserve"> il precedente è a tutti gli effetti norma di produzione e norma di </w:t>
      </w:r>
      <w:r w:rsidR="004C7ED1" w:rsidRPr="00C955F7">
        <w:rPr>
          <w:rFonts w:ascii="Times New Roman" w:hAnsi="Times New Roman" w:cs="Times New Roman"/>
          <w:sz w:val="24"/>
          <w:szCs w:val="24"/>
        </w:rPr>
        <w:t>cognizione. In caso di identità tra gli elementi della fattispecie oggetto di un precedente e quelli della “</w:t>
      </w:r>
      <w:r w:rsidR="004C7ED1" w:rsidRPr="00D417F6">
        <w:rPr>
          <w:rFonts w:ascii="Times New Roman" w:hAnsi="Times New Roman" w:cs="Times New Roman"/>
          <w:i/>
          <w:sz w:val="24"/>
          <w:szCs w:val="24"/>
        </w:rPr>
        <w:t>case law</w:t>
      </w:r>
      <w:r w:rsidR="004C7ED1" w:rsidRPr="00C955F7">
        <w:rPr>
          <w:rFonts w:ascii="Times New Roman" w:hAnsi="Times New Roman" w:cs="Times New Roman"/>
          <w:sz w:val="24"/>
          <w:szCs w:val="24"/>
        </w:rPr>
        <w:t xml:space="preserve">” all’attenzione dell’organo giudicante, il giudice non può che attenersi alla regola consolidata e questo perché il rispetto del sistema, della tradizione è anche più importante del singolo caso. </w:t>
      </w:r>
    </w:p>
    <w:p w:rsidR="00E4097A" w:rsidRPr="00C955F7" w:rsidRDefault="00E4097A"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 precedente si intende “</w:t>
      </w:r>
      <w:r w:rsidRPr="00E4097A">
        <w:rPr>
          <w:rFonts w:ascii="Times New Roman" w:hAnsi="Times New Roman" w:cs="Times New Roman"/>
          <w:i/>
          <w:sz w:val="24"/>
          <w:szCs w:val="24"/>
        </w:rPr>
        <w:t xml:space="preserve">una regola (…) che può essere applicata come criterio di decisione nel caso successivo in funzione della identità o – come accade di regola – dell’analogia tra i fatti del primo caso e i fatti del secondo caso. Naturalmente l’analogia delle due fattispecie non è data in re </w:t>
      </w:r>
      <w:proofErr w:type="spellStart"/>
      <w:r w:rsidRPr="00E4097A">
        <w:rPr>
          <w:rFonts w:ascii="Times New Roman" w:hAnsi="Times New Roman" w:cs="Times New Roman"/>
          <w:i/>
          <w:sz w:val="24"/>
          <w:szCs w:val="24"/>
        </w:rPr>
        <w:lastRenderedPageBreak/>
        <w:t>ipsa</w:t>
      </w:r>
      <w:proofErr w:type="spellEnd"/>
      <w:r w:rsidRPr="00E4097A">
        <w:rPr>
          <w:rFonts w:ascii="Times New Roman" w:hAnsi="Times New Roman" w:cs="Times New Roman"/>
          <w:i/>
          <w:sz w:val="24"/>
          <w:szCs w:val="24"/>
        </w:rPr>
        <w:t>, e viene affermata o esclusa dal giudice del caso successivo a seconda che costui ritenga gli elementi di identità o gli elementi di differenza tra i due casi</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3"/>
      </w:r>
      <w:r>
        <w:rPr>
          <w:rFonts w:ascii="Times New Roman" w:hAnsi="Times New Roman" w:cs="Times New Roman"/>
          <w:sz w:val="24"/>
          <w:szCs w:val="24"/>
        </w:rPr>
        <w:t>.</w:t>
      </w:r>
    </w:p>
    <w:p w:rsidR="004C7ED1" w:rsidRDefault="004C7ED1" w:rsidP="00AA33ED">
      <w:pPr>
        <w:pStyle w:val="Nessunaspaziatura"/>
        <w:spacing w:line="360" w:lineRule="auto"/>
        <w:jc w:val="both"/>
        <w:rPr>
          <w:rFonts w:ascii="Times New Roman" w:hAnsi="Times New Roman" w:cs="Times New Roman"/>
          <w:sz w:val="24"/>
          <w:szCs w:val="24"/>
        </w:rPr>
      </w:pPr>
      <w:r w:rsidRPr="00C955F7">
        <w:rPr>
          <w:rFonts w:ascii="Times New Roman" w:hAnsi="Times New Roman" w:cs="Times New Roman"/>
          <w:sz w:val="24"/>
          <w:szCs w:val="24"/>
        </w:rPr>
        <w:t xml:space="preserve">Al fine </w:t>
      </w:r>
      <w:r w:rsidR="00C955F7">
        <w:rPr>
          <w:rFonts w:ascii="Times New Roman" w:hAnsi="Times New Roman" w:cs="Times New Roman"/>
          <w:sz w:val="24"/>
          <w:szCs w:val="24"/>
        </w:rPr>
        <w:t>di comprendere a pieno il ruolo del precedente occorre partire da una premessa di carattere normativo: art. 101 della Costituzione, secondo cui “</w:t>
      </w:r>
      <w:r w:rsidR="009E498A">
        <w:rPr>
          <w:rFonts w:ascii="Times New Roman" w:hAnsi="Times New Roman" w:cs="Times New Roman"/>
          <w:i/>
          <w:sz w:val="24"/>
          <w:szCs w:val="24"/>
        </w:rPr>
        <w:t>i g</w:t>
      </w:r>
      <w:r w:rsidR="00C955F7" w:rsidRPr="00D417F6">
        <w:rPr>
          <w:rFonts w:ascii="Times New Roman" w:hAnsi="Times New Roman" w:cs="Times New Roman"/>
          <w:i/>
          <w:sz w:val="24"/>
          <w:szCs w:val="24"/>
        </w:rPr>
        <w:t>iudic</w:t>
      </w:r>
      <w:r w:rsidR="009E498A">
        <w:rPr>
          <w:rFonts w:ascii="Times New Roman" w:hAnsi="Times New Roman" w:cs="Times New Roman"/>
          <w:i/>
          <w:sz w:val="24"/>
          <w:szCs w:val="24"/>
        </w:rPr>
        <w:t>i</w:t>
      </w:r>
      <w:r w:rsidR="00C955F7" w:rsidRPr="00D417F6">
        <w:rPr>
          <w:rFonts w:ascii="Times New Roman" w:hAnsi="Times New Roman" w:cs="Times New Roman"/>
          <w:i/>
          <w:sz w:val="24"/>
          <w:szCs w:val="24"/>
        </w:rPr>
        <w:t xml:space="preserve"> </w:t>
      </w:r>
      <w:r w:rsidR="009E498A">
        <w:rPr>
          <w:rFonts w:ascii="Times New Roman" w:hAnsi="Times New Roman" w:cs="Times New Roman"/>
          <w:i/>
          <w:sz w:val="24"/>
          <w:szCs w:val="24"/>
        </w:rPr>
        <w:t>sono</w:t>
      </w:r>
      <w:r w:rsidR="00C955F7" w:rsidRPr="00D417F6">
        <w:rPr>
          <w:rFonts w:ascii="Times New Roman" w:hAnsi="Times New Roman" w:cs="Times New Roman"/>
          <w:i/>
          <w:sz w:val="24"/>
          <w:szCs w:val="24"/>
        </w:rPr>
        <w:t xml:space="preserve"> soggett</w:t>
      </w:r>
      <w:r w:rsidR="009E498A">
        <w:rPr>
          <w:rFonts w:ascii="Times New Roman" w:hAnsi="Times New Roman" w:cs="Times New Roman"/>
          <w:i/>
          <w:sz w:val="24"/>
          <w:szCs w:val="24"/>
        </w:rPr>
        <w:t>i</w:t>
      </w:r>
      <w:r w:rsidR="00C955F7" w:rsidRPr="00D417F6">
        <w:rPr>
          <w:rFonts w:ascii="Times New Roman" w:hAnsi="Times New Roman" w:cs="Times New Roman"/>
          <w:i/>
          <w:sz w:val="24"/>
          <w:szCs w:val="24"/>
        </w:rPr>
        <w:t xml:space="preserve"> soltanto alla legge</w:t>
      </w:r>
      <w:r w:rsidR="00C955F7">
        <w:rPr>
          <w:rFonts w:ascii="Times New Roman" w:hAnsi="Times New Roman" w:cs="Times New Roman"/>
          <w:sz w:val="24"/>
          <w:szCs w:val="24"/>
        </w:rPr>
        <w:t>”. In quest</w:t>
      </w:r>
      <w:r w:rsidR="006203FE">
        <w:rPr>
          <w:rFonts w:ascii="Times New Roman" w:hAnsi="Times New Roman" w:cs="Times New Roman"/>
          <w:sz w:val="24"/>
          <w:szCs w:val="24"/>
        </w:rPr>
        <w:t>a</w:t>
      </w:r>
      <w:r w:rsidR="00C955F7">
        <w:rPr>
          <w:rFonts w:ascii="Times New Roman" w:hAnsi="Times New Roman" w:cs="Times New Roman"/>
          <w:sz w:val="24"/>
          <w:szCs w:val="24"/>
        </w:rPr>
        <w:t xml:space="preserve"> </w:t>
      </w:r>
      <w:r w:rsidR="00BC727F">
        <w:rPr>
          <w:rFonts w:ascii="Times New Roman" w:hAnsi="Times New Roman" w:cs="Times New Roman"/>
          <w:sz w:val="24"/>
          <w:szCs w:val="24"/>
        </w:rPr>
        <w:t>breve definizione</w:t>
      </w:r>
      <w:r w:rsidR="00C955F7">
        <w:rPr>
          <w:rFonts w:ascii="Times New Roman" w:hAnsi="Times New Roman" w:cs="Times New Roman"/>
          <w:sz w:val="24"/>
          <w:szCs w:val="24"/>
        </w:rPr>
        <w:t xml:space="preserve"> sono sottesi diversi principi di civiltà giuridica</w:t>
      </w:r>
      <w:r w:rsidR="00BC727F">
        <w:rPr>
          <w:rFonts w:ascii="Times New Roman" w:hAnsi="Times New Roman" w:cs="Times New Roman"/>
          <w:sz w:val="24"/>
          <w:szCs w:val="24"/>
        </w:rPr>
        <w:t>:</w:t>
      </w:r>
      <w:r w:rsidR="006203FE">
        <w:rPr>
          <w:rFonts w:ascii="Times New Roman" w:hAnsi="Times New Roman" w:cs="Times New Roman"/>
          <w:sz w:val="24"/>
          <w:szCs w:val="24"/>
        </w:rPr>
        <w:t xml:space="preserve"> l’indipendenza dei g</w:t>
      </w:r>
      <w:r w:rsidR="00C43808">
        <w:rPr>
          <w:rFonts w:ascii="Times New Roman" w:hAnsi="Times New Roman" w:cs="Times New Roman"/>
          <w:sz w:val="24"/>
          <w:szCs w:val="24"/>
        </w:rPr>
        <w:t xml:space="preserve">iudici rispetto al potere politico e il principio della certezza del diritto, della sicurezza delle regole. È il legislatore che deve operare il bilanciamento </w:t>
      </w:r>
      <w:r w:rsidR="00BC727F">
        <w:rPr>
          <w:rFonts w:ascii="Times New Roman" w:hAnsi="Times New Roman" w:cs="Times New Roman"/>
          <w:sz w:val="24"/>
          <w:szCs w:val="24"/>
        </w:rPr>
        <w:t>tra</w:t>
      </w:r>
      <w:r w:rsidR="00C43808">
        <w:rPr>
          <w:rFonts w:ascii="Times New Roman" w:hAnsi="Times New Roman" w:cs="Times New Roman"/>
          <w:sz w:val="24"/>
          <w:szCs w:val="24"/>
        </w:rPr>
        <w:t xml:space="preserve"> valori, secondo quella che è una pacifica definizione di “politica”. I giudici applicano la legge al caso concreto senza potere derogare al bilanciamento operato a monte dal Parlamento a pena di violare il principio di separazione dei poteri. I </w:t>
      </w:r>
      <w:r w:rsidR="006203FE">
        <w:rPr>
          <w:rFonts w:ascii="Times New Roman" w:hAnsi="Times New Roman" w:cs="Times New Roman"/>
          <w:sz w:val="24"/>
          <w:szCs w:val="24"/>
        </w:rPr>
        <w:t>g</w:t>
      </w:r>
      <w:r w:rsidR="00C43808">
        <w:rPr>
          <w:rFonts w:ascii="Times New Roman" w:hAnsi="Times New Roman" w:cs="Times New Roman"/>
          <w:sz w:val="24"/>
          <w:szCs w:val="24"/>
        </w:rPr>
        <w:t xml:space="preserve">iudici non hanno infatti legittimazione popolare, sono estranei e terzi rispetto al contratto sociale tra governanti e governati. </w:t>
      </w:r>
    </w:p>
    <w:p w:rsidR="00A33D41" w:rsidRDefault="00A33D41"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È ormai noto e accettato che il ruolo del giudice come bocca della legge, che l’attività di </w:t>
      </w:r>
      <w:proofErr w:type="spellStart"/>
      <w:r w:rsidRPr="00D417F6">
        <w:rPr>
          <w:rFonts w:ascii="Times New Roman" w:hAnsi="Times New Roman" w:cs="Times New Roman"/>
          <w:i/>
          <w:sz w:val="24"/>
          <w:szCs w:val="24"/>
        </w:rPr>
        <w:t>ius</w:t>
      </w:r>
      <w:proofErr w:type="spellEnd"/>
      <w:r w:rsidRPr="00D417F6">
        <w:rPr>
          <w:rFonts w:ascii="Times New Roman" w:hAnsi="Times New Roman" w:cs="Times New Roman"/>
          <w:i/>
          <w:sz w:val="24"/>
          <w:szCs w:val="24"/>
        </w:rPr>
        <w:t xml:space="preserve"> </w:t>
      </w:r>
      <w:proofErr w:type="spellStart"/>
      <w:r w:rsidRPr="00D417F6">
        <w:rPr>
          <w:rFonts w:ascii="Times New Roman" w:hAnsi="Times New Roman" w:cs="Times New Roman"/>
          <w:i/>
          <w:sz w:val="24"/>
          <w:szCs w:val="24"/>
        </w:rPr>
        <w:t>dicere</w:t>
      </w:r>
      <w:proofErr w:type="spellEnd"/>
      <w:r>
        <w:rPr>
          <w:rFonts w:ascii="Times New Roman" w:hAnsi="Times New Roman" w:cs="Times New Roman"/>
          <w:sz w:val="24"/>
          <w:szCs w:val="24"/>
        </w:rPr>
        <w:t xml:space="preserve"> come mero sillogismo </w:t>
      </w:r>
      <w:r w:rsidR="006203FE">
        <w:rPr>
          <w:rFonts w:ascii="Times New Roman" w:hAnsi="Times New Roman" w:cs="Times New Roman"/>
          <w:sz w:val="24"/>
          <w:szCs w:val="24"/>
        </w:rPr>
        <w:t>sono</w:t>
      </w:r>
      <w:r>
        <w:rPr>
          <w:rFonts w:ascii="Times New Roman" w:hAnsi="Times New Roman" w:cs="Times New Roman"/>
          <w:sz w:val="24"/>
          <w:szCs w:val="24"/>
        </w:rPr>
        <w:t xml:space="preserve"> fals</w:t>
      </w:r>
      <w:r w:rsidR="006203FE">
        <w:rPr>
          <w:rFonts w:ascii="Times New Roman" w:hAnsi="Times New Roman" w:cs="Times New Roman"/>
          <w:sz w:val="24"/>
          <w:szCs w:val="24"/>
        </w:rPr>
        <w:t>i</w:t>
      </w:r>
      <w:r>
        <w:rPr>
          <w:rFonts w:ascii="Times New Roman" w:hAnsi="Times New Roman" w:cs="Times New Roman"/>
          <w:sz w:val="24"/>
          <w:szCs w:val="24"/>
        </w:rPr>
        <w:t xml:space="preserve"> mit</w:t>
      </w:r>
      <w:r w:rsidR="006203FE">
        <w:rPr>
          <w:rFonts w:ascii="Times New Roman" w:hAnsi="Times New Roman" w:cs="Times New Roman"/>
          <w:sz w:val="24"/>
          <w:szCs w:val="24"/>
        </w:rPr>
        <w:t>i</w:t>
      </w:r>
      <w:r>
        <w:rPr>
          <w:rFonts w:ascii="Times New Roman" w:hAnsi="Times New Roman" w:cs="Times New Roman"/>
          <w:sz w:val="24"/>
          <w:szCs w:val="24"/>
        </w:rPr>
        <w:t>. Per quanto attiene all’ordinamento italiano lo è almeno per due ragioni: la farraginosità delle disposizioni normative, il più delle volte vaghe, oscure, poco coordinate e la</w:t>
      </w:r>
      <w:r w:rsidR="006203FE">
        <w:rPr>
          <w:rFonts w:ascii="Times New Roman" w:hAnsi="Times New Roman" w:cs="Times New Roman"/>
          <w:sz w:val="24"/>
          <w:szCs w:val="24"/>
        </w:rPr>
        <w:t xml:space="preserve"> loro</w:t>
      </w:r>
      <w:r>
        <w:rPr>
          <w:rFonts w:ascii="Times New Roman" w:hAnsi="Times New Roman" w:cs="Times New Roman"/>
          <w:sz w:val="24"/>
          <w:szCs w:val="24"/>
        </w:rPr>
        <w:t xml:space="preserve"> </w:t>
      </w:r>
      <w:proofErr w:type="spellStart"/>
      <w:r w:rsidR="002A44FE">
        <w:rPr>
          <w:rFonts w:ascii="Times New Roman" w:hAnsi="Times New Roman" w:cs="Times New Roman"/>
          <w:sz w:val="24"/>
          <w:szCs w:val="24"/>
        </w:rPr>
        <w:t>risalenza</w:t>
      </w:r>
      <w:proofErr w:type="spellEnd"/>
      <w:r w:rsidR="002A44FE">
        <w:rPr>
          <w:rFonts w:ascii="Times New Roman" w:hAnsi="Times New Roman" w:cs="Times New Roman"/>
          <w:sz w:val="24"/>
          <w:szCs w:val="24"/>
        </w:rPr>
        <w:t xml:space="preserve"> nel tempo</w:t>
      </w:r>
      <w:r>
        <w:rPr>
          <w:rFonts w:ascii="Times New Roman" w:hAnsi="Times New Roman" w:cs="Times New Roman"/>
          <w:sz w:val="24"/>
          <w:szCs w:val="24"/>
        </w:rPr>
        <w:t xml:space="preserve">. Specie in riferimento a questo secondo aspetto, il compito del giudice è quello di rileggere le norme con le lenti del diritto vivente, delle esigenze giuridiche che non sono più quelle del momento in cui il legislatore le aveva pensate e predisposte. Un esempio emblematico è rappresentato dal diritto penale ma anche il diritto civile ha attraversato fasi di grandi cambiamenti, anche ultimamente, con le ripercussioni </w:t>
      </w:r>
      <w:r w:rsidR="006203FE">
        <w:rPr>
          <w:rFonts w:ascii="Times New Roman" w:hAnsi="Times New Roman" w:cs="Times New Roman"/>
          <w:sz w:val="24"/>
          <w:szCs w:val="24"/>
        </w:rPr>
        <w:t xml:space="preserve">della pandemia da Covid-19 </w:t>
      </w:r>
      <w:r>
        <w:rPr>
          <w:rFonts w:ascii="Times New Roman" w:hAnsi="Times New Roman" w:cs="Times New Roman"/>
          <w:sz w:val="24"/>
          <w:szCs w:val="24"/>
        </w:rPr>
        <w:t>in tema di contratti. L’attività interpretativa del giudice è in continua tensione, è in continua evoluzione e ciò è determinato da quelli che sono stati definiti dei “</w:t>
      </w:r>
      <w:r w:rsidR="002A44FE" w:rsidRPr="006203FE">
        <w:rPr>
          <w:rFonts w:ascii="Times New Roman" w:hAnsi="Times New Roman" w:cs="Times New Roman"/>
          <w:i/>
          <w:sz w:val="24"/>
          <w:szCs w:val="24"/>
        </w:rPr>
        <w:t>veicoli del carattere innovativo della interpretazione giudiziale</w:t>
      </w:r>
      <w:r>
        <w:rPr>
          <w:rFonts w:ascii="Times New Roman" w:hAnsi="Times New Roman" w:cs="Times New Roman"/>
          <w:sz w:val="24"/>
          <w:szCs w:val="24"/>
        </w:rPr>
        <w:t>”</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xml:space="preserve">: </w:t>
      </w:r>
      <w:r w:rsidR="00BC727F">
        <w:rPr>
          <w:rFonts w:ascii="Times New Roman" w:hAnsi="Times New Roman" w:cs="Times New Roman"/>
          <w:sz w:val="24"/>
          <w:szCs w:val="24"/>
        </w:rPr>
        <w:t xml:space="preserve">la </w:t>
      </w:r>
      <w:r>
        <w:rPr>
          <w:rFonts w:ascii="Times New Roman" w:hAnsi="Times New Roman" w:cs="Times New Roman"/>
          <w:sz w:val="24"/>
          <w:szCs w:val="24"/>
        </w:rPr>
        <w:t xml:space="preserve">Corte di Giustizia dell’Unione Europea (e più in generale anche le fonti normative UE), la Corte Europea dei Diritti dell’Uomo, la Corte Costituzionale e gli stessi criteri di interpretazione, primi tra tutti il criterio sistematico e il criterio evolutivo. </w:t>
      </w:r>
    </w:p>
    <w:p w:rsidR="00FB1DEE" w:rsidRPr="00A677F7" w:rsidRDefault="00A33D41" w:rsidP="00AA33ED">
      <w:pPr>
        <w:pStyle w:val="Nessunaspaziatura"/>
        <w:spacing w:line="360" w:lineRule="auto"/>
        <w:jc w:val="both"/>
        <w:rPr>
          <w:rFonts w:ascii="Times New Roman" w:hAnsi="Times New Roman" w:cs="Times New Roman"/>
          <w:sz w:val="24"/>
          <w:szCs w:val="24"/>
        </w:rPr>
      </w:pPr>
      <w:r w:rsidRPr="00A677F7">
        <w:rPr>
          <w:rFonts w:ascii="Times New Roman" w:hAnsi="Times New Roman" w:cs="Times New Roman"/>
          <w:sz w:val="24"/>
          <w:szCs w:val="24"/>
        </w:rPr>
        <w:t xml:space="preserve">Negli ordinamenti di </w:t>
      </w:r>
      <w:proofErr w:type="spellStart"/>
      <w:r w:rsidRPr="00D417F6">
        <w:rPr>
          <w:rFonts w:ascii="Times New Roman" w:hAnsi="Times New Roman" w:cs="Times New Roman"/>
          <w:i/>
          <w:sz w:val="24"/>
          <w:szCs w:val="24"/>
        </w:rPr>
        <w:t>Civil</w:t>
      </w:r>
      <w:proofErr w:type="spellEnd"/>
      <w:r w:rsidRPr="00D417F6">
        <w:rPr>
          <w:rFonts w:ascii="Times New Roman" w:hAnsi="Times New Roman" w:cs="Times New Roman"/>
          <w:i/>
          <w:sz w:val="24"/>
          <w:szCs w:val="24"/>
        </w:rPr>
        <w:t xml:space="preserve"> Law</w:t>
      </w:r>
      <w:r w:rsidRPr="00A677F7">
        <w:rPr>
          <w:rFonts w:ascii="Times New Roman" w:hAnsi="Times New Roman" w:cs="Times New Roman"/>
          <w:sz w:val="24"/>
          <w:szCs w:val="24"/>
        </w:rPr>
        <w:t>, quale è quello italiano, il precedente si atteggia in maniera diversa; non è “</w:t>
      </w:r>
      <w:proofErr w:type="spellStart"/>
      <w:r w:rsidRPr="00A677F7">
        <w:rPr>
          <w:rFonts w:ascii="Times New Roman" w:hAnsi="Times New Roman" w:cs="Times New Roman"/>
          <w:i/>
          <w:sz w:val="24"/>
          <w:szCs w:val="24"/>
        </w:rPr>
        <w:t>binding</w:t>
      </w:r>
      <w:proofErr w:type="spellEnd"/>
      <w:r w:rsidRPr="00A677F7">
        <w:rPr>
          <w:rFonts w:ascii="Times New Roman" w:hAnsi="Times New Roman" w:cs="Times New Roman"/>
          <w:sz w:val="24"/>
          <w:szCs w:val="24"/>
        </w:rPr>
        <w:t xml:space="preserve">”, nei termini sopra riassunti ma la sua forza si declina a seconda dell’organo giudicante. Se volessimo tentare di ricondurre ad unità le diverse declinazioni, potremmo dire che il precedente, nel nostro ordinamento, è dotato del carattere della pervasività. </w:t>
      </w:r>
    </w:p>
    <w:p w:rsidR="00A33D41" w:rsidRPr="00A677F7" w:rsidRDefault="0027485D" w:rsidP="00AA33ED">
      <w:pPr>
        <w:pStyle w:val="Nessunaspaziatura"/>
        <w:spacing w:line="360" w:lineRule="auto"/>
        <w:jc w:val="both"/>
        <w:rPr>
          <w:rFonts w:ascii="Times New Roman" w:hAnsi="Times New Roman" w:cs="Times New Roman"/>
          <w:sz w:val="24"/>
          <w:szCs w:val="24"/>
        </w:rPr>
      </w:pPr>
      <w:r w:rsidRPr="002C6435">
        <w:rPr>
          <w:rFonts w:ascii="Times New Roman" w:hAnsi="Times New Roman" w:cs="Times New Roman"/>
          <w:sz w:val="24"/>
          <w:szCs w:val="24"/>
        </w:rPr>
        <w:t xml:space="preserve">Il precedente, anzitutto, si declinerà in modo diverso a seconda del giudice che deve prenderlo in considerazione. Il giudice di merito è libero nell’adozione della propria decisione. Il precedente non vincola se non ritenuto dirimente </w:t>
      </w:r>
      <w:r w:rsidR="006203FE">
        <w:rPr>
          <w:rFonts w:ascii="Times New Roman" w:hAnsi="Times New Roman" w:cs="Times New Roman"/>
          <w:sz w:val="24"/>
          <w:szCs w:val="24"/>
        </w:rPr>
        <w:t xml:space="preserve">nel caso specifico (e in questo modo non si tratta di precedente!) </w:t>
      </w:r>
      <w:r w:rsidRPr="002C6435">
        <w:rPr>
          <w:rFonts w:ascii="Times New Roman" w:hAnsi="Times New Roman" w:cs="Times New Roman"/>
          <w:sz w:val="24"/>
          <w:szCs w:val="24"/>
        </w:rPr>
        <w:lastRenderedPageBreak/>
        <w:t>ovvero se è ritenuto errato. Se così non fosse l’attività giurisdizionale non sarebbe indipendente</w:t>
      </w:r>
      <w:r w:rsidR="00D417F6" w:rsidRPr="002C6435">
        <w:rPr>
          <w:rFonts w:ascii="Times New Roman" w:hAnsi="Times New Roman" w:cs="Times New Roman"/>
          <w:sz w:val="24"/>
          <w:szCs w:val="24"/>
        </w:rPr>
        <w:t>. Il cambiamento è sì possibile</w:t>
      </w:r>
      <w:r w:rsidRPr="002C6435">
        <w:rPr>
          <w:rFonts w:ascii="Times New Roman" w:hAnsi="Times New Roman" w:cs="Times New Roman"/>
          <w:sz w:val="24"/>
          <w:szCs w:val="24"/>
        </w:rPr>
        <w:t xml:space="preserve"> ma con un limite</w:t>
      </w:r>
      <w:r w:rsidR="00D417F6" w:rsidRPr="002C6435">
        <w:rPr>
          <w:rFonts w:ascii="Times New Roman" w:hAnsi="Times New Roman" w:cs="Times New Roman"/>
          <w:sz w:val="24"/>
          <w:szCs w:val="24"/>
        </w:rPr>
        <w:t xml:space="preserve">: l’ </w:t>
      </w:r>
      <w:r w:rsidRPr="002C6435">
        <w:rPr>
          <w:rFonts w:ascii="Times New Roman" w:hAnsi="Times New Roman" w:cs="Times New Roman"/>
          <w:sz w:val="24"/>
          <w:szCs w:val="24"/>
        </w:rPr>
        <w:t>onere di motivazione rafforzata</w:t>
      </w:r>
      <w:r w:rsidRPr="002C6435">
        <w:rPr>
          <w:rFonts w:ascii="Times New Roman" w:hAnsi="Times New Roman" w:cs="Times New Roman"/>
          <w:sz w:val="24"/>
          <w:szCs w:val="24"/>
          <w:vertAlign w:val="superscript"/>
        </w:rPr>
        <w:footnoteReference w:id="5"/>
      </w:r>
      <w:r w:rsidRPr="002C6435">
        <w:rPr>
          <w:rFonts w:ascii="Times New Roman" w:hAnsi="Times New Roman" w:cs="Times New Roman"/>
          <w:sz w:val="24"/>
          <w:szCs w:val="24"/>
        </w:rPr>
        <w:t>.</w:t>
      </w:r>
      <w:r w:rsidRPr="00A677F7">
        <w:rPr>
          <w:rFonts w:ascii="Times New Roman" w:hAnsi="Times New Roman" w:cs="Times New Roman"/>
          <w:sz w:val="24"/>
          <w:szCs w:val="24"/>
        </w:rPr>
        <w:t xml:space="preserve"> </w:t>
      </w:r>
    </w:p>
    <w:p w:rsidR="0027485D" w:rsidRPr="00A677F7" w:rsidRDefault="0027485D" w:rsidP="00AA33ED">
      <w:pPr>
        <w:pStyle w:val="Nessunaspaziatura"/>
        <w:spacing w:line="360" w:lineRule="auto"/>
        <w:jc w:val="both"/>
        <w:rPr>
          <w:rFonts w:ascii="Times New Roman" w:hAnsi="Times New Roman" w:cs="Times New Roman"/>
          <w:sz w:val="24"/>
          <w:szCs w:val="24"/>
        </w:rPr>
      </w:pPr>
      <w:r w:rsidRPr="00A677F7">
        <w:rPr>
          <w:rFonts w:ascii="Times New Roman" w:hAnsi="Times New Roman" w:cs="Times New Roman"/>
          <w:sz w:val="24"/>
          <w:szCs w:val="24"/>
        </w:rPr>
        <w:t xml:space="preserve">Se ad esprimersi è la Corte di Cassazione ovvero il Consiglio di Stato nelle composizioni </w:t>
      </w:r>
      <w:r w:rsidR="00A677F7" w:rsidRPr="00A677F7">
        <w:rPr>
          <w:rFonts w:ascii="Times New Roman" w:hAnsi="Times New Roman" w:cs="Times New Roman"/>
          <w:sz w:val="24"/>
          <w:szCs w:val="24"/>
        </w:rPr>
        <w:t>più autorevoli delle Sezioni Unite</w:t>
      </w:r>
      <w:r w:rsidR="005C28B9">
        <w:rPr>
          <w:rFonts w:ascii="Times New Roman" w:hAnsi="Times New Roman" w:cs="Times New Roman"/>
          <w:sz w:val="24"/>
          <w:szCs w:val="24"/>
        </w:rPr>
        <w:t xml:space="preserve"> (ai sensi dell’art. 374 co. 2 e 3 </w:t>
      </w:r>
      <w:proofErr w:type="spellStart"/>
      <w:r w:rsidR="005C28B9">
        <w:rPr>
          <w:rFonts w:ascii="Times New Roman" w:hAnsi="Times New Roman" w:cs="Times New Roman"/>
          <w:sz w:val="24"/>
          <w:szCs w:val="24"/>
        </w:rPr>
        <w:t>c.p.c.</w:t>
      </w:r>
      <w:proofErr w:type="spellEnd"/>
      <w:r w:rsidR="005C28B9">
        <w:rPr>
          <w:rFonts w:ascii="Times New Roman" w:hAnsi="Times New Roman" w:cs="Times New Roman"/>
          <w:sz w:val="24"/>
          <w:szCs w:val="24"/>
        </w:rPr>
        <w:t>)</w:t>
      </w:r>
      <w:r w:rsidR="00A677F7" w:rsidRPr="00A677F7">
        <w:rPr>
          <w:rFonts w:ascii="Times New Roman" w:hAnsi="Times New Roman" w:cs="Times New Roman"/>
          <w:sz w:val="24"/>
          <w:szCs w:val="24"/>
        </w:rPr>
        <w:t xml:space="preserve"> e dell’Adunanza Plenaria</w:t>
      </w:r>
      <w:r w:rsidR="005C28B9">
        <w:rPr>
          <w:rFonts w:ascii="Times New Roman" w:hAnsi="Times New Roman" w:cs="Times New Roman"/>
          <w:sz w:val="24"/>
          <w:szCs w:val="24"/>
        </w:rPr>
        <w:t xml:space="preserve"> (ai sensi dell’art. 99 </w:t>
      </w:r>
      <w:proofErr w:type="spellStart"/>
      <w:r w:rsidR="005C28B9">
        <w:rPr>
          <w:rFonts w:ascii="Times New Roman" w:hAnsi="Times New Roman" w:cs="Times New Roman"/>
          <w:sz w:val="24"/>
          <w:szCs w:val="24"/>
        </w:rPr>
        <w:t>c.p.a</w:t>
      </w:r>
      <w:proofErr w:type="spellEnd"/>
      <w:r w:rsidR="005C28B9">
        <w:rPr>
          <w:rFonts w:ascii="Times New Roman" w:hAnsi="Times New Roman" w:cs="Times New Roman"/>
          <w:sz w:val="24"/>
          <w:szCs w:val="24"/>
        </w:rPr>
        <w:t>.)</w:t>
      </w:r>
      <w:r w:rsidR="00A677F7" w:rsidRPr="00A677F7">
        <w:rPr>
          <w:rFonts w:ascii="Times New Roman" w:hAnsi="Times New Roman" w:cs="Times New Roman"/>
          <w:sz w:val="24"/>
          <w:szCs w:val="24"/>
        </w:rPr>
        <w:t>, la questione assume un carattere diverso perché diversa è la funzione attribuita al</w:t>
      </w:r>
      <w:r w:rsidR="00BC727F">
        <w:rPr>
          <w:rFonts w:ascii="Times New Roman" w:hAnsi="Times New Roman" w:cs="Times New Roman"/>
          <w:sz w:val="24"/>
          <w:szCs w:val="24"/>
        </w:rPr>
        <w:t>l’organo</w:t>
      </w:r>
      <w:r w:rsidR="00A677F7" w:rsidRPr="00A677F7">
        <w:rPr>
          <w:rFonts w:ascii="Times New Roman" w:hAnsi="Times New Roman" w:cs="Times New Roman"/>
          <w:sz w:val="24"/>
          <w:szCs w:val="24"/>
        </w:rPr>
        <w:t xml:space="preserve"> giudic</w:t>
      </w:r>
      <w:r w:rsidR="00BC727F">
        <w:rPr>
          <w:rFonts w:ascii="Times New Roman" w:hAnsi="Times New Roman" w:cs="Times New Roman"/>
          <w:sz w:val="24"/>
          <w:szCs w:val="24"/>
        </w:rPr>
        <w:t>ante</w:t>
      </w:r>
      <w:r w:rsidR="00A677F7" w:rsidRPr="00A677F7">
        <w:rPr>
          <w:rFonts w:ascii="Times New Roman" w:hAnsi="Times New Roman" w:cs="Times New Roman"/>
          <w:sz w:val="24"/>
          <w:szCs w:val="24"/>
        </w:rPr>
        <w:t xml:space="preserve">. La </w:t>
      </w:r>
      <w:proofErr w:type="spellStart"/>
      <w:r w:rsidR="00A677F7" w:rsidRPr="00A677F7">
        <w:rPr>
          <w:rFonts w:ascii="Times New Roman" w:hAnsi="Times New Roman" w:cs="Times New Roman"/>
          <w:sz w:val="24"/>
          <w:szCs w:val="24"/>
        </w:rPr>
        <w:t>nomofiliachia</w:t>
      </w:r>
      <w:proofErr w:type="spellEnd"/>
      <w:r w:rsidR="00A677F7" w:rsidRPr="00A677F7">
        <w:rPr>
          <w:rFonts w:ascii="Times New Roman" w:hAnsi="Times New Roman" w:cs="Times New Roman"/>
          <w:sz w:val="24"/>
          <w:szCs w:val="24"/>
        </w:rPr>
        <w:t xml:space="preserve"> che è, insieme, il presupposto del giudice e il risultato che si vuole ottenere con le pronunce</w:t>
      </w:r>
      <w:r w:rsidR="00BC727F">
        <w:rPr>
          <w:rFonts w:ascii="Times New Roman" w:hAnsi="Times New Roman" w:cs="Times New Roman"/>
          <w:sz w:val="24"/>
          <w:szCs w:val="24"/>
        </w:rPr>
        <w:t>,</w:t>
      </w:r>
      <w:r w:rsidR="00A677F7" w:rsidRPr="00A677F7">
        <w:rPr>
          <w:rFonts w:ascii="Times New Roman" w:hAnsi="Times New Roman" w:cs="Times New Roman"/>
          <w:sz w:val="24"/>
          <w:szCs w:val="24"/>
        </w:rPr>
        <w:t xml:space="preserve"> dovrebbe essere, secondo alcuni, un limite all’attività creativa del giudice perché deve assicurare in maniera piena ed efficace la sicurezza dei traffici giuridici, la certezza del diritto. </w:t>
      </w:r>
    </w:p>
    <w:p w:rsidR="00A677F7" w:rsidRDefault="00A677F7" w:rsidP="00AA33ED">
      <w:pPr>
        <w:pStyle w:val="Nessunaspaziatura"/>
        <w:spacing w:line="360" w:lineRule="auto"/>
        <w:jc w:val="both"/>
        <w:rPr>
          <w:rFonts w:ascii="Times New Roman" w:hAnsi="Times New Roman" w:cs="Times New Roman"/>
          <w:sz w:val="24"/>
          <w:szCs w:val="24"/>
        </w:rPr>
      </w:pPr>
      <w:r w:rsidRPr="00A677F7">
        <w:rPr>
          <w:rFonts w:ascii="Times New Roman" w:hAnsi="Times New Roman" w:cs="Times New Roman"/>
          <w:sz w:val="24"/>
          <w:szCs w:val="24"/>
        </w:rPr>
        <w:t>Ma se questo è vero – come in effetti è – l’esigenza di certezza non può non avere contrappesi; l’esigenza di certezza</w:t>
      </w:r>
      <w:r>
        <w:rPr>
          <w:rFonts w:ascii="Times New Roman" w:hAnsi="Times New Roman" w:cs="Times New Roman"/>
          <w:sz w:val="24"/>
          <w:szCs w:val="24"/>
        </w:rPr>
        <w:t xml:space="preserve"> -</w:t>
      </w:r>
      <w:r w:rsidRPr="00A677F7">
        <w:rPr>
          <w:rFonts w:ascii="Times New Roman" w:hAnsi="Times New Roman" w:cs="Times New Roman"/>
          <w:sz w:val="24"/>
          <w:szCs w:val="24"/>
        </w:rPr>
        <w:t xml:space="preserve"> che vuol dire predisposizione chiara delle regole in gioco, vuol dire validità del patto</w:t>
      </w:r>
      <w:r>
        <w:rPr>
          <w:rFonts w:ascii="Times New Roman" w:hAnsi="Times New Roman" w:cs="Times New Roman"/>
          <w:sz w:val="24"/>
          <w:szCs w:val="24"/>
        </w:rPr>
        <w:t xml:space="preserve"> tra il cittadino e lo Stato - </w:t>
      </w:r>
      <w:r w:rsidRPr="00A677F7">
        <w:rPr>
          <w:rFonts w:ascii="Times New Roman" w:hAnsi="Times New Roman" w:cs="Times New Roman"/>
          <w:sz w:val="24"/>
          <w:szCs w:val="24"/>
        </w:rPr>
        <w:t xml:space="preserve"> non può spingersi fino all’assolutezza della decisione, all’esauribili</w:t>
      </w:r>
      <w:r>
        <w:rPr>
          <w:rFonts w:ascii="Times New Roman" w:hAnsi="Times New Roman" w:cs="Times New Roman"/>
          <w:sz w:val="24"/>
          <w:szCs w:val="24"/>
        </w:rPr>
        <w:t xml:space="preserve">tà della riflessione giuridica perché vorrebbe dire negare al diritto l’attributo di scienza. </w:t>
      </w:r>
    </w:p>
    <w:p w:rsidR="00A677F7" w:rsidRDefault="00A677F7"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Per far sì che ciò non accada, che ci sia sempre linfa vitale al dibattito</w:t>
      </w:r>
      <w:r w:rsidR="00BC727F">
        <w:rPr>
          <w:rFonts w:ascii="Times New Roman" w:hAnsi="Times New Roman" w:cs="Times New Roman"/>
          <w:sz w:val="24"/>
          <w:szCs w:val="24"/>
        </w:rPr>
        <w:t>,</w:t>
      </w:r>
      <w:r>
        <w:rPr>
          <w:rFonts w:ascii="Times New Roman" w:hAnsi="Times New Roman" w:cs="Times New Roman"/>
          <w:sz w:val="24"/>
          <w:szCs w:val="24"/>
        </w:rPr>
        <w:t xml:space="preserve"> il precedente, nonostante qualche autorevolissima critica</w:t>
      </w:r>
      <w:r>
        <w:rPr>
          <w:rStyle w:val="Rimandonotaapidipagina"/>
          <w:rFonts w:ascii="Times New Roman" w:hAnsi="Times New Roman" w:cs="Times New Roman"/>
          <w:sz w:val="24"/>
          <w:szCs w:val="24"/>
        </w:rPr>
        <w:footnoteReference w:id="6"/>
      </w:r>
      <w:r>
        <w:rPr>
          <w:rFonts w:ascii="Times New Roman" w:hAnsi="Times New Roman" w:cs="Times New Roman"/>
          <w:sz w:val="24"/>
          <w:szCs w:val="24"/>
        </w:rPr>
        <w:t>, deve diventare un modo di orientare la scelta senza ingabbiarla. Occorre, quindi, ricercare il precedente, darne atto nella motivazione</w:t>
      </w:r>
      <w:r w:rsidR="00BC727F">
        <w:rPr>
          <w:rFonts w:ascii="Times New Roman" w:hAnsi="Times New Roman" w:cs="Times New Roman"/>
          <w:sz w:val="24"/>
          <w:szCs w:val="24"/>
        </w:rPr>
        <w:t>,</w:t>
      </w:r>
      <w:r>
        <w:rPr>
          <w:rFonts w:ascii="Times New Roman" w:hAnsi="Times New Roman" w:cs="Times New Roman"/>
          <w:sz w:val="24"/>
          <w:szCs w:val="24"/>
        </w:rPr>
        <w:t xml:space="preserve"> specie in caso di </w:t>
      </w:r>
      <w:proofErr w:type="spellStart"/>
      <w:r w:rsidRPr="00BC727F">
        <w:rPr>
          <w:rFonts w:ascii="Times New Roman" w:hAnsi="Times New Roman" w:cs="Times New Roman"/>
          <w:i/>
          <w:sz w:val="24"/>
          <w:szCs w:val="24"/>
        </w:rPr>
        <w:t>dissenting</w:t>
      </w:r>
      <w:proofErr w:type="spellEnd"/>
      <w:r w:rsidRPr="00BC727F">
        <w:rPr>
          <w:rFonts w:ascii="Times New Roman" w:hAnsi="Times New Roman" w:cs="Times New Roman"/>
          <w:i/>
          <w:sz w:val="24"/>
          <w:szCs w:val="24"/>
        </w:rPr>
        <w:t xml:space="preserve"> opinio</w:t>
      </w:r>
      <w:r w:rsidR="00CE3A75" w:rsidRPr="00BC727F">
        <w:rPr>
          <w:rFonts w:ascii="Times New Roman" w:hAnsi="Times New Roman" w:cs="Times New Roman"/>
          <w:i/>
          <w:sz w:val="24"/>
          <w:szCs w:val="24"/>
        </w:rPr>
        <w:t>n</w:t>
      </w:r>
      <w:r w:rsidR="00BC727F">
        <w:rPr>
          <w:rFonts w:ascii="Times New Roman" w:hAnsi="Times New Roman" w:cs="Times New Roman"/>
          <w:sz w:val="24"/>
          <w:szCs w:val="24"/>
        </w:rPr>
        <w:t>,</w:t>
      </w:r>
      <w:r>
        <w:rPr>
          <w:rFonts w:ascii="Times New Roman" w:hAnsi="Times New Roman" w:cs="Times New Roman"/>
          <w:sz w:val="24"/>
          <w:szCs w:val="24"/>
        </w:rPr>
        <w:t xml:space="preserve"> ricostruendo la posizione a cui si intende non aderire e darne debito conto</w:t>
      </w:r>
      <w:r w:rsidR="00E4097A">
        <w:rPr>
          <w:rFonts w:ascii="Times New Roman" w:hAnsi="Times New Roman" w:cs="Times New Roman"/>
          <w:sz w:val="24"/>
          <w:szCs w:val="24"/>
        </w:rPr>
        <w:t xml:space="preserve">, con la precisazione che la motivazione sul precedente giurisprudenziale non esaurisce il dovere di motivazione perché l’attenzione alla giurisprudenza è elemento necessario ma non sufficiente a superare la soglia del </w:t>
      </w:r>
      <w:r w:rsidR="00CE3A75">
        <w:rPr>
          <w:rFonts w:ascii="Times New Roman" w:hAnsi="Times New Roman" w:cs="Times New Roman"/>
          <w:sz w:val="24"/>
          <w:szCs w:val="24"/>
        </w:rPr>
        <w:t>corretto corredo motivazionale. La certezza del diritto applicata in termini assolutistici può invero portare a risultati abnormi. Applicare a tutti i costi un principio di diritto “sperimentato” per una determinata situazione ad un’altra</w:t>
      </w:r>
      <w:r w:rsidR="006203FE">
        <w:rPr>
          <w:rFonts w:ascii="Times New Roman" w:hAnsi="Times New Roman" w:cs="Times New Roman"/>
          <w:sz w:val="24"/>
          <w:szCs w:val="24"/>
        </w:rPr>
        <w:t xml:space="preserve"> -</w:t>
      </w:r>
      <w:r w:rsidR="00CE3A75">
        <w:rPr>
          <w:rFonts w:ascii="Times New Roman" w:hAnsi="Times New Roman" w:cs="Times New Roman"/>
          <w:sz w:val="24"/>
          <w:szCs w:val="24"/>
        </w:rPr>
        <w:t xml:space="preserve"> che nulla o poco ha a che vedere con la stessa </w:t>
      </w:r>
      <w:r w:rsidR="006203FE">
        <w:rPr>
          <w:rFonts w:ascii="Times New Roman" w:hAnsi="Times New Roman" w:cs="Times New Roman"/>
          <w:sz w:val="24"/>
          <w:szCs w:val="24"/>
        </w:rPr>
        <w:t xml:space="preserve">- </w:t>
      </w:r>
      <w:r w:rsidR="00CE3A75">
        <w:rPr>
          <w:rFonts w:ascii="Times New Roman" w:hAnsi="Times New Roman" w:cs="Times New Roman"/>
          <w:sz w:val="24"/>
          <w:szCs w:val="24"/>
        </w:rPr>
        <w:t>produce un fenome</w:t>
      </w:r>
      <w:r w:rsidR="00BC727F">
        <w:rPr>
          <w:rFonts w:ascii="Times New Roman" w:hAnsi="Times New Roman" w:cs="Times New Roman"/>
          <w:sz w:val="24"/>
          <w:szCs w:val="24"/>
        </w:rPr>
        <w:t>no di disuguaglianza che non sol</w:t>
      </w:r>
      <w:r w:rsidR="00CE3A75">
        <w:rPr>
          <w:rFonts w:ascii="Times New Roman" w:hAnsi="Times New Roman" w:cs="Times New Roman"/>
          <w:sz w:val="24"/>
          <w:szCs w:val="24"/>
        </w:rPr>
        <w:t>o è inconcepibile in via teorica ma è ingiust</w:t>
      </w:r>
      <w:r w:rsidR="00BC727F">
        <w:rPr>
          <w:rFonts w:ascii="Times New Roman" w:hAnsi="Times New Roman" w:cs="Times New Roman"/>
          <w:sz w:val="24"/>
          <w:szCs w:val="24"/>
        </w:rPr>
        <w:t>a</w:t>
      </w:r>
      <w:r w:rsidR="00CE3A75">
        <w:rPr>
          <w:rFonts w:ascii="Times New Roman" w:hAnsi="Times New Roman" w:cs="Times New Roman"/>
          <w:sz w:val="24"/>
          <w:szCs w:val="24"/>
        </w:rPr>
        <w:t xml:space="preserve"> sul piano pratico. </w:t>
      </w:r>
    </w:p>
    <w:p w:rsidR="00A33D41" w:rsidRDefault="00E4097A" w:rsidP="00AA33ED">
      <w:pPr>
        <w:spacing w:line="360" w:lineRule="auto"/>
        <w:jc w:val="both"/>
        <w:rPr>
          <w:rFonts w:ascii="Times New Roman" w:hAnsi="Times New Roman" w:cs="Times New Roman"/>
          <w:sz w:val="24"/>
          <w:szCs w:val="24"/>
        </w:rPr>
      </w:pPr>
      <w:r>
        <w:rPr>
          <w:rFonts w:ascii="Times New Roman" w:hAnsi="Times New Roman" w:cs="Times New Roman"/>
          <w:sz w:val="24"/>
          <w:szCs w:val="24"/>
        </w:rPr>
        <w:t>Di questa tensione ne dà ampio conto la Corte Europea dei Diritti dell’Uomo</w:t>
      </w:r>
      <w:r w:rsidR="00CE3A75">
        <w:rPr>
          <w:rFonts w:ascii="Times New Roman" w:hAnsi="Times New Roman" w:cs="Times New Roman"/>
          <w:sz w:val="24"/>
          <w:szCs w:val="24"/>
        </w:rPr>
        <w:t xml:space="preserve"> che, nella sua attività</w:t>
      </w:r>
      <w:r w:rsidR="00D417F6">
        <w:rPr>
          <w:rFonts w:ascii="Times New Roman" w:hAnsi="Times New Roman" w:cs="Times New Roman"/>
          <w:sz w:val="24"/>
          <w:szCs w:val="24"/>
        </w:rPr>
        <w:t xml:space="preserve"> anche</w:t>
      </w:r>
      <w:r w:rsidR="00CE3A75">
        <w:rPr>
          <w:rFonts w:ascii="Times New Roman" w:hAnsi="Times New Roman" w:cs="Times New Roman"/>
          <w:sz w:val="24"/>
          <w:szCs w:val="24"/>
        </w:rPr>
        <w:t xml:space="preserve"> di </w:t>
      </w:r>
      <w:r w:rsidR="00D417F6">
        <w:rPr>
          <w:rFonts w:ascii="Times New Roman" w:hAnsi="Times New Roman" w:cs="Times New Roman"/>
          <w:sz w:val="24"/>
          <w:szCs w:val="24"/>
        </w:rPr>
        <w:t>“</w:t>
      </w:r>
      <w:r w:rsidR="00CE3A75" w:rsidRPr="005265FD">
        <w:rPr>
          <w:rFonts w:ascii="Times New Roman" w:hAnsi="Times New Roman" w:cs="Times New Roman"/>
          <w:i/>
          <w:sz w:val="24"/>
          <w:szCs w:val="24"/>
        </w:rPr>
        <w:t>moral suasion</w:t>
      </w:r>
      <w:r w:rsidR="00D417F6">
        <w:rPr>
          <w:rFonts w:ascii="Times New Roman" w:hAnsi="Times New Roman" w:cs="Times New Roman"/>
          <w:i/>
          <w:sz w:val="24"/>
          <w:szCs w:val="24"/>
        </w:rPr>
        <w:t>”</w:t>
      </w:r>
      <w:r w:rsidR="00CE3A75">
        <w:rPr>
          <w:rFonts w:ascii="Times New Roman" w:hAnsi="Times New Roman" w:cs="Times New Roman"/>
          <w:sz w:val="24"/>
          <w:szCs w:val="24"/>
        </w:rPr>
        <w:t>, fornisce continuamente moniti agli Stati</w:t>
      </w:r>
      <w:r w:rsidR="005265FD">
        <w:rPr>
          <w:rFonts w:ascii="Times New Roman" w:hAnsi="Times New Roman" w:cs="Times New Roman"/>
          <w:sz w:val="24"/>
          <w:szCs w:val="24"/>
        </w:rPr>
        <w:t xml:space="preserve"> membri</w:t>
      </w:r>
      <w:r w:rsidR="00CE3A75">
        <w:rPr>
          <w:rFonts w:ascii="Times New Roman" w:hAnsi="Times New Roman" w:cs="Times New Roman"/>
          <w:sz w:val="24"/>
          <w:szCs w:val="24"/>
        </w:rPr>
        <w:t xml:space="preserve"> sulla necessità, fermo rest</w:t>
      </w:r>
      <w:r w:rsidR="006203FE">
        <w:rPr>
          <w:rFonts w:ascii="Times New Roman" w:hAnsi="Times New Roman" w:cs="Times New Roman"/>
          <w:sz w:val="24"/>
          <w:szCs w:val="24"/>
        </w:rPr>
        <w:t>ando il lor</w:t>
      </w:r>
      <w:r w:rsidR="00CE3A75">
        <w:rPr>
          <w:rFonts w:ascii="Times New Roman" w:hAnsi="Times New Roman" w:cs="Times New Roman"/>
          <w:sz w:val="24"/>
          <w:szCs w:val="24"/>
        </w:rPr>
        <w:t>o margine di apprezzamento, di predisporre dei validi strumenti per mitigare, per fronteggiare i possibili fenomeni di disuguaglianza tra fattispecie che sono diverse.</w:t>
      </w:r>
      <w:r w:rsidR="00A03610">
        <w:rPr>
          <w:rFonts w:ascii="Times New Roman" w:hAnsi="Times New Roman" w:cs="Times New Roman"/>
          <w:sz w:val="24"/>
          <w:szCs w:val="24"/>
        </w:rPr>
        <w:t xml:space="preserve"> </w:t>
      </w:r>
      <w:r w:rsidR="00BC727F">
        <w:rPr>
          <w:rFonts w:ascii="Times New Roman" w:hAnsi="Times New Roman" w:cs="Times New Roman"/>
          <w:sz w:val="24"/>
          <w:szCs w:val="24"/>
        </w:rPr>
        <w:t>Il tema del precedente impatta non solo sulla certezza del diritto ma induce l’interprete a riflettere anche sulla</w:t>
      </w:r>
      <w:r w:rsidR="00CE3A75">
        <w:rPr>
          <w:rFonts w:ascii="Times New Roman" w:hAnsi="Times New Roman" w:cs="Times New Roman"/>
          <w:sz w:val="24"/>
          <w:szCs w:val="24"/>
        </w:rPr>
        <w:t xml:space="preserve"> tutela del privato che, facendo legittimo affidamento su un consolidato orientamento giurisprudenziale</w:t>
      </w:r>
      <w:r w:rsidR="00BB1104">
        <w:rPr>
          <w:rFonts w:ascii="Times New Roman" w:hAnsi="Times New Roman" w:cs="Times New Roman"/>
          <w:sz w:val="24"/>
          <w:szCs w:val="24"/>
        </w:rPr>
        <w:t xml:space="preserve"> e predisponendo di conseguenza </w:t>
      </w:r>
      <w:r w:rsidR="00CE3A75">
        <w:rPr>
          <w:rFonts w:ascii="Times New Roman" w:hAnsi="Times New Roman" w:cs="Times New Roman"/>
          <w:sz w:val="24"/>
          <w:szCs w:val="24"/>
        </w:rPr>
        <w:t xml:space="preserve">la propria difesa su quella posizione, subisce un </w:t>
      </w:r>
      <w:r w:rsidR="00CE3A75">
        <w:rPr>
          <w:rFonts w:ascii="Times New Roman" w:hAnsi="Times New Roman" w:cs="Times New Roman"/>
          <w:sz w:val="24"/>
          <w:szCs w:val="24"/>
        </w:rPr>
        <w:lastRenderedPageBreak/>
        <w:t xml:space="preserve">cambio di prospettiva, sopporta la scelta di derogare al precedente da parte dell’organo giudicante che, nel nostro ordinamento, </w:t>
      </w:r>
      <w:r w:rsidR="00BB1104">
        <w:rPr>
          <w:rFonts w:ascii="Times New Roman" w:hAnsi="Times New Roman" w:cs="Times New Roman"/>
          <w:sz w:val="24"/>
          <w:szCs w:val="24"/>
        </w:rPr>
        <w:t xml:space="preserve">come già ricordato </w:t>
      </w:r>
      <w:r w:rsidR="00CE3A75">
        <w:rPr>
          <w:rFonts w:ascii="Times New Roman" w:hAnsi="Times New Roman" w:cs="Times New Roman"/>
          <w:sz w:val="24"/>
          <w:szCs w:val="24"/>
        </w:rPr>
        <w:t>non è vincolante ma persuasivo, che può essere oggetto di revisione senza particolari contromisure se non l’obbligo di motivazione rafforzata in caso di giudice di merito e deferimento alle Sezioni Unite ovvero all’Adunanza Plenaria in caso di contrasti all’interno dell</w:t>
      </w:r>
      <w:r w:rsidR="006203FE">
        <w:rPr>
          <w:rFonts w:ascii="Times New Roman" w:hAnsi="Times New Roman" w:cs="Times New Roman"/>
          <w:sz w:val="24"/>
          <w:szCs w:val="24"/>
        </w:rPr>
        <w:t>e</w:t>
      </w:r>
      <w:r w:rsidR="00CE3A75">
        <w:rPr>
          <w:rFonts w:ascii="Times New Roman" w:hAnsi="Times New Roman" w:cs="Times New Roman"/>
          <w:sz w:val="24"/>
          <w:szCs w:val="24"/>
        </w:rPr>
        <w:t xml:space="preserve"> sezion</w:t>
      </w:r>
      <w:r w:rsidR="006203FE">
        <w:rPr>
          <w:rFonts w:ascii="Times New Roman" w:hAnsi="Times New Roman" w:cs="Times New Roman"/>
          <w:sz w:val="24"/>
          <w:szCs w:val="24"/>
        </w:rPr>
        <w:t>i</w:t>
      </w:r>
      <w:r w:rsidR="00CE3A75">
        <w:rPr>
          <w:rFonts w:ascii="Times New Roman" w:hAnsi="Times New Roman" w:cs="Times New Roman"/>
          <w:sz w:val="24"/>
          <w:szCs w:val="24"/>
        </w:rPr>
        <w:t xml:space="preserve"> semplic</w:t>
      </w:r>
      <w:r w:rsidR="006203FE">
        <w:rPr>
          <w:rFonts w:ascii="Times New Roman" w:hAnsi="Times New Roman" w:cs="Times New Roman"/>
          <w:sz w:val="24"/>
          <w:szCs w:val="24"/>
        </w:rPr>
        <w:t>i</w:t>
      </w:r>
      <w:r w:rsidR="00CE3A75">
        <w:rPr>
          <w:rFonts w:ascii="Times New Roman" w:hAnsi="Times New Roman" w:cs="Times New Roman"/>
          <w:sz w:val="24"/>
          <w:szCs w:val="24"/>
        </w:rPr>
        <w:t xml:space="preserve">. </w:t>
      </w:r>
    </w:p>
    <w:p w:rsidR="00CE3A75" w:rsidRDefault="00CE3A75" w:rsidP="00AA33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Ecco il motivo per cui è stato necessario partire da lontano, dal significato di precedente, sulla sua possibile revisione e, a questo punto della trattazione, sugli effetti della deroga che devono essere sopportati dal privato che aveva fatto legittimo affidamento sulla sicurezza giuridica. </w:t>
      </w:r>
    </w:p>
    <w:p w:rsidR="00FB1DEE" w:rsidRPr="00821EDE" w:rsidRDefault="00FB1DEE" w:rsidP="00AA33ED">
      <w:pPr>
        <w:pStyle w:val="Paragrafoelenco"/>
        <w:numPr>
          <w:ilvl w:val="0"/>
          <w:numId w:val="2"/>
        </w:numPr>
        <w:spacing w:line="360" w:lineRule="auto"/>
        <w:jc w:val="both"/>
        <w:rPr>
          <w:rFonts w:ascii="Times New Roman" w:hAnsi="Times New Roman" w:cs="Times New Roman"/>
          <w:sz w:val="24"/>
          <w:szCs w:val="24"/>
        </w:rPr>
      </w:pPr>
      <w:proofErr w:type="spellStart"/>
      <w:r w:rsidRPr="00821EDE">
        <w:rPr>
          <w:rFonts w:ascii="Times New Roman" w:hAnsi="Times New Roman" w:cs="Times New Roman"/>
          <w:i/>
          <w:sz w:val="24"/>
          <w:szCs w:val="24"/>
        </w:rPr>
        <w:t>Overruling</w:t>
      </w:r>
      <w:proofErr w:type="spellEnd"/>
      <w:r w:rsidR="00585B05">
        <w:rPr>
          <w:rFonts w:ascii="Times New Roman" w:hAnsi="Times New Roman" w:cs="Times New Roman"/>
          <w:sz w:val="24"/>
          <w:szCs w:val="24"/>
        </w:rPr>
        <w:t>:</w:t>
      </w:r>
      <w:r w:rsidRPr="00821EDE">
        <w:rPr>
          <w:rFonts w:ascii="Times New Roman" w:hAnsi="Times New Roman" w:cs="Times New Roman"/>
          <w:sz w:val="24"/>
          <w:szCs w:val="24"/>
        </w:rPr>
        <w:t xml:space="preserve"> lo stato dell’arte. </w:t>
      </w:r>
    </w:p>
    <w:p w:rsidR="00FB1DEE" w:rsidRPr="003E5BD0" w:rsidRDefault="00FB1DEE" w:rsidP="00AA33ED">
      <w:pPr>
        <w:pStyle w:val="Nessunaspaziatura"/>
        <w:spacing w:line="360" w:lineRule="auto"/>
        <w:jc w:val="both"/>
        <w:rPr>
          <w:rFonts w:ascii="Times New Roman" w:hAnsi="Times New Roman" w:cs="Times New Roman"/>
          <w:sz w:val="24"/>
          <w:szCs w:val="24"/>
        </w:rPr>
      </w:pPr>
      <w:r w:rsidRPr="003E5BD0">
        <w:rPr>
          <w:rFonts w:ascii="Times New Roman" w:hAnsi="Times New Roman" w:cs="Times New Roman"/>
          <w:sz w:val="24"/>
          <w:szCs w:val="24"/>
        </w:rPr>
        <w:t xml:space="preserve">Il commento alla sentenza pronunciata dal Consiglio di Stato non può prescindere dall’analisi giurisprudenziale e dottrinale </w:t>
      </w:r>
      <w:r w:rsidR="00724DD1" w:rsidRPr="003E5BD0">
        <w:rPr>
          <w:rFonts w:ascii="Times New Roman" w:hAnsi="Times New Roman" w:cs="Times New Roman"/>
          <w:sz w:val="24"/>
          <w:szCs w:val="24"/>
        </w:rPr>
        <w:t>che si è stratificata nel tempo intorno a</w:t>
      </w:r>
      <w:r w:rsidR="006203FE">
        <w:rPr>
          <w:rFonts w:ascii="Times New Roman" w:hAnsi="Times New Roman" w:cs="Times New Roman"/>
          <w:sz w:val="24"/>
          <w:szCs w:val="24"/>
        </w:rPr>
        <w:t>ll’</w:t>
      </w:r>
      <w:proofErr w:type="spellStart"/>
      <w:r w:rsidR="006203FE" w:rsidRPr="006203FE">
        <w:rPr>
          <w:rFonts w:ascii="Times New Roman" w:hAnsi="Times New Roman" w:cs="Times New Roman"/>
          <w:i/>
          <w:sz w:val="24"/>
          <w:szCs w:val="24"/>
        </w:rPr>
        <w:t>overruling</w:t>
      </w:r>
      <w:proofErr w:type="spellEnd"/>
      <w:r w:rsidR="00724DD1" w:rsidRPr="003E5BD0">
        <w:rPr>
          <w:rFonts w:ascii="Times New Roman" w:hAnsi="Times New Roman" w:cs="Times New Roman"/>
          <w:sz w:val="24"/>
          <w:szCs w:val="24"/>
        </w:rPr>
        <w:t>. “</w:t>
      </w:r>
      <w:proofErr w:type="spellStart"/>
      <w:r w:rsidR="00724DD1" w:rsidRPr="006C6B72">
        <w:rPr>
          <w:rFonts w:ascii="Times New Roman" w:hAnsi="Times New Roman" w:cs="Times New Roman"/>
          <w:i/>
          <w:sz w:val="24"/>
          <w:szCs w:val="24"/>
        </w:rPr>
        <w:t>Overruling</w:t>
      </w:r>
      <w:proofErr w:type="spellEnd"/>
      <w:r w:rsidR="00724DD1" w:rsidRPr="003E5BD0">
        <w:rPr>
          <w:rFonts w:ascii="Times New Roman" w:hAnsi="Times New Roman" w:cs="Times New Roman"/>
          <w:sz w:val="24"/>
          <w:szCs w:val="24"/>
        </w:rPr>
        <w:t>”, da un punto di vista etimologico, vuol dire “passare oltre”. Può essere analizzato, da un punto di vista fenomenologico, secondo due direttrici. La prima</w:t>
      </w:r>
      <w:r w:rsidR="00821EDE" w:rsidRPr="003E5BD0">
        <w:rPr>
          <w:rFonts w:ascii="Times New Roman" w:hAnsi="Times New Roman" w:cs="Times New Roman"/>
          <w:sz w:val="24"/>
          <w:szCs w:val="24"/>
        </w:rPr>
        <w:t>,</w:t>
      </w:r>
      <w:r w:rsidR="00724DD1" w:rsidRPr="003E5BD0">
        <w:rPr>
          <w:rFonts w:ascii="Times New Roman" w:hAnsi="Times New Roman" w:cs="Times New Roman"/>
          <w:sz w:val="24"/>
          <w:szCs w:val="24"/>
        </w:rPr>
        <w:t xml:space="preserve"> come elemento fisiologico dell’ord</w:t>
      </w:r>
      <w:r w:rsidR="00821EDE" w:rsidRPr="003E5BD0">
        <w:rPr>
          <w:rFonts w:ascii="Times New Roman" w:hAnsi="Times New Roman" w:cs="Times New Roman"/>
          <w:sz w:val="24"/>
          <w:szCs w:val="24"/>
        </w:rPr>
        <w:t>inamento giuridico. È n</w:t>
      </w:r>
      <w:r w:rsidR="00724DD1" w:rsidRPr="003E5BD0">
        <w:rPr>
          <w:rFonts w:ascii="Times New Roman" w:hAnsi="Times New Roman" w:cs="Times New Roman"/>
          <w:sz w:val="24"/>
          <w:szCs w:val="24"/>
        </w:rPr>
        <w:t xml:space="preserve">aturale </w:t>
      </w:r>
      <w:r w:rsidR="00821EDE" w:rsidRPr="003E5BD0">
        <w:rPr>
          <w:rFonts w:ascii="Times New Roman" w:hAnsi="Times New Roman" w:cs="Times New Roman"/>
          <w:sz w:val="24"/>
          <w:szCs w:val="24"/>
        </w:rPr>
        <w:t xml:space="preserve">- </w:t>
      </w:r>
      <w:r w:rsidR="00724DD1" w:rsidRPr="003E5BD0">
        <w:rPr>
          <w:rFonts w:ascii="Times New Roman" w:hAnsi="Times New Roman" w:cs="Times New Roman"/>
          <w:sz w:val="24"/>
          <w:szCs w:val="24"/>
        </w:rPr>
        <w:t xml:space="preserve">e quindi tollerabile </w:t>
      </w:r>
      <w:r w:rsidR="00821EDE" w:rsidRPr="003E5BD0">
        <w:rPr>
          <w:rFonts w:ascii="Times New Roman" w:hAnsi="Times New Roman" w:cs="Times New Roman"/>
          <w:sz w:val="24"/>
          <w:szCs w:val="24"/>
        </w:rPr>
        <w:t xml:space="preserve">- </w:t>
      </w:r>
      <w:r w:rsidR="00724DD1" w:rsidRPr="003E5BD0">
        <w:rPr>
          <w:rFonts w:ascii="Times New Roman" w:hAnsi="Times New Roman" w:cs="Times New Roman"/>
          <w:sz w:val="24"/>
          <w:szCs w:val="24"/>
        </w:rPr>
        <w:t>che l’interpretazione giuridica subisca l’influenza del cambiamento. Del resto, uno dei criteri di interpretazione del diritto</w:t>
      </w:r>
      <w:r w:rsidR="00821EDE" w:rsidRPr="003E5BD0">
        <w:rPr>
          <w:rFonts w:ascii="Times New Roman" w:hAnsi="Times New Roman" w:cs="Times New Roman"/>
          <w:sz w:val="24"/>
          <w:szCs w:val="24"/>
        </w:rPr>
        <w:t xml:space="preserve"> maggiormente</w:t>
      </w:r>
      <w:r w:rsidR="00724DD1" w:rsidRPr="003E5BD0">
        <w:rPr>
          <w:rFonts w:ascii="Times New Roman" w:hAnsi="Times New Roman" w:cs="Times New Roman"/>
          <w:sz w:val="24"/>
          <w:szCs w:val="24"/>
        </w:rPr>
        <w:t xml:space="preserve"> utilizzati dai giudici è l’interpretazione evolutiva, la lettura della disposizione secondo quella che è la struttura della società del tempo in cui deve essere applicata la </w:t>
      </w:r>
      <w:r w:rsidR="00724DD1" w:rsidRPr="00BB1104">
        <w:rPr>
          <w:rFonts w:ascii="Times New Roman" w:hAnsi="Times New Roman" w:cs="Times New Roman"/>
          <w:i/>
          <w:sz w:val="24"/>
          <w:szCs w:val="24"/>
        </w:rPr>
        <w:t xml:space="preserve">regola </w:t>
      </w:r>
      <w:proofErr w:type="spellStart"/>
      <w:r w:rsidR="00724DD1" w:rsidRPr="00BB1104">
        <w:rPr>
          <w:rFonts w:ascii="Times New Roman" w:hAnsi="Times New Roman" w:cs="Times New Roman"/>
          <w:i/>
          <w:sz w:val="24"/>
          <w:szCs w:val="24"/>
        </w:rPr>
        <w:t>iuris</w:t>
      </w:r>
      <w:proofErr w:type="spellEnd"/>
      <w:r w:rsidR="00724DD1" w:rsidRPr="003E5BD0">
        <w:rPr>
          <w:rFonts w:ascii="Times New Roman" w:hAnsi="Times New Roman" w:cs="Times New Roman"/>
          <w:sz w:val="24"/>
          <w:szCs w:val="24"/>
        </w:rPr>
        <w:t xml:space="preserve">. Con il termine </w:t>
      </w:r>
      <w:proofErr w:type="spellStart"/>
      <w:r w:rsidR="00724DD1" w:rsidRPr="00BB1104">
        <w:rPr>
          <w:rFonts w:ascii="Times New Roman" w:hAnsi="Times New Roman" w:cs="Times New Roman"/>
          <w:i/>
          <w:sz w:val="24"/>
          <w:szCs w:val="24"/>
        </w:rPr>
        <w:t>overruling</w:t>
      </w:r>
      <w:proofErr w:type="spellEnd"/>
      <w:r w:rsidR="00724DD1" w:rsidRPr="003E5BD0">
        <w:rPr>
          <w:rFonts w:ascii="Times New Roman" w:hAnsi="Times New Roman" w:cs="Times New Roman"/>
          <w:sz w:val="24"/>
          <w:szCs w:val="24"/>
        </w:rPr>
        <w:t xml:space="preserve">, però, si intende altresì </w:t>
      </w:r>
      <w:r w:rsidR="00F15799" w:rsidRPr="003E5BD0">
        <w:rPr>
          <w:rFonts w:ascii="Times New Roman" w:hAnsi="Times New Roman" w:cs="Times New Roman"/>
          <w:sz w:val="24"/>
          <w:szCs w:val="24"/>
        </w:rPr>
        <w:t xml:space="preserve">l’insieme di </w:t>
      </w:r>
      <w:r w:rsidR="00724DD1" w:rsidRPr="003E5BD0">
        <w:rPr>
          <w:rFonts w:ascii="Times New Roman" w:hAnsi="Times New Roman" w:cs="Times New Roman"/>
          <w:sz w:val="24"/>
          <w:szCs w:val="24"/>
        </w:rPr>
        <w:t>tecnic</w:t>
      </w:r>
      <w:r w:rsidR="00F15799" w:rsidRPr="003E5BD0">
        <w:rPr>
          <w:rFonts w:ascii="Times New Roman" w:hAnsi="Times New Roman" w:cs="Times New Roman"/>
          <w:sz w:val="24"/>
          <w:szCs w:val="24"/>
        </w:rPr>
        <w:t>he di tutela finalizzate</w:t>
      </w:r>
      <w:r w:rsidR="00724DD1" w:rsidRPr="003E5BD0">
        <w:rPr>
          <w:rFonts w:ascii="Times New Roman" w:hAnsi="Times New Roman" w:cs="Times New Roman"/>
          <w:sz w:val="24"/>
          <w:szCs w:val="24"/>
        </w:rPr>
        <w:t xml:space="preserve"> </w:t>
      </w:r>
      <w:r w:rsidR="00724DD1" w:rsidRPr="003A646D">
        <w:rPr>
          <w:rFonts w:ascii="Times New Roman" w:hAnsi="Times New Roman" w:cs="Times New Roman"/>
          <w:sz w:val="24"/>
          <w:szCs w:val="24"/>
        </w:rPr>
        <w:t>a porre al riparo dagli effetti processuali pregiudizievoli la parte</w:t>
      </w:r>
      <w:r w:rsidR="00724DD1" w:rsidRPr="003E5BD0">
        <w:rPr>
          <w:rFonts w:ascii="Times New Roman" w:hAnsi="Times New Roman" w:cs="Times New Roman"/>
          <w:sz w:val="24"/>
          <w:szCs w:val="24"/>
        </w:rPr>
        <w:t>.</w:t>
      </w:r>
    </w:p>
    <w:p w:rsidR="00F15799" w:rsidRPr="003E5BD0" w:rsidRDefault="00F15799" w:rsidP="00AA33ED">
      <w:pPr>
        <w:pStyle w:val="Nessunaspaziatura"/>
        <w:spacing w:line="360" w:lineRule="auto"/>
        <w:jc w:val="both"/>
        <w:rPr>
          <w:rFonts w:ascii="Times New Roman" w:hAnsi="Times New Roman" w:cs="Times New Roman"/>
          <w:sz w:val="24"/>
          <w:szCs w:val="24"/>
        </w:rPr>
      </w:pPr>
      <w:r w:rsidRPr="003E5BD0">
        <w:rPr>
          <w:rFonts w:ascii="Times New Roman" w:hAnsi="Times New Roman" w:cs="Times New Roman"/>
          <w:sz w:val="24"/>
          <w:szCs w:val="24"/>
        </w:rPr>
        <w:t xml:space="preserve">L’esigenza di tutela del principio di certezza di diritto è un monito che viene dalla stessa Corte EDU (ritorna, in questo modo il ruolo di elemento veicolante, acceleratore della giurisprudenza della </w:t>
      </w:r>
      <w:r w:rsidR="00BB1104">
        <w:rPr>
          <w:rFonts w:ascii="Times New Roman" w:hAnsi="Times New Roman" w:cs="Times New Roman"/>
          <w:sz w:val="24"/>
          <w:szCs w:val="24"/>
        </w:rPr>
        <w:t>C</w:t>
      </w:r>
      <w:r w:rsidRPr="003E5BD0">
        <w:rPr>
          <w:rFonts w:ascii="Times New Roman" w:hAnsi="Times New Roman" w:cs="Times New Roman"/>
          <w:sz w:val="24"/>
          <w:szCs w:val="24"/>
        </w:rPr>
        <w:t xml:space="preserve">orte </w:t>
      </w:r>
      <w:r w:rsidR="00BB1104">
        <w:rPr>
          <w:rFonts w:ascii="Times New Roman" w:hAnsi="Times New Roman" w:cs="Times New Roman"/>
          <w:sz w:val="24"/>
          <w:szCs w:val="24"/>
        </w:rPr>
        <w:t>E</w:t>
      </w:r>
      <w:r w:rsidRPr="003E5BD0">
        <w:rPr>
          <w:rFonts w:ascii="Times New Roman" w:hAnsi="Times New Roman" w:cs="Times New Roman"/>
          <w:sz w:val="24"/>
          <w:szCs w:val="24"/>
        </w:rPr>
        <w:t xml:space="preserve">uropea dei </w:t>
      </w:r>
      <w:r w:rsidR="00BB1104">
        <w:rPr>
          <w:rFonts w:ascii="Times New Roman" w:hAnsi="Times New Roman" w:cs="Times New Roman"/>
          <w:sz w:val="24"/>
          <w:szCs w:val="24"/>
        </w:rPr>
        <w:t>D</w:t>
      </w:r>
      <w:r w:rsidRPr="003E5BD0">
        <w:rPr>
          <w:rFonts w:ascii="Times New Roman" w:hAnsi="Times New Roman" w:cs="Times New Roman"/>
          <w:sz w:val="24"/>
          <w:szCs w:val="24"/>
        </w:rPr>
        <w:t>iritti dell’</w:t>
      </w:r>
      <w:r w:rsidR="00BB1104">
        <w:rPr>
          <w:rFonts w:ascii="Times New Roman" w:hAnsi="Times New Roman" w:cs="Times New Roman"/>
          <w:sz w:val="24"/>
          <w:szCs w:val="24"/>
        </w:rPr>
        <w:t>U</w:t>
      </w:r>
      <w:r w:rsidRPr="003E5BD0">
        <w:rPr>
          <w:rFonts w:ascii="Times New Roman" w:hAnsi="Times New Roman" w:cs="Times New Roman"/>
          <w:sz w:val="24"/>
          <w:szCs w:val="24"/>
        </w:rPr>
        <w:t xml:space="preserve">omo) che in più occasioni, </w:t>
      </w:r>
      <w:proofErr w:type="spellStart"/>
      <w:r w:rsidRPr="00BC0BE4">
        <w:rPr>
          <w:rFonts w:ascii="Times New Roman" w:hAnsi="Times New Roman" w:cs="Times New Roman"/>
          <w:i/>
          <w:sz w:val="24"/>
          <w:szCs w:val="24"/>
        </w:rPr>
        <w:t>Beian</w:t>
      </w:r>
      <w:proofErr w:type="spellEnd"/>
      <w:r w:rsidRPr="00BC0BE4">
        <w:rPr>
          <w:rFonts w:ascii="Times New Roman" w:hAnsi="Times New Roman" w:cs="Times New Roman"/>
          <w:i/>
          <w:sz w:val="24"/>
          <w:szCs w:val="24"/>
        </w:rPr>
        <w:t xml:space="preserve"> c. Romania</w:t>
      </w:r>
      <w:r w:rsidRPr="003E5BD0">
        <w:rPr>
          <w:rFonts w:ascii="Times New Roman" w:hAnsi="Times New Roman" w:cs="Times New Roman"/>
          <w:sz w:val="24"/>
          <w:szCs w:val="24"/>
        </w:rPr>
        <w:t xml:space="preserve"> ovvero </w:t>
      </w:r>
      <w:r w:rsidRPr="00BC0BE4">
        <w:rPr>
          <w:rFonts w:ascii="Times New Roman" w:hAnsi="Times New Roman" w:cs="Times New Roman"/>
          <w:i/>
          <w:sz w:val="24"/>
          <w:szCs w:val="24"/>
        </w:rPr>
        <w:t>Santos c. Portogallo</w:t>
      </w:r>
      <w:r w:rsidR="001C61F6">
        <w:rPr>
          <w:rFonts w:ascii="Times New Roman" w:hAnsi="Times New Roman" w:cs="Times New Roman"/>
          <w:sz w:val="24"/>
          <w:szCs w:val="24"/>
        </w:rPr>
        <w:t xml:space="preserve"> tra tante</w:t>
      </w:r>
      <w:r w:rsidRPr="003E5BD0">
        <w:rPr>
          <w:rFonts w:ascii="Times New Roman" w:hAnsi="Times New Roman" w:cs="Times New Roman"/>
          <w:sz w:val="24"/>
          <w:szCs w:val="24"/>
        </w:rPr>
        <w:t>, ha avuto modo di precisare che la presenza di orientamenti contrastanti a cui le corti non pongono rimedio rappresenta una violazione dell’art. 6 CEDU</w:t>
      </w:r>
      <w:r w:rsidR="009C0B3D">
        <w:rPr>
          <w:rStyle w:val="Rimandonotaapidipagina"/>
          <w:rFonts w:ascii="Times New Roman" w:hAnsi="Times New Roman" w:cs="Times New Roman"/>
          <w:sz w:val="24"/>
          <w:szCs w:val="24"/>
        </w:rPr>
        <w:footnoteReference w:id="7"/>
      </w:r>
      <w:r w:rsidRPr="003E5BD0">
        <w:rPr>
          <w:rFonts w:ascii="Times New Roman" w:hAnsi="Times New Roman" w:cs="Times New Roman"/>
          <w:sz w:val="24"/>
          <w:szCs w:val="24"/>
        </w:rPr>
        <w:t xml:space="preserve">. Non sapere quali siano le regole applicabili al caso concreto </w:t>
      </w:r>
      <w:r w:rsidR="001C61F6">
        <w:rPr>
          <w:rFonts w:ascii="Times New Roman" w:hAnsi="Times New Roman" w:cs="Times New Roman"/>
          <w:sz w:val="24"/>
          <w:szCs w:val="24"/>
        </w:rPr>
        <w:t>viola il principio</w:t>
      </w:r>
      <w:r w:rsidRPr="003E5BD0">
        <w:rPr>
          <w:rFonts w:ascii="Times New Roman" w:hAnsi="Times New Roman" w:cs="Times New Roman"/>
          <w:sz w:val="24"/>
          <w:szCs w:val="24"/>
        </w:rPr>
        <w:t xml:space="preserve"> del giusto processo. </w:t>
      </w:r>
      <w:r w:rsidR="003E5BD0" w:rsidRPr="003E5BD0">
        <w:rPr>
          <w:rFonts w:ascii="Times New Roman" w:hAnsi="Times New Roman" w:cs="Times New Roman"/>
          <w:sz w:val="24"/>
          <w:szCs w:val="24"/>
        </w:rPr>
        <w:t xml:space="preserve">Diverso da questo caso, però, è l’automatico divieto di modifica degli orientamenti giurisprudenziali. </w:t>
      </w:r>
      <w:r w:rsidR="003E5BD0" w:rsidRPr="003E5BD0">
        <w:rPr>
          <w:rFonts w:ascii="Times New Roman" w:hAnsi="Times New Roman" w:cs="Times New Roman"/>
          <w:sz w:val="24"/>
          <w:szCs w:val="24"/>
          <w:lang w:val="en-GB"/>
        </w:rPr>
        <w:t xml:space="preserve">Secondo la Corte, </w:t>
      </w:r>
      <w:proofErr w:type="spellStart"/>
      <w:r w:rsidR="003E5BD0" w:rsidRPr="001C61F6">
        <w:rPr>
          <w:rFonts w:ascii="Times New Roman" w:hAnsi="Times New Roman" w:cs="Times New Roman"/>
          <w:i/>
          <w:sz w:val="24"/>
          <w:szCs w:val="24"/>
          <w:lang w:val="en-GB"/>
        </w:rPr>
        <w:t>Unedic</w:t>
      </w:r>
      <w:proofErr w:type="spellEnd"/>
      <w:r w:rsidR="003E5BD0" w:rsidRPr="001C61F6">
        <w:rPr>
          <w:rFonts w:ascii="Times New Roman" w:hAnsi="Times New Roman" w:cs="Times New Roman"/>
          <w:i/>
          <w:sz w:val="24"/>
          <w:szCs w:val="24"/>
          <w:lang w:val="en-GB"/>
        </w:rPr>
        <w:t xml:space="preserve"> c. </w:t>
      </w:r>
      <w:proofErr w:type="spellStart"/>
      <w:r w:rsidR="003E5BD0" w:rsidRPr="001C61F6">
        <w:rPr>
          <w:rFonts w:ascii="Times New Roman" w:hAnsi="Times New Roman" w:cs="Times New Roman"/>
          <w:i/>
          <w:sz w:val="24"/>
          <w:szCs w:val="24"/>
          <w:lang w:val="en-GB"/>
        </w:rPr>
        <w:t>Francia</w:t>
      </w:r>
      <w:proofErr w:type="spellEnd"/>
      <w:r w:rsidR="003E5BD0">
        <w:rPr>
          <w:rStyle w:val="Rimandonotaapidipagina"/>
          <w:rFonts w:ascii="Times New Roman" w:hAnsi="Times New Roman" w:cs="Times New Roman"/>
          <w:sz w:val="24"/>
          <w:szCs w:val="24"/>
          <w:lang w:val="en-GB"/>
        </w:rPr>
        <w:footnoteReference w:id="8"/>
      </w:r>
      <w:r w:rsidR="003E5BD0" w:rsidRPr="003E5BD0">
        <w:rPr>
          <w:rFonts w:ascii="Times New Roman" w:hAnsi="Times New Roman" w:cs="Times New Roman"/>
          <w:sz w:val="24"/>
          <w:szCs w:val="24"/>
          <w:lang w:val="en-GB"/>
        </w:rPr>
        <w:t>, “</w:t>
      </w:r>
      <w:r w:rsidR="003E5BD0" w:rsidRPr="003E5BD0">
        <w:rPr>
          <w:rFonts w:ascii="Times New Roman" w:hAnsi="Times New Roman" w:cs="Times New Roman"/>
          <w:i/>
          <w:sz w:val="24"/>
          <w:szCs w:val="24"/>
          <w:lang w:val="en-GB"/>
        </w:rPr>
        <w:t xml:space="preserve">Case-law development is not, in itself, contrary to the proper administration of justice since a failure to maintain a dynamic and </w:t>
      </w:r>
      <w:proofErr w:type="spellStart"/>
      <w:r w:rsidR="003E5BD0" w:rsidRPr="003E5BD0">
        <w:rPr>
          <w:rFonts w:ascii="Times New Roman" w:hAnsi="Times New Roman" w:cs="Times New Roman"/>
          <w:i/>
          <w:sz w:val="24"/>
          <w:szCs w:val="24"/>
          <w:lang w:val="en-GB"/>
        </w:rPr>
        <w:t>evolutive</w:t>
      </w:r>
      <w:proofErr w:type="spellEnd"/>
      <w:r w:rsidR="003E5BD0" w:rsidRPr="003E5BD0">
        <w:rPr>
          <w:rFonts w:ascii="Times New Roman" w:hAnsi="Times New Roman" w:cs="Times New Roman"/>
          <w:i/>
          <w:sz w:val="24"/>
          <w:szCs w:val="24"/>
          <w:lang w:val="en-GB"/>
        </w:rPr>
        <w:t xml:space="preserve"> approach would risk hindering reform or improvement</w:t>
      </w:r>
      <w:r w:rsidR="003E5BD0" w:rsidRPr="003E5BD0">
        <w:rPr>
          <w:rFonts w:ascii="Times New Roman" w:hAnsi="Times New Roman" w:cs="Times New Roman"/>
          <w:sz w:val="24"/>
          <w:szCs w:val="24"/>
          <w:lang w:val="en-GB"/>
        </w:rPr>
        <w:t>”</w:t>
      </w:r>
      <w:r w:rsidR="003E5BD0">
        <w:rPr>
          <w:rFonts w:ascii="Times New Roman" w:hAnsi="Times New Roman" w:cs="Times New Roman"/>
          <w:sz w:val="24"/>
          <w:szCs w:val="24"/>
          <w:lang w:val="en-GB"/>
        </w:rPr>
        <w:t xml:space="preserve">. </w:t>
      </w:r>
      <w:r w:rsidR="004A5250">
        <w:rPr>
          <w:rFonts w:ascii="Times New Roman" w:hAnsi="Times New Roman" w:cs="Times New Roman"/>
          <w:sz w:val="24"/>
          <w:szCs w:val="24"/>
        </w:rPr>
        <w:t>Per</w:t>
      </w:r>
      <w:r w:rsidR="003E5BD0" w:rsidRPr="003E5BD0">
        <w:rPr>
          <w:rFonts w:ascii="Times New Roman" w:hAnsi="Times New Roman" w:cs="Times New Roman"/>
          <w:sz w:val="24"/>
          <w:szCs w:val="24"/>
        </w:rPr>
        <w:t xml:space="preserve"> i giudici di Strasburgo, il mutamento giurisprudenziale è una questione fisiologica e</w:t>
      </w:r>
      <w:r w:rsidR="004A5250">
        <w:rPr>
          <w:rFonts w:ascii="Times New Roman" w:hAnsi="Times New Roman" w:cs="Times New Roman"/>
          <w:sz w:val="24"/>
          <w:szCs w:val="24"/>
        </w:rPr>
        <w:t>,</w:t>
      </w:r>
      <w:r w:rsidR="003E5BD0" w:rsidRPr="003E5BD0">
        <w:rPr>
          <w:rFonts w:ascii="Times New Roman" w:hAnsi="Times New Roman" w:cs="Times New Roman"/>
          <w:sz w:val="24"/>
          <w:szCs w:val="24"/>
        </w:rPr>
        <w:t xml:space="preserve"> fintanto che non incide negativamente sulle regole del giusto processo</w:t>
      </w:r>
      <w:r w:rsidR="004A5250">
        <w:rPr>
          <w:rFonts w:ascii="Times New Roman" w:hAnsi="Times New Roman" w:cs="Times New Roman"/>
          <w:sz w:val="24"/>
          <w:szCs w:val="24"/>
        </w:rPr>
        <w:t>,</w:t>
      </w:r>
      <w:r w:rsidR="003E5BD0" w:rsidRPr="003E5BD0">
        <w:rPr>
          <w:rFonts w:ascii="Times New Roman" w:hAnsi="Times New Roman" w:cs="Times New Roman"/>
          <w:sz w:val="24"/>
          <w:szCs w:val="24"/>
        </w:rPr>
        <w:t xml:space="preserve"> va salvaguardata e incentivata </w:t>
      </w:r>
      <w:r w:rsidR="00BB1104" w:rsidRPr="003E5BD0">
        <w:rPr>
          <w:rFonts w:ascii="Times New Roman" w:hAnsi="Times New Roman" w:cs="Times New Roman"/>
          <w:sz w:val="24"/>
          <w:szCs w:val="24"/>
        </w:rPr>
        <w:t>perché</w:t>
      </w:r>
      <w:r w:rsidR="003E5BD0" w:rsidRPr="003E5BD0">
        <w:rPr>
          <w:rFonts w:ascii="Times New Roman" w:hAnsi="Times New Roman" w:cs="Times New Roman"/>
          <w:sz w:val="24"/>
          <w:szCs w:val="24"/>
        </w:rPr>
        <w:t xml:space="preserve"> introduce riforme e miglioramenti.</w:t>
      </w:r>
      <w:r w:rsidR="009C0B3D">
        <w:rPr>
          <w:rFonts w:ascii="Times New Roman" w:hAnsi="Times New Roman" w:cs="Times New Roman"/>
          <w:sz w:val="24"/>
          <w:szCs w:val="24"/>
        </w:rPr>
        <w:t xml:space="preserve"> Lo stesso principio è stato ribadito in numerose </w:t>
      </w:r>
      <w:r w:rsidR="009C0B3D">
        <w:rPr>
          <w:rFonts w:ascii="Times New Roman" w:hAnsi="Times New Roman" w:cs="Times New Roman"/>
          <w:sz w:val="24"/>
          <w:szCs w:val="24"/>
        </w:rPr>
        <w:lastRenderedPageBreak/>
        <w:t xml:space="preserve">altre sentenze, tra cui, </w:t>
      </w:r>
      <w:proofErr w:type="spellStart"/>
      <w:r w:rsidR="009C0B3D" w:rsidRPr="00BB1104">
        <w:rPr>
          <w:rFonts w:ascii="Times New Roman" w:hAnsi="Times New Roman" w:cs="Times New Roman"/>
          <w:i/>
          <w:sz w:val="24"/>
          <w:szCs w:val="24"/>
        </w:rPr>
        <w:t>Sepe</w:t>
      </w:r>
      <w:proofErr w:type="spellEnd"/>
      <w:r w:rsidR="009C0B3D" w:rsidRPr="00BB1104">
        <w:rPr>
          <w:rFonts w:ascii="Times New Roman" w:hAnsi="Times New Roman" w:cs="Times New Roman"/>
          <w:i/>
          <w:sz w:val="24"/>
          <w:szCs w:val="24"/>
        </w:rPr>
        <w:t xml:space="preserve"> e Di Leta c. Italia</w:t>
      </w:r>
      <w:r w:rsidR="009C0B3D">
        <w:rPr>
          <w:rStyle w:val="Rimandonotaapidipagina"/>
          <w:rFonts w:ascii="Times New Roman" w:hAnsi="Times New Roman" w:cs="Times New Roman"/>
          <w:sz w:val="24"/>
          <w:szCs w:val="24"/>
        </w:rPr>
        <w:footnoteReference w:id="9"/>
      </w:r>
      <w:r w:rsidR="00BB1104">
        <w:rPr>
          <w:rFonts w:ascii="Times New Roman" w:hAnsi="Times New Roman" w:cs="Times New Roman"/>
          <w:sz w:val="24"/>
          <w:szCs w:val="24"/>
        </w:rPr>
        <w:t>:</w:t>
      </w:r>
      <w:r w:rsidR="009C0B3D">
        <w:rPr>
          <w:rFonts w:ascii="Times New Roman" w:hAnsi="Times New Roman" w:cs="Times New Roman"/>
          <w:sz w:val="24"/>
          <w:szCs w:val="24"/>
        </w:rPr>
        <w:t xml:space="preserve"> “</w:t>
      </w:r>
      <w:r w:rsidR="009C0B3D" w:rsidRPr="009C0B3D">
        <w:rPr>
          <w:rFonts w:ascii="Times New Roman" w:hAnsi="Times New Roman" w:cs="Times New Roman"/>
          <w:i/>
          <w:sz w:val="24"/>
          <w:szCs w:val="24"/>
        </w:rPr>
        <w:t xml:space="preserve">la Corte (ha) osserva(to) che le esigenze di certezza del diritto e di tutela della fiducia dei cittadini non conferiscono un diritto acquisito alla coerenza giurisprudenziale (si veda </w:t>
      </w:r>
      <w:proofErr w:type="spellStart"/>
      <w:r w:rsidR="009C0B3D" w:rsidRPr="009C0B3D">
        <w:rPr>
          <w:rFonts w:ascii="Times New Roman" w:hAnsi="Times New Roman" w:cs="Times New Roman"/>
          <w:i/>
          <w:sz w:val="24"/>
          <w:szCs w:val="24"/>
        </w:rPr>
        <w:t>Unédic</w:t>
      </w:r>
      <w:proofErr w:type="spellEnd"/>
      <w:r w:rsidR="009C0B3D" w:rsidRPr="009C0B3D">
        <w:rPr>
          <w:rFonts w:ascii="Times New Roman" w:hAnsi="Times New Roman" w:cs="Times New Roman"/>
          <w:i/>
          <w:sz w:val="24"/>
          <w:szCs w:val="24"/>
        </w:rPr>
        <w:t xml:space="preserve"> c. Francia, n. 20153/04 § 74, 18 dicembre 2008). L’evoluzione della giurisprudenza non è, di per sé, contraria alla corretta amministrazione della giustizia, poiché il venire meno di un approccio dinamico ed evolutivo rischierebbe di ostacolare le riforme o il miglioramento (si veda </w:t>
      </w:r>
      <w:proofErr w:type="spellStart"/>
      <w:r w:rsidR="009C0B3D" w:rsidRPr="009C0B3D">
        <w:rPr>
          <w:rFonts w:ascii="Times New Roman" w:hAnsi="Times New Roman" w:cs="Times New Roman"/>
          <w:i/>
          <w:sz w:val="24"/>
          <w:szCs w:val="24"/>
        </w:rPr>
        <w:t>Atanasovski</w:t>
      </w:r>
      <w:proofErr w:type="spellEnd"/>
      <w:r w:rsidR="009C0B3D" w:rsidRPr="009C0B3D">
        <w:rPr>
          <w:rFonts w:ascii="Times New Roman" w:hAnsi="Times New Roman" w:cs="Times New Roman"/>
          <w:i/>
          <w:sz w:val="24"/>
          <w:szCs w:val="24"/>
        </w:rPr>
        <w:t xml:space="preserve"> c. “Ex Repubblica jugoslava di Macedonia”, n. 36815/03, § 38, 14 gennaio 2010). Inoltre una domanda individuale alla Corte non può essere utilizzata come mezzo per affrontare o eliminare i conflitti di giurisprudenza che possono sorgere nel diritto interno o come meccanismo di riesame per rettificare le incongruenze delle decisioni dei diversi tribunali interni (</w:t>
      </w:r>
      <w:proofErr w:type="spellStart"/>
      <w:r w:rsidR="009C0B3D" w:rsidRPr="009C0B3D">
        <w:rPr>
          <w:rFonts w:ascii="Times New Roman" w:hAnsi="Times New Roman" w:cs="Times New Roman"/>
          <w:i/>
          <w:sz w:val="24"/>
          <w:szCs w:val="24"/>
        </w:rPr>
        <w:t>Nejdet</w:t>
      </w:r>
      <w:proofErr w:type="spellEnd"/>
      <w:r w:rsidR="009C0B3D" w:rsidRPr="009C0B3D">
        <w:rPr>
          <w:rFonts w:ascii="Times New Roman" w:hAnsi="Times New Roman" w:cs="Times New Roman"/>
          <w:i/>
          <w:sz w:val="24"/>
          <w:szCs w:val="24"/>
        </w:rPr>
        <w:t xml:space="preserve"> </w:t>
      </w:r>
      <w:proofErr w:type="spellStart"/>
      <w:r w:rsidR="009C0B3D" w:rsidRPr="009C0B3D">
        <w:rPr>
          <w:rFonts w:ascii="Times New Roman" w:hAnsi="Times New Roman" w:cs="Times New Roman"/>
          <w:i/>
          <w:sz w:val="24"/>
          <w:szCs w:val="24"/>
        </w:rPr>
        <w:t>Şahin</w:t>
      </w:r>
      <w:proofErr w:type="spellEnd"/>
      <w:r w:rsidR="009C0B3D" w:rsidRPr="009C0B3D">
        <w:rPr>
          <w:rFonts w:ascii="Times New Roman" w:hAnsi="Times New Roman" w:cs="Times New Roman"/>
          <w:i/>
          <w:sz w:val="24"/>
          <w:szCs w:val="24"/>
        </w:rPr>
        <w:t xml:space="preserve"> e </w:t>
      </w:r>
      <w:proofErr w:type="spellStart"/>
      <w:r w:rsidR="009C0B3D" w:rsidRPr="009C0B3D">
        <w:rPr>
          <w:rFonts w:ascii="Times New Roman" w:hAnsi="Times New Roman" w:cs="Times New Roman"/>
          <w:i/>
          <w:sz w:val="24"/>
          <w:szCs w:val="24"/>
        </w:rPr>
        <w:t>Perihan</w:t>
      </w:r>
      <w:proofErr w:type="spellEnd"/>
      <w:r w:rsidR="009C0B3D" w:rsidRPr="009C0B3D">
        <w:rPr>
          <w:rFonts w:ascii="Times New Roman" w:hAnsi="Times New Roman" w:cs="Times New Roman"/>
          <w:i/>
          <w:sz w:val="24"/>
          <w:szCs w:val="24"/>
        </w:rPr>
        <w:t xml:space="preserve"> </w:t>
      </w:r>
      <w:proofErr w:type="spellStart"/>
      <w:r w:rsidR="009C0B3D" w:rsidRPr="009C0B3D">
        <w:rPr>
          <w:rFonts w:ascii="Times New Roman" w:hAnsi="Times New Roman" w:cs="Times New Roman"/>
          <w:i/>
          <w:sz w:val="24"/>
          <w:szCs w:val="24"/>
        </w:rPr>
        <w:t>Şahin</w:t>
      </w:r>
      <w:proofErr w:type="spellEnd"/>
      <w:r w:rsidR="009C0B3D" w:rsidRPr="009C0B3D">
        <w:rPr>
          <w:rFonts w:ascii="Times New Roman" w:hAnsi="Times New Roman" w:cs="Times New Roman"/>
          <w:i/>
          <w:sz w:val="24"/>
          <w:szCs w:val="24"/>
        </w:rPr>
        <w:t xml:space="preserve"> c. Turchia, (GC), 13279/05, § 95, 20 ottobre 2011)</w:t>
      </w:r>
      <w:r w:rsidR="009C0B3D">
        <w:rPr>
          <w:rFonts w:ascii="Times New Roman" w:hAnsi="Times New Roman" w:cs="Times New Roman"/>
          <w:sz w:val="24"/>
          <w:szCs w:val="24"/>
        </w:rPr>
        <w:t>”</w:t>
      </w:r>
      <w:r w:rsidR="009C0B3D" w:rsidRPr="009C0B3D">
        <w:rPr>
          <w:rFonts w:ascii="Times New Roman" w:hAnsi="Times New Roman" w:cs="Times New Roman"/>
          <w:sz w:val="24"/>
          <w:szCs w:val="24"/>
        </w:rPr>
        <w:t>.</w:t>
      </w:r>
    </w:p>
    <w:p w:rsidR="009C0B3D" w:rsidRDefault="007B3498"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Acclarato qual è il ruolo </w:t>
      </w:r>
      <w:r w:rsidR="001C61F6">
        <w:rPr>
          <w:rFonts w:ascii="Times New Roman" w:hAnsi="Times New Roman" w:cs="Times New Roman"/>
          <w:sz w:val="24"/>
          <w:szCs w:val="24"/>
        </w:rPr>
        <w:t>assegnato a</w:t>
      </w:r>
      <w:r>
        <w:rPr>
          <w:rFonts w:ascii="Times New Roman" w:hAnsi="Times New Roman" w:cs="Times New Roman"/>
          <w:sz w:val="24"/>
          <w:szCs w:val="24"/>
        </w:rPr>
        <w:t xml:space="preserve">l precedente, precisata la compatibilità con il sistema convenzionale del mutamento della giurisprudenza fermo restando il rispetto dell’art. 6 CEDU, occorre indagare la possibilità che vi siano delle tecniche di tutela e, in caso affermativo, a che condizioni. </w:t>
      </w:r>
    </w:p>
    <w:p w:rsidR="00724DD1" w:rsidRDefault="007B3498"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Innanzitutto occorre precisare che il fenomeno dell’</w:t>
      </w:r>
      <w:proofErr w:type="spellStart"/>
      <w:r w:rsidRPr="005265FD">
        <w:rPr>
          <w:rFonts w:ascii="Times New Roman" w:hAnsi="Times New Roman" w:cs="Times New Roman"/>
          <w:i/>
          <w:sz w:val="24"/>
          <w:szCs w:val="24"/>
        </w:rPr>
        <w:t>overruling</w:t>
      </w:r>
      <w:proofErr w:type="spellEnd"/>
      <w:r w:rsidRPr="005265FD">
        <w:rPr>
          <w:rFonts w:ascii="Times New Roman" w:hAnsi="Times New Roman" w:cs="Times New Roman"/>
          <w:i/>
          <w:sz w:val="24"/>
          <w:szCs w:val="24"/>
        </w:rPr>
        <w:t xml:space="preserve"> </w:t>
      </w:r>
      <w:r>
        <w:rPr>
          <w:rFonts w:ascii="Times New Roman" w:hAnsi="Times New Roman" w:cs="Times New Roman"/>
          <w:sz w:val="24"/>
          <w:szCs w:val="24"/>
        </w:rPr>
        <w:t>non ha una base normativa e il quadro che emerge dalla sua analisi è frutto della str</w:t>
      </w:r>
      <w:r w:rsidR="005265FD">
        <w:rPr>
          <w:rFonts w:ascii="Times New Roman" w:hAnsi="Times New Roman" w:cs="Times New Roman"/>
          <w:sz w:val="24"/>
          <w:szCs w:val="24"/>
        </w:rPr>
        <w:t xml:space="preserve">atificazione giurisprudenziale nata dall’esigenza di ricercare, all’interno dell’ordinamento, una soluzione finalizzata a tutelare il privato che deve sopportare gli effetti pregiudizievoli derivanti da un cambio di giurisprudenza sfavorevole alle sue ragioni nel momento in cui viene adottata e che era la soluzione minoritaria nel momento in cui lo stesso aveva predisposto le proprie difese. </w:t>
      </w:r>
    </w:p>
    <w:p w:rsidR="005265FD" w:rsidRDefault="005265FD"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Altra fondamentale premessa che occorre fare è che l’</w:t>
      </w:r>
      <w:proofErr w:type="spellStart"/>
      <w:r w:rsidRPr="005265FD">
        <w:rPr>
          <w:rFonts w:ascii="Times New Roman" w:hAnsi="Times New Roman" w:cs="Times New Roman"/>
          <w:i/>
          <w:sz w:val="24"/>
          <w:szCs w:val="24"/>
        </w:rPr>
        <w:t>overruling</w:t>
      </w:r>
      <w:proofErr w:type="spellEnd"/>
      <w:r>
        <w:rPr>
          <w:rFonts w:ascii="Times New Roman" w:hAnsi="Times New Roman" w:cs="Times New Roman"/>
          <w:sz w:val="24"/>
          <w:szCs w:val="24"/>
        </w:rPr>
        <w:t xml:space="preserve"> si distingue dallo </w:t>
      </w:r>
      <w:proofErr w:type="spellStart"/>
      <w:r w:rsidRPr="005265FD">
        <w:rPr>
          <w:rFonts w:ascii="Times New Roman" w:hAnsi="Times New Roman" w:cs="Times New Roman"/>
          <w:i/>
          <w:sz w:val="24"/>
          <w:szCs w:val="24"/>
        </w:rPr>
        <w:t>jus</w:t>
      </w:r>
      <w:proofErr w:type="spellEnd"/>
      <w:r w:rsidRPr="005265FD">
        <w:rPr>
          <w:rFonts w:ascii="Times New Roman" w:hAnsi="Times New Roman" w:cs="Times New Roman"/>
          <w:i/>
          <w:sz w:val="24"/>
          <w:szCs w:val="24"/>
        </w:rPr>
        <w:t xml:space="preserve"> </w:t>
      </w:r>
      <w:proofErr w:type="spellStart"/>
      <w:r w:rsidRPr="005265FD">
        <w:rPr>
          <w:rFonts w:ascii="Times New Roman" w:hAnsi="Times New Roman" w:cs="Times New Roman"/>
          <w:i/>
          <w:sz w:val="24"/>
          <w:szCs w:val="24"/>
        </w:rPr>
        <w:t>superveniens</w:t>
      </w:r>
      <w:proofErr w:type="spellEnd"/>
      <w:r>
        <w:rPr>
          <w:rFonts w:ascii="Times New Roman" w:hAnsi="Times New Roman" w:cs="Times New Roman"/>
          <w:sz w:val="24"/>
          <w:szCs w:val="24"/>
        </w:rPr>
        <w:t xml:space="preserve">, il mutamento delle regole ad opera del legislatore che, ai sensi dell’art. 11 delle disposizioni preliminari al codice civile, è irretroattivo e non dispone che per l’avvenire. </w:t>
      </w:r>
    </w:p>
    <w:p w:rsidR="005265FD" w:rsidRPr="00821EDE" w:rsidRDefault="005265FD"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Queste premesse, in realtà, lette </w:t>
      </w:r>
      <w:r w:rsidRPr="00E6082E">
        <w:rPr>
          <w:rFonts w:ascii="Times New Roman" w:hAnsi="Times New Roman" w:cs="Times New Roman"/>
          <w:i/>
          <w:sz w:val="24"/>
          <w:szCs w:val="24"/>
        </w:rPr>
        <w:t>a contrario</w:t>
      </w:r>
      <w:r w:rsidR="00E6082E">
        <w:rPr>
          <w:rFonts w:ascii="Times New Roman" w:hAnsi="Times New Roman" w:cs="Times New Roman"/>
          <w:sz w:val="24"/>
          <w:szCs w:val="24"/>
        </w:rPr>
        <w:t>,</w:t>
      </w:r>
      <w:r>
        <w:rPr>
          <w:rFonts w:ascii="Times New Roman" w:hAnsi="Times New Roman" w:cs="Times New Roman"/>
          <w:sz w:val="24"/>
          <w:szCs w:val="24"/>
        </w:rPr>
        <w:t xml:space="preserve"> hanno rappresentato le argomentazioni cardine di quanti hanno negato la rilevanza delle sopravvenienze giurisprudenziali. Anzitutto la mancanza di una disposizione nell’ordinamento che disciplinasse il fenomeno, secondo questa parte di dottrina, sarebbe un chiaro e inequivocabile segnale</w:t>
      </w:r>
      <w:r w:rsidR="00BC0BE4">
        <w:rPr>
          <w:rFonts w:ascii="Times New Roman" w:hAnsi="Times New Roman" w:cs="Times New Roman"/>
          <w:sz w:val="24"/>
          <w:szCs w:val="24"/>
        </w:rPr>
        <w:t xml:space="preserve"> da parte del legislatore dell’irrilevanza della sopravvenienza giurisprudenziale. È solo la legge, in qualità di fonte del diritto, idonea ad incidere – </w:t>
      </w:r>
      <w:r w:rsidR="00BC0BE4" w:rsidRPr="00E6082E">
        <w:rPr>
          <w:rFonts w:ascii="Times New Roman" w:hAnsi="Times New Roman" w:cs="Times New Roman"/>
          <w:i/>
          <w:sz w:val="24"/>
          <w:szCs w:val="24"/>
        </w:rPr>
        <w:t>pro futuro</w:t>
      </w:r>
      <w:r w:rsidR="00BC0BE4">
        <w:rPr>
          <w:rFonts w:ascii="Times New Roman" w:hAnsi="Times New Roman" w:cs="Times New Roman"/>
          <w:sz w:val="24"/>
          <w:szCs w:val="24"/>
        </w:rPr>
        <w:t xml:space="preserve"> – nella sfera giuridica dei cittadini. A ciò </w:t>
      </w:r>
      <w:proofErr w:type="spellStart"/>
      <w:r w:rsidR="00BC0BE4">
        <w:rPr>
          <w:rFonts w:ascii="Times New Roman" w:hAnsi="Times New Roman" w:cs="Times New Roman"/>
          <w:sz w:val="24"/>
          <w:szCs w:val="24"/>
        </w:rPr>
        <w:t>aggiungasi</w:t>
      </w:r>
      <w:proofErr w:type="spellEnd"/>
      <w:r w:rsidR="00BC0BE4">
        <w:rPr>
          <w:rFonts w:ascii="Times New Roman" w:hAnsi="Times New Roman" w:cs="Times New Roman"/>
          <w:sz w:val="24"/>
          <w:szCs w:val="24"/>
        </w:rPr>
        <w:t xml:space="preserve"> l’art. 101 </w:t>
      </w:r>
      <w:proofErr w:type="spellStart"/>
      <w:r w:rsidR="00BC0BE4">
        <w:rPr>
          <w:rFonts w:ascii="Times New Roman" w:hAnsi="Times New Roman" w:cs="Times New Roman"/>
          <w:sz w:val="24"/>
          <w:szCs w:val="24"/>
        </w:rPr>
        <w:t>Cost</w:t>
      </w:r>
      <w:proofErr w:type="spellEnd"/>
      <w:r w:rsidR="00BC0BE4">
        <w:rPr>
          <w:rFonts w:ascii="Times New Roman" w:hAnsi="Times New Roman" w:cs="Times New Roman"/>
          <w:sz w:val="24"/>
          <w:szCs w:val="24"/>
        </w:rPr>
        <w:t xml:space="preserve">., sopra richiamato, che secondo alcuni rappresenterebbe la libertà dal precedente a cui, se si desse conto, l’ordinamento </w:t>
      </w:r>
      <w:r w:rsidR="00BC0BE4">
        <w:rPr>
          <w:rFonts w:ascii="Times New Roman" w:hAnsi="Times New Roman" w:cs="Times New Roman"/>
          <w:sz w:val="24"/>
          <w:szCs w:val="24"/>
        </w:rPr>
        <w:lastRenderedPageBreak/>
        <w:t xml:space="preserve">perderebbe i propri connotati tradizionali di </w:t>
      </w:r>
      <w:proofErr w:type="spellStart"/>
      <w:r w:rsidR="00BC0BE4" w:rsidRPr="00BB1104">
        <w:rPr>
          <w:rFonts w:ascii="Times New Roman" w:hAnsi="Times New Roman" w:cs="Times New Roman"/>
          <w:i/>
          <w:sz w:val="24"/>
          <w:szCs w:val="24"/>
        </w:rPr>
        <w:t>Civil</w:t>
      </w:r>
      <w:proofErr w:type="spellEnd"/>
      <w:r w:rsidR="00BC0BE4" w:rsidRPr="00BB1104">
        <w:rPr>
          <w:rFonts w:ascii="Times New Roman" w:hAnsi="Times New Roman" w:cs="Times New Roman"/>
          <w:i/>
          <w:sz w:val="24"/>
          <w:szCs w:val="24"/>
        </w:rPr>
        <w:t xml:space="preserve"> Law</w:t>
      </w:r>
      <w:r w:rsidR="00BC0BE4">
        <w:rPr>
          <w:rStyle w:val="Rimandonotaapidipagina"/>
          <w:rFonts w:ascii="Times New Roman" w:hAnsi="Times New Roman" w:cs="Times New Roman"/>
          <w:sz w:val="24"/>
          <w:szCs w:val="24"/>
        </w:rPr>
        <w:footnoteReference w:id="10"/>
      </w:r>
      <w:r w:rsidR="00BC0BE4">
        <w:rPr>
          <w:rFonts w:ascii="Times New Roman" w:hAnsi="Times New Roman" w:cs="Times New Roman"/>
          <w:sz w:val="24"/>
          <w:szCs w:val="24"/>
        </w:rPr>
        <w:t xml:space="preserve">.  La tesi favorevole che ha avuto anche il </w:t>
      </w:r>
      <w:r w:rsidR="00BC0BE4" w:rsidRPr="00E6082E">
        <w:rPr>
          <w:rFonts w:ascii="Times New Roman" w:hAnsi="Times New Roman" w:cs="Times New Roman"/>
          <w:i/>
          <w:sz w:val="24"/>
          <w:szCs w:val="24"/>
        </w:rPr>
        <w:t>placet</w:t>
      </w:r>
      <w:r w:rsidR="00BC0BE4">
        <w:rPr>
          <w:rFonts w:ascii="Times New Roman" w:hAnsi="Times New Roman" w:cs="Times New Roman"/>
          <w:sz w:val="24"/>
          <w:szCs w:val="24"/>
        </w:rPr>
        <w:t xml:space="preserve"> della Corte EDU, è risultata però prevalente. </w:t>
      </w:r>
    </w:p>
    <w:p w:rsidR="009C555C" w:rsidRPr="00821EDE" w:rsidRDefault="00724DD1" w:rsidP="00AA33ED">
      <w:pPr>
        <w:pStyle w:val="Nessunaspaziatura"/>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 xml:space="preserve">Punto di partenza nell’analisi è rappresentato dalla sentenza </w:t>
      </w:r>
      <w:r w:rsidR="00A21347">
        <w:rPr>
          <w:rFonts w:ascii="Times New Roman" w:hAnsi="Times New Roman" w:cs="Times New Roman"/>
          <w:sz w:val="24"/>
          <w:szCs w:val="24"/>
        </w:rPr>
        <w:t>delle Sezioni Unite</w:t>
      </w:r>
      <w:r w:rsidRPr="00821EDE">
        <w:rPr>
          <w:rFonts w:ascii="Times New Roman" w:hAnsi="Times New Roman" w:cs="Times New Roman"/>
          <w:sz w:val="24"/>
          <w:szCs w:val="24"/>
        </w:rPr>
        <w:t xml:space="preserve"> n. 15144/2021. </w:t>
      </w:r>
      <w:r w:rsidR="009C555C" w:rsidRPr="00821EDE">
        <w:rPr>
          <w:rFonts w:ascii="Times New Roman" w:hAnsi="Times New Roman" w:cs="Times New Roman"/>
          <w:sz w:val="24"/>
          <w:szCs w:val="24"/>
        </w:rPr>
        <w:t xml:space="preserve">La pronuncia traeva origine da una vicenda avente ad oggetto </w:t>
      </w:r>
      <w:r w:rsidR="00A21347">
        <w:rPr>
          <w:rFonts w:ascii="Times New Roman" w:hAnsi="Times New Roman" w:cs="Times New Roman"/>
          <w:sz w:val="24"/>
          <w:szCs w:val="24"/>
        </w:rPr>
        <w:t xml:space="preserve">gli </w:t>
      </w:r>
      <w:r w:rsidR="009C555C" w:rsidRPr="00821EDE">
        <w:rPr>
          <w:rFonts w:ascii="Times New Roman" w:hAnsi="Times New Roman" w:cs="Times New Roman"/>
          <w:sz w:val="24"/>
          <w:szCs w:val="24"/>
        </w:rPr>
        <w:t>art</w:t>
      </w:r>
      <w:r w:rsidR="00A21347">
        <w:rPr>
          <w:rFonts w:ascii="Times New Roman" w:hAnsi="Times New Roman" w:cs="Times New Roman"/>
          <w:sz w:val="24"/>
          <w:szCs w:val="24"/>
        </w:rPr>
        <w:t>t</w:t>
      </w:r>
      <w:r w:rsidR="009C555C" w:rsidRPr="00821EDE">
        <w:rPr>
          <w:rFonts w:ascii="Times New Roman" w:hAnsi="Times New Roman" w:cs="Times New Roman"/>
          <w:sz w:val="24"/>
          <w:szCs w:val="24"/>
        </w:rPr>
        <w:t xml:space="preserve">. 183, 200,201, 202 </w:t>
      </w:r>
      <w:r w:rsidR="00A21347">
        <w:rPr>
          <w:rFonts w:ascii="Times New Roman" w:hAnsi="Times New Roman" w:cs="Times New Roman"/>
          <w:sz w:val="24"/>
          <w:szCs w:val="24"/>
        </w:rPr>
        <w:t>RD</w:t>
      </w:r>
      <w:r w:rsidR="009C555C" w:rsidRPr="00821EDE">
        <w:rPr>
          <w:rFonts w:ascii="Times New Roman" w:hAnsi="Times New Roman" w:cs="Times New Roman"/>
          <w:sz w:val="24"/>
          <w:szCs w:val="24"/>
        </w:rPr>
        <w:t xml:space="preserve"> 1775/1933 (TU sulle acque e sugli impianti elettrici).</w:t>
      </w:r>
      <w:r w:rsidR="00A21347">
        <w:rPr>
          <w:rFonts w:ascii="Times New Roman" w:hAnsi="Times New Roman" w:cs="Times New Roman"/>
          <w:sz w:val="24"/>
          <w:szCs w:val="24"/>
        </w:rPr>
        <w:t xml:space="preserve"> La questione sottoposta al Collegio era la seguente: se</w:t>
      </w:r>
      <w:r w:rsidR="009C555C" w:rsidRPr="00821EDE">
        <w:rPr>
          <w:rFonts w:ascii="Times New Roman" w:hAnsi="Times New Roman" w:cs="Times New Roman"/>
          <w:sz w:val="24"/>
          <w:szCs w:val="24"/>
        </w:rPr>
        <w:t xml:space="preserve"> il </w:t>
      </w:r>
      <w:proofErr w:type="spellStart"/>
      <w:r w:rsidR="009C555C" w:rsidRPr="00DB1090">
        <w:rPr>
          <w:rFonts w:ascii="Times New Roman" w:hAnsi="Times New Roman" w:cs="Times New Roman"/>
          <w:i/>
          <w:sz w:val="24"/>
          <w:szCs w:val="24"/>
        </w:rPr>
        <w:t>dies</w:t>
      </w:r>
      <w:proofErr w:type="spellEnd"/>
      <w:r w:rsidR="009C555C" w:rsidRPr="00DB1090">
        <w:rPr>
          <w:rFonts w:ascii="Times New Roman" w:hAnsi="Times New Roman" w:cs="Times New Roman"/>
          <w:i/>
          <w:sz w:val="24"/>
          <w:szCs w:val="24"/>
        </w:rPr>
        <w:t xml:space="preserve"> a quo</w:t>
      </w:r>
      <w:r w:rsidR="00A21347">
        <w:rPr>
          <w:rFonts w:ascii="Times New Roman" w:hAnsi="Times New Roman" w:cs="Times New Roman"/>
          <w:sz w:val="24"/>
          <w:szCs w:val="24"/>
        </w:rPr>
        <w:t xml:space="preserve"> del termine breve</w:t>
      </w:r>
      <w:r w:rsidR="009C555C" w:rsidRPr="00821EDE">
        <w:rPr>
          <w:rFonts w:ascii="Times New Roman" w:hAnsi="Times New Roman" w:cs="Times New Roman"/>
          <w:sz w:val="24"/>
          <w:szCs w:val="24"/>
        </w:rPr>
        <w:t xml:space="preserve"> per la proposizione del ricorso per </w:t>
      </w:r>
      <w:r w:rsidR="00A21347">
        <w:rPr>
          <w:rFonts w:ascii="Times New Roman" w:hAnsi="Times New Roman" w:cs="Times New Roman"/>
          <w:sz w:val="24"/>
          <w:szCs w:val="24"/>
        </w:rPr>
        <w:t>C</w:t>
      </w:r>
      <w:r w:rsidR="009C555C" w:rsidRPr="00821EDE">
        <w:rPr>
          <w:rFonts w:ascii="Times New Roman" w:hAnsi="Times New Roman" w:cs="Times New Roman"/>
          <w:sz w:val="24"/>
          <w:szCs w:val="24"/>
        </w:rPr>
        <w:t xml:space="preserve">assazione avverso la sentenza del </w:t>
      </w:r>
      <w:r w:rsidR="00A21347">
        <w:rPr>
          <w:rFonts w:ascii="Times New Roman" w:hAnsi="Times New Roman" w:cs="Times New Roman"/>
          <w:sz w:val="24"/>
          <w:szCs w:val="24"/>
        </w:rPr>
        <w:t>T</w:t>
      </w:r>
      <w:r w:rsidR="009C555C" w:rsidRPr="00821EDE">
        <w:rPr>
          <w:rFonts w:ascii="Times New Roman" w:hAnsi="Times New Roman" w:cs="Times New Roman"/>
          <w:sz w:val="24"/>
          <w:szCs w:val="24"/>
        </w:rPr>
        <w:t>ribunale per le acque pubbliche intercorresse dalla comunicazione del dispositivo da parte del</w:t>
      </w:r>
      <w:r w:rsidR="00A21347">
        <w:rPr>
          <w:rFonts w:ascii="Times New Roman" w:hAnsi="Times New Roman" w:cs="Times New Roman"/>
          <w:sz w:val="24"/>
          <w:szCs w:val="24"/>
        </w:rPr>
        <w:t xml:space="preserve"> personale di segreteria </w:t>
      </w:r>
      <w:r w:rsidR="009C555C" w:rsidRPr="00821EDE">
        <w:rPr>
          <w:rFonts w:ascii="Times New Roman" w:hAnsi="Times New Roman" w:cs="Times New Roman"/>
          <w:sz w:val="24"/>
          <w:szCs w:val="24"/>
        </w:rPr>
        <w:t xml:space="preserve">ovvero </w:t>
      </w:r>
      <w:r w:rsidR="004A5250">
        <w:rPr>
          <w:rFonts w:ascii="Times New Roman" w:hAnsi="Times New Roman" w:cs="Times New Roman"/>
          <w:sz w:val="24"/>
          <w:szCs w:val="24"/>
        </w:rPr>
        <w:t>dal</w:t>
      </w:r>
      <w:r w:rsidR="009C555C" w:rsidRPr="00821EDE">
        <w:rPr>
          <w:rFonts w:ascii="Times New Roman" w:hAnsi="Times New Roman" w:cs="Times New Roman"/>
          <w:sz w:val="24"/>
          <w:szCs w:val="24"/>
        </w:rPr>
        <w:t>la notifica della copia integrale della sentenza. Il ripensamento della giurisprudenza di legittimità rispetto ad un pacifico e consolidato orientamento giurisprudenziale ha posto il problema della necessità di una tecnica di tutela nei confronti del privato che avesse fatto affidamento sull’orientamento giurisprudenziale superato. Nel caso sottoposto all’attenzione della Corte</w:t>
      </w:r>
      <w:r w:rsidR="00E6082E">
        <w:rPr>
          <w:rFonts w:ascii="Times New Roman" w:hAnsi="Times New Roman" w:cs="Times New Roman"/>
          <w:sz w:val="24"/>
          <w:szCs w:val="24"/>
        </w:rPr>
        <w:t>,</w:t>
      </w:r>
      <w:r w:rsidR="009C555C" w:rsidRPr="00821EDE">
        <w:rPr>
          <w:rFonts w:ascii="Times New Roman" w:hAnsi="Times New Roman" w:cs="Times New Roman"/>
          <w:sz w:val="24"/>
          <w:szCs w:val="24"/>
        </w:rPr>
        <w:t xml:space="preserve"> si trattava di capire se il sopravvenuto mutamento di un orientamento giurisprudenziale avente ad oggetto l’</w:t>
      </w:r>
      <w:r w:rsidR="00A21347">
        <w:rPr>
          <w:rFonts w:ascii="Times New Roman" w:hAnsi="Times New Roman" w:cs="Times New Roman"/>
          <w:sz w:val="24"/>
          <w:szCs w:val="24"/>
        </w:rPr>
        <w:t>esercizio dell’</w:t>
      </w:r>
      <w:r w:rsidR="009C555C" w:rsidRPr="00821EDE">
        <w:rPr>
          <w:rFonts w:ascii="Times New Roman" w:hAnsi="Times New Roman" w:cs="Times New Roman"/>
          <w:sz w:val="24"/>
          <w:szCs w:val="24"/>
        </w:rPr>
        <w:t xml:space="preserve">azione in giudizio potesse comportare la tardività dell’appello. </w:t>
      </w:r>
      <w:r w:rsidR="00322F3F" w:rsidRPr="00821EDE">
        <w:rPr>
          <w:rFonts w:ascii="Times New Roman" w:hAnsi="Times New Roman" w:cs="Times New Roman"/>
          <w:sz w:val="24"/>
          <w:szCs w:val="24"/>
        </w:rPr>
        <w:t xml:space="preserve">La risposta al quesito non è di poco conto se si pensa che il diritto d’azione, la possibilità di azionare una pretesa in giudizio e quindi di difendersi modifica la realtà perché la pronuncia del giudice può dichiarare, costituire ovvero modificare una certa situazione fattuale prima e giuridica di conseguenza. </w:t>
      </w:r>
    </w:p>
    <w:p w:rsidR="00724DD1" w:rsidRDefault="009C555C" w:rsidP="00AA33ED">
      <w:pPr>
        <w:pStyle w:val="Nessunaspaziatura"/>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 xml:space="preserve">Quella del mutamento giurisprudenziale è una questione che chiama inevitabilmente in causa il diritto alla prevedibilità degli esiti giudiziari, del legittimo affidamento del privato nella giustizia. La prevedibilità, la fiducia nelle istituzioni e nel potere di </w:t>
      </w:r>
      <w:proofErr w:type="spellStart"/>
      <w:r w:rsidRPr="00821EDE">
        <w:rPr>
          <w:rFonts w:ascii="Times New Roman" w:hAnsi="Times New Roman" w:cs="Times New Roman"/>
          <w:i/>
          <w:sz w:val="24"/>
          <w:szCs w:val="24"/>
        </w:rPr>
        <w:t>ius</w:t>
      </w:r>
      <w:proofErr w:type="spellEnd"/>
      <w:r w:rsidRPr="00821EDE">
        <w:rPr>
          <w:rFonts w:ascii="Times New Roman" w:hAnsi="Times New Roman" w:cs="Times New Roman"/>
          <w:i/>
          <w:sz w:val="24"/>
          <w:szCs w:val="24"/>
        </w:rPr>
        <w:t xml:space="preserve"> </w:t>
      </w:r>
      <w:proofErr w:type="spellStart"/>
      <w:r w:rsidRPr="00821EDE">
        <w:rPr>
          <w:rFonts w:ascii="Times New Roman" w:hAnsi="Times New Roman" w:cs="Times New Roman"/>
          <w:i/>
          <w:sz w:val="24"/>
          <w:szCs w:val="24"/>
        </w:rPr>
        <w:t>dicere</w:t>
      </w:r>
      <w:proofErr w:type="spellEnd"/>
      <w:r w:rsidRPr="00821EDE">
        <w:rPr>
          <w:rFonts w:ascii="Times New Roman" w:hAnsi="Times New Roman" w:cs="Times New Roman"/>
          <w:sz w:val="24"/>
          <w:szCs w:val="24"/>
        </w:rPr>
        <w:t xml:space="preserve"> crea cittadini consapevoli e rafforza il patto tra questi e l’ordinamento giuridico. </w:t>
      </w:r>
      <w:r w:rsidR="00322F3F" w:rsidRPr="00821EDE">
        <w:rPr>
          <w:rFonts w:ascii="Times New Roman" w:hAnsi="Times New Roman" w:cs="Times New Roman"/>
          <w:sz w:val="24"/>
          <w:szCs w:val="24"/>
        </w:rPr>
        <w:t xml:space="preserve">La prevedibilità, di cui molto si discute nell’ambito del diritto penale, si aggancia a due elementi: ciò che la disposizione normativa dice e l’interpretazione che della stessa forniscono le autorità giurisdizionali secondo quelli che sono i criteri ermeneutici. </w:t>
      </w:r>
      <w:r w:rsidR="00A21347" w:rsidRPr="00821EDE">
        <w:rPr>
          <w:rFonts w:ascii="Times New Roman" w:hAnsi="Times New Roman" w:cs="Times New Roman"/>
          <w:sz w:val="24"/>
          <w:szCs w:val="24"/>
        </w:rPr>
        <w:t>È</w:t>
      </w:r>
      <w:r w:rsidR="00322F3F" w:rsidRPr="00821EDE">
        <w:rPr>
          <w:rFonts w:ascii="Times New Roman" w:hAnsi="Times New Roman" w:cs="Times New Roman"/>
          <w:sz w:val="24"/>
          <w:szCs w:val="24"/>
        </w:rPr>
        <w:t xml:space="preserve"> sulla base di queste due direttrici che si fonda il giudizio di </w:t>
      </w:r>
      <w:proofErr w:type="spellStart"/>
      <w:r w:rsidR="00322F3F" w:rsidRPr="00821EDE">
        <w:rPr>
          <w:rFonts w:ascii="Times New Roman" w:hAnsi="Times New Roman" w:cs="Times New Roman"/>
          <w:sz w:val="24"/>
          <w:szCs w:val="24"/>
        </w:rPr>
        <w:t>rimproverabi</w:t>
      </w:r>
      <w:r w:rsidR="005265FD">
        <w:rPr>
          <w:rFonts w:ascii="Times New Roman" w:hAnsi="Times New Roman" w:cs="Times New Roman"/>
          <w:sz w:val="24"/>
          <w:szCs w:val="24"/>
        </w:rPr>
        <w:t>lità</w:t>
      </w:r>
      <w:proofErr w:type="spellEnd"/>
      <w:r w:rsidR="005265FD">
        <w:rPr>
          <w:rFonts w:ascii="Times New Roman" w:hAnsi="Times New Roman" w:cs="Times New Roman"/>
          <w:sz w:val="24"/>
          <w:szCs w:val="24"/>
        </w:rPr>
        <w:t>.</w:t>
      </w:r>
    </w:p>
    <w:p w:rsidR="00322F3F" w:rsidRPr="00821EDE" w:rsidRDefault="00322F3F" w:rsidP="00AA33ED">
      <w:pPr>
        <w:pStyle w:val="Nessunaspaziatura"/>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 xml:space="preserve">Nella pronuncia della Cassazione vengono individuati gli elementi in presenza dei quali il mutamento giurisprudenziale può assumere autonoma rilevanza nell’ordinamento e trovare, se possibile, una forma di tutela. Deve innanzitutto riguardare una norma processuale. Nonostante </w:t>
      </w:r>
      <w:r w:rsidR="00BB1104">
        <w:rPr>
          <w:rFonts w:ascii="Times New Roman" w:hAnsi="Times New Roman" w:cs="Times New Roman"/>
          <w:sz w:val="24"/>
          <w:szCs w:val="24"/>
        </w:rPr>
        <w:t>parte della dottrina</w:t>
      </w:r>
      <w:r w:rsidRPr="00821EDE">
        <w:rPr>
          <w:rFonts w:ascii="Times New Roman" w:hAnsi="Times New Roman" w:cs="Times New Roman"/>
          <w:sz w:val="24"/>
          <w:szCs w:val="24"/>
        </w:rPr>
        <w:t xml:space="preserve"> </w:t>
      </w:r>
      <w:r w:rsidR="0099196D" w:rsidRPr="00821EDE">
        <w:rPr>
          <w:rFonts w:ascii="Times New Roman" w:hAnsi="Times New Roman" w:cs="Times New Roman"/>
          <w:sz w:val="24"/>
          <w:szCs w:val="24"/>
        </w:rPr>
        <w:t xml:space="preserve">propenda per la necessità di estensione dell’istituto anche alle norme sostanziali negli ordinamenti di </w:t>
      </w:r>
      <w:proofErr w:type="spellStart"/>
      <w:r w:rsidR="0099196D" w:rsidRPr="00821EDE">
        <w:rPr>
          <w:rFonts w:ascii="Times New Roman" w:hAnsi="Times New Roman" w:cs="Times New Roman"/>
          <w:i/>
          <w:sz w:val="24"/>
          <w:szCs w:val="24"/>
        </w:rPr>
        <w:t>civil</w:t>
      </w:r>
      <w:proofErr w:type="spellEnd"/>
      <w:r w:rsidR="0099196D" w:rsidRPr="00821EDE">
        <w:rPr>
          <w:rFonts w:ascii="Times New Roman" w:hAnsi="Times New Roman" w:cs="Times New Roman"/>
          <w:i/>
          <w:sz w:val="24"/>
          <w:szCs w:val="24"/>
        </w:rPr>
        <w:t xml:space="preserve"> law</w:t>
      </w:r>
      <w:r w:rsidR="0099196D" w:rsidRPr="00821EDE">
        <w:rPr>
          <w:rStyle w:val="Rimandonotaapidipagina"/>
          <w:rFonts w:ascii="Times New Roman" w:hAnsi="Times New Roman" w:cs="Times New Roman"/>
          <w:i/>
          <w:sz w:val="24"/>
          <w:szCs w:val="24"/>
        </w:rPr>
        <w:footnoteReference w:id="11"/>
      </w:r>
      <w:r w:rsidR="0099196D" w:rsidRPr="00821EDE">
        <w:rPr>
          <w:rFonts w:ascii="Times New Roman" w:hAnsi="Times New Roman" w:cs="Times New Roman"/>
          <w:i/>
          <w:sz w:val="24"/>
          <w:szCs w:val="24"/>
        </w:rPr>
        <w:t xml:space="preserve"> </w:t>
      </w:r>
      <w:r w:rsidR="0099196D" w:rsidRPr="00821EDE">
        <w:rPr>
          <w:rFonts w:ascii="Times New Roman" w:hAnsi="Times New Roman" w:cs="Times New Roman"/>
          <w:sz w:val="24"/>
          <w:szCs w:val="24"/>
        </w:rPr>
        <w:t>specie nei casi in cui non è di immediata evidenza il confine tra natura processuale</w:t>
      </w:r>
      <w:r w:rsidR="004A5250">
        <w:rPr>
          <w:rFonts w:ascii="Times New Roman" w:hAnsi="Times New Roman" w:cs="Times New Roman"/>
          <w:sz w:val="24"/>
          <w:szCs w:val="24"/>
        </w:rPr>
        <w:t xml:space="preserve"> e</w:t>
      </w:r>
      <w:r w:rsidR="0099196D" w:rsidRPr="00821EDE">
        <w:rPr>
          <w:rFonts w:ascii="Times New Roman" w:hAnsi="Times New Roman" w:cs="Times New Roman"/>
          <w:sz w:val="24"/>
          <w:szCs w:val="24"/>
        </w:rPr>
        <w:t xml:space="preserve"> natura </w:t>
      </w:r>
      <w:r w:rsidR="0099196D" w:rsidRPr="00821EDE">
        <w:rPr>
          <w:rFonts w:ascii="Times New Roman" w:hAnsi="Times New Roman" w:cs="Times New Roman"/>
          <w:sz w:val="24"/>
          <w:szCs w:val="24"/>
        </w:rPr>
        <w:lastRenderedPageBreak/>
        <w:t>sostanziale della disposizione</w:t>
      </w:r>
      <w:r w:rsidR="00A21347">
        <w:rPr>
          <w:rFonts w:ascii="Times New Roman" w:hAnsi="Times New Roman" w:cs="Times New Roman"/>
          <w:sz w:val="24"/>
          <w:szCs w:val="24"/>
        </w:rPr>
        <w:t>, la maggioranza degli interpreti propende per la riferibilità dell’istituto unicamente alle norme processuali.</w:t>
      </w:r>
      <w:r w:rsidR="0099196D" w:rsidRPr="00821EDE">
        <w:rPr>
          <w:rFonts w:ascii="Times New Roman" w:hAnsi="Times New Roman" w:cs="Times New Roman"/>
          <w:sz w:val="24"/>
          <w:szCs w:val="24"/>
        </w:rPr>
        <w:t xml:space="preserve"> </w:t>
      </w:r>
    </w:p>
    <w:p w:rsidR="00D02567" w:rsidRPr="00821EDE" w:rsidRDefault="00D02567" w:rsidP="00AA33ED">
      <w:pPr>
        <w:pStyle w:val="Nessunaspaziatura"/>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Il mutamento giurisprudenziale, oltre a riguardare una norma processuale</w:t>
      </w:r>
      <w:r w:rsidR="00A21347">
        <w:rPr>
          <w:rFonts w:ascii="Times New Roman" w:hAnsi="Times New Roman" w:cs="Times New Roman"/>
          <w:sz w:val="24"/>
          <w:szCs w:val="24"/>
        </w:rPr>
        <w:t>,</w:t>
      </w:r>
      <w:r w:rsidRPr="00821EDE">
        <w:rPr>
          <w:rFonts w:ascii="Times New Roman" w:hAnsi="Times New Roman" w:cs="Times New Roman"/>
          <w:sz w:val="24"/>
          <w:szCs w:val="24"/>
        </w:rPr>
        <w:t xml:space="preserve"> deve essere inaspettato e repentino. Deve quindi aver impedito e ostacolato la fase di preparazione della difesa, compromettendo il diritto di azione in giudizio. </w:t>
      </w:r>
      <w:r w:rsidR="00A21347">
        <w:rPr>
          <w:rFonts w:ascii="Times New Roman" w:hAnsi="Times New Roman" w:cs="Times New Roman"/>
          <w:sz w:val="24"/>
          <w:szCs w:val="24"/>
        </w:rPr>
        <w:t>I fattori dell’imprevedibilità e della repentinità non sono propri – e quindi qui occorre fare una distinzione fondamentale - della</w:t>
      </w:r>
      <w:r w:rsidRPr="00821EDE">
        <w:rPr>
          <w:rFonts w:ascii="Times New Roman" w:hAnsi="Times New Roman" w:cs="Times New Roman"/>
          <w:sz w:val="24"/>
          <w:szCs w:val="24"/>
        </w:rPr>
        <w:t xml:space="preserve"> lettura evolutiva della norma, fenomeno </w:t>
      </w:r>
      <w:r w:rsidR="00A21347">
        <w:rPr>
          <w:rFonts w:ascii="Times New Roman" w:hAnsi="Times New Roman" w:cs="Times New Roman"/>
          <w:sz w:val="24"/>
          <w:szCs w:val="24"/>
        </w:rPr>
        <w:t xml:space="preserve">questo fisiologico e </w:t>
      </w:r>
      <w:r w:rsidR="0007445A">
        <w:rPr>
          <w:rFonts w:ascii="Times New Roman" w:hAnsi="Times New Roman" w:cs="Times New Roman"/>
          <w:sz w:val="24"/>
          <w:szCs w:val="24"/>
        </w:rPr>
        <w:t>prevedibile</w:t>
      </w:r>
      <w:r w:rsidRPr="00821EDE">
        <w:rPr>
          <w:rFonts w:ascii="Times New Roman" w:hAnsi="Times New Roman" w:cs="Times New Roman"/>
          <w:sz w:val="24"/>
          <w:szCs w:val="24"/>
        </w:rPr>
        <w:t>. Per essere rilevante, l’interpretaz</w:t>
      </w:r>
      <w:r w:rsidR="0007445A">
        <w:rPr>
          <w:rFonts w:ascii="Times New Roman" w:hAnsi="Times New Roman" w:cs="Times New Roman"/>
          <w:sz w:val="24"/>
          <w:szCs w:val="24"/>
        </w:rPr>
        <w:t xml:space="preserve">ione deve essere “correttiva”, </w:t>
      </w:r>
      <w:r w:rsidRPr="00821EDE">
        <w:rPr>
          <w:rFonts w:ascii="Times New Roman" w:hAnsi="Times New Roman" w:cs="Times New Roman"/>
          <w:sz w:val="24"/>
          <w:szCs w:val="24"/>
        </w:rPr>
        <w:t xml:space="preserve">non </w:t>
      </w:r>
      <w:r w:rsidR="00E6082E">
        <w:rPr>
          <w:rFonts w:ascii="Times New Roman" w:hAnsi="Times New Roman" w:cs="Times New Roman"/>
          <w:sz w:val="24"/>
          <w:szCs w:val="24"/>
        </w:rPr>
        <w:t xml:space="preserve">quindi </w:t>
      </w:r>
      <w:r w:rsidRPr="00821EDE">
        <w:rPr>
          <w:rFonts w:ascii="Times New Roman" w:hAnsi="Times New Roman" w:cs="Times New Roman"/>
          <w:sz w:val="24"/>
          <w:szCs w:val="24"/>
        </w:rPr>
        <w:t xml:space="preserve">il naturale sbocco, la naturale conseguenza del trascorrere del tempo e del sentimento di giustizia. </w:t>
      </w:r>
    </w:p>
    <w:p w:rsidR="00D02567" w:rsidRPr="00821EDE" w:rsidRDefault="00D02567" w:rsidP="00AA33ED">
      <w:pPr>
        <w:pStyle w:val="Nessunaspaziatura"/>
        <w:spacing w:line="360" w:lineRule="auto"/>
        <w:jc w:val="both"/>
        <w:rPr>
          <w:rFonts w:ascii="Times New Roman" w:hAnsi="Times New Roman" w:cs="Times New Roman"/>
          <w:sz w:val="24"/>
          <w:szCs w:val="24"/>
        </w:rPr>
      </w:pPr>
      <w:r w:rsidRPr="00821EDE">
        <w:rPr>
          <w:rFonts w:ascii="Times New Roman" w:hAnsi="Times New Roman" w:cs="Times New Roman"/>
          <w:sz w:val="24"/>
          <w:szCs w:val="24"/>
        </w:rPr>
        <w:t>Tale requisito si lega a doppio filo con il terzo e ultimo elemento costitutivo dell’</w:t>
      </w:r>
      <w:proofErr w:type="spellStart"/>
      <w:r w:rsidRPr="0007445A">
        <w:rPr>
          <w:rFonts w:ascii="Times New Roman" w:hAnsi="Times New Roman" w:cs="Times New Roman"/>
          <w:i/>
          <w:sz w:val="24"/>
          <w:szCs w:val="24"/>
        </w:rPr>
        <w:t>overruling</w:t>
      </w:r>
      <w:proofErr w:type="spellEnd"/>
      <w:r w:rsidRPr="0007445A">
        <w:rPr>
          <w:rFonts w:ascii="Times New Roman" w:hAnsi="Times New Roman" w:cs="Times New Roman"/>
          <w:i/>
          <w:sz w:val="24"/>
          <w:szCs w:val="24"/>
        </w:rPr>
        <w:t xml:space="preserve"> </w:t>
      </w:r>
      <w:r w:rsidRPr="00821EDE">
        <w:rPr>
          <w:rFonts w:ascii="Times New Roman" w:hAnsi="Times New Roman" w:cs="Times New Roman"/>
          <w:sz w:val="24"/>
          <w:szCs w:val="24"/>
        </w:rPr>
        <w:t xml:space="preserve">nell’ordinamento interno che è il legittimo affidamento da parte del privato. La circostanza che l’orientamento giurisprudenziale fosse pacifico e incontrastato deve aver indotto il privato a riporre fiducia in un certo esito della controversia. </w:t>
      </w:r>
    </w:p>
    <w:p w:rsidR="00D02567" w:rsidRDefault="00D02567" w:rsidP="00AA33ED">
      <w:pPr>
        <w:pStyle w:val="Nessunaspaziatura"/>
        <w:spacing w:line="360" w:lineRule="auto"/>
        <w:jc w:val="both"/>
        <w:rPr>
          <w:rFonts w:ascii="Times New Roman" w:hAnsi="Times New Roman" w:cs="Times New Roman"/>
          <w:sz w:val="24"/>
          <w:szCs w:val="24"/>
        </w:rPr>
      </w:pPr>
      <w:r w:rsidRPr="00B1059D">
        <w:rPr>
          <w:rFonts w:ascii="Times New Roman" w:hAnsi="Times New Roman" w:cs="Times New Roman"/>
          <w:sz w:val="24"/>
          <w:szCs w:val="24"/>
        </w:rPr>
        <w:t>In presenza di questi requisiti, l</w:t>
      </w:r>
      <w:r w:rsidRPr="00B1059D">
        <w:rPr>
          <w:rFonts w:ascii="Times New Roman" w:hAnsi="Times New Roman" w:cs="Times New Roman"/>
          <w:i/>
          <w:sz w:val="24"/>
          <w:szCs w:val="24"/>
        </w:rPr>
        <w:t>’</w:t>
      </w:r>
      <w:proofErr w:type="spellStart"/>
      <w:r w:rsidRPr="00B1059D">
        <w:rPr>
          <w:rFonts w:ascii="Times New Roman" w:hAnsi="Times New Roman" w:cs="Times New Roman"/>
          <w:i/>
          <w:sz w:val="24"/>
          <w:szCs w:val="24"/>
        </w:rPr>
        <w:t>overruling</w:t>
      </w:r>
      <w:proofErr w:type="spellEnd"/>
      <w:r w:rsidRPr="00B1059D">
        <w:rPr>
          <w:rFonts w:ascii="Times New Roman" w:hAnsi="Times New Roman" w:cs="Times New Roman"/>
          <w:i/>
          <w:sz w:val="24"/>
          <w:szCs w:val="24"/>
        </w:rPr>
        <w:t>,</w:t>
      </w:r>
      <w:r w:rsidRPr="00B1059D">
        <w:rPr>
          <w:rFonts w:ascii="Times New Roman" w:hAnsi="Times New Roman" w:cs="Times New Roman"/>
          <w:sz w:val="24"/>
          <w:szCs w:val="24"/>
        </w:rPr>
        <w:t xml:space="preserve"> da </w:t>
      </w:r>
      <w:r w:rsidR="00B9387D" w:rsidRPr="00B1059D">
        <w:rPr>
          <w:rFonts w:ascii="Times New Roman" w:hAnsi="Times New Roman" w:cs="Times New Roman"/>
          <w:sz w:val="24"/>
          <w:szCs w:val="24"/>
        </w:rPr>
        <w:t>fenomeno strutturale di modifica, di evoluzione in senso di correzione dell’ordinamento rileva per la predisposizione di una tecnica di tutela.</w:t>
      </w:r>
      <w:r w:rsidR="00BC0BE4" w:rsidRPr="00B1059D">
        <w:rPr>
          <w:rFonts w:ascii="Times New Roman" w:hAnsi="Times New Roman" w:cs="Times New Roman"/>
          <w:sz w:val="24"/>
          <w:szCs w:val="24"/>
        </w:rPr>
        <w:t xml:space="preserve"> Le soluzioni prospettate sono di</w:t>
      </w:r>
      <w:r w:rsidR="004A5250">
        <w:rPr>
          <w:rFonts w:ascii="Times New Roman" w:hAnsi="Times New Roman" w:cs="Times New Roman"/>
          <w:sz w:val="24"/>
          <w:szCs w:val="24"/>
        </w:rPr>
        <w:t>verse: 1) remissioni in termini;</w:t>
      </w:r>
      <w:r w:rsidR="0076281E" w:rsidRPr="00B1059D">
        <w:rPr>
          <w:rFonts w:ascii="Times New Roman" w:hAnsi="Times New Roman" w:cs="Times New Roman"/>
          <w:sz w:val="24"/>
          <w:szCs w:val="24"/>
        </w:rPr>
        <w:t xml:space="preserve"> </w:t>
      </w:r>
      <w:r w:rsidR="004A5250">
        <w:rPr>
          <w:rFonts w:ascii="Times New Roman" w:hAnsi="Times New Roman" w:cs="Times New Roman"/>
          <w:sz w:val="24"/>
          <w:szCs w:val="24"/>
        </w:rPr>
        <w:t>2</w:t>
      </w:r>
      <w:r w:rsidR="0076281E" w:rsidRPr="00B1059D">
        <w:rPr>
          <w:rFonts w:ascii="Times New Roman" w:hAnsi="Times New Roman" w:cs="Times New Roman"/>
          <w:sz w:val="24"/>
          <w:szCs w:val="24"/>
        </w:rPr>
        <w:t xml:space="preserve">) l’applicazione dell’art. 92 </w:t>
      </w:r>
      <w:proofErr w:type="spellStart"/>
      <w:r w:rsidR="0076281E" w:rsidRPr="00B1059D">
        <w:rPr>
          <w:rFonts w:ascii="Times New Roman" w:hAnsi="Times New Roman" w:cs="Times New Roman"/>
          <w:sz w:val="24"/>
          <w:szCs w:val="24"/>
        </w:rPr>
        <w:t>cpc</w:t>
      </w:r>
      <w:proofErr w:type="spellEnd"/>
      <w:r w:rsidR="0076281E" w:rsidRPr="00B1059D">
        <w:rPr>
          <w:rFonts w:ascii="Times New Roman" w:hAnsi="Times New Roman" w:cs="Times New Roman"/>
          <w:sz w:val="24"/>
          <w:szCs w:val="24"/>
        </w:rPr>
        <w:t xml:space="preserve">, il mutamento della giurisprudenza giustifica la compensazione delle spese legali; </w:t>
      </w:r>
      <w:r w:rsidR="004A5250">
        <w:rPr>
          <w:rFonts w:ascii="Times New Roman" w:hAnsi="Times New Roman" w:cs="Times New Roman"/>
          <w:sz w:val="24"/>
          <w:szCs w:val="24"/>
        </w:rPr>
        <w:t>3</w:t>
      </w:r>
      <w:r w:rsidR="0076281E" w:rsidRPr="00B1059D">
        <w:rPr>
          <w:rFonts w:ascii="Times New Roman" w:hAnsi="Times New Roman" w:cs="Times New Roman"/>
          <w:sz w:val="24"/>
          <w:szCs w:val="24"/>
        </w:rPr>
        <w:t xml:space="preserve">) </w:t>
      </w:r>
      <w:proofErr w:type="spellStart"/>
      <w:r w:rsidR="0076281E" w:rsidRPr="00B1059D">
        <w:rPr>
          <w:rFonts w:ascii="Times New Roman" w:hAnsi="Times New Roman" w:cs="Times New Roman"/>
          <w:i/>
          <w:sz w:val="24"/>
          <w:szCs w:val="24"/>
        </w:rPr>
        <w:t>prospective</w:t>
      </w:r>
      <w:proofErr w:type="spellEnd"/>
      <w:r w:rsidR="0076281E" w:rsidRPr="00B1059D">
        <w:rPr>
          <w:rFonts w:ascii="Times New Roman" w:hAnsi="Times New Roman" w:cs="Times New Roman"/>
          <w:i/>
          <w:sz w:val="24"/>
          <w:szCs w:val="24"/>
        </w:rPr>
        <w:t xml:space="preserve"> </w:t>
      </w:r>
      <w:proofErr w:type="spellStart"/>
      <w:r w:rsidR="0076281E" w:rsidRPr="00B1059D">
        <w:rPr>
          <w:rFonts w:ascii="Times New Roman" w:hAnsi="Times New Roman" w:cs="Times New Roman"/>
          <w:i/>
          <w:sz w:val="24"/>
          <w:szCs w:val="24"/>
        </w:rPr>
        <w:t>overruling</w:t>
      </w:r>
      <w:proofErr w:type="spellEnd"/>
      <w:r w:rsidR="0076281E" w:rsidRPr="00B1059D">
        <w:rPr>
          <w:rFonts w:ascii="Times New Roman" w:hAnsi="Times New Roman" w:cs="Times New Roman"/>
          <w:sz w:val="24"/>
          <w:szCs w:val="24"/>
        </w:rPr>
        <w:t>.</w:t>
      </w:r>
      <w:r w:rsidR="0076281E">
        <w:rPr>
          <w:rFonts w:ascii="Times New Roman" w:hAnsi="Times New Roman" w:cs="Times New Roman"/>
          <w:sz w:val="24"/>
          <w:szCs w:val="24"/>
        </w:rPr>
        <w:t xml:space="preserve"> </w:t>
      </w:r>
    </w:p>
    <w:p w:rsidR="0039053A" w:rsidRDefault="0039053A"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soluzione della rimessione in termini è stata la prima praticata dalla giurisprudenza e si è risolta in una finzione giuridica per cui il mutamento giurisprudenziale rivestiva carattere neutro (non aveva nessun peso) e la parte veniva trattata come se fosse incorsa in un errore scusabile. </w:t>
      </w:r>
    </w:p>
    <w:p w:rsidR="008B380A" w:rsidRDefault="008B380A"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Il fenomeno dell’</w:t>
      </w:r>
      <w:proofErr w:type="spellStart"/>
      <w:r w:rsidRPr="006A1E3B">
        <w:rPr>
          <w:rFonts w:ascii="Times New Roman" w:hAnsi="Times New Roman" w:cs="Times New Roman"/>
          <w:i/>
          <w:sz w:val="24"/>
          <w:szCs w:val="24"/>
        </w:rPr>
        <w:t>overruling</w:t>
      </w:r>
      <w:proofErr w:type="spellEnd"/>
      <w:r w:rsidRPr="006A1E3B">
        <w:rPr>
          <w:rFonts w:ascii="Times New Roman" w:hAnsi="Times New Roman" w:cs="Times New Roman"/>
          <w:i/>
          <w:sz w:val="24"/>
          <w:szCs w:val="24"/>
        </w:rPr>
        <w:t xml:space="preserve"> </w:t>
      </w:r>
      <w:r>
        <w:rPr>
          <w:rFonts w:ascii="Times New Roman" w:hAnsi="Times New Roman" w:cs="Times New Roman"/>
          <w:sz w:val="24"/>
          <w:szCs w:val="24"/>
        </w:rPr>
        <w:t xml:space="preserve">ha, per dovere di precisione, due declinazioni: </w:t>
      </w:r>
      <w:proofErr w:type="spellStart"/>
      <w:r w:rsidRPr="006A1E3B">
        <w:rPr>
          <w:rFonts w:ascii="Times New Roman" w:hAnsi="Times New Roman" w:cs="Times New Roman"/>
          <w:i/>
          <w:sz w:val="24"/>
          <w:szCs w:val="24"/>
        </w:rPr>
        <w:t>anticipatory</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w:t>
      </w:r>
      <w:r w:rsidR="006A1E3B">
        <w:rPr>
          <w:rFonts w:ascii="Times New Roman" w:hAnsi="Times New Roman" w:cs="Times New Roman"/>
          <w:sz w:val="24"/>
          <w:szCs w:val="24"/>
        </w:rPr>
        <w:t xml:space="preserve">(o </w:t>
      </w:r>
      <w:proofErr w:type="spellStart"/>
      <w:r w:rsidR="006A1E3B" w:rsidRPr="006A1E3B">
        <w:rPr>
          <w:rFonts w:ascii="Times New Roman" w:hAnsi="Times New Roman" w:cs="Times New Roman"/>
          <w:i/>
          <w:sz w:val="24"/>
          <w:szCs w:val="24"/>
        </w:rPr>
        <w:t>predictive</w:t>
      </w:r>
      <w:proofErr w:type="spellEnd"/>
      <w:r w:rsidR="006A1E3B" w:rsidRPr="006A1E3B">
        <w:rPr>
          <w:rFonts w:ascii="Times New Roman" w:hAnsi="Times New Roman" w:cs="Times New Roman"/>
          <w:i/>
          <w:sz w:val="24"/>
          <w:szCs w:val="24"/>
        </w:rPr>
        <w:t xml:space="preserve"> </w:t>
      </w:r>
      <w:proofErr w:type="spellStart"/>
      <w:r w:rsidR="006A1E3B" w:rsidRPr="006A1E3B">
        <w:rPr>
          <w:rFonts w:ascii="Times New Roman" w:hAnsi="Times New Roman" w:cs="Times New Roman"/>
          <w:i/>
          <w:sz w:val="24"/>
          <w:szCs w:val="24"/>
        </w:rPr>
        <w:t>overruling</w:t>
      </w:r>
      <w:proofErr w:type="spellEnd"/>
      <w:r w:rsidR="006A1E3B">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sidRPr="006A1E3B">
        <w:rPr>
          <w:rFonts w:ascii="Times New Roman" w:hAnsi="Times New Roman" w:cs="Times New Roman"/>
          <w:i/>
          <w:sz w:val="24"/>
          <w:szCs w:val="24"/>
        </w:rPr>
        <w:t>prospective</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w:t>
      </w:r>
    </w:p>
    <w:p w:rsidR="008B380A" w:rsidRDefault="008B380A"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Come ben descritto da attenta dottrina</w:t>
      </w:r>
      <w:r>
        <w:rPr>
          <w:rStyle w:val="Rimandonotaapidipagina"/>
          <w:rFonts w:ascii="Times New Roman" w:hAnsi="Times New Roman" w:cs="Times New Roman"/>
          <w:sz w:val="24"/>
          <w:szCs w:val="24"/>
        </w:rPr>
        <w:footnoteReference w:id="12"/>
      </w:r>
      <w:r>
        <w:rPr>
          <w:rFonts w:ascii="Times New Roman" w:hAnsi="Times New Roman" w:cs="Times New Roman"/>
          <w:sz w:val="24"/>
          <w:szCs w:val="24"/>
        </w:rPr>
        <w:t>, le due tecniche di tutela operano su piani diversi. L’</w:t>
      </w:r>
      <w:proofErr w:type="spellStart"/>
      <w:r w:rsidRPr="006A1E3B">
        <w:rPr>
          <w:rFonts w:ascii="Times New Roman" w:hAnsi="Times New Roman" w:cs="Times New Roman"/>
          <w:i/>
          <w:sz w:val="24"/>
          <w:szCs w:val="24"/>
        </w:rPr>
        <w:t>anticipatory</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opera sul piano verticale, tra gradi della medesima giurisdizione. Il Giudice di prime cure potrà scegliere di non seguire un precedente della Corte suprema che, sebbene consolidato, appaia ragionevolmente superato alla luce di nuove pronunce. </w:t>
      </w:r>
    </w:p>
    <w:p w:rsidR="00DB1090" w:rsidRDefault="008B380A"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Diverso è il caso del </w:t>
      </w:r>
      <w:proofErr w:type="spellStart"/>
      <w:r w:rsidRPr="006A1E3B">
        <w:rPr>
          <w:rFonts w:ascii="Times New Roman" w:hAnsi="Times New Roman" w:cs="Times New Roman"/>
          <w:i/>
          <w:sz w:val="24"/>
          <w:szCs w:val="24"/>
        </w:rPr>
        <w:t>prospective</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con il quale </w:t>
      </w:r>
      <w:r w:rsidR="00DB1090">
        <w:rPr>
          <w:rFonts w:ascii="Times New Roman" w:hAnsi="Times New Roman" w:cs="Times New Roman"/>
          <w:sz w:val="24"/>
          <w:szCs w:val="24"/>
        </w:rPr>
        <w:t>si intende il “</w:t>
      </w:r>
      <w:r w:rsidR="00DB1090" w:rsidRPr="00DB1090">
        <w:rPr>
          <w:rFonts w:ascii="Times New Roman" w:hAnsi="Times New Roman" w:cs="Times New Roman"/>
          <w:i/>
          <w:sz w:val="24"/>
          <w:szCs w:val="24"/>
        </w:rPr>
        <w:t xml:space="preserve">preannunzio di un cambio di indirizzo giurisprudenziale – ad esempio in un </w:t>
      </w:r>
      <w:proofErr w:type="spellStart"/>
      <w:r w:rsidR="00DB1090" w:rsidRPr="00DB1090">
        <w:rPr>
          <w:rFonts w:ascii="Times New Roman" w:hAnsi="Times New Roman" w:cs="Times New Roman"/>
          <w:i/>
          <w:sz w:val="24"/>
          <w:szCs w:val="24"/>
        </w:rPr>
        <w:t>obiter</w:t>
      </w:r>
      <w:proofErr w:type="spellEnd"/>
      <w:r w:rsidR="00DB1090" w:rsidRPr="00DB1090">
        <w:rPr>
          <w:rFonts w:ascii="Times New Roman" w:hAnsi="Times New Roman" w:cs="Times New Roman"/>
          <w:i/>
          <w:sz w:val="24"/>
          <w:szCs w:val="24"/>
        </w:rPr>
        <w:t xml:space="preserve"> </w:t>
      </w:r>
      <w:proofErr w:type="spellStart"/>
      <w:r w:rsidR="00DB1090" w:rsidRPr="00DB1090">
        <w:rPr>
          <w:rFonts w:ascii="Times New Roman" w:hAnsi="Times New Roman" w:cs="Times New Roman"/>
          <w:i/>
          <w:sz w:val="24"/>
          <w:szCs w:val="24"/>
        </w:rPr>
        <w:t>dicta</w:t>
      </w:r>
      <w:proofErr w:type="spellEnd"/>
      <w:r w:rsidR="00DB1090" w:rsidRPr="00DB1090">
        <w:rPr>
          <w:rFonts w:ascii="Times New Roman" w:hAnsi="Times New Roman" w:cs="Times New Roman"/>
          <w:i/>
          <w:sz w:val="24"/>
          <w:szCs w:val="24"/>
        </w:rPr>
        <w:t xml:space="preserve"> – con l’affermazione di un nuovo principio di diritto, non applicato alla fattispecie esaminata ma applicabile in futuro</w:t>
      </w:r>
      <w:r w:rsidR="00DB1090">
        <w:rPr>
          <w:rFonts w:ascii="Times New Roman" w:hAnsi="Times New Roman" w:cs="Times New Roman"/>
          <w:sz w:val="24"/>
          <w:szCs w:val="24"/>
        </w:rPr>
        <w:t>”</w:t>
      </w:r>
      <w:r w:rsidR="00DB1090">
        <w:rPr>
          <w:rStyle w:val="Rimandonotaapidipagina"/>
          <w:rFonts w:ascii="Times New Roman" w:hAnsi="Times New Roman" w:cs="Times New Roman"/>
          <w:sz w:val="24"/>
          <w:szCs w:val="24"/>
        </w:rPr>
        <w:footnoteReference w:id="13"/>
      </w:r>
      <w:r w:rsidR="00DB1090">
        <w:rPr>
          <w:rFonts w:ascii="Times New Roman" w:hAnsi="Times New Roman" w:cs="Times New Roman"/>
          <w:sz w:val="24"/>
          <w:szCs w:val="24"/>
        </w:rPr>
        <w:t>.</w:t>
      </w:r>
    </w:p>
    <w:p w:rsidR="006A1E3B" w:rsidRDefault="006A1E3B"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Il </w:t>
      </w:r>
      <w:proofErr w:type="spellStart"/>
      <w:r w:rsidRPr="006A1E3B">
        <w:rPr>
          <w:rFonts w:ascii="Times New Roman" w:hAnsi="Times New Roman" w:cs="Times New Roman"/>
          <w:i/>
          <w:sz w:val="24"/>
          <w:szCs w:val="24"/>
        </w:rPr>
        <w:t>prospective</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differentemente dal </w:t>
      </w:r>
      <w:proofErr w:type="spellStart"/>
      <w:r w:rsidRPr="006A1E3B">
        <w:rPr>
          <w:rFonts w:ascii="Times New Roman" w:hAnsi="Times New Roman" w:cs="Times New Roman"/>
          <w:i/>
          <w:sz w:val="24"/>
          <w:szCs w:val="24"/>
        </w:rPr>
        <w:t>predictive</w:t>
      </w:r>
      <w:proofErr w:type="spellEnd"/>
      <w:r w:rsidRPr="006A1E3B">
        <w:rPr>
          <w:rFonts w:ascii="Times New Roman" w:hAnsi="Times New Roman" w:cs="Times New Roman"/>
          <w:i/>
          <w:sz w:val="24"/>
          <w:szCs w:val="24"/>
        </w:rPr>
        <w:t>/</w:t>
      </w:r>
      <w:proofErr w:type="spellStart"/>
      <w:r w:rsidRPr="006A1E3B">
        <w:rPr>
          <w:rFonts w:ascii="Times New Roman" w:hAnsi="Times New Roman" w:cs="Times New Roman"/>
          <w:i/>
          <w:sz w:val="24"/>
          <w:szCs w:val="24"/>
        </w:rPr>
        <w:t>anticipatory</w:t>
      </w:r>
      <w:proofErr w:type="spellEnd"/>
      <w:r w:rsidRPr="006A1E3B">
        <w:rPr>
          <w:rFonts w:ascii="Times New Roman" w:hAnsi="Times New Roman" w:cs="Times New Roman"/>
          <w:i/>
          <w:sz w:val="24"/>
          <w:szCs w:val="24"/>
        </w:rPr>
        <w:t xml:space="preserve"> </w:t>
      </w:r>
      <w:proofErr w:type="spellStart"/>
      <w:r w:rsidRPr="006A1E3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agisce su un piano orizzontale, all’interno dello stesso grado di giudizio. Il Giudice sceglie di abbandonare l’orientamento seguito sino a quel momento ma solo</w:t>
      </w:r>
      <w:r w:rsidRPr="005B4F8B">
        <w:rPr>
          <w:rFonts w:ascii="Times New Roman" w:hAnsi="Times New Roman" w:cs="Times New Roman"/>
          <w:i/>
          <w:sz w:val="24"/>
          <w:szCs w:val="24"/>
        </w:rPr>
        <w:t xml:space="preserve"> pro futuro</w:t>
      </w:r>
      <w:r>
        <w:rPr>
          <w:rFonts w:ascii="Times New Roman" w:hAnsi="Times New Roman" w:cs="Times New Roman"/>
          <w:sz w:val="24"/>
          <w:szCs w:val="24"/>
        </w:rPr>
        <w:t xml:space="preserve"> e ciò a tutela delle parti, per assicurare la certezza delle regole processuali. </w:t>
      </w:r>
    </w:p>
    <w:p w:rsidR="006A1E3B" w:rsidRDefault="006A1E3B"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descrizione tra le due forme di </w:t>
      </w:r>
      <w:proofErr w:type="spellStart"/>
      <w:r w:rsidRPr="0039053A">
        <w:rPr>
          <w:rFonts w:ascii="Times New Roman" w:hAnsi="Times New Roman" w:cs="Times New Roman"/>
          <w:i/>
          <w:sz w:val="24"/>
          <w:szCs w:val="24"/>
        </w:rPr>
        <w:t>overruling</w:t>
      </w:r>
      <w:proofErr w:type="spellEnd"/>
      <w:r w:rsidRPr="0039053A">
        <w:rPr>
          <w:rFonts w:ascii="Times New Roman" w:hAnsi="Times New Roman" w:cs="Times New Roman"/>
          <w:i/>
          <w:sz w:val="24"/>
          <w:szCs w:val="24"/>
        </w:rPr>
        <w:t xml:space="preserve"> </w:t>
      </w:r>
      <w:r>
        <w:rPr>
          <w:rFonts w:ascii="Times New Roman" w:hAnsi="Times New Roman" w:cs="Times New Roman"/>
          <w:sz w:val="24"/>
          <w:szCs w:val="24"/>
        </w:rPr>
        <w:t>induce a ritenere che solo la seconda rappresenti una vera e propria forma di tutela</w:t>
      </w:r>
      <w:r w:rsidR="003A646D">
        <w:rPr>
          <w:rStyle w:val="Rimandonotaapidipagina"/>
          <w:rFonts w:ascii="Times New Roman" w:hAnsi="Times New Roman" w:cs="Times New Roman"/>
          <w:sz w:val="24"/>
          <w:szCs w:val="24"/>
        </w:rPr>
        <w:footnoteReference w:id="14"/>
      </w:r>
      <w:r>
        <w:rPr>
          <w:rFonts w:ascii="Times New Roman" w:hAnsi="Times New Roman" w:cs="Times New Roman"/>
          <w:sz w:val="24"/>
          <w:szCs w:val="24"/>
        </w:rPr>
        <w:t xml:space="preserve">. Nel caso di </w:t>
      </w:r>
      <w:proofErr w:type="spellStart"/>
      <w:r w:rsidRPr="0039053A">
        <w:rPr>
          <w:rFonts w:ascii="Times New Roman" w:hAnsi="Times New Roman" w:cs="Times New Roman"/>
          <w:i/>
          <w:sz w:val="24"/>
          <w:szCs w:val="24"/>
        </w:rPr>
        <w:t>anticipatory</w:t>
      </w:r>
      <w:proofErr w:type="spellEnd"/>
      <w:r w:rsidRPr="0039053A">
        <w:rPr>
          <w:rFonts w:ascii="Times New Roman" w:hAnsi="Times New Roman" w:cs="Times New Roman"/>
          <w:i/>
          <w:sz w:val="24"/>
          <w:szCs w:val="24"/>
        </w:rPr>
        <w:t xml:space="preserve"> </w:t>
      </w:r>
      <w:proofErr w:type="spellStart"/>
      <w:r w:rsidRPr="0039053A">
        <w:rPr>
          <w:rFonts w:ascii="Times New Roman" w:hAnsi="Times New Roman" w:cs="Times New Roman"/>
          <w:i/>
          <w:sz w:val="24"/>
          <w:szCs w:val="24"/>
        </w:rPr>
        <w:t>overruling</w:t>
      </w:r>
      <w:proofErr w:type="spellEnd"/>
      <w:r>
        <w:rPr>
          <w:rFonts w:ascii="Times New Roman" w:hAnsi="Times New Roman" w:cs="Times New Roman"/>
          <w:sz w:val="24"/>
          <w:szCs w:val="24"/>
        </w:rPr>
        <w:t xml:space="preserve"> non si raggiunge infatti </w:t>
      </w:r>
      <w:r w:rsidR="0039053A">
        <w:rPr>
          <w:rFonts w:ascii="Times New Roman" w:hAnsi="Times New Roman" w:cs="Times New Roman"/>
          <w:sz w:val="24"/>
          <w:szCs w:val="24"/>
        </w:rPr>
        <w:t xml:space="preserve">la certezza e quindi non viene in rilievo neppure l’affidamento del privato. </w:t>
      </w:r>
    </w:p>
    <w:p w:rsidR="00DB1090" w:rsidRDefault="00BB1104"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Del tema </w:t>
      </w:r>
      <w:r w:rsidR="0039053A">
        <w:rPr>
          <w:rFonts w:ascii="Times New Roman" w:hAnsi="Times New Roman" w:cs="Times New Roman"/>
          <w:sz w:val="24"/>
          <w:szCs w:val="24"/>
        </w:rPr>
        <w:t xml:space="preserve">dell’affidamento del privato in un consolidato orientamento giurisprudenziale </w:t>
      </w:r>
      <w:r>
        <w:rPr>
          <w:rFonts w:ascii="Times New Roman" w:hAnsi="Times New Roman" w:cs="Times New Roman"/>
          <w:sz w:val="24"/>
          <w:szCs w:val="24"/>
        </w:rPr>
        <w:t xml:space="preserve">si </w:t>
      </w:r>
      <w:r w:rsidR="005B4F8B">
        <w:rPr>
          <w:rFonts w:ascii="Times New Roman" w:hAnsi="Times New Roman" w:cs="Times New Roman"/>
          <w:sz w:val="24"/>
          <w:szCs w:val="24"/>
        </w:rPr>
        <w:t xml:space="preserve">è </w:t>
      </w:r>
      <w:r>
        <w:rPr>
          <w:rFonts w:ascii="Times New Roman" w:hAnsi="Times New Roman" w:cs="Times New Roman"/>
          <w:sz w:val="24"/>
          <w:szCs w:val="24"/>
        </w:rPr>
        <w:t>occupata anche la Giustizia Amministrativa, nella sua composizione più autorevole</w:t>
      </w:r>
      <w:r w:rsidR="009A70E8">
        <w:rPr>
          <w:rFonts w:ascii="Times New Roman" w:hAnsi="Times New Roman" w:cs="Times New Roman"/>
          <w:sz w:val="24"/>
          <w:szCs w:val="24"/>
        </w:rPr>
        <w:t>, una prima volta con la sentenza 22 dicembre 2017, n. 13</w:t>
      </w:r>
      <w:r w:rsidR="009A70E8">
        <w:rPr>
          <w:rStyle w:val="Rimandonotaapidipagina"/>
          <w:rFonts w:ascii="Times New Roman" w:hAnsi="Times New Roman" w:cs="Times New Roman"/>
          <w:sz w:val="24"/>
          <w:szCs w:val="24"/>
        </w:rPr>
        <w:footnoteReference w:id="15"/>
      </w:r>
      <w:r w:rsidR="009A70E8">
        <w:rPr>
          <w:rFonts w:ascii="Times New Roman" w:hAnsi="Times New Roman" w:cs="Times New Roman"/>
          <w:sz w:val="24"/>
          <w:szCs w:val="24"/>
        </w:rPr>
        <w:t xml:space="preserve">. </w:t>
      </w:r>
    </w:p>
    <w:p w:rsidR="009A70E8" w:rsidRDefault="009A70E8"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vicenda sottoposta all’attenzione dell’Adunanza Plenaria coinvolge </w:t>
      </w:r>
      <w:r w:rsidR="00E255BA">
        <w:rPr>
          <w:rFonts w:ascii="Times New Roman" w:hAnsi="Times New Roman" w:cs="Times New Roman"/>
          <w:sz w:val="24"/>
          <w:szCs w:val="24"/>
        </w:rPr>
        <w:t xml:space="preserve">il </w:t>
      </w:r>
      <w:proofErr w:type="spellStart"/>
      <w:r w:rsidR="00E255BA" w:rsidRPr="00E255BA">
        <w:rPr>
          <w:rFonts w:ascii="Times New Roman" w:hAnsi="Times New Roman" w:cs="Times New Roman"/>
          <w:i/>
          <w:sz w:val="24"/>
          <w:szCs w:val="24"/>
        </w:rPr>
        <w:t>prospective</w:t>
      </w:r>
      <w:proofErr w:type="spellEnd"/>
      <w:r w:rsidR="00E255BA" w:rsidRPr="00E255BA">
        <w:rPr>
          <w:rFonts w:ascii="Times New Roman" w:hAnsi="Times New Roman" w:cs="Times New Roman"/>
          <w:i/>
          <w:sz w:val="24"/>
          <w:szCs w:val="24"/>
        </w:rPr>
        <w:t xml:space="preserve"> </w:t>
      </w:r>
      <w:proofErr w:type="spellStart"/>
      <w:r w:rsidR="00E255BA" w:rsidRPr="00E255BA">
        <w:rPr>
          <w:rFonts w:ascii="Times New Roman" w:hAnsi="Times New Roman" w:cs="Times New Roman"/>
          <w:i/>
          <w:sz w:val="24"/>
          <w:szCs w:val="24"/>
        </w:rPr>
        <w:t>overruling</w:t>
      </w:r>
      <w:proofErr w:type="spellEnd"/>
      <w:r w:rsidR="00E255BA">
        <w:rPr>
          <w:rFonts w:ascii="Times New Roman" w:hAnsi="Times New Roman" w:cs="Times New Roman"/>
          <w:sz w:val="24"/>
          <w:szCs w:val="24"/>
        </w:rPr>
        <w:t xml:space="preserve"> con le specificità del diritto amministrativo che è diritto sostanziale e diritto processuale (anticipando ciò che si </w:t>
      </w:r>
      <w:r w:rsidR="004A5250">
        <w:rPr>
          <w:rFonts w:ascii="Times New Roman" w:hAnsi="Times New Roman" w:cs="Times New Roman"/>
          <w:sz w:val="24"/>
          <w:szCs w:val="24"/>
        </w:rPr>
        <w:t>dirà</w:t>
      </w:r>
      <w:r w:rsidR="00E255BA">
        <w:rPr>
          <w:rFonts w:ascii="Times New Roman" w:hAnsi="Times New Roman" w:cs="Times New Roman"/>
          <w:sz w:val="24"/>
          <w:szCs w:val="24"/>
        </w:rPr>
        <w:t xml:space="preserve"> di qui a breve, la differenza che sembra percorribile nell’ambito del diritto civile tra disposizioni sostanziali e disposizioni processuali tale per cui l’istituto in commento è applicabile solo alle seconde</w:t>
      </w:r>
      <w:r w:rsidR="004A5250">
        <w:rPr>
          <w:rFonts w:ascii="Times New Roman" w:hAnsi="Times New Roman" w:cs="Times New Roman"/>
          <w:sz w:val="24"/>
          <w:szCs w:val="24"/>
        </w:rPr>
        <w:t>,</w:t>
      </w:r>
      <w:r w:rsidR="00E255BA">
        <w:rPr>
          <w:rFonts w:ascii="Times New Roman" w:hAnsi="Times New Roman" w:cs="Times New Roman"/>
          <w:sz w:val="24"/>
          <w:szCs w:val="24"/>
        </w:rPr>
        <w:t xml:space="preserve"> non può trovare spazio nell’universo del diritto amministrativo che è</w:t>
      </w:r>
      <w:r w:rsidR="000728E9">
        <w:rPr>
          <w:rFonts w:ascii="Times New Roman" w:hAnsi="Times New Roman" w:cs="Times New Roman"/>
          <w:sz w:val="24"/>
          <w:szCs w:val="24"/>
        </w:rPr>
        <w:t xml:space="preserve"> inscindibilmente</w:t>
      </w:r>
      <w:r w:rsidR="00E255BA">
        <w:rPr>
          <w:rFonts w:ascii="Times New Roman" w:hAnsi="Times New Roman" w:cs="Times New Roman"/>
          <w:sz w:val="24"/>
          <w:szCs w:val="24"/>
        </w:rPr>
        <w:t xml:space="preserve"> forma e sostanza), in particolar modo la gradazione della pronuncia del giudice e gli effetti della sentenza di annullamento. </w:t>
      </w:r>
    </w:p>
    <w:p w:rsidR="00DB1090" w:rsidRDefault="000728E9"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L’occasione per affrontare il dibattuto tema del </w:t>
      </w:r>
      <w:proofErr w:type="spellStart"/>
      <w:r w:rsidRPr="005B4F8B">
        <w:rPr>
          <w:rFonts w:ascii="Times New Roman" w:hAnsi="Times New Roman" w:cs="Times New Roman"/>
          <w:i/>
          <w:sz w:val="24"/>
          <w:szCs w:val="24"/>
        </w:rPr>
        <w:t>prospective</w:t>
      </w:r>
      <w:proofErr w:type="spellEnd"/>
      <w:r w:rsidRPr="005B4F8B">
        <w:rPr>
          <w:rFonts w:ascii="Times New Roman" w:hAnsi="Times New Roman" w:cs="Times New Roman"/>
          <w:i/>
          <w:sz w:val="24"/>
          <w:szCs w:val="24"/>
        </w:rPr>
        <w:t xml:space="preserve"> </w:t>
      </w:r>
      <w:proofErr w:type="spellStart"/>
      <w:r w:rsidRPr="005B4F8B">
        <w:rPr>
          <w:rFonts w:ascii="Times New Roman" w:hAnsi="Times New Roman" w:cs="Times New Roman"/>
          <w:i/>
          <w:sz w:val="24"/>
          <w:szCs w:val="24"/>
        </w:rPr>
        <w:t>overruling</w:t>
      </w:r>
      <w:proofErr w:type="spellEnd"/>
      <w:r>
        <w:rPr>
          <w:rFonts w:ascii="Times New Roman" w:hAnsi="Times New Roman" w:cs="Times New Roman"/>
          <w:sz w:val="24"/>
          <w:szCs w:val="24"/>
        </w:rPr>
        <w:t xml:space="preserve"> si è presentato all’Adunanza Plenaria con una questione afferente al diritto urbanistico. La rimessione ad opera della VI Sezione del Consiglio di Stato al supremo consesso riguardava le proposte di vincolo formulate in data anteriore all’entrata in vigore della novella legislativa del Codice dei beni culturali e del paesaggio, d.lgs. 22 gennaio 2004, n. 42. </w:t>
      </w:r>
    </w:p>
    <w:p w:rsidR="000728E9" w:rsidRDefault="000728E9"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L’impianto normativo </w:t>
      </w:r>
      <w:r w:rsidRPr="00125091">
        <w:rPr>
          <w:rFonts w:ascii="Times New Roman" w:hAnsi="Times New Roman" w:cs="Times New Roman"/>
          <w:i/>
          <w:sz w:val="24"/>
          <w:szCs w:val="24"/>
        </w:rPr>
        <w:t xml:space="preserve">de quo </w:t>
      </w:r>
      <w:r>
        <w:rPr>
          <w:rFonts w:ascii="Times New Roman" w:hAnsi="Times New Roman" w:cs="Times New Roman"/>
          <w:sz w:val="24"/>
          <w:szCs w:val="24"/>
        </w:rPr>
        <w:t xml:space="preserve">aveva subito una modifica ad opera del d.lgs. 24 marzo 2006, n. 157 e d.lgs. 26 marzo 2008, n. 63 mediante la quale </w:t>
      </w:r>
      <w:r w:rsidR="00125091">
        <w:rPr>
          <w:rFonts w:ascii="Times New Roman" w:hAnsi="Times New Roman" w:cs="Times New Roman"/>
          <w:sz w:val="24"/>
          <w:szCs w:val="24"/>
        </w:rPr>
        <w:t>era</w:t>
      </w:r>
      <w:r>
        <w:rPr>
          <w:rFonts w:ascii="Times New Roman" w:hAnsi="Times New Roman" w:cs="Times New Roman"/>
          <w:sz w:val="24"/>
          <w:szCs w:val="24"/>
        </w:rPr>
        <w:t xml:space="preserve"> stato previsto che il potere della pubblica amministrazione di apporre un vincolo ad un bene di un privato </w:t>
      </w:r>
      <w:r w:rsidR="00125091">
        <w:rPr>
          <w:rFonts w:ascii="Times New Roman" w:hAnsi="Times New Roman" w:cs="Times New Roman"/>
          <w:sz w:val="24"/>
          <w:szCs w:val="24"/>
        </w:rPr>
        <w:t>fosse</w:t>
      </w:r>
      <w:r>
        <w:rPr>
          <w:rFonts w:ascii="Times New Roman" w:hAnsi="Times New Roman" w:cs="Times New Roman"/>
          <w:sz w:val="24"/>
          <w:szCs w:val="24"/>
        </w:rPr>
        <w:t xml:space="preserve"> sottoposto ad un termine specifico,</w:t>
      </w:r>
      <w:r w:rsidR="00720927">
        <w:rPr>
          <w:rFonts w:ascii="Times New Roman" w:hAnsi="Times New Roman" w:cs="Times New Roman"/>
          <w:sz w:val="24"/>
          <w:szCs w:val="24"/>
        </w:rPr>
        <w:t xml:space="preserve"> 180 giorni, trascorso il quale sarebbe stato </w:t>
      </w:r>
      <w:proofErr w:type="spellStart"/>
      <w:r w:rsidR="00720927" w:rsidRPr="00720927">
        <w:rPr>
          <w:rFonts w:ascii="Times New Roman" w:hAnsi="Times New Roman" w:cs="Times New Roman"/>
          <w:i/>
          <w:sz w:val="24"/>
          <w:szCs w:val="24"/>
        </w:rPr>
        <w:t>tamquam</w:t>
      </w:r>
      <w:proofErr w:type="spellEnd"/>
      <w:r w:rsidR="00720927" w:rsidRPr="00720927">
        <w:rPr>
          <w:rFonts w:ascii="Times New Roman" w:hAnsi="Times New Roman" w:cs="Times New Roman"/>
          <w:i/>
          <w:sz w:val="24"/>
          <w:szCs w:val="24"/>
        </w:rPr>
        <w:t xml:space="preserve"> non </w:t>
      </w:r>
      <w:proofErr w:type="spellStart"/>
      <w:r w:rsidR="00720927" w:rsidRPr="00720927">
        <w:rPr>
          <w:rFonts w:ascii="Times New Roman" w:hAnsi="Times New Roman" w:cs="Times New Roman"/>
          <w:i/>
          <w:sz w:val="24"/>
          <w:szCs w:val="24"/>
        </w:rPr>
        <w:t>esset</w:t>
      </w:r>
      <w:proofErr w:type="spellEnd"/>
      <w:r>
        <w:rPr>
          <w:rFonts w:ascii="Times New Roman" w:hAnsi="Times New Roman" w:cs="Times New Roman"/>
          <w:sz w:val="24"/>
          <w:szCs w:val="24"/>
        </w:rPr>
        <w:t xml:space="preserve">. Il quadro normativo anteriore alla novella non prevedeva alcun termine di consumazione, per cui il diritto di proprietà </w:t>
      </w:r>
      <w:r>
        <w:rPr>
          <w:rFonts w:ascii="Times New Roman" w:hAnsi="Times New Roman" w:cs="Times New Roman"/>
          <w:sz w:val="24"/>
          <w:szCs w:val="24"/>
        </w:rPr>
        <w:lastRenderedPageBreak/>
        <w:t xml:space="preserve">poteva essere limitato anche </w:t>
      </w:r>
      <w:r w:rsidRPr="00125091">
        <w:rPr>
          <w:rFonts w:ascii="Times New Roman" w:hAnsi="Times New Roman" w:cs="Times New Roman"/>
          <w:i/>
          <w:sz w:val="24"/>
          <w:szCs w:val="24"/>
        </w:rPr>
        <w:t>sine die</w:t>
      </w:r>
      <w:r>
        <w:rPr>
          <w:rFonts w:ascii="Times New Roman" w:hAnsi="Times New Roman" w:cs="Times New Roman"/>
          <w:sz w:val="24"/>
          <w:szCs w:val="24"/>
        </w:rPr>
        <w:t xml:space="preserve">. </w:t>
      </w:r>
      <w:r w:rsidR="003E1204">
        <w:rPr>
          <w:rFonts w:ascii="Times New Roman" w:hAnsi="Times New Roman" w:cs="Times New Roman"/>
          <w:sz w:val="24"/>
          <w:szCs w:val="24"/>
        </w:rPr>
        <w:t>La sezione rimettente aveva chiesto all’A</w:t>
      </w:r>
      <w:r w:rsidR="00E97C17">
        <w:rPr>
          <w:rFonts w:ascii="Times New Roman" w:hAnsi="Times New Roman" w:cs="Times New Roman"/>
          <w:sz w:val="24"/>
          <w:szCs w:val="24"/>
        </w:rPr>
        <w:t xml:space="preserve">dunanza Plenaria di chiarire </w:t>
      </w:r>
      <w:r w:rsidR="00E97C17" w:rsidRPr="00DD5E1D">
        <w:rPr>
          <w:rFonts w:ascii="Times New Roman" w:hAnsi="Times New Roman" w:cs="Times New Roman"/>
          <w:sz w:val="24"/>
          <w:szCs w:val="24"/>
        </w:rPr>
        <w:t>«</w:t>
      </w:r>
      <w:r w:rsidR="00E97C17" w:rsidRPr="00DD5E1D">
        <w:rPr>
          <w:rFonts w:ascii="Times New Roman" w:hAnsi="Times New Roman" w:cs="Times New Roman"/>
          <w:i/>
          <w:sz w:val="24"/>
          <w:szCs w:val="24"/>
        </w:rPr>
        <w:t>se, a mente del combinato disposto degli articoli 140, 141 e 157, co. 2 d.lgs. 22 gennaio 2004, n. 42 – come modificati dapprima con il d.lgs. 24 marzo 2006 n. 157, e poi, con il d.lgs. 26 marzo 2008 n. 63 – le proposte di vincolo formulate prima dell’entrata in vigore del medesimo decreto legislativo, e per le quali non vi sia stata conclusione del relativo procedimento con l’adozione del decreto ministeriale recante la dichiarazione di notevole interesse pubblico, cessino di avere effetto</w:t>
      </w:r>
      <w:r w:rsidR="00E97C17" w:rsidRPr="00DD5E1D">
        <w:rPr>
          <w:rFonts w:ascii="Times New Roman" w:hAnsi="Times New Roman" w:cs="Times New Roman"/>
          <w:sz w:val="24"/>
          <w:szCs w:val="24"/>
        </w:rPr>
        <w:t>».</w:t>
      </w:r>
    </w:p>
    <w:p w:rsidR="003E1204" w:rsidRDefault="003E1204"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Dopo aver ricostruito il quadro normativo e dato conto degli orientamenti giurisprudenziali contrapposti sul punto, il Collegio ha ritenuto di aderire all’indirizzo minoritario, quello definito dalla stessa sentenza come di “discontinuità” (cessazione degli effetti del vincolo), facendo leva su argomenti ermeneutici di ampio respiro, da quello letterale a quello logico- sistematico. </w:t>
      </w:r>
    </w:p>
    <w:p w:rsidR="003E1204" w:rsidRDefault="003E1204"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Rivelata la propria posizione, il Collegio </w:t>
      </w:r>
      <w:r w:rsidR="00125091">
        <w:rPr>
          <w:rFonts w:ascii="Times New Roman" w:hAnsi="Times New Roman" w:cs="Times New Roman"/>
          <w:sz w:val="24"/>
          <w:szCs w:val="24"/>
        </w:rPr>
        <w:t xml:space="preserve">ha </w:t>
      </w:r>
      <w:r>
        <w:rPr>
          <w:rFonts w:ascii="Times New Roman" w:hAnsi="Times New Roman" w:cs="Times New Roman"/>
          <w:sz w:val="24"/>
          <w:szCs w:val="24"/>
        </w:rPr>
        <w:t>affronta</w:t>
      </w:r>
      <w:r w:rsidR="00125091">
        <w:rPr>
          <w:rFonts w:ascii="Times New Roman" w:hAnsi="Times New Roman" w:cs="Times New Roman"/>
          <w:sz w:val="24"/>
          <w:szCs w:val="24"/>
        </w:rPr>
        <w:t>to</w:t>
      </w:r>
      <w:r>
        <w:rPr>
          <w:rFonts w:ascii="Times New Roman" w:hAnsi="Times New Roman" w:cs="Times New Roman"/>
          <w:sz w:val="24"/>
          <w:szCs w:val="24"/>
        </w:rPr>
        <w:t xml:space="preserve"> il problema applicativo più spinoso, la decorrenza del termine di 180 giorni. Partendo dal presupposto che è “</w:t>
      </w:r>
      <w:r w:rsidRPr="005E30E0">
        <w:rPr>
          <w:rFonts w:ascii="Times New Roman" w:hAnsi="Times New Roman" w:cs="Times New Roman"/>
          <w:i/>
          <w:sz w:val="24"/>
          <w:szCs w:val="24"/>
        </w:rPr>
        <w:t xml:space="preserve">la diversa conformazione del potere di provvedere a venire in discussione e non, per così dire, la natura della proposta”, </w:t>
      </w:r>
      <w:r w:rsidRPr="00125091">
        <w:rPr>
          <w:rFonts w:ascii="Times New Roman" w:hAnsi="Times New Roman" w:cs="Times New Roman"/>
          <w:sz w:val="24"/>
          <w:szCs w:val="24"/>
        </w:rPr>
        <w:t>il Collegio</w:t>
      </w:r>
      <w:r w:rsidR="00125091">
        <w:rPr>
          <w:rFonts w:ascii="Times New Roman" w:hAnsi="Times New Roman" w:cs="Times New Roman"/>
          <w:sz w:val="24"/>
          <w:szCs w:val="24"/>
        </w:rPr>
        <w:t xml:space="preserve"> ha</w:t>
      </w:r>
      <w:r w:rsidRPr="00125091">
        <w:rPr>
          <w:rFonts w:ascii="Times New Roman" w:hAnsi="Times New Roman" w:cs="Times New Roman"/>
          <w:sz w:val="24"/>
          <w:szCs w:val="24"/>
        </w:rPr>
        <w:t xml:space="preserve"> soste</w:t>
      </w:r>
      <w:r w:rsidR="00125091">
        <w:rPr>
          <w:rFonts w:ascii="Times New Roman" w:hAnsi="Times New Roman" w:cs="Times New Roman"/>
          <w:sz w:val="24"/>
          <w:szCs w:val="24"/>
        </w:rPr>
        <w:t>nuto</w:t>
      </w:r>
      <w:r w:rsidRPr="00125091">
        <w:rPr>
          <w:rFonts w:ascii="Times New Roman" w:hAnsi="Times New Roman" w:cs="Times New Roman"/>
          <w:sz w:val="24"/>
          <w:szCs w:val="24"/>
        </w:rPr>
        <w:t xml:space="preserve"> che</w:t>
      </w:r>
      <w:r w:rsidRPr="005E30E0">
        <w:rPr>
          <w:rFonts w:ascii="Times New Roman" w:hAnsi="Times New Roman" w:cs="Times New Roman"/>
          <w:i/>
          <w:sz w:val="24"/>
          <w:szCs w:val="24"/>
        </w:rPr>
        <w:t xml:space="preserve"> “vi è semplicemente un potere dell’amministrazione, che, dopo la novella è diversamente conformato in relazione al suo esercizio nel tempo, con conseguenze in ordine alla salvaguardia</w:t>
      </w:r>
      <w:r w:rsidR="005E30E0">
        <w:rPr>
          <w:rFonts w:ascii="Times New Roman" w:hAnsi="Times New Roman" w:cs="Times New Roman"/>
          <w:sz w:val="24"/>
          <w:szCs w:val="24"/>
        </w:rPr>
        <w:t>”</w:t>
      </w:r>
      <w:r>
        <w:rPr>
          <w:rFonts w:ascii="Times New Roman" w:hAnsi="Times New Roman" w:cs="Times New Roman"/>
          <w:sz w:val="24"/>
          <w:szCs w:val="24"/>
        </w:rPr>
        <w:t xml:space="preserve">. </w:t>
      </w:r>
    </w:p>
    <w:p w:rsidR="005E30E0" w:rsidRDefault="005E30E0"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 le situazioni pendenti, il termine di 180 giorni, decorre dalla data della pubblicazione della sentenza. </w:t>
      </w:r>
      <w:r w:rsidR="000D0362">
        <w:rPr>
          <w:rFonts w:ascii="Times New Roman" w:hAnsi="Times New Roman" w:cs="Times New Roman"/>
          <w:sz w:val="24"/>
          <w:szCs w:val="24"/>
        </w:rPr>
        <w:t>Il potere della Adunanza Plenaria di graduare gli effetti della pronuncia e di modulare la portata temporale della stessa, secondo il Collegio, sarebbe un principio generale affermato</w:t>
      </w:r>
      <w:r w:rsidR="00125091">
        <w:rPr>
          <w:rFonts w:ascii="Times New Roman" w:hAnsi="Times New Roman" w:cs="Times New Roman"/>
          <w:sz w:val="24"/>
          <w:szCs w:val="24"/>
        </w:rPr>
        <w:t xml:space="preserve"> a più riprese </w:t>
      </w:r>
      <w:r w:rsidR="000D0362">
        <w:rPr>
          <w:rFonts w:ascii="Times New Roman" w:hAnsi="Times New Roman" w:cs="Times New Roman"/>
          <w:sz w:val="24"/>
          <w:szCs w:val="24"/>
        </w:rPr>
        <w:t xml:space="preserve">dalla Corte di Giustizia dell’Unione europea ed immediatamente trasferibile nell’ordinamento interno anche in virtù dell’art. 1 </w:t>
      </w:r>
      <w:proofErr w:type="spellStart"/>
      <w:r w:rsidR="000D0362">
        <w:rPr>
          <w:rFonts w:ascii="Times New Roman" w:hAnsi="Times New Roman" w:cs="Times New Roman"/>
          <w:sz w:val="24"/>
          <w:szCs w:val="24"/>
        </w:rPr>
        <w:t>cpa</w:t>
      </w:r>
      <w:proofErr w:type="spellEnd"/>
      <w:r w:rsidR="000D0362">
        <w:rPr>
          <w:rFonts w:ascii="Times New Roman" w:hAnsi="Times New Roman" w:cs="Times New Roman"/>
          <w:sz w:val="24"/>
          <w:szCs w:val="24"/>
        </w:rPr>
        <w:t>. Anche la Corte Costituzionale, con la sentenza 11 febbraio 2015, n. 10</w:t>
      </w:r>
      <w:r w:rsidR="00641DFD">
        <w:rPr>
          <w:rStyle w:val="Rimandonotaapidipagina"/>
          <w:rFonts w:ascii="Times New Roman" w:hAnsi="Times New Roman" w:cs="Times New Roman"/>
          <w:sz w:val="24"/>
          <w:szCs w:val="24"/>
        </w:rPr>
        <w:footnoteReference w:id="16"/>
      </w:r>
      <w:r w:rsidR="000D0362">
        <w:rPr>
          <w:rFonts w:ascii="Times New Roman" w:hAnsi="Times New Roman" w:cs="Times New Roman"/>
          <w:sz w:val="24"/>
          <w:szCs w:val="24"/>
        </w:rPr>
        <w:t xml:space="preserve">, ha disposto che gli effetti della illegittimità costituzionale – le pronunce della Corte Costituzionalmente sono normalmente e fisiologicamente irretroattive – decorressero dal giorno successivo alla pubblicazione della sentenza. </w:t>
      </w:r>
    </w:p>
    <w:p w:rsidR="000D0362" w:rsidRDefault="000D0362"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Dovendo compendiare in poche battute il ragi</w:t>
      </w:r>
      <w:r w:rsidR="00720927">
        <w:rPr>
          <w:rFonts w:ascii="Times New Roman" w:hAnsi="Times New Roman" w:cs="Times New Roman"/>
          <w:sz w:val="24"/>
          <w:szCs w:val="24"/>
        </w:rPr>
        <w:t>onamento dell’Adunanza Plenaria, si potrebbe sostenere che</w:t>
      </w:r>
      <w:r>
        <w:rPr>
          <w:rFonts w:ascii="Times New Roman" w:hAnsi="Times New Roman" w:cs="Times New Roman"/>
          <w:sz w:val="24"/>
          <w:szCs w:val="24"/>
        </w:rPr>
        <w:t xml:space="preserve"> le sentenze interpretative possono essere irretroattive a certe condizioni (tutela di un diritto costituzionalmente rilevante e </w:t>
      </w:r>
      <w:r w:rsidR="00641DFD">
        <w:rPr>
          <w:rFonts w:ascii="Times New Roman" w:hAnsi="Times New Roman" w:cs="Times New Roman"/>
          <w:sz w:val="24"/>
          <w:szCs w:val="24"/>
        </w:rPr>
        <w:t>“</w:t>
      </w:r>
      <w:r w:rsidRPr="00641DFD">
        <w:rPr>
          <w:rFonts w:ascii="Times New Roman" w:hAnsi="Times New Roman" w:cs="Times New Roman"/>
          <w:i/>
          <w:sz w:val="24"/>
          <w:szCs w:val="24"/>
        </w:rPr>
        <w:t>la necessità che la compressione degli effetti retroattivi sia limitata a quanto strettamente necessario per assicurare il contemperamento dei valori in gioco</w:t>
      </w:r>
      <w:r w:rsidR="00641DFD">
        <w:rPr>
          <w:rStyle w:val="Rimandonotaapidipagina"/>
          <w:rFonts w:ascii="Times New Roman" w:hAnsi="Times New Roman" w:cs="Times New Roman"/>
          <w:i/>
          <w:sz w:val="24"/>
          <w:szCs w:val="24"/>
        </w:rPr>
        <w:footnoteReference w:id="17"/>
      </w:r>
      <w:r w:rsidR="00641DFD">
        <w:rPr>
          <w:rFonts w:ascii="Times New Roman" w:hAnsi="Times New Roman" w:cs="Times New Roman"/>
          <w:sz w:val="24"/>
          <w:szCs w:val="24"/>
        </w:rPr>
        <w:t>”</w:t>
      </w:r>
      <w:r>
        <w:rPr>
          <w:rFonts w:ascii="Times New Roman" w:hAnsi="Times New Roman" w:cs="Times New Roman"/>
          <w:sz w:val="24"/>
          <w:szCs w:val="24"/>
        </w:rPr>
        <w:t>)</w:t>
      </w:r>
      <w:r w:rsidR="00641DFD">
        <w:rPr>
          <w:rFonts w:ascii="Times New Roman" w:hAnsi="Times New Roman" w:cs="Times New Roman"/>
          <w:sz w:val="24"/>
          <w:szCs w:val="24"/>
        </w:rPr>
        <w:t xml:space="preserve">, le pronunce rese dal Supremo Consesso sono pronunce interpretative che, in presenza delle condizioni anzidette, possono essere irretroattive. A tutela delle situazioni su cui il privato abbia </w:t>
      </w:r>
      <w:r w:rsidR="00720927">
        <w:rPr>
          <w:rFonts w:ascii="Times New Roman" w:hAnsi="Times New Roman" w:cs="Times New Roman"/>
          <w:sz w:val="24"/>
          <w:szCs w:val="24"/>
        </w:rPr>
        <w:t>riposto</w:t>
      </w:r>
      <w:r w:rsidR="00641DFD">
        <w:rPr>
          <w:rFonts w:ascii="Times New Roman" w:hAnsi="Times New Roman" w:cs="Times New Roman"/>
          <w:sz w:val="24"/>
          <w:szCs w:val="24"/>
        </w:rPr>
        <w:t xml:space="preserve"> legittimo affidamento è </w:t>
      </w:r>
      <w:r w:rsidR="00720927">
        <w:rPr>
          <w:rFonts w:ascii="Times New Roman" w:hAnsi="Times New Roman" w:cs="Times New Roman"/>
          <w:sz w:val="24"/>
          <w:szCs w:val="24"/>
        </w:rPr>
        <w:t>possibile l’applicazione dell’istituto</w:t>
      </w:r>
      <w:r w:rsidR="00641DFD">
        <w:rPr>
          <w:rFonts w:ascii="Times New Roman" w:hAnsi="Times New Roman" w:cs="Times New Roman"/>
          <w:sz w:val="24"/>
          <w:szCs w:val="24"/>
        </w:rPr>
        <w:t xml:space="preserve"> del </w:t>
      </w:r>
      <w:proofErr w:type="spellStart"/>
      <w:r w:rsidR="00641DFD" w:rsidRPr="00641DFD">
        <w:rPr>
          <w:rFonts w:ascii="Times New Roman" w:hAnsi="Times New Roman" w:cs="Times New Roman"/>
          <w:i/>
          <w:sz w:val="24"/>
          <w:szCs w:val="24"/>
        </w:rPr>
        <w:t>prospective</w:t>
      </w:r>
      <w:proofErr w:type="spellEnd"/>
      <w:r w:rsidR="00641DFD" w:rsidRPr="00641DFD">
        <w:rPr>
          <w:rFonts w:ascii="Times New Roman" w:hAnsi="Times New Roman" w:cs="Times New Roman"/>
          <w:i/>
          <w:sz w:val="24"/>
          <w:szCs w:val="24"/>
        </w:rPr>
        <w:t xml:space="preserve"> </w:t>
      </w:r>
      <w:proofErr w:type="spellStart"/>
      <w:r w:rsidR="00641DFD" w:rsidRPr="00641DFD">
        <w:rPr>
          <w:rFonts w:ascii="Times New Roman" w:hAnsi="Times New Roman" w:cs="Times New Roman"/>
          <w:i/>
          <w:sz w:val="24"/>
          <w:szCs w:val="24"/>
        </w:rPr>
        <w:t>overruling</w:t>
      </w:r>
      <w:proofErr w:type="spellEnd"/>
      <w:r w:rsidR="00641DFD">
        <w:rPr>
          <w:rFonts w:ascii="Times New Roman" w:hAnsi="Times New Roman" w:cs="Times New Roman"/>
          <w:sz w:val="24"/>
          <w:szCs w:val="24"/>
        </w:rPr>
        <w:t xml:space="preserve"> che, secondo la </w:t>
      </w:r>
      <w:r w:rsidR="00641DFD">
        <w:rPr>
          <w:rFonts w:ascii="Times New Roman" w:hAnsi="Times New Roman" w:cs="Times New Roman"/>
          <w:sz w:val="24"/>
          <w:szCs w:val="24"/>
        </w:rPr>
        <w:lastRenderedPageBreak/>
        <w:t>pronuncia, “</w:t>
      </w:r>
      <w:r w:rsidR="00641DFD" w:rsidRPr="00641DFD">
        <w:rPr>
          <w:rFonts w:ascii="Times New Roman" w:hAnsi="Times New Roman" w:cs="Times New Roman"/>
          <w:i/>
          <w:sz w:val="24"/>
          <w:szCs w:val="24"/>
        </w:rPr>
        <w:t>si esplicita, dunque, nella po</w:t>
      </w:r>
      <w:r w:rsidR="00641DFD">
        <w:rPr>
          <w:rFonts w:ascii="Times New Roman" w:hAnsi="Times New Roman" w:cs="Times New Roman"/>
          <w:i/>
          <w:sz w:val="24"/>
          <w:szCs w:val="24"/>
        </w:rPr>
        <w:t>ssibilità per il giudice di mo</w:t>
      </w:r>
      <w:r w:rsidR="00641DFD" w:rsidRPr="00641DFD">
        <w:rPr>
          <w:rFonts w:ascii="Times New Roman" w:hAnsi="Times New Roman" w:cs="Times New Roman"/>
          <w:i/>
          <w:sz w:val="24"/>
          <w:szCs w:val="24"/>
        </w:rPr>
        <w:t>di</w:t>
      </w:r>
      <w:r w:rsidR="00641DFD">
        <w:rPr>
          <w:rFonts w:ascii="Times New Roman" w:hAnsi="Times New Roman" w:cs="Times New Roman"/>
          <w:i/>
          <w:sz w:val="24"/>
          <w:szCs w:val="24"/>
        </w:rPr>
        <w:t>fi</w:t>
      </w:r>
      <w:r w:rsidR="00641DFD" w:rsidRPr="00641DFD">
        <w:rPr>
          <w:rFonts w:ascii="Times New Roman" w:hAnsi="Times New Roman" w:cs="Times New Roman"/>
          <w:i/>
          <w:sz w:val="24"/>
          <w:szCs w:val="24"/>
        </w:rPr>
        <w:t>care un precedente, ritenuto inadeguato, per tutti i casi che si presenteranno in futuro, decidendo però il caso alla sua immediata cognizione in base alla regola superata</w:t>
      </w:r>
      <w:r w:rsidR="00641DFD">
        <w:rPr>
          <w:rFonts w:ascii="Times New Roman" w:hAnsi="Times New Roman" w:cs="Times New Roman"/>
          <w:sz w:val="24"/>
          <w:szCs w:val="24"/>
        </w:rPr>
        <w:t>. (….)</w:t>
      </w:r>
      <w:r w:rsidR="00D46DAB">
        <w:rPr>
          <w:rFonts w:ascii="Times New Roman" w:hAnsi="Times New Roman" w:cs="Times New Roman"/>
          <w:sz w:val="24"/>
          <w:szCs w:val="24"/>
        </w:rPr>
        <w:t>”</w:t>
      </w:r>
    </w:p>
    <w:p w:rsidR="00641DFD" w:rsidRPr="00641DFD" w:rsidRDefault="00D46DAB"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sentenza si premura di specificare quali siano i presupposti in presenza dei quali l’istituto possa essere applicabile nell’ambito del diritto amministrativo: </w:t>
      </w:r>
    </w:p>
    <w:p w:rsidR="00641DFD" w:rsidRPr="00D46DAB" w:rsidRDefault="00641DFD" w:rsidP="00AA33ED">
      <w:pPr>
        <w:pStyle w:val="Nessunaspaziatura"/>
        <w:spacing w:line="360" w:lineRule="auto"/>
        <w:jc w:val="both"/>
        <w:rPr>
          <w:rFonts w:ascii="Times New Roman" w:hAnsi="Times New Roman" w:cs="Times New Roman"/>
          <w:i/>
          <w:sz w:val="24"/>
          <w:szCs w:val="24"/>
        </w:rPr>
      </w:pPr>
      <w:r w:rsidRPr="00D46DAB">
        <w:rPr>
          <w:rFonts w:ascii="Times New Roman" w:hAnsi="Times New Roman" w:cs="Times New Roman"/>
          <w:i/>
          <w:sz w:val="24"/>
          <w:szCs w:val="24"/>
        </w:rPr>
        <w:t>a) l’obiettiva e rilevante incertezza circa la portata delle disposizioni da interpretare;</w:t>
      </w:r>
    </w:p>
    <w:p w:rsidR="00641DFD" w:rsidRPr="00D46DAB" w:rsidRDefault="00641DFD" w:rsidP="00AA33ED">
      <w:pPr>
        <w:pStyle w:val="Nessunaspaziatura"/>
        <w:spacing w:line="360" w:lineRule="auto"/>
        <w:jc w:val="both"/>
        <w:rPr>
          <w:rFonts w:ascii="Times New Roman" w:hAnsi="Times New Roman" w:cs="Times New Roman"/>
          <w:i/>
          <w:sz w:val="24"/>
          <w:szCs w:val="24"/>
        </w:rPr>
      </w:pPr>
      <w:r w:rsidRPr="00D46DAB">
        <w:rPr>
          <w:rFonts w:ascii="Times New Roman" w:hAnsi="Times New Roman" w:cs="Times New Roman"/>
          <w:i/>
          <w:sz w:val="24"/>
          <w:szCs w:val="24"/>
        </w:rPr>
        <w:t>b) l’esistenza di un orientamento prevalente contrario all’interpretazione adottata;</w:t>
      </w:r>
    </w:p>
    <w:p w:rsidR="00641DFD" w:rsidRDefault="00641DFD" w:rsidP="00AA33ED">
      <w:pPr>
        <w:pStyle w:val="Nessunaspaziatura"/>
        <w:spacing w:line="360" w:lineRule="auto"/>
        <w:jc w:val="both"/>
        <w:rPr>
          <w:rFonts w:ascii="Times New Roman" w:hAnsi="Times New Roman" w:cs="Times New Roman"/>
          <w:i/>
          <w:sz w:val="24"/>
          <w:szCs w:val="24"/>
        </w:rPr>
      </w:pPr>
      <w:r w:rsidRPr="00D46DAB">
        <w:rPr>
          <w:rFonts w:ascii="Times New Roman" w:hAnsi="Times New Roman" w:cs="Times New Roman"/>
          <w:i/>
          <w:sz w:val="24"/>
          <w:szCs w:val="24"/>
        </w:rPr>
        <w:t>c) la necessità di tutelare uno o più principi costituzionali o, comunque, di evitare gravi ripercussioni socio-economiche.</w:t>
      </w:r>
    </w:p>
    <w:p w:rsidR="003274BB" w:rsidRDefault="00D46DAB"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È evidente il divario tra la pronuncia dell’Adunanza Plenaria e l’impianto interpretativo della Corte di Cassazione. </w:t>
      </w:r>
      <w:r w:rsidR="00B27D38">
        <w:rPr>
          <w:rFonts w:ascii="Times New Roman" w:hAnsi="Times New Roman" w:cs="Times New Roman"/>
          <w:sz w:val="24"/>
          <w:szCs w:val="24"/>
        </w:rPr>
        <w:t>L</w:t>
      </w:r>
      <w:r>
        <w:rPr>
          <w:rFonts w:ascii="Times New Roman" w:hAnsi="Times New Roman" w:cs="Times New Roman"/>
          <w:sz w:val="24"/>
          <w:szCs w:val="24"/>
        </w:rPr>
        <w:t>e disposizioni oggetto della pronuncia interpretative sono disposizioni sos</w:t>
      </w:r>
      <w:r w:rsidR="003D3E2B">
        <w:rPr>
          <w:rFonts w:ascii="Times New Roman" w:hAnsi="Times New Roman" w:cs="Times New Roman"/>
          <w:sz w:val="24"/>
          <w:szCs w:val="24"/>
        </w:rPr>
        <w:t xml:space="preserve">tanziali e non processuali. Tale peculiarità, unitamente alla scelta di far decorrere dalla pubblicazione della sentenza i termini di decadenza di cui all’art. 157 d.lgs. 22 gennaio 2004, n. 42, non ha trovato la piena adesione da parte della dottrina secondo cui, seguendo questo percorso argomentativo, l’Adunanza Plenaria avrebbe trasformato la propria funzione da nomofilattica a </w:t>
      </w:r>
      <w:proofErr w:type="spellStart"/>
      <w:r w:rsidR="003D3E2B">
        <w:rPr>
          <w:rFonts w:ascii="Times New Roman" w:hAnsi="Times New Roman" w:cs="Times New Roman"/>
          <w:sz w:val="24"/>
          <w:szCs w:val="24"/>
        </w:rPr>
        <w:t>nomopoietica</w:t>
      </w:r>
      <w:proofErr w:type="spellEnd"/>
      <w:r w:rsidR="003D3E2B">
        <w:rPr>
          <w:rStyle w:val="Rimandonotaapidipagina"/>
          <w:rFonts w:ascii="Times New Roman" w:hAnsi="Times New Roman" w:cs="Times New Roman"/>
          <w:sz w:val="24"/>
          <w:szCs w:val="24"/>
        </w:rPr>
        <w:footnoteReference w:id="18"/>
      </w:r>
      <w:r w:rsidR="003274BB">
        <w:rPr>
          <w:rFonts w:ascii="Times New Roman" w:hAnsi="Times New Roman" w:cs="Times New Roman"/>
          <w:sz w:val="24"/>
          <w:szCs w:val="24"/>
        </w:rPr>
        <w:t>, situazione questa che “</w:t>
      </w:r>
      <w:r w:rsidR="003274BB" w:rsidRPr="003274BB">
        <w:rPr>
          <w:rFonts w:ascii="Times New Roman" w:hAnsi="Times New Roman" w:cs="Times New Roman"/>
          <w:i/>
          <w:sz w:val="24"/>
          <w:szCs w:val="24"/>
        </w:rPr>
        <w:t>oltre che contraria al principio di effettività della tutela della situazione dedotta in giudizio, si rivela la tipica ipotesi in cui il giudice amministrativo si è sostituito al legislatore, creando una nuova norma, sconosciuta all’ordinamento, tracimando dal potere giurisdizionale: si tratta di un caso tipico in cui è possibile il ricorso per Cassazione per motivi inerenti alla giurisdizione</w:t>
      </w:r>
      <w:r w:rsidR="003274BB">
        <w:rPr>
          <w:rFonts w:ascii="Times New Roman" w:hAnsi="Times New Roman" w:cs="Times New Roman"/>
          <w:sz w:val="24"/>
          <w:szCs w:val="24"/>
        </w:rPr>
        <w:t>”.</w:t>
      </w:r>
    </w:p>
    <w:p w:rsidR="00DD5E1D" w:rsidRDefault="00DD5E1D"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Anche la Corte di Cassazione, dal canto suo, nelle sue più recenti pronunce, ha comunque ribadito la </w:t>
      </w:r>
      <w:proofErr w:type="spellStart"/>
      <w:r w:rsidRPr="00DD5E1D">
        <w:rPr>
          <w:rFonts w:ascii="Times New Roman" w:hAnsi="Times New Roman" w:cs="Times New Roman"/>
          <w:sz w:val="24"/>
          <w:szCs w:val="24"/>
        </w:rPr>
        <w:t>circoscrivibilità</w:t>
      </w:r>
      <w:proofErr w:type="spellEnd"/>
      <w:r>
        <w:rPr>
          <w:rFonts w:ascii="Times New Roman" w:hAnsi="Times New Roman" w:cs="Times New Roman"/>
          <w:sz w:val="24"/>
          <w:szCs w:val="24"/>
        </w:rPr>
        <w:t xml:space="preserve"> dell’istituto alle sole norme processuali</w:t>
      </w:r>
      <w:r>
        <w:rPr>
          <w:rStyle w:val="Rimandonotaapidipagina"/>
          <w:rFonts w:ascii="Times New Roman" w:hAnsi="Times New Roman" w:cs="Times New Roman"/>
          <w:sz w:val="24"/>
          <w:szCs w:val="24"/>
        </w:rPr>
        <w:footnoteReference w:id="19"/>
      </w:r>
      <w:r>
        <w:rPr>
          <w:rFonts w:ascii="Times New Roman" w:hAnsi="Times New Roman" w:cs="Times New Roman"/>
          <w:sz w:val="24"/>
          <w:szCs w:val="24"/>
        </w:rPr>
        <w:t>.</w:t>
      </w:r>
    </w:p>
    <w:p w:rsidR="00E97C17" w:rsidRDefault="006E35C2"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Sulla praticabilità e sulla legittimità della soluzione dell’Adunanza Plenaria è </w:t>
      </w:r>
      <w:r w:rsidR="008D0114">
        <w:rPr>
          <w:rFonts w:ascii="Times New Roman" w:hAnsi="Times New Roman" w:cs="Times New Roman"/>
          <w:sz w:val="24"/>
          <w:szCs w:val="24"/>
        </w:rPr>
        <w:t xml:space="preserve">poi </w:t>
      </w:r>
      <w:r>
        <w:rPr>
          <w:rFonts w:ascii="Times New Roman" w:hAnsi="Times New Roman" w:cs="Times New Roman"/>
          <w:sz w:val="24"/>
          <w:szCs w:val="24"/>
        </w:rPr>
        <w:t>tornato il Consiglio di Stato nella sua veste consultiva, con parere 30 giugno 2020, n. 1233</w:t>
      </w:r>
      <w:r w:rsidR="008D0114">
        <w:rPr>
          <w:rStyle w:val="Rimandonotaapidipagina"/>
          <w:rFonts w:ascii="Times New Roman" w:hAnsi="Times New Roman" w:cs="Times New Roman"/>
          <w:sz w:val="24"/>
          <w:szCs w:val="24"/>
        </w:rPr>
        <w:footnoteReference w:id="20"/>
      </w:r>
      <w:r w:rsidR="008D0114">
        <w:rPr>
          <w:rFonts w:ascii="Times New Roman" w:hAnsi="Times New Roman" w:cs="Times New Roman"/>
          <w:sz w:val="24"/>
          <w:szCs w:val="24"/>
        </w:rPr>
        <w:t xml:space="preserve">, precisando, in questa </w:t>
      </w:r>
      <w:r w:rsidR="008D0114">
        <w:rPr>
          <w:rFonts w:ascii="Times New Roman" w:hAnsi="Times New Roman" w:cs="Times New Roman"/>
          <w:sz w:val="24"/>
          <w:szCs w:val="24"/>
        </w:rPr>
        <w:lastRenderedPageBreak/>
        <w:t xml:space="preserve">occasione, la linea di confine tra graduazione degli effetti delle pronunce di annullamento e il diverso istituto del </w:t>
      </w:r>
      <w:proofErr w:type="spellStart"/>
      <w:r w:rsidR="008D0114" w:rsidRPr="008D0114">
        <w:rPr>
          <w:rFonts w:ascii="Times New Roman" w:hAnsi="Times New Roman" w:cs="Times New Roman"/>
          <w:i/>
          <w:sz w:val="24"/>
          <w:szCs w:val="24"/>
        </w:rPr>
        <w:t>prospective</w:t>
      </w:r>
      <w:proofErr w:type="spellEnd"/>
      <w:r w:rsidR="008D0114" w:rsidRPr="008D0114">
        <w:rPr>
          <w:rFonts w:ascii="Times New Roman" w:hAnsi="Times New Roman" w:cs="Times New Roman"/>
          <w:i/>
          <w:sz w:val="24"/>
          <w:szCs w:val="24"/>
        </w:rPr>
        <w:t xml:space="preserve"> </w:t>
      </w:r>
      <w:proofErr w:type="spellStart"/>
      <w:r w:rsidR="008D0114" w:rsidRPr="008D0114">
        <w:rPr>
          <w:rFonts w:ascii="Times New Roman" w:hAnsi="Times New Roman" w:cs="Times New Roman"/>
          <w:i/>
          <w:sz w:val="24"/>
          <w:szCs w:val="24"/>
        </w:rPr>
        <w:t>overruling</w:t>
      </w:r>
      <w:proofErr w:type="spellEnd"/>
      <w:r w:rsidR="008D011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03610" w:rsidRDefault="00A03610" w:rsidP="00AA33ED">
      <w:pPr>
        <w:pStyle w:val="Nessunaspaziatura"/>
        <w:spacing w:line="360" w:lineRule="auto"/>
        <w:jc w:val="both"/>
        <w:rPr>
          <w:rFonts w:ascii="Times New Roman" w:hAnsi="Times New Roman" w:cs="Times New Roman"/>
          <w:sz w:val="24"/>
          <w:szCs w:val="24"/>
        </w:rPr>
      </w:pPr>
    </w:p>
    <w:p w:rsidR="00125091" w:rsidRPr="00FE785A" w:rsidRDefault="00A03610" w:rsidP="00553783">
      <w:pPr>
        <w:pStyle w:val="Nessunaspaziatura"/>
        <w:numPr>
          <w:ilvl w:val="0"/>
          <w:numId w:val="2"/>
        </w:numPr>
        <w:spacing w:line="360" w:lineRule="auto"/>
        <w:jc w:val="both"/>
        <w:rPr>
          <w:rFonts w:ascii="Times New Roman" w:hAnsi="Times New Roman" w:cs="Times New Roman"/>
          <w:b/>
          <w:sz w:val="24"/>
          <w:szCs w:val="24"/>
        </w:rPr>
      </w:pPr>
      <w:r w:rsidRPr="00FE785A">
        <w:rPr>
          <w:rFonts w:ascii="Times New Roman" w:hAnsi="Times New Roman" w:cs="Times New Roman"/>
          <w:sz w:val="24"/>
          <w:szCs w:val="24"/>
        </w:rPr>
        <w:t xml:space="preserve">La </w:t>
      </w:r>
      <w:hyperlink r:id="rId10" w:history="1">
        <w:r w:rsidRPr="00583823">
          <w:rPr>
            <w:rStyle w:val="Collegamentoipertestuale"/>
            <w:rFonts w:ascii="Times New Roman" w:hAnsi="Times New Roman" w:cs="Times New Roman"/>
            <w:sz w:val="24"/>
            <w:szCs w:val="24"/>
          </w:rPr>
          <w:t xml:space="preserve">Sentenza </w:t>
        </w:r>
        <w:r w:rsidR="00FE785A" w:rsidRPr="00583823">
          <w:rPr>
            <w:rStyle w:val="Collegamentoipertestuale"/>
            <w:rFonts w:ascii="Times New Roman" w:hAnsi="Times New Roman" w:cs="Times New Roman"/>
            <w:sz w:val="24"/>
            <w:szCs w:val="24"/>
          </w:rPr>
          <w:t xml:space="preserve">del Consiglio di Stato, VI Sez., </w:t>
        </w:r>
        <w:r w:rsidR="00553783" w:rsidRPr="00583823">
          <w:rPr>
            <w:rStyle w:val="Collegamentoipertestuale"/>
            <w:rFonts w:ascii="Times New Roman" w:hAnsi="Times New Roman" w:cs="Times New Roman"/>
            <w:sz w:val="24"/>
            <w:szCs w:val="24"/>
          </w:rPr>
          <w:t xml:space="preserve">26 luglio </w:t>
        </w:r>
        <w:r w:rsidRPr="00583823">
          <w:rPr>
            <w:rStyle w:val="Collegamentoipertestuale"/>
            <w:rFonts w:ascii="Times New Roman" w:hAnsi="Times New Roman" w:cs="Times New Roman"/>
            <w:sz w:val="24"/>
            <w:szCs w:val="24"/>
          </w:rPr>
          <w:t>2021, n. 5556</w:t>
        </w:r>
      </w:hyperlink>
    </w:p>
    <w:p w:rsidR="00FE785A" w:rsidRPr="00FE785A" w:rsidRDefault="00FE785A" w:rsidP="00FE785A">
      <w:pPr>
        <w:pStyle w:val="Nessunaspaziatura"/>
        <w:spacing w:line="360" w:lineRule="auto"/>
        <w:ind w:left="720"/>
        <w:jc w:val="both"/>
        <w:rPr>
          <w:rFonts w:ascii="Times New Roman" w:hAnsi="Times New Roman" w:cs="Times New Roman"/>
          <w:b/>
          <w:sz w:val="24"/>
          <w:szCs w:val="24"/>
        </w:rPr>
      </w:pPr>
    </w:p>
    <w:p w:rsidR="00125091" w:rsidRDefault="00125091"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Date queste premesse di carattere generale, giova </w:t>
      </w:r>
      <w:r w:rsidR="002B5332">
        <w:rPr>
          <w:rFonts w:ascii="Times New Roman" w:hAnsi="Times New Roman" w:cs="Times New Roman"/>
          <w:sz w:val="24"/>
          <w:szCs w:val="24"/>
        </w:rPr>
        <w:t>specificare</w:t>
      </w:r>
      <w:r>
        <w:rPr>
          <w:rFonts w:ascii="Times New Roman" w:hAnsi="Times New Roman" w:cs="Times New Roman"/>
          <w:sz w:val="24"/>
          <w:szCs w:val="24"/>
        </w:rPr>
        <w:t xml:space="preserve"> che la questione</w:t>
      </w:r>
      <w:r w:rsidR="00F52B6C">
        <w:rPr>
          <w:rFonts w:ascii="Times New Roman" w:hAnsi="Times New Roman" w:cs="Times New Roman"/>
          <w:sz w:val="24"/>
          <w:szCs w:val="24"/>
        </w:rPr>
        <w:t xml:space="preserve"> oggetto della </w:t>
      </w:r>
      <w:hyperlink r:id="rId11" w:history="1">
        <w:r w:rsidR="00F52B6C" w:rsidRPr="00583823">
          <w:rPr>
            <w:rStyle w:val="Collegamentoipertestuale"/>
            <w:rFonts w:ascii="Times New Roman" w:hAnsi="Times New Roman" w:cs="Times New Roman"/>
            <w:sz w:val="24"/>
            <w:szCs w:val="24"/>
          </w:rPr>
          <w:t xml:space="preserve">sentenza </w:t>
        </w:r>
        <w:r w:rsidR="00553783" w:rsidRPr="00583823">
          <w:rPr>
            <w:rStyle w:val="Collegamentoipertestuale"/>
            <w:rFonts w:ascii="Times New Roman" w:hAnsi="Times New Roman" w:cs="Times New Roman"/>
            <w:sz w:val="24"/>
            <w:szCs w:val="24"/>
          </w:rPr>
          <w:t>26 luglio</w:t>
        </w:r>
        <w:r w:rsidR="00F52B6C" w:rsidRPr="00583823">
          <w:rPr>
            <w:rStyle w:val="Collegamentoipertestuale"/>
            <w:rFonts w:ascii="Times New Roman" w:hAnsi="Times New Roman" w:cs="Times New Roman"/>
            <w:sz w:val="24"/>
            <w:szCs w:val="24"/>
          </w:rPr>
          <w:t xml:space="preserve"> 2021, n. 5556</w:t>
        </w:r>
      </w:hyperlink>
      <w:bookmarkStart w:id="0" w:name="_GoBack"/>
      <w:bookmarkEnd w:id="0"/>
      <w:r>
        <w:rPr>
          <w:rFonts w:ascii="Times New Roman" w:hAnsi="Times New Roman" w:cs="Times New Roman"/>
          <w:sz w:val="24"/>
          <w:szCs w:val="24"/>
        </w:rPr>
        <w:t xml:space="preserve"> trae origine</w:t>
      </w:r>
      <w:r w:rsidR="003A646D">
        <w:rPr>
          <w:rFonts w:ascii="Times New Roman" w:hAnsi="Times New Roman" w:cs="Times New Roman"/>
          <w:sz w:val="24"/>
          <w:szCs w:val="24"/>
        </w:rPr>
        <w:t xml:space="preserve"> </w:t>
      </w:r>
      <w:r w:rsidR="002C6435">
        <w:rPr>
          <w:rFonts w:ascii="Times New Roman" w:hAnsi="Times New Roman" w:cs="Times New Roman"/>
          <w:sz w:val="24"/>
          <w:szCs w:val="24"/>
        </w:rPr>
        <w:t xml:space="preserve">dalla vicenda delle graduatorie </w:t>
      </w:r>
      <w:r w:rsidR="0082748E">
        <w:rPr>
          <w:rFonts w:ascii="Times New Roman" w:hAnsi="Times New Roman" w:cs="Times New Roman"/>
          <w:sz w:val="24"/>
          <w:szCs w:val="24"/>
        </w:rPr>
        <w:t xml:space="preserve">ad esaurimento in ambito scolastico in riferimento ai titolari di diploma </w:t>
      </w:r>
      <w:r w:rsidR="0082748E">
        <w:rPr>
          <w:rFonts w:ascii="Garamond" w:hAnsi="Garamond"/>
          <w:color w:val="000000"/>
          <w:sz w:val="30"/>
          <w:szCs w:val="30"/>
        </w:rPr>
        <w:t xml:space="preserve">di </w:t>
      </w:r>
      <w:r w:rsidR="0082748E" w:rsidRPr="0082748E">
        <w:rPr>
          <w:rFonts w:ascii="Times New Roman" w:hAnsi="Times New Roman" w:cs="Times New Roman"/>
          <w:sz w:val="24"/>
          <w:szCs w:val="24"/>
        </w:rPr>
        <w:t xml:space="preserve">maturità magistrale conseguito entro l’anno </w:t>
      </w:r>
      <w:r w:rsidR="0082748E" w:rsidRPr="0082748E">
        <w:rPr>
          <w:rFonts w:ascii="Times New Roman" w:hAnsi="Times New Roman" w:cs="Times New Roman"/>
          <w:sz w:val="24"/>
          <w:szCs w:val="24"/>
        </w:rPr>
        <w:lastRenderedPageBreak/>
        <w:t>scolastico 2001/2002</w:t>
      </w:r>
      <w:r w:rsidR="001C2999">
        <w:rPr>
          <w:rFonts w:ascii="Times New Roman" w:hAnsi="Times New Roman" w:cs="Times New Roman"/>
          <w:sz w:val="24"/>
          <w:szCs w:val="24"/>
        </w:rPr>
        <w:t xml:space="preserve">, </w:t>
      </w:r>
      <w:r w:rsidR="00F52B6C">
        <w:rPr>
          <w:rFonts w:ascii="Times New Roman" w:hAnsi="Times New Roman" w:cs="Times New Roman"/>
          <w:sz w:val="24"/>
          <w:szCs w:val="24"/>
        </w:rPr>
        <w:t>a</w:t>
      </w:r>
      <w:r w:rsidR="001C2999">
        <w:rPr>
          <w:rFonts w:ascii="Times New Roman" w:hAnsi="Times New Roman" w:cs="Times New Roman"/>
          <w:sz w:val="24"/>
          <w:szCs w:val="24"/>
        </w:rPr>
        <w:t>ll’attenzione dell’Adunanza Plenaria in tre</w:t>
      </w:r>
      <w:r w:rsidR="002B7597">
        <w:rPr>
          <w:rFonts w:ascii="Times New Roman" w:hAnsi="Times New Roman" w:cs="Times New Roman"/>
          <w:sz w:val="24"/>
          <w:szCs w:val="24"/>
        </w:rPr>
        <w:t xml:space="preserve"> distinte</w:t>
      </w:r>
      <w:r w:rsidR="001C2999">
        <w:rPr>
          <w:rFonts w:ascii="Times New Roman" w:hAnsi="Times New Roman" w:cs="Times New Roman"/>
          <w:sz w:val="24"/>
          <w:szCs w:val="24"/>
        </w:rPr>
        <w:t xml:space="preserve"> pronunce, </w:t>
      </w:r>
      <w:r w:rsidR="002B7597">
        <w:rPr>
          <w:rFonts w:ascii="Times New Roman" w:hAnsi="Times New Roman" w:cs="Times New Roman"/>
          <w:sz w:val="24"/>
          <w:szCs w:val="24"/>
        </w:rPr>
        <w:t xml:space="preserve">segnatamente, </w:t>
      </w:r>
      <w:r w:rsidR="001C2999">
        <w:rPr>
          <w:rFonts w:ascii="Times New Roman" w:hAnsi="Times New Roman" w:cs="Times New Roman"/>
          <w:sz w:val="24"/>
          <w:szCs w:val="24"/>
        </w:rPr>
        <w:t xml:space="preserve">n. 11 del 2017, </w:t>
      </w:r>
      <w:proofErr w:type="spellStart"/>
      <w:r w:rsidR="001C2999">
        <w:rPr>
          <w:rFonts w:ascii="Times New Roman" w:hAnsi="Times New Roman" w:cs="Times New Roman"/>
          <w:sz w:val="24"/>
          <w:szCs w:val="24"/>
        </w:rPr>
        <w:t>nn</w:t>
      </w:r>
      <w:proofErr w:type="spellEnd"/>
      <w:r w:rsidR="001C2999">
        <w:rPr>
          <w:rFonts w:ascii="Times New Roman" w:hAnsi="Times New Roman" w:cs="Times New Roman"/>
          <w:sz w:val="24"/>
          <w:szCs w:val="24"/>
        </w:rPr>
        <w:t>. 4 e 5 del 2019</w:t>
      </w:r>
      <w:r w:rsidR="00DC6DE7">
        <w:rPr>
          <w:rStyle w:val="Rimandonotaapidipagina"/>
          <w:rFonts w:ascii="Times New Roman" w:hAnsi="Times New Roman" w:cs="Times New Roman"/>
          <w:sz w:val="24"/>
          <w:szCs w:val="24"/>
        </w:rPr>
        <w:footnoteReference w:id="21"/>
      </w:r>
      <w:r w:rsidR="001C2999">
        <w:rPr>
          <w:rFonts w:ascii="Times New Roman" w:hAnsi="Times New Roman" w:cs="Times New Roman"/>
          <w:sz w:val="24"/>
          <w:szCs w:val="24"/>
        </w:rPr>
        <w:t>.</w:t>
      </w:r>
    </w:p>
    <w:p w:rsidR="001C2999" w:rsidRDefault="001C2999"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Prima di intraprendere l’analisi della sentenza resa dalla VI Sezione del Consiglio di Stato, occorre brevemente ripercorrere le tappe giuridiche della vicenda per come ricostruite dalle pronunce del Supremo Consesso e ciò al fine di agevolare l’esposizione </w:t>
      </w:r>
      <w:r w:rsidR="002B7597">
        <w:rPr>
          <w:rFonts w:ascii="Times New Roman" w:hAnsi="Times New Roman" w:cs="Times New Roman"/>
          <w:sz w:val="24"/>
          <w:szCs w:val="24"/>
        </w:rPr>
        <w:t>e di</w:t>
      </w:r>
      <w:r>
        <w:rPr>
          <w:rFonts w:ascii="Times New Roman" w:hAnsi="Times New Roman" w:cs="Times New Roman"/>
          <w:sz w:val="24"/>
          <w:szCs w:val="24"/>
        </w:rPr>
        <w:t xml:space="preserve"> determinare dei punti fissi in una vicenda che si prospetta di notevole difficoltà. </w:t>
      </w:r>
    </w:p>
    <w:p w:rsidR="001C2999" w:rsidRDefault="008F7CB7"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Con sentenza 16 aprile 2015, n. 1973</w:t>
      </w:r>
      <w:r w:rsidR="00DC6DE7">
        <w:rPr>
          <w:rStyle w:val="Rimandonotaapidipagina"/>
          <w:rFonts w:ascii="Times New Roman" w:hAnsi="Times New Roman" w:cs="Times New Roman"/>
          <w:sz w:val="24"/>
          <w:szCs w:val="24"/>
        </w:rPr>
        <w:footnoteReference w:id="22"/>
      </w:r>
      <w:r>
        <w:rPr>
          <w:rFonts w:ascii="Times New Roman" w:hAnsi="Times New Roman" w:cs="Times New Roman"/>
          <w:sz w:val="24"/>
          <w:szCs w:val="24"/>
        </w:rPr>
        <w:t>, la VI Sezione</w:t>
      </w:r>
      <w:r w:rsidR="00F52B6C">
        <w:rPr>
          <w:rFonts w:ascii="Times New Roman" w:hAnsi="Times New Roman" w:cs="Times New Roman"/>
          <w:sz w:val="24"/>
          <w:szCs w:val="24"/>
        </w:rPr>
        <w:t xml:space="preserve"> del Consiglio di Stato</w:t>
      </w:r>
      <w:r>
        <w:rPr>
          <w:rFonts w:ascii="Times New Roman" w:hAnsi="Times New Roman" w:cs="Times New Roman"/>
          <w:sz w:val="24"/>
          <w:szCs w:val="24"/>
        </w:rPr>
        <w:t xml:space="preserve">, accogliendo l’appello di alcuni diplomati magistrali, ha </w:t>
      </w:r>
      <w:r w:rsidR="002B7597">
        <w:rPr>
          <w:rFonts w:ascii="Times New Roman" w:hAnsi="Times New Roman" w:cs="Times New Roman"/>
          <w:sz w:val="24"/>
          <w:szCs w:val="24"/>
        </w:rPr>
        <w:t>“</w:t>
      </w:r>
      <w:r>
        <w:rPr>
          <w:rFonts w:ascii="Times New Roman" w:hAnsi="Times New Roman" w:cs="Times New Roman"/>
          <w:sz w:val="24"/>
          <w:szCs w:val="24"/>
        </w:rPr>
        <w:t>annullato</w:t>
      </w:r>
      <w:r w:rsidR="002B7597">
        <w:rPr>
          <w:rFonts w:ascii="Times New Roman" w:hAnsi="Times New Roman" w:cs="Times New Roman"/>
          <w:sz w:val="24"/>
          <w:szCs w:val="24"/>
        </w:rPr>
        <w:t>”</w:t>
      </w:r>
      <w:r>
        <w:rPr>
          <w:rFonts w:ascii="Times New Roman" w:hAnsi="Times New Roman" w:cs="Times New Roman"/>
          <w:sz w:val="24"/>
          <w:szCs w:val="24"/>
        </w:rPr>
        <w:t xml:space="preserve"> il </w:t>
      </w:r>
      <w:proofErr w:type="spellStart"/>
      <w:r>
        <w:rPr>
          <w:rFonts w:ascii="Times New Roman" w:hAnsi="Times New Roman" w:cs="Times New Roman"/>
          <w:sz w:val="24"/>
          <w:szCs w:val="24"/>
        </w:rPr>
        <w:t>d.m.</w:t>
      </w:r>
      <w:proofErr w:type="spellEnd"/>
      <w:r>
        <w:rPr>
          <w:rFonts w:ascii="Times New Roman" w:hAnsi="Times New Roman" w:cs="Times New Roman"/>
          <w:sz w:val="24"/>
          <w:szCs w:val="24"/>
        </w:rPr>
        <w:t xml:space="preserve"> 235/2014 con il quale erano state aggiornate le graduatorie ad esaurimento (di qui avanti GAE) in ambito scolastico. Dopo la pubblicazione di questa pronuncia, diversi </w:t>
      </w:r>
      <w:r w:rsidR="002B7597">
        <w:rPr>
          <w:rFonts w:ascii="Times New Roman" w:hAnsi="Times New Roman" w:cs="Times New Roman"/>
          <w:sz w:val="24"/>
          <w:szCs w:val="24"/>
        </w:rPr>
        <w:t>diplomati - estranei al suddetto giudizio -</w:t>
      </w:r>
      <w:r>
        <w:rPr>
          <w:rFonts w:ascii="Times New Roman" w:hAnsi="Times New Roman" w:cs="Times New Roman"/>
          <w:sz w:val="24"/>
          <w:szCs w:val="24"/>
        </w:rPr>
        <w:t xml:space="preserve"> </w:t>
      </w:r>
      <w:r w:rsidR="00F52B6C">
        <w:rPr>
          <w:rFonts w:ascii="Times New Roman" w:hAnsi="Times New Roman" w:cs="Times New Roman"/>
          <w:sz w:val="24"/>
          <w:szCs w:val="24"/>
        </w:rPr>
        <w:t>hanno</w:t>
      </w:r>
      <w:r>
        <w:rPr>
          <w:rFonts w:ascii="Times New Roman" w:hAnsi="Times New Roman" w:cs="Times New Roman"/>
          <w:sz w:val="24"/>
          <w:szCs w:val="24"/>
        </w:rPr>
        <w:t xml:space="preserve"> adito il Giudice amministrativo lamentando l’esclusione dalle graduatorie sulla scorta della pronuncia resa dalla VI sezione e, segnatamente, sulla circostanza che la stessa avesse efficacia </w:t>
      </w:r>
      <w:r w:rsidRPr="00910F56">
        <w:rPr>
          <w:rFonts w:ascii="Times New Roman" w:hAnsi="Times New Roman" w:cs="Times New Roman"/>
          <w:i/>
          <w:sz w:val="24"/>
          <w:szCs w:val="24"/>
        </w:rPr>
        <w:t xml:space="preserve">erga </w:t>
      </w:r>
      <w:proofErr w:type="spellStart"/>
      <w:r w:rsidRPr="00910F56">
        <w:rPr>
          <w:rFonts w:ascii="Times New Roman" w:hAnsi="Times New Roman" w:cs="Times New Roman"/>
          <w:i/>
          <w:sz w:val="24"/>
          <w:szCs w:val="24"/>
        </w:rPr>
        <w:t>omnes</w:t>
      </w:r>
      <w:proofErr w:type="spellEnd"/>
      <w:r>
        <w:rPr>
          <w:rFonts w:ascii="Times New Roman" w:hAnsi="Times New Roman" w:cs="Times New Roman"/>
          <w:sz w:val="24"/>
          <w:szCs w:val="24"/>
        </w:rPr>
        <w:t xml:space="preserve"> in quanto il </w:t>
      </w:r>
      <w:proofErr w:type="spellStart"/>
      <w:r>
        <w:rPr>
          <w:rFonts w:ascii="Times New Roman" w:hAnsi="Times New Roman" w:cs="Times New Roman"/>
          <w:sz w:val="24"/>
          <w:szCs w:val="24"/>
        </w:rPr>
        <w:t>d.m.</w:t>
      </w:r>
      <w:proofErr w:type="spellEnd"/>
      <w:r>
        <w:rPr>
          <w:rFonts w:ascii="Times New Roman" w:hAnsi="Times New Roman" w:cs="Times New Roman"/>
          <w:sz w:val="24"/>
          <w:szCs w:val="24"/>
        </w:rPr>
        <w:t xml:space="preserve"> 235/2014 era da qualificarsi come atto normativo. </w:t>
      </w:r>
    </w:p>
    <w:p w:rsidR="008F7CB7" w:rsidRDefault="002B7597"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 tali ricorsi è intervenuta l’Adunanza Plenaria. Si può prescindere dall’analisi della pronuncia del 2017 perché le sentenze intervenute nel 2019 ne hanno specificato i contenuti e si sono occupate più specificatamente dell’istituto del </w:t>
      </w:r>
      <w:proofErr w:type="spellStart"/>
      <w:r w:rsidRPr="002B7597">
        <w:rPr>
          <w:rFonts w:ascii="Times New Roman" w:hAnsi="Times New Roman" w:cs="Times New Roman"/>
          <w:i/>
          <w:sz w:val="24"/>
          <w:szCs w:val="24"/>
        </w:rPr>
        <w:t>prospective</w:t>
      </w:r>
      <w:proofErr w:type="spellEnd"/>
      <w:r w:rsidRPr="002B7597">
        <w:rPr>
          <w:rFonts w:ascii="Times New Roman" w:hAnsi="Times New Roman" w:cs="Times New Roman"/>
          <w:i/>
          <w:sz w:val="24"/>
          <w:szCs w:val="24"/>
        </w:rPr>
        <w:t xml:space="preserve"> </w:t>
      </w:r>
      <w:proofErr w:type="spellStart"/>
      <w:r w:rsidRPr="002B7597">
        <w:rPr>
          <w:rFonts w:ascii="Times New Roman" w:hAnsi="Times New Roman" w:cs="Times New Roman"/>
          <w:i/>
          <w:sz w:val="24"/>
          <w:szCs w:val="24"/>
        </w:rPr>
        <w:t>overruling</w:t>
      </w:r>
      <w:proofErr w:type="spellEnd"/>
      <w:r>
        <w:rPr>
          <w:rFonts w:ascii="Times New Roman" w:hAnsi="Times New Roman" w:cs="Times New Roman"/>
          <w:sz w:val="24"/>
          <w:szCs w:val="24"/>
        </w:rPr>
        <w:t>.</w:t>
      </w:r>
    </w:p>
    <w:p w:rsidR="008F7CB7" w:rsidRDefault="00132654"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Nel 2019,</w:t>
      </w:r>
      <w:r w:rsidR="002B7597">
        <w:rPr>
          <w:rFonts w:ascii="Times New Roman" w:hAnsi="Times New Roman" w:cs="Times New Roman"/>
          <w:sz w:val="24"/>
          <w:szCs w:val="24"/>
        </w:rPr>
        <w:t xml:space="preserve"> infatti,</w:t>
      </w:r>
      <w:r>
        <w:rPr>
          <w:rFonts w:ascii="Times New Roman" w:hAnsi="Times New Roman" w:cs="Times New Roman"/>
          <w:sz w:val="24"/>
          <w:szCs w:val="24"/>
        </w:rPr>
        <w:t xml:space="preserve"> sotto impulso dell</w:t>
      </w:r>
      <w:r w:rsidR="002B5332">
        <w:rPr>
          <w:rFonts w:ascii="Times New Roman" w:hAnsi="Times New Roman" w:cs="Times New Roman"/>
          <w:sz w:val="24"/>
          <w:szCs w:val="24"/>
        </w:rPr>
        <w:t xml:space="preserve">’ </w:t>
      </w:r>
      <w:r>
        <w:rPr>
          <w:rFonts w:ascii="Times New Roman" w:hAnsi="Times New Roman" w:cs="Times New Roman"/>
          <w:sz w:val="24"/>
          <w:szCs w:val="24"/>
        </w:rPr>
        <w:t>ordinanz</w:t>
      </w:r>
      <w:r w:rsidR="002B5332">
        <w:rPr>
          <w:rFonts w:ascii="Times New Roman" w:hAnsi="Times New Roman" w:cs="Times New Roman"/>
          <w:sz w:val="24"/>
          <w:szCs w:val="24"/>
        </w:rPr>
        <w:t>a</w:t>
      </w:r>
      <w:r>
        <w:rPr>
          <w:rFonts w:ascii="Times New Roman" w:hAnsi="Times New Roman" w:cs="Times New Roman"/>
          <w:sz w:val="24"/>
          <w:szCs w:val="24"/>
        </w:rPr>
        <w:t xml:space="preserve"> 4 dicembre 2018, n.6685 </w:t>
      </w:r>
      <w:r w:rsidR="00DC6DE7">
        <w:rPr>
          <w:rStyle w:val="Rimandonotaapidipagina"/>
          <w:rFonts w:ascii="Times New Roman" w:hAnsi="Times New Roman" w:cs="Times New Roman"/>
          <w:sz w:val="24"/>
          <w:szCs w:val="24"/>
        </w:rPr>
        <w:footnoteReference w:id="23"/>
      </w:r>
      <w:r>
        <w:rPr>
          <w:rFonts w:ascii="Times New Roman" w:hAnsi="Times New Roman" w:cs="Times New Roman"/>
          <w:sz w:val="24"/>
          <w:szCs w:val="24"/>
        </w:rPr>
        <w:t xml:space="preserve">pronunciata dalla VI Sezione del Consiglio di Stato, l’Adunanza Plenaria è tornata sulla questione dell’inserimento dei diplomati magistrali nelle GAE ed ha analizzato le seguenti questioni: </w:t>
      </w:r>
      <w:r w:rsidR="00444D0E">
        <w:rPr>
          <w:rFonts w:ascii="Times New Roman" w:hAnsi="Times New Roman" w:cs="Times New Roman"/>
          <w:sz w:val="24"/>
          <w:szCs w:val="24"/>
        </w:rPr>
        <w:t xml:space="preserve">la </w:t>
      </w:r>
      <w:r>
        <w:rPr>
          <w:rFonts w:ascii="Times New Roman" w:hAnsi="Times New Roman" w:cs="Times New Roman"/>
          <w:sz w:val="24"/>
          <w:szCs w:val="24"/>
        </w:rPr>
        <w:t xml:space="preserve">natura giuridica dei decreti ministeriali di aggiornamento delle graduatorie, </w:t>
      </w:r>
      <w:r w:rsidR="00444D0E">
        <w:rPr>
          <w:rFonts w:ascii="Times New Roman" w:hAnsi="Times New Roman" w:cs="Times New Roman"/>
          <w:sz w:val="24"/>
          <w:szCs w:val="24"/>
        </w:rPr>
        <w:t xml:space="preserve">il </w:t>
      </w:r>
      <w:r>
        <w:rPr>
          <w:rFonts w:ascii="Times New Roman" w:hAnsi="Times New Roman" w:cs="Times New Roman"/>
          <w:sz w:val="24"/>
          <w:szCs w:val="24"/>
        </w:rPr>
        <w:t>valore legale del diploma magistrale</w:t>
      </w:r>
      <w:r w:rsidR="0032169C">
        <w:rPr>
          <w:rStyle w:val="Rimandonotaapidipagina"/>
          <w:rFonts w:ascii="Times New Roman" w:hAnsi="Times New Roman" w:cs="Times New Roman"/>
          <w:sz w:val="24"/>
          <w:szCs w:val="24"/>
        </w:rPr>
        <w:footnoteReference w:id="24"/>
      </w:r>
      <w:r>
        <w:rPr>
          <w:rFonts w:ascii="Times New Roman" w:hAnsi="Times New Roman" w:cs="Times New Roman"/>
          <w:sz w:val="24"/>
          <w:szCs w:val="24"/>
        </w:rPr>
        <w:t xml:space="preserve">, le sopravvenienze normative rispetto alla pronuncia resa nel 2017 e la necessità (prospettata dalla sezione rimettente) di applicare ai casi </w:t>
      </w:r>
      <w:r w:rsidRPr="00132654">
        <w:rPr>
          <w:rFonts w:ascii="Times New Roman" w:hAnsi="Times New Roman" w:cs="Times New Roman"/>
          <w:i/>
          <w:sz w:val="24"/>
          <w:szCs w:val="24"/>
        </w:rPr>
        <w:t xml:space="preserve">de </w:t>
      </w:r>
      <w:proofErr w:type="spellStart"/>
      <w:r w:rsidRPr="00132654">
        <w:rPr>
          <w:rFonts w:ascii="Times New Roman" w:hAnsi="Times New Roman" w:cs="Times New Roman"/>
          <w:i/>
          <w:sz w:val="24"/>
          <w:szCs w:val="24"/>
        </w:rPr>
        <w:t>quibus</w:t>
      </w:r>
      <w:proofErr w:type="spellEnd"/>
      <w:r>
        <w:rPr>
          <w:rFonts w:ascii="Times New Roman" w:hAnsi="Times New Roman" w:cs="Times New Roman"/>
          <w:sz w:val="24"/>
          <w:szCs w:val="24"/>
        </w:rPr>
        <w:t xml:space="preserve"> </w:t>
      </w:r>
      <w:r w:rsidR="002B7597">
        <w:rPr>
          <w:rFonts w:ascii="Times New Roman" w:hAnsi="Times New Roman" w:cs="Times New Roman"/>
          <w:sz w:val="24"/>
          <w:szCs w:val="24"/>
        </w:rPr>
        <w:t>l’istituto del</w:t>
      </w:r>
      <w:r>
        <w:rPr>
          <w:rFonts w:ascii="Times New Roman" w:hAnsi="Times New Roman" w:cs="Times New Roman"/>
          <w:sz w:val="24"/>
          <w:szCs w:val="24"/>
        </w:rPr>
        <w:t xml:space="preserve"> </w:t>
      </w:r>
      <w:proofErr w:type="spellStart"/>
      <w:r w:rsidRPr="00132654">
        <w:rPr>
          <w:rFonts w:ascii="Times New Roman" w:hAnsi="Times New Roman" w:cs="Times New Roman"/>
          <w:i/>
          <w:sz w:val="24"/>
          <w:szCs w:val="24"/>
        </w:rPr>
        <w:t>prospective</w:t>
      </w:r>
      <w:proofErr w:type="spellEnd"/>
      <w:r w:rsidRPr="00132654">
        <w:rPr>
          <w:rFonts w:ascii="Times New Roman" w:hAnsi="Times New Roman" w:cs="Times New Roman"/>
          <w:i/>
          <w:sz w:val="24"/>
          <w:szCs w:val="24"/>
        </w:rPr>
        <w:t xml:space="preserve"> </w:t>
      </w:r>
      <w:proofErr w:type="spellStart"/>
      <w:r w:rsidRPr="00132654">
        <w:rPr>
          <w:rFonts w:ascii="Times New Roman" w:hAnsi="Times New Roman" w:cs="Times New Roman"/>
          <w:i/>
          <w:sz w:val="24"/>
          <w:szCs w:val="24"/>
        </w:rPr>
        <w:t>overruling</w:t>
      </w:r>
      <w:proofErr w:type="spellEnd"/>
      <w:r>
        <w:rPr>
          <w:rFonts w:ascii="Times New Roman" w:hAnsi="Times New Roman" w:cs="Times New Roman"/>
          <w:sz w:val="24"/>
          <w:szCs w:val="24"/>
        </w:rPr>
        <w:t>, ritenendo l</w:t>
      </w:r>
      <w:r w:rsidR="00444D0E">
        <w:rPr>
          <w:rFonts w:ascii="Times New Roman" w:hAnsi="Times New Roman" w:cs="Times New Roman"/>
          <w:sz w:val="24"/>
          <w:szCs w:val="24"/>
        </w:rPr>
        <w:t>’arresto giurisprudenziale</w:t>
      </w:r>
      <w:r>
        <w:rPr>
          <w:rFonts w:ascii="Times New Roman" w:hAnsi="Times New Roman" w:cs="Times New Roman"/>
          <w:sz w:val="24"/>
          <w:szCs w:val="24"/>
        </w:rPr>
        <w:t xml:space="preserve"> del biennio antecedente un “mutamento improvviso” di giurisprudenza tale da compromettere il principio di certezza di diritto e l’affidamento del privato. </w:t>
      </w:r>
      <w:r w:rsidR="008F7CB7">
        <w:rPr>
          <w:rFonts w:ascii="Times New Roman" w:hAnsi="Times New Roman" w:cs="Times New Roman"/>
          <w:sz w:val="24"/>
          <w:szCs w:val="24"/>
        </w:rPr>
        <w:t xml:space="preserve"> </w:t>
      </w:r>
    </w:p>
    <w:p w:rsidR="00132654" w:rsidRDefault="004B743E"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L’Adu</w:t>
      </w:r>
      <w:r w:rsidR="00910F56">
        <w:rPr>
          <w:rFonts w:ascii="Times New Roman" w:hAnsi="Times New Roman" w:cs="Times New Roman"/>
          <w:sz w:val="24"/>
          <w:szCs w:val="24"/>
        </w:rPr>
        <w:t>n</w:t>
      </w:r>
      <w:r>
        <w:rPr>
          <w:rFonts w:ascii="Times New Roman" w:hAnsi="Times New Roman" w:cs="Times New Roman"/>
          <w:sz w:val="24"/>
          <w:szCs w:val="24"/>
        </w:rPr>
        <w:t xml:space="preserve">anza Plenaria non </w:t>
      </w:r>
      <w:r w:rsidR="005C28B9">
        <w:rPr>
          <w:rFonts w:ascii="Times New Roman" w:hAnsi="Times New Roman" w:cs="Times New Roman"/>
          <w:sz w:val="24"/>
          <w:szCs w:val="24"/>
        </w:rPr>
        <w:t xml:space="preserve">ha </w:t>
      </w:r>
      <w:r>
        <w:rPr>
          <w:rFonts w:ascii="Times New Roman" w:hAnsi="Times New Roman" w:cs="Times New Roman"/>
          <w:sz w:val="24"/>
          <w:szCs w:val="24"/>
        </w:rPr>
        <w:t>condivi</w:t>
      </w:r>
      <w:r w:rsidR="005C28B9">
        <w:rPr>
          <w:rFonts w:ascii="Times New Roman" w:hAnsi="Times New Roman" w:cs="Times New Roman"/>
          <w:sz w:val="24"/>
          <w:szCs w:val="24"/>
        </w:rPr>
        <w:t>so</w:t>
      </w:r>
      <w:r>
        <w:rPr>
          <w:rFonts w:ascii="Times New Roman" w:hAnsi="Times New Roman" w:cs="Times New Roman"/>
          <w:sz w:val="24"/>
          <w:szCs w:val="24"/>
        </w:rPr>
        <w:t xml:space="preserve"> la natura normativa del </w:t>
      </w:r>
      <w:proofErr w:type="spellStart"/>
      <w:r>
        <w:rPr>
          <w:rFonts w:ascii="Times New Roman" w:hAnsi="Times New Roman" w:cs="Times New Roman"/>
          <w:sz w:val="24"/>
          <w:szCs w:val="24"/>
        </w:rPr>
        <w:t>d.m</w:t>
      </w:r>
      <w:proofErr w:type="spellEnd"/>
      <w:r>
        <w:rPr>
          <w:rFonts w:ascii="Times New Roman" w:hAnsi="Times New Roman" w:cs="Times New Roman"/>
          <w:sz w:val="24"/>
          <w:szCs w:val="24"/>
        </w:rPr>
        <w:t xml:space="preserve"> 235/2014 e neppure quella di atto amministrativo generale, difettandone i presupposti, vale a dire, nel primo caso, astrattezza, generalità dei destinatari e innovatività e, nel secondo, la generalità dei destinatari. Per l’Adunanza Plenaria, il decreto </w:t>
      </w:r>
      <w:r w:rsidR="00444D0E">
        <w:rPr>
          <w:rFonts w:ascii="Times New Roman" w:hAnsi="Times New Roman" w:cs="Times New Roman"/>
          <w:sz w:val="24"/>
          <w:szCs w:val="24"/>
        </w:rPr>
        <w:t xml:space="preserve">ministeriale in parola </w:t>
      </w:r>
      <w:r w:rsidR="005C28B9">
        <w:rPr>
          <w:rFonts w:ascii="Times New Roman" w:hAnsi="Times New Roman" w:cs="Times New Roman"/>
          <w:sz w:val="24"/>
          <w:szCs w:val="24"/>
        </w:rPr>
        <w:t>sarebbe</w:t>
      </w:r>
      <w:r>
        <w:rPr>
          <w:rFonts w:ascii="Times New Roman" w:hAnsi="Times New Roman" w:cs="Times New Roman"/>
          <w:sz w:val="24"/>
          <w:szCs w:val="24"/>
        </w:rPr>
        <w:t xml:space="preserve"> piuttosto un “</w:t>
      </w:r>
      <w:r w:rsidRPr="00444D0E">
        <w:rPr>
          <w:rFonts w:ascii="Times New Roman" w:hAnsi="Times New Roman" w:cs="Times New Roman"/>
          <w:i/>
          <w:sz w:val="24"/>
          <w:szCs w:val="24"/>
        </w:rPr>
        <w:t>atto amministrativo collettivo</w:t>
      </w:r>
      <w:r>
        <w:rPr>
          <w:rFonts w:ascii="Times New Roman" w:hAnsi="Times New Roman" w:cs="Times New Roman"/>
          <w:sz w:val="24"/>
          <w:szCs w:val="24"/>
        </w:rPr>
        <w:t>”</w:t>
      </w:r>
      <w:r w:rsidR="00444D0E">
        <w:rPr>
          <w:rFonts w:ascii="Times New Roman" w:hAnsi="Times New Roman" w:cs="Times New Roman"/>
          <w:sz w:val="24"/>
          <w:szCs w:val="24"/>
        </w:rPr>
        <w:t xml:space="preserve">. Da questa </w:t>
      </w:r>
      <w:r w:rsidR="00444D0E">
        <w:rPr>
          <w:rFonts w:ascii="Times New Roman" w:hAnsi="Times New Roman" w:cs="Times New Roman"/>
          <w:sz w:val="24"/>
          <w:szCs w:val="24"/>
        </w:rPr>
        <w:lastRenderedPageBreak/>
        <w:t xml:space="preserve">qualificazione, il Collegio </w:t>
      </w:r>
      <w:r w:rsidR="005C28B9">
        <w:rPr>
          <w:rFonts w:ascii="Times New Roman" w:hAnsi="Times New Roman" w:cs="Times New Roman"/>
          <w:sz w:val="24"/>
          <w:szCs w:val="24"/>
        </w:rPr>
        <w:t>ha fatto</w:t>
      </w:r>
      <w:r w:rsidR="00444D0E">
        <w:rPr>
          <w:rFonts w:ascii="Times New Roman" w:hAnsi="Times New Roman" w:cs="Times New Roman"/>
          <w:sz w:val="24"/>
          <w:szCs w:val="24"/>
        </w:rPr>
        <w:t xml:space="preserve"> </w:t>
      </w:r>
      <w:r>
        <w:rPr>
          <w:rFonts w:ascii="Times New Roman" w:hAnsi="Times New Roman" w:cs="Times New Roman"/>
          <w:sz w:val="24"/>
          <w:szCs w:val="24"/>
        </w:rPr>
        <w:t>discende</w:t>
      </w:r>
      <w:r w:rsidR="00444D0E">
        <w:rPr>
          <w:rFonts w:ascii="Times New Roman" w:hAnsi="Times New Roman" w:cs="Times New Roman"/>
          <w:sz w:val="24"/>
          <w:szCs w:val="24"/>
        </w:rPr>
        <w:t>re</w:t>
      </w:r>
      <w:r>
        <w:rPr>
          <w:rFonts w:ascii="Times New Roman" w:hAnsi="Times New Roman" w:cs="Times New Roman"/>
          <w:sz w:val="24"/>
          <w:szCs w:val="24"/>
        </w:rPr>
        <w:t xml:space="preserve"> l’impossibilità di estendere</w:t>
      </w:r>
      <w:r w:rsidR="00444D0E">
        <w:rPr>
          <w:rFonts w:ascii="Times New Roman" w:hAnsi="Times New Roman" w:cs="Times New Roman"/>
          <w:sz w:val="24"/>
          <w:szCs w:val="24"/>
        </w:rPr>
        <w:t xml:space="preserve"> </w:t>
      </w:r>
      <w:r w:rsidR="00444D0E" w:rsidRPr="00910F56">
        <w:rPr>
          <w:rFonts w:ascii="Times New Roman" w:hAnsi="Times New Roman" w:cs="Times New Roman"/>
          <w:i/>
          <w:sz w:val="24"/>
          <w:szCs w:val="24"/>
        </w:rPr>
        <w:t xml:space="preserve">erga </w:t>
      </w:r>
      <w:proofErr w:type="spellStart"/>
      <w:r w:rsidR="00444D0E" w:rsidRPr="00910F56">
        <w:rPr>
          <w:rFonts w:ascii="Times New Roman" w:hAnsi="Times New Roman" w:cs="Times New Roman"/>
          <w:i/>
          <w:sz w:val="24"/>
          <w:szCs w:val="24"/>
        </w:rPr>
        <w:t>omnes</w:t>
      </w:r>
      <w:proofErr w:type="spellEnd"/>
      <w:r>
        <w:rPr>
          <w:rFonts w:ascii="Times New Roman" w:hAnsi="Times New Roman" w:cs="Times New Roman"/>
          <w:sz w:val="24"/>
          <w:szCs w:val="24"/>
        </w:rPr>
        <w:t xml:space="preserve"> il giudicato reso nei confronti di parti determinate. Non si tratta invero di una fonte del diritto e neppure di quegli atti in cui, pur non trattandosi di fonti del diritto, si ammette la fruibilità, l’estensione di una pronuncia a favore di parti ulteriori: atto plurimo inscindibile, atto plur</w:t>
      </w:r>
      <w:r w:rsidR="00F52B6C">
        <w:rPr>
          <w:rFonts w:ascii="Times New Roman" w:hAnsi="Times New Roman" w:cs="Times New Roman"/>
          <w:sz w:val="24"/>
          <w:szCs w:val="24"/>
        </w:rPr>
        <w:t>imo scindibile se il ricorso vi</w:t>
      </w:r>
      <w:r>
        <w:rPr>
          <w:rFonts w:ascii="Times New Roman" w:hAnsi="Times New Roman" w:cs="Times New Roman"/>
          <w:sz w:val="24"/>
          <w:szCs w:val="24"/>
        </w:rPr>
        <w:t>e</w:t>
      </w:r>
      <w:r w:rsidR="00F52B6C">
        <w:rPr>
          <w:rFonts w:ascii="Times New Roman" w:hAnsi="Times New Roman" w:cs="Times New Roman"/>
          <w:sz w:val="24"/>
          <w:szCs w:val="24"/>
        </w:rPr>
        <w:t>n</w:t>
      </w:r>
      <w:r>
        <w:rPr>
          <w:rFonts w:ascii="Times New Roman" w:hAnsi="Times New Roman" w:cs="Times New Roman"/>
          <w:sz w:val="24"/>
          <w:szCs w:val="24"/>
        </w:rPr>
        <w:t xml:space="preserve">e accolto per un vizio comune alla posizione di tutti i destinatari, atto che provvede unitariamente nei confronti di un complesso di soggetti.  </w:t>
      </w:r>
    </w:p>
    <w:p w:rsidR="00910F56" w:rsidRDefault="00910F56"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Anche a voler riconoscere – argomento per assurdo – che la pronuncia resa dalla VI sezione fosse estensibile alla generalità della platea dei diplomati magistrali, comunque i ricorsi all’esame del Collegio sono stati presentati ben oltre due anni dalla </w:t>
      </w:r>
      <w:r w:rsidR="00444D0E">
        <w:rPr>
          <w:rFonts w:ascii="Times New Roman" w:hAnsi="Times New Roman" w:cs="Times New Roman"/>
          <w:sz w:val="24"/>
          <w:szCs w:val="24"/>
        </w:rPr>
        <w:t xml:space="preserve">pubblicazione della </w:t>
      </w:r>
      <w:r>
        <w:rPr>
          <w:rFonts w:ascii="Times New Roman" w:hAnsi="Times New Roman" w:cs="Times New Roman"/>
          <w:sz w:val="24"/>
          <w:szCs w:val="24"/>
        </w:rPr>
        <w:t xml:space="preserve">stessa. Ammettendone la tempestività si sarebbe violato il principio di certezza dei traffici giuridici e i termini di cui al codice di procedura amministrativa sarebbero risultati del tutto canzonatori. </w:t>
      </w:r>
    </w:p>
    <w:p w:rsidR="00231D38" w:rsidRDefault="00231D38"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sopravvenienze normative a nulla rilevano in quanto l’interpretazione letterale nonché quella sistematica delle disposizioni confermano che il valore legale del diploma magistrale conseguito entro </w:t>
      </w:r>
      <w:proofErr w:type="spellStart"/>
      <w:r>
        <w:rPr>
          <w:rFonts w:ascii="Times New Roman" w:hAnsi="Times New Roman" w:cs="Times New Roman"/>
          <w:sz w:val="24"/>
          <w:szCs w:val="24"/>
        </w:rPr>
        <w:t>l’a.s.</w:t>
      </w:r>
      <w:proofErr w:type="spellEnd"/>
      <w:r>
        <w:rPr>
          <w:rFonts w:ascii="Times New Roman" w:hAnsi="Times New Roman" w:cs="Times New Roman"/>
          <w:sz w:val="24"/>
          <w:szCs w:val="24"/>
        </w:rPr>
        <w:t xml:space="preserve"> 2001/2002 può essere riconosciuto solo in via “strumentale” e cioè ai sensi di cui all’art. 15 co. 7 </w:t>
      </w:r>
      <w:proofErr w:type="spellStart"/>
      <w:r>
        <w:rPr>
          <w:rFonts w:ascii="Times New Roman" w:hAnsi="Times New Roman" w:cs="Times New Roman"/>
          <w:sz w:val="24"/>
          <w:szCs w:val="24"/>
        </w:rPr>
        <w:t>d.P.R.</w:t>
      </w:r>
      <w:proofErr w:type="spellEnd"/>
      <w:r>
        <w:rPr>
          <w:rFonts w:ascii="Times New Roman" w:hAnsi="Times New Roman" w:cs="Times New Roman"/>
          <w:sz w:val="24"/>
          <w:szCs w:val="24"/>
        </w:rPr>
        <w:t xml:space="preserve"> 23 luglio 1998, n. 323, esaurendosi nella possibilità di partecipare (senza necessità di conseguire anche il diploma di laurea) all’abilitazione dell’insegnamento ex art. 9, comma 2, della legge 444/1968, nonché ai concorsi ordinari per titoli ed esami a posti di insegnante nella scuola materna e nella scuola elementare</w:t>
      </w:r>
      <w:r w:rsidR="006732CE">
        <w:rPr>
          <w:rStyle w:val="Rimandonotaapidipagina"/>
          <w:rFonts w:ascii="Times New Roman" w:hAnsi="Times New Roman" w:cs="Times New Roman"/>
          <w:sz w:val="24"/>
          <w:szCs w:val="24"/>
        </w:rPr>
        <w:footnoteReference w:id="25"/>
      </w:r>
      <w:r>
        <w:rPr>
          <w:rFonts w:ascii="Times New Roman" w:hAnsi="Times New Roman" w:cs="Times New Roman"/>
          <w:sz w:val="24"/>
          <w:szCs w:val="24"/>
        </w:rPr>
        <w:t xml:space="preserve">. </w:t>
      </w:r>
    </w:p>
    <w:p w:rsidR="00D60F1C" w:rsidRDefault="00D60F1C"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Tutto quanto premesso, il Giudice del Supremo Consesso, </w:t>
      </w:r>
      <w:r w:rsidR="005C28B9">
        <w:rPr>
          <w:rFonts w:ascii="Times New Roman" w:hAnsi="Times New Roman" w:cs="Times New Roman"/>
          <w:sz w:val="24"/>
          <w:szCs w:val="24"/>
        </w:rPr>
        <w:t xml:space="preserve">ha </w:t>
      </w:r>
      <w:r>
        <w:rPr>
          <w:rFonts w:ascii="Times New Roman" w:hAnsi="Times New Roman" w:cs="Times New Roman"/>
          <w:sz w:val="24"/>
          <w:szCs w:val="24"/>
        </w:rPr>
        <w:t>esclu</w:t>
      </w:r>
      <w:r w:rsidR="005C28B9">
        <w:rPr>
          <w:rFonts w:ascii="Times New Roman" w:hAnsi="Times New Roman" w:cs="Times New Roman"/>
          <w:sz w:val="24"/>
          <w:szCs w:val="24"/>
        </w:rPr>
        <w:t>so</w:t>
      </w:r>
      <w:r>
        <w:rPr>
          <w:rFonts w:ascii="Times New Roman" w:hAnsi="Times New Roman" w:cs="Times New Roman"/>
          <w:sz w:val="24"/>
          <w:szCs w:val="24"/>
        </w:rPr>
        <w:t xml:space="preserve"> che al caso di specie possa riconoscersi applicazione dell’istituto del </w:t>
      </w:r>
      <w:proofErr w:type="spellStart"/>
      <w:r w:rsidRPr="00231D38">
        <w:rPr>
          <w:rFonts w:ascii="Times New Roman" w:hAnsi="Times New Roman" w:cs="Times New Roman"/>
          <w:i/>
          <w:sz w:val="24"/>
          <w:szCs w:val="24"/>
        </w:rPr>
        <w:t>prospective</w:t>
      </w:r>
      <w:proofErr w:type="spellEnd"/>
      <w:r w:rsidRPr="00231D38">
        <w:rPr>
          <w:rFonts w:ascii="Times New Roman" w:hAnsi="Times New Roman" w:cs="Times New Roman"/>
          <w:i/>
          <w:sz w:val="24"/>
          <w:szCs w:val="24"/>
        </w:rPr>
        <w:t xml:space="preserve"> </w:t>
      </w:r>
      <w:proofErr w:type="spellStart"/>
      <w:r w:rsidRPr="00231D38">
        <w:rPr>
          <w:rFonts w:ascii="Times New Roman" w:hAnsi="Times New Roman" w:cs="Times New Roman"/>
          <w:i/>
          <w:sz w:val="24"/>
          <w:szCs w:val="24"/>
        </w:rPr>
        <w:t>overruling</w:t>
      </w:r>
      <w:proofErr w:type="spellEnd"/>
      <w:r>
        <w:rPr>
          <w:rFonts w:ascii="Times New Roman" w:hAnsi="Times New Roman" w:cs="Times New Roman"/>
          <w:sz w:val="24"/>
          <w:szCs w:val="24"/>
        </w:rPr>
        <w:t xml:space="preserve"> con conseguente ripensamento della pronuncia resa nel 2017. La pronuncia 11/2017 dell’Adunanza Plenaria, infatti, non</w:t>
      </w:r>
      <w:r w:rsidR="005C28B9">
        <w:rPr>
          <w:rFonts w:ascii="Times New Roman" w:hAnsi="Times New Roman" w:cs="Times New Roman"/>
          <w:sz w:val="24"/>
          <w:szCs w:val="24"/>
        </w:rPr>
        <w:t xml:space="preserve"> ha</w:t>
      </w:r>
      <w:r>
        <w:rPr>
          <w:rFonts w:ascii="Times New Roman" w:hAnsi="Times New Roman" w:cs="Times New Roman"/>
          <w:sz w:val="24"/>
          <w:szCs w:val="24"/>
        </w:rPr>
        <w:t xml:space="preserve"> rappresenta</w:t>
      </w:r>
      <w:r w:rsidR="005C28B9">
        <w:rPr>
          <w:rFonts w:ascii="Times New Roman" w:hAnsi="Times New Roman" w:cs="Times New Roman"/>
          <w:sz w:val="24"/>
          <w:szCs w:val="24"/>
        </w:rPr>
        <w:t>to</w:t>
      </w:r>
      <w:r>
        <w:rPr>
          <w:rFonts w:ascii="Times New Roman" w:hAnsi="Times New Roman" w:cs="Times New Roman"/>
          <w:sz w:val="24"/>
          <w:szCs w:val="24"/>
        </w:rPr>
        <w:t xml:space="preserve"> un repentino e inaspettato cambio di “regole del gioco”. Non si ravvis</w:t>
      </w:r>
      <w:r w:rsidR="00231D38">
        <w:rPr>
          <w:rFonts w:ascii="Times New Roman" w:hAnsi="Times New Roman" w:cs="Times New Roman"/>
          <w:sz w:val="24"/>
          <w:szCs w:val="24"/>
        </w:rPr>
        <w:t>ava un orientamento consolidato, costituente diritto vigente: “</w:t>
      </w:r>
      <w:r w:rsidR="00231D38" w:rsidRPr="00231D38">
        <w:rPr>
          <w:rFonts w:ascii="Times New Roman" w:hAnsi="Times New Roman" w:cs="Times New Roman"/>
          <w:i/>
          <w:sz w:val="24"/>
          <w:szCs w:val="24"/>
        </w:rPr>
        <w:t xml:space="preserve">l’orientamento inaugurato nell’aprile del 2015 dalla Sesta Sezione, peraltro, non è mai diventato diritto vivente: a tali fini, infatti, non possono ritenersi sufficienti sei sentenze, che spesso si sono limitate a richiamare, per </w:t>
      </w:r>
      <w:proofErr w:type="spellStart"/>
      <w:r w:rsidR="00231D38" w:rsidRPr="00231D38">
        <w:rPr>
          <w:rFonts w:ascii="Times New Roman" w:hAnsi="Times New Roman" w:cs="Times New Roman"/>
          <w:i/>
          <w:sz w:val="24"/>
          <w:szCs w:val="24"/>
        </w:rPr>
        <w:t>relationem</w:t>
      </w:r>
      <w:proofErr w:type="spellEnd"/>
      <w:r w:rsidR="00231D38" w:rsidRPr="00231D38">
        <w:rPr>
          <w:rFonts w:ascii="Times New Roman" w:hAnsi="Times New Roman" w:cs="Times New Roman"/>
          <w:i/>
          <w:sz w:val="24"/>
          <w:szCs w:val="24"/>
        </w:rPr>
        <w:t>, l’unico “vero” precedente (cioè la sentenza n. 1973 del 2015) e si sono succedute in un breve intervallo di pochi mesi, da aprile 2015 a dicembre 2015</w:t>
      </w:r>
      <w:r w:rsidR="00231D38">
        <w:rPr>
          <w:rFonts w:ascii="Times New Roman" w:hAnsi="Times New Roman" w:cs="Times New Roman"/>
          <w:sz w:val="24"/>
          <w:szCs w:val="24"/>
        </w:rPr>
        <w:t>”</w:t>
      </w:r>
      <w:r w:rsidR="00231D38">
        <w:rPr>
          <w:rStyle w:val="Rimandonotaapidipagina"/>
          <w:rFonts w:ascii="Times New Roman" w:hAnsi="Times New Roman" w:cs="Times New Roman"/>
          <w:sz w:val="24"/>
          <w:szCs w:val="24"/>
        </w:rPr>
        <w:footnoteReference w:id="26"/>
      </w:r>
    </w:p>
    <w:p w:rsidR="001C2999" w:rsidRDefault="00444D0E"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È in questo quadro giurisprudenziale che si inscrive la pronuncia 27 luglio 2021, n. 5556.</w:t>
      </w:r>
      <w:r w:rsidR="001C2999">
        <w:rPr>
          <w:rFonts w:ascii="Times New Roman" w:hAnsi="Times New Roman" w:cs="Times New Roman"/>
          <w:sz w:val="24"/>
          <w:szCs w:val="24"/>
        </w:rPr>
        <w:t xml:space="preserve"> </w:t>
      </w:r>
    </w:p>
    <w:p w:rsidR="00097471" w:rsidRDefault="00097471"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Gli appellanti</w:t>
      </w:r>
      <w:r w:rsidR="00444D0E">
        <w:rPr>
          <w:rFonts w:ascii="Times New Roman" w:hAnsi="Times New Roman" w:cs="Times New Roman"/>
          <w:sz w:val="24"/>
          <w:szCs w:val="24"/>
        </w:rPr>
        <w:t>, in questo caso, hanno</w:t>
      </w:r>
      <w:r>
        <w:rPr>
          <w:rFonts w:ascii="Times New Roman" w:hAnsi="Times New Roman" w:cs="Times New Roman"/>
          <w:sz w:val="24"/>
          <w:szCs w:val="24"/>
        </w:rPr>
        <w:t xml:space="preserve"> impugna</w:t>
      </w:r>
      <w:r w:rsidR="00444D0E">
        <w:rPr>
          <w:rFonts w:ascii="Times New Roman" w:hAnsi="Times New Roman" w:cs="Times New Roman"/>
          <w:sz w:val="24"/>
          <w:szCs w:val="24"/>
        </w:rPr>
        <w:t>to</w:t>
      </w:r>
      <w:r>
        <w:rPr>
          <w:rFonts w:ascii="Times New Roman" w:hAnsi="Times New Roman" w:cs="Times New Roman"/>
          <w:sz w:val="24"/>
          <w:szCs w:val="24"/>
        </w:rPr>
        <w:t xml:space="preserve"> il </w:t>
      </w:r>
      <w:proofErr w:type="spellStart"/>
      <w:r w:rsidR="00444D0E">
        <w:rPr>
          <w:rFonts w:ascii="Times New Roman" w:hAnsi="Times New Roman" w:cs="Times New Roman"/>
          <w:sz w:val="24"/>
          <w:szCs w:val="24"/>
        </w:rPr>
        <w:t>d.m</w:t>
      </w:r>
      <w:proofErr w:type="spellEnd"/>
      <w:r w:rsidR="00444D0E">
        <w:rPr>
          <w:rFonts w:ascii="Times New Roman" w:hAnsi="Times New Roman" w:cs="Times New Roman"/>
          <w:sz w:val="24"/>
          <w:szCs w:val="24"/>
        </w:rPr>
        <w:t xml:space="preserve"> 325/15 e, più specificatamente, </w:t>
      </w:r>
      <w:r>
        <w:rPr>
          <w:rFonts w:ascii="Times New Roman" w:hAnsi="Times New Roman" w:cs="Times New Roman"/>
          <w:sz w:val="24"/>
          <w:szCs w:val="24"/>
        </w:rPr>
        <w:t>gli artt. 1, 2 e l’art. 5</w:t>
      </w:r>
      <w:r w:rsidR="00444D0E">
        <w:rPr>
          <w:rFonts w:ascii="Times New Roman" w:hAnsi="Times New Roman" w:cs="Times New Roman"/>
          <w:sz w:val="24"/>
          <w:szCs w:val="24"/>
        </w:rPr>
        <w:t>, quest’ultimo, nella parte in cui</w:t>
      </w:r>
      <w:r w:rsidR="00F52B6C">
        <w:rPr>
          <w:rFonts w:ascii="Times New Roman" w:hAnsi="Times New Roman" w:cs="Times New Roman"/>
          <w:sz w:val="24"/>
          <w:szCs w:val="24"/>
        </w:rPr>
        <w:t xml:space="preserve"> conferma</w:t>
      </w:r>
      <w:r>
        <w:rPr>
          <w:rFonts w:ascii="Times New Roman" w:hAnsi="Times New Roman" w:cs="Times New Roman"/>
          <w:sz w:val="24"/>
          <w:szCs w:val="24"/>
        </w:rPr>
        <w:t xml:space="preserve"> le disposizioni contenute nel precedente </w:t>
      </w:r>
      <w:proofErr w:type="spellStart"/>
      <w:r w:rsidR="00444D0E">
        <w:rPr>
          <w:rFonts w:ascii="Times New Roman" w:hAnsi="Times New Roman" w:cs="Times New Roman"/>
          <w:sz w:val="24"/>
          <w:szCs w:val="24"/>
        </w:rPr>
        <w:t>d.m.</w:t>
      </w:r>
      <w:proofErr w:type="spellEnd"/>
      <w:r>
        <w:rPr>
          <w:rFonts w:ascii="Times New Roman" w:hAnsi="Times New Roman" w:cs="Times New Roman"/>
          <w:sz w:val="24"/>
          <w:szCs w:val="24"/>
        </w:rPr>
        <w:t xml:space="preserve"> 235/14. </w:t>
      </w:r>
      <w:r w:rsidR="00444D0E">
        <w:rPr>
          <w:rFonts w:ascii="Times New Roman" w:hAnsi="Times New Roman" w:cs="Times New Roman"/>
          <w:sz w:val="24"/>
          <w:szCs w:val="24"/>
        </w:rPr>
        <w:t>Hanno censurato</w:t>
      </w:r>
      <w:r>
        <w:rPr>
          <w:rFonts w:ascii="Times New Roman" w:hAnsi="Times New Roman" w:cs="Times New Roman"/>
          <w:sz w:val="24"/>
          <w:szCs w:val="24"/>
        </w:rPr>
        <w:t xml:space="preserve"> altresì gli atti immediatamente lesivi, il silenzio rigetto sulle istanze di inserimento nella graduatoria e le graduatorie poi pubblicate. </w:t>
      </w:r>
    </w:p>
    <w:p w:rsidR="00097471" w:rsidRDefault="00097471"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Gli appellanti </w:t>
      </w:r>
      <w:r w:rsidR="00444D0E">
        <w:rPr>
          <w:rFonts w:ascii="Times New Roman" w:hAnsi="Times New Roman" w:cs="Times New Roman"/>
          <w:sz w:val="24"/>
          <w:szCs w:val="24"/>
        </w:rPr>
        <w:t>hanno lamentato</w:t>
      </w:r>
      <w:r>
        <w:rPr>
          <w:rFonts w:ascii="Times New Roman" w:hAnsi="Times New Roman" w:cs="Times New Roman"/>
          <w:sz w:val="24"/>
          <w:szCs w:val="24"/>
        </w:rPr>
        <w:t xml:space="preserve">, sotto un primo profilo, la mancata dichiarazione, da parte del Giudice di prime cure, della cessata materia del contendere in quanto l’Amministrazione aveva stipulato contratti a tempo indeterminato senza apporre alcuna “clausola di riserva”, una clausola risolutiva all’esito del giudizio. Non solo. La sproporzione e la illegittimità delle determinazioni legislative sarebbe </w:t>
      </w:r>
      <w:r w:rsidR="00444D0E">
        <w:rPr>
          <w:rFonts w:ascii="Times New Roman" w:hAnsi="Times New Roman" w:cs="Times New Roman"/>
          <w:sz w:val="24"/>
          <w:szCs w:val="24"/>
        </w:rPr>
        <w:t xml:space="preserve">risultata </w:t>
      </w:r>
      <w:r>
        <w:rPr>
          <w:rFonts w:ascii="Times New Roman" w:hAnsi="Times New Roman" w:cs="Times New Roman"/>
          <w:sz w:val="24"/>
          <w:szCs w:val="24"/>
        </w:rPr>
        <w:t xml:space="preserve">palese laddove si </w:t>
      </w:r>
      <w:r w:rsidR="00444D0E">
        <w:rPr>
          <w:rFonts w:ascii="Times New Roman" w:hAnsi="Times New Roman" w:cs="Times New Roman"/>
          <w:sz w:val="24"/>
          <w:szCs w:val="24"/>
        </w:rPr>
        <w:t xml:space="preserve">fosse </w:t>
      </w:r>
      <w:r>
        <w:rPr>
          <w:rFonts w:ascii="Times New Roman" w:hAnsi="Times New Roman" w:cs="Times New Roman"/>
          <w:sz w:val="24"/>
          <w:szCs w:val="24"/>
        </w:rPr>
        <w:t>analizza</w:t>
      </w:r>
      <w:r w:rsidR="00444D0E">
        <w:rPr>
          <w:rFonts w:ascii="Times New Roman" w:hAnsi="Times New Roman" w:cs="Times New Roman"/>
          <w:sz w:val="24"/>
          <w:szCs w:val="24"/>
        </w:rPr>
        <w:t>ta</w:t>
      </w:r>
      <w:r>
        <w:rPr>
          <w:rFonts w:ascii="Times New Roman" w:hAnsi="Times New Roman" w:cs="Times New Roman"/>
          <w:sz w:val="24"/>
          <w:szCs w:val="24"/>
        </w:rPr>
        <w:t xml:space="preserve"> la circostanza del superamento dell’anno di prova, elemento questo che garantirebbe l’adeguato e necessario livello di preparazione per l’insegnamento. </w:t>
      </w:r>
    </w:p>
    <w:p w:rsidR="00097471" w:rsidRDefault="00097471"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Respingendo </w:t>
      </w:r>
      <w:r w:rsidR="00F52B6C">
        <w:rPr>
          <w:rFonts w:ascii="Times New Roman" w:hAnsi="Times New Roman" w:cs="Times New Roman"/>
          <w:sz w:val="24"/>
          <w:szCs w:val="24"/>
        </w:rPr>
        <w:t>questa</w:t>
      </w:r>
      <w:r>
        <w:rPr>
          <w:rFonts w:ascii="Times New Roman" w:hAnsi="Times New Roman" w:cs="Times New Roman"/>
          <w:sz w:val="24"/>
          <w:szCs w:val="24"/>
        </w:rPr>
        <w:t xml:space="preserve"> </w:t>
      </w:r>
      <w:r w:rsidR="001328AE">
        <w:rPr>
          <w:rFonts w:ascii="Times New Roman" w:hAnsi="Times New Roman" w:cs="Times New Roman"/>
          <w:sz w:val="24"/>
          <w:szCs w:val="24"/>
        </w:rPr>
        <w:t xml:space="preserve">prima </w:t>
      </w:r>
      <w:r>
        <w:rPr>
          <w:rFonts w:ascii="Times New Roman" w:hAnsi="Times New Roman" w:cs="Times New Roman"/>
          <w:sz w:val="24"/>
          <w:szCs w:val="24"/>
        </w:rPr>
        <w:t>censura</w:t>
      </w:r>
      <w:r w:rsidR="001328AE">
        <w:rPr>
          <w:rFonts w:ascii="Times New Roman" w:hAnsi="Times New Roman" w:cs="Times New Roman"/>
          <w:sz w:val="24"/>
          <w:szCs w:val="24"/>
        </w:rPr>
        <w:t>,</w:t>
      </w:r>
      <w:r>
        <w:rPr>
          <w:rFonts w:ascii="Times New Roman" w:hAnsi="Times New Roman" w:cs="Times New Roman"/>
          <w:sz w:val="24"/>
          <w:szCs w:val="24"/>
        </w:rPr>
        <w:t xml:space="preserve"> la Sezione competente ha richiamato la consolidata giurisprudenza resa dalla giustizia amministrativa in </w:t>
      </w:r>
      <w:r w:rsidR="001328AE">
        <w:rPr>
          <w:rFonts w:ascii="Times New Roman" w:hAnsi="Times New Roman" w:cs="Times New Roman"/>
          <w:sz w:val="24"/>
          <w:szCs w:val="24"/>
        </w:rPr>
        <w:t>tema di inesauribilità del potere della pubblica amministrazione e riesame delle determinazioni precedentemente adottate e, quindi, differenza tra cessata materia del contendere e sopravvenuta carenza di interesse. Richiamando i precedenti resi d</w:t>
      </w:r>
      <w:r w:rsidR="00F52B6C">
        <w:rPr>
          <w:rFonts w:ascii="Times New Roman" w:hAnsi="Times New Roman" w:cs="Times New Roman"/>
          <w:sz w:val="24"/>
          <w:szCs w:val="24"/>
        </w:rPr>
        <w:t>a</w:t>
      </w:r>
      <w:r w:rsidR="001328AE">
        <w:rPr>
          <w:rFonts w:ascii="Times New Roman" w:hAnsi="Times New Roman" w:cs="Times New Roman"/>
          <w:sz w:val="24"/>
          <w:szCs w:val="24"/>
        </w:rPr>
        <w:t xml:space="preserve">l Consiglio, il Giudice di appello ha ribadito che una cosa è il riesame all’esito di un incidente cautelare, </w:t>
      </w:r>
      <w:r w:rsidR="00607258">
        <w:rPr>
          <w:rFonts w:ascii="Times New Roman" w:hAnsi="Times New Roman" w:cs="Times New Roman"/>
          <w:sz w:val="24"/>
          <w:szCs w:val="24"/>
        </w:rPr>
        <w:t xml:space="preserve">altro è il riesame </w:t>
      </w:r>
      <w:proofErr w:type="spellStart"/>
      <w:r w:rsidR="00607258" w:rsidRPr="00607258">
        <w:rPr>
          <w:rFonts w:ascii="Times New Roman" w:hAnsi="Times New Roman" w:cs="Times New Roman"/>
          <w:i/>
          <w:sz w:val="24"/>
          <w:szCs w:val="24"/>
        </w:rPr>
        <w:t>motu</w:t>
      </w:r>
      <w:proofErr w:type="spellEnd"/>
      <w:r w:rsidR="00607258" w:rsidRPr="00607258">
        <w:rPr>
          <w:rFonts w:ascii="Times New Roman" w:hAnsi="Times New Roman" w:cs="Times New Roman"/>
          <w:i/>
          <w:sz w:val="24"/>
          <w:szCs w:val="24"/>
        </w:rPr>
        <w:t xml:space="preserve"> proprio</w:t>
      </w:r>
      <w:r w:rsidR="00607258">
        <w:rPr>
          <w:rStyle w:val="Rimandonotaapidipagina"/>
          <w:rFonts w:ascii="Times New Roman" w:hAnsi="Times New Roman" w:cs="Times New Roman"/>
          <w:i/>
          <w:sz w:val="24"/>
          <w:szCs w:val="24"/>
        </w:rPr>
        <w:footnoteReference w:id="27"/>
      </w:r>
      <w:r w:rsidR="00607258">
        <w:rPr>
          <w:rFonts w:ascii="Times New Roman" w:hAnsi="Times New Roman" w:cs="Times New Roman"/>
          <w:sz w:val="24"/>
          <w:szCs w:val="24"/>
        </w:rPr>
        <w:t xml:space="preserve"> e che, la giurisprudenza “</w:t>
      </w:r>
      <w:r w:rsidR="00607258" w:rsidRPr="00607258">
        <w:rPr>
          <w:rFonts w:ascii="Times New Roman" w:hAnsi="Times New Roman" w:cs="Times New Roman"/>
          <w:i/>
          <w:sz w:val="24"/>
          <w:szCs w:val="24"/>
        </w:rPr>
        <w:t>ha subordinato la dichiarazione di improcedibilità ad una sopravvenienza (fattuale o giuridica) tale da rendere certa e definitiva l’inutilità della sentenza, per avere fatto venir meno, per il ricorrente, qualsiasi residua utilità, anche soltanto strumentale o morale, derivante da una possibile pronuncia di accoglimento (cfr. Consiglio di Stato, sez. II, 29 gennaio 2020, n. 742).</w:t>
      </w:r>
      <w:r w:rsidR="00607258">
        <w:rPr>
          <w:rFonts w:ascii="Times New Roman" w:hAnsi="Times New Roman" w:cs="Times New Roman"/>
          <w:i/>
          <w:sz w:val="24"/>
          <w:szCs w:val="24"/>
        </w:rPr>
        <w:t xml:space="preserve"> </w:t>
      </w:r>
      <w:r w:rsidR="00607258" w:rsidRPr="00607258">
        <w:rPr>
          <w:rFonts w:ascii="Times New Roman" w:hAnsi="Times New Roman" w:cs="Times New Roman"/>
          <w:i/>
          <w:sz w:val="24"/>
          <w:szCs w:val="24"/>
        </w:rPr>
        <w:t xml:space="preserve">Qualora, invece, permanga un interesse della parte all’esame della censura, anche ai soli fini risarcitori, il giudice procedente è tenuto a statuire nel </w:t>
      </w:r>
      <w:r w:rsidR="00607258" w:rsidRPr="00607258">
        <w:rPr>
          <w:rFonts w:ascii="Times New Roman" w:hAnsi="Times New Roman" w:cs="Times New Roman"/>
          <w:i/>
          <w:sz w:val="24"/>
          <w:szCs w:val="24"/>
        </w:rPr>
        <w:lastRenderedPageBreak/>
        <w:t>merito, onde evitare un’elusione dell’obbligo di pronunciare sulla domanda (Consiglio di Stato, sez. V, 28 febbraio 2018, n. 1214).</w:t>
      </w:r>
      <w:r w:rsidR="00607258">
        <w:rPr>
          <w:rFonts w:ascii="Times New Roman" w:hAnsi="Times New Roman" w:cs="Times New Roman"/>
          <w:sz w:val="24"/>
          <w:szCs w:val="24"/>
        </w:rPr>
        <w:t xml:space="preserve"> Qualora l’Amministrazione non adotti il provvedimento favorevole al privato </w:t>
      </w:r>
      <w:proofErr w:type="spellStart"/>
      <w:r w:rsidR="00607258" w:rsidRPr="00444D0E">
        <w:rPr>
          <w:rFonts w:ascii="Times New Roman" w:hAnsi="Times New Roman" w:cs="Times New Roman"/>
          <w:i/>
          <w:sz w:val="24"/>
          <w:szCs w:val="24"/>
        </w:rPr>
        <w:t>motu</w:t>
      </w:r>
      <w:proofErr w:type="spellEnd"/>
      <w:r w:rsidR="00607258" w:rsidRPr="00444D0E">
        <w:rPr>
          <w:rFonts w:ascii="Times New Roman" w:hAnsi="Times New Roman" w:cs="Times New Roman"/>
          <w:i/>
          <w:sz w:val="24"/>
          <w:szCs w:val="24"/>
        </w:rPr>
        <w:t xml:space="preserve"> </w:t>
      </w:r>
      <w:proofErr w:type="spellStart"/>
      <w:r w:rsidR="00607258" w:rsidRPr="00444D0E">
        <w:rPr>
          <w:rFonts w:ascii="Times New Roman" w:hAnsi="Times New Roman" w:cs="Times New Roman"/>
          <w:i/>
          <w:sz w:val="24"/>
          <w:szCs w:val="24"/>
        </w:rPr>
        <w:t>propriu</w:t>
      </w:r>
      <w:proofErr w:type="spellEnd"/>
      <w:r w:rsidR="00607258">
        <w:rPr>
          <w:rFonts w:ascii="Times New Roman" w:hAnsi="Times New Roman" w:cs="Times New Roman"/>
          <w:sz w:val="24"/>
          <w:szCs w:val="24"/>
        </w:rPr>
        <w:t xml:space="preserve"> a seguito di una rivalutazione autonoma della situazione ma </w:t>
      </w:r>
      <w:r w:rsidR="004557E3">
        <w:rPr>
          <w:rFonts w:ascii="Times New Roman" w:hAnsi="Times New Roman" w:cs="Times New Roman"/>
          <w:sz w:val="24"/>
          <w:szCs w:val="24"/>
        </w:rPr>
        <w:t>per effetto di</w:t>
      </w:r>
      <w:r w:rsidR="00607258">
        <w:rPr>
          <w:rFonts w:ascii="Times New Roman" w:hAnsi="Times New Roman" w:cs="Times New Roman"/>
          <w:sz w:val="24"/>
          <w:szCs w:val="24"/>
        </w:rPr>
        <w:t xml:space="preserve"> un ordine </w:t>
      </w:r>
      <w:r w:rsidR="004557E3">
        <w:rPr>
          <w:rFonts w:ascii="Times New Roman" w:hAnsi="Times New Roman" w:cs="Times New Roman"/>
          <w:sz w:val="24"/>
          <w:szCs w:val="24"/>
        </w:rPr>
        <w:t>impartito dal</w:t>
      </w:r>
      <w:r w:rsidR="00607258">
        <w:rPr>
          <w:rFonts w:ascii="Times New Roman" w:hAnsi="Times New Roman" w:cs="Times New Roman"/>
          <w:sz w:val="24"/>
          <w:szCs w:val="24"/>
        </w:rPr>
        <w:t xml:space="preserve"> giudice al fine di proteggere la </w:t>
      </w:r>
      <w:r w:rsidR="00607258" w:rsidRPr="00757E92">
        <w:rPr>
          <w:rFonts w:ascii="Times New Roman" w:hAnsi="Times New Roman" w:cs="Times New Roman"/>
          <w:i/>
          <w:sz w:val="24"/>
          <w:szCs w:val="24"/>
        </w:rPr>
        <w:t xml:space="preserve">res </w:t>
      </w:r>
      <w:proofErr w:type="spellStart"/>
      <w:r w:rsidR="00607258" w:rsidRPr="00757E92">
        <w:rPr>
          <w:rFonts w:ascii="Times New Roman" w:hAnsi="Times New Roman" w:cs="Times New Roman"/>
          <w:i/>
          <w:sz w:val="24"/>
          <w:szCs w:val="24"/>
        </w:rPr>
        <w:t>adhuc</w:t>
      </w:r>
      <w:proofErr w:type="spellEnd"/>
      <w:r w:rsidR="00607258" w:rsidRPr="00757E92">
        <w:rPr>
          <w:rFonts w:ascii="Times New Roman" w:hAnsi="Times New Roman" w:cs="Times New Roman"/>
          <w:i/>
          <w:sz w:val="24"/>
          <w:szCs w:val="24"/>
        </w:rPr>
        <w:t xml:space="preserve"> integra</w:t>
      </w:r>
      <w:r w:rsidR="00607258">
        <w:rPr>
          <w:rFonts w:ascii="Times New Roman" w:hAnsi="Times New Roman" w:cs="Times New Roman"/>
          <w:sz w:val="24"/>
          <w:szCs w:val="24"/>
        </w:rPr>
        <w:t xml:space="preserve"> sino alla celebrazione dell’udienza di merito, non viene in rilievo la procedibilità dell’azione. Diverso è il caso in cui la pronuncia del giudice sia solo “l’occasione” di rivalutare</w:t>
      </w:r>
      <w:r w:rsidR="004557E3">
        <w:rPr>
          <w:rFonts w:ascii="Times New Roman" w:hAnsi="Times New Roman" w:cs="Times New Roman"/>
          <w:sz w:val="24"/>
          <w:szCs w:val="24"/>
        </w:rPr>
        <w:t xml:space="preserve"> una propria determinazione</w:t>
      </w:r>
      <w:r w:rsidR="00607258">
        <w:rPr>
          <w:rFonts w:ascii="Times New Roman" w:hAnsi="Times New Roman" w:cs="Times New Roman"/>
          <w:sz w:val="24"/>
          <w:szCs w:val="24"/>
        </w:rPr>
        <w:t xml:space="preserve"> ma l’Amministrazione condivide la necessit</w:t>
      </w:r>
      <w:r w:rsidR="004557E3">
        <w:rPr>
          <w:rFonts w:ascii="Times New Roman" w:hAnsi="Times New Roman" w:cs="Times New Roman"/>
          <w:sz w:val="24"/>
          <w:szCs w:val="24"/>
        </w:rPr>
        <w:t>à</w:t>
      </w:r>
      <w:r w:rsidR="00607258">
        <w:rPr>
          <w:rFonts w:ascii="Times New Roman" w:hAnsi="Times New Roman" w:cs="Times New Roman"/>
          <w:sz w:val="24"/>
          <w:szCs w:val="24"/>
        </w:rPr>
        <w:t xml:space="preserve"> di rimuovere il provvedimento secondo una propria ed autonoma valutazione. </w:t>
      </w:r>
      <w:r w:rsidR="00274CE2">
        <w:rPr>
          <w:rFonts w:ascii="Times New Roman" w:hAnsi="Times New Roman" w:cs="Times New Roman"/>
          <w:sz w:val="24"/>
          <w:szCs w:val="24"/>
        </w:rPr>
        <w:t>In tal caso, a</w:t>
      </w:r>
      <w:r w:rsidR="00607258">
        <w:rPr>
          <w:rFonts w:ascii="Times New Roman" w:hAnsi="Times New Roman" w:cs="Times New Roman"/>
          <w:sz w:val="24"/>
          <w:szCs w:val="24"/>
        </w:rPr>
        <w:t xml:space="preserve">l </w:t>
      </w:r>
      <w:r w:rsidR="002B5332">
        <w:rPr>
          <w:rFonts w:ascii="Times New Roman" w:hAnsi="Times New Roman" w:cs="Times New Roman"/>
          <w:sz w:val="24"/>
          <w:szCs w:val="24"/>
        </w:rPr>
        <w:t>g</w:t>
      </w:r>
      <w:r w:rsidR="00607258">
        <w:rPr>
          <w:rFonts w:ascii="Times New Roman" w:hAnsi="Times New Roman" w:cs="Times New Roman"/>
          <w:sz w:val="24"/>
          <w:szCs w:val="24"/>
        </w:rPr>
        <w:t xml:space="preserve">iudice </w:t>
      </w:r>
      <w:r w:rsidR="00274CE2">
        <w:rPr>
          <w:rFonts w:ascii="Times New Roman" w:hAnsi="Times New Roman" w:cs="Times New Roman"/>
          <w:sz w:val="24"/>
          <w:szCs w:val="24"/>
        </w:rPr>
        <w:t>non resterà altro</w:t>
      </w:r>
      <w:r w:rsidR="00757E92">
        <w:rPr>
          <w:rFonts w:ascii="Times New Roman" w:hAnsi="Times New Roman" w:cs="Times New Roman"/>
          <w:sz w:val="24"/>
          <w:szCs w:val="24"/>
        </w:rPr>
        <w:t xml:space="preserve"> che pronunciarsi ai sensi dell’art. 34 co 5 </w:t>
      </w:r>
      <w:proofErr w:type="spellStart"/>
      <w:r w:rsidR="00757E92">
        <w:rPr>
          <w:rFonts w:ascii="Times New Roman" w:hAnsi="Times New Roman" w:cs="Times New Roman"/>
          <w:sz w:val="24"/>
          <w:szCs w:val="24"/>
        </w:rPr>
        <w:t>c.p.a</w:t>
      </w:r>
      <w:proofErr w:type="spellEnd"/>
      <w:r w:rsidR="00757E92">
        <w:rPr>
          <w:rFonts w:ascii="Times New Roman" w:hAnsi="Times New Roman" w:cs="Times New Roman"/>
          <w:sz w:val="24"/>
          <w:szCs w:val="24"/>
        </w:rPr>
        <w:t xml:space="preserve">., accertando la realizzazione dell’interesse da parte del privato. </w:t>
      </w:r>
      <w:r w:rsidR="00003436">
        <w:rPr>
          <w:rFonts w:ascii="Times New Roman" w:hAnsi="Times New Roman" w:cs="Times New Roman"/>
          <w:sz w:val="24"/>
          <w:szCs w:val="24"/>
        </w:rPr>
        <w:t>Tale situazione, secondo il Collegio, non si ravvisa nel caso di specie, in cui l’Amministrazione ha sì dato corso all’</w:t>
      </w:r>
      <w:r w:rsidR="00003436" w:rsidRPr="004557E3">
        <w:rPr>
          <w:rFonts w:ascii="Times New Roman" w:hAnsi="Times New Roman" w:cs="Times New Roman"/>
          <w:i/>
          <w:sz w:val="24"/>
          <w:szCs w:val="24"/>
        </w:rPr>
        <w:t>iter</w:t>
      </w:r>
      <w:r w:rsidR="00003436">
        <w:rPr>
          <w:rFonts w:ascii="Times New Roman" w:hAnsi="Times New Roman" w:cs="Times New Roman"/>
          <w:sz w:val="24"/>
          <w:szCs w:val="24"/>
        </w:rPr>
        <w:t xml:space="preserve"> </w:t>
      </w:r>
      <w:proofErr w:type="spellStart"/>
      <w:r w:rsidR="00003436">
        <w:rPr>
          <w:rFonts w:ascii="Times New Roman" w:hAnsi="Times New Roman" w:cs="Times New Roman"/>
          <w:sz w:val="24"/>
          <w:szCs w:val="24"/>
        </w:rPr>
        <w:t>provvedimentale</w:t>
      </w:r>
      <w:proofErr w:type="spellEnd"/>
      <w:r w:rsidR="00003436">
        <w:rPr>
          <w:rFonts w:ascii="Times New Roman" w:hAnsi="Times New Roman" w:cs="Times New Roman"/>
          <w:sz w:val="24"/>
          <w:szCs w:val="24"/>
        </w:rPr>
        <w:t xml:space="preserve"> stabilito dalla legge in caso di inserimento nelle graduatorie di che trattasi ma le determinazioni non hanno raggiunto </w:t>
      </w:r>
      <w:r w:rsidR="004557E3">
        <w:rPr>
          <w:rFonts w:ascii="Times New Roman" w:hAnsi="Times New Roman" w:cs="Times New Roman"/>
          <w:sz w:val="24"/>
          <w:szCs w:val="24"/>
        </w:rPr>
        <w:t>il</w:t>
      </w:r>
      <w:r w:rsidR="00003436">
        <w:rPr>
          <w:rFonts w:ascii="Times New Roman" w:hAnsi="Times New Roman" w:cs="Times New Roman"/>
          <w:sz w:val="24"/>
          <w:szCs w:val="24"/>
        </w:rPr>
        <w:t xml:space="preserve"> necessario grado di </w:t>
      </w:r>
      <w:r w:rsidR="00003436" w:rsidRPr="00933FA6">
        <w:rPr>
          <w:rFonts w:ascii="Times New Roman" w:hAnsi="Times New Roman" w:cs="Times New Roman"/>
          <w:i/>
          <w:sz w:val="24"/>
          <w:szCs w:val="24"/>
        </w:rPr>
        <w:t xml:space="preserve">quid </w:t>
      </w:r>
      <w:proofErr w:type="spellStart"/>
      <w:r w:rsidR="00003436" w:rsidRPr="00933FA6">
        <w:rPr>
          <w:rFonts w:ascii="Times New Roman" w:hAnsi="Times New Roman" w:cs="Times New Roman"/>
          <w:i/>
          <w:sz w:val="24"/>
          <w:szCs w:val="24"/>
        </w:rPr>
        <w:t>pluris</w:t>
      </w:r>
      <w:proofErr w:type="spellEnd"/>
      <w:r w:rsidR="00003436">
        <w:rPr>
          <w:rFonts w:ascii="Times New Roman" w:hAnsi="Times New Roman" w:cs="Times New Roman"/>
          <w:sz w:val="24"/>
          <w:szCs w:val="24"/>
        </w:rPr>
        <w:t xml:space="preserve"> richiesto per il perfezionamento di una rinnovata volontà (che sarebbe comunque risultata illegittima in quanto gli appellanti sono privi del titolo</w:t>
      </w:r>
      <w:r w:rsidR="009E558B">
        <w:rPr>
          <w:rFonts w:ascii="Times New Roman" w:hAnsi="Times New Roman" w:cs="Times New Roman"/>
          <w:sz w:val="24"/>
          <w:szCs w:val="24"/>
        </w:rPr>
        <w:t xml:space="preserve"> legittimante</w:t>
      </w:r>
      <w:r w:rsidR="00003436">
        <w:rPr>
          <w:rFonts w:ascii="Times New Roman" w:hAnsi="Times New Roman" w:cs="Times New Roman"/>
          <w:sz w:val="24"/>
          <w:szCs w:val="24"/>
        </w:rPr>
        <w:t>).</w:t>
      </w:r>
      <w:r w:rsidR="0011748E">
        <w:rPr>
          <w:rFonts w:ascii="Times New Roman" w:hAnsi="Times New Roman" w:cs="Times New Roman"/>
          <w:sz w:val="24"/>
          <w:szCs w:val="24"/>
        </w:rPr>
        <w:t xml:space="preserve"> Occorrerebbe, in altre parole, “</w:t>
      </w:r>
      <w:r w:rsidR="0011748E" w:rsidRPr="0011748E">
        <w:rPr>
          <w:rFonts w:ascii="Times New Roman" w:hAnsi="Times New Roman" w:cs="Times New Roman"/>
          <w:i/>
          <w:sz w:val="24"/>
          <w:szCs w:val="24"/>
        </w:rPr>
        <w:t xml:space="preserve">che l’Amministrazione desse atto dell’esistenza del giudizio e che, ciò nonostante, a prescindere dal suo esito, manifestasse la volontà di attribuire il bene della vita ex </w:t>
      </w:r>
      <w:proofErr w:type="spellStart"/>
      <w:r w:rsidR="0011748E" w:rsidRPr="0011748E">
        <w:rPr>
          <w:rFonts w:ascii="Times New Roman" w:hAnsi="Times New Roman" w:cs="Times New Roman"/>
          <w:i/>
          <w:sz w:val="24"/>
          <w:szCs w:val="24"/>
        </w:rPr>
        <w:t>adverso</w:t>
      </w:r>
      <w:proofErr w:type="spellEnd"/>
      <w:r w:rsidR="0011748E" w:rsidRPr="0011748E">
        <w:rPr>
          <w:rFonts w:ascii="Times New Roman" w:hAnsi="Times New Roman" w:cs="Times New Roman"/>
          <w:i/>
          <w:sz w:val="24"/>
          <w:szCs w:val="24"/>
        </w:rPr>
        <w:t> ambito, nell’esercizio di una propria autonoma e spontanea decisione discrezionale - incompatibile con la volontà di resistenza in giudizio -, pure sciogliendo espressamente in senso favorevole al privato una riserva comunque presupposta dall’esecuzione dell’ordine cautelare</w:t>
      </w:r>
      <w:r w:rsidR="0011748E">
        <w:rPr>
          <w:rFonts w:ascii="Times New Roman" w:hAnsi="Times New Roman" w:cs="Times New Roman"/>
          <w:sz w:val="24"/>
          <w:szCs w:val="24"/>
        </w:rPr>
        <w:t>”</w:t>
      </w:r>
      <w:r w:rsidR="0011748E" w:rsidRPr="0011748E">
        <w:rPr>
          <w:rFonts w:ascii="Times New Roman" w:hAnsi="Times New Roman" w:cs="Times New Roman"/>
          <w:sz w:val="24"/>
          <w:szCs w:val="24"/>
        </w:rPr>
        <w:t>.</w:t>
      </w:r>
      <w:r w:rsidR="00274CE2">
        <w:rPr>
          <w:rFonts w:ascii="Times New Roman" w:hAnsi="Times New Roman" w:cs="Times New Roman"/>
          <w:sz w:val="24"/>
          <w:szCs w:val="24"/>
        </w:rPr>
        <w:t xml:space="preserve"> </w:t>
      </w:r>
      <w:r w:rsidR="00933FA6">
        <w:rPr>
          <w:rFonts w:ascii="Times New Roman" w:hAnsi="Times New Roman" w:cs="Times New Roman"/>
          <w:sz w:val="24"/>
          <w:szCs w:val="24"/>
        </w:rPr>
        <w:t xml:space="preserve">Neppure di pregio, per il Collegio, è l’argomento </w:t>
      </w:r>
      <w:r w:rsidR="004557E3">
        <w:rPr>
          <w:rFonts w:ascii="Times New Roman" w:hAnsi="Times New Roman" w:cs="Times New Roman"/>
          <w:sz w:val="24"/>
          <w:szCs w:val="24"/>
        </w:rPr>
        <w:t>de</w:t>
      </w:r>
      <w:r w:rsidR="00933FA6">
        <w:rPr>
          <w:rFonts w:ascii="Times New Roman" w:hAnsi="Times New Roman" w:cs="Times New Roman"/>
          <w:sz w:val="24"/>
          <w:szCs w:val="24"/>
        </w:rPr>
        <w:t>ll’assorbimento perché</w:t>
      </w:r>
      <w:r w:rsidR="004557E3">
        <w:rPr>
          <w:rFonts w:ascii="Times New Roman" w:hAnsi="Times New Roman" w:cs="Times New Roman"/>
          <w:sz w:val="24"/>
          <w:szCs w:val="24"/>
        </w:rPr>
        <w:t xml:space="preserve"> trattasi di una</w:t>
      </w:r>
      <w:r w:rsidR="00933FA6">
        <w:rPr>
          <w:rFonts w:ascii="Times New Roman" w:hAnsi="Times New Roman" w:cs="Times New Roman"/>
          <w:sz w:val="24"/>
          <w:szCs w:val="24"/>
        </w:rPr>
        <w:t xml:space="preserve"> figura tipizzata espressamente dalla legge, ai sensi dell’art. 4 bis DL 30 giugno 2005, n. 115 convertito dalla legge 17 agosto 2005, n. 171. È un istituto eccezionale e come tale deve essere interpretato rigorosamente in senso restrittivo. </w:t>
      </w:r>
      <w:r w:rsidR="00A328CE">
        <w:rPr>
          <w:rFonts w:ascii="Times New Roman" w:hAnsi="Times New Roman" w:cs="Times New Roman"/>
          <w:sz w:val="24"/>
          <w:szCs w:val="24"/>
        </w:rPr>
        <w:t xml:space="preserve">È altresì escluso – e quindi non rilevante ai fini del giudizio - che le parti possano avere riposto legittimo affidamento sulle determinazioni della Pubblica amministrazione le quali, in ragione della fisiologia del giudizio cautelare, sono non definitive. </w:t>
      </w:r>
    </w:p>
    <w:p w:rsidR="00A328CE" w:rsidRDefault="00A328CE"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Superate anche le censure di ordine meramente processuale relative al secondo gruppo summenzionato non ravvisando alcuna violazione dei diritti di difesa sulla scorta degli insegnamenti dell’Adunanza Plenaria 30 luglio 2018, n.11</w:t>
      </w:r>
      <w:r>
        <w:rPr>
          <w:rStyle w:val="Rimandonotaapidipagina"/>
          <w:rFonts w:ascii="Times New Roman" w:hAnsi="Times New Roman" w:cs="Times New Roman"/>
          <w:sz w:val="24"/>
          <w:szCs w:val="24"/>
        </w:rPr>
        <w:footnoteReference w:id="28"/>
      </w:r>
      <w:r>
        <w:rPr>
          <w:rFonts w:ascii="Times New Roman" w:hAnsi="Times New Roman" w:cs="Times New Roman"/>
          <w:sz w:val="24"/>
          <w:szCs w:val="24"/>
        </w:rPr>
        <w:t xml:space="preserve">, </w:t>
      </w:r>
      <w:r w:rsidR="00FD6392">
        <w:rPr>
          <w:rFonts w:ascii="Times New Roman" w:hAnsi="Times New Roman" w:cs="Times New Roman"/>
          <w:sz w:val="24"/>
          <w:szCs w:val="24"/>
        </w:rPr>
        <w:t xml:space="preserve">il Collegio passa ad esaminare le censure che sono dirimenti in tema di </w:t>
      </w:r>
      <w:proofErr w:type="spellStart"/>
      <w:r w:rsidR="00FD6392" w:rsidRPr="00FC5001">
        <w:rPr>
          <w:rFonts w:ascii="Times New Roman" w:hAnsi="Times New Roman" w:cs="Times New Roman"/>
          <w:i/>
          <w:sz w:val="24"/>
          <w:szCs w:val="24"/>
        </w:rPr>
        <w:t>prospective</w:t>
      </w:r>
      <w:proofErr w:type="spellEnd"/>
      <w:r w:rsidR="00FD6392" w:rsidRPr="00FC5001">
        <w:rPr>
          <w:rFonts w:ascii="Times New Roman" w:hAnsi="Times New Roman" w:cs="Times New Roman"/>
          <w:i/>
          <w:sz w:val="24"/>
          <w:szCs w:val="24"/>
        </w:rPr>
        <w:t xml:space="preserve"> </w:t>
      </w:r>
      <w:proofErr w:type="spellStart"/>
      <w:r w:rsidR="00FD6392" w:rsidRPr="00FC5001">
        <w:rPr>
          <w:rFonts w:ascii="Times New Roman" w:hAnsi="Times New Roman" w:cs="Times New Roman"/>
          <w:i/>
          <w:sz w:val="24"/>
          <w:szCs w:val="24"/>
        </w:rPr>
        <w:t>overruling</w:t>
      </w:r>
      <w:proofErr w:type="spellEnd"/>
      <w:r w:rsidR="00FD6392">
        <w:rPr>
          <w:rFonts w:ascii="Times New Roman" w:hAnsi="Times New Roman" w:cs="Times New Roman"/>
          <w:sz w:val="24"/>
          <w:szCs w:val="24"/>
        </w:rPr>
        <w:t xml:space="preserve">: irricevibilità del ricorso perché non tempestivo (gli appellanti avevano impugnato l’atto con cui erano state aggiornate le graduatorie), la qualificazione giuridica del DM 253/14 come atto regolamentare e generale con la conseguente estensione del giudicato reso con sentenza 1973/2015 </w:t>
      </w:r>
      <w:r w:rsidR="00FD6392" w:rsidRPr="00FD6392">
        <w:rPr>
          <w:rFonts w:ascii="Times New Roman" w:hAnsi="Times New Roman" w:cs="Times New Roman"/>
          <w:i/>
          <w:sz w:val="24"/>
          <w:szCs w:val="24"/>
        </w:rPr>
        <w:t xml:space="preserve">erga </w:t>
      </w:r>
      <w:proofErr w:type="spellStart"/>
      <w:r w:rsidR="00FD6392" w:rsidRPr="00FD6392">
        <w:rPr>
          <w:rFonts w:ascii="Times New Roman" w:hAnsi="Times New Roman" w:cs="Times New Roman"/>
          <w:i/>
          <w:sz w:val="24"/>
          <w:szCs w:val="24"/>
        </w:rPr>
        <w:t>omnes</w:t>
      </w:r>
      <w:proofErr w:type="spellEnd"/>
      <w:r w:rsidR="00FD6392">
        <w:rPr>
          <w:rFonts w:ascii="Times New Roman" w:hAnsi="Times New Roman" w:cs="Times New Roman"/>
          <w:i/>
          <w:sz w:val="24"/>
          <w:szCs w:val="24"/>
        </w:rPr>
        <w:t xml:space="preserve">, </w:t>
      </w:r>
      <w:r w:rsidR="00FD6392">
        <w:rPr>
          <w:rFonts w:ascii="Times New Roman" w:hAnsi="Times New Roman" w:cs="Times New Roman"/>
          <w:sz w:val="24"/>
          <w:szCs w:val="24"/>
        </w:rPr>
        <w:t xml:space="preserve">il riconoscimento di efficacia abilitante al diploma magistrale e, da ultimo, questione di rilievo, il mutamento giurisprudenziale inaugurato con </w:t>
      </w:r>
      <w:r w:rsidR="00FD6392">
        <w:rPr>
          <w:rFonts w:ascii="Times New Roman" w:hAnsi="Times New Roman" w:cs="Times New Roman"/>
          <w:sz w:val="24"/>
          <w:szCs w:val="24"/>
        </w:rPr>
        <w:lastRenderedPageBreak/>
        <w:t>la sen</w:t>
      </w:r>
      <w:r w:rsidR="004557E3">
        <w:rPr>
          <w:rFonts w:ascii="Times New Roman" w:hAnsi="Times New Roman" w:cs="Times New Roman"/>
          <w:sz w:val="24"/>
          <w:szCs w:val="24"/>
        </w:rPr>
        <w:t>tenza dell’Adunanza Plenaria 11</w:t>
      </w:r>
      <w:r w:rsidR="00FD6392">
        <w:rPr>
          <w:rFonts w:ascii="Times New Roman" w:hAnsi="Times New Roman" w:cs="Times New Roman"/>
          <w:sz w:val="24"/>
          <w:szCs w:val="24"/>
        </w:rPr>
        <w:t>/1</w:t>
      </w:r>
      <w:r w:rsidR="004557E3">
        <w:rPr>
          <w:rFonts w:ascii="Times New Roman" w:hAnsi="Times New Roman" w:cs="Times New Roman"/>
          <w:sz w:val="24"/>
          <w:szCs w:val="24"/>
        </w:rPr>
        <w:t>7</w:t>
      </w:r>
      <w:r w:rsidR="00FD6392">
        <w:rPr>
          <w:rFonts w:ascii="Times New Roman" w:hAnsi="Times New Roman" w:cs="Times New Roman"/>
          <w:sz w:val="24"/>
          <w:szCs w:val="24"/>
        </w:rPr>
        <w:t xml:space="preserve">, non poteva applicarsi retroattivamente a pena di violare il principio di certezza del diritto e i principi dell’equo processo.  </w:t>
      </w:r>
    </w:p>
    <w:p w:rsidR="004557E3" w:rsidRDefault="00FD6392"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La questione relativa alla tempestività del ricorso e, quindi, alla censura relativa all’irricevibilità dello</w:t>
      </w:r>
      <w:r w:rsidR="00FC5001">
        <w:rPr>
          <w:rFonts w:ascii="Times New Roman" w:hAnsi="Times New Roman" w:cs="Times New Roman"/>
          <w:sz w:val="24"/>
          <w:szCs w:val="24"/>
        </w:rPr>
        <w:t xml:space="preserve"> stesso attiene al </w:t>
      </w:r>
      <w:proofErr w:type="spellStart"/>
      <w:r w:rsidR="00FC5001" w:rsidRPr="001C2999">
        <w:rPr>
          <w:rFonts w:ascii="Times New Roman" w:hAnsi="Times New Roman" w:cs="Times New Roman"/>
          <w:i/>
          <w:sz w:val="24"/>
          <w:szCs w:val="24"/>
        </w:rPr>
        <w:t>dies</w:t>
      </w:r>
      <w:proofErr w:type="spellEnd"/>
      <w:r w:rsidR="00FC5001" w:rsidRPr="001C2999">
        <w:rPr>
          <w:rFonts w:ascii="Times New Roman" w:hAnsi="Times New Roman" w:cs="Times New Roman"/>
          <w:i/>
          <w:sz w:val="24"/>
          <w:szCs w:val="24"/>
        </w:rPr>
        <w:t xml:space="preserve"> a quo</w:t>
      </w:r>
      <w:r w:rsidR="00FC5001">
        <w:rPr>
          <w:rFonts w:ascii="Times New Roman" w:hAnsi="Times New Roman" w:cs="Times New Roman"/>
          <w:sz w:val="24"/>
          <w:szCs w:val="24"/>
        </w:rPr>
        <w:t xml:space="preserve"> di decorrenza dei termini per proporre ricorso. Nella prospettazione degli appellanti, il termine di legge avrebbe dovuto calcolarsi dalla pubblicazione della sentenza, dal momento in cui, in altre parole, </w:t>
      </w:r>
      <w:r w:rsidR="009E558B">
        <w:rPr>
          <w:rFonts w:ascii="Times New Roman" w:hAnsi="Times New Roman" w:cs="Times New Roman"/>
          <w:sz w:val="24"/>
          <w:szCs w:val="24"/>
        </w:rPr>
        <w:t>è stata</w:t>
      </w:r>
      <w:r w:rsidR="00FC5001">
        <w:rPr>
          <w:rFonts w:ascii="Times New Roman" w:hAnsi="Times New Roman" w:cs="Times New Roman"/>
          <w:sz w:val="24"/>
          <w:szCs w:val="24"/>
        </w:rPr>
        <w:t xml:space="preserve"> accertata la lesività dell’atto in sede giurisdizionale. Secondo i Giudici di Palazzo Spada, il </w:t>
      </w:r>
      <w:proofErr w:type="spellStart"/>
      <w:r w:rsidR="00FC5001" w:rsidRPr="00FC5001">
        <w:rPr>
          <w:rFonts w:ascii="Times New Roman" w:hAnsi="Times New Roman" w:cs="Times New Roman"/>
          <w:i/>
          <w:sz w:val="24"/>
          <w:szCs w:val="24"/>
        </w:rPr>
        <w:t>dies</w:t>
      </w:r>
      <w:proofErr w:type="spellEnd"/>
      <w:r w:rsidR="00FC5001" w:rsidRPr="00FC5001">
        <w:rPr>
          <w:rFonts w:ascii="Times New Roman" w:hAnsi="Times New Roman" w:cs="Times New Roman"/>
          <w:i/>
          <w:sz w:val="24"/>
          <w:szCs w:val="24"/>
        </w:rPr>
        <w:t xml:space="preserve"> a quo</w:t>
      </w:r>
      <w:r w:rsidR="00FC5001">
        <w:rPr>
          <w:rFonts w:ascii="Times New Roman" w:hAnsi="Times New Roman" w:cs="Times New Roman"/>
          <w:sz w:val="24"/>
          <w:szCs w:val="24"/>
        </w:rPr>
        <w:t xml:space="preserve"> va individuato</w:t>
      </w:r>
      <w:r w:rsidR="009E558B">
        <w:rPr>
          <w:rFonts w:ascii="Times New Roman" w:hAnsi="Times New Roman" w:cs="Times New Roman"/>
          <w:sz w:val="24"/>
          <w:szCs w:val="24"/>
        </w:rPr>
        <w:t xml:space="preserve"> piuttosto</w:t>
      </w:r>
      <w:r w:rsidR="00FC5001">
        <w:rPr>
          <w:rFonts w:ascii="Times New Roman" w:hAnsi="Times New Roman" w:cs="Times New Roman"/>
          <w:sz w:val="24"/>
          <w:szCs w:val="24"/>
        </w:rPr>
        <w:t xml:space="preserve"> </w:t>
      </w:r>
      <w:r w:rsidR="009E558B">
        <w:rPr>
          <w:rFonts w:ascii="Times New Roman" w:hAnsi="Times New Roman" w:cs="Times New Roman"/>
          <w:sz w:val="24"/>
          <w:szCs w:val="24"/>
        </w:rPr>
        <w:t>ne</w:t>
      </w:r>
      <w:r w:rsidR="00FC5001">
        <w:rPr>
          <w:rFonts w:ascii="Times New Roman" w:hAnsi="Times New Roman" w:cs="Times New Roman"/>
          <w:sz w:val="24"/>
          <w:szCs w:val="24"/>
        </w:rPr>
        <w:t xml:space="preserve">lla data di pubblicazione del </w:t>
      </w:r>
      <w:proofErr w:type="spellStart"/>
      <w:r w:rsidR="009E558B">
        <w:rPr>
          <w:rFonts w:ascii="Times New Roman" w:hAnsi="Times New Roman" w:cs="Times New Roman"/>
          <w:sz w:val="24"/>
          <w:szCs w:val="24"/>
        </w:rPr>
        <w:t>d.m.</w:t>
      </w:r>
      <w:proofErr w:type="spellEnd"/>
      <w:r w:rsidR="009E558B">
        <w:rPr>
          <w:rFonts w:ascii="Times New Roman" w:hAnsi="Times New Roman" w:cs="Times New Roman"/>
          <w:sz w:val="24"/>
          <w:szCs w:val="24"/>
        </w:rPr>
        <w:t xml:space="preserve"> </w:t>
      </w:r>
      <w:r w:rsidR="00FC5001">
        <w:rPr>
          <w:rFonts w:ascii="Times New Roman" w:hAnsi="Times New Roman" w:cs="Times New Roman"/>
          <w:sz w:val="24"/>
          <w:szCs w:val="24"/>
        </w:rPr>
        <w:t xml:space="preserve">16 marzo 2006. Il </w:t>
      </w:r>
      <w:proofErr w:type="spellStart"/>
      <w:r w:rsidR="009E558B">
        <w:rPr>
          <w:rFonts w:ascii="Times New Roman" w:hAnsi="Times New Roman" w:cs="Times New Roman"/>
          <w:sz w:val="24"/>
          <w:szCs w:val="24"/>
        </w:rPr>
        <w:t>d</w:t>
      </w:r>
      <w:r w:rsidR="00FC5001">
        <w:rPr>
          <w:rFonts w:ascii="Times New Roman" w:hAnsi="Times New Roman" w:cs="Times New Roman"/>
          <w:sz w:val="24"/>
          <w:szCs w:val="24"/>
        </w:rPr>
        <w:t>.</w:t>
      </w:r>
      <w:r w:rsidR="009E558B">
        <w:rPr>
          <w:rFonts w:ascii="Times New Roman" w:hAnsi="Times New Roman" w:cs="Times New Roman"/>
          <w:sz w:val="24"/>
          <w:szCs w:val="24"/>
        </w:rPr>
        <w:t>m</w:t>
      </w:r>
      <w:proofErr w:type="spellEnd"/>
      <w:r w:rsidR="00FC5001">
        <w:rPr>
          <w:rFonts w:ascii="Times New Roman" w:hAnsi="Times New Roman" w:cs="Times New Roman"/>
          <w:sz w:val="24"/>
          <w:szCs w:val="24"/>
        </w:rPr>
        <w:t xml:space="preserve"> </w:t>
      </w:r>
      <w:r w:rsidR="006F47D8">
        <w:rPr>
          <w:rFonts w:ascii="Times New Roman" w:hAnsi="Times New Roman" w:cs="Times New Roman"/>
          <w:sz w:val="24"/>
          <w:szCs w:val="24"/>
        </w:rPr>
        <w:t xml:space="preserve">235/2014, pure </w:t>
      </w:r>
      <w:r w:rsidR="00FC5001">
        <w:rPr>
          <w:rFonts w:ascii="Times New Roman" w:hAnsi="Times New Roman" w:cs="Times New Roman"/>
          <w:sz w:val="24"/>
          <w:szCs w:val="24"/>
        </w:rPr>
        <w:t xml:space="preserve">impugnato in questa sede, </w:t>
      </w:r>
      <w:r w:rsidR="009E558B">
        <w:rPr>
          <w:rFonts w:ascii="Times New Roman" w:hAnsi="Times New Roman" w:cs="Times New Roman"/>
          <w:sz w:val="24"/>
          <w:szCs w:val="24"/>
        </w:rPr>
        <w:t>come già esplicitato nelle sentenze dell’Adunanza Plenaria del 2017 e del 2019</w:t>
      </w:r>
      <w:r w:rsidR="00FC5001">
        <w:rPr>
          <w:rFonts w:ascii="Times New Roman" w:hAnsi="Times New Roman" w:cs="Times New Roman"/>
          <w:sz w:val="24"/>
          <w:szCs w:val="24"/>
        </w:rPr>
        <w:t>, non è un atto amministrativo generale in quanto si rivolge ad un ristretto nucleo di destinatari, segnatamente i docenti già iscritti nelle graduatorie.</w:t>
      </w:r>
      <w:r w:rsidR="006F47D8">
        <w:rPr>
          <w:rFonts w:ascii="Times New Roman" w:hAnsi="Times New Roman" w:cs="Times New Roman"/>
          <w:sz w:val="24"/>
          <w:szCs w:val="24"/>
        </w:rPr>
        <w:t xml:space="preserve"> Neppure può dirsi, secondo il Collegio, che il suddetto </w:t>
      </w:r>
      <w:proofErr w:type="spellStart"/>
      <w:r w:rsidR="009E558B">
        <w:rPr>
          <w:rFonts w:ascii="Times New Roman" w:hAnsi="Times New Roman" w:cs="Times New Roman"/>
          <w:sz w:val="24"/>
          <w:szCs w:val="24"/>
        </w:rPr>
        <w:t>d.m.</w:t>
      </w:r>
      <w:proofErr w:type="spellEnd"/>
      <w:r w:rsidR="006F47D8">
        <w:rPr>
          <w:rFonts w:ascii="Times New Roman" w:hAnsi="Times New Roman" w:cs="Times New Roman"/>
          <w:sz w:val="24"/>
          <w:szCs w:val="24"/>
        </w:rPr>
        <w:t xml:space="preserve"> abbia effetti lesivi nei confronti degli appellanti che non sono iscritti nelle graduatorie e quindi l’aggiornamento delle stesse è per loro del tutto ininfluente.</w:t>
      </w:r>
    </w:p>
    <w:p w:rsidR="004557E3" w:rsidRDefault="004557E3"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Diversamente opinando si arriverebbe all’inaccettabile conclusione di consentire la tempestività dell’azione in violazione di tutti i principi processuali vigenti in materia. Tutte le sentenze summenzionate, compresa quella in commento, portano l’esempio del</w:t>
      </w:r>
      <w:r w:rsidR="009E558B">
        <w:rPr>
          <w:rFonts w:ascii="Times New Roman" w:hAnsi="Times New Roman" w:cs="Times New Roman"/>
          <w:sz w:val="24"/>
          <w:szCs w:val="24"/>
        </w:rPr>
        <w:t>l’impugnazione del</w:t>
      </w:r>
      <w:r>
        <w:rPr>
          <w:rFonts w:ascii="Times New Roman" w:hAnsi="Times New Roman" w:cs="Times New Roman"/>
          <w:sz w:val="24"/>
          <w:szCs w:val="24"/>
        </w:rPr>
        <w:t xml:space="preserve"> bando di</w:t>
      </w:r>
      <w:r w:rsidR="009E558B">
        <w:rPr>
          <w:rFonts w:ascii="Times New Roman" w:hAnsi="Times New Roman" w:cs="Times New Roman"/>
          <w:sz w:val="24"/>
          <w:szCs w:val="24"/>
        </w:rPr>
        <w:t xml:space="preserve"> una</w:t>
      </w:r>
      <w:r>
        <w:rPr>
          <w:rFonts w:ascii="Times New Roman" w:hAnsi="Times New Roman" w:cs="Times New Roman"/>
          <w:sz w:val="24"/>
          <w:szCs w:val="24"/>
        </w:rPr>
        <w:t xml:space="preserve"> gara</w:t>
      </w:r>
      <w:r w:rsidR="009E558B">
        <w:rPr>
          <w:rFonts w:ascii="Times New Roman" w:hAnsi="Times New Roman" w:cs="Times New Roman"/>
          <w:sz w:val="24"/>
          <w:szCs w:val="24"/>
        </w:rPr>
        <w:t xml:space="preserve"> ad evidenza pubblica</w:t>
      </w:r>
      <w:r>
        <w:rPr>
          <w:rFonts w:ascii="Times New Roman" w:hAnsi="Times New Roman" w:cs="Times New Roman"/>
          <w:sz w:val="24"/>
          <w:szCs w:val="24"/>
        </w:rPr>
        <w:t xml:space="preserve">. Accettare la tempestività dei ricorsi prima e degli appelli poi equivarrebbe ad ammettere l’azionabilità dei rimedi processuali a chi non ha neanche mai partecipato </w:t>
      </w:r>
      <w:r w:rsidR="009E558B">
        <w:rPr>
          <w:rFonts w:ascii="Times New Roman" w:hAnsi="Times New Roman" w:cs="Times New Roman"/>
          <w:sz w:val="24"/>
          <w:szCs w:val="24"/>
        </w:rPr>
        <w:t>alla gara non presentando l’offerta</w:t>
      </w:r>
      <w:r>
        <w:rPr>
          <w:rFonts w:ascii="Times New Roman" w:hAnsi="Times New Roman" w:cs="Times New Roman"/>
          <w:sz w:val="24"/>
          <w:szCs w:val="24"/>
        </w:rPr>
        <w:t xml:space="preserve"> e, pur tuttavia, decide di impugnare gli atti di aggiornamento dell’aggiudicazione. </w:t>
      </w:r>
    </w:p>
    <w:p w:rsidR="00446CD2" w:rsidRDefault="00725803"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Fatto questo inquadramento, il Collegio ha esaminato il profilo relativo al legittimo affidamento e al </w:t>
      </w:r>
      <w:proofErr w:type="spellStart"/>
      <w:r w:rsidRPr="00725803">
        <w:rPr>
          <w:rFonts w:ascii="Times New Roman" w:hAnsi="Times New Roman" w:cs="Times New Roman"/>
          <w:i/>
          <w:sz w:val="24"/>
          <w:szCs w:val="24"/>
        </w:rPr>
        <w:t>prospective</w:t>
      </w:r>
      <w:proofErr w:type="spellEnd"/>
      <w:r w:rsidRPr="00725803">
        <w:rPr>
          <w:rFonts w:ascii="Times New Roman" w:hAnsi="Times New Roman" w:cs="Times New Roman"/>
          <w:i/>
          <w:sz w:val="24"/>
          <w:szCs w:val="24"/>
        </w:rPr>
        <w:t xml:space="preserve"> </w:t>
      </w:r>
      <w:proofErr w:type="spellStart"/>
      <w:r w:rsidRPr="00725803">
        <w:rPr>
          <w:rFonts w:ascii="Times New Roman" w:hAnsi="Times New Roman" w:cs="Times New Roman"/>
          <w:i/>
          <w:sz w:val="24"/>
          <w:szCs w:val="24"/>
        </w:rPr>
        <w:t>overruling</w:t>
      </w:r>
      <w:proofErr w:type="spellEnd"/>
      <w:r>
        <w:rPr>
          <w:rFonts w:ascii="Times New Roman" w:hAnsi="Times New Roman" w:cs="Times New Roman"/>
          <w:i/>
          <w:sz w:val="24"/>
          <w:szCs w:val="24"/>
        </w:rPr>
        <w:t xml:space="preserve">. </w:t>
      </w:r>
      <w:r>
        <w:rPr>
          <w:rFonts w:ascii="Times New Roman" w:hAnsi="Times New Roman" w:cs="Times New Roman"/>
          <w:sz w:val="24"/>
          <w:szCs w:val="24"/>
        </w:rPr>
        <w:t>Applicando i principi</w:t>
      </w:r>
      <w:r w:rsidR="009E558B">
        <w:rPr>
          <w:rFonts w:ascii="Times New Roman" w:hAnsi="Times New Roman" w:cs="Times New Roman"/>
          <w:sz w:val="24"/>
          <w:szCs w:val="24"/>
        </w:rPr>
        <w:t xml:space="preserve"> ormai consolidati in materia</w:t>
      </w:r>
      <w:r w:rsidR="00047215">
        <w:rPr>
          <w:rFonts w:ascii="Times New Roman" w:hAnsi="Times New Roman" w:cs="Times New Roman"/>
          <w:sz w:val="24"/>
          <w:szCs w:val="24"/>
        </w:rPr>
        <w:t>, secondo i g</w:t>
      </w:r>
      <w:r>
        <w:rPr>
          <w:rFonts w:ascii="Times New Roman" w:hAnsi="Times New Roman" w:cs="Times New Roman"/>
          <w:sz w:val="24"/>
          <w:szCs w:val="24"/>
        </w:rPr>
        <w:t>iudici, al momento in cui gli appellanti si sono determinati nel non impugnare tempestivamente (dopo la pubblicazione del DM 16 marzo 2006), non esisteva alcuna giurisprudenza consolidata che legittimasse il ricorrente ad attendere gli atti di aggiornamento delle graduatorie</w:t>
      </w:r>
      <w:r w:rsidR="009E558B">
        <w:rPr>
          <w:rFonts w:ascii="Times New Roman" w:hAnsi="Times New Roman" w:cs="Times New Roman"/>
          <w:sz w:val="24"/>
          <w:szCs w:val="24"/>
        </w:rPr>
        <w:t xml:space="preserve"> e quindi il loro legittimo affidamento</w:t>
      </w:r>
      <w:r>
        <w:rPr>
          <w:rFonts w:ascii="Times New Roman" w:hAnsi="Times New Roman" w:cs="Times New Roman"/>
          <w:sz w:val="24"/>
          <w:szCs w:val="24"/>
        </w:rPr>
        <w:t>.</w:t>
      </w:r>
      <w:r w:rsidR="009E558B">
        <w:rPr>
          <w:rFonts w:ascii="Times New Roman" w:hAnsi="Times New Roman" w:cs="Times New Roman"/>
          <w:sz w:val="24"/>
          <w:szCs w:val="24"/>
        </w:rPr>
        <w:t xml:space="preserve"> </w:t>
      </w:r>
    </w:p>
    <w:p w:rsidR="009E558B" w:rsidRDefault="009E558B"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Agli appellanti, quindi, non può essere riconosciuto alcun mezzo di tutela perché non in possesso di titoli legittimanti e la giurisprudenza </w:t>
      </w:r>
      <w:proofErr w:type="spellStart"/>
      <w:r>
        <w:rPr>
          <w:rFonts w:ascii="Times New Roman" w:hAnsi="Times New Roman" w:cs="Times New Roman"/>
          <w:sz w:val="24"/>
          <w:szCs w:val="24"/>
        </w:rPr>
        <w:t>asseritamente</w:t>
      </w:r>
      <w:proofErr w:type="spellEnd"/>
      <w:r>
        <w:rPr>
          <w:rFonts w:ascii="Times New Roman" w:hAnsi="Times New Roman" w:cs="Times New Roman"/>
          <w:sz w:val="24"/>
          <w:szCs w:val="24"/>
        </w:rPr>
        <w:t xml:space="preserve"> “sovvertita” in maniera improvvisa e inaspettata dalla sentenza dell’Adunanza Plenaria n. 11/2017 in realtà non è qualificabile in alcun modo come pacifica e incontrastata in quanto, </w:t>
      </w:r>
      <w:r w:rsidRPr="009E558B">
        <w:rPr>
          <w:rFonts w:ascii="Times New Roman" w:hAnsi="Times New Roman" w:cs="Times New Roman"/>
          <w:i/>
          <w:sz w:val="24"/>
          <w:szCs w:val="24"/>
        </w:rPr>
        <w:t>inter alias</w:t>
      </w:r>
      <w:r>
        <w:rPr>
          <w:rFonts w:ascii="Times New Roman" w:hAnsi="Times New Roman" w:cs="Times New Roman"/>
          <w:sz w:val="24"/>
          <w:szCs w:val="24"/>
        </w:rPr>
        <w:t>, resa nei confronti di un nucleo ristretto di destinatari.</w:t>
      </w:r>
      <w:r w:rsidR="00047215">
        <w:rPr>
          <w:rFonts w:ascii="Times New Roman" w:hAnsi="Times New Roman" w:cs="Times New Roman"/>
          <w:sz w:val="24"/>
          <w:szCs w:val="24"/>
        </w:rPr>
        <w:t xml:space="preserve"> </w:t>
      </w:r>
    </w:p>
    <w:p w:rsidR="00FE785A" w:rsidRDefault="00FE785A" w:rsidP="00AA33ED">
      <w:pPr>
        <w:pStyle w:val="Nessunaspaziatura"/>
        <w:spacing w:line="360" w:lineRule="auto"/>
        <w:jc w:val="both"/>
        <w:rPr>
          <w:rFonts w:ascii="Times New Roman" w:hAnsi="Times New Roman" w:cs="Times New Roman"/>
          <w:sz w:val="24"/>
          <w:szCs w:val="24"/>
        </w:rPr>
      </w:pPr>
    </w:p>
    <w:p w:rsidR="00FE785A" w:rsidRDefault="00FE785A" w:rsidP="00AA33ED">
      <w:pPr>
        <w:pStyle w:val="Nessunaspaziatura"/>
        <w:spacing w:line="360" w:lineRule="auto"/>
        <w:jc w:val="both"/>
        <w:rPr>
          <w:rFonts w:ascii="Times New Roman" w:hAnsi="Times New Roman" w:cs="Times New Roman"/>
          <w:sz w:val="24"/>
          <w:szCs w:val="24"/>
        </w:rPr>
      </w:pPr>
    </w:p>
    <w:p w:rsidR="00FE785A" w:rsidRDefault="00FE785A" w:rsidP="00AA33ED">
      <w:pPr>
        <w:pStyle w:val="Nessunaspaziatura"/>
        <w:spacing w:line="360" w:lineRule="auto"/>
        <w:jc w:val="both"/>
        <w:rPr>
          <w:rFonts w:ascii="Times New Roman" w:hAnsi="Times New Roman" w:cs="Times New Roman"/>
          <w:sz w:val="24"/>
          <w:szCs w:val="24"/>
        </w:rPr>
      </w:pPr>
    </w:p>
    <w:p w:rsidR="00FE785A" w:rsidRDefault="00FE785A" w:rsidP="00AA33ED">
      <w:pPr>
        <w:pStyle w:val="Nessunaspaziatura"/>
        <w:spacing w:line="360" w:lineRule="auto"/>
        <w:jc w:val="both"/>
        <w:rPr>
          <w:rFonts w:ascii="Times New Roman" w:hAnsi="Times New Roman" w:cs="Times New Roman"/>
          <w:sz w:val="24"/>
          <w:szCs w:val="24"/>
        </w:rPr>
      </w:pPr>
    </w:p>
    <w:p w:rsidR="0032169C" w:rsidRPr="00FE785A" w:rsidRDefault="0032169C" w:rsidP="00AA33ED">
      <w:pPr>
        <w:pStyle w:val="Nessunaspaziatura"/>
        <w:numPr>
          <w:ilvl w:val="0"/>
          <w:numId w:val="2"/>
        </w:numPr>
        <w:spacing w:line="360" w:lineRule="auto"/>
        <w:jc w:val="both"/>
        <w:rPr>
          <w:rFonts w:ascii="Times New Roman" w:hAnsi="Times New Roman" w:cs="Times New Roman"/>
          <w:sz w:val="24"/>
          <w:szCs w:val="24"/>
        </w:rPr>
      </w:pPr>
      <w:r w:rsidRPr="00FE785A">
        <w:rPr>
          <w:rFonts w:ascii="Times New Roman" w:hAnsi="Times New Roman" w:cs="Times New Roman"/>
          <w:sz w:val="24"/>
          <w:szCs w:val="24"/>
        </w:rPr>
        <w:lastRenderedPageBreak/>
        <w:t>Conclusioni</w:t>
      </w:r>
    </w:p>
    <w:p w:rsidR="0032169C" w:rsidRDefault="0032169C" w:rsidP="00AA33ED">
      <w:pPr>
        <w:pStyle w:val="Nessunaspaziatura"/>
        <w:spacing w:line="360" w:lineRule="auto"/>
        <w:jc w:val="both"/>
        <w:rPr>
          <w:rFonts w:ascii="Times New Roman" w:hAnsi="Times New Roman" w:cs="Times New Roman"/>
          <w:sz w:val="24"/>
          <w:szCs w:val="24"/>
        </w:rPr>
      </w:pPr>
    </w:p>
    <w:p w:rsidR="004557E3" w:rsidRDefault="004557E3"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Che cosa insegna l’istituto del </w:t>
      </w:r>
      <w:proofErr w:type="spellStart"/>
      <w:r w:rsidRPr="00FA056F">
        <w:rPr>
          <w:rFonts w:ascii="Times New Roman" w:hAnsi="Times New Roman" w:cs="Times New Roman"/>
          <w:i/>
          <w:sz w:val="24"/>
          <w:szCs w:val="24"/>
        </w:rPr>
        <w:t>prospective</w:t>
      </w:r>
      <w:proofErr w:type="spellEnd"/>
      <w:r w:rsidRPr="00FA056F">
        <w:rPr>
          <w:rFonts w:ascii="Times New Roman" w:hAnsi="Times New Roman" w:cs="Times New Roman"/>
          <w:i/>
          <w:sz w:val="24"/>
          <w:szCs w:val="24"/>
        </w:rPr>
        <w:t xml:space="preserve"> </w:t>
      </w:r>
      <w:proofErr w:type="spellStart"/>
      <w:r w:rsidRPr="00FA056F">
        <w:rPr>
          <w:rFonts w:ascii="Times New Roman" w:hAnsi="Times New Roman" w:cs="Times New Roman"/>
          <w:i/>
          <w:sz w:val="24"/>
          <w:szCs w:val="24"/>
        </w:rPr>
        <w:t>overruling</w:t>
      </w:r>
      <w:proofErr w:type="spellEnd"/>
      <w:r>
        <w:rPr>
          <w:rFonts w:ascii="Times New Roman" w:hAnsi="Times New Roman" w:cs="Times New Roman"/>
          <w:sz w:val="24"/>
          <w:szCs w:val="24"/>
        </w:rPr>
        <w:t xml:space="preserve"> e l’applicazione che ne ha fatto la giurisprudenza, specie quella amministrativa? </w:t>
      </w:r>
      <w:r w:rsidR="00FA056F">
        <w:rPr>
          <w:rFonts w:ascii="Times New Roman" w:hAnsi="Times New Roman" w:cs="Times New Roman"/>
          <w:sz w:val="24"/>
          <w:szCs w:val="24"/>
        </w:rPr>
        <w:t>Non tutte le situazioni pregiudizievoli riescono a trovare tutela perché questa passa attraverso il filtro della tempestività</w:t>
      </w:r>
      <w:r w:rsidR="0032169C">
        <w:rPr>
          <w:rFonts w:ascii="Times New Roman" w:hAnsi="Times New Roman" w:cs="Times New Roman"/>
          <w:sz w:val="24"/>
          <w:szCs w:val="24"/>
        </w:rPr>
        <w:t xml:space="preserve"> e del legittimo affidamento che deve tradursi in un comportamento fattivo del privato</w:t>
      </w:r>
      <w:r w:rsidR="00FA056F">
        <w:rPr>
          <w:rFonts w:ascii="Times New Roman" w:hAnsi="Times New Roman" w:cs="Times New Roman"/>
          <w:sz w:val="24"/>
          <w:szCs w:val="24"/>
        </w:rPr>
        <w:t>. I termini per azionare i propri diritti hanno uno specifico e preciso compito</w:t>
      </w:r>
      <w:r w:rsidR="0032169C">
        <w:rPr>
          <w:rFonts w:ascii="Times New Roman" w:hAnsi="Times New Roman" w:cs="Times New Roman"/>
          <w:sz w:val="24"/>
          <w:szCs w:val="24"/>
        </w:rPr>
        <w:t xml:space="preserve">, </w:t>
      </w:r>
      <w:proofErr w:type="spellStart"/>
      <w:r w:rsidR="0032169C" w:rsidRPr="0032169C">
        <w:rPr>
          <w:rFonts w:ascii="Times New Roman" w:hAnsi="Times New Roman" w:cs="Times New Roman"/>
          <w:i/>
          <w:sz w:val="24"/>
          <w:szCs w:val="24"/>
        </w:rPr>
        <w:t>recte</w:t>
      </w:r>
      <w:proofErr w:type="spellEnd"/>
      <w:r w:rsidR="0032169C">
        <w:rPr>
          <w:rFonts w:ascii="Times New Roman" w:hAnsi="Times New Roman" w:cs="Times New Roman"/>
          <w:sz w:val="24"/>
          <w:szCs w:val="24"/>
        </w:rPr>
        <w:t xml:space="preserve"> valore,</w:t>
      </w:r>
      <w:r w:rsidR="00FA056F">
        <w:rPr>
          <w:rFonts w:ascii="Times New Roman" w:hAnsi="Times New Roman" w:cs="Times New Roman"/>
          <w:sz w:val="24"/>
          <w:szCs w:val="24"/>
        </w:rPr>
        <w:t xml:space="preserve"> che, non </w:t>
      </w:r>
      <w:r w:rsidR="00047215">
        <w:rPr>
          <w:rFonts w:ascii="Times New Roman" w:hAnsi="Times New Roman" w:cs="Times New Roman"/>
          <w:sz w:val="24"/>
          <w:szCs w:val="24"/>
        </w:rPr>
        <w:t>a caso</w:t>
      </w:r>
      <w:r w:rsidR="00FA056F">
        <w:rPr>
          <w:rFonts w:ascii="Times New Roman" w:hAnsi="Times New Roman" w:cs="Times New Roman"/>
          <w:sz w:val="24"/>
          <w:szCs w:val="24"/>
        </w:rPr>
        <w:t xml:space="preserve">, è lo stesso presupposto del </w:t>
      </w:r>
      <w:proofErr w:type="spellStart"/>
      <w:r w:rsidR="00FA056F" w:rsidRPr="00FA056F">
        <w:rPr>
          <w:rFonts w:ascii="Times New Roman" w:hAnsi="Times New Roman" w:cs="Times New Roman"/>
          <w:i/>
          <w:sz w:val="24"/>
          <w:szCs w:val="24"/>
        </w:rPr>
        <w:t>prospective</w:t>
      </w:r>
      <w:proofErr w:type="spellEnd"/>
      <w:r w:rsidR="00FA056F" w:rsidRPr="00FA056F">
        <w:rPr>
          <w:rFonts w:ascii="Times New Roman" w:hAnsi="Times New Roman" w:cs="Times New Roman"/>
          <w:i/>
          <w:sz w:val="24"/>
          <w:szCs w:val="24"/>
        </w:rPr>
        <w:t xml:space="preserve"> </w:t>
      </w:r>
      <w:proofErr w:type="spellStart"/>
      <w:r w:rsidR="00FA056F" w:rsidRPr="00FA056F">
        <w:rPr>
          <w:rFonts w:ascii="Times New Roman" w:hAnsi="Times New Roman" w:cs="Times New Roman"/>
          <w:i/>
          <w:sz w:val="24"/>
          <w:szCs w:val="24"/>
        </w:rPr>
        <w:t>overruling</w:t>
      </w:r>
      <w:proofErr w:type="spellEnd"/>
      <w:r w:rsidR="00FA056F">
        <w:rPr>
          <w:rFonts w:ascii="Times New Roman" w:hAnsi="Times New Roman" w:cs="Times New Roman"/>
          <w:sz w:val="24"/>
          <w:szCs w:val="24"/>
        </w:rPr>
        <w:t xml:space="preserve">: la certezza del diritto. Il fattore tempo è altamente considerato e protetto dall’ordinamento giuridico e si basa su una presunzione: lo scorrere dello stesso affievolisce la necessità della pretesa. Anche lo Stato rinuncia a punire, a certe condizioni, se trascorre molto tempo dall’offesa. </w:t>
      </w:r>
    </w:p>
    <w:p w:rsidR="00A328CE" w:rsidRDefault="00FA056F" w:rsidP="00AA33ED">
      <w:pPr>
        <w:pStyle w:val="Nessunaspaziatur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 caso di specie, la questione complessa della natura giuridica e del valore del diploma magistrale passa attraverso i grandi e moderni temi della Giustizia – certezza del diritto, </w:t>
      </w:r>
      <w:r w:rsidR="0032169C">
        <w:rPr>
          <w:rFonts w:ascii="Times New Roman" w:hAnsi="Times New Roman" w:cs="Times New Roman"/>
          <w:sz w:val="24"/>
          <w:szCs w:val="24"/>
        </w:rPr>
        <w:t xml:space="preserve">legittimo </w:t>
      </w:r>
      <w:r>
        <w:rPr>
          <w:rFonts w:ascii="Times New Roman" w:hAnsi="Times New Roman" w:cs="Times New Roman"/>
          <w:sz w:val="24"/>
          <w:szCs w:val="24"/>
        </w:rPr>
        <w:t>affidamento del privato – ma lambisce temi delicatissimi quali la parità di trattamento, il principio dell’accesso alla pubblica funzione per concorso pubblico ai sensi dell’art. 97 u</w:t>
      </w:r>
      <w:r w:rsidR="0032169C">
        <w:rPr>
          <w:rFonts w:ascii="Times New Roman" w:hAnsi="Times New Roman" w:cs="Times New Roman"/>
          <w:sz w:val="24"/>
          <w:szCs w:val="24"/>
        </w:rPr>
        <w:t>ltimo comma della Costituzione, principio questo</w:t>
      </w:r>
      <w:r>
        <w:rPr>
          <w:rFonts w:ascii="Times New Roman" w:hAnsi="Times New Roman" w:cs="Times New Roman"/>
          <w:sz w:val="24"/>
          <w:szCs w:val="24"/>
        </w:rPr>
        <w:t xml:space="preserve"> che risponde a tre esigenze fondamentali: la piena partecipazione di tutti i cittadini agli impieghi pubblici in condizioni di eguaglianza, la selezione dei migliori tra questi cittadini e l’autonomia dell’amministrazione dalla politica. </w:t>
      </w:r>
      <w:r w:rsidR="0032169C">
        <w:rPr>
          <w:rFonts w:ascii="Times New Roman" w:hAnsi="Times New Roman" w:cs="Times New Roman"/>
          <w:sz w:val="24"/>
          <w:szCs w:val="24"/>
        </w:rPr>
        <w:t>Del resto, anche la Corte Costituzionale ha ribadito che “</w:t>
      </w:r>
      <w:r w:rsidR="0032169C" w:rsidRPr="0032169C">
        <w:rPr>
          <w:rFonts w:ascii="Times New Roman" w:hAnsi="Times New Roman" w:cs="Times New Roman"/>
          <w:i/>
          <w:sz w:val="24"/>
          <w:szCs w:val="24"/>
        </w:rPr>
        <w:t>ragioni umanitaristiche connesse alla volontà di porre rimedio ad una situazione creata da irregolarità amministrative non sono sufficienti a fondare una legittima deroga al principio del concorso pubblico</w:t>
      </w:r>
      <w:r w:rsidR="0032169C">
        <w:rPr>
          <w:rFonts w:ascii="Times New Roman" w:hAnsi="Times New Roman" w:cs="Times New Roman"/>
          <w:sz w:val="24"/>
          <w:szCs w:val="24"/>
        </w:rPr>
        <w:t>”</w:t>
      </w:r>
      <w:r w:rsidR="007372FB">
        <w:rPr>
          <w:rStyle w:val="Rimandonotaapidipagina"/>
          <w:rFonts w:ascii="Times New Roman" w:hAnsi="Times New Roman" w:cs="Times New Roman"/>
          <w:sz w:val="24"/>
          <w:szCs w:val="24"/>
        </w:rPr>
        <w:footnoteReference w:id="29"/>
      </w:r>
      <w:r w:rsidR="0032169C">
        <w:rPr>
          <w:rFonts w:ascii="Times New Roman" w:hAnsi="Times New Roman" w:cs="Times New Roman"/>
          <w:sz w:val="24"/>
          <w:szCs w:val="24"/>
        </w:rPr>
        <w:t xml:space="preserve"> e, per quanto più attiene all’istituto in commento, non sono idonee ad attivare l’apparato di tutela che, sebbene non propriamente disciplinato dalla legge, ha trovato, nell’ordinamento nazionale, applicazione</w:t>
      </w:r>
      <w:r w:rsidR="00B61513">
        <w:rPr>
          <w:rFonts w:ascii="Times New Roman" w:hAnsi="Times New Roman" w:cs="Times New Roman"/>
          <w:sz w:val="24"/>
          <w:szCs w:val="24"/>
        </w:rPr>
        <w:t xml:space="preserve"> e ormai pacifica approvazione</w:t>
      </w:r>
      <w:r w:rsidR="0032169C">
        <w:rPr>
          <w:rFonts w:ascii="Times New Roman" w:hAnsi="Times New Roman" w:cs="Times New Roman"/>
          <w:sz w:val="24"/>
          <w:szCs w:val="24"/>
        </w:rPr>
        <w:t>.</w:t>
      </w:r>
    </w:p>
    <w:p w:rsidR="00487D59" w:rsidRDefault="00487D59" w:rsidP="00AA33ED">
      <w:pPr>
        <w:pStyle w:val="Nessunaspaziatura"/>
        <w:spacing w:line="360" w:lineRule="auto"/>
        <w:jc w:val="both"/>
        <w:rPr>
          <w:rFonts w:ascii="Times New Roman" w:hAnsi="Times New Roman" w:cs="Times New Roman"/>
          <w:sz w:val="24"/>
          <w:szCs w:val="24"/>
        </w:rPr>
      </w:pPr>
    </w:p>
    <w:p w:rsidR="00487D59" w:rsidRPr="00487D59" w:rsidRDefault="00487D59" w:rsidP="00487D59">
      <w:pPr>
        <w:pStyle w:val="Nessunaspaziatura"/>
        <w:spacing w:line="360" w:lineRule="auto"/>
        <w:jc w:val="right"/>
        <w:rPr>
          <w:rFonts w:ascii="Times New Roman" w:hAnsi="Times New Roman" w:cs="Times New Roman"/>
          <w:b/>
          <w:sz w:val="24"/>
          <w:szCs w:val="24"/>
        </w:rPr>
      </w:pPr>
      <w:r w:rsidRPr="00487D59">
        <w:rPr>
          <w:rFonts w:ascii="Times New Roman" w:hAnsi="Times New Roman" w:cs="Times New Roman"/>
          <w:b/>
          <w:sz w:val="24"/>
          <w:szCs w:val="24"/>
        </w:rPr>
        <w:t>Federica Valentini</w:t>
      </w:r>
    </w:p>
    <w:p w:rsidR="00487D59" w:rsidRDefault="00487D59" w:rsidP="00487D59">
      <w:pPr>
        <w:pStyle w:val="Nessunaspaziatura"/>
        <w:spacing w:line="360" w:lineRule="auto"/>
        <w:jc w:val="right"/>
        <w:rPr>
          <w:rFonts w:ascii="Times New Roman" w:hAnsi="Times New Roman" w:cs="Times New Roman"/>
          <w:sz w:val="24"/>
          <w:szCs w:val="24"/>
        </w:rPr>
      </w:pPr>
      <w:r>
        <w:rPr>
          <w:rFonts w:ascii="Times New Roman" w:hAnsi="Times New Roman" w:cs="Times New Roman"/>
          <w:sz w:val="24"/>
          <w:szCs w:val="24"/>
        </w:rPr>
        <w:t>Funzionario del Consiglio di Stato</w:t>
      </w:r>
    </w:p>
    <w:p w:rsidR="00487D59" w:rsidRDefault="00487D59" w:rsidP="00487D59">
      <w:pPr>
        <w:pStyle w:val="Nessunaspaziatura"/>
        <w:spacing w:line="360" w:lineRule="auto"/>
        <w:jc w:val="right"/>
        <w:rPr>
          <w:rFonts w:ascii="Times New Roman" w:hAnsi="Times New Roman" w:cs="Times New Roman"/>
          <w:sz w:val="24"/>
          <w:szCs w:val="24"/>
        </w:rPr>
      </w:pPr>
    </w:p>
    <w:p w:rsidR="00487D59" w:rsidRPr="00607258" w:rsidRDefault="00487D59" w:rsidP="00487D59">
      <w:pPr>
        <w:pStyle w:val="Nessunaspaziatura"/>
        <w:spacing w:line="360" w:lineRule="auto"/>
        <w:jc w:val="right"/>
        <w:rPr>
          <w:rFonts w:ascii="Times New Roman" w:hAnsi="Times New Roman" w:cs="Times New Roman"/>
          <w:sz w:val="24"/>
          <w:szCs w:val="24"/>
        </w:rPr>
      </w:pPr>
      <w:r>
        <w:rPr>
          <w:rFonts w:ascii="Times New Roman" w:hAnsi="Times New Roman" w:cs="Times New Roman"/>
          <w:sz w:val="24"/>
          <w:szCs w:val="24"/>
        </w:rPr>
        <w:t>Pubblicato il 24 gennaio 2022</w:t>
      </w:r>
    </w:p>
    <w:p w:rsidR="00097471" w:rsidRPr="00125091" w:rsidRDefault="00097471" w:rsidP="00487D59">
      <w:pPr>
        <w:pStyle w:val="Nessunaspaziatura"/>
        <w:jc w:val="right"/>
        <w:rPr>
          <w:rFonts w:ascii="Times New Roman" w:hAnsi="Times New Roman" w:cs="Times New Roman"/>
          <w:sz w:val="24"/>
          <w:szCs w:val="24"/>
        </w:rPr>
      </w:pPr>
    </w:p>
    <w:p w:rsidR="00DB1090" w:rsidRPr="0082748E" w:rsidRDefault="00DB1090" w:rsidP="00AE7C56">
      <w:pPr>
        <w:pStyle w:val="Nessunaspaziatura"/>
        <w:rPr>
          <w:rFonts w:ascii="Times New Roman" w:hAnsi="Times New Roman" w:cs="Times New Roman"/>
          <w:sz w:val="24"/>
          <w:szCs w:val="24"/>
        </w:rPr>
      </w:pPr>
    </w:p>
    <w:p w:rsidR="00724DD1" w:rsidRPr="00821EDE" w:rsidRDefault="00724DD1" w:rsidP="00AE7C56">
      <w:pPr>
        <w:pStyle w:val="Nessunaspaziatura"/>
        <w:rPr>
          <w:rFonts w:cs="Times New Roman"/>
        </w:rPr>
      </w:pPr>
    </w:p>
    <w:p w:rsidR="00FB1DEE" w:rsidRPr="00821EDE" w:rsidRDefault="00FB1DEE" w:rsidP="00AE7C56">
      <w:pPr>
        <w:spacing w:line="240" w:lineRule="auto"/>
        <w:jc w:val="both"/>
        <w:rPr>
          <w:rFonts w:ascii="Times New Roman" w:hAnsi="Times New Roman" w:cs="Times New Roman"/>
          <w:sz w:val="24"/>
          <w:szCs w:val="24"/>
        </w:rPr>
      </w:pPr>
    </w:p>
    <w:p w:rsidR="00FB1DEE" w:rsidRPr="00821EDE" w:rsidRDefault="00FB1DEE" w:rsidP="00AE7C56">
      <w:pPr>
        <w:spacing w:line="240" w:lineRule="auto"/>
        <w:jc w:val="both"/>
        <w:rPr>
          <w:rFonts w:ascii="Times New Roman" w:hAnsi="Times New Roman" w:cs="Times New Roman"/>
          <w:sz w:val="24"/>
          <w:szCs w:val="24"/>
        </w:rPr>
      </w:pPr>
    </w:p>
    <w:p w:rsidR="00FB1DEE" w:rsidRPr="00821EDE" w:rsidRDefault="00FB1DEE" w:rsidP="00AE7C56">
      <w:pPr>
        <w:spacing w:line="240" w:lineRule="auto"/>
        <w:jc w:val="both"/>
        <w:rPr>
          <w:rFonts w:ascii="Times New Roman" w:hAnsi="Times New Roman" w:cs="Times New Roman"/>
          <w:sz w:val="24"/>
          <w:szCs w:val="24"/>
        </w:rPr>
      </w:pPr>
    </w:p>
    <w:sectPr w:rsidR="00FB1DEE" w:rsidRPr="00821ED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28E" w:rsidRDefault="002A328E" w:rsidP="00FB1DEE">
      <w:pPr>
        <w:spacing w:after="0" w:line="240" w:lineRule="auto"/>
      </w:pPr>
      <w:r>
        <w:separator/>
      </w:r>
    </w:p>
  </w:endnote>
  <w:endnote w:type="continuationSeparator" w:id="0">
    <w:p w:rsidR="002A328E" w:rsidRDefault="002A328E" w:rsidP="00FB1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28E" w:rsidRDefault="002A328E" w:rsidP="00FB1DEE">
      <w:pPr>
        <w:spacing w:after="0" w:line="240" w:lineRule="auto"/>
      </w:pPr>
      <w:r>
        <w:separator/>
      </w:r>
    </w:p>
  </w:footnote>
  <w:footnote w:type="continuationSeparator" w:id="0">
    <w:p w:rsidR="002A328E" w:rsidRDefault="002A328E" w:rsidP="00FB1DEE">
      <w:pPr>
        <w:spacing w:after="0" w:line="240" w:lineRule="auto"/>
      </w:pPr>
      <w:r>
        <w:continuationSeparator/>
      </w:r>
    </w:p>
  </w:footnote>
  <w:footnote w:id="1">
    <w:p w:rsidR="00FB1DEE" w:rsidRPr="007372FB" w:rsidRDefault="00FB1DEE"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L’elaborato rispecchia le opinioni dell’autore e non impegna l’Amministrazione di appartenenza.</w:t>
      </w:r>
    </w:p>
  </w:footnote>
  <w:footnote w:id="2">
    <w:p w:rsidR="000350DB" w:rsidRPr="007372FB" w:rsidRDefault="000350DB"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A. Travi, “Valore del precedente nella giustizia amministrativa”, in </w:t>
      </w:r>
      <w:r w:rsidRPr="007372FB">
        <w:rPr>
          <w:rFonts w:ascii="Times New Roman" w:hAnsi="Times New Roman" w:cs="Times New Roman"/>
          <w:i/>
        </w:rPr>
        <w:t>Principio di ragionevolezza delle decisioni giurisdizionali e diritto alla sicurezza giuridica</w:t>
      </w:r>
      <w:r w:rsidRPr="007372FB">
        <w:rPr>
          <w:rFonts w:ascii="Times New Roman" w:hAnsi="Times New Roman" w:cs="Times New Roman"/>
        </w:rPr>
        <w:t xml:space="preserve">, a cura di Fabio </w:t>
      </w:r>
      <w:proofErr w:type="spellStart"/>
      <w:r w:rsidRPr="007372FB">
        <w:rPr>
          <w:rFonts w:ascii="Times New Roman" w:hAnsi="Times New Roman" w:cs="Times New Roman"/>
        </w:rPr>
        <w:t>Francario</w:t>
      </w:r>
      <w:proofErr w:type="spellEnd"/>
      <w:r w:rsidRPr="007372FB">
        <w:rPr>
          <w:rFonts w:ascii="Times New Roman" w:hAnsi="Times New Roman" w:cs="Times New Roman"/>
        </w:rPr>
        <w:t xml:space="preserve"> e Maria Alessandra </w:t>
      </w:r>
      <w:proofErr w:type="spellStart"/>
      <w:r w:rsidRPr="007372FB">
        <w:rPr>
          <w:rFonts w:ascii="Times New Roman" w:hAnsi="Times New Roman" w:cs="Times New Roman"/>
        </w:rPr>
        <w:t>Sandulli</w:t>
      </w:r>
      <w:proofErr w:type="spellEnd"/>
      <w:r w:rsidRPr="007372FB">
        <w:rPr>
          <w:rFonts w:ascii="Times New Roman" w:hAnsi="Times New Roman" w:cs="Times New Roman"/>
        </w:rPr>
        <w:t>, Editoriale Scientifica Napoli, 2018</w:t>
      </w:r>
      <w:r w:rsidR="00D016A9" w:rsidRPr="007372FB">
        <w:rPr>
          <w:rFonts w:ascii="Times New Roman" w:hAnsi="Times New Roman" w:cs="Times New Roman"/>
        </w:rPr>
        <w:t>, pp. 109-126</w:t>
      </w:r>
      <w:r w:rsidRPr="007372FB">
        <w:rPr>
          <w:rFonts w:ascii="Times New Roman" w:hAnsi="Times New Roman" w:cs="Times New Roman"/>
        </w:rPr>
        <w:t>.</w:t>
      </w:r>
    </w:p>
  </w:footnote>
  <w:footnote w:id="3">
    <w:p w:rsidR="00E4097A" w:rsidRPr="007372FB" w:rsidRDefault="00E4097A"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M. </w:t>
      </w:r>
      <w:proofErr w:type="spellStart"/>
      <w:r w:rsidRPr="007372FB">
        <w:rPr>
          <w:rFonts w:ascii="Times New Roman" w:hAnsi="Times New Roman" w:cs="Times New Roman"/>
        </w:rPr>
        <w:t>Taruffo</w:t>
      </w:r>
      <w:proofErr w:type="spellEnd"/>
      <w:r w:rsidRPr="007372FB">
        <w:rPr>
          <w:rFonts w:ascii="Times New Roman" w:hAnsi="Times New Roman" w:cs="Times New Roman"/>
        </w:rPr>
        <w:t xml:space="preserve">, </w:t>
      </w:r>
      <w:r w:rsidRPr="007372FB">
        <w:rPr>
          <w:rFonts w:ascii="Times New Roman" w:hAnsi="Times New Roman" w:cs="Times New Roman"/>
          <w:i/>
        </w:rPr>
        <w:t>Precedente e Giurisprudenza</w:t>
      </w:r>
      <w:r w:rsidRPr="007372FB">
        <w:rPr>
          <w:rFonts w:ascii="Times New Roman" w:hAnsi="Times New Roman" w:cs="Times New Roman"/>
        </w:rPr>
        <w:t>, 13, Napoli 2007</w:t>
      </w:r>
    </w:p>
  </w:footnote>
  <w:footnote w:id="4">
    <w:p w:rsidR="00A33D41" w:rsidRPr="007372FB" w:rsidRDefault="00A33D41"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r w:rsidR="00D016A9" w:rsidRPr="007372FB">
        <w:rPr>
          <w:rFonts w:ascii="Times New Roman" w:hAnsi="Times New Roman" w:cs="Times New Roman"/>
        </w:rPr>
        <w:t xml:space="preserve">A. </w:t>
      </w:r>
      <w:proofErr w:type="spellStart"/>
      <w:r w:rsidR="00D016A9" w:rsidRPr="007372FB">
        <w:rPr>
          <w:rFonts w:ascii="Times New Roman" w:hAnsi="Times New Roman" w:cs="Times New Roman"/>
        </w:rPr>
        <w:t>Lamorgese</w:t>
      </w:r>
      <w:proofErr w:type="spellEnd"/>
      <w:r w:rsidR="00D016A9" w:rsidRPr="007372FB">
        <w:rPr>
          <w:rFonts w:ascii="Times New Roman" w:hAnsi="Times New Roman" w:cs="Times New Roman"/>
        </w:rPr>
        <w:t xml:space="preserve">, “L’interpretazione creativa e il valore del precedente nella giurisdizione ordinaria”, in </w:t>
      </w:r>
      <w:r w:rsidR="00D016A9" w:rsidRPr="007372FB">
        <w:rPr>
          <w:rFonts w:ascii="Times New Roman" w:hAnsi="Times New Roman" w:cs="Times New Roman"/>
          <w:i/>
        </w:rPr>
        <w:t>Principio di ragionevolezza delle decisioni giurisdizionali e diritto alla sicurezza giuridica</w:t>
      </w:r>
      <w:r w:rsidR="00D016A9" w:rsidRPr="007372FB">
        <w:rPr>
          <w:rFonts w:ascii="Times New Roman" w:hAnsi="Times New Roman" w:cs="Times New Roman"/>
        </w:rPr>
        <w:t xml:space="preserve">, a cura di Fabio </w:t>
      </w:r>
      <w:proofErr w:type="spellStart"/>
      <w:r w:rsidR="00D016A9" w:rsidRPr="007372FB">
        <w:rPr>
          <w:rFonts w:ascii="Times New Roman" w:hAnsi="Times New Roman" w:cs="Times New Roman"/>
        </w:rPr>
        <w:t>Francario</w:t>
      </w:r>
      <w:proofErr w:type="spellEnd"/>
      <w:r w:rsidR="00D016A9" w:rsidRPr="007372FB">
        <w:rPr>
          <w:rFonts w:ascii="Times New Roman" w:hAnsi="Times New Roman" w:cs="Times New Roman"/>
        </w:rPr>
        <w:t xml:space="preserve"> e Maria Alessandra </w:t>
      </w:r>
      <w:proofErr w:type="spellStart"/>
      <w:r w:rsidR="00D016A9" w:rsidRPr="007372FB">
        <w:rPr>
          <w:rFonts w:ascii="Times New Roman" w:hAnsi="Times New Roman" w:cs="Times New Roman"/>
        </w:rPr>
        <w:t>Sandulli</w:t>
      </w:r>
      <w:proofErr w:type="spellEnd"/>
      <w:r w:rsidR="00D016A9" w:rsidRPr="007372FB">
        <w:rPr>
          <w:rFonts w:ascii="Times New Roman" w:hAnsi="Times New Roman" w:cs="Times New Roman"/>
        </w:rPr>
        <w:t xml:space="preserve">, Editoriale Scientifica Napoli, 2018, pp. 127-141. </w:t>
      </w:r>
    </w:p>
  </w:footnote>
  <w:footnote w:id="5">
    <w:p w:rsidR="0027485D" w:rsidRPr="007372FB" w:rsidRDefault="0027485D"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r w:rsidR="00863530" w:rsidRPr="007372FB">
        <w:rPr>
          <w:rFonts w:ascii="Times New Roman" w:hAnsi="Times New Roman" w:cs="Times New Roman"/>
        </w:rPr>
        <w:t xml:space="preserve">L. Viola, </w:t>
      </w:r>
      <w:proofErr w:type="spellStart"/>
      <w:r w:rsidRPr="007372FB">
        <w:rPr>
          <w:rFonts w:ascii="Times New Roman" w:hAnsi="Times New Roman" w:cs="Times New Roman"/>
          <w:i/>
        </w:rPr>
        <w:t>Overruling</w:t>
      </w:r>
      <w:proofErr w:type="spellEnd"/>
      <w:r w:rsidRPr="007372FB">
        <w:rPr>
          <w:rFonts w:ascii="Times New Roman" w:hAnsi="Times New Roman" w:cs="Times New Roman"/>
          <w:i/>
        </w:rPr>
        <w:t xml:space="preserve"> e giustizia predittiva</w:t>
      </w:r>
      <w:r w:rsidRPr="007372FB">
        <w:rPr>
          <w:rFonts w:ascii="Times New Roman" w:hAnsi="Times New Roman" w:cs="Times New Roman"/>
        </w:rPr>
        <w:t xml:space="preserve">, p. 82, </w:t>
      </w:r>
      <w:proofErr w:type="spellStart"/>
      <w:r w:rsidRPr="007372FB">
        <w:rPr>
          <w:rFonts w:ascii="Times New Roman" w:hAnsi="Times New Roman" w:cs="Times New Roman"/>
        </w:rPr>
        <w:t>Giuffrè</w:t>
      </w:r>
      <w:proofErr w:type="spellEnd"/>
      <w:r w:rsidRPr="007372FB">
        <w:rPr>
          <w:rFonts w:ascii="Times New Roman" w:hAnsi="Times New Roman" w:cs="Times New Roman"/>
        </w:rPr>
        <w:t xml:space="preserve"> Francis Lefebvre, 2020</w:t>
      </w:r>
    </w:p>
  </w:footnote>
  <w:footnote w:id="6">
    <w:p w:rsidR="00D016A9" w:rsidRPr="007372FB" w:rsidRDefault="00A677F7"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r w:rsidR="00D016A9" w:rsidRPr="007372FB">
        <w:rPr>
          <w:rFonts w:ascii="Times New Roman" w:hAnsi="Times New Roman" w:cs="Times New Roman"/>
        </w:rPr>
        <w:t xml:space="preserve"> R. </w:t>
      </w:r>
      <w:r w:rsidRPr="007372FB">
        <w:rPr>
          <w:rFonts w:ascii="Times New Roman" w:hAnsi="Times New Roman" w:cs="Times New Roman"/>
        </w:rPr>
        <w:t>Bin</w:t>
      </w:r>
      <w:r w:rsidR="00D016A9" w:rsidRPr="007372FB">
        <w:rPr>
          <w:rFonts w:ascii="Times New Roman" w:hAnsi="Times New Roman" w:cs="Times New Roman"/>
        </w:rPr>
        <w:t xml:space="preserve">, “Il diritto alla sicurezza giuridica come diritto fondamentale”, in </w:t>
      </w:r>
      <w:r w:rsidR="00D016A9" w:rsidRPr="007372FB">
        <w:rPr>
          <w:rFonts w:ascii="Times New Roman" w:hAnsi="Times New Roman" w:cs="Times New Roman"/>
          <w:i/>
        </w:rPr>
        <w:t>Principio di ragionevolezza delle decisioni giurisdizionali e diritto alla sicurezza giuridica</w:t>
      </w:r>
      <w:r w:rsidR="00D016A9" w:rsidRPr="007372FB">
        <w:rPr>
          <w:rFonts w:ascii="Times New Roman" w:hAnsi="Times New Roman" w:cs="Times New Roman"/>
        </w:rPr>
        <w:t xml:space="preserve">, a cura di Fabio </w:t>
      </w:r>
      <w:proofErr w:type="spellStart"/>
      <w:r w:rsidR="00D016A9" w:rsidRPr="007372FB">
        <w:rPr>
          <w:rFonts w:ascii="Times New Roman" w:hAnsi="Times New Roman" w:cs="Times New Roman"/>
        </w:rPr>
        <w:t>Francario</w:t>
      </w:r>
      <w:proofErr w:type="spellEnd"/>
      <w:r w:rsidR="00D016A9" w:rsidRPr="007372FB">
        <w:rPr>
          <w:rFonts w:ascii="Times New Roman" w:hAnsi="Times New Roman" w:cs="Times New Roman"/>
        </w:rPr>
        <w:t xml:space="preserve"> e Maria Alessandra </w:t>
      </w:r>
      <w:proofErr w:type="spellStart"/>
      <w:r w:rsidR="00D016A9" w:rsidRPr="007372FB">
        <w:rPr>
          <w:rFonts w:ascii="Times New Roman" w:hAnsi="Times New Roman" w:cs="Times New Roman"/>
        </w:rPr>
        <w:t>Sandulli</w:t>
      </w:r>
      <w:proofErr w:type="spellEnd"/>
      <w:r w:rsidR="00D016A9" w:rsidRPr="007372FB">
        <w:rPr>
          <w:rFonts w:ascii="Times New Roman" w:hAnsi="Times New Roman" w:cs="Times New Roman"/>
        </w:rPr>
        <w:t>, Editoriale Scientifica Napoli, 2018, pp. 29-46.</w:t>
      </w:r>
    </w:p>
    <w:p w:rsidR="00A677F7" w:rsidRPr="007372FB" w:rsidRDefault="00A677F7" w:rsidP="003A646D">
      <w:pPr>
        <w:pStyle w:val="Testonotaapidipagina"/>
        <w:jc w:val="both"/>
        <w:rPr>
          <w:rFonts w:ascii="Times New Roman" w:hAnsi="Times New Roman" w:cs="Times New Roman"/>
        </w:rPr>
      </w:pPr>
    </w:p>
  </w:footnote>
  <w:footnote w:id="7">
    <w:p w:rsidR="009C0B3D" w:rsidRPr="007372FB" w:rsidRDefault="009C0B3D"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R. Conti, “</w:t>
      </w:r>
      <w:proofErr w:type="spellStart"/>
      <w:r w:rsidRPr="007372FB">
        <w:rPr>
          <w:rFonts w:ascii="Times New Roman" w:hAnsi="Times New Roman" w:cs="Times New Roman"/>
        </w:rPr>
        <w:t>Overruling</w:t>
      </w:r>
      <w:proofErr w:type="spellEnd"/>
      <w:r w:rsidRPr="007372FB">
        <w:rPr>
          <w:rFonts w:ascii="Times New Roman" w:hAnsi="Times New Roman" w:cs="Times New Roman"/>
        </w:rPr>
        <w:t xml:space="preserve"> giurisprudenziale e tutela della certezza del diritto”, in </w:t>
      </w:r>
      <w:r w:rsidRPr="007372FB">
        <w:rPr>
          <w:rFonts w:ascii="Times New Roman" w:hAnsi="Times New Roman" w:cs="Times New Roman"/>
          <w:i/>
        </w:rPr>
        <w:t>Dialogando sui diritti, Corte di Cassazione e CEDU a confronto</w:t>
      </w:r>
      <w:r w:rsidRPr="007372FB">
        <w:rPr>
          <w:rFonts w:ascii="Times New Roman" w:hAnsi="Times New Roman" w:cs="Times New Roman"/>
        </w:rPr>
        <w:t>, Editoriale Scientifica Napoli, 2016, pp. 183-192;</w:t>
      </w:r>
    </w:p>
  </w:footnote>
  <w:footnote w:id="8">
    <w:p w:rsidR="003E5BD0" w:rsidRPr="007372FB" w:rsidRDefault="003E5BD0"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Sentenza del 18 dicembre 2008, sez. V, causa UNEDIC c. Francia</w:t>
      </w:r>
      <w:r w:rsidR="009C0B3D" w:rsidRPr="007372FB">
        <w:rPr>
          <w:rFonts w:ascii="Times New Roman" w:hAnsi="Times New Roman" w:cs="Times New Roman"/>
        </w:rPr>
        <w:t>;</w:t>
      </w:r>
    </w:p>
  </w:footnote>
  <w:footnote w:id="9">
    <w:p w:rsidR="009C0B3D" w:rsidRPr="007372FB" w:rsidRDefault="009C0B3D" w:rsidP="002C6435">
      <w:pPr>
        <w:pStyle w:val="Titolo2"/>
        <w:shd w:val="clear" w:color="auto" w:fill="FFFFFF"/>
        <w:spacing w:before="0" w:beforeAutospacing="0" w:after="0" w:afterAutospacing="0"/>
        <w:rPr>
          <w:rFonts w:eastAsiaTheme="minorHAnsi"/>
          <w:b w:val="0"/>
          <w:bCs w:val="0"/>
          <w:sz w:val="20"/>
          <w:szCs w:val="20"/>
          <w:lang w:eastAsia="en-US"/>
        </w:rPr>
      </w:pPr>
      <w:r w:rsidRPr="007372FB">
        <w:rPr>
          <w:rFonts w:eastAsiaTheme="minorHAnsi"/>
          <w:b w:val="0"/>
          <w:bCs w:val="0"/>
          <w:sz w:val="20"/>
          <w:szCs w:val="20"/>
          <w:lang w:eastAsia="en-US"/>
        </w:rPr>
        <w:footnoteRef/>
      </w:r>
      <w:r w:rsidR="002C6435" w:rsidRPr="007372FB">
        <w:rPr>
          <w:rFonts w:eastAsiaTheme="minorHAnsi"/>
          <w:b w:val="0"/>
          <w:bCs w:val="0"/>
          <w:sz w:val="20"/>
          <w:szCs w:val="20"/>
          <w:lang w:eastAsia="en-US"/>
        </w:rPr>
        <w:t xml:space="preserve"> Sentenza del 16 settembre 2014, Ricorso n.36167/07 - </w:t>
      </w:r>
      <w:proofErr w:type="spellStart"/>
      <w:r w:rsidR="002C6435" w:rsidRPr="007372FB">
        <w:rPr>
          <w:rFonts w:eastAsiaTheme="minorHAnsi"/>
          <w:b w:val="0"/>
          <w:bCs w:val="0"/>
          <w:i/>
          <w:sz w:val="20"/>
          <w:szCs w:val="20"/>
          <w:lang w:eastAsia="en-US"/>
        </w:rPr>
        <w:t>Sepe</w:t>
      </w:r>
      <w:proofErr w:type="spellEnd"/>
      <w:r w:rsidR="002C6435" w:rsidRPr="007372FB">
        <w:rPr>
          <w:rFonts w:eastAsiaTheme="minorHAnsi"/>
          <w:b w:val="0"/>
          <w:bCs w:val="0"/>
          <w:i/>
          <w:sz w:val="20"/>
          <w:szCs w:val="20"/>
          <w:lang w:eastAsia="en-US"/>
        </w:rPr>
        <w:t xml:space="preserve"> e Di Leta c. Italia</w:t>
      </w:r>
      <w:r w:rsidR="002C6435" w:rsidRPr="007372FB">
        <w:rPr>
          <w:rFonts w:eastAsiaTheme="minorHAnsi"/>
          <w:b w:val="0"/>
          <w:bCs w:val="0"/>
          <w:sz w:val="20"/>
          <w:szCs w:val="20"/>
          <w:lang w:eastAsia="en-US"/>
        </w:rPr>
        <w:t>, r</w:t>
      </w:r>
      <w:r w:rsidRPr="007372FB">
        <w:rPr>
          <w:rFonts w:eastAsiaTheme="minorHAnsi"/>
          <w:b w:val="0"/>
          <w:bCs w:val="0"/>
          <w:sz w:val="20"/>
          <w:szCs w:val="20"/>
          <w:lang w:eastAsia="en-US"/>
        </w:rPr>
        <w:t xml:space="preserve">eperibile, in lingua italiana, tra gli altri, sul sito del Ministero della Giustizia al seguente </w:t>
      </w:r>
      <w:r w:rsidRPr="007372FB">
        <w:rPr>
          <w:rFonts w:eastAsiaTheme="minorHAnsi"/>
          <w:b w:val="0"/>
          <w:bCs w:val="0"/>
          <w:i/>
          <w:sz w:val="20"/>
          <w:szCs w:val="20"/>
          <w:lang w:eastAsia="en-US"/>
        </w:rPr>
        <w:t>link:</w:t>
      </w:r>
      <w:r w:rsidRPr="007372FB">
        <w:rPr>
          <w:rFonts w:eastAsiaTheme="minorHAnsi"/>
          <w:b w:val="0"/>
          <w:bCs w:val="0"/>
          <w:sz w:val="20"/>
          <w:szCs w:val="20"/>
          <w:lang w:eastAsia="en-US"/>
        </w:rPr>
        <w:t xml:space="preserve"> </w:t>
      </w:r>
      <w:hyperlink r:id="rId1" w:history="1">
        <w:r w:rsidR="002C6435" w:rsidRPr="007372FB">
          <w:rPr>
            <w:rStyle w:val="Collegamentoipertestuale"/>
            <w:rFonts w:eastAsiaTheme="minorHAnsi"/>
            <w:b w:val="0"/>
            <w:bCs w:val="0"/>
            <w:sz w:val="20"/>
            <w:szCs w:val="20"/>
            <w:lang w:eastAsia="en-US"/>
          </w:rPr>
          <w:t>https://www.giustizia.it/giustizia/it/mg_1_20_1.page?facetNode_1=1_2%282014%29&amp;facetNode_2=1_2%28201409%29&amp;facetNode_3=0_8_1_5&amp;contentId=SDU1070546&amp;previsiousPage=mg_1_20#</w:t>
        </w:r>
      </w:hyperlink>
      <w:r w:rsidR="002C6435" w:rsidRPr="007372FB">
        <w:rPr>
          <w:rFonts w:eastAsiaTheme="minorHAnsi"/>
          <w:b w:val="0"/>
          <w:bCs w:val="0"/>
          <w:sz w:val="20"/>
          <w:szCs w:val="20"/>
          <w:lang w:eastAsia="en-US"/>
        </w:rPr>
        <w:t xml:space="preserve"> </w:t>
      </w:r>
    </w:p>
  </w:footnote>
  <w:footnote w:id="10">
    <w:p w:rsidR="00BC0BE4" w:rsidRPr="007372FB" w:rsidRDefault="00BC0BE4" w:rsidP="003A646D">
      <w:pPr>
        <w:pStyle w:val="Testonotaapidipagina"/>
        <w:jc w:val="both"/>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L. Viola, </w:t>
      </w:r>
      <w:r w:rsidRPr="007372FB">
        <w:rPr>
          <w:rFonts w:ascii="Times New Roman" w:hAnsi="Times New Roman" w:cs="Times New Roman"/>
          <w:i/>
        </w:rPr>
        <w:t xml:space="preserve">op. cit. </w:t>
      </w:r>
    </w:p>
  </w:footnote>
  <w:footnote w:id="11">
    <w:p w:rsidR="0099196D" w:rsidRPr="007372FB" w:rsidRDefault="0099196D" w:rsidP="003A646D">
      <w:pPr>
        <w:pStyle w:val="Testonotaapidipagina"/>
        <w:jc w:val="both"/>
        <w:rPr>
          <w:rFonts w:ascii="Times New Roman" w:hAnsi="Times New Roman" w:cs="Times New Roman"/>
          <w:lang w:val="x-none"/>
        </w:rPr>
      </w:pPr>
      <w:r w:rsidRPr="007372FB">
        <w:rPr>
          <w:rStyle w:val="Rimandonotaapidipagina"/>
          <w:rFonts w:ascii="Times New Roman" w:hAnsi="Times New Roman" w:cs="Times New Roman"/>
        </w:rPr>
        <w:footnoteRef/>
      </w:r>
      <w:r w:rsidR="008B380A" w:rsidRPr="007372FB">
        <w:rPr>
          <w:rFonts w:ascii="Times New Roman" w:hAnsi="Times New Roman" w:cs="Times New Roman"/>
        </w:rPr>
        <w:t xml:space="preserve"> M.</w:t>
      </w:r>
      <w:r w:rsidRPr="007372FB">
        <w:rPr>
          <w:rFonts w:ascii="Times New Roman" w:hAnsi="Times New Roman" w:cs="Times New Roman"/>
        </w:rPr>
        <w:t xml:space="preserve"> Magnarelli, “</w:t>
      </w:r>
      <w:r w:rsidRPr="007372FB">
        <w:rPr>
          <w:rFonts w:ascii="Times New Roman" w:hAnsi="Times New Roman" w:cs="Times New Roman"/>
          <w:i/>
        </w:rPr>
        <w:t>L’</w:t>
      </w:r>
      <w:proofErr w:type="spellStart"/>
      <w:r w:rsidRPr="007372FB">
        <w:rPr>
          <w:rFonts w:ascii="Times New Roman" w:hAnsi="Times New Roman" w:cs="Times New Roman"/>
          <w:i/>
        </w:rPr>
        <w:t>overruling</w:t>
      </w:r>
      <w:proofErr w:type="spellEnd"/>
      <w:r w:rsidRPr="007372FB">
        <w:rPr>
          <w:rFonts w:ascii="Times New Roman" w:hAnsi="Times New Roman" w:cs="Times New Roman"/>
          <w:i/>
        </w:rPr>
        <w:t xml:space="preserve"> tra teoria generale e diritto amministrativo</w:t>
      </w:r>
      <w:r w:rsidRPr="007372FB">
        <w:rPr>
          <w:rFonts w:ascii="Times New Roman" w:hAnsi="Times New Roman" w:cs="Times New Roman"/>
        </w:rPr>
        <w:t xml:space="preserve">”, in </w:t>
      </w:r>
      <w:hyperlink r:id="rId2" w:history="1">
        <w:r w:rsidRPr="007372FB">
          <w:rPr>
            <w:rStyle w:val="Collegamentoipertestuale"/>
            <w:rFonts w:ascii="Times New Roman" w:hAnsi="Times New Roman" w:cs="Times New Roman"/>
          </w:rPr>
          <w:t>www.ildirittoamministrativo.it</w:t>
        </w:r>
      </w:hyperlink>
      <w:r w:rsidRPr="007372FB">
        <w:rPr>
          <w:rFonts w:ascii="Times New Roman" w:hAnsi="Times New Roman" w:cs="Times New Roman"/>
        </w:rPr>
        <w:t xml:space="preserve">, in </w:t>
      </w:r>
      <w:r w:rsidR="00BC0BE4" w:rsidRPr="007372FB">
        <w:rPr>
          <w:rFonts w:ascii="Times New Roman" w:hAnsi="Times New Roman" w:cs="Times New Roman"/>
        </w:rPr>
        <w:t xml:space="preserve">   </w:t>
      </w:r>
      <w:r w:rsidRPr="007372FB">
        <w:rPr>
          <w:rFonts w:ascii="Times New Roman" w:hAnsi="Times New Roman" w:cs="Times New Roman"/>
        </w:rPr>
        <w:t>cui l’autore porta come esempio quello della clausola penale di cui all’art. 1384 c.c. sulla riduzione della</w:t>
      </w:r>
      <w:r w:rsidR="00BC0BE4" w:rsidRPr="007372FB">
        <w:rPr>
          <w:rFonts w:ascii="Times New Roman" w:hAnsi="Times New Roman" w:cs="Times New Roman"/>
        </w:rPr>
        <w:t xml:space="preserve"> </w:t>
      </w:r>
      <w:r w:rsidR="00D02567" w:rsidRPr="007372FB">
        <w:rPr>
          <w:rFonts w:ascii="Times New Roman" w:hAnsi="Times New Roman" w:cs="Times New Roman"/>
        </w:rPr>
        <w:t>P</w:t>
      </w:r>
      <w:r w:rsidRPr="007372FB">
        <w:rPr>
          <w:rFonts w:ascii="Times New Roman" w:hAnsi="Times New Roman" w:cs="Times New Roman"/>
        </w:rPr>
        <w:t>enale</w:t>
      </w:r>
      <w:r w:rsidR="00D02567" w:rsidRPr="007372FB">
        <w:rPr>
          <w:rFonts w:ascii="Times New Roman" w:hAnsi="Times New Roman" w:cs="Times New Roman"/>
        </w:rPr>
        <w:t>: “</w:t>
      </w:r>
      <w:r w:rsidRPr="007372FB">
        <w:rPr>
          <w:rFonts w:ascii="Times New Roman" w:hAnsi="Times New Roman" w:cs="Times New Roman"/>
          <w:i/>
        </w:rPr>
        <w:t>La norma è stata oggetto dell’attenzione della Cassazione che in definitiva ha stabilito, in</w:t>
      </w:r>
      <w:r w:rsidR="00BC0BE4" w:rsidRPr="007372FB">
        <w:rPr>
          <w:rFonts w:ascii="Times New Roman" w:hAnsi="Times New Roman" w:cs="Times New Roman"/>
          <w:i/>
        </w:rPr>
        <w:t xml:space="preserve"> </w:t>
      </w:r>
      <w:r w:rsidRPr="007372FB">
        <w:rPr>
          <w:rFonts w:ascii="Times New Roman" w:hAnsi="Times New Roman" w:cs="Times New Roman"/>
          <w:i/>
        </w:rPr>
        <w:t>contrasto con l’ordinamento all’epoca dominante, la possibilità di ridurre d’ufficio la penale</w:t>
      </w:r>
      <w:r w:rsidR="00BC0BE4" w:rsidRPr="007372FB">
        <w:rPr>
          <w:rFonts w:ascii="Times New Roman" w:hAnsi="Times New Roman" w:cs="Times New Roman"/>
          <w:i/>
        </w:rPr>
        <w:t xml:space="preserve"> </w:t>
      </w:r>
      <w:r w:rsidRPr="007372FB">
        <w:rPr>
          <w:rFonts w:ascii="Times New Roman" w:hAnsi="Times New Roman" w:cs="Times New Roman"/>
          <w:i/>
        </w:rPr>
        <w:t>manifestamente eccessiva. La congruità, tra lo scambio del contratto e la clausola penale, ha</w:t>
      </w:r>
      <w:r w:rsidR="00BC0BE4" w:rsidRPr="007372FB">
        <w:rPr>
          <w:rFonts w:ascii="Times New Roman" w:hAnsi="Times New Roman" w:cs="Times New Roman"/>
          <w:i/>
        </w:rPr>
        <w:t xml:space="preserve"> </w:t>
      </w:r>
      <w:r w:rsidRPr="007372FB">
        <w:rPr>
          <w:rFonts w:ascii="Times New Roman" w:hAnsi="Times New Roman" w:cs="Times New Roman"/>
          <w:i/>
        </w:rPr>
        <w:t>ovviamente natura sostanziale, ma nel momento in cui si discute della rilevabilità d’ufficio di</w:t>
      </w:r>
      <w:r w:rsidR="00BC0BE4" w:rsidRPr="007372FB">
        <w:rPr>
          <w:rFonts w:ascii="Times New Roman" w:hAnsi="Times New Roman" w:cs="Times New Roman"/>
          <w:i/>
        </w:rPr>
        <w:t xml:space="preserve"> </w:t>
      </w:r>
      <w:r w:rsidRPr="007372FB">
        <w:rPr>
          <w:rFonts w:ascii="Times New Roman" w:hAnsi="Times New Roman" w:cs="Times New Roman"/>
          <w:i/>
        </w:rPr>
        <w:t>questa, allora il problema si sposta sul piano processuale</w:t>
      </w:r>
      <w:r w:rsidR="00D02567" w:rsidRPr="007372FB">
        <w:rPr>
          <w:rFonts w:ascii="Times New Roman" w:hAnsi="Times New Roman" w:cs="Times New Roman"/>
        </w:rPr>
        <w:t>”</w:t>
      </w:r>
      <w:r w:rsidRPr="007372FB">
        <w:rPr>
          <w:rFonts w:ascii="Times New Roman" w:hAnsi="Times New Roman" w:cs="Times New Roman"/>
        </w:rPr>
        <w:t>.</w:t>
      </w:r>
    </w:p>
  </w:footnote>
  <w:footnote w:id="12">
    <w:p w:rsidR="008B380A" w:rsidRPr="007372FB" w:rsidRDefault="008B380A"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F. </w:t>
      </w:r>
      <w:proofErr w:type="spellStart"/>
      <w:r w:rsidRPr="007372FB">
        <w:rPr>
          <w:rFonts w:ascii="Times New Roman" w:hAnsi="Times New Roman" w:cs="Times New Roman"/>
        </w:rPr>
        <w:t>Saitta</w:t>
      </w:r>
      <w:proofErr w:type="spellEnd"/>
      <w:r w:rsidRPr="007372FB">
        <w:rPr>
          <w:rFonts w:ascii="Times New Roman" w:hAnsi="Times New Roman" w:cs="Times New Roman"/>
        </w:rPr>
        <w:t xml:space="preserve">, “Prevedibilità delle decisioni del giudice amministrativo e </w:t>
      </w:r>
      <w:proofErr w:type="spellStart"/>
      <w:r w:rsidRPr="007372FB">
        <w:rPr>
          <w:rFonts w:ascii="Times New Roman" w:hAnsi="Times New Roman" w:cs="Times New Roman"/>
        </w:rPr>
        <w:t>prospective</w:t>
      </w:r>
      <w:proofErr w:type="spellEnd"/>
      <w:r w:rsidRPr="007372FB">
        <w:rPr>
          <w:rFonts w:ascii="Times New Roman" w:hAnsi="Times New Roman" w:cs="Times New Roman"/>
        </w:rPr>
        <w:t xml:space="preserve"> </w:t>
      </w:r>
      <w:proofErr w:type="spellStart"/>
      <w:r w:rsidRPr="007372FB">
        <w:rPr>
          <w:rFonts w:ascii="Times New Roman" w:hAnsi="Times New Roman" w:cs="Times New Roman"/>
        </w:rPr>
        <w:t>overruling</w:t>
      </w:r>
      <w:proofErr w:type="spellEnd"/>
      <w:r w:rsidRPr="007372FB">
        <w:rPr>
          <w:rFonts w:ascii="Times New Roman" w:hAnsi="Times New Roman" w:cs="Times New Roman"/>
        </w:rPr>
        <w:t xml:space="preserve">”, in </w:t>
      </w:r>
      <w:r w:rsidR="006A1E3B" w:rsidRPr="007372FB">
        <w:rPr>
          <w:rFonts w:ascii="Times New Roman" w:hAnsi="Times New Roman" w:cs="Times New Roman"/>
          <w:i/>
        </w:rPr>
        <w:t xml:space="preserve">Diritto e processo amministrativo: Giornate di studio in onore di Enrico </w:t>
      </w:r>
      <w:proofErr w:type="spellStart"/>
      <w:r w:rsidR="006A1E3B" w:rsidRPr="007372FB">
        <w:rPr>
          <w:rFonts w:ascii="Times New Roman" w:hAnsi="Times New Roman" w:cs="Times New Roman"/>
          <w:i/>
        </w:rPr>
        <w:t>Follieri</w:t>
      </w:r>
      <w:proofErr w:type="spellEnd"/>
      <w:r w:rsidR="006A1E3B" w:rsidRPr="007372FB">
        <w:rPr>
          <w:rFonts w:ascii="Times New Roman" w:hAnsi="Times New Roman" w:cs="Times New Roman"/>
          <w:i/>
        </w:rPr>
        <w:t>, Atti del Convegno, Tomo 1</w:t>
      </w:r>
      <w:r w:rsidR="006A1E3B" w:rsidRPr="007372FB">
        <w:rPr>
          <w:rFonts w:ascii="Times New Roman" w:hAnsi="Times New Roman" w:cs="Times New Roman"/>
        </w:rPr>
        <w:t>, a cura di Vera Fanti, 2019, pp. 619-632</w:t>
      </w:r>
    </w:p>
  </w:footnote>
  <w:footnote w:id="13">
    <w:p w:rsidR="00DB1090" w:rsidRPr="007372FB" w:rsidRDefault="00DB1090"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M. </w:t>
      </w:r>
      <w:proofErr w:type="spellStart"/>
      <w:r w:rsidRPr="007372FB">
        <w:rPr>
          <w:rFonts w:ascii="Times New Roman" w:hAnsi="Times New Roman" w:cs="Times New Roman"/>
        </w:rPr>
        <w:t>Pellicciari</w:t>
      </w:r>
      <w:proofErr w:type="spellEnd"/>
      <w:r w:rsidRPr="007372FB">
        <w:rPr>
          <w:rFonts w:ascii="Times New Roman" w:hAnsi="Times New Roman" w:cs="Times New Roman"/>
        </w:rPr>
        <w:t>, “</w:t>
      </w:r>
      <w:proofErr w:type="spellStart"/>
      <w:r w:rsidRPr="007372FB">
        <w:rPr>
          <w:rFonts w:ascii="Times New Roman" w:hAnsi="Times New Roman" w:cs="Times New Roman"/>
        </w:rPr>
        <w:t>Overruling</w:t>
      </w:r>
      <w:proofErr w:type="spellEnd"/>
      <w:r w:rsidRPr="007372FB">
        <w:rPr>
          <w:rFonts w:ascii="Times New Roman" w:hAnsi="Times New Roman" w:cs="Times New Roman"/>
        </w:rPr>
        <w:t xml:space="preserve"> sostanziale e processuale: una essenziale distinzione”, in </w:t>
      </w:r>
      <w:r w:rsidRPr="007372FB">
        <w:rPr>
          <w:rFonts w:ascii="Times New Roman" w:hAnsi="Times New Roman" w:cs="Times New Roman"/>
          <w:i/>
        </w:rPr>
        <w:t>Diritto processuale del lavoro</w:t>
      </w:r>
      <w:r w:rsidRPr="007372FB">
        <w:rPr>
          <w:rFonts w:ascii="Times New Roman" w:hAnsi="Times New Roman" w:cs="Times New Roman"/>
        </w:rPr>
        <w:t>, Numero 5, maggio 2016, pp. 317-320.</w:t>
      </w:r>
    </w:p>
  </w:footnote>
  <w:footnote w:id="14">
    <w:p w:rsidR="003A646D" w:rsidRPr="007372FB" w:rsidRDefault="003A646D"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Sull’operatività del </w:t>
      </w:r>
      <w:proofErr w:type="spellStart"/>
      <w:r w:rsidRPr="004A5250">
        <w:rPr>
          <w:rFonts w:ascii="Times New Roman" w:hAnsi="Times New Roman" w:cs="Times New Roman"/>
          <w:i/>
        </w:rPr>
        <w:t>prospective</w:t>
      </w:r>
      <w:proofErr w:type="spellEnd"/>
      <w:r w:rsidRPr="004A5250">
        <w:rPr>
          <w:rFonts w:ascii="Times New Roman" w:hAnsi="Times New Roman" w:cs="Times New Roman"/>
          <w:i/>
        </w:rPr>
        <w:t xml:space="preserve"> </w:t>
      </w:r>
      <w:proofErr w:type="spellStart"/>
      <w:r w:rsidRPr="004A5250">
        <w:rPr>
          <w:rFonts w:ascii="Times New Roman" w:hAnsi="Times New Roman" w:cs="Times New Roman"/>
          <w:i/>
        </w:rPr>
        <w:t>overruling</w:t>
      </w:r>
      <w:proofErr w:type="spellEnd"/>
      <w:r w:rsidRPr="007372FB">
        <w:rPr>
          <w:rFonts w:ascii="Times New Roman" w:hAnsi="Times New Roman" w:cs="Times New Roman"/>
        </w:rPr>
        <w:t xml:space="preserve"> è intervenuta a più riprese la Corte di Cassazione che, in un recente arresto, </w:t>
      </w:r>
      <w:proofErr w:type="spellStart"/>
      <w:r w:rsidRPr="007372FB">
        <w:rPr>
          <w:rFonts w:ascii="Times New Roman" w:hAnsi="Times New Roman" w:cs="Times New Roman"/>
        </w:rPr>
        <w:t>Cass</w:t>
      </w:r>
      <w:proofErr w:type="spellEnd"/>
      <w:r w:rsidRPr="007372FB">
        <w:rPr>
          <w:rFonts w:ascii="Times New Roman" w:hAnsi="Times New Roman" w:cs="Times New Roman"/>
        </w:rPr>
        <w:t xml:space="preserve">. </w:t>
      </w:r>
      <w:proofErr w:type="spellStart"/>
      <w:r w:rsidRPr="007372FB">
        <w:rPr>
          <w:rFonts w:ascii="Times New Roman" w:hAnsi="Times New Roman" w:cs="Times New Roman"/>
        </w:rPr>
        <w:t>Civ</w:t>
      </w:r>
      <w:proofErr w:type="spellEnd"/>
      <w:r w:rsidRPr="007372FB">
        <w:rPr>
          <w:rFonts w:ascii="Times New Roman" w:hAnsi="Times New Roman" w:cs="Times New Roman"/>
        </w:rPr>
        <w:t>., 12 febbraio 2019, n. 4135, ha stabilito che “</w:t>
      </w:r>
      <w:r w:rsidRPr="007372FB">
        <w:rPr>
          <w:rFonts w:ascii="Times New Roman" w:hAnsi="Times New Roman" w:cs="Times New Roman"/>
          <w:i/>
        </w:rPr>
        <w:t xml:space="preserve">Il </w:t>
      </w:r>
      <w:proofErr w:type="spellStart"/>
      <w:r w:rsidRPr="007372FB">
        <w:rPr>
          <w:rFonts w:ascii="Times New Roman" w:hAnsi="Times New Roman" w:cs="Times New Roman"/>
          <w:i/>
        </w:rPr>
        <w:t>prospective</w:t>
      </w:r>
      <w:proofErr w:type="spellEnd"/>
      <w:r w:rsidRPr="007372FB">
        <w:rPr>
          <w:rFonts w:ascii="Times New Roman" w:hAnsi="Times New Roman" w:cs="Times New Roman"/>
          <w:i/>
        </w:rPr>
        <w:t xml:space="preserve"> </w:t>
      </w:r>
      <w:proofErr w:type="spellStart"/>
      <w:r w:rsidRPr="007372FB">
        <w:rPr>
          <w:rFonts w:ascii="Times New Roman" w:hAnsi="Times New Roman" w:cs="Times New Roman"/>
          <w:i/>
        </w:rPr>
        <w:t>overruling</w:t>
      </w:r>
      <w:proofErr w:type="spellEnd"/>
      <w:r w:rsidRPr="007372FB">
        <w:rPr>
          <w:rFonts w:ascii="Times New Roman" w:hAnsi="Times New Roman" w:cs="Times New Roman"/>
          <w:i/>
        </w:rPr>
        <w:t xml:space="preserve"> è finalizzato</w:t>
      </w:r>
      <w:r w:rsidRPr="007372FB">
        <w:rPr>
          <w:rFonts w:ascii="Times New Roman" w:hAnsi="Times New Roman" w:cs="Times New Roman"/>
          <w:i/>
          <w:color w:val="0C0C0F"/>
          <w:shd w:val="clear" w:color="auto" w:fill="FFFFFF"/>
        </w:rPr>
        <w:t xml:space="preserve"> </w:t>
      </w:r>
      <w:r w:rsidRPr="007372FB">
        <w:rPr>
          <w:rFonts w:ascii="Times New Roman" w:hAnsi="Times New Roman" w:cs="Times New Roman"/>
          <w:i/>
        </w:rPr>
        <w:t xml:space="preserve">a porre la parte al riparo dagli effetti processuali pregiudizievoli (nullità, decadenze, preclusioni, inammissibilità) di mutamenti imprevedibili della giurisprudenza di legittimità su norme regolatrici del processo sterilizzandoli, così consentendosi all'atto compiuto con modalità ed in forme ossequiose dell'orientamento giurisprudenziale successivamente ripudiato, ma dominante al momento del compimento dell'atto, di produrre ugualmente i suoi effetti, mentre non è invocabile nell'ipotesi in cui il nuovo indirizzo giurisprudenziale di legittimità sia ampliativo di facoltà e poteri processuali che la parte non abbia esercitato per un'erronea interpretazione delle norme processuali in senso </w:t>
      </w:r>
      <w:proofErr w:type="spellStart"/>
      <w:r w:rsidRPr="007372FB">
        <w:rPr>
          <w:rFonts w:ascii="Times New Roman" w:hAnsi="Times New Roman" w:cs="Times New Roman"/>
          <w:i/>
        </w:rPr>
        <w:t>autolimitativo</w:t>
      </w:r>
      <w:proofErr w:type="spellEnd"/>
      <w:r w:rsidRPr="007372FB">
        <w:rPr>
          <w:rFonts w:ascii="Times New Roman" w:hAnsi="Times New Roman" w:cs="Times New Roman"/>
          <w:i/>
        </w:rPr>
        <w:t>, non indotta dalla giurisprudenza di legittimità, derivando l'effetto pregiudizievole direttamente ed esclusivamente dall'errore interpretativo della parte</w:t>
      </w:r>
      <w:r w:rsidRPr="007372FB">
        <w:rPr>
          <w:rFonts w:ascii="Times New Roman" w:hAnsi="Times New Roman" w:cs="Times New Roman"/>
        </w:rPr>
        <w:t>”.</w:t>
      </w:r>
    </w:p>
  </w:footnote>
  <w:footnote w:id="15">
    <w:p w:rsidR="009A70E8" w:rsidRPr="007372FB" w:rsidRDefault="009A70E8"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Ad. </w:t>
      </w:r>
      <w:proofErr w:type="spellStart"/>
      <w:r w:rsidRPr="007372FB">
        <w:rPr>
          <w:rFonts w:ascii="Times New Roman" w:hAnsi="Times New Roman" w:cs="Times New Roman"/>
        </w:rPr>
        <w:t>Plen</w:t>
      </w:r>
      <w:proofErr w:type="spellEnd"/>
      <w:r w:rsidRPr="007372FB">
        <w:rPr>
          <w:rFonts w:ascii="Times New Roman" w:hAnsi="Times New Roman" w:cs="Times New Roman"/>
        </w:rPr>
        <w:t xml:space="preserve">, 22 dicembre 2017, n. 13 in </w:t>
      </w:r>
      <w:hyperlink r:id="rId3" w:history="1">
        <w:r w:rsidRPr="007372FB">
          <w:rPr>
            <w:rFonts w:ascii="Times New Roman" w:hAnsi="Times New Roman" w:cs="Times New Roman"/>
            <w:i/>
          </w:rPr>
          <w:t>www.giustizia-amministrativa.it</w:t>
        </w:r>
      </w:hyperlink>
      <w:r w:rsidR="003A646D" w:rsidRPr="007372FB">
        <w:rPr>
          <w:rFonts w:ascii="Times New Roman" w:hAnsi="Times New Roman" w:cs="Times New Roman"/>
          <w:i/>
        </w:rPr>
        <w:t xml:space="preserve"> </w:t>
      </w:r>
      <w:r w:rsidRPr="007372FB">
        <w:rPr>
          <w:rFonts w:ascii="Times New Roman" w:hAnsi="Times New Roman" w:cs="Times New Roman"/>
          <w:i/>
        </w:rPr>
        <w:t xml:space="preserve"> </w:t>
      </w:r>
    </w:p>
  </w:footnote>
  <w:footnote w:id="16">
    <w:p w:rsidR="00641DFD" w:rsidRPr="007372FB" w:rsidRDefault="00641DFD" w:rsidP="003A646D">
      <w:pPr>
        <w:pStyle w:val="Testonotaapidipagina"/>
        <w:jc w:val="both"/>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Corte Costituzionale, 11 febbraio 2015, n. 10, meglio nota come sentenza sulla “Robin </w:t>
      </w:r>
      <w:proofErr w:type="spellStart"/>
      <w:r w:rsidRPr="007372FB">
        <w:rPr>
          <w:rFonts w:ascii="Times New Roman" w:hAnsi="Times New Roman" w:cs="Times New Roman"/>
        </w:rPr>
        <w:t>Tax</w:t>
      </w:r>
      <w:proofErr w:type="spellEnd"/>
      <w:r w:rsidRPr="007372FB">
        <w:rPr>
          <w:rFonts w:ascii="Times New Roman" w:hAnsi="Times New Roman" w:cs="Times New Roman"/>
        </w:rPr>
        <w:t xml:space="preserve">”, in </w:t>
      </w:r>
      <w:hyperlink r:id="rId4" w:history="1">
        <w:r w:rsidRPr="007372FB">
          <w:rPr>
            <w:rFonts w:ascii="Times New Roman" w:hAnsi="Times New Roman" w:cs="Times New Roman"/>
            <w:i/>
          </w:rPr>
          <w:t>www.cortecostituzionale.it</w:t>
        </w:r>
      </w:hyperlink>
      <w:r w:rsidRPr="007372FB">
        <w:rPr>
          <w:rFonts w:ascii="Times New Roman" w:hAnsi="Times New Roman" w:cs="Times New Roman"/>
          <w:i/>
        </w:rPr>
        <w:t xml:space="preserve">; </w:t>
      </w:r>
    </w:p>
  </w:footnote>
  <w:footnote w:id="17">
    <w:p w:rsidR="00641DFD" w:rsidRPr="007372FB" w:rsidRDefault="00641DFD" w:rsidP="003A646D">
      <w:pPr>
        <w:pStyle w:val="Testonotaapidipagina"/>
        <w:jc w:val="both"/>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r w:rsidRPr="007372FB">
        <w:rPr>
          <w:rFonts w:ascii="Times New Roman" w:hAnsi="Times New Roman" w:cs="Times New Roman"/>
          <w:i/>
        </w:rPr>
        <w:t>Idem</w:t>
      </w:r>
    </w:p>
  </w:footnote>
  <w:footnote w:id="18">
    <w:p w:rsidR="003D3E2B" w:rsidRPr="007372FB" w:rsidRDefault="003D3E2B"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E. Sticchi Damiani, </w:t>
      </w:r>
      <w:r w:rsidR="003274BB" w:rsidRPr="007372FB">
        <w:rPr>
          <w:rFonts w:ascii="Times New Roman" w:hAnsi="Times New Roman" w:cs="Times New Roman"/>
          <w:i/>
        </w:rPr>
        <w:t>“</w:t>
      </w:r>
      <w:r w:rsidRPr="007372FB">
        <w:rPr>
          <w:rFonts w:ascii="Times New Roman" w:hAnsi="Times New Roman" w:cs="Times New Roman"/>
          <w:i/>
        </w:rPr>
        <w:t xml:space="preserve">Efficacia del tempo delle pronunce nomofilattiche dell’Adunanza Plenaria: il giudice amministrativo diviene legislatore. Analisi critica </w:t>
      </w:r>
      <w:proofErr w:type="spellStart"/>
      <w:r w:rsidRPr="007372FB">
        <w:rPr>
          <w:rFonts w:ascii="Times New Roman" w:hAnsi="Times New Roman" w:cs="Times New Roman"/>
          <w:i/>
        </w:rPr>
        <w:t>dell’Ad</w:t>
      </w:r>
      <w:proofErr w:type="spellEnd"/>
      <w:r w:rsidRPr="007372FB">
        <w:rPr>
          <w:rFonts w:ascii="Times New Roman" w:hAnsi="Times New Roman" w:cs="Times New Roman"/>
          <w:i/>
        </w:rPr>
        <w:t xml:space="preserve">. </w:t>
      </w:r>
      <w:proofErr w:type="spellStart"/>
      <w:r w:rsidRPr="007372FB">
        <w:rPr>
          <w:rFonts w:ascii="Times New Roman" w:hAnsi="Times New Roman" w:cs="Times New Roman"/>
          <w:i/>
        </w:rPr>
        <w:t>Plen</w:t>
      </w:r>
      <w:proofErr w:type="spellEnd"/>
      <w:r w:rsidRPr="007372FB">
        <w:rPr>
          <w:rFonts w:ascii="Times New Roman" w:hAnsi="Times New Roman" w:cs="Times New Roman"/>
          <w:i/>
        </w:rPr>
        <w:t>. 13/17</w:t>
      </w:r>
      <w:r w:rsidR="003274BB" w:rsidRPr="007372FB">
        <w:rPr>
          <w:rFonts w:ascii="Times New Roman" w:hAnsi="Times New Roman" w:cs="Times New Roman"/>
        </w:rPr>
        <w:t>”</w:t>
      </w:r>
      <w:r w:rsidRPr="007372FB">
        <w:rPr>
          <w:rFonts w:ascii="Times New Roman" w:hAnsi="Times New Roman" w:cs="Times New Roman"/>
        </w:rPr>
        <w:t xml:space="preserve">, in Diritto e processo amministrativo: Giornate di studio in onore di Enrico </w:t>
      </w:r>
      <w:proofErr w:type="spellStart"/>
      <w:r w:rsidRPr="007372FB">
        <w:rPr>
          <w:rFonts w:ascii="Times New Roman" w:hAnsi="Times New Roman" w:cs="Times New Roman"/>
        </w:rPr>
        <w:t>Follieri</w:t>
      </w:r>
      <w:proofErr w:type="spellEnd"/>
      <w:r w:rsidRPr="007372FB">
        <w:rPr>
          <w:rFonts w:ascii="Times New Roman" w:hAnsi="Times New Roman" w:cs="Times New Roman"/>
        </w:rPr>
        <w:t xml:space="preserve">, Atti del Convegno, Tomo II, a cura di Vera Fanti, 2019, pp. 1179-1192.  </w:t>
      </w:r>
    </w:p>
  </w:footnote>
  <w:footnote w:id="19">
    <w:p w:rsidR="00DD5E1D" w:rsidRPr="007372FB" w:rsidRDefault="00DD5E1D" w:rsidP="003A646D">
      <w:pPr>
        <w:pStyle w:val="Testonotaapidipagina"/>
        <w:jc w:val="both"/>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Cfr. </w:t>
      </w:r>
      <w:proofErr w:type="spellStart"/>
      <w:r w:rsidRPr="007372FB">
        <w:rPr>
          <w:rFonts w:ascii="Times New Roman" w:hAnsi="Times New Roman" w:cs="Times New Roman"/>
        </w:rPr>
        <w:t>Cass</w:t>
      </w:r>
      <w:proofErr w:type="spellEnd"/>
      <w:r w:rsidRPr="007372FB">
        <w:rPr>
          <w:rFonts w:ascii="Times New Roman" w:hAnsi="Times New Roman" w:cs="Times New Roman"/>
        </w:rPr>
        <w:t>., Sez. L., 14 gennaio 2021, n. 552, secondo cui “</w:t>
      </w:r>
      <w:r w:rsidRPr="007372FB">
        <w:rPr>
          <w:rFonts w:ascii="Times New Roman" w:hAnsi="Times New Roman" w:cs="Times New Roman"/>
          <w:i/>
        </w:rPr>
        <w:t xml:space="preserve">Il </w:t>
      </w:r>
      <w:proofErr w:type="spellStart"/>
      <w:r w:rsidRPr="007372FB">
        <w:rPr>
          <w:rFonts w:ascii="Times New Roman" w:hAnsi="Times New Roman" w:cs="Times New Roman"/>
          <w:i/>
        </w:rPr>
        <w:t>prospective</w:t>
      </w:r>
      <w:proofErr w:type="spellEnd"/>
      <w:r w:rsidRPr="007372FB">
        <w:rPr>
          <w:rFonts w:ascii="Times New Roman" w:hAnsi="Times New Roman" w:cs="Times New Roman"/>
          <w:i/>
        </w:rPr>
        <w:t xml:space="preserve"> </w:t>
      </w:r>
      <w:proofErr w:type="spellStart"/>
      <w:r w:rsidRPr="007372FB">
        <w:rPr>
          <w:rFonts w:ascii="Times New Roman" w:hAnsi="Times New Roman" w:cs="Times New Roman"/>
          <w:i/>
        </w:rPr>
        <w:t>overruling</w:t>
      </w:r>
      <w:proofErr w:type="spellEnd"/>
      <w:r w:rsidRPr="007372FB">
        <w:rPr>
          <w:rFonts w:ascii="Times New Roman" w:hAnsi="Times New Roman" w:cs="Times New Roman"/>
          <w:i/>
        </w:rPr>
        <w:t xml:space="preserve"> garantisce alla parte il diritto di azione e di difesa, neutralizzando i mutamenti imprevedibili della giurisprudenza di legittimità su norme regolatrici del processo, imponendo di ritenere produttivo di effetti l'atto di parte posto in essere con modalità e forme ossequiose dell'orientamento dominante al momento del compimento dell'atto stesso, ma poi ripudiato. Non è invocabile, quindi, per il caso di mutamenti giurisprudenziali che riguardino norme sostanziali, perché in detta ipotesi non è precluso alla parte il diritto di azione ed al giudice il potere di dirimere la controversia</w:t>
      </w:r>
      <w:r w:rsidR="003A646D" w:rsidRPr="007372FB">
        <w:rPr>
          <w:rFonts w:ascii="Times New Roman" w:hAnsi="Times New Roman" w:cs="Times New Roman"/>
        </w:rPr>
        <w:t>”</w:t>
      </w:r>
      <w:r w:rsidRPr="007372FB">
        <w:rPr>
          <w:rFonts w:ascii="Times New Roman" w:hAnsi="Times New Roman" w:cs="Times New Roman"/>
        </w:rPr>
        <w:t>.</w:t>
      </w:r>
      <w:r w:rsidR="003A646D" w:rsidRPr="007372FB">
        <w:rPr>
          <w:rFonts w:ascii="Times New Roman" w:hAnsi="Times New Roman" w:cs="Times New Roman"/>
        </w:rPr>
        <w:t xml:space="preserve"> In tale occasione la Corte ha negato che il mutamento di orientamento della giurisprudenza di legittimità che, con riguardo all'obbligo di "</w:t>
      </w:r>
      <w:proofErr w:type="spellStart"/>
      <w:r w:rsidR="003A646D" w:rsidRPr="007372FB">
        <w:rPr>
          <w:rFonts w:ascii="Times New Roman" w:hAnsi="Times New Roman" w:cs="Times New Roman"/>
          <w:i/>
        </w:rPr>
        <w:t>repechage</w:t>
      </w:r>
      <w:proofErr w:type="spellEnd"/>
      <w:r w:rsidR="003A646D" w:rsidRPr="007372FB">
        <w:rPr>
          <w:rFonts w:ascii="Times New Roman" w:hAnsi="Times New Roman" w:cs="Times New Roman"/>
        </w:rPr>
        <w:t>", non ha più ritenuto necessaria l'allegazione dei posti disponibili da parte del lavoratore, concreti una ipotesi di "</w:t>
      </w:r>
      <w:proofErr w:type="spellStart"/>
      <w:r w:rsidR="003A646D" w:rsidRPr="007372FB">
        <w:rPr>
          <w:rFonts w:ascii="Times New Roman" w:hAnsi="Times New Roman" w:cs="Times New Roman"/>
          <w:i/>
        </w:rPr>
        <w:t>overruling</w:t>
      </w:r>
      <w:proofErr w:type="spellEnd"/>
      <w:r w:rsidR="003A646D" w:rsidRPr="007372FB">
        <w:rPr>
          <w:rFonts w:ascii="Times New Roman" w:hAnsi="Times New Roman" w:cs="Times New Roman"/>
        </w:rPr>
        <w:t>".</w:t>
      </w:r>
    </w:p>
  </w:footnote>
  <w:footnote w:id="20">
    <w:p w:rsidR="008D0114" w:rsidRPr="007372FB" w:rsidRDefault="008D0114" w:rsidP="003A646D">
      <w:pPr>
        <w:pStyle w:val="Nessunaspaziatura"/>
        <w:jc w:val="both"/>
        <w:rPr>
          <w:rFonts w:ascii="Times New Roman" w:hAnsi="Times New Roman" w:cs="Times New Roman"/>
          <w:sz w:val="20"/>
          <w:szCs w:val="20"/>
        </w:rPr>
      </w:pPr>
      <w:r w:rsidRPr="007372FB">
        <w:rPr>
          <w:rStyle w:val="Rimandonotaapidipagina"/>
          <w:rFonts w:ascii="Times New Roman" w:hAnsi="Times New Roman" w:cs="Times New Roman"/>
          <w:sz w:val="20"/>
          <w:szCs w:val="20"/>
        </w:rPr>
        <w:footnoteRef/>
      </w:r>
      <w:r w:rsidRPr="007372FB">
        <w:rPr>
          <w:rFonts w:ascii="Times New Roman" w:hAnsi="Times New Roman" w:cs="Times New Roman"/>
          <w:i/>
          <w:sz w:val="20"/>
          <w:szCs w:val="20"/>
        </w:rPr>
        <w:t xml:space="preserve"> </w:t>
      </w:r>
      <w:proofErr w:type="spellStart"/>
      <w:r w:rsidRPr="007372FB">
        <w:rPr>
          <w:rFonts w:ascii="Times New Roman" w:hAnsi="Times New Roman" w:cs="Times New Roman"/>
          <w:sz w:val="20"/>
          <w:szCs w:val="20"/>
        </w:rPr>
        <w:t>Cons</w:t>
      </w:r>
      <w:proofErr w:type="spellEnd"/>
      <w:r w:rsidRPr="007372FB">
        <w:rPr>
          <w:rFonts w:ascii="Times New Roman" w:hAnsi="Times New Roman" w:cs="Times New Roman"/>
          <w:sz w:val="20"/>
          <w:szCs w:val="20"/>
        </w:rPr>
        <w:t xml:space="preserve">. Stato, Sez. I, parere 30 giugno 2020, n. 1233, in </w:t>
      </w:r>
      <w:hyperlink r:id="rId5" w:history="1">
        <w:r w:rsidRPr="007372FB">
          <w:rPr>
            <w:rStyle w:val="Collegamentoipertestuale"/>
            <w:rFonts w:ascii="Times New Roman" w:hAnsi="Times New Roman" w:cs="Times New Roman"/>
            <w:i/>
            <w:sz w:val="20"/>
            <w:szCs w:val="20"/>
          </w:rPr>
          <w:t>www.giustizia-amministrativa.it</w:t>
        </w:r>
      </w:hyperlink>
      <w:r w:rsidRPr="007372FB">
        <w:rPr>
          <w:rFonts w:ascii="Times New Roman" w:hAnsi="Times New Roman" w:cs="Times New Roman"/>
          <w:sz w:val="20"/>
          <w:szCs w:val="20"/>
        </w:rPr>
        <w:t xml:space="preserve"> </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sz w:val="20"/>
          <w:szCs w:val="20"/>
        </w:rPr>
        <w:t>“Giova osservare come, sulla base degli argomenti posti a fondamento</w:t>
      </w:r>
      <w:r w:rsidRPr="007372FB">
        <w:rPr>
          <w:rFonts w:ascii="Times New Roman" w:hAnsi="Times New Roman" w:cs="Times New Roman"/>
          <w:i/>
          <w:sz w:val="20"/>
          <w:szCs w:val="20"/>
        </w:rPr>
        <w:t xml:space="preserve"> della sentenza 10 maggio 2011, n. 2755, l’Adunanza plenaria del Consiglio di Stato abbia ammesso la configurabilità di deroghe all’efficacia retroattiva delle pronunce con cui il giudice della nomofilachia modifica orientamenti giurisprudenziali consolidati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xml:space="preserve">. St., Ad. </w:t>
      </w:r>
      <w:proofErr w:type="spellStart"/>
      <w:r w:rsidRPr="007372FB">
        <w:rPr>
          <w:rFonts w:ascii="Times New Roman" w:hAnsi="Times New Roman" w:cs="Times New Roman"/>
          <w:i/>
          <w:sz w:val="20"/>
          <w:szCs w:val="20"/>
        </w:rPr>
        <w:t>plen</w:t>
      </w:r>
      <w:proofErr w:type="spellEnd"/>
      <w:r w:rsidRPr="007372FB">
        <w:rPr>
          <w:rFonts w:ascii="Times New Roman" w:hAnsi="Times New Roman" w:cs="Times New Roman"/>
          <w:i/>
          <w:sz w:val="20"/>
          <w:szCs w:val="20"/>
        </w:rPr>
        <w:t xml:space="preserve">., sentenza 22 dicembre 2017, n. 13). Se il contenuto di un siffatto richiamo vale indubbiamente a rafforzare l’apparato argomentativo della citata decisione del 2017, non può tuttavia omettersi di precisare come il cosiddetto </w:t>
      </w:r>
      <w:proofErr w:type="spellStart"/>
      <w:r w:rsidRPr="007372FB">
        <w:rPr>
          <w:rFonts w:ascii="Times New Roman" w:hAnsi="Times New Roman" w:cs="Times New Roman"/>
          <w:i/>
          <w:sz w:val="20"/>
          <w:szCs w:val="20"/>
        </w:rPr>
        <w:t>prospective</w:t>
      </w:r>
      <w:proofErr w:type="spellEnd"/>
      <w:r w:rsidRPr="007372FB">
        <w:rPr>
          <w:rFonts w:ascii="Times New Roman" w:hAnsi="Times New Roman" w:cs="Times New Roman"/>
          <w:i/>
          <w:sz w:val="20"/>
          <w:szCs w:val="20"/>
        </w:rPr>
        <w:t xml:space="preserve"> </w:t>
      </w:r>
      <w:proofErr w:type="spellStart"/>
      <w:r w:rsidRPr="007372FB">
        <w:rPr>
          <w:rFonts w:ascii="Times New Roman" w:hAnsi="Times New Roman" w:cs="Times New Roman"/>
          <w:i/>
          <w:sz w:val="20"/>
          <w:szCs w:val="20"/>
        </w:rPr>
        <w:t>overruling</w:t>
      </w:r>
      <w:proofErr w:type="spellEnd"/>
      <w:r w:rsidRPr="007372FB">
        <w:rPr>
          <w:rFonts w:ascii="Times New Roman" w:hAnsi="Times New Roman" w:cs="Times New Roman"/>
          <w:i/>
          <w:sz w:val="20"/>
          <w:szCs w:val="20"/>
        </w:rPr>
        <w:t xml:space="preserve"> non condivida con la graduazione della portata </w:t>
      </w:r>
      <w:proofErr w:type="spellStart"/>
      <w:r w:rsidRPr="007372FB">
        <w:rPr>
          <w:rFonts w:ascii="Times New Roman" w:hAnsi="Times New Roman" w:cs="Times New Roman"/>
          <w:i/>
          <w:sz w:val="20"/>
          <w:szCs w:val="20"/>
        </w:rPr>
        <w:t>caducatoria</w:t>
      </w:r>
      <w:proofErr w:type="spellEnd"/>
      <w:r w:rsidRPr="007372FB">
        <w:rPr>
          <w:rFonts w:ascii="Times New Roman" w:hAnsi="Times New Roman" w:cs="Times New Roman"/>
          <w:i/>
          <w:sz w:val="20"/>
          <w:szCs w:val="20"/>
        </w:rPr>
        <w:t xml:space="preserve"> delle sentenze di annullamento null’altro che la comune riconducibilità alle tecniche di governo dell’efficacia delle pronunce giurisdizionali.</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 xml:space="preserve">L’elaborazione di principi di diritto innovativi rispetto all’orientamento precedentemente consolidato, in quanto formulati in sentenze dichiarative di interpretazione intese a rendere manifesto il significato dell’originario dato normativo, esprime una naturale tendenza alla retroazione dei nuovi canoni esegetici. Tuttavia, a fronte della potenziale lesione di </w:t>
      </w:r>
      <w:proofErr w:type="spellStart"/>
      <w:r w:rsidRPr="007372FB">
        <w:rPr>
          <w:rFonts w:ascii="Times New Roman" w:hAnsi="Times New Roman" w:cs="Times New Roman"/>
          <w:i/>
          <w:sz w:val="20"/>
          <w:szCs w:val="20"/>
        </w:rPr>
        <w:t>controinteressi</w:t>
      </w:r>
      <w:proofErr w:type="spellEnd"/>
      <w:r w:rsidRPr="007372FB">
        <w:rPr>
          <w:rFonts w:ascii="Times New Roman" w:hAnsi="Times New Roman" w:cs="Times New Roman"/>
          <w:i/>
          <w:sz w:val="20"/>
          <w:szCs w:val="20"/>
        </w:rPr>
        <w:t xml:space="preserve"> di rango costituzionale, l’operatività del </w:t>
      </w:r>
      <w:proofErr w:type="spellStart"/>
      <w:r w:rsidRPr="007372FB">
        <w:rPr>
          <w:rFonts w:ascii="Times New Roman" w:hAnsi="Times New Roman" w:cs="Times New Roman"/>
          <w:i/>
          <w:sz w:val="20"/>
          <w:szCs w:val="20"/>
        </w:rPr>
        <w:t>revirement</w:t>
      </w:r>
      <w:proofErr w:type="spellEnd"/>
      <w:r w:rsidRPr="007372FB">
        <w:rPr>
          <w:rFonts w:ascii="Times New Roman" w:hAnsi="Times New Roman" w:cs="Times New Roman"/>
          <w:i/>
          <w:sz w:val="20"/>
          <w:szCs w:val="20"/>
        </w:rPr>
        <w:t xml:space="preserve"> giurisprudenziale può essere limitata alle sole fattispecie che vengano in rilievo posteriormente alla pubblicazione della nuova decisione.</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 xml:space="preserve">Muovendo dalla risalente tradizione pretoria della Corte suprema statunitense, la giurisprudenza non ha tuttavia mancato di delimitare puntualmente le condizioni di praticabilità del </w:t>
      </w:r>
      <w:proofErr w:type="spellStart"/>
      <w:r w:rsidRPr="007372FB">
        <w:rPr>
          <w:rFonts w:ascii="Times New Roman" w:hAnsi="Times New Roman" w:cs="Times New Roman"/>
          <w:i/>
          <w:sz w:val="20"/>
          <w:szCs w:val="20"/>
        </w:rPr>
        <w:t>prospective</w:t>
      </w:r>
      <w:proofErr w:type="spellEnd"/>
      <w:r w:rsidRPr="007372FB">
        <w:rPr>
          <w:rFonts w:ascii="Times New Roman" w:hAnsi="Times New Roman" w:cs="Times New Roman"/>
          <w:i/>
          <w:sz w:val="20"/>
          <w:szCs w:val="20"/>
        </w:rPr>
        <w:t xml:space="preserve"> </w:t>
      </w:r>
      <w:proofErr w:type="spellStart"/>
      <w:r w:rsidRPr="007372FB">
        <w:rPr>
          <w:rFonts w:ascii="Times New Roman" w:hAnsi="Times New Roman" w:cs="Times New Roman"/>
          <w:i/>
          <w:sz w:val="20"/>
          <w:szCs w:val="20"/>
        </w:rPr>
        <w:t>overruling</w:t>
      </w:r>
      <w:proofErr w:type="spellEnd"/>
      <w:r w:rsidRPr="007372FB">
        <w:rPr>
          <w:rFonts w:ascii="Times New Roman" w:hAnsi="Times New Roman" w:cs="Times New Roman"/>
          <w:i/>
          <w:sz w:val="20"/>
          <w:szCs w:val="20"/>
        </w:rPr>
        <w:t xml:space="preserve">. Sin dalla sentenza 11 luglio 2011, n. 15144, il Giudice di legittimità ha costantemente sostenuto che l’ammissibilità di interventi nomofilattici con efficacia ex </w:t>
      </w:r>
      <w:proofErr w:type="spellStart"/>
      <w:r w:rsidRPr="007372FB">
        <w:rPr>
          <w:rFonts w:ascii="Times New Roman" w:hAnsi="Times New Roman" w:cs="Times New Roman"/>
          <w:i/>
          <w:sz w:val="20"/>
          <w:szCs w:val="20"/>
        </w:rPr>
        <w:t>nunc</w:t>
      </w:r>
      <w:proofErr w:type="spellEnd"/>
      <w:r w:rsidRPr="007372FB">
        <w:rPr>
          <w:rFonts w:ascii="Times New Roman" w:hAnsi="Times New Roman" w:cs="Times New Roman"/>
          <w:i/>
          <w:sz w:val="20"/>
          <w:szCs w:val="20"/>
        </w:rPr>
        <w:t xml:space="preserve"> sia subordinata alla cumulativa presenza dei seguenti requisiti:</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a) la nuova interpretazione incida su norme processuali;</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b) il mutamento giurisprudenziale sia stato imprevedibile e sopravvenga ad un distinto orientamento consolidato nel tempo, in modo da indurre la parte ad un ragionevole affidamento sulla perdurante validità dell’indirizzo anteriore;</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c) l’</w:t>
      </w:r>
      <w:proofErr w:type="spellStart"/>
      <w:r w:rsidRPr="007372FB">
        <w:rPr>
          <w:rFonts w:ascii="Times New Roman" w:hAnsi="Times New Roman" w:cs="Times New Roman"/>
          <w:i/>
          <w:sz w:val="20"/>
          <w:szCs w:val="20"/>
        </w:rPr>
        <w:t>overruling</w:t>
      </w:r>
      <w:proofErr w:type="spellEnd"/>
      <w:r w:rsidRPr="007372FB">
        <w:rPr>
          <w:rFonts w:ascii="Times New Roman" w:hAnsi="Times New Roman" w:cs="Times New Roman"/>
          <w:i/>
          <w:sz w:val="20"/>
          <w:szCs w:val="20"/>
        </w:rPr>
        <w:t xml:space="preserve"> precluda l’esercizio del diritto di azione o di difesa delle parti (da ultimo, cfr. </w:t>
      </w:r>
      <w:proofErr w:type="spellStart"/>
      <w:r w:rsidRPr="007372FB">
        <w:rPr>
          <w:rFonts w:ascii="Times New Roman" w:hAnsi="Times New Roman" w:cs="Times New Roman"/>
          <w:i/>
          <w:sz w:val="20"/>
          <w:szCs w:val="20"/>
        </w:rPr>
        <w:t>Cass</w:t>
      </w:r>
      <w:proofErr w:type="spellEnd"/>
      <w:r w:rsidRPr="007372FB">
        <w:rPr>
          <w:rFonts w:ascii="Times New Roman" w:hAnsi="Times New Roman" w:cs="Times New Roman"/>
          <w:i/>
          <w:sz w:val="20"/>
          <w:szCs w:val="20"/>
        </w:rPr>
        <w:t xml:space="preserve">. civ., Sez. II, ordinanza 10 maggio 2018, n. 11300; </w:t>
      </w:r>
      <w:proofErr w:type="spellStart"/>
      <w:r w:rsidRPr="007372FB">
        <w:rPr>
          <w:rFonts w:ascii="Times New Roman" w:hAnsi="Times New Roman" w:cs="Times New Roman"/>
          <w:i/>
          <w:sz w:val="20"/>
          <w:szCs w:val="20"/>
        </w:rPr>
        <w:t>Cass</w:t>
      </w:r>
      <w:proofErr w:type="spellEnd"/>
      <w:r w:rsidRPr="007372FB">
        <w:rPr>
          <w:rFonts w:ascii="Times New Roman" w:hAnsi="Times New Roman" w:cs="Times New Roman"/>
          <w:i/>
          <w:sz w:val="20"/>
          <w:szCs w:val="20"/>
        </w:rPr>
        <w:t xml:space="preserve">. civ., Sez. un., sentenza 3 ottobre 2018, n. 24133; </w:t>
      </w:r>
      <w:proofErr w:type="spellStart"/>
      <w:r w:rsidRPr="007372FB">
        <w:rPr>
          <w:rFonts w:ascii="Times New Roman" w:hAnsi="Times New Roman" w:cs="Times New Roman"/>
          <w:i/>
          <w:sz w:val="20"/>
          <w:szCs w:val="20"/>
        </w:rPr>
        <w:t>Cass</w:t>
      </w:r>
      <w:proofErr w:type="spellEnd"/>
      <w:r w:rsidRPr="007372FB">
        <w:rPr>
          <w:rFonts w:ascii="Times New Roman" w:hAnsi="Times New Roman" w:cs="Times New Roman"/>
          <w:i/>
          <w:sz w:val="20"/>
          <w:szCs w:val="20"/>
        </w:rPr>
        <w:t xml:space="preserve">. civ., Sez. un., sentenza 12 febbraio 2019, n. 4135; </w:t>
      </w:r>
      <w:proofErr w:type="spellStart"/>
      <w:r w:rsidRPr="007372FB">
        <w:rPr>
          <w:rFonts w:ascii="Times New Roman" w:hAnsi="Times New Roman" w:cs="Times New Roman"/>
          <w:i/>
          <w:sz w:val="20"/>
          <w:szCs w:val="20"/>
        </w:rPr>
        <w:t>Cass</w:t>
      </w:r>
      <w:proofErr w:type="spellEnd"/>
      <w:r w:rsidRPr="007372FB">
        <w:rPr>
          <w:rFonts w:ascii="Times New Roman" w:hAnsi="Times New Roman" w:cs="Times New Roman"/>
          <w:i/>
          <w:sz w:val="20"/>
          <w:szCs w:val="20"/>
        </w:rPr>
        <w:t>. civ., Sez. lav., ordinanza 13 gennaio 2020, n. 403).</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Ad analoga definizione dei presupposti fondativi dell’istituto in esame è pervenuta anche la giurisprudenza amministrativa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xml:space="preserve">. </w:t>
      </w:r>
      <w:r w:rsidRPr="007372FB">
        <w:rPr>
          <w:rFonts w:ascii="Times New Roman" w:hAnsi="Times New Roman" w:cs="Times New Roman"/>
          <w:i/>
          <w:sz w:val="20"/>
          <w:szCs w:val="20"/>
          <w:lang w:val="en-GB"/>
        </w:rPr>
        <w:t xml:space="preserve">St., Ad. </w:t>
      </w:r>
      <w:proofErr w:type="spellStart"/>
      <w:r w:rsidRPr="007372FB">
        <w:rPr>
          <w:rFonts w:ascii="Times New Roman" w:hAnsi="Times New Roman" w:cs="Times New Roman"/>
          <w:i/>
          <w:sz w:val="20"/>
          <w:szCs w:val="20"/>
          <w:lang w:val="en-GB"/>
        </w:rPr>
        <w:t>plen</w:t>
      </w:r>
      <w:proofErr w:type="spellEnd"/>
      <w:r w:rsidRPr="007372FB">
        <w:rPr>
          <w:rFonts w:ascii="Times New Roman" w:hAnsi="Times New Roman" w:cs="Times New Roman"/>
          <w:i/>
          <w:sz w:val="20"/>
          <w:szCs w:val="20"/>
          <w:lang w:val="en-GB"/>
        </w:rPr>
        <w:t xml:space="preserve">., 2 </w:t>
      </w:r>
      <w:proofErr w:type="spellStart"/>
      <w:r w:rsidRPr="007372FB">
        <w:rPr>
          <w:rFonts w:ascii="Times New Roman" w:hAnsi="Times New Roman" w:cs="Times New Roman"/>
          <w:i/>
          <w:sz w:val="20"/>
          <w:szCs w:val="20"/>
          <w:lang w:val="en-GB"/>
        </w:rPr>
        <w:t>novembre</w:t>
      </w:r>
      <w:proofErr w:type="spellEnd"/>
      <w:r w:rsidRPr="007372FB">
        <w:rPr>
          <w:rFonts w:ascii="Times New Roman" w:hAnsi="Times New Roman" w:cs="Times New Roman"/>
          <w:i/>
          <w:sz w:val="20"/>
          <w:szCs w:val="20"/>
          <w:lang w:val="en-GB"/>
        </w:rPr>
        <w:t xml:space="preserve"> 2015, n. 9; Cons. St., </w:t>
      </w:r>
      <w:proofErr w:type="spellStart"/>
      <w:r w:rsidRPr="007372FB">
        <w:rPr>
          <w:rFonts w:ascii="Times New Roman" w:hAnsi="Times New Roman" w:cs="Times New Roman"/>
          <w:i/>
          <w:sz w:val="20"/>
          <w:szCs w:val="20"/>
          <w:lang w:val="en-GB"/>
        </w:rPr>
        <w:t>Sez</w:t>
      </w:r>
      <w:proofErr w:type="spellEnd"/>
      <w:r w:rsidRPr="007372FB">
        <w:rPr>
          <w:rFonts w:ascii="Times New Roman" w:hAnsi="Times New Roman" w:cs="Times New Roman"/>
          <w:i/>
          <w:sz w:val="20"/>
          <w:szCs w:val="20"/>
          <w:lang w:val="en-GB"/>
        </w:rPr>
        <w:t xml:space="preserve">. III, </w:t>
      </w:r>
      <w:proofErr w:type="spellStart"/>
      <w:r w:rsidRPr="007372FB">
        <w:rPr>
          <w:rFonts w:ascii="Times New Roman" w:hAnsi="Times New Roman" w:cs="Times New Roman"/>
          <w:i/>
          <w:sz w:val="20"/>
          <w:szCs w:val="20"/>
          <w:lang w:val="en-GB"/>
        </w:rPr>
        <w:t>ordinanza</w:t>
      </w:r>
      <w:proofErr w:type="spellEnd"/>
      <w:r w:rsidRPr="007372FB">
        <w:rPr>
          <w:rFonts w:ascii="Times New Roman" w:hAnsi="Times New Roman" w:cs="Times New Roman"/>
          <w:i/>
          <w:sz w:val="20"/>
          <w:szCs w:val="20"/>
          <w:lang w:val="en-GB"/>
        </w:rPr>
        <w:t xml:space="preserve"> 7 </w:t>
      </w:r>
      <w:proofErr w:type="spellStart"/>
      <w:r w:rsidRPr="007372FB">
        <w:rPr>
          <w:rFonts w:ascii="Times New Roman" w:hAnsi="Times New Roman" w:cs="Times New Roman"/>
          <w:i/>
          <w:sz w:val="20"/>
          <w:szCs w:val="20"/>
          <w:lang w:val="en-GB"/>
        </w:rPr>
        <w:t>novembre</w:t>
      </w:r>
      <w:proofErr w:type="spellEnd"/>
      <w:r w:rsidRPr="007372FB">
        <w:rPr>
          <w:rFonts w:ascii="Times New Roman" w:hAnsi="Times New Roman" w:cs="Times New Roman"/>
          <w:i/>
          <w:sz w:val="20"/>
          <w:szCs w:val="20"/>
          <w:lang w:val="en-GB"/>
        </w:rPr>
        <w:t xml:space="preserve"> 2017, n. 5138). </w:t>
      </w:r>
      <w:r w:rsidRPr="007372FB">
        <w:rPr>
          <w:rFonts w:ascii="Times New Roman" w:hAnsi="Times New Roman" w:cs="Times New Roman"/>
          <w:i/>
          <w:sz w:val="20"/>
          <w:szCs w:val="20"/>
        </w:rPr>
        <w:t xml:space="preserve">E in applicazione delle medesime condizioni questo Consiglio ha recentemente escluso la </w:t>
      </w:r>
      <w:proofErr w:type="spellStart"/>
      <w:r w:rsidRPr="007372FB">
        <w:rPr>
          <w:rFonts w:ascii="Times New Roman" w:hAnsi="Times New Roman" w:cs="Times New Roman"/>
          <w:i/>
          <w:sz w:val="20"/>
          <w:szCs w:val="20"/>
        </w:rPr>
        <w:t>differibilità</w:t>
      </w:r>
      <w:proofErr w:type="spellEnd"/>
      <w:r w:rsidRPr="007372FB">
        <w:rPr>
          <w:rFonts w:ascii="Times New Roman" w:hAnsi="Times New Roman" w:cs="Times New Roman"/>
          <w:i/>
          <w:sz w:val="20"/>
          <w:szCs w:val="20"/>
        </w:rPr>
        <w:t xml:space="preserve"> nel tempo dei principi di diritto enunciati in tema di riapertura delle graduatorie ad esaurimento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xml:space="preserve">. St., Ad. </w:t>
      </w:r>
      <w:proofErr w:type="spellStart"/>
      <w:r w:rsidRPr="007372FB">
        <w:rPr>
          <w:rFonts w:ascii="Times New Roman" w:hAnsi="Times New Roman" w:cs="Times New Roman"/>
          <w:i/>
          <w:sz w:val="20"/>
          <w:szCs w:val="20"/>
        </w:rPr>
        <w:t>plen</w:t>
      </w:r>
      <w:proofErr w:type="spellEnd"/>
      <w:r w:rsidRPr="007372FB">
        <w:rPr>
          <w:rFonts w:ascii="Times New Roman" w:hAnsi="Times New Roman" w:cs="Times New Roman"/>
          <w:i/>
          <w:sz w:val="20"/>
          <w:szCs w:val="20"/>
        </w:rPr>
        <w:t xml:space="preserve">., 27 febbraio 2019, n. 4;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St., Sez. VI, sentenza 8 aprile 2019, n. 2266), nonché di superamento della pregiudiziale amministrativa nella domanda di risarcimento del danno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xml:space="preserve">. St., Sez. III, sentenza 22 febbraio 2019, n. 1230; </w:t>
      </w:r>
      <w:proofErr w:type="spellStart"/>
      <w:r w:rsidRPr="007372FB">
        <w:rPr>
          <w:rFonts w:ascii="Times New Roman" w:hAnsi="Times New Roman" w:cs="Times New Roman"/>
          <w:i/>
          <w:sz w:val="20"/>
          <w:szCs w:val="20"/>
        </w:rPr>
        <w:t>Cons</w:t>
      </w:r>
      <w:proofErr w:type="spellEnd"/>
      <w:r w:rsidRPr="007372FB">
        <w:rPr>
          <w:rFonts w:ascii="Times New Roman" w:hAnsi="Times New Roman" w:cs="Times New Roman"/>
          <w:i/>
          <w:sz w:val="20"/>
          <w:szCs w:val="20"/>
        </w:rPr>
        <w:t>. St., Sez. IV, sentenza 28 giugno 2018, n. 3977).</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 xml:space="preserve">Rispetto a tale assetto giurisprudenziale si distingue invece la citata sentenza n. 13 del 2017, con la quale l’Adunanza plenaria, accogliendo la tesi della cosiddetta “discontinuità” dell’efficacia del vincolo preliminare nascente dalle proposte di dichiarazione di notevole interesse pubblico anteriori all’entrata in vigore del d.lgs. 22 gennaio 2004, n. 42, giunge ad estendere la portata del </w:t>
      </w:r>
      <w:proofErr w:type="spellStart"/>
      <w:r w:rsidRPr="007372FB">
        <w:rPr>
          <w:rFonts w:ascii="Times New Roman" w:hAnsi="Times New Roman" w:cs="Times New Roman"/>
          <w:i/>
          <w:sz w:val="20"/>
          <w:szCs w:val="20"/>
        </w:rPr>
        <w:t>prospective</w:t>
      </w:r>
      <w:proofErr w:type="spellEnd"/>
      <w:r w:rsidRPr="007372FB">
        <w:rPr>
          <w:rFonts w:ascii="Times New Roman" w:hAnsi="Times New Roman" w:cs="Times New Roman"/>
          <w:i/>
          <w:sz w:val="20"/>
          <w:szCs w:val="20"/>
        </w:rPr>
        <w:t xml:space="preserve"> </w:t>
      </w:r>
      <w:proofErr w:type="spellStart"/>
      <w:r w:rsidRPr="007372FB">
        <w:rPr>
          <w:rFonts w:ascii="Times New Roman" w:hAnsi="Times New Roman" w:cs="Times New Roman"/>
          <w:i/>
          <w:sz w:val="20"/>
          <w:szCs w:val="20"/>
        </w:rPr>
        <w:t>overruling</w:t>
      </w:r>
      <w:proofErr w:type="spellEnd"/>
      <w:r w:rsidRPr="007372FB">
        <w:rPr>
          <w:rFonts w:ascii="Times New Roman" w:hAnsi="Times New Roman" w:cs="Times New Roman"/>
          <w:i/>
          <w:sz w:val="20"/>
          <w:szCs w:val="20"/>
        </w:rPr>
        <w:t xml:space="preserve"> anche all’esegesi di norme a contenuto sostanziale. Conoscendo di una fattispecie rientrante nella sfera di vincolatività dei principi di diritto formulati dall’Adunanza plenaria n. 13 del 2017, la Sezione VI del Consiglio di Stato, con sentenza 3 dicembre 2018, n. 6858, ha parimenti sostenuto che “anche nell’ambito del procedimento amministrativo (nel caso in esame, di conclusione del procedimento di vincolo), come in ambito processuale, la modifica del precedente orientamento non può che comportare che la parte (nella specie, l’Amministrazione) incorra in decadenze fino allora non prevedibili”.</w:t>
      </w:r>
    </w:p>
    <w:p w:rsidR="008D0114" w:rsidRPr="007372FB" w:rsidRDefault="008D0114" w:rsidP="003A646D">
      <w:pPr>
        <w:pStyle w:val="Nessunaspaziatura"/>
        <w:jc w:val="both"/>
        <w:rPr>
          <w:rFonts w:ascii="Times New Roman" w:hAnsi="Times New Roman" w:cs="Times New Roman"/>
          <w:i/>
          <w:sz w:val="20"/>
          <w:szCs w:val="20"/>
        </w:rPr>
      </w:pPr>
      <w:r w:rsidRPr="007372FB">
        <w:rPr>
          <w:rFonts w:ascii="Times New Roman" w:hAnsi="Times New Roman" w:cs="Times New Roman"/>
          <w:i/>
          <w:sz w:val="20"/>
          <w:szCs w:val="20"/>
        </w:rPr>
        <w:t xml:space="preserve">In altri termini, giova in questa sede evidenziare con forza che il potere di disporre la decorrenza ex </w:t>
      </w:r>
      <w:proofErr w:type="spellStart"/>
      <w:r w:rsidRPr="007372FB">
        <w:rPr>
          <w:rFonts w:ascii="Times New Roman" w:hAnsi="Times New Roman" w:cs="Times New Roman"/>
          <w:i/>
          <w:sz w:val="20"/>
          <w:szCs w:val="20"/>
        </w:rPr>
        <w:t>nunc</w:t>
      </w:r>
      <w:proofErr w:type="spellEnd"/>
      <w:r w:rsidRPr="007372FB">
        <w:rPr>
          <w:rFonts w:ascii="Times New Roman" w:hAnsi="Times New Roman" w:cs="Times New Roman"/>
          <w:i/>
          <w:sz w:val="20"/>
          <w:szCs w:val="20"/>
        </w:rPr>
        <w:t xml:space="preserve"> degli effetti delle sentenze a contenuto interpretativo non possa assimilarsi alle tecniche di modulazione della portata </w:t>
      </w:r>
      <w:proofErr w:type="spellStart"/>
      <w:r w:rsidRPr="007372FB">
        <w:rPr>
          <w:rFonts w:ascii="Times New Roman" w:hAnsi="Times New Roman" w:cs="Times New Roman"/>
          <w:i/>
          <w:sz w:val="20"/>
          <w:szCs w:val="20"/>
        </w:rPr>
        <w:t>caducatoria</w:t>
      </w:r>
      <w:proofErr w:type="spellEnd"/>
      <w:r w:rsidRPr="007372FB">
        <w:rPr>
          <w:rFonts w:ascii="Times New Roman" w:hAnsi="Times New Roman" w:cs="Times New Roman"/>
          <w:i/>
          <w:sz w:val="20"/>
          <w:szCs w:val="20"/>
        </w:rPr>
        <w:t xml:space="preserve"> delle pronunce costitutive di annullamento degli atti illegittimi. Queste ultime, lungi dall’incidere sulla stabilità di precedenti giurisprudenziali consolidati, contengono indefettibilmente un accertamento circa la legittimità/illegittimità del provvedimento amministrativo impugnato in vista della soddisfazione di un interesse protetto dall’ordinamento sostanziale. Le prime, invece, individuano il momento a partire dal quale il nuovo orientamento interpretativo deve essere applicato.</w:t>
      </w:r>
    </w:p>
    <w:p w:rsidR="008D0114" w:rsidRPr="007372FB" w:rsidRDefault="008D0114" w:rsidP="003A646D">
      <w:pPr>
        <w:pStyle w:val="Nessunaspaziatura"/>
        <w:jc w:val="both"/>
        <w:rPr>
          <w:rFonts w:ascii="Times New Roman" w:hAnsi="Times New Roman" w:cs="Times New Roman"/>
          <w:sz w:val="20"/>
          <w:szCs w:val="20"/>
        </w:rPr>
      </w:pPr>
      <w:r w:rsidRPr="007372FB">
        <w:rPr>
          <w:rFonts w:ascii="Times New Roman" w:hAnsi="Times New Roman" w:cs="Times New Roman"/>
          <w:i/>
          <w:sz w:val="20"/>
          <w:szCs w:val="20"/>
        </w:rPr>
        <w:t xml:space="preserve">Deve in conclusione ritenersi che l’indagine sulla graduazione degli effetti dell’annullamento non possa che essere condotta sulla base di criteri distinti rispetto a quelli cui la giurisprudenza ordinaria e amministrativa ricorre per giustificare la praticabilità del </w:t>
      </w:r>
      <w:proofErr w:type="spellStart"/>
      <w:r w:rsidRPr="007372FB">
        <w:rPr>
          <w:rFonts w:ascii="Times New Roman" w:hAnsi="Times New Roman" w:cs="Times New Roman"/>
          <w:i/>
          <w:sz w:val="20"/>
          <w:szCs w:val="20"/>
        </w:rPr>
        <w:t>prospective</w:t>
      </w:r>
      <w:proofErr w:type="spellEnd"/>
      <w:r w:rsidRPr="007372FB">
        <w:rPr>
          <w:rFonts w:ascii="Times New Roman" w:hAnsi="Times New Roman" w:cs="Times New Roman"/>
          <w:i/>
          <w:sz w:val="20"/>
          <w:szCs w:val="20"/>
        </w:rPr>
        <w:t xml:space="preserve"> </w:t>
      </w:r>
      <w:proofErr w:type="spellStart"/>
      <w:r w:rsidRPr="007372FB">
        <w:rPr>
          <w:rFonts w:ascii="Times New Roman" w:hAnsi="Times New Roman" w:cs="Times New Roman"/>
          <w:i/>
          <w:sz w:val="20"/>
          <w:szCs w:val="20"/>
        </w:rPr>
        <w:t>overruling</w:t>
      </w:r>
      <w:proofErr w:type="spellEnd"/>
      <w:r w:rsidRPr="007372FB">
        <w:rPr>
          <w:rFonts w:ascii="Times New Roman" w:hAnsi="Times New Roman" w:cs="Times New Roman"/>
          <w:i/>
          <w:sz w:val="20"/>
          <w:szCs w:val="20"/>
        </w:rPr>
        <w:t>”.</w:t>
      </w:r>
    </w:p>
  </w:footnote>
  <w:footnote w:id="21">
    <w:p w:rsidR="00DC6DE7" w:rsidRPr="007372FB" w:rsidRDefault="00DC6DE7">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Tutte le pronunce rese dall’Adunanza Plenaria qui richiamate sono disponibili sul sito della giustizia amministrativa nella sezione “Decisioni e pareri</w:t>
      </w:r>
      <w:r w:rsidRPr="007372FB">
        <w:rPr>
          <w:rFonts w:ascii="Times New Roman" w:hAnsi="Times New Roman" w:cs="Times New Roman"/>
          <w:i/>
        </w:rPr>
        <w:t xml:space="preserve">”,  </w:t>
      </w:r>
      <w:hyperlink r:id="rId6" w:history="1">
        <w:r w:rsidRPr="007372FB">
          <w:rPr>
            <w:rStyle w:val="Collegamentoipertestuale"/>
            <w:rFonts w:ascii="Times New Roman" w:hAnsi="Times New Roman" w:cs="Times New Roman"/>
            <w:i/>
          </w:rPr>
          <w:t>www.giustizia-amministrativa.it</w:t>
        </w:r>
      </w:hyperlink>
      <w:r w:rsidRPr="007372FB">
        <w:rPr>
          <w:rFonts w:ascii="Times New Roman" w:hAnsi="Times New Roman" w:cs="Times New Roman"/>
        </w:rPr>
        <w:t xml:space="preserve"> </w:t>
      </w:r>
    </w:p>
  </w:footnote>
  <w:footnote w:id="22">
    <w:p w:rsidR="00DC6DE7" w:rsidRPr="007372FB" w:rsidRDefault="00DC6DE7">
      <w:pPr>
        <w:pStyle w:val="Testonotaapidipagina"/>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proofErr w:type="spellStart"/>
      <w:r w:rsidRPr="007372FB">
        <w:rPr>
          <w:rFonts w:ascii="Times New Roman" w:hAnsi="Times New Roman" w:cs="Times New Roman"/>
        </w:rPr>
        <w:t>Cons</w:t>
      </w:r>
      <w:proofErr w:type="spellEnd"/>
      <w:r w:rsidRPr="007372FB">
        <w:rPr>
          <w:rFonts w:ascii="Times New Roman" w:hAnsi="Times New Roman" w:cs="Times New Roman"/>
        </w:rPr>
        <w:t>. Stato, sentenza 16 aprile 2015, n. 1973, reperibile sul sito</w:t>
      </w:r>
      <w:r w:rsidRPr="007372FB">
        <w:rPr>
          <w:rFonts w:ascii="Times New Roman" w:hAnsi="Times New Roman" w:cs="Times New Roman"/>
          <w:i/>
        </w:rPr>
        <w:t xml:space="preserve"> </w:t>
      </w:r>
      <w:hyperlink r:id="rId7" w:history="1">
        <w:r w:rsidRPr="007372FB">
          <w:rPr>
            <w:rStyle w:val="Collegamentoipertestuale"/>
            <w:rFonts w:ascii="Times New Roman" w:hAnsi="Times New Roman" w:cs="Times New Roman"/>
            <w:i/>
          </w:rPr>
          <w:t>www.giustizia-amministrativa.it</w:t>
        </w:r>
      </w:hyperlink>
      <w:r w:rsidRPr="007372FB">
        <w:rPr>
          <w:rFonts w:ascii="Times New Roman" w:hAnsi="Times New Roman" w:cs="Times New Roman"/>
          <w:i/>
        </w:rPr>
        <w:t xml:space="preserve"> </w:t>
      </w:r>
    </w:p>
    <w:p w:rsidR="00DC6DE7" w:rsidRPr="007372FB" w:rsidRDefault="00DC6DE7">
      <w:pPr>
        <w:pStyle w:val="Testonotaapidipagina"/>
        <w:rPr>
          <w:rFonts w:ascii="Times New Roman" w:hAnsi="Times New Roman" w:cs="Times New Roman"/>
          <w:i/>
        </w:rPr>
      </w:pPr>
      <w:r w:rsidRPr="007372FB">
        <w:rPr>
          <w:rFonts w:ascii="Times New Roman" w:hAnsi="Times New Roman" w:cs="Times New Roman"/>
          <w:i/>
        </w:rPr>
        <w:t xml:space="preserve"> </w:t>
      </w:r>
    </w:p>
  </w:footnote>
  <w:footnote w:id="23">
    <w:p w:rsidR="00DC6DE7" w:rsidRPr="007372FB" w:rsidRDefault="00DC6DE7" w:rsidP="006732CE">
      <w:pPr>
        <w:pStyle w:val="Testonotaapidipagina"/>
        <w:jc w:val="both"/>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w:t>
      </w:r>
      <w:proofErr w:type="spellStart"/>
      <w:r w:rsidRPr="007372FB">
        <w:rPr>
          <w:rFonts w:ascii="Times New Roman" w:hAnsi="Times New Roman" w:cs="Times New Roman"/>
        </w:rPr>
        <w:t>Cons</w:t>
      </w:r>
      <w:proofErr w:type="spellEnd"/>
      <w:r w:rsidRPr="007372FB">
        <w:rPr>
          <w:rFonts w:ascii="Times New Roman" w:hAnsi="Times New Roman" w:cs="Times New Roman"/>
        </w:rPr>
        <w:t xml:space="preserve">. Stato, Sezione VI, ordinanza 4 dicembre 2018, n.6685, in </w:t>
      </w:r>
      <w:hyperlink r:id="rId8" w:history="1">
        <w:r w:rsidRPr="007372FB">
          <w:rPr>
            <w:rStyle w:val="Collegamentoipertestuale"/>
            <w:rFonts w:ascii="Times New Roman" w:hAnsi="Times New Roman" w:cs="Times New Roman"/>
            <w:i/>
          </w:rPr>
          <w:t>www.giustizia-amministrativa.it</w:t>
        </w:r>
      </w:hyperlink>
      <w:r w:rsidRPr="007372FB">
        <w:rPr>
          <w:rFonts w:ascii="Times New Roman" w:hAnsi="Times New Roman" w:cs="Times New Roman"/>
        </w:rPr>
        <w:t>;</w:t>
      </w:r>
      <w:r w:rsidR="002B5332">
        <w:rPr>
          <w:rFonts w:ascii="Times New Roman" w:hAnsi="Times New Roman" w:cs="Times New Roman"/>
        </w:rPr>
        <w:t xml:space="preserve"> La sentenza n. 4/19 è stata resa a seguito di rimessione d’ufficio da parte del Presidente del Consiglio di Stato con DPCS 20 novembre 2018, n. 163.</w:t>
      </w:r>
    </w:p>
  </w:footnote>
  <w:footnote w:id="24">
    <w:p w:rsidR="0032169C" w:rsidRPr="007372FB" w:rsidRDefault="0032169C">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Style w:val="Rimandonotaapidipagina"/>
          <w:rFonts w:ascii="Times New Roman" w:hAnsi="Times New Roman" w:cs="Times New Roman"/>
        </w:rPr>
        <w:t xml:space="preserve"> </w:t>
      </w:r>
      <w:r w:rsidRPr="007372FB">
        <w:rPr>
          <w:rFonts w:ascii="Times New Roman" w:hAnsi="Times New Roman" w:cs="Times New Roman"/>
        </w:rPr>
        <w:t xml:space="preserve">Per una compiuta disamina sul principio del concorso pubblico nella Costituzione, cfr. M. Allena e M. </w:t>
      </w:r>
      <w:proofErr w:type="spellStart"/>
      <w:r w:rsidRPr="007372FB">
        <w:rPr>
          <w:rFonts w:ascii="Times New Roman" w:hAnsi="Times New Roman" w:cs="Times New Roman"/>
        </w:rPr>
        <w:t>Trimarchi</w:t>
      </w:r>
      <w:proofErr w:type="spellEnd"/>
      <w:r w:rsidRPr="007372FB">
        <w:rPr>
          <w:rFonts w:ascii="Times New Roman" w:hAnsi="Times New Roman" w:cs="Times New Roman"/>
        </w:rPr>
        <w:t xml:space="preserve">, “La Costituzione dimenticata: il principio del concorso pubblico”, in </w:t>
      </w:r>
      <w:r w:rsidRPr="007372FB">
        <w:rPr>
          <w:rFonts w:ascii="Times New Roman" w:hAnsi="Times New Roman" w:cs="Times New Roman"/>
          <w:i/>
        </w:rPr>
        <w:t>La Costituzione Dimenticata</w:t>
      </w:r>
      <w:r w:rsidRPr="007372FB">
        <w:rPr>
          <w:rFonts w:ascii="Times New Roman" w:hAnsi="Times New Roman" w:cs="Times New Roman"/>
        </w:rPr>
        <w:t xml:space="preserve">, a cura di S. </w:t>
      </w:r>
      <w:proofErr w:type="spellStart"/>
      <w:r w:rsidRPr="007372FB">
        <w:rPr>
          <w:rFonts w:ascii="Times New Roman" w:hAnsi="Times New Roman" w:cs="Times New Roman"/>
        </w:rPr>
        <w:t>Cassese</w:t>
      </w:r>
      <w:proofErr w:type="spellEnd"/>
      <w:r w:rsidRPr="007372FB">
        <w:rPr>
          <w:rFonts w:ascii="Times New Roman" w:hAnsi="Times New Roman" w:cs="Times New Roman"/>
        </w:rPr>
        <w:t>, 1/2021, pp.379-404</w:t>
      </w:r>
    </w:p>
  </w:footnote>
  <w:footnote w:id="25">
    <w:p w:rsidR="006732CE" w:rsidRPr="007372FB" w:rsidRDefault="006732CE" w:rsidP="006732CE">
      <w:pPr>
        <w:pStyle w:val="Testonotaapidipagina"/>
        <w:jc w:val="both"/>
        <w:rPr>
          <w:rFonts w:ascii="Times New Roman" w:hAnsi="Times New Roman" w:cs="Times New Roman"/>
          <w:i/>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La conclusione è coerente con le determinazioni dell’Adunanza Plenaria n. 11/2017, secondo cui: </w:t>
      </w:r>
      <w:r w:rsidRPr="007372FB">
        <w:rPr>
          <w:rFonts w:ascii="Times New Roman" w:hAnsi="Times New Roman" w:cs="Times New Roman"/>
          <w:i/>
        </w:rPr>
        <w:t xml:space="preserve">La norma appena trascritta – art. 1 </w:t>
      </w:r>
      <w:proofErr w:type="spellStart"/>
      <w:r w:rsidRPr="007372FB">
        <w:rPr>
          <w:rFonts w:ascii="Times New Roman" w:hAnsi="Times New Roman" w:cs="Times New Roman"/>
          <w:i/>
        </w:rPr>
        <w:t>d.m.</w:t>
      </w:r>
      <w:proofErr w:type="spellEnd"/>
      <w:r w:rsidRPr="007372FB">
        <w:rPr>
          <w:rFonts w:ascii="Times New Roman" w:hAnsi="Times New Roman" w:cs="Times New Roman"/>
          <w:i/>
        </w:rPr>
        <w:t xml:space="preserve"> 10 marzo 1997 - esprime con chiarezza qual è il valore legale del titolo di diploma magistrale conservato in via permanente: pure in un contesto ordinamentale che, con la concreta attivazione dei corsi di laurea in scienza della formazione, ormai prevede come requisito necessario il possesso della laurea, il diploma magistrale, se conseguito entro </w:t>
      </w:r>
      <w:proofErr w:type="spellStart"/>
      <w:r w:rsidRPr="007372FB">
        <w:rPr>
          <w:rFonts w:ascii="Times New Roman" w:hAnsi="Times New Roman" w:cs="Times New Roman"/>
          <w:i/>
        </w:rPr>
        <w:t>l’a.s.</w:t>
      </w:r>
      <w:proofErr w:type="spellEnd"/>
      <w:r w:rsidRPr="007372FB">
        <w:rPr>
          <w:rFonts w:ascii="Times New Roman" w:hAnsi="Times New Roman" w:cs="Times New Roman"/>
          <w:i/>
        </w:rPr>
        <w:t xml:space="preserve"> 2001/2002, rimane titolo di studio idoneo a consentire la partecipazione alle sessioni di abilitazione all’insegnamento o ai concorsi per titoli ed esame a posti di insegnamento, ma di per sé non consente l’immediato accesso ai ruoli. Il valore legale conservato in via permanente, quindi, si esaurisce nella possibilità di partecipare alle sessioni di abilitazioni o ai concorsi, dovendo leggersi la l’espressione “conservano in via permanente l’attuale valore legale e consentono di partecipare […]” in senso necessariamente complementare e coordinato, nel senso, appunto, che si tratti di un’endiadi (…) Ciò implica che il valore legale del diploma magistrale può essere riconosciuto solo nei limiti previsti dalla disciplina transitoria in esame, ossia in via “strumentale”, nel senso, come si è chiarito, di consentire a coloro che lo hanno conseguito entro </w:t>
      </w:r>
      <w:proofErr w:type="spellStart"/>
      <w:r w:rsidRPr="007372FB">
        <w:rPr>
          <w:rFonts w:ascii="Times New Roman" w:hAnsi="Times New Roman" w:cs="Times New Roman"/>
          <w:i/>
        </w:rPr>
        <w:t>l’a.s.</w:t>
      </w:r>
      <w:proofErr w:type="spellEnd"/>
      <w:r w:rsidRPr="007372FB">
        <w:rPr>
          <w:rFonts w:ascii="Times New Roman" w:hAnsi="Times New Roman" w:cs="Times New Roman"/>
          <w:i/>
        </w:rPr>
        <w:t xml:space="preserve"> 2001/2002 di partecipare alle sessioni di abilitazioni o ai concorsi pur se privi del diploma di laurea nel frattempo istituito dal legislatore. In tal modo, la richiamata disciplina transitoria ha mostrato di tenere in debito conto la posizione di chi avesse conseguito il titolo del diploma magistrale precedentemente alla riforma operata con la legge 19 novembre 1990, n. 341 e non fosse già immesso in ruolo alla data di entrata in vigore del </w:t>
      </w:r>
      <w:proofErr w:type="spellStart"/>
      <w:r w:rsidRPr="007372FB">
        <w:rPr>
          <w:rFonts w:ascii="Times New Roman" w:hAnsi="Times New Roman" w:cs="Times New Roman"/>
          <w:i/>
        </w:rPr>
        <w:t>d.m.</w:t>
      </w:r>
      <w:proofErr w:type="spellEnd"/>
      <w:r w:rsidRPr="007372FB">
        <w:rPr>
          <w:rFonts w:ascii="Times New Roman" w:hAnsi="Times New Roman" w:cs="Times New Roman"/>
          <w:i/>
        </w:rPr>
        <w:t xml:space="preserve"> 10 marzo 1997, consentendogli la partecipazione a procedure selettive riservate ai fini del conseguimento di un titolo idoneo a consentire l’iscrizione nelle graduatorie. (….) Ne deriva che per coloro che hanno</w:t>
      </w:r>
      <w:r w:rsidRPr="007372FB">
        <w:rPr>
          <w:rFonts w:ascii="Times New Roman" w:hAnsi="Times New Roman" w:cs="Times New Roman"/>
        </w:rPr>
        <w:t xml:space="preserve"> </w:t>
      </w:r>
      <w:r w:rsidRPr="007372FB">
        <w:rPr>
          <w:rFonts w:ascii="Times New Roman" w:hAnsi="Times New Roman" w:cs="Times New Roman"/>
          <w:i/>
        </w:rPr>
        <w:t xml:space="preserve">ritenuto di non conformare il titolo di studio posseduto alle finalità formative richieste dalla normativa statale sopravvenuta in materia di abilitazione all’insegnamento nella scuola elementare, il possesso del solo diploma magistrale non consente l’inserimento nelle graduatorie dei concorsi per soli titoli (attuali graduatorie ad esaurimento). In definitiva, quindi, l’abilitazione all’insegnamento nella scuola materna ed elementare ex artt. 194 e 197 del D.lgs. 297/1994, e </w:t>
      </w:r>
      <w:proofErr w:type="spellStart"/>
      <w:r w:rsidRPr="007372FB">
        <w:rPr>
          <w:rFonts w:ascii="Times New Roman" w:hAnsi="Times New Roman" w:cs="Times New Roman"/>
          <w:i/>
        </w:rPr>
        <w:t>d.P.R.</w:t>
      </w:r>
      <w:proofErr w:type="spellEnd"/>
      <w:r w:rsidRPr="007372FB">
        <w:rPr>
          <w:rFonts w:ascii="Times New Roman" w:hAnsi="Times New Roman" w:cs="Times New Roman"/>
          <w:i/>
        </w:rPr>
        <w:t xml:space="preserve"> 323/1998, non ha mai costituito titolo sufficiente per l’inserimento nelle graduatorie permanenti istituite dall’art. 401 D.lgs. 297/1994, essendo, invece, previsto a tale fine il superamento di procedure di natura concorsuale (concorsi regionali per titoli ed esami) rispetto alle quali il diploma magistrale costituiva requisito di partecipazione (ai sensi dell’art. 402 D.lgs. 297/1994).</w:t>
      </w:r>
    </w:p>
  </w:footnote>
  <w:footnote w:id="26">
    <w:p w:rsidR="00231D38" w:rsidRPr="007372FB" w:rsidRDefault="00231D38">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Così Ad. </w:t>
      </w:r>
      <w:proofErr w:type="spellStart"/>
      <w:r w:rsidRPr="007372FB">
        <w:rPr>
          <w:rFonts w:ascii="Times New Roman" w:hAnsi="Times New Roman" w:cs="Times New Roman"/>
        </w:rPr>
        <w:t>Pl</w:t>
      </w:r>
      <w:proofErr w:type="spellEnd"/>
      <w:r w:rsidRPr="007372FB">
        <w:rPr>
          <w:rFonts w:ascii="Times New Roman" w:hAnsi="Times New Roman" w:cs="Times New Roman"/>
        </w:rPr>
        <w:t>. 4-5 del 2019</w:t>
      </w:r>
    </w:p>
  </w:footnote>
  <w:footnote w:id="27">
    <w:p w:rsidR="00607258" w:rsidRPr="007372FB" w:rsidRDefault="00607258">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Sulla differenza tra “atti meramente confermativi” e “atti di conferma in senso proprio” si segnala la recente pronuncia resa dalla III Sez. del Consiglio di Stato, 24 dicembre 2021, n. 8590 reperibile sul sito istituzionale</w:t>
      </w:r>
      <w:r w:rsidRPr="007372FB">
        <w:rPr>
          <w:rFonts w:ascii="Times New Roman" w:hAnsi="Times New Roman" w:cs="Times New Roman"/>
          <w:i/>
        </w:rPr>
        <w:t xml:space="preserve"> </w:t>
      </w:r>
      <w:hyperlink r:id="rId9" w:history="1">
        <w:r w:rsidR="00933FA6" w:rsidRPr="007372FB">
          <w:rPr>
            <w:rStyle w:val="Collegamentoipertestuale"/>
            <w:rFonts w:ascii="Times New Roman" w:hAnsi="Times New Roman" w:cs="Times New Roman"/>
            <w:i/>
          </w:rPr>
          <w:t>www.giustizia-amministrativa.it</w:t>
        </w:r>
      </w:hyperlink>
      <w:r w:rsidR="00933FA6" w:rsidRPr="007372FB">
        <w:rPr>
          <w:rFonts w:ascii="Times New Roman" w:hAnsi="Times New Roman" w:cs="Times New Roman"/>
          <w:i/>
        </w:rPr>
        <w:t xml:space="preserve"> </w:t>
      </w:r>
      <w:r w:rsidR="00933FA6" w:rsidRPr="007372FB">
        <w:rPr>
          <w:rFonts w:ascii="Times New Roman" w:hAnsi="Times New Roman" w:cs="Times New Roman"/>
        </w:rPr>
        <w:t xml:space="preserve"> </w:t>
      </w:r>
      <w:r w:rsidRPr="007372FB">
        <w:rPr>
          <w:rFonts w:ascii="Times New Roman" w:hAnsi="Times New Roman" w:cs="Times New Roman"/>
        </w:rPr>
        <w:t xml:space="preserve"> </w:t>
      </w:r>
      <w:r w:rsidR="00933FA6" w:rsidRPr="007372FB">
        <w:rPr>
          <w:rFonts w:ascii="Times New Roman" w:hAnsi="Times New Roman" w:cs="Times New Roman"/>
        </w:rPr>
        <w:t xml:space="preserve"> </w:t>
      </w:r>
    </w:p>
  </w:footnote>
  <w:footnote w:id="28">
    <w:p w:rsidR="00A328CE" w:rsidRPr="007372FB" w:rsidRDefault="00A328CE">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Sul punto si rinvia alla motivazione della sentenza, pp. 31.37 </w:t>
      </w:r>
    </w:p>
  </w:footnote>
  <w:footnote w:id="29">
    <w:p w:rsidR="007372FB" w:rsidRPr="007372FB" w:rsidRDefault="007372FB">
      <w:pPr>
        <w:pStyle w:val="Testonotaapidipagina"/>
        <w:rPr>
          <w:rFonts w:ascii="Times New Roman" w:hAnsi="Times New Roman" w:cs="Times New Roman"/>
        </w:rPr>
      </w:pPr>
      <w:r w:rsidRPr="007372FB">
        <w:rPr>
          <w:rStyle w:val="Rimandonotaapidipagina"/>
          <w:rFonts w:ascii="Times New Roman" w:hAnsi="Times New Roman" w:cs="Times New Roman"/>
        </w:rPr>
        <w:footnoteRef/>
      </w:r>
      <w:r w:rsidRPr="007372FB">
        <w:rPr>
          <w:rFonts w:ascii="Times New Roman" w:hAnsi="Times New Roman" w:cs="Times New Roman"/>
        </w:rPr>
        <w:t xml:space="preserve"> Così M. Allena e M. </w:t>
      </w:r>
      <w:proofErr w:type="spellStart"/>
      <w:r w:rsidRPr="007372FB">
        <w:rPr>
          <w:rFonts w:ascii="Times New Roman" w:hAnsi="Times New Roman" w:cs="Times New Roman"/>
        </w:rPr>
        <w:t>Trimarchi</w:t>
      </w:r>
      <w:proofErr w:type="spellEnd"/>
      <w:r w:rsidRPr="007372FB">
        <w:rPr>
          <w:rFonts w:ascii="Times New Roman" w:hAnsi="Times New Roman" w:cs="Times New Roman"/>
        </w:rPr>
        <w:t xml:space="preserve">, </w:t>
      </w:r>
      <w:r w:rsidRPr="007372FB">
        <w:rPr>
          <w:rFonts w:ascii="Times New Roman" w:hAnsi="Times New Roman" w:cs="Times New Roman"/>
          <w:i/>
        </w:rPr>
        <w:t>op. cit.</w:t>
      </w:r>
      <w:r w:rsidRPr="007372FB">
        <w:rPr>
          <w:rFonts w:ascii="Times New Roman" w:hAnsi="Times New Roman" w:cs="Times New Roman"/>
        </w:rPr>
        <w:t xml:space="preserve">, in cui viene richiamata Corte </w:t>
      </w:r>
      <w:proofErr w:type="spellStart"/>
      <w:r w:rsidRPr="007372FB">
        <w:rPr>
          <w:rFonts w:ascii="Times New Roman" w:hAnsi="Times New Roman" w:cs="Times New Roman"/>
        </w:rPr>
        <w:t>Cost</w:t>
      </w:r>
      <w:proofErr w:type="spellEnd"/>
      <w:r w:rsidRPr="007372FB">
        <w:rPr>
          <w:rFonts w:ascii="Times New Roman" w:hAnsi="Times New Roman" w:cs="Times New Roman"/>
        </w:rPr>
        <w:t>. 4 dicembre 1968, n. 123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A1ACE"/>
    <w:multiLevelType w:val="hybridMultilevel"/>
    <w:tmpl w:val="AC1E9E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21664D"/>
    <w:multiLevelType w:val="hybridMultilevel"/>
    <w:tmpl w:val="2764B010"/>
    <w:lvl w:ilvl="0" w:tplc="E26C0A86">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B5"/>
    <w:rsid w:val="00003436"/>
    <w:rsid w:val="000350DB"/>
    <w:rsid w:val="00047215"/>
    <w:rsid w:val="000575D3"/>
    <w:rsid w:val="00065E6A"/>
    <w:rsid w:val="000728E9"/>
    <w:rsid w:val="0007445A"/>
    <w:rsid w:val="00097471"/>
    <w:rsid w:val="000D0362"/>
    <w:rsid w:val="0011748E"/>
    <w:rsid w:val="00125091"/>
    <w:rsid w:val="00132654"/>
    <w:rsid w:val="001328AE"/>
    <w:rsid w:val="00166A56"/>
    <w:rsid w:val="001C2999"/>
    <w:rsid w:val="001C61F6"/>
    <w:rsid w:val="00231D38"/>
    <w:rsid w:val="0027485D"/>
    <w:rsid w:val="00274CE2"/>
    <w:rsid w:val="002A328E"/>
    <w:rsid w:val="002A44FE"/>
    <w:rsid w:val="002B5332"/>
    <w:rsid w:val="002B7597"/>
    <w:rsid w:val="002C6435"/>
    <w:rsid w:val="0032169C"/>
    <w:rsid w:val="00322F3F"/>
    <w:rsid w:val="003274BB"/>
    <w:rsid w:val="0037650B"/>
    <w:rsid w:val="0039053A"/>
    <w:rsid w:val="003A646D"/>
    <w:rsid w:val="003D3208"/>
    <w:rsid w:val="003D3E2B"/>
    <w:rsid w:val="003E1204"/>
    <w:rsid w:val="003E5BD0"/>
    <w:rsid w:val="00444D0E"/>
    <w:rsid w:val="00446CD2"/>
    <w:rsid w:val="004557E3"/>
    <w:rsid w:val="00487D59"/>
    <w:rsid w:val="004A5250"/>
    <w:rsid w:val="004B743E"/>
    <w:rsid w:val="004C7ED1"/>
    <w:rsid w:val="005265FD"/>
    <w:rsid w:val="00553783"/>
    <w:rsid w:val="00583823"/>
    <w:rsid w:val="00585B05"/>
    <w:rsid w:val="005B4F8B"/>
    <w:rsid w:val="005C28B9"/>
    <w:rsid w:val="005E30E0"/>
    <w:rsid w:val="00607258"/>
    <w:rsid w:val="006203FE"/>
    <w:rsid w:val="00641DFD"/>
    <w:rsid w:val="00670A9C"/>
    <w:rsid w:val="006732CE"/>
    <w:rsid w:val="00682E53"/>
    <w:rsid w:val="006A1E3B"/>
    <w:rsid w:val="006C6B72"/>
    <w:rsid w:val="006E35C2"/>
    <w:rsid w:val="006F47D8"/>
    <w:rsid w:val="00720927"/>
    <w:rsid w:val="00724DD1"/>
    <w:rsid w:val="00725803"/>
    <w:rsid w:val="007372FB"/>
    <w:rsid w:val="00757E92"/>
    <w:rsid w:val="00760956"/>
    <w:rsid w:val="0076281E"/>
    <w:rsid w:val="007A2273"/>
    <w:rsid w:val="007B3498"/>
    <w:rsid w:val="007F18D9"/>
    <w:rsid w:val="00805579"/>
    <w:rsid w:val="00821EDE"/>
    <w:rsid w:val="00822031"/>
    <w:rsid w:val="0082748E"/>
    <w:rsid w:val="00863530"/>
    <w:rsid w:val="008B380A"/>
    <w:rsid w:val="008C652B"/>
    <w:rsid w:val="008D0114"/>
    <w:rsid w:val="008F7CB7"/>
    <w:rsid w:val="00910F56"/>
    <w:rsid w:val="009144AD"/>
    <w:rsid w:val="00933FA6"/>
    <w:rsid w:val="0099196D"/>
    <w:rsid w:val="009A70E8"/>
    <w:rsid w:val="009C0B3D"/>
    <w:rsid w:val="009C555C"/>
    <w:rsid w:val="009E498A"/>
    <w:rsid w:val="009E558B"/>
    <w:rsid w:val="009F66BD"/>
    <w:rsid w:val="00A03610"/>
    <w:rsid w:val="00A21347"/>
    <w:rsid w:val="00A328CE"/>
    <w:rsid w:val="00A33D41"/>
    <w:rsid w:val="00A677F7"/>
    <w:rsid w:val="00A724C4"/>
    <w:rsid w:val="00AA33ED"/>
    <w:rsid w:val="00AE7C56"/>
    <w:rsid w:val="00B1059D"/>
    <w:rsid w:val="00B27D38"/>
    <w:rsid w:val="00B61513"/>
    <w:rsid w:val="00B70611"/>
    <w:rsid w:val="00B900B5"/>
    <w:rsid w:val="00B9387D"/>
    <w:rsid w:val="00BB1104"/>
    <w:rsid w:val="00BC0BE4"/>
    <w:rsid w:val="00BC727F"/>
    <w:rsid w:val="00C43808"/>
    <w:rsid w:val="00C548F9"/>
    <w:rsid w:val="00C913C4"/>
    <w:rsid w:val="00C955F7"/>
    <w:rsid w:val="00CC1AEC"/>
    <w:rsid w:val="00CE3A75"/>
    <w:rsid w:val="00D016A9"/>
    <w:rsid w:val="00D02567"/>
    <w:rsid w:val="00D417F6"/>
    <w:rsid w:val="00D46DAB"/>
    <w:rsid w:val="00D60F1C"/>
    <w:rsid w:val="00DB1090"/>
    <w:rsid w:val="00DC6DE7"/>
    <w:rsid w:val="00DD5E1D"/>
    <w:rsid w:val="00DE5B1C"/>
    <w:rsid w:val="00E04A7C"/>
    <w:rsid w:val="00E255BA"/>
    <w:rsid w:val="00E4097A"/>
    <w:rsid w:val="00E6082E"/>
    <w:rsid w:val="00E97C17"/>
    <w:rsid w:val="00F15799"/>
    <w:rsid w:val="00F52B6C"/>
    <w:rsid w:val="00F7404D"/>
    <w:rsid w:val="00FA056F"/>
    <w:rsid w:val="00FB1DEE"/>
    <w:rsid w:val="00FC29F6"/>
    <w:rsid w:val="00FC5001"/>
    <w:rsid w:val="00FD6392"/>
    <w:rsid w:val="00FE78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D26B1"/>
  <w15:chartTrackingRefBased/>
  <w15:docId w15:val="{03C71859-D44C-44DE-8A65-2FD52BDC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2C6435"/>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B1DEE"/>
    <w:pPr>
      <w:spacing w:after="0" w:line="240" w:lineRule="auto"/>
    </w:pPr>
  </w:style>
  <w:style w:type="paragraph" w:styleId="Testonotaapidipagina">
    <w:name w:val="footnote text"/>
    <w:basedOn w:val="Normale"/>
    <w:link w:val="TestonotaapidipaginaCarattere"/>
    <w:uiPriority w:val="99"/>
    <w:semiHidden/>
    <w:unhideWhenUsed/>
    <w:rsid w:val="00FB1DEE"/>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B1DEE"/>
    <w:rPr>
      <w:sz w:val="20"/>
      <w:szCs w:val="20"/>
    </w:rPr>
  </w:style>
  <w:style w:type="character" w:styleId="Rimandonotaapidipagina">
    <w:name w:val="footnote reference"/>
    <w:basedOn w:val="Carpredefinitoparagrafo"/>
    <w:uiPriority w:val="99"/>
    <w:semiHidden/>
    <w:unhideWhenUsed/>
    <w:rsid w:val="00FB1DEE"/>
    <w:rPr>
      <w:vertAlign w:val="superscript"/>
    </w:rPr>
  </w:style>
  <w:style w:type="paragraph" w:styleId="Paragrafoelenco">
    <w:name w:val="List Paragraph"/>
    <w:basedOn w:val="Normale"/>
    <w:uiPriority w:val="34"/>
    <w:qFormat/>
    <w:rsid w:val="00FB1DEE"/>
    <w:pPr>
      <w:ind w:left="720"/>
      <w:contextualSpacing/>
    </w:pPr>
  </w:style>
  <w:style w:type="character" w:styleId="Collegamentoipertestuale">
    <w:name w:val="Hyperlink"/>
    <w:basedOn w:val="Carpredefinitoparagrafo"/>
    <w:uiPriority w:val="99"/>
    <w:unhideWhenUsed/>
    <w:rsid w:val="0099196D"/>
    <w:rPr>
      <w:color w:val="0563C1" w:themeColor="hyperlink"/>
      <w:u w:val="single"/>
    </w:rPr>
  </w:style>
  <w:style w:type="paragraph" w:customStyle="1" w:styleId="popolo">
    <w:name w:val="popolo"/>
    <w:basedOn w:val="Normale"/>
    <w:rsid w:val="00641DF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2Carattere">
    <w:name w:val="Titolo 2 Carattere"/>
    <w:basedOn w:val="Carpredefinitoparagrafo"/>
    <w:link w:val="Titolo2"/>
    <w:uiPriority w:val="9"/>
    <w:rsid w:val="002C6435"/>
    <w:rPr>
      <w:rFonts w:ascii="Times New Roman" w:eastAsia="Times New Roman" w:hAnsi="Times New Roman" w:cs="Times New Roman"/>
      <w:b/>
      <w:bCs/>
      <w:sz w:val="36"/>
      <w:szCs w:val="36"/>
      <w:lang w:eastAsia="it-IT"/>
    </w:rPr>
  </w:style>
  <w:style w:type="paragraph" w:styleId="Intestazione">
    <w:name w:val="header"/>
    <w:basedOn w:val="Normale"/>
    <w:link w:val="IntestazioneCarattere"/>
    <w:uiPriority w:val="99"/>
    <w:unhideWhenUsed/>
    <w:rsid w:val="00DC6DE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6DE7"/>
  </w:style>
  <w:style w:type="paragraph" w:styleId="Pidipagina">
    <w:name w:val="footer"/>
    <w:basedOn w:val="Normale"/>
    <w:link w:val="PidipaginaCarattere"/>
    <w:uiPriority w:val="99"/>
    <w:unhideWhenUsed/>
    <w:rsid w:val="00DC6DE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6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541358">
      <w:bodyDiv w:val="1"/>
      <w:marLeft w:val="0"/>
      <w:marRight w:val="0"/>
      <w:marTop w:val="0"/>
      <w:marBottom w:val="0"/>
      <w:divBdr>
        <w:top w:val="none" w:sz="0" w:space="0" w:color="auto"/>
        <w:left w:val="none" w:sz="0" w:space="0" w:color="auto"/>
        <w:bottom w:val="none" w:sz="0" w:space="0" w:color="auto"/>
        <w:right w:val="none" w:sz="0" w:space="0" w:color="auto"/>
      </w:divBdr>
    </w:div>
    <w:div w:id="1350179694">
      <w:bodyDiv w:val="1"/>
      <w:marLeft w:val="0"/>
      <w:marRight w:val="0"/>
      <w:marTop w:val="0"/>
      <w:marBottom w:val="0"/>
      <w:divBdr>
        <w:top w:val="none" w:sz="0" w:space="0" w:color="auto"/>
        <w:left w:val="none" w:sz="0" w:space="0" w:color="auto"/>
        <w:bottom w:val="none" w:sz="0" w:space="0" w:color="auto"/>
        <w:right w:val="none" w:sz="0" w:space="0" w:color="auto"/>
      </w:divBdr>
    </w:div>
    <w:div w:id="1629237726">
      <w:bodyDiv w:val="1"/>
      <w:marLeft w:val="0"/>
      <w:marRight w:val="0"/>
      <w:marTop w:val="0"/>
      <w:marBottom w:val="0"/>
      <w:divBdr>
        <w:top w:val="none" w:sz="0" w:space="0" w:color="auto"/>
        <w:left w:val="none" w:sz="0" w:space="0" w:color="auto"/>
        <w:bottom w:val="none" w:sz="0" w:space="0" w:color="auto"/>
        <w:right w:val="none" w:sz="0" w:space="0" w:color="auto"/>
      </w:divBdr>
    </w:div>
    <w:div w:id="1756895581">
      <w:bodyDiv w:val="1"/>
      <w:marLeft w:val="0"/>
      <w:marRight w:val="0"/>
      <w:marTop w:val="0"/>
      <w:marBottom w:val="0"/>
      <w:divBdr>
        <w:top w:val="none" w:sz="0" w:space="0" w:color="auto"/>
        <w:left w:val="none" w:sz="0" w:space="0" w:color="auto"/>
        <w:bottom w:val="none" w:sz="0" w:space="0" w:color="auto"/>
        <w:right w:val="none" w:sz="0" w:space="0" w:color="auto"/>
      </w:divBdr>
    </w:div>
    <w:div w:id="1945114325">
      <w:bodyDiv w:val="1"/>
      <w:marLeft w:val="0"/>
      <w:marRight w:val="0"/>
      <w:marTop w:val="0"/>
      <w:marBottom w:val="0"/>
      <w:divBdr>
        <w:top w:val="none" w:sz="0" w:space="0" w:color="auto"/>
        <w:left w:val="none" w:sz="0" w:space="0" w:color="auto"/>
        <w:bottom w:val="none" w:sz="0" w:space="0" w:color="auto"/>
        <w:right w:val="none" w:sz="0" w:space="0" w:color="auto"/>
      </w:divBdr>
    </w:div>
    <w:div w:id="211046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ustizia-amministrativa.it/portale/pages/istituzionale/visualizza/?nodeRef=&amp;schema=cds&amp;nrg=202002642&amp;nomeFile=202105556_11.html&amp;subDir=Provvediment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iustizia-amministrativa.it/portale/pages/istituzionale/visualizza/?nodeRef=&amp;schema=cds&amp;nrg=202002642&amp;nomeFile=202105556_11.html&amp;subDir=Provvedimenti" TargetMode="External"/><Relationship Id="rId5" Type="http://schemas.openxmlformats.org/officeDocument/2006/relationships/webSettings" Target="webSettings.xml"/><Relationship Id="rId10" Type="http://schemas.openxmlformats.org/officeDocument/2006/relationships/hyperlink" Target="https://www.giustizia-amministrativa.it/portale/pages/istituzionale/visualizza/?nodeRef=&amp;schema=cds&amp;nrg=202002642&amp;nomeFile=202105556_11.html&amp;subDir=Provvedimenti" TargetMode="External"/><Relationship Id="rId4" Type="http://schemas.openxmlformats.org/officeDocument/2006/relationships/settings" Target="settings.xml"/><Relationship Id="rId9" Type="http://schemas.openxmlformats.org/officeDocument/2006/relationships/hyperlink" Target="https://www.giustizia-amministrativa.it/portale/pages/istituzionale/visualizza/?nodeRef=&amp;schema=cds&amp;nrg=202002642&amp;nomeFile=202105556_11.html&amp;subDir=Provvedimenti"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giustizia-amministrativa.it" TargetMode="External"/><Relationship Id="rId3" Type="http://schemas.openxmlformats.org/officeDocument/2006/relationships/hyperlink" Target="http://www.giustizia-amministrativa.it" TargetMode="External"/><Relationship Id="rId7" Type="http://schemas.openxmlformats.org/officeDocument/2006/relationships/hyperlink" Target="http://www.giustizia-amministrativa.it" TargetMode="External"/><Relationship Id="rId2" Type="http://schemas.openxmlformats.org/officeDocument/2006/relationships/hyperlink" Target="http://www.ildirittoamministrativo.it" TargetMode="External"/><Relationship Id="rId1" Type="http://schemas.openxmlformats.org/officeDocument/2006/relationships/hyperlink" Target="https://www.giustizia.it/giustizia/it/mg_1_20_1.page?facetNode_1=1_2%282014%29&amp;facetNode_2=1_2%28201409%29&amp;facetNode_3=0_8_1_5&amp;contentId=SDU1070546&amp;previsiousPage=mg_1_20" TargetMode="External"/><Relationship Id="rId6" Type="http://schemas.openxmlformats.org/officeDocument/2006/relationships/hyperlink" Target="http://www.giustizia-amministrativa.it" TargetMode="External"/><Relationship Id="rId5" Type="http://schemas.openxmlformats.org/officeDocument/2006/relationships/hyperlink" Target="http://www.giustizia-amministrativa.it" TargetMode="External"/><Relationship Id="rId4" Type="http://schemas.openxmlformats.org/officeDocument/2006/relationships/hyperlink" Target="http://www.cortecostituzionale.it" TargetMode="External"/><Relationship Id="rId9" Type="http://schemas.openxmlformats.org/officeDocument/2006/relationships/hyperlink" Target="http://www.giustizia-amministrativ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4D5B5-D54B-4E33-8D3F-99F0F1C0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17</Pages>
  <Words>6493</Words>
  <Characters>37013</Characters>
  <Application>Microsoft Office Word</Application>
  <DocSecurity>0</DocSecurity>
  <Lines>308</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VALENTINI Federica</dc:creator>
  <cp:keywords/>
  <dc:description/>
  <cp:lastModifiedBy>Zambito, Antonia</cp:lastModifiedBy>
  <cp:revision>9</cp:revision>
  <dcterms:created xsi:type="dcterms:W3CDTF">2022-01-23T23:16:00Z</dcterms:created>
  <dcterms:modified xsi:type="dcterms:W3CDTF">2022-01-24T11:14:00Z</dcterms:modified>
</cp:coreProperties>
</file>