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9E8E1" w14:textId="7A82E258" w:rsidR="00EA0311" w:rsidRPr="00E457C2" w:rsidRDefault="00EA0311" w:rsidP="00F95C67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F75A0B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</w:rPr>
        <w:t>I materiali della legge nel giudizio amministrativo</w:t>
      </w:r>
      <w:r w:rsidR="00F75A0B">
        <w:rPr>
          <w:rStyle w:val="Rimandonotaapidipagina"/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6D65C3D4" w14:textId="77777777" w:rsidR="00FA090F" w:rsidRDefault="00FA090F" w:rsidP="00780A1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1E71C744" w14:textId="77777777" w:rsidR="00FA090F" w:rsidRDefault="00FA090F" w:rsidP="00780A1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44FB4A21" w14:textId="6995DCD6" w:rsidR="00EA0311" w:rsidRDefault="00780A15" w:rsidP="00780A1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Sommario: 1. Premessa</w:t>
      </w:r>
      <w:r w:rsidR="00F75A0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2. </w:t>
      </w:r>
      <w:r w:rsidRPr="00780A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Il rapporto del giudice amministrativo con la legge</w:t>
      </w:r>
      <w:r w:rsidR="00F75A0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; </w:t>
      </w:r>
      <w:r w:rsidRPr="00780A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80A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I materiali preparatori della legge</w:t>
      </w:r>
      <w:r w:rsidR="00F75A0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4. </w:t>
      </w:r>
      <w:r w:rsidRPr="00780A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Altri tipi di materiali</w:t>
      </w:r>
      <w:r w:rsidR="00F75A0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22D6533E" w14:textId="77777777" w:rsidR="00720F4F" w:rsidRDefault="00720F4F" w:rsidP="00780A15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</w:p>
    <w:p w14:paraId="0E6C6074" w14:textId="55867EAC" w:rsidR="00963DD6" w:rsidRPr="00A13266" w:rsidRDefault="00963DD6" w:rsidP="00A1326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A1326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Premessa</w:t>
      </w:r>
    </w:p>
    <w:p w14:paraId="0693993A" w14:textId="48D61D4E" w:rsidR="00C208B9" w:rsidRDefault="006F01C3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Quello dei materiali della legge</w:t>
      </w:r>
      <w:r w:rsidR="00116F2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E31B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special modo i lavori preparatori,</w:t>
      </w:r>
      <w:r w:rsidR="00116F2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547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come sussidio </w:t>
      </w:r>
      <w:r w:rsidR="00116F2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interpretativo per il</w:t>
      </w:r>
      <w:r w:rsidR="004547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giudice nel risolvere i casi sottoposti al suo esame</w:t>
      </w:r>
      <w:r w:rsidR="00116F2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4547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E46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è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 tema sempre attuale, ma anche molto antico</w:t>
      </w:r>
      <w:r w:rsidR="00C208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che riguarda</w:t>
      </w:r>
      <w:r w:rsidR="0069455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208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tutti i settori del diritto</w:t>
      </w:r>
      <w:r w:rsidR="0069455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4E6D9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 </w:t>
      </w:r>
      <w:r w:rsidR="0069455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che nel diritto amministrativo assume qualche connotazione particolare</w:t>
      </w:r>
      <w:r w:rsidR="00C208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134F9BC0" w14:textId="592F1B31" w:rsidR="00F81104" w:rsidRDefault="006F01C3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</w:t>
      </w:r>
      <w:r w:rsidR="00433C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realtà, a ben considerare, nel</w:t>
      </w:r>
      <w:r w:rsidR="00F8110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diritto</w:t>
      </w:r>
      <w:r w:rsidR="00433C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amministrativo p</w:t>
      </w:r>
      <w:r w:rsidR="009932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rima </w:t>
      </w:r>
      <w:r w:rsidR="003363B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</w:t>
      </w:r>
      <w:r w:rsidR="00433C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16F2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porre</w:t>
      </w:r>
      <w:r w:rsidR="007E01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questione dei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materiali della legge</w:t>
      </w:r>
      <w:r w:rsidR="00D100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paradossalmente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 potrebbe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quasi capovolgere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la </w:t>
      </w:r>
      <w:r w:rsidR="00A2729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prospettiva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parlare de</w:t>
      </w:r>
      <w:r w:rsidR="002E46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material</w:t>
      </w:r>
      <w:r w:rsidR="002E46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della giurisprudenza nella produzione delle leggi. </w:t>
      </w:r>
    </w:p>
    <w:p w14:paraId="5E5F375A" w14:textId="51F31EF7" w:rsidR="00881896" w:rsidRDefault="006F01C3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Vi sono infatti </w:t>
      </w:r>
      <w:r w:rsidR="00C208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numerosi </w:t>
      </w:r>
      <w:r w:rsidR="00D100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esempi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leggi </w:t>
      </w:r>
      <w:r w:rsidR="00C208B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amministrative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emanate </w:t>
      </w:r>
      <w:r w:rsidR="00D100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recependo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principi emersi </w:t>
      </w:r>
      <w:r w:rsidR="00A2729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via via nella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giurisprudenza</w:t>
      </w:r>
      <w:r w:rsidR="003C01B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A2729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E92C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particolare del Consiglio di Stato </w:t>
      </w:r>
      <w:r w:rsidR="004B6B3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che ha avuto fin dall</w:t>
      </w:r>
      <w:r w:rsidR="00E92C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’istituzione della IV Sezione nel 1889 un ruolo</w:t>
      </w:r>
      <w:r w:rsidR="004E23B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fondamentale nel plasmare il regime giuridico dell’atto </w:t>
      </w:r>
      <w:r w:rsidR="00A41A5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 del procedimento </w:t>
      </w:r>
      <w:r w:rsidR="004E23B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amministrativo e dello stesso processo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49571E09" w14:textId="18FE79AE" w:rsidR="00F81104" w:rsidRDefault="00B54ABF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Da ultimo, a</w:t>
      </w:r>
      <w:r w:rsidR="006F01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nche la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legge di delega</w:t>
      </w:r>
      <w:r w:rsidR="00100B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per la riforma del </w:t>
      </w:r>
      <w:r w:rsidR="009B13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9B13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odice</w:t>
      </w:r>
      <w:r w:rsidR="009B13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dei contratti pubblici</w:t>
      </w:r>
      <w:r w:rsidR="0088189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(legge 21 g</w:t>
      </w:r>
      <w:r w:rsidR="00DE24D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iugno 2022, n. 78)</w:t>
      </w:r>
      <w:r w:rsidR="29D3BABC" w:rsidRPr="009B13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8110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prevede</w:t>
      </w:r>
      <w:r w:rsidR="00A021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criterio generale quell</w:t>
      </w:r>
      <w:r w:rsidR="00A021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adeguar</w:t>
      </w:r>
      <w:r w:rsidR="00A021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 la riforma</w:t>
      </w:r>
      <w:r w:rsidR="004F28E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oltre che al diritto europeo</w:t>
      </w:r>
      <w:r w:rsidR="004F28E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ai principi espressi dalla giurisprudenza della Corte </w:t>
      </w:r>
      <w:r w:rsidR="006F01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ostituzionale e delle giurisdizioni superiori</w:t>
      </w:r>
      <w:r w:rsidR="00DE24D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(art. 1, comma 1)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479EA7EB" w14:textId="2610492D" w:rsidR="005634D7" w:rsidRDefault="00CF7701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 possono richiamare</w:t>
      </w:r>
      <w:r w:rsidR="00BA71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esempi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ancor più </w:t>
      </w:r>
      <w:r w:rsidR="00B54A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rilevanti come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il </w:t>
      </w:r>
      <w:r w:rsidR="009B13A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odice del processo amministrativo</w:t>
      </w:r>
      <w:r w:rsidR="005153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per il quale la legge di delega (l</w:t>
      </w:r>
      <w:r w:rsidR="00303A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egge 18 giugno 2009, n. 69</w:t>
      </w:r>
      <w:r w:rsidR="005153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="0028086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ha posto</w:t>
      </w:r>
      <w:r w:rsidR="005153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021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 principio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</w:t>
      </w:r>
      <w:r w:rsidR="00563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5634D7" w:rsidRPr="00F95C67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adeguare le norme vigenti alla giurisprudenza della Corte costituzionale e delle giurisdizioni superiori</w:t>
      </w:r>
      <w:r w:rsidR="00563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="00303A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(art. 44)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137D2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021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Anche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37D2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legge</w:t>
      </w:r>
      <w:r w:rsidR="00303A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7 agosto 1990, n.</w:t>
      </w:r>
      <w:r w:rsidR="00A0214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241</w:t>
      </w:r>
      <w:r w:rsidR="00BA71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sul procedimento amministrativo</w:t>
      </w:r>
      <w:r w:rsidR="00137D2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 è una legge di principi</w:t>
      </w:r>
      <w:r w:rsidR="00137D2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ha in gran parte legificato</w:t>
      </w:r>
      <w:r w:rsidR="006C16B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razionalizzato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lavor</w:t>
      </w:r>
      <w:r w:rsidR="00EA03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 della giurisprudenza su vari istituti fondamentali, come</w:t>
      </w:r>
      <w:r w:rsidR="00B54A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9932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 esempio,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l’obbligo di motivazione, la revoca</w:t>
      </w:r>
      <w:r w:rsidR="000B4C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l’annullamento d'ufficio. </w:t>
      </w:r>
    </w:p>
    <w:p w14:paraId="5E91A78E" w14:textId="6E947822" w:rsidR="29D3BABC" w:rsidRDefault="29D3BABC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definitiva, veniamo da una tradizione </w:t>
      </w:r>
      <w:r w:rsidR="009932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nella quale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almeno per quanto riguarda il diritto amministrativo generale, spesso il legislatore è andato a</w:t>
      </w:r>
      <w:r w:rsidR="00112D7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seguito della giurisprudenza, </w:t>
      </w:r>
      <w:r w:rsidR="00816C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avallando quella che</w:t>
      </w:r>
      <w:r w:rsidR="002904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come si accennerà</w:t>
      </w:r>
      <w:r w:rsidR="006C16B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qui</w:t>
      </w:r>
      <w:r w:rsidR="002904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seguito,</w:t>
      </w:r>
      <w:r w:rsidR="00816C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è stata definita come “normazione giurisprudenziale”,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piuttosto che viceversa.</w:t>
      </w:r>
    </w:p>
    <w:p w14:paraId="50D1B44D" w14:textId="77777777" w:rsidR="00CF7701" w:rsidRPr="00E457C2" w:rsidRDefault="00CF7701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030B91C" w14:textId="70E6C63D" w:rsidR="00963DD6" w:rsidRPr="00A13266" w:rsidRDefault="00AC7219" w:rsidP="00A1326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14483329"/>
      <w:r w:rsidRPr="00A1326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Il rapporto del giudice amministrativo con la legge</w:t>
      </w:r>
    </w:p>
    <w:bookmarkEnd w:id="1"/>
    <w:p w14:paraId="317CBC90" w14:textId="3859B8A8" w:rsidR="006C16B7" w:rsidRDefault="00290465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Conviene</w:t>
      </w:r>
      <w:r w:rsidR="00A864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204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svolgere qualche</w:t>
      </w:r>
      <w:r w:rsidR="00F224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ulteriore</w:t>
      </w:r>
      <w:r w:rsidR="006204C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considerazione </w:t>
      </w:r>
      <w:r w:rsidR="006C16B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</w:t>
      </w:r>
      <w:r w:rsidR="00B245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 ruolo</w:t>
      </w:r>
      <w:r w:rsidR="006C16B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224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 giudice amministrativo</w:t>
      </w:r>
      <w:r w:rsidR="003363B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F224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245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più che come interprete</w:t>
      </w:r>
      <w:r w:rsidR="00840A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“bocca della legge”</w:t>
      </w:r>
      <w:r w:rsidR="003363B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B245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come</w:t>
      </w:r>
      <w:r w:rsidR="00F224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creatore d</w:t>
      </w:r>
      <w:r w:rsidR="000452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 norme che </w:t>
      </w:r>
      <w:r w:rsidR="00920A4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talora</w:t>
      </w:r>
      <w:r w:rsidR="000452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come</w:t>
      </w:r>
      <w:r w:rsidR="00840A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già</w:t>
      </w:r>
      <w:r w:rsidR="000452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chiarito, ricevono poi un riconoscimento formale </w:t>
      </w:r>
      <w:r w:rsidR="0004526E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ex post</w:t>
      </w:r>
      <w:r w:rsidR="000452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 parte del legislatore</w:t>
      </w:r>
      <w:r w:rsidR="00920A47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2"/>
      </w:r>
      <w:r w:rsidR="000452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B2073D4" w14:textId="5FAFBCB5" w:rsidR="006554ED" w:rsidRDefault="006554ED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 problema è più in generale quello del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rapporto giudice amministrativo-legge,</w:t>
      </w:r>
      <w:r w:rsidR="00CA5AC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24A0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cioè </w:t>
      </w:r>
      <w:r w:rsidR="00756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parametri normativi</w:t>
      </w:r>
      <w:r w:rsidR="0022232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dei principi generali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come base delle decisioni</w:t>
      </w:r>
      <w:r w:rsidR="0022232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 in molti casi il giudice amministrativo tende a costruire in modo creativo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1C4A46C9" w14:textId="10FF19E4" w:rsidR="008D65B1" w:rsidRDefault="00A864B1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tal riguardo </w:t>
      </w:r>
      <w:r w:rsidR="0022232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basta ri</w:t>
      </w:r>
      <w:r w:rsidR="006554E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chiamare</w:t>
      </w:r>
      <w:r w:rsidR="0022232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</w:t>
      </w:r>
      <w:r w:rsidR="008D65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dibattito, che </w:t>
      </w:r>
      <w:r w:rsidR="00001BE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lungo tempo </w:t>
      </w:r>
      <w:r w:rsidR="00001BE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ha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agita</w:t>
      </w:r>
      <w:r w:rsidR="00001BE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nostra disciplina, sulla c</w:t>
      </w:r>
      <w:r w:rsidR="00756AA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osiddetta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natura giurisprudenziale del diritto amministrativo</w:t>
      </w:r>
      <w:r w:rsidR="008D65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sull’opportunità </w:t>
      </w:r>
      <w:r w:rsidR="00001BE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di </w:t>
      </w:r>
      <w:r w:rsidR="008D65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non imbrigliare troppo il giudice amministrativo in regole rigide di tipo legislativo.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D65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 stessa codificazione del processo amministrativo</w:t>
      </w:r>
      <w:r w:rsidR="00786E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ancor prima del procedimento amministr</w:t>
      </w:r>
      <w:r w:rsidR="00845F1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786E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tivo</w:t>
      </w:r>
      <w:r w:rsidR="008D65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B3DA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incontrò </w:t>
      </w:r>
      <w:r w:rsidR="006E3D5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all’epoca </w:t>
      </w:r>
      <w:r w:rsidR="00786E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una certa</w:t>
      </w:r>
      <w:r w:rsidR="000B3DA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resistenza da una parte d</w:t>
      </w:r>
      <w:r w:rsidR="00840A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studiosi</w:t>
      </w:r>
      <w:r w:rsidR="000B3DA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 riteneva</w:t>
      </w:r>
      <w:r w:rsidR="00840A1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no</w:t>
      </w:r>
      <w:r w:rsidR="000B3DA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preferibile </w:t>
      </w:r>
      <w:r w:rsidR="000B3DA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lasciare maggior</w:t>
      </w:r>
      <w:r w:rsidR="00EC09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libertà al giudice amministrativo nel plasmare le regole processuali</w:t>
      </w:r>
      <w:r w:rsidR="00786E1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dell’agire amministrativo.</w:t>
      </w:r>
    </w:p>
    <w:p w14:paraId="608FBF67" w14:textId="1AAD7595" w:rsidR="00FA3F97" w:rsidRPr="001F588D" w:rsidRDefault="001240A8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 saggio d</w:t>
      </w:r>
      <w:r w:rsidR="0095752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ell’inizio d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egli anni </w:t>
      </w:r>
      <w:r w:rsidR="006E3D5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’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80</w:t>
      </w:r>
      <w:r w:rsidR="006E3D5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 secolo scorso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Fabio Me</w:t>
      </w:r>
      <w:r w:rsidR="00FA3F9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usi, rivolgendosi a un pubblico</w:t>
      </w:r>
      <w:r w:rsidR="0095752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anche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</w:t>
      </w:r>
      <w:r w:rsidR="008053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giuristi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inglesi</w:t>
      </w:r>
      <w:r w:rsidR="0095752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0541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illustrava le ragioni per le quali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d</w:t>
      </w:r>
      <w:r w:rsidR="00E74BB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iritto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amministrativo na</w:t>
      </w:r>
      <w:r w:rsidR="00845F1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cque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541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 si svilupp</w:t>
      </w:r>
      <w:r w:rsidR="00845F1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ò</w:t>
      </w:r>
      <w:r w:rsidR="000541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come un diritto essenzialmente giurisprudenziale</w:t>
      </w:r>
      <w:r w:rsidR="00BF33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quasi sul modello della </w:t>
      </w:r>
      <w:r w:rsidR="00BF3373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common law</w:t>
      </w:r>
      <w:r w:rsidR="00095322">
        <w:rPr>
          <w:rStyle w:val="Rimandonotaapidipagina"/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footnoteReference w:id="3"/>
      </w:r>
      <w:r w:rsidR="001F58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2540EA15" w14:textId="4219334B" w:rsidR="00FA3F97" w:rsidRPr="00B7408C" w:rsidRDefault="29D3BABC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 prima ragione è</w:t>
      </w:r>
      <w:r w:rsidR="00BF33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legata</w:t>
      </w:r>
      <w:r w:rsidR="006C37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F337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 principio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 </w:t>
      </w:r>
      <w:r w:rsidRPr="00E457C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non liquet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ovvero </w:t>
      </w:r>
      <w:r w:rsidR="006C37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la necessità della </w:t>
      </w:r>
      <w:r w:rsidR="003C01B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IV S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ezione del Consiglio di Stato</w:t>
      </w:r>
      <w:r w:rsidR="0076231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fin dalle sue prime decisioni, di riempire di contenuto </w:t>
      </w:r>
      <w:r w:rsidR="00356A0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le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scarne disposizioni normative processuali</w:t>
      </w:r>
      <w:r w:rsidR="00356A0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poste dalla legge del 1889 istitutiva della Sezione</w:t>
      </w:r>
      <w:r w:rsidR="006C37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integrandole e specificandole</w:t>
      </w:r>
      <w:r w:rsidR="005256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sede interpretativa</w:t>
      </w:r>
      <w:r w:rsidR="00A864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63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tal modo </w:t>
      </w:r>
      <w:r w:rsidR="0052563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nacque</w:t>
      </w:r>
      <w:r w:rsidR="00DC1A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per esempio,</w:t>
      </w:r>
      <w:r w:rsidR="00A864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la nozione di </w:t>
      </w:r>
      <w:r w:rsidR="00FA3F9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eccesso di potere</w:t>
      </w:r>
      <w:r w:rsidR="00FA3F9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B2EF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come sviamento, </w:t>
      </w:r>
      <w:r w:rsidR="00EF09F0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anziché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come straripamento</w:t>
      </w:r>
      <w:r w:rsidR="007B2EF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), </w:t>
      </w:r>
      <w:r w:rsidR="0021640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nonché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lo stesso principio del contraddittorio</w:t>
      </w:r>
      <w:r w:rsidR="00AA1D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nei procedimenti disciplinari</w:t>
      </w:r>
      <w:r w:rsidR="007B2EF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A1D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fu sancito dalla giurisprudenza facendo</w:t>
      </w:r>
      <w:r w:rsidR="001F58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riferimento</w:t>
      </w:r>
      <w:r w:rsidR="00AA1D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al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principi</w:t>
      </w:r>
      <w:r w:rsidR="00B7408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 diritto naturale </w:t>
      </w:r>
      <w:r w:rsidR="00535300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dell</w:t>
      </w:r>
      <w:r w:rsidR="00364FF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’</w:t>
      </w:r>
      <w:r w:rsidRPr="00E457C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audi alteram parte</w:t>
      </w:r>
      <w:r w:rsidR="00364FFF" w:rsidRPr="00E457C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m</w:t>
      </w:r>
      <w:r w:rsidR="008053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risalente, com’è noto, </w:t>
      </w:r>
      <w:r w:rsidR="00B7408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già </w:t>
      </w:r>
      <w:r w:rsidR="008053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lla tragedia greca.</w:t>
      </w:r>
      <w:r w:rsidR="00B7408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Lo stesso potere di revoca come espressione di uno </w:t>
      </w:r>
      <w:r w:rsidR="00B7408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jus poenitendi</w:t>
      </w:r>
      <w:r w:rsidR="00B7408C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701E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fu riconosciuto</w:t>
      </w:r>
      <w:r w:rsidR="004A3EA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nel silenzio delle legge</w:t>
      </w:r>
      <w:r w:rsidR="000701E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capo all’amministrazione che ha emanato un provvedimento</w:t>
      </w:r>
      <w:r w:rsidR="001F58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437A4F2A" w14:textId="4E271D23" w:rsidR="29D3BABC" w:rsidRPr="00E457C2" w:rsidRDefault="29D3BABC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La seconda ragione, </w:t>
      </w:r>
      <w:r w:rsidR="00563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sottolineata da</w:t>
      </w:r>
      <w:r w:rsidR="00403C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Me</w:t>
      </w:r>
      <w:r w:rsidR="00FA3F9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usi, è ch</w:t>
      </w:r>
      <w:r w:rsidR="00FA3F9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già negli anni </w:t>
      </w:r>
      <w:r w:rsidR="00A864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’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80</w:t>
      </w:r>
      <w:r w:rsidR="000701E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 secolo scorso</w:t>
      </w:r>
      <w:r w:rsidR="001F588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864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e oggi forse ancor</w:t>
      </w:r>
      <w:r w:rsidR="00563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A864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più </w:t>
      </w:r>
      <w:r w:rsidR="00DC1A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come si dirà </w:t>
      </w:r>
      <w:r w:rsidR="00A864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continuo cambiamento delle disposizioni legislative, spesso </w:t>
      </w:r>
      <w:r w:rsidR="000701E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frammentarie e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mal coordinate, costringe il giudice amministrativo a </w:t>
      </w:r>
      <w:r w:rsidR="005403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'opera di razionalizzazione cercando di ricucirl</w:t>
      </w:r>
      <w:r w:rsidR="00EF66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di </w:t>
      </w:r>
      <w:r w:rsidR="005403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raccordarl</w:t>
      </w:r>
      <w:r w:rsidR="00EF66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 colmando lacune e superando antinomie</w:t>
      </w:r>
      <w:r w:rsidR="00AF7C39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4"/>
      </w:r>
      <w:r w:rsidR="00EF66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1650CCF4" w14:textId="0D996F4C" w:rsidR="00FA178E" w:rsidRDefault="004A3EA8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FA3F9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tal proposito,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una </w:t>
      </w:r>
      <w:r w:rsidR="009218C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recente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sentenza </w:t>
      </w:r>
      <w:r w:rsidR="007F00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esterna</w:t>
      </w:r>
      <w:r w:rsidR="001B1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modo emblematico</w:t>
      </w:r>
      <w:r w:rsidR="00403C9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per così dire</w:t>
      </w:r>
      <w:r w:rsidR="00100B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lo stato d'animo del giudice amministrativo di fronte a questa situazione di </w:t>
      </w:r>
      <w:r w:rsidR="001B1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disordine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legislativo</w:t>
      </w:r>
      <w:r w:rsidR="001B187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B187C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="001B187C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Cons. St., </w:t>
      </w:r>
      <w:r w:rsidR="001B187C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Sez. III, </w:t>
      </w:r>
      <w:r w:rsidR="001B187C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16 novembre 2021, </w:t>
      </w:r>
      <w:r w:rsidR="001B187C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n. 7618)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In questa sentenza </w:t>
      </w:r>
      <w:r w:rsidR="009218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 coglie</w:t>
      </w:r>
      <w:r w:rsidR="009218C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quasi uno sfogo del giudice, il quale</w:t>
      </w:r>
      <w:r w:rsid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all’esito di un percorso argomentativo ricostruttivo</w:t>
      </w:r>
      <w:r w:rsidR="007F00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defatigante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frammenti di norme sparpagliate</w:t>
      </w:r>
      <w:r w:rsid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7F00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manifesta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B620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la</w:t>
      </w:r>
      <w:r w:rsidR="005B6208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chiara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percezione di un quadro regolativo confuso, formatosi in </w:t>
      </w:r>
      <w:r w:rsidR="002576F9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un 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lungo arco temporale attraverso </w:t>
      </w:r>
      <w:r w:rsidR="005B6208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apporti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frammentari e mal governato da interventi correttivi occasionali</w:t>
      </w:r>
      <w:r w:rsidR="00FA3F97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,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opachi e contenutisticamente monchi</w:t>
      </w:r>
      <w:r w:rsidR="00023D48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necessitanti di un costante lavorio di ricostruzione interpretativa</w:t>
      </w:r>
      <w:r w:rsidR="005B620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="00023D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Questi interventi occasionali </w:t>
      </w:r>
      <w:r w:rsidR="00B9265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023D48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sono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inadeguati allo scopo di organica razionalizzazione normativa, che esigerebbe interventi puntuali di ricognizione dell'assetto esistente</w:t>
      </w:r>
      <w:r w:rsidR="009218C6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,</w:t>
      </w:r>
      <w:r w:rsidR="00100B5A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di raccordo</w:t>
      </w:r>
      <w:r w:rsidR="002F070E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, cucitura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F070E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ed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espunzione delle disposizioni, secondo criteri di coerenza contenutistic</w:t>
      </w:r>
      <w:r w:rsidR="002576F9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</w:t>
      </w:r>
      <w:r w:rsidR="29D3BABC" w:rsidRPr="00280864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e di composizione sistematica</w:t>
      </w:r>
      <w:r w:rsidR="002F07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9218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arebbe difficile descrivere in modo più espressivo una situazione </w:t>
      </w:r>
      <w:r w:rsidR="008951C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 la</w:t>
      </w:r>
      <w:r w:rsidR="002F07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quale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gli interpreti delle leggi amministrative </w:t>
      </w:r>
      <w:r w:rsidR="008951C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 devono spesso confrontare</w:t>
      </w:r>
      <w:r w:rsidR="002F07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nonostante i ripetuti sforzi in anni recenti di elaborazione di codici di settore e di testi unici.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87AC3E2" w14:textId="3311E920" w:rsidR="29D3BABC" w:rsidRDefault="00FA178E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 buone ragioni dunque la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giurisprudenza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 fa carico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evitare </w:t>
      </w:r>
      <w:r w:rsidR="00714C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per quanto possibile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che il sistema nel suo complesso venga sparigliato da interventi normativi </w:t>
      </w:r>
      <w:r w:rsidR="008951C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estemporanei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3BBCF524" w14:textId="51471EC8" w:rsidR="29D3BABC" w:rsidRPr="00E457C2" w:rsidRDefault="00CC0CDC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Più di recente, a</w:t>
      </w:r>
      <w:r w:rsidR="00714C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nche 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Aldo </w:t>
      </w:r>
      <w:r w:rsidR="00F2637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ravi</w:t>
      </w:r>
      <w:r w:rsid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023D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un saggio</w:t>
      </w:r>
      <w:r w:rsidR="007E5ED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sul diritto giurisprudenziale</w:t>
      </w:r>
      <w:r w:rsid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9218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ha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sottolinea</w:t>
      </w:r>
      <w:r w:rsidR="009218C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come il giudice amministrativo si conced</w:t>
      </w:r>
      <w:r w:rsidR="00963D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libertà di spazi interpretativi propri di alcune tradizioni anglosassoni</w:t>
      </w:r>
      <w:r w:rsidR="002A1D05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5"/>
      </w:r>
      <w:r w:rsidR="002904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A questo riguardo </w:t>
      </w:r>
      <w:r w:rsidR="00CA1A9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Travi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cita i noti casi di creazione giurisprudenziale</w:t>
      </w:r>
      <w:r w:rsidR="00E15CC0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come la sentenza </w:t>
      </w:r>
      <w:r w:rsidR="00F81E1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agiolari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sull'atto paritetico</w:t>
      </w:r>
      <w:r w:rsidR="00967982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6"/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oppure l'estensione del diritto di ottemperanza alle sentenze del giudice amministrativo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 lo stesso 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ario Nigro aveva definito 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ome un'operazione di bruta normazione giurisprudenziale</w:t>
      </w:r>
      <w:r w:rsidR="00945C48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7"/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sostanza,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14C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secondo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Aldo Travi il giudice</w:t>
      </w:r>
      <w:r w:rsidR="00E31B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finisce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4450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talora</w:t>
      </w:r>
      <w:r w:rsidR="00E31B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per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sovrappo</w:t>
      </w:r>
      <w:r w:rsidR="00E31B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rre </w:t>
      </w:r>
      <w:r w:rsidR="0024450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addirittura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propria scala di valori a quella della norma legislativa, 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perché è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convinto di un potere-dovere di trovare coerenza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secondo la sua visione di giustizia più razionale</w:t>
      </w:r>
      <w:r w:rsidR="001B486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538FCB78" w14:textId="753C9577" w:rsidR="29D3BABC" w:rsidRDefault="00963DD6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esempio </w:t>
      </w:r>
      <w:r w:rsidR="00E31B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risalente emblematico</w:t>
      </w:r>
      <w:r w:rsidR="004903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ell’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uso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parte del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giudice amministrativo di norme pensate per contesti</w:t>
      </w:r>
      <w:r w:rsidR="008C29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diversi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è</w:t>
      </w:r>
      <w:r w:rsidR="00100B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la nota </w:t>
      </w:r>
      <w:r w:rsidR="29D3BABC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sentenza dell’</w:t>
      </w:r>
      <w:r w:rsidR="001B4862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dunanza </w:t>
      </w:r>
      <w:r w:rsidR="001B4862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 w:rsidR="29D3BABC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lenaria</w:t>
      </w:r>
      <w:r w:rsidR="00B42A13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10 marzo 1978, n.</w:t>
      </w:r>
      <w:r w:rsidR="29D3BABC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10</w:t>
      </w:r>
      <w:r w:rsidR="001B4862" w:rsidRPr="00B42A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sul </w:t>
      </w:r>
      <w:r w:rsidR="004903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regime del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silenzio</w:t>
      </w:r>
      <w:r w:rsidR="004903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-inadempimento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24450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prende </w:t>
      </w:r>
      <w:r w:rsidR="004903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come riferimento normativo</w:t>
      </w:r>
      <w:r w:rsidR="00F81E1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364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per inquadrare il fenomeno dell’inerzia della pubblica amministrazione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una disposizione del </w:t>
      </w:r>
      <w:r w:rsidR="00F81E1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esto unico sugli impiegati civili dello Stato</w:t>
      </w:r>
      <w:r w:rsidR="00504BC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C29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tema di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responsabilità personale del dipendente pubblico</w:t>
      </w:r>
      <w:r w:rsidR="003364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Questa disposizione</w:t>
      </w:r>
      <w:r w:rsidR="00E452A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F746F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 una generalizzazione non scontata,</w:t>
      </w:r>
      <w:r w:rsidR="00E452A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viene assunta come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regola </w:t>
      </w:r>
      <w:r w:rsidR="00E452A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generale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dell'azione amministrativa </w:t>
      </w:r>
      <w:r w:rsidR="00E452A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che consente, attraverso l’istituto della diffida e messa in mora, di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formalizzare la situazione del silenzio</w:t>
      </w:r>
      <w:r w:rsidR="00314CC0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8"/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60EADCE0" w14:textId="197E6C59" w:rsidR="0027390D" w:rsidRPr="000B5716" w:rsidRDefault="006A1A3B" w:rsidP="00A13266">
      <w:pPr>
        <w:spacing w:line="360" w:lineRule="auto"/>
        <w:jc w:val="both"/>
        <w:rPr>
          <w:rFonts w:ascii="Times New Roman" w:hAnsi="Times New Roman"/>
          <w:iCs/>
          <w:szCs w:val="25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 qualche avallo alla creatività della giurisprudenza amministrativa è stato offerto recentemente dalla Corte costituzionale che elaborato la nozione</w:t>
      </w:r>
      <w:r w:rsid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per certi versi ossimorica</w:t>
      </w:r>
      <w:r w:rsid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</w:t>
      </w:r>
      <w:r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“tassatività sostanziale” o di “interpretazione tassativizzante”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 Ha infatti affermato che in alcuni ambiti</w:t>
      </w:r>
      <w:r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predeterminazione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da parte del legislatore </w:t>
      </w:r>
      <w:r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delle condizioni in presenza delle quali</w:t>
      </w:r>
      <w:r w:rsid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provvedimenti amministrativi</w:t>
      </w:r>
      <w:r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ossono essere </w:t>
      </w:r>
      <w:r w:rsid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disporre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limitazioni a</w:t>
      </w:r>
      <w:r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 diritto costituzionalmente garantito possa essere soddisfatta “</w:t>
      </w:r>
      <w:r w:rsidRPr="00A1326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anche sulla base dell’interpretazione, fornita da una giurisprudenza costante e uniforme, di disposizioni legislative pure caratterizzate dall’uso di clausole generali, o comunque da formule connotate in origine da un certo grado di imprecisione</w:t>
      </w:r>
      <w:r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Pr="006A1A3B">
        <w:rPr>
          <w:rFonts w:ascii="Times New Roman" w:hAnsi="Times New Roman"/>
          <w:iCs/>
          <w:szCs w:val="25"/>
        </w:rPr>
        <w:t xml:space="preserve"> </w:t>
      </w:r>
      <w:r w:rsidRPr="00CA5101">
        <w:rPr>
          <w:rStyle w:val="Rimandonotaapidipagina"/>
          <w:rFonts w:ascii="Times New Roman" w:hAnsi="Times New Roman"/>
          <w:iCs/>
          <w:szCs w:val="25"/>
        </w:rPr>
        <w:footnoteReference w:id="9"/>
      </w:r>
      <w:r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 indicazioni fornite dalla giurisprudenza </w:t>
      </w:r>
      <w:r w:rsidR="0027390D" w:rsidRP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0027390D" w:rsidRPr="00A1326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sviluppano e completano le indicazioni legislative, costruendo un sistema di tassatività sostanziale</w:t>
      </w:r>
      <w:r w:rsidR="0027390D" w:rsidRP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="0027390D" w:rsidRPr="0027390D">
        <w:rPr>
          <w:rStyle w:val="Rimandonotaapidipagina"/>
          <w:rFonts w:ascii="Times New Roman" w:hAnsi="Times New Roman"/>
          <w:iCs/>
          <w:szCs w:val="25"/>
        </w:rPr>
        <w:t xml:space="preserve"> </w:t>
      </w:r>
      <w:r w:rsidR="0027390D" w:rsidRPr="000B5716">
        <w:rPr>
          <w:rStyle w:val="Rimandonotaapidipagina"/>
          <w:rFonts w:ascii="Times New Roman" w:hAnsi="Times New Roman"/>
          <w:iCs/>
          <w:szCs w:val="25"/>
        </w:rPr>
        <w:footnoteReference w:id="10"/>
      </w:r>
      <w:r w:rsidR="0027390D" w:rsidRP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7390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751B8A91" w14:textId="219C6C61" w:rsidR="006A1A3B" w:rsidRPr="006A1A3B" w:rsidRDefault="0027390D" w:rsidP="006A1A3B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osì</w:t>
      </w:r>
      <w:r w:rsidR="006A1A3B"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materia di informativa antimafia la giurisprudenza del Consiglio di Stato ha tipizzato una serie di situazioni indiziarie (per esempio, rapporti di parentela, o di frequentazione colleganza o amicizia, vicende anomale nella struttura e nella gestione, ecc.), enumerate come catalogo aperto e non già un </w:t>
      </w:r>
      <w:r w:rsidR="006A1A3B" w:rsidRPr="00A13266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</w:rPr>
        <w:t>numerus clausus</w:t>
      </w:r>
      <w:r w:rsidR="006A1A3B"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che costituiscono “spie” dell’infiltrazione mafiosa in un’impresa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CA5101">
        <w:rPr>
          <w:rStyle w:val="Rimandonotaapidipagina"/>
          <w:rFonts w:ascii="Times New Roman" w:hAnsi="Times New Roman"/>
          <w:iCs/>
          <w:szCs w:val="25"/>
        </w:rPr>
        <w:footnoteReference w:id="11"/>
      </w:r>
      <w:r w:rsidR="006A1A3B" w:rsidRPr="006A1A3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8F921DF" w14:textId="2B9675C0" w:rsidR="009F2C14" w:rsidRDefault="00F746F5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Merita </w:t>
      </w:r>
      <w:r w:rsidR="009210A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infine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 accenno </w:t>
      </w:r>
      <w:r w:rsidR="00AB77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noto dialogo </w:t>
      </w:r>
      <w:r w:rsidR="00AB77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tra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giurisprudenza e dottrina</w:t>
      </w:r>
      <w:r w:rsidR="00AB77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 nel settore del diritto amministrativo è stato sempre assai intenso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AB772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 un lato, la dottrina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predispone schemi 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dai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quali può attingere il giudice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individuando quello più adatto alla situazione anche in una visione prospettica di lungo periodo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50B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dall’altro, molti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giudici diventano </w:t>
      </w:r>
      <w:r w:rsidR="00C50B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qualche modo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dottrina</w:t>
      </w:r>
      <w:r w:rsidR="00C50B2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attraverso saggi e articoli pubblicati su riviste scientifiche</w:t>
      </w:r>
      <w:r w:rsidR="00F47EB5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12"/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D15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Nel dare atto di questa tradizione</w:t>
      </w:r>
      <w:r w:rsidR="003144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C678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una </w:t>
      </w:r>
      <w:r w:rsidR="003144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sentenza risalente </w:t>
      </w:r>
      <w:bookmarkStart w:id="2" w:name="_Hlk114153213"/>
      <w:r w:rsidR="003144D6" w:rsidRPr="00B57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</w:t>
      </w:r>
      <w:r w:rsidR="29D3BABC" w:rsidRPr="00B57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</w:t>
      </w:r>
      <w:r w:rsidR="009F2C14" w:rsidRPr="00B57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’A</w:t>
      </w:r>
      <w:r w:rsidR="29D3BABC" w:rsidRPr="00B57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dunanza </w:t>
      </w:r>
      <w:r w:rsidR="009F2C14" w:rsidRPr="00B57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 w:rsidR="29D3BABC" w:rsidRPr="00B57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lenaria</w:t>
      </w:r>
      <w:r w:rsidR="003144D6" w:rsidRPr="00B57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 Consiglio di Stato</w:t>
      </w:r>
      <w:r w:rsidR="008C678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definisce il diritto amministrativo come un diritto composto da norme di legge, ma anche d</w:t>
      </w:r>
      <w:r w:rsidR="00100B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15F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29D3BABC" w:rsidRPr="00A13266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principi che dottrina e giurisprudenza hanno elevato a dignità di sistem</w:t>
      </w:r>
      <w:r w:rsidR="009A2A44" w:rsidRPr="00A13266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</w:t>
      </w:r>
      <w:r w:rsidR="00D15F9B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8C6785">
        <w:rPr>
          <w:rStyle w:val="Rimandonotaapidipagina"/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footnoteReference w:id="13"/>
      </w:r>
      <w:r w:rsidR="009A2A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ntrambi i poli,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giurisprudenza e dottrina, hanno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dunque </w:t>
      </w:r>
      <w:r w:rsidR="00BA660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</w:t>
      </w:r>
      <w:r w:rsidR="00BA6600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capacità di </w:t>
      </w:r>
      <w:r w:rsidR="009A2A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plasmare e affinare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 principi, </w:t>
      </w:r>
      <w:r w:rsidR="009A2A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una visione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 sistema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realizzando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l’ideale </w:t>
      </w:r>
      <w:r w:rsidR="00DF1A8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della dogmatica nel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quale </w:t>
      </w:r>
      <w:r w:rsidR="00DF1A8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passato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si credeva</w:t>
      </w:r>
      <w:r w:rsidR="00DF1A8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probabilmente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più di oggi.</w:t>
      </w:r>
    </w:p>
    <w:p w14:paraId="488F843B" w14:textId="77777777" w:rsidR="00394ECE" w:rsidRPr="00E457C2" w:rsidRDefault="00394ECE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314559E" w14:textId="72C4A999" w:rsidR="00AC7219" w:rsidRPr="00A13266" w:rsidRDefault="00AC7219" w:rsidP="00A1326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A1326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I materiali preparatori della legge</w:t>
      </w:r>
    </w:p>
    <w:p w14:paraId="511FA2AD" w14:textId="2F2B7D72" w:rsidR="00E04DA0" w:rsidRDefault="29D3BABC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 questo è</w:t>
      </w:r>
      <w:r w:rsidR="00AC72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C1293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sommariamente</w:t>
      </w:r>
      <w:r w:rsidR="00AC72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rapporto tra giudice</w:t>
      </w:r>
      <w:r w:rsidR="002167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amministrativ</w:t>
      </w:r>
      <w:r w:rsidR="0008548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legge</w:t>
      </w:r>
      <w:r w:rsidR="009F2C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allora anche i materiali preparatori della legge assumon</w:t>
      </w:r>
      <w:r w:rsidR="00E31BC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="0008548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rilevanza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anche se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407F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necessariamente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meno 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decisiv</w:t>
      </w:r>
      <w:r w:rsidR="0008548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di quello 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testo legislativo approvato dal 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arlamento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91105EB" w14:textId="452540A5" w:rsidR="00405D96" w:rsidRPr="00E457C2" w:rsidRDefault="00394ECE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 riguardo la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213F1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giurisprudenza</w:t>
      </w:r>
      <w:r w:rsidR="00E31BC4" w:rsidRPr="00A13266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13F1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amministrativa</w:t>
      </w:r>
      <w:r w:rsidR="00E31BC4" w:rsidRPr="00213F1D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25D5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segue</w:t>
      </w:r>
      <w:r w:rsidR="008554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 principi che la 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orte di </w:t>
      </w:r>
      <w:r w:rsidR="003641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assazione ha indic</w:t>
      </w:r>
      <w:r w:rsidR="00025D5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ato</w:t>
      </w:r>
      <w:r w:rsidR="00F81E1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E04D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tema di materiali preparatori</w:t>
      </w:r>
      <w:r w:rsidR="00FD72D8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14"/>
      </w:r>
      <w:r w:rsidR="00213F1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E04D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13F1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er la </w:t>
      </w:r>
      <w:r w:rsidR="008554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orte di </w:t>
      </w:r>
      <w:r w:rsidR="003641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assazione vale il principio</w:t>
      </w:r>
      <w:r w:rsidR="00AA16EB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più volte enunciato</w:t>
      </w:r>
      <w:r w:rsidR="00AA16EB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forza del quale la volontà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emergente d</w:t>
      </w:r>
      <w:r w:rsidR="00F81E1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 lavori preparatori non può sovrapporsi a quella obiettivamente espressa dalla legge </w:t>
      </w:r>
      <w:r w:rsidR="008554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quale emerge del suo campo letterale</w:t>
      </w:r>
      <w:r w:rsidR="005448D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logico</w:t>
      </w:r>
      <w:r w:rsidR="008554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="004A536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Pertanto,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lavori parlamentari</w:t>
      </w:r>
      <w:r w:rsidR="004A536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possono essere utilizzati soltanto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quando, unitamente ad altri c</w:t>
      </w:r>
      <w:r w:rsidR="007F22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riteri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interpretativi ed elementi di valutazione emergenti dalla norma, sono idonei a chiarire la portata di una disposizione legislativa ambigua. </w:t>
      </w:r>
      <w:r w:rsidR="00405D9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definitiva</w:t>
      </w:r>
      <w:r w:rsidR="008554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giudice </w:t>
      </w:r>
      <w:r w:rsidR="004942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civile, così come il giudice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amministrativo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non usa mai i lavori preparatori come criterio ermeneutico fondamentale</w:t>
      </w:r>
      <w:r w:rsid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ma per lo più </w:t>
      </w:r>
      <w:r w:rsidR="29D3BABC" w:rsidRP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</w:t>
      </w:r>
      <w:r w:rsidR="004942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integrazione</w:t>
      </w:r>
      <w:r w:rsidR="29D3BABC" w:rsidRP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altri criteri più tradizionali</w:t>
      </w:r>
      <w:r w:rsidR="004A536B" w:rsidRP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come l’</w:t>
      </w:r>
      <w:r w:rsidR="29D3BABC" w:rsidRP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interpretazione letterale e logica.</w:t>
      </w:r>
    </w:p>
    <w:p w14:paraId="555E5C1A" w14:textId="412DC9BE" w:rsidR="00855414" w:rsidRPr="00E457C2" w:rsidRDefault="002167F2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Nella </w:t>
      </w:r>
      <w:r w:rsidR="004942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giurisprudenza amministrativa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riferimento ai lavori preparatori si </w:t>
      </w:r>
      <w:r w:rsidR="005F27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rinviene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sia con riguardo a norme di principio di carattere sistemico e generale, </w:t>
      </w:r>
      <w:r w:rsidR="004A536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relazione a disposizioni occasionali</w:t>
      </w:r>
      <w:r w:rsidR="005F27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come gli</w:t>
      </w:r>
      <w:r w:rsidR="00B168B0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emendamenti </w:t>
      </w:r>
      <w:r w:rsidR="0008075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puntuali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leggi precedenti</w:t>
      </w:r>
      <w:r w:rsidR="005F27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6F0CD7B0" w14:textId="4390581C" w:rsidR="00753C9E" w:rsidRPr="00E457C2" w:rsidRDefault="003D5C4E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Quanto al primo tipo di riferimenti, si </w:t>
      </w:r>
      <w:r w:rsidR="000C66D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può citare</w:t>
      </w:r>
      <w:r w:rsidR="008554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C66D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esempio</w:t>
      </w:r>
      <w:r w:rsidR="0085541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0670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</w:t>
      </w:r>
      <w:r w:rsidR="00C7383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sentenza dell’</w:t>
      </w:r>
      <w:r w:rsidR="0006706F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0670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dunanza plenaria</w:t>
      </w:r>
      <w:r w:rsidR="00C7383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 Consiglio di Stato 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 </w:t>
      </w:r>
      <w:r w:rsidR="0006706F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29 luglio 2011, </w:t>
      </w:r>
      <w:r w:rsidR="00217431" w:rsidRPr="000670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n. </w:t>
      </w:r>
      <w:r w:rsidR="0006706F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 w:rsidR="29D3BABC" w:rsidRPr="000670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</w:t>
      </w:r>
      <w:r w:rsidR="00855414" w:rsidRPr="000670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sull’azione di accertamento</w:t>
      </w:r>
      <w:r w:rsidR="004E7DE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–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 aprì la strada </w:t>
      </w:r>
      <w:r w:rsidR="00C7383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all’indomani de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 codice</w:t>
      </w:r>
      <w:r w:rsidR="007F22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 processo amministrativo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all’atipicità delle azioni</w:t>
      </w:r>
      <w:r w:rsidR="00C643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La sentenza contiene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 espresso riferimento ai lavori preparatori </w:t>
      </w:r>
      <w:r w:rsidR="00C643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 codice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sul sistema delle azioni e </w:t>
      </w:r>
      <w:r w:rsidR="00C6436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particolare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lla spiegazione </w:t>
      </w:r>
      <w:r w:rsidR="003176A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perché una disposizione espressa sull’azione di accertamento</w:t>
      </w:r>
      <w:r w:rsidR="00AE012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proposta dalla commissione che aveva elaborato la bozza di articolato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fu </w:t>
      </w:r>
      <w:r w:rsidR="00AE012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espunta in </w:t>
      </w:r>
      <w:r w:rsidR="00CF33A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ede di approvazione del </w:t>
      </w:r>
      <w:r w:rsidR="00AE012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decreto legislativo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Un altro esempio più recent</w:t>
      </w:r>
      <w:r w:rsidR="00373A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è una sentenza </w:t>
      </w:r>
      <w:r w:rsidR="29D3BABC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 </w:t>
      </w:r>
      <w:r w:rsidR="003176AE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onsiglio di </w:t>
      </w:r>
      <w:r w:rsidR="003176AE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</w:t>
      </w:r>
      <w:r w:rsidR="29D3BABC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iustizia </w:t>
      </w:r>
      <w:r w:rsidR="00205872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mministrativa </w:t>
      </w:r>
      <w:r w:rsidR="00205872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della </w:t>
      </w:r>
      <w:r w:rsid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</w:t>
      </w:r>
      <w:r w:rsidR="29D3BABC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egione 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</w:t>
      </w:r>
      <w:r w:rsidR="29D3BABC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icilia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</w:t>
      </w:r>
      <w:r w:rsidR="00DE46B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 </w:t>
      </w:r>
      <w:r w:rsidR="00DE46BF" w:rsidRPr="0028688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7 aprile 2022, </w:t>
      </w:r>
      <w:r w:rsidR="00DE46BF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</w:t>
      </w:r>
      <w:r w:rsidR="00DE46BF" w:rsidRPr="0028688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00DE46BF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436</w:t>
      </w:r>
      <w:r w:rsid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che</w:t>
      </w:r>
      <w:r w:rsidR="00B8388B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nell'interpretare l'art</w:t>
      </w:r>
      <w:r w:rsidR="00980DF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82</w:t>
      </w:r>
      <w:r w:rsidR="00B8388B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comma </w:t>
      </w:r>
      <w:r w:rsidR="002A3E9D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 w:rsidR="00B8388B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c.p.a.</w:t>
      </w:r>
      <w:r w:rsidR="0099543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sull'istanza di fissazione di udienza d</w:t>
      </w:r>
      <w:r w:rsidR="00CF33A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corsi cinque anni</w:t>
      </w:r>
      <w:r w:rsidR="0099543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sull'obbligo di doppia firma</w:t>
      </w:r>
      <w:r w:rsidR="0099543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73A1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richiama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anche i lavori preparatori del codice. </w:t>
      </w:r>
      <w:r w:rsidR="003641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quest</w:t>
      </w:r>
      <w:r w:rsidR="00A543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’ultimo</w:t>
      </w:r>
      <w:r w:rsidR="003641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cas</w:t>
      </w:r>
      <w:r w:rsidR="00A543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="003641D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</w:t>
      </w:r>
      <w:r w:rsidR="00A543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sentenza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utilizza </w:t>
      </w:r>
      <w:r w:rsidR="00581E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peraltro </w:t>
      </w:r>
      <w:r w:rsidR="003641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lavori a supporto di argomentazioni </w:t>
      </w:r>
      <w:r w:rsidR="00A543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illustrazione di disposizioni il c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</w:t>
      </w:r>
      <w:r w:rsidR="00A543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dato letterale </w:t>
      </w:r>
      <w:r w:rsidR="00A543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è in realtà già assai chiaro</w:t>
      </w:r>
      <w:r w:rsidR="00581E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univoco</w:t>
      </w:r>
      <w:r w:rsidR="00A5437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3B000135" w14:textId="3BABAC7D" w:rsidR="003D5C4E" w:rsidRPr="00E457C2" w:rsidRDefault="00581EF2" w:rsidP="003D5C4E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maggior uso d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ei lavori preparatori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si ha</w:t>
      </w:r>
      <w:r w:rsidR="007610E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come anticipato,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1743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relazione 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leggi specifiche</w:t>
      </w:r>
      <w:r w:rsidR="00753C9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puntuali</w:t>
      </w:r>
      <w:r w:rsidR="00753C9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d'occasione</w:t>
      </w:r>
      <w:r w:rsidR="002968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specie se di recente emanazione.</w:t>
      </w:r>
      <w:r w:rsidR="00C865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relazione ad esse è frequente la ricerca di una </w:t>
      </w:r>
      <w:r w:rsidR="003D5C4E" w:rsidRPr="00F95C67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ratio</w:t>
      </w:r>
      <w:r w:rsidR="003D5C4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delle </w:t>
      </w:r>
      <w:r w:rsidR="003D5C4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modific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he</w:t>
      </w:r>
      <w:r w:rsidR="003D5C4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proposte e poi approvate ne</w:t>
      </w:r>
      <w:r w:rsidR="003D5C4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gli interventi nei dibattiti parlamentari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particolare dei relatori del testo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volti a illustrare, prima della votazione, </w:t>
      </w:r>
      <w:r w:rsidR="003D5C4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 senso della disposizione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proposta</w:t>
      </w:r>
      <w:r w:rsidR="004B40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i quali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dunque, </w:t>
      </w:r>
      <w:r w:rsidR="003D5C4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acquistano un peso</w:t>
      </w:r>
      <w:r w:rsidR="003D5C4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rilevante anche nella fase di interpretazione delle norme</w:t>
      </w:r>
      <w:r w:rsidR="003D5C4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6ABA031A" w14:textId="44050EB4" w:rsidR="29D3BABC" w:rsidRDefault="00C865AC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 esempio,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EC6EE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 tema di concessioni di servizi locali nel settore del gas,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una sentenza,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per dimostrare una certa tesi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fa riferimento, con ampi stralci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testuali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 decine di righe,</w:t>
      </w:r>
      <w:r w:rsidR="00904197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A32A9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gli interventi dei deputati, </w:t>
      </w:r>
      <w:r w:rsidR="000A32A9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lavori parlamentari</w:t>
      </w:r>
      <w:r w:rsidR="00DE386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0A32A9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lle relazioni di voto final</w:t>
      </w:r>
      <w:r w:rsidR="00462D1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alcuni parlamentari</w:t>
      </w:r>
      <w:r w:rsidR="007D2A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(Cons. St., Sez. V, 19 luglio 2005, n. 3817)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3B17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 materia </w:t>
      </w:r>
      <w:r w:rsidR="000A32A9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leggi elettorali sulle elezioni comunali</w:t>
      </w:r>
      <w:r w:rsidR="003B17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poi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B17F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alcune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micro</w:t>
      </w:r>
      <w:r w:rsidR="00462D1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modifiche sono state interpretate alla luce d</w:t>
      </w:r>
      <w:r w:rsidR="00DE386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egl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interventi in sede d</w:t>
      </w:r>
      <w:r w:rsidR="003641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approvazione del testo normativo</w:t>
      </w:r>
      <w:r w:rsidR="007D2A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(Cons. St., Sez. </w:t>
      </w:r>
      <w:r w:rsidR="00AF220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III, 4 giugno 2021, n. 4294)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A50955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ncora</w:t>
      </w:r>
      <w:r w:rsidR="00B04152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C7C5E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 altro caso</w:t>
      </w:r>
      <w:r w:rsidR="00DE386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materia di condono</w:t>
      </w:r>
      <w:r w:rsidR="00DE386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3C7C5E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 interpretare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una disposizione specifica sulla quale </w:t>
      </w:r>
      <w:r w:rsidR="003C7C5E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era stata</w:t>
      </w:r>
      <w:r w:rsidR="003C7C5E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posta la</w:t>
      </w:r>
      <w:r w:rsidR="003C7C5E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questione</w:t>
      </w:r>
      <w:r w:rsidR="00DE386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fiducia si dà</w:t>
      </w:r>
      <w:r w:rsidR="00AE69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rilevanza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alla illustrazione del senso d</w:t>
      </w:r>
      <w:r w:rsidR="003C7C5E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ell’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emendamento proposto dal governo</w:t>
      </w:r>
      <w:r w:rsidR="003C7C5E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(Cons. St., Sez. VI, 30 dicembre 2021, n. </w:t>
      </w:r>
      <w:r w:rsidR="00841749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8734)</w:t>
      </w:r>
      <w:r w:rsidR="29D3BABC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7D2A2B" w:rsidRPr="00A5095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</w:t>
      </w:r>
      <w:r w:rsidR="007D2A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quest</w:t>
      </w:r>
      <w:r w:rsidR="002968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 sentenze</w:t>
      </w:r>
      <w:r w:rsidR="00EC19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041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lavori preparatori svolgono </w:t>
      </w:r>
      <w:r w:rsidR="002968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dun</w:t>
      </w:r>
      <w:r w:rsidR="001B12B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q</w:t>
      </w:r>
      <w:r w:rsidR="0029689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una funzione</w:t>
      </w:r>
      <w:r w:rsidR="007D2A2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E69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utile</w:t>
      </w:r>
      <w:r w:rsidR="00B041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linea </w:t>
      </w:r>
      <w:r w:rsidR="007D2A2B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però </w:t>
      </w:r>
      <w:r w:rsidR="00630F8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l'insegnament</w:t>
      </w:r>
      <w:r w:rsidR="00B041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della </w:t>
      </w:r>
      <w:r w:rsidR="00B041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orte di </w:t>
      </w:r>
      <w:r w:rsidR="00B730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assazione.</w:t>
      </w:r>
    </w:p>
    <w:p w14:paraId="36FDE110" w14:textId="77777777" w:rsidR="004C0E92" w:rsidRDefault="004C0E92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7DDD6F9" w14:textId="63C90819" w:rsidR="00BD562D" w:rsidRPr="00A13266" w:rsidRDefault="00BD562D" w:rsidP="00A1326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Altri tipi di materiali</w:t>
      </w:r>
    </w:p>
    <w:p w14:paraId="68BFF1F3" w14:textId="10E2888E" w:rsidR="002470AE" w:rsidRPr="00E457C2" w:rsidRDefault="001F69E9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FA27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 allargasse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</w:t>
      </w:r>
      <w:r w:rsidR="00FA27B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tema includendo anche 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materiali successivi</w:t>
      </w:r>
      <w:r w:rsidR="00B9255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alla legge</w:t>
      </w:r>
      <w:r w:rsidR="00695E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D1F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 gamma degli atti da considerare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1743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sarebbe ancora più ampio</w:t>
      </w:r>
      <w:r w:rsidR="00AE69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In giurisprudenza s</w:t>
      </w:r>
      <w:r w:rsidR="00695E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trovano</w:t>
      </w:r>
      <w:r w:rsidR="0021743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infatti numerosi riferimenti a</w:t>
      </w:r>
      <w:r w:rsidR="00B730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circolari </w:t>
      </w:r>
      <w:r w:rsidR="00EC194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interpretative, alle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linee guida dell'</w:t>
      </w:r>
      <w:r w:rsidR="005D1F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utorità </w:t>
      </w:r>
      <w:r w:rsidR="005D1F2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garante della concorrenza e del mercato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</w:t>
      </w:r>
      <w:r w:rsid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per esempio 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sulla quantificazione delle sanzioni</w:t>
      </w:r>
      <w:r w:rsidR="00695E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base ai parametri contenuti nella l</w:t>
      </w:r>
      <w:r w:rsidR="00E36D9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egge</w:t>
      </w:r>
      <w:r w:rsidR="00695E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n. 287/1990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</w:t>
      </w:r>
      <w:r w:rsidR="0021743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 altri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materiali successivi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tra </w:t>
      </w:r>
      <w:r w:rsidR="00695E7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quali</w:t>
      </w:r>
      <w:r w:rsidR="006E55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per esempio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 stesse linee guida dell'A</w:t>
      </w:r>
      <w:r w:rsidR="008B4A7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utorità nazionale anticorruzione</w:t>
      </w:r>
      <w:r w:rsidR="00F261D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462B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(Anac)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illustrative </w:t>
      </w:r>
      <w:r w:rsidR="002470A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</w:t>
      </w:r>
      <w:r w:rsidR="006E55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disposizione del</w:t>
      </w:r>
      <w:r w:rsidR="00F261D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730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00F261D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odice dei</w:t>
      </w:r>
      <w:r w:rsidR="002470A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contratti pubblici</w:t>
      </w:r>
      <w:r w:rsidR="00F261D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E55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come </w:t>
      </w:r>
      <w:r w:rsidR="002E77F2" w:rsidRP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l’</w:t>
      </w:r>
      <w:r w:rsidR="29D3BABC" w:rsidRP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art</w:t>
      </w:r>
      <w:r w:rsidR="00D659D0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9D3BABC" w:rsidRP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E77F2" w:rsidRP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80</w:t>
      </w:r>
      <w:r w:rsidR="006E55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659D0" w:rsidRPr="00F95C6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relativo ai</w:t>
      </w:r>
      <w:r w:rsidR="00D659D0" w:rsidRP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casi di esclusione</w:t>
      </w:r>
      <w:r w:rsidR="006E55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dalla procedura</w:t>
      </w:r>
      <w:r w:rsidR="0025432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674B83A8" w14:textId="77DBBFE3" w:rsidR="00CA16A0" w:rsidRDefault="00CA16A0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Limitando l’analisi 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materiali antecedenti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C13B3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si rinviene talora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 riferimento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 parte del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giudice amministrativo </w:t>
      </w:r>
      <w:r w:rsidR="00916F0B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E7B4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“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considerando</w:t>
      </w:r>
      <w:r w:rsidR="005E7B4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”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E7B4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 direttive europee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i quali costituiscono un importante punto di riferimento per</w:t>
      </w:r>
      <w:r w:rsidR="00097F21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l'integrazione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l’interpretazione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delle disposizioni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esse contenute</w:t>
      </w:r>
      <w:r w:rsidR="00824B0D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208B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 resto, nel diritto europeo, i “considerando” sono considerati anch’essi, al pari dell’articolato, dotati di forza normativa.</w:t>
      </w:r>
    </w:p>
    <w:p w14:paraId="27F67E38" w14:textId="09BA6542" w:rsidR="00562454" w:rsidRDefault="00824B0D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 altro elemento</w:t>
      </w:r>
      <w:r w:rsidR="00CA16A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utilizzato, sebbene raramente, 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sono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 segnalazioni dell'</w:t>
      </w:r>
      <w:r w:rsidR="008B4E85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utorità garante della concorrenza del mercato</w:t>
      </w:r>
      <w:r w:rsidR="009106B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che in alcuni casi</w:t>
      </w:r>
      <w:r w:rsidR="005624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trovano </w:t>
      </w:r>
      <w:r w:rsidR="00C0722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poi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seguito </w:t>
      </w:r>
      <w:r w:rsidR="00C0722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interventi legislativi del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9106B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arlamento</w:t>
      </w:r>
      <w:r w:rsidR="00C13B3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 le recepiscono</w:t>
      </w:r>
      <w:r w:rsidR="005624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C13B3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 resto</w:t>
      </w:r>
      <w:r w:rsidR="00C75E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C13B3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appare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EE116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naturale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624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che </w:t>
      </w:r>
      <w:r w:rsidR="000E69E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segnalazion</w:t>
      </w:r>
      <w:r w:rsidR="005624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</w:t>
      </w:r>
      <w:r w:rsidR="005624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ell’A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utorità</w:t>
      </w:r>
      <w:r w:rsidR="005624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712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possano essere considerat</w:t>
      </w:r>
      <w:r w:rsidR="00EE116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8712C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un sussidio particolarmente utile</w:t>
      </w:r>
      <w:r w:rsidR="0056245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9D5EA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fini interpretativi</w:t>
      </w:r>
      <w:r w:rsidR="005F1B3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proprio perché da esse ha tratto origine la disposizione di legge da interpretare</w:t>
      </w:r>
      <w:r w:rsidR="00AD5AB9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6858A63E" w14:textId="12DEC24F" w:rsidR="006D2E90" w:rsidRDefault="00562454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 caso </w:t>
      </w:r>
      <w:r w:rsidR="001847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posto allo scrutinio </w:t>
      </w:r>
      <w:r w:rsidR="00616FB4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del </w:t>
      </w:r>
      <w:r w:rsidR="29D3BABC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Consiglio di </w:t>
      </w:r>
      <w:r w:rsidR="00EC1943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Stato </w:t>
      </w:r>
      <w:r w:rsidR="00EC194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riguardava</w:t>
      </w:r>
      <w:r w:rsidR="001847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per esempio,</w:t>
      </w:r>
      <w:r w:rsid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l'interpretazione di norme sul divieto d</w:t>
      </w:r>
      <w:r w:rsidR="00B7306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installare erogatori di carburanti automatici senza personale 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ad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detto</w:t>
      </w:r>
      <w:r w:rsidR="001847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La sentenza fa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riferimento 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 segnalazione dell'</w:t>
      </w:r>
      <w:r w:rsidR="00C75E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utorità 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che </w:t>
      </w:r>
      <w:r w:rsidR="007B0DA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sollecitava una modifica legislativa</w:t>
      </w:r>
      <w:r w:rsid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659D0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</w:t>
      </w:r>
      <w:r w:rsidR="00D659D0" w:rsidRPr="00003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Cons. St., </w:t>
      </w:r>
      <w:r w:rsidR="00D659D0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Sez. V, </w:t>
      </w:r>
      <w:r w:rsidR="00D659D0" w:rsidRPr="00003AB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25 febbraio 2015, </w:t>
      </w:r>
      <w:r w:rsidR="00D659D0" w:rsidRPr="0070012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n. 931)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 altro caso riguarda</w:t>
      </w:r>
      <w:r w:rsidR="00D659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va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un bando di gara che riproduceva </w:t>
      </w:r>
      <w:r w:rsidR="00D90809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sostanzialmente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 testo di una legge regionale</w:t>
      </w:r>
      <w:r w:rsidR="006D2E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Quest’ultima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consentiva l'affidamento senza gara di certi servizi 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enti senza scopo di lucro</w:t>
      </w:r>
      <w:r w:rsidR="006D2E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</w:t>
      </w:r>
      <w:r w:rsidR="005E755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proposito</w:t>
      </w:r>
      <w:r w:rsidR="006D2E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sentenza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richiama una segnalazione dell’</w:t>
      </w:r>
      <w:r w:rsidR="0067768D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C462B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utorità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secondo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 quale anche gli enti senza scopo di lucro possono essere considerati imprese</w:t>
      </w:r>
      <w:r w:rsidR="000849E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quindi non possono essere esentati dall'applicazione delle regole generali su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gli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affidamenti con ga</w:t>
      </w:r>
      <w:r w:rsidR="00877C8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009969B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(Cons. St., Sez. V, 22 dicembre 2014, n. 6262)</w:t>
      </w:r>
      <w:r w:rsidR="000849E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La casistica non è comunque molto ampia. </w:t>
      </w:r>
    </w:p>
    <w:p w14:paraId="7A6F203A" w14:textId="5C6210CF" w:rsidR="00877C86" w:rsidRPr="00F95C67" w:rsidRDefault="00877C86" w:rsidP="00E457C2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Q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uanto </w:t>
      </w:r>
      <w:r w:rsidR="00603C7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alle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line</w:t>
      </w:r>
      <w:r w:rsidR="006D2E9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guida </w:t>
      </w:r>
      <w:r w:rsidR="00CF33A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dell’A</w:t>
      </w:r>
      <w:r w:rsidR="00BC363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nac</w:t>
      </w:r>
      <w:r w:rsidR="001D444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esse sono richiamate, come già </w:t>
      </w:r>
      <w:r w:rsidR="005E755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anticipato</w:t>
      </w:r>
      <w:r w:rsidR="001D444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come sussidio all’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interpretazione di disposizioni del </w:t>
      </w:r>
      <w:r w:rsidR="00806F1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odice</w:t>
      </w:r>
      <w:r w:rsidR="00806F1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dei contratti pubblici</w:t>
      </w:r>
      <w:r w:rsidR="001D444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C462B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</w:t>
      </w:r>
      <w:r w:rsidR="003479F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à dove, come nel caso del diritto di accesso generalizzato,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stessa legge rinvia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espressamente alle linee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guida An</w:t>
      </w: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per individuare </w:t>
      </w:r>
      <w:r w:rsidR="003479F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con maggior precisione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 casi di esclusione</w:t>
      </w:r>
      <w:r w:rsidR="004A0B7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3479F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richiamo a esse operato dalle sentenze </w:t>
      </w:r>
      <w:r w:rsidR="00D818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vale</w:t>
      </w:r>
      <w:r w:rsidR="00F7582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realtà</w:t>
      </w:r>
      <w:r w:rsidR="00D818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come rinvio a una fonte normativa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attuativ</w:t>
      </w:r>
      <w:r w:rsidR="00D818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della legge</w:t>
      </w:r>
      <w:r w:rsidR="00752E87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15"/>
      </w:r>
      <w:r w:rsidR="005C70FF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6AFA14CD" w14:textId="2F171D15" w:rsidR="001730C5" w:rsidRDefault="00877C86" w:rsidP="00F95C67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nfine</w:t>
      </w:r>
      <w:r w:rsidR="00BF4B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in astratto</w:t>
      </w:r>
      <w:r w:rsidR="00BF4B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tra i materiali della legge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 potrebbe </w:t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considerare</w:t>
      </w:r>
      <w:r w:rsidR="006A3CC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anche</w:t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il metodo dell'analisi di impatto della regolazione</w:t>
      </w:r>
      <w:r w:rsidR="000157EF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16"/>
      </w:r>
      <w:r w:rsidR="00BF4B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9C0A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Tuttavia</w:t>
      </w:r>
      <w:r w:rsidR="009C0ADE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43189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 sistema giuridico</w:t>
      </w:r>
      <w:r w:rsidR="00F7582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italiano</w:t>
      </w:r>
      <w:r w:rsidR="0043189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almeno </w:t>
      </w:r>
      <w:r w:rsidR="001730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secondo le</w:t>
      </w:r>
      <w:r w:rsidR="0043189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leggi vigenti</w:t>
      </w:r>
      <w:r w:rsidR="0043189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solo i disegni di legge richiedono un'analisi di impatto della regolazione</w:t>
      </w:r>
      <w:r w:rsidR="00BF4B52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che tra l’altro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spesso </w:t>
      </w:r>
      <w:r w:rsidR="009929F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viene svolta</w:t>
      </w:r>
      <w:r w:rsidR="009929F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modo sommario</w:t>
      </w:r>
      <w:r w:rsidR="00F410B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</w:p>
    <w:p w14:paraId="3E3AA94E" w14:textId="62BC132C" w:rsidR="006C0AB2" w:rsidRDefault="009C0ADE" w:rsidP="00F95C67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 contrario,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D818B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nel diritto europeo, 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la Corte di Giustizia dell’Unione </w:t>
      </w:r>
      <w:r w:rsidR="00DF268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uropea </w:t>
      </w:r>
      <w:r w:rsidR="00635E80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dedica </w:t>
      </w:r>
      <w:r w:rsidR="009929F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ampio</w:t>
      </w:r>
      <w:r w:rsidR="009929F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35E80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spazio 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all</w:t>
      </w:r>
      <w:r w:rsidR="003E74E9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</w:t>
      </w:r>
      <w:r w:rsidR="00BA3F48" w:rsidRPr="00E457C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impact </w:t>
      </w:r>
      <w:r w:rsidR="00AC7B02" w:rsidRPr="00E457C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assesment</w:t>
      </w:r>
      <w:r w:rsidR="00BA3F48" w:rsidRPr="00E457C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A3CC3" w:rsidRPr="00F95C67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>analysis</w:t>
      </w:r>
      <w:r w:rsidR="00BA3F48" w:rsidRPr="00E457C2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929F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nel</w:t>
      </w:r>
      <w:r w:rsidR="009929F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valuta</w:t>
      </w:r>
      <w:r w:rsidR="009929F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la proporzionalità di misure contenute in atti normativi</w:t>
      </w:r>
      <w:r w:rsidR="00773D1C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17"/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9764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N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on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vi è</w:t>
      </w:r>
      <w:r w:rsidR="009764A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tuttavia</w:t>
      </w:r>
      <w:r w:rsidR="006A3CC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1730C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corrispondenza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con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260E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ruolo del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giudice amministrativo</w:t>
      </w:r>
      <w:r w:rsidR="00260E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italiano</w:t>
      </w:r>
      <w:r w:rsidR="00593A5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perché 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la</w:t>
      </w:r>
      <w:r w:rsidR="00570C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valutazione </w:t>
      </w:r>
      <w:r w:rsidR="00F7582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da parte della Corte di Giustizia </w:t>
      </w:r>
      <w:r w:rsidR="00570C7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circa la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proporzionalità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una norma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contenuta in una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direttiva</w:t>
      </w:r>
      <w:r w:rsidR="00952A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sembra assimilabile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 giudizio di proporzionalità e </w:t>
      </w:r>
      <w:r w:rsidR="00952A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di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ragionevolezza delle leggi che spetta </w:t>
      </w:r>
      <w:r w:rsidR="00952A0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nel nostro ordinamento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alla </w:t>
      </w:r>
      <w:r w:rsidR="00C679A6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orte </w:t>
      </w:r>
      <w:r w:rsidR="0014168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ostituzionale</w:t>
      </w:r>
      <w:r w:rsidR="00341AF3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 w:rsidR="00EC194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Dunque,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fintanto che il sistema normativo non </w:t>
      </w:r>
      <w:r w:rsidR="00260E4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estenderà il campo di applicazione del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l'analisi 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d’impatto della regolazion</w:t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</w:t>
      </w:r>
      <w:r w:rsidR="00C75E9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10415B" w:rsidRPr="00F14C9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metodo continuerà ad avere</w:t>
      </w:r>
      <w:r w:rsidR="004748A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scarso</w:t>
      </w:r>
      <w:r w:rsidR="00F14C9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spazio</w:t>
      </w:r>
      <w:r w:rsidR="004748A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 </w:t>
      </w:r>
    </w:p>
    <w:p w14:paraId="7CC59E8B" w14:textId="65351476" w:rsidR="001E5A8D" w:rsidRDefault="00A13321" w:rsidP="00F95C67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Peraltro</w:t>
      </w:r>
      <w:r w:rsidR="004748A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Consiglio di Stato, in sed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 consultiva</w:t>
      </w:r>
      <w:r w:rsidR="00A325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ha </w:t>
      </w:r>
      <w:r w:rsidR="008F346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sottolineato più volte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l'importanza di questi strumenti </w:t>
      </w:r>
      <w:r w:rsidR="00A325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con riferimento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agli atti di regolazione dell</w:t>
      </w:r>
      <w:r w:rsidR="001956F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e 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autorità indipendenti</w:t>
      </w:r>
      <w:r w:rsidR="005A2DE9">
        <w:rPr>
          <w:rStyle w:val="Rimandonotaapidipagina"/>
          <w:rFonts w:ascii="Times New Roman" w:eastAsiaTheme="minorEastAsia" w:hAnsi="Times New Roman" w:cs="Times New Roman"/>
          <w:color w:val="000000" w:themeColor="text1"/>
          <w:sz w:val="24"/>
          <w:szCs w:val="24"/>
        </w:rPr>
        <w:footnoteReference w:id="18"/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In </w:t>
      </w:r>
      <w:r w:rsidR="008F346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realtà </w:t>
      </w:r>
      <w:r w:rsidR="006A3CC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g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li atti di regolazione</w:t>
      </w:r>
      <w:r w:rsidR="00A310E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per quanto costituiscano una fonte di disciplina contenutisticamente</w:t>
      </w:r>
      <w:r w:rsidR="006C0A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spesso</w:t>
      </w:r>
      <w:r w:rsidR="00A310E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molto più rilevante delle disposizioni di legge </w:t>
      </w:r>
      <w:r w:rsidR="00F4473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che ne costituiscono il fondamento</w:t>
      </w:r>
      <w:r w:rsidR="00F95D5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</w:t>
      </w:r>
      <w:r w:rsidR="006C0A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che</w:t>
      </w:r>
      <w:r w:rsidR="006506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si limitano a porre</w:t>
      </w:r>
      <w:r w:rsidR="006C0A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disposizioni di principio</w:t>
      </w:r>
      <w:r w:rsidR="006506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 criteri generali</w:t>
      </w:r>
      <w:r w:rsidR="00F4473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sono pur sempre </w:t>
      </w:r>
      <w:r w:rsidR="0049276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onti </w:t>
      </w:r>
      <w:r w:rsidR="0049276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</w:t>
      </w:r>
      <w:r w:rsidR="00BA3F48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</w:t>
      </w:r>
      <w:r w:rsidR="0049276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legislative e quindi</w:t>
      </w:r>
      <w:r w:rsidR="00A3251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 rigore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non </w:t>
      </w:r>
      <w:r w:rsidR="00175A0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ri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entr</w:t>
      </w:r>
      <w:r w:rsidR="0049276A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an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 direttamente</w:t>
      </w:r>
      <w:r w:rsidR="00F4473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nel tema dei materiali della legge.</w:t>
      </w:r>
      <w:r w:rsidR="29D3BABC" w:rsidRPr="00E457C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3559C6D" w14:textId="3D823008" w:rsidR="00AB47FB" w:rsidRDefault="00AB47FB" w:rsidP="00F95C67">
      <w:pPr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In conclusione i materiali della legge, intesi come quelli antecedenti alla</w:t>
      </w:r>
      <w:r w:rsidR="00A1332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disposizione da interpretare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rivestono nel processo amministrativo un ruolo analogo a quello svolto nel processo civile. Ma</w:t>
      </w:r>
      <w:r w:rsidR="00213B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poiché</w:t>
      </w:r>
      <w:r w:rsidR="00E66D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le leggi amministrative, </w:t>
      </w:r>
      <w:r w:rsidR="00213B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 differenza di quelle civili, sono </w:t>
      </w:r>
      <w:r w:rsidR="00E66D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spesso frammentarie e </w:t>
      </w:r>
      <w:r w:rsidR="00994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frutto di interventi legislativi estemporanei</w:t>
      </w:r>
      <w:r w:rsidR="00E66D8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</w:t>
      </w:r>
      <w:r w:rsidR="00994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l’utilizzo da parte del giudice amministrativo dei lavori preparatori avviene con maggior frequenza</w:t>
      </w:r>
      <w:r w:rsidR="00A42A8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46798B22" w14:textId="5EAB0A43" w:rsidR="00F75A0B" w:rsidRDefault="00F75A0B" w:rsidP="00F75A0B">
      <w:pPr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1A80B4F" w14:textId="77777777" w:rsidR="00F75A0B" w:rsidRPr="00780A15" w:rsidRDefault="00F75A0B" w:rsidP="00F75A0B">
      <w:pPr>
        <w:spacing w:line="360" w:lineRule="auto"/>
        <w:contextualSpacing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80A1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Marcello Clarich</w:t>
      </w:r>
    </w:p>
    <w:p w14:paraId="06C6B9BB" w14:textId="77777777" w:rsidR="00F75A0B" w:rsidRPr="00F75A0B" w:rsidRDefault="00F75A0B" w:rsidP="00F75A0B">
      <w:pPr>
        <w:spacing w:line="360" w:lineRule="auto"/>
        <w:contextualSpacing/>
        <w:jc w:val="right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75A0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Ordinario di diritto amministrativo</w:t>
      </w:r>
    </w:p>
    <w:p w14:paraId="10D00138" w14:textId="097D8002" w:rsidR="00F75A0B" w:rsidRPr="00F75A0B" w:rsidRDefault="00F75A0B" w:rsidP="00F75A0B">
      <w:pPr>
        <w:spacing w:line="360" w:lineRule="auto"/>
        <w:contextualSpacing/>
        <w:jc w:val="right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75A0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Sapienza Università di Roma</w:t>
      </w:r>
    </w:p>
    <w:p w14:paraId="2EA48287" w14:textId="44A612E7" w:rsidR="00F75A0B" w:rsidRPr="00F75A0B" w:rsidRDefault="00F75A0B" w:rsidP="00F75A0B">
      <w:pPr>
        <w:spacing w:line="360" w:lineRule="auto"/>
        <w:contextualSpacing/>
        <w:jc w:val="right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14:paraId="322FF9AA" w14:textId="70B16FB3" w:rsidR="00F75A0B" w:rsidRPr="00F75A0B" w:rsidRDefault="00F75A0B" w:rsidP="00F75A0B">
      <w:pPr>
        <w:spacing w:line="360" w:lineRule="auto"/>
        <w:contextualSpacing/>
        <w:jc w:val="right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F75A0B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Pubblicato il 22 settembre 2022</w:t>
      </w:r>
    </w:p>
    <w:p w14:paraId="62B5867A" w14:textId="77777777" w:rsidR="00F75A0B" w:rsidRPr="003C3894" w:rsidRDefault="00F75A0B" w:rsidP="00F95C67">
      <w:pPr>
        <w:spacing w:line="360" w:lineRule="auto"/>
        <w:jc w:val="both"/>
        <w:rPr>
          <w:rFonts w:ascii="Arial" w:eastAsiaTheme="minorEastAsia" w:hAnsi="Arial" w:cs="Arial"/>
          <w:b/>
          <w:bCs/>
          <w:color w:val="252631"/>
          <w:sz w:val="32"/>
          <w:szCs w:val="32"/>
        </w:rPr>
      </w:pPr>
    </w:p>
    <w:sectPr w:rsidR="00F75A0B" w:rsidRPr="003C389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02AC" w14:textId="77777777" w:rsidR="006176F8" w:rsidRDefault="006176F8">
      <w:pPr>
        <w:spacing w:after="0" w:line="240" w:lineRule="auto"/>
      </w:pPr>
      <w:r>
        <w:separator/>
      </w:r>
    </w:p>
  </w:endnote>
  <w:endnote w:type="continuationSeparator" w:id="0">
    <w:p w14:paraId="087E3D49" w14:textId="77777777" w:rsidR="006176F8" w:rsidRDefault="0061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70984"/>
      <w:docPartObj>
        <w:docPartGallery w:val="Page Numbers (Bottom of Page)"/>
        <w:docPartUnique/>
      </w:docPartObj>
    </w:sdtPr>
    <w:sdtEndPr/>
    <w:sdtContent>
      <w:p w14:paraId="5EDE62DF" w14:textId="46BA887E" w:rsidR="006E1D68" w:rsidRDefault="006E1D6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0B">
          <w:rPr>
            <w:noProof/>
          </w:rPr>
          <w:t>1</w:t>
        </w:r>
        <w:r>
          <w:fldChar w:fldCharType="end"/>
        </w:r>
      </w:p>
    </w:sdtContent>
  </w:sdt>
  <w:p w14:paraId="4E89C21C" w14:textId="41A03156" w:rsidR="6A4EE06E" w:rsidRDefault="6A4EE06E" w:rsidP="6A4EE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93D1B" w14:textId="77777777" w:rsidR="006176F8" w:rsidRDefault="006176F8">
      <w:pPr>
        <w:spacing w:after="0" w:line="240" w:lineRule="auto"/>
      </w:pPr>
      <w:r>
        <w:separator/>
      </w:r>
    </w:p>
  </w:footnote>
  <w:footnote w:type="continuationSeparator" w:id="0">
    <w:p w14:paraId="265A6AC0" w14:textId="77777777" w:rsidR="006176F8" w:rsidRDefault="006176F8">
      <w:pPr>
        <w:spacing w:after="0" w:line="240" w:lineRule="auto"/>
      </w:pPr>
      <w:r>
        <w:continuationSeparator/>
      </w:r>
    </w:p>
  </w:footnote>
  <w:footnote w:id="1">
    <w:p w14:paraId="0EE87725" w14:textId="1A6AD531" w:rsidR="00F75A0B" w:rsidRDefault="00F75A0B" w:rsidP="00F75A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Relazione svolta in occasione del </w:t>
      </w:r>
      <w:r>
        <w:t>Convegno</w:t>
      </w:r>
      <w:r>
        <w:t xml:space="preserve"> </w:t>
      </w:r>
      <w:r>
        <w:t>“I materiali della legge nella teoria delle fonti e nell’interpretazione del diritto”</w:t>
      </w:r>
      <w:r>
        <w:t xml:space="preserve">, </w:t>
      </w:r>
      <w:r>
        <w:t>Roma, 20 aprile 2022 - Palazzo Spada</w:t>
      </w:r>
      <w:r>
        <w:t>.</w:t>
      </w:r>
    </w:p>
  </w:footnote>
  <w:footnote w:id="2">
    <w:p w14:paraId="4A96036E" w14:textId="79789E9C" w:rsidR="00920A47" w:rsidRPr="00BD1A9F" w:rsidRDefault="00920A47" w:rsidP="00A132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Sulla formazione giurisprudenziale del diritto amministrativo significativa è la raccolta di decisioni</w:t>
      </w:r>
      <w:r w:rsidR="00BD1A9F">
        <w:t xml:space="preserve"> operata da G. PASQUINI-A. SANDULLI (a cura di), </w:t>
      </w:r>
      <w:r w:rsidR="00BD1A9F">
        <w:rPr>
          <w:i/>
          <w:iCs/>
        </w:rPr>
        <w:t>Le grandi decisioni del Consiglio di Stato</w:t>
      </w:r>
      <w:r w:rsidR="00BD1A9F">
        <w:t>, Milano, 2001.</w:t>
      </w:r>
    </w:p>
  </w:footnote>
  <w:footnote w:id="3">
    <w:p w14:paraId="452851F9" w14:textId="4BE312ED" w:rsidR="00095322" w:rsidRPr="00100F90" w:rsidRDefault="00095322" w:rsidP="00A132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Cfr. F. MERUSI, </w:t>
      </w:r>
      <w:r>
        <w:rPr>
          <w:i/>
          <w:iCs/>
        </w:rPr>
        <w:t>Sullo sviluppo giurisprudenziale del diritto amministrativo italiano</w:t>
      </w:r>
      <w:r>
        <w:t xml:space="preserve">, in </w:t>
      </w:r>
      <w:r w:rsidR="00100F90">
        <w:t xml:space="preserve">AAVV, </w:t>
      </w:r>
      <w:r w:rsidR="00100F90">
        <w:rPr>
          <w:i/>
          <w:iCs/>
        </w:rPr>
        <w:t>Legge giudici, politica – le esperienze italiana e inglese a confronto</w:t>
      </w:r>
      <w:r w:rsidR="00100F90">
        <w:t>, Milano, 1983, p. 119 e seg.</w:t>
      </w:r>
    </w:p>
  </w:footnote>
  <w:footnote w:id="4">
    <w:p w14:paraId="29E11C0C" w14:textId="6159F1D3" w:rsidR="00AF7C39" w:rsidRPr="00AF7C39" w:rsidRDefault="00AF7C39" w:rsidP="00A132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Sul disordine normativo cfr. per tutti B. MATTARELLA, </w:t>
      </w:r>
      <w:r>
        <w:rPr>
          <w:i/>
          <w:iCs/>
        </w:rPr>
        <w:t>La trappola delle leggi</w:t>
      </w:r>
      <w:r>
        <w:t>, Bologna,</w:t>
      </w:r>
      <w:r w:rsidR="00CC0CDC">
        <w:t xml:space="preserve"> 2011.</w:t>
      </w:r>
    </w:p>
  </w:footnote>
  <w:footnote w:id="5">
    <w:p w14:paraId="711A1149" w14:textId="223C6021" w:rsidR="002A1D05" w:rsidRPr="00795546" w:rsidRDefault="002A1D05" w:rsidP="00A132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795546">
        <w:t>Cfr.</w:t>
      </w:r>
      <w:r w:rsidR="00E670BA">
        <w:t xml:space="preserve"> A.</w:t>
      </w:r>
      <w:r w:rsidR="00E670BA" w:rsidRPr="00E670BA">
        <w:tab/>
        <w:t xml:space="preserve">TRAVI, </w:t>
      </w:r>
      <w:r w:rsidR="00E670BA" w:rsidRPr="00280864">
        <w:rPr>
          <w:i/>
          <w:iCs/>
        </w:rPr>
        <w:t>Il Consiglio di stato fra legislazione ed amministrazione</w:t>
      </w:r>
      <w:r w:rsidR="00E670BA" w:rsidRPr="00E670BA">
        <w:t xml:space="preserve">, Dir. pubbl., 2011, </w:t>
      </w:r>
      <w:r w:rsidR="00BA3833">
        <w:t xml:space="preserve">pag. </w:t>
      </w:r>
      <w:r w:rsidR="00E670BA" w:rsidRPr="00E670BA">
        <w:t>505</w:t>
      </w:r>
      <w:r w:rsidR="00BA3833">
        <w:t xml:space="preserve"> e seg.</w:t>
      </w:r>
    </w:p>
  </w:footnote>
  <w:footnote w:id="6">
    <w:p w14:paraId="27426B66" w14:textId="758540EC" w:rsidR="00967982" w:rsidRPr="0047325F" w:rsidRDefault="00967982">
      <w:pPr>
        <w:pStyle w:val="Testonotaapidipagina"/>
      </w:pPr>
      <w:r>
        <w:rPr>
          <w:rStyle w:val="Rimandonotaapidipagina"/>
        </w:rPr>
        <w:footnoteRef/>
      </w:r>
      <w:r w:rsidRPr="0058282A">
        <w:t xml:space="preserve"> </w:t>
      </w:r>
      <w:r w:rsidR="002C6A9D" w:rsidRPr="0058282A">
        <w:t xml:space="preserve">Cfr. Cons. </w:t>
      </w:r>
      <w:r w:rsidR="002C6A9D" w:rsidRPr="002C6A9D">
        <w:t>St., V S</w:t>
      </w:r>
      <w:r w:rsidR="002C6A9D" w:rsidRPr="00A13266">
        <w:t xml:space="preserve">ez., 1 dicembre 1939, n. 795, in </w:t>
      </w:r>
      <w:r w:rsidR="002C6A9D" w:rsidRPr="00A13266">
        <w:rPr>
          <w:i/>
          <w:iCs/>
        </w:rPr>
        <w:t>Foro amm</w:t>
      </w:r>
      <w:r w:rsidR="002C6A9D">
        <w:rPr>
          <w:i/>
          <w:iCs/>
        </w:rPr>
        <w:t>.</w:t>
      </w:r>
      <w:r w:rsidR="002C6A9D">
        <w:t>, 1940, I p. 420 e seg.</w:t>
      </w:r>
      <w:r w:rsidR="0047325F">
        <w:t xml:space="preserve"> In </w:t>
      </w:r>
      <w:r w:rsidR="00FD2927">
        <w:t>s</w:t>
      </w:r>
      <w:r w:rsidR="0047325F">
        <w:t>ede dottrinale l’estensore della se</w:t>
      </w:r>
      <w:r w:rsidR="006A28BC">
        <w:t xml:space="preserve">ntenza </w:t>
      </w:r>
      <w:r w:rsidR="0047325F">
        <w:t>aveva posto le basi per il nuovo concetto</w:t>
      </w:r>
      <w:r w:rsidR="00A71BC3">
        <w:t xml:space="preserve"> di atto paritetico </w:t>
      </w:r>
      <w:r w:rsidR="00133942">
        <w:t>non soggetto al termine decadenziale di sessanta giorni per l’impugnazione innanzi al giudice amministrativo</w:t>
      </w:r>
      <w:r w:rsidR="0047325F">
        <w:t xml:space="preserve">:  cfr. </w:t>
      </w:r>
      <w:r w:rsidR="006A28BC">
        <w:t>G</w:t>
      </w:r>
      <w:r w:rsidR="0047325F">
        <w:t xml:space="preserve">. </w:t>
      </w:r>
      <w:r w:rsidR="00E05F9D">
        <w:t>F</w:t>
      </w:r>
      <w:r w:rsidR="0047325F">
        <w:t xml:space="preserve">AGIOLARI, </w:t>
      </w:r>
      <w:r w:rsidR="0047325F">
        <w:rPr>
          <w:i/>
          <w:iCs/>
        </w:rPr>
        <w:t xml:space="preserve"> L’atto amministrativo nella giustizia amministrativa</w:t>
      </w:r>
      <w:r w:rsidR="0047325F">
        <w:t>, in</w:t>
      </w:r>
      <w:r w:rsidR="0047325F">
        <w:rPr>
          <w:i/>
          <w:iCs/>
        </w:rPr>
        <w:t xml:space="preserve"> Scritti in onore di Santi Romano</w:t>
      </w:r>
      <w:r w:rsidR="0047325F">
        <w:t xml:space="preserve">, </w:t>
      </w:r>
      <w:r w:rsidR="006A28BC">
        <w:t>Padova</w:t>
      </w:r>
      <w:r w:rsidR="00E05F9D">
        <w:t>, 19</w:t>
      </w:r>
      <w:r w:rsidR="006A28BC">
        <w:t>40</w:t>
      </w:r>
      <w:r w:rsidR="00E05F9D">
        <w:t>, p. 308 e seg.</w:t>
      </w:r>
    </w:p>
  </w:footnote>
  <w:footnote w:id="7">
    <w:p w14:paraId="4842866F" w14:textId="578D31C9" w:rsidR="00945C48" w:rsidRDefault="00945C48">
      <w:pPr>
        <w:pStyle w:val="Testonotaapidipagina"/>
      </w:pPr>
      <w:r>
        <w:rPr>
          <w:rStyle w:val="Rimandonotaapidipagina"/>
        </w:rPr>
        <w:footnoteRef/>
      </w:r>
      <w:r>
        <w:t xml:space="preserve"> Cfr. </w:t>
      </w:r>
      <w:r w:rsidRPr="00945C48">
        <w:t>M. N</w:t>
      </w:r>
      <w:r>
        <w:t>IGRO</w:t>
      </w:r>
      <w:r w:rsidRPr="00945C48">
        <w:t xml:space="preserve">, </w:t>
      </w:r>
      <w:r w:rsidRPr="00A13266">
        <w:rPr>
          <w:i/>
          <w:iCs/>
        </w:rPr>
        <w:t>Il giudicato amministrativo e il processo di ottemperanza</w:t>
      </w:r>
      <w:r w:rsidRPr="00945C48">
        <w:t>, in A</w:t>
      </w:r>
      <w:r>
        <w:t>AVV</w:t>
      </w:r>
      <w:r w:rsidRPr="00945C48">
        <w:t xml:space="preserve">, </w:t>
      </w:r>
      <w:r w:rsidRPr="00A13266">
        <w:rPr>
          <w:i/>
          <w:iCs/>
        </w:rPr>
        <w:t>Il giudizio di ottemperanza</w:t>
      </w:r>
      <w:r w:rsidRPr="00945C48">
        <w:t>, Milano</w:t>
      </w:r>
      <w:r>
        <w:t>,</w:t>
      </w:r>
      <w:r w:rsidRPr="00945C48">
        <w:t xml:space="preserve"> 1983, p. 65</w:t>
      </w:r>
    </w:p>
  </w:footnote>
  <w:footnote w:id="8">
    <w:p w14:paraId="3AA96275" w14:textId="3DACA795" w:rsidR="00314CC0" w:rsidRDefault="00314C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14CC0">
        <w:t>Il caso è citato anche da Merusi nel suo contributo sul diritto giurisprudenziale.</w:t>
      </w:r>
    </w:p>
  </w:footnote>
  <w:footnote w:id="9">
    <w:p w14:paraId="1A6AA273" w14:textId="77777777" w:rsidR="006A1A3B" w:rsidRPr="00CA5101" w:rsidRDefault="006A1A3B" w:rsidP="006A1A3B">
      <w:pPr>
        <w:pStyle w:val="Testonotaapidipagina"/>
        <w:ind w:firstLine="426"/>
        <w:rPr>
          <w:rFonts w:ascii="Times New Roman" w:hAnsi="Times New Roman"/>
        </w:rPr>
      </w:pPr>
      <w:r w:rsidRPr="00CA5101">
        <w:rPr>
          <w:rStyle w:val="Rimandonotaapidipagina"/>
          <w:rFonts w:ascii="Times New Roman" w:hAnsi="Times New Roman"/>
        </w:rPr>
        <w:footnoteRef/>
      </w:r>
      <w:r w:rsidRPr="00CA5101">
        <w:rPr>
          <w:rFonts w:ascii="Times New Roman" w:hAnsi="Times New Roman"/>
        </w:rPr>
        <w:t xml:space="preserve"> Cfr.  Corte costituzionale, 6 marzo 2019, n. 24.</w:t>
      </w:r>
    </w:p>
  </w:footnote>
  <w:footnote w:id="10">
    <w:p w14:paraId="0A6B00D8" w14:textId="77777777" w:rsidR="0027390D" w:rsidRPr="00CA5101" w:rsidRDefault="0027390D" w:rsidP="0027390D">
      <w:pPr>
        <w:pStyle w:val="Testonotaapidipagina"/>
        <w:ind w:firstLine="426"/>
        <w:rPr>
          <w:rFonts w:ascii="Times New Roman" w:hAnsi="Times New Roman"/>
        </w:rPr>
      </w:pPr>
      <w:r w:rsidRPr="00CA5101">
        <w:rPr>
          <w:rStyle w:val="Rimandonotaapidipagina"/>
          <w:rFonts w:ascii="Times New Roman" w:hAnsi="Times New Roman"/>
        </w:rPr>
        <w:footnoteRef/>
      </w:r>
      <w:r w:rsidRPr="00CA5101">
        <w:rPr>
          <w:rFonts w:ascii="Times New Roman" w:hAnsi="Times New Roman"/>
        </w:rPr>
        <w:t xml:space="preserve"> Cfr. Corte costituzionale, 26 marzo 2020. n. 57.</w:t>
      </w:r>
    </w:p>
  </w:footnote>
  <w:footnote w:id="11">
    <w:p w14:paraId="133EEBDB" w14:textId="77777777" w:rsidR="0027390D" w:rsidRPr="00CA5101" w:rsidRDefault="0027390D" w:rsidP="0027390D">
      <w:pPr>
        <w:pStyle w:val="Testonotaapidipagina"/>
        <w:ind w:firstLine="426"/>
        <w:rPr>
          <w:rFonts w:ascii="Times New Roman" w:hAnsi="Times New Roman"/>
        </w:rPr>
      </w:pPr>
      <w:r w:rsidRPr="00CA5101">
        <w:rPr>
          <w:rStyle w:val="Rimandonotaapidipagina"/>
          <w:rFonts w:ascii="Times New Roman" w:hAnsi="Times New Roman"/>
        </w:rPr>
        <w:footnoteRef/>
      </w:r>
      <w:r w:rsidRPr="00CA5101">
        <w:rPr>
          <w:rFonts w:ascii="Times New Roman" w:hAnsi="Times New Roman"/>
        </w:rPr>
        <w:t xml:space="preserve"> Il riferimento è soprattutto alla sentenza del Consiglio di Stato, Sez. III, 3 maggio 2016, n. 1743.</w:t>
      </w:r>
    </w:p>
  </w:footnote>
  <w:footnote w:id="12">
    <w:p w14:paraId="3B3C14B8" w14:textId="0DD35CCA" w:rsidR="00F47EB5" w:rsidRPr="004A49BA" w:rsidRDefault="00F47EB5" w:rsidP="00A1326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Cfr. A. TRAVI, </w:t>
      </w:r>
      <w:r>
        <w:rPr>
          <w:i/>
          <w:iCs/>
        </w:rPr>
        <w:t>Per un nuovo dialogo fra la dottrina e la giurisprudenza amministrativa</w:t>
      </w:r>
      <w:r>
        <w:t xml:space="preserve">, in </w:t>
      </w:r>
      <w:r>
        <w:rPr>
          <w:i/>
          <w:iCs/>
        </w:rPr>
        <w:t>Riv. Trim. Dir. Pubbl.</w:t>
      </w:r>
      <w:r>
        <w:t>, 215, n. 691 e seg. il quale peraltro</w:t>
      </w:r>
      <w:r w:rsidR="004A49BA">
        <w:t xml:space="preserve"> auspica che la dottrina “</w:t>
      </w:r>
      <w:r w:rsidR="004A49BA">
        <w:rPr>
          <w:i/>
          <w:iCs/>
        </w:rPr>
        <w:t>recuperi autorevolezza e capacità di dialogo con la giurisprudenza”</w:t>
      </w:r>
      <w:r w:rsidR="004A49BA">
        <w:t>.</w:t>
      </w:r>
    </w:p>
  </w:footnote>
  <w:footnote w:id="13">
    <w:p w14:paraId="49FF07BA" w14:textId="60D68952" w:rsidR="008C6785" w:rsidRPr="00A13266" w:rsidRDefault="008C6785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A13266">
        <w:rPr>
          <w:lang w:val="en-GB"/>
        </w:rPr>
        <w:t xml:space="preserve"> Cfr. Cons. St.</w:t>
      </w:r>
      <w:r>
        <w:rPr>
          <w:lang w:val="en-GB"/>
        </w:rPr>
        <w:t>, Ad. Plen.,</w:t>
      </w:r>
      <w:r w:rsidRPr="00A13266">
        <w:rPr>
          <w:lang w:val="en-GB"/>
        </w:rPr>
        <w:t xml:space="preserve"> 28 gennaio 1961, n. 3</w:t>
      </w:r>
    </w:p>
  </w:footnote>
  <w:footnote w:id="14">
    <w:p w14:paraId="60F9F2B5" w14:textId="529F22CA" w:rsidR="004E5CBB" w:rsidRDefault="00FD72D8" w:rsidP="004E5CBB">
      <w:pPr>
        <w:pStyle w:val="Testonotaapidipagina"/>
        <w:jc w:val="both"/>
      </w:pPr>
      <w:r>
        <w:rPr>
          <w:rStyle w:val="Rimandonotaapidipagina"/>
        </w:rPr>
        <w:footnoteRef/>
      </w:r>
      <w:r w:rsidRPr="008C6785">
        <w:t xml:space="preserve"> Cfr. in</w:t>
      </w:r>
      <w:r w:rsidRPr="00A13266">
        <w:t xml:space="preserve"> particolare Cons. St., Sez. III, 16 novembre 2021, n. 7618 che c</w:t>
      </w:r>
      <w:r>
        <w:t>ita</w:t>
      </w:r>
      <w:r w:rsidR="00213F1D">
        <w:t xml:space="preserve"> </w:t>
      </w:r>
      <w:r w:rsidR="00213F1D" w:rsidRPr="00213F1D">
        <w:t>Cass. civ., Sez. I, 27 febbraio 1995, n. 2230</w:t>
      </w:r>
      <w:r w:rsidR="004E5CBB">
        <w:t xml:space="preserve"> secondo la quale</w:t>
      </w:r>
      <w:r w:rsidR="004E5CBB">
        <w:rPr>
          <w:rFonts w:ascii="Times New Roman" w:hAnsi="Times New Roman" w:cs="Times New Roman"/>
        </w:rPr>
        <w:t>:</w:t>
      </w:r>
      <w:r w:rsidR="004E5CBB" w:rsidRPr="00B57EE9">
        <w:t xml:space="preserve"> </w:t>
      </w:r>
      <w:r w:rsidR="004E5CBB" w:rsidRPr="00F95C67">
        <w:rPr>
          <w:rFonts w:ascii="Times New Roman" w:hAnsi="Times New Roman" w:cs="Times New Roman"/>
        </w:rPr>
        <w:t>“</w:t>
      </w:r>
      <w:r w:rsidR="004E5CBB" w:rsidRPr="00F95C67">
        <w:rPr>
          <w:rFonts w:ascii="Times New Roman" w:hAnsi="Times New Roman" w:cs="Times New Roman"/>
          <w:i/>
          <w:iCs/>
        </w:rPr>
        <w:t>la Corte non intende modificare il principio, più volte enunciato, in forza del quale la volontà emergente dai lavori preparatori non può sovrapporsi a quella obiettivamente espressa dalla legge (quale emerge dal suo dato letterale e logico), ma soltanto affermare l'utilizzabilità dei lavori parlamentari, quando, come nella specie, essi, unitamente ad altri canoni interpretativi ed elementi di valutazione emergenti dalla norma stessa, siano idonei a chiarire la portata di una disposizione legislativa di cui appaia ambigua la formulazione</w:t>
      </w:r>
      <w:r w:rsidR="004E5CBB" w:rsidRPr="00F95C67">
        <w:rPr>
          <w:rFonts w:ascii="Times New Roman" w:hAnsi="Times New Roman" w:cs="Times New Roman"/>
        </w:rPr>
        <w:t>”.</w:t>
      </w:r>
    </w:p>
    <w:p w14:paraId="1121E4D7" w14:textId="184B9E0E" w:rsidR="00FD72D8" w:rsidRPr="00FD72D8" w:rsidRDefault="00FD72D8">
      <w:pPr>
        <w:pStyle w:val="Testonotaapidipagina"/>
      </w:pPr>
    </w:p>
  </w:footnote>
  <w:footnote w:id="15">
    <w:p w14:paraId="65400B6A" w14:textId="1730E97B" w:rsidR="00752E87" w:rsidRDefault="00752E87">
      <w:pPr>
        <w:pStyle w:val="Testonotaapidipagina"/>
      </w:pPr>
      <w:r>
        <w:rPr>
          <w:rStyle w:val="Rimandonotaapidipagina"/>
        </w:rPr>
        <w:footnoteRef/>
      </w:r>
      <w:r>
        <w:t xml:space="preserve"> Cfr. </w:t>
      </w:r>
      <w:r w:rsidRPr="00752E87">
        <w:t xml:space="preserve"> Delibera</w:t>
      </w:r>
      <w:r>
        <w:t xml:space="preserve"> dell’Anac</w:t>
      </w:r>
      <w:r w:rsidRPr="00752E87">
        <w:t xml:space="preserve"> n. 1309/2016 </w:t>
      </w:r>
      <w:r>
        <w:t xml:space="preserve">contenente </w:t>
      </w:r>
      <w:r w:rsidR="00731391">
        <w:t>L</w:t>
      </w:r>
      <w:r>
        <w:t xml:space="preserve">inee guida </w:t>
      </w:r>
      <w:r w:rsidRPr="00752E87">
        <w:t>adottate ai sensi dell’art. 5</w:t>
      </w:r>
      <w:r w:rsidR="00731391">
        <w:t>-</w:t>
      </w:r>
      <w:r w:rsidRPr="00A13266">
        <w:rPr>
          <w:i/>
          <w:iCs/>
        </w:rPr>
        <w:t>bis</w:t>
      </w:r>
      <w:r w:rsidRPr="00752E87">
        <w:t xml:space="preserve">, comma 6, del d.lgs. </w:t>
      </w:r>
      <w:r w:rsidR="00731391">
        <w:t xml:space="preserve">15 febbraio 2016, n. </w:t>
      </w:r>
      <w:r w:rsidRPr="00752E87">
        <w:t>33</w:t>
      </w:r>
      <w:r>
        <w:t>.</w:t>
      </w:r>
    </w:p>
  </w:footnote>
  <w:footnote w:id="16">
    <w:p w14:paraId="24C38B8B" w14:textId="666E8C76" w:rsidR="000157EF" w:rsidRPr="00A13266" w:rsidRDefault="000157EF" w:rsidP="000157E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>
        <w:t xml:space="preserve"> Sul tema cfr. M. DE BENEDETTO, M. MARTELLI, N. RANGONE,  </w:t>
      </w:r>
      <w:r>
        <w:rPr>
          <w:i/>
          <w:iCs/>
        </w:rPr>
        <w:t xml:space="preserve">La qualità delle </w:t>
      </w:r>
      <w:r w:rsidRPr="000157EF">
        <w:rPr>
          <w:i/>
          <w:iCs/>
        </w:rPr>
        <w:t>regole</w:t>
      </w:r>
      <w:r>
        <w:rPr>
          <w:i/>
          <w:iCs/>
        </w:rPr>
        <w:t>,</w:t>
      </w:r>
      <w:r>
        <w:t xml:space="preserve"> Bologna, 2011. </w:t>
      </w:r>
      <w:r w:rsidRPr="00A13266">
        <w:rPr>
          <w:lang w:val="en-GB"/>
        </w:rPr>
        <w:t>Nicoletta Rangone (Autore)</w:t>
      </w:r>
    </w:p>
  </w:footnote>
  <w:footnote w:id="17">
    <w:p w14:paraId="15541EC4" w14:textId="50DE9A02" w:rsidR="00773D1C" w:rsidRPr="00A13266" w:rsidRDefault="00773D1C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A13266">
        <w:rPr>
          <w:lang w:val="en-GB"/>
        </w:rPr>
        <w:t xml:space="preserve"> Cfr. J. NOWAG-X. GROUSSOT</w:t>
      </w:r>
      <w:r w:rsidRPr="00A13266">
        <w:rPr>
          <w:i/>
          <w:iCs/>
          <w:lang w:val="en-GB"/>
        </w:rPr>
        <w:t>,</w:t>
      </w:r>
      <w:r>
        <w:rPr>
          <w:i/>
          <w:iCs/>
          <w:lang w:val="en-GB"/>
        </w:rPr>
        <w:t xml:space="preserve"> From better regulation to better adjudication? </w:t>
      </w:r>
      <w:r w:rsidR="005A3C73">
        <w:rPr>
          <w:i/>
          <w:iCs/>
          <w:lang w:val="en-GB"/>
        </w:rPr>
        <w:t>Impact Asessment and the Court of Justice’s review</w:t>
      </w:r>
      <w:r w:rsidR="005A3C73">
        <w:rPr>
          <w:lang w:val="en-GB"/>
        </w:rPr>
        <w:t>, in Lund University Legal Research Paper Series</w:t>
      </w:r>
      <w:r w:rsidR="005A3C73">
        <w:rPr>
          <w:i/>
          <w:iCs/>
          <w:lang w:val="en-GB"/>
        </w:rPr>
        <w:t>, n. 1/</w:t>
      </w:r>
      <w:r w:rsidR="00164648">
        <w:rPr>
          <w:i/>
          <w:iCs/>
          <w:lang w:val="en-GB"/>
        </w:rPr>
        <w:t>2017</w:t>
      </w:r>
      <w:r w:rsidR="00164648">
        <w:rPr>
          <w:lang w:val="en-GB"/>
        </w:rPr>
        <w:t xml:space="preserve"> per la casistica.</w:t>
      </w:r>
      <w:r w:rsidR="005A3C73">
        <w:rPr>
          <w:lang w:val="en-GB"/>
        </w:rPr>
        <w:t xml:space="preserve"> </w:t>
      </w:r>
    </w:p>
  </w:footnote>
  <w:footnote w:id="18">
    <w:p w14:paraId="3895F9C3" w14:textId="0B67D137" w:rsidR="005A2DE9" w:rsidRPr="005A2DE9" w:rsidRDefault="005A2DE9">
      <w:pPr>
        <w:pStyle w:val="Testonotaapidipagina"/>
      </w:pPr>
      <w:r>
        <w:rPr>
          <w:rStyle w:val="Rimandonotaapidipagina"/>
        </w:rPr>
        <w:footnoteRef/>
      </w:r>
      <w:r>
        <w:t xml:space="preserve"> Cfr.  G. CORSO-M. DE BENEDETTO, N. RANGONE</w:t>
      </w:r>
      <w:r>
        <w:rPr>
          <w:i/>
          <w:iCs/>
        </w:rPr>
        <w:t>, Diritto amministrativo effettivo – una introduzione</w:t>
      </w:r>
      <w:r>
        <w:t>, Bologna, 2022, pag.</w:t>
      </w:r>
      <w:r w:rsidR="00CB2EE3">
        <w:t xml:space="preserve"> 165 in particolare nota 152 per i riferimenti normativi.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4EE06E" w14:paraId="50E8470B" w14:textId="77777777" w:rsidTr="6A4EE06E">
      <w:tc>
        <w:tcPr>
          <w:tcW w:w="3005" w:type="dxa"/>
        </w:tcPr>
        <w:p w14:paraId="2B55E733" w14:textId="49C7943E" w:rsidR="6A4EE06E" w:rsidRDefault="6A4EE06E" w:rsidP="6A4EE06E">
          <w:pPr>
            <w:pStyle w:val="Intestazione"/>
            <w:ind w:left="-115"/>
          </w:pPr>
        </w:p>
      </w:tc>
      <w:tc>
        <w:tcPr>
          <w:tcW w:w="3005" w:type="dxa"/>
        </w:tcPr>
        <w:p w14:paraId="0F8598A7" w14:textId="01575A2B" w:rsidR="6A4EE06E" w:rsidRDefault="6A4EE06E" w:rsidP="6A4EE06E">
          <w:pPr>
            <w:pStyle w:val="Intestazione"/>
            <w:jc w:val="center"/>
          </w:pPr>
        </w:p>
      </w:tc>
      <w:tc>
        <w:tcPr>
          <w:tcW w:w="3005" w:type="dxa"/>
        </w:tcPr>
        <w:p w14:paraId="7F8D339C" w14:textId="66340C12" w:rsidR="6A4EE06E" w:rsidRDefault="6A4EE06E" w:rsidP="6A4EE06E">
          <w:pPr>
            <w:pStyle w:val="Intestazione"/>
            <w:ind w:right="-115"/>
            <w:jc w:val="right"/>
          </w:pPr>
        </w:p>
      </w:tc>
    </w:tr>
  </w:tbl>
  <w:p w14:paraId="3AD6492A" w14:textId="3FE2E329" w:rsidR="6A4EE06E" w:rsidRDefault="6A4EE06E" w:rsidP="6A4EE06E">
    <w:pPr>
      <w:pStyle w:val="Intestazion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J0/MkkY9tVAwh3" id="XwwT03k4"/>
    <int:WordHash hashCode="s0FA4jPwfnuAAw" id="I2vFpey6"/>
    <int:WordHash hashCode="nYjNe96UtrPQl6" id="BJtrNqc6"/>
    <int:WordHash hashCode="BRgCCNde6mP/Ua" id="cvfN2Qsb"/>
    <int:WordHash hashCode="ZLIbEP+esm7dk3" id="esrT7Hng"/>
    <int:WordHash hashCode="wvlPTzYt98brsc" id="271fVBrh"/>
    <int:WordHash hashCode="nthFcLtdSVlC6t" id="WhT00Qh8"/>
    <int:ParagraphRange paragraphId="495482935" textId="1954748162" start="0" length="266" invalidationStart="0" invalidationLength="266" id="ASz56f4x"/>
    <int:ParagraphRange paragraphId="5470829" textId="1143176699" start="0" length="343" invalidationStart="0" invalidationLength="343" id="3mZfQb9F"/>
    <int:ParagraphRange paragraphId="1837322736" textId="883011433" start="0" length="142" invalidationStart="0" invalidationLength="142" id="3QielNkP"/>
    <int:ParagraphRange paragraphId="195248164" textId="100864365" start="0" length="148" invalidationStart="0" invalidationLength="148" id="MC1GRrbG"/>
  </int:Manifest>
  <int:Observations>
    <int:Content id="XwwT03k4">
      <int:Rejection type="LegacyProofing"/>
    </int:Content>
    <int:Content id="I2vFpey6">
      <int:Rejection type="LegacyProofing"/>
    </int:Content>
    <int:Content id="BJtrNqc6">
      <int:Rejection type="LegacyProofing"/>
    </int:Content>
    <int:Content id="cvfN2Qsb">
      <int:Rejection type="LegacyProofing"/>
    </int:Content>
    <int:Content id="esrT7Hng">
      <int:Rejection type="LegacyProofing"/>
    </int:Content>
    <int:Content id="271fVBrh">
      <int:Rejection type="LegacyProofing"/>
    </int:Content>
    <int:Content id="WhT00Qh8">
      <int:Rejection type="LegacyProofing"/>
    </int:Content>
    <int:Content id="ASz56f4x">
      <int:Rejection type="WordDesignerDefaultAnnotation"/>
    </int:Content>
    <int:Content id="3mZfQb9F">
      <int:Rejection type="WordDesignerDefaultAnnotation"/>
    </int:Content>
    <int:Content id="3QielNkP">
      <int:Rejection type="WordDesignerDefaultAnnotation"/>
    </int:Content>
    <int:Content id="MC1GRrbG">
      <int:Rejection type="WordDesignerDefault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F35"/>
    <w:multiLevelType w:val="hybridMultilevel"/>
    <w:tmpl w:val="4BBAB292"/>
    <w:lvl w:ilvl="0" w:tplc="0BC4A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C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CD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4A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6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D02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C8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48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29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F336F"/>
    <w:multiLevelType w:val="hybridMultilevel"/>
    <w:tmpl w:val="9094ED7C"/>
    <w:lvl w:ilvl="0" w:tplc="B936E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B79B5"/>
    <w:multiLevelType w:val="hybridMultilevel"/>
    <w:tmpl w:val="CA64D730"/>
    <w:lvl w:ilvl="0" w:tplc="DF28A2FC">
      <w:start w:val="1"/>
      <w:numFmt w:val="decimal"/>
      <w:lvlText w:val="%1-"/>
      <w:lvlJc w:val="left"/>
      <w:pPr>
        <w:ind w:left="720" w:hanging="360"/>
      </w:pPr>
    </w:lvl>
    <w:lvl w:ilvl="1" w:tplc="0570FD28">
      <w:start w:val="1"/>
      <w:numFmt w:val="lowerLetter"/>
      <w:lvlText w:val="%2."/>
      <w:lvlJc w:val="left"/>
      <w:pPr>
        <w:ind w:left="1440" w:hanging="360"/>
      </w:pPr>
    </w:lvl>
    <w:lvl w:ilvl="2" w:tplc="83361298">
      <w:start w:val="1"/>
      <w:numFmt w:val="lowerRoman"/>
      <w:lvlText w:val="%3."/>
      <w:lvlJc w:val="right"/>
      <w:pPr>
        <w:ind w:left="2160" w:hanging="180"/>
      </w:pPr>
    </w:lvl>
    <w:lvl w:ilvl="3" w:tplc="AFF26594">
      <w:start w:val="1"/>
      <w:numFmt w:val="decimal"/>
      <w:lvlText w:val="%4."/>
      <w:lvlJc w:val="left"/>
      <w:pPr>
        <w:ind w:left="2880" w:hanging="360"/>
      </w:pPr>
    </w:lvl>
    <w:lvl w:ilvl="4" w:tplc="40963D08">
      <w:start w:val="1"/>
      <w:numFmt w:val="lowerLetter"/>
      <w:lvlText w:val="%5."/>
      <w:lvlJc w:val="left"/>
      <w:pPr>
        <w:ind w:left="3600" w:hanging="360"/>
      </w:pPr>
    </w:lvl>
    <w:lvl w:ilvl="5" w:tplc="E646BAAA">
      <w:start w:val="1"/>
      <w:numFmt w:val="lowerRoman"/>
      <w:lvlText w:val="%6."/>
      <w:lvlJc w:val="right"/>
      <w:pPr>
        <w:ind w:left="4320" w:hanging="180"/>
      </w:pPr>
    </w:lvl>
    <w:lvl w:ilvl="6" w:tplc="89005792">
      <w:start w:val="1"/>
      <w:numFmt w:val="decimal"/>
      <w:lvlText w:val="%7."/>
      <w:lvlJc w:val="left"/>
      <w:pPr>
        <w:ind w:left="5040" w:hanging="360"/>
      </w:pPr>
    </w:lvl>
    <w:lvl w:ilvl="7" w:tplc="F4D4F40A">
      <w:start w:val="1"/>
      <w:numFmt w:val="lowerLetter"/>
      <w:lvlText w:val="%8."/>
      <w:lvlJc w:val="left"/>
      <w:pPr>
        <w:ind w:left="5760" w:hanging="360"/>
      </w:pPr>
    </w:lvl>
    <w:lvl w:ilvl="8" w:tplc="D4F8A9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31931"/>
    <w:multiLevelType w:val="hybridMultilevel"/>
    <w:tmpl w:val="38C0AD12"/>
    <w:lvl w:ilvl="0" w:tplc="3C7E0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6B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8C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34B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4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84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20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60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2744A"/>
    <w:rsid w:val="00001BE5"/>
    <w:rsid w:val="00002173"/>
    <w:rsid w:val="000021FF"/>
    <w:rsid w:val="00004921"/>
    <w:rsid w:val="00013FA4"/>
    <w:rsid w:val="000157EF"/>
    <w:rsid w:val="00022EE7"/>
    <w:rsid w:val="00023D48"/>
    <w:rsid w:val="00024291"/>
    <w:rsid w:val="00025D50"/>
    <w:rsid w:val="00034EEC"/>
    <w:rsid w:val="000364E5"/>
    <w:rsid w:val="00040E74"/>
    <w:rsid w:val="00041659"/>
    <w:rsid w:val="0004526E"/>
    <w:rsid w:val="000500B2"/>
    <w:rsid w:val="00051285"/>
    <w:rsid w:val="000541BD"/>
    <w:rsid w:val="00056D90"/>
    <w:rsid w:val="00057D6E"/>
    <w:rsid w:val="00060A1B"/>
    <w:rsid w:val="00065E6C"/>
    <w:rsid w:val="0006706F"/>
    <w:rsid w:val="000701EC"/>
    <w:rsid w:val="00077A01"/>
    <w:rsid w:val="00080751"/>
    <w:rsid w:val="0008480B"/>
    <w:rsid w:val="000849EF"/>
    <w:rsid w:val="00085487"/>
    <w:rsid w:val="000919C5"/>
    <w:rsid w:val="000932BB"/>
    <w:rsid w:val="000950FC"/>
    <w:rsid w:val="00095322"/>
    <w:rsid w:val="00097F21"/>
    <w:rsid w:val="000A32A9"/>
    <w:rsid w:val="000A3CBB"/>
    <w:rsid w:val="000B39A5"/>
    <w:rsid w:val="000B3DA2"/>
    <w:rsid w:val="000B49B4"/>
    <w:rsid w:val="000B4CD6"/>
    <w:rsid w:val="000C1B79"/>
    <w:rsid w:val="000C66DA"/>
    <w:rsid w:val="000D0874"/>
    <w:rsid w:val="000D0F96"/>
    <w:rsid w:val="000D1593"/>
    <w:rsid w:val="000D7256"/>
    <w:rsid w:val="000E079C"/>
    <w:rsid w:val="000E5F40"/>
    <w:rsid w:val="000E69ED"/>
    <w:rsid w:val="000F0CD0"/>
    <w:rsid w:val="00100B5A"/>
    <w:rsid w:val="00100F90"/>
    <w:rsid w:val="00103E86"/>
    <w:rsid w:val="0010415B"/>
    <w:rsid w:val="00104E6E"/>
    <w:rsid w:val="00110683"/>
    <w:rsid w:val="00111C4F"/>
    <w:rsid w:val="00111C6A"/>
    <w:rsid w:val="00112D71"/>
    <w:rsid w:val="00114CD2"/>
    <w:rsid w:val="00116F21"/>
    <w:rsid w:val="001224F4"/>
    <w:rsid w:val="001240A8"/>
    <w:rsid w:val="0013108B"/>
    <w:rsid w:val="00133942"/>
    <w:rsid w:val="001374C2"/>
    <w:rsid w:val="00137D2E"/>
    <w:rsid w:val="0014168B"/>
    <w:rsid w:val="001427C3"/>
    <w:rsid w:val="00145D8C"/>
    <w:rsid w:val="001563A8"/>
    <w:rsid w:val="00164648"/>
    <w:rsid w:val="001730C5"/>
    <w:rsid w:val="00175A0A"/>
    <w:rsid w:val="00182149"/>
    <w:rsid w:val="00184789"/>
    <w:rsid w:val="00185630"/>
    <w:rsid w:val="00185E22"/>
    <w:rsid w:val="001913F9"/>
    <w:rsid w:val="001956F8"/>
    <w:rsid w:val="00196BE5"/>
    <w:rsid w:val="001A4990"/>
    <w:rsid w:val="001A6346"/>
    <w:rsid w:val="001B08EA"/>
    <w:rsid w:val="001B12B3"/>
    <w:rsid w:val="001B187C"/>
    <w:rsid w:val="001B45AF"/>
    <w:rsid w:val="001B4862"/>
    <w:rsid w:val="001C052F"/>
    <w:rsid w:val="001C2DA1"/>
    <w:rsid w:val="001D4447"/>
    <w:rsid w:val="001E5A8D"/>
    <w:rsid w:val="001E6F9C"/>
    <w:rsid w:val="001F05CF"/>
    <w:rsid w:val="001F588D"/>
    <w:rsid w:val="001F69E9"/>
    <w:rsid w:val="001F73AB"/>
    <w:rsid w:val="00203FDF"/>
    <w:rsid w:val="00205872"/>
    <w:rsid w:val="00211290"/>
    <w:rsid w:val="00213B46"/>
    <w:rsid w:val="00213F1D"/>
    <w:rsid w:val="0021640E"/>
    <w:rsid w:val="002167F2"/>
    <w:rsid w:val="00217431"/>
    <w:rsid w:val="002208B5"/>
    <w:rsid w:val="00222323"/>
    <w:rsid w:val="00222392"/>
    <w:rsid w:val="00224A02"/>
    <w:rsid w:val="002254C0"/>
    <w:rsid w:val="002269E7"/>
    <w:rsid w:val="00230D89"/>
    <w:rsid w:val="00235CA3"/>
    <w:rsid w:val="002360B1"/>
    <w:rsid w:val="00236620"/>
    <w:rsid w:val="00237AE8"/>
    <w:rsid w:val="00240FF1"/>
    <w:rsid w:val="00244503"/>
    <w:rsid w:val="00245030"/>
    <w:rsid w:val="002454D3"/>
    <w:rsid w:val="002470AE"/>
    <w:rsid w:val="002510CE"/>
    <w:rsid w:val="00254321"/>
    <w:rsid w:val="0025583E"/>
    <w:rsid w:val="002576F9"/>
    <w:rsid w:val="00260E44"/>
    <w:rsid w:val="0027390D"/>
    <w:rsid w:val="00274D5F"/>
    <w:rsid w:val="00277693"/>
    <w:rsid w:val="00280267"/>
    <w:rsid w:val="00280864"/>
    <w:rsid w:val="002834B8"/>
    <w:rsid w:val="00283876"/>
    <w:rsid w:val="00286892"/>
    <w:rsid w:val="00290465"/>
    <w:rsid w:val="00295875"/>
    <w:rsid w:val="0029689B"/>
    <w:rsid w:val="002979A8"/>
    <w:rsid w:val="00297D78"/>
    <w:rsid w:val="002A1D05"/>
    <w:rsid w:val="002A2883"/>
    <w:rsid w:val="002A2ADF"/>
    <w:rsid w:val="002A3E9D"/>
    <w:rsid w:val="002A763F"/>
    <w:rsid w:val="002B3AF0"/>
    <w:rsid w:val="002B42C1"/>
    <w:rsid w:val="002B6DB4"/>
    <w:rsid w:val="002C2033"/>
    <w:rsid w:val="002C2D8F"/>
    <w:rsid w:val="002C32EA"/>
    <w:rsid w:val="002C6304"/>
    <w:rsid w:val="002C6A9D"/>
    <w:rsid w:val="002C747F"/>
    <w:rsid w:val="002D6456"/>
    <w:rsid w:val="002E462B"/>
    <w:rsid w:val="002E492A"/>
    <w:rsid w:val="002E5E9D"/>
    <w:rsid w:val="002E77F2"/>
    <w:rsid w:val="002F070E"/>
    <w:rsid w:val="002F12B8"/>
    <w:rsid w:val="002F41EE"/>
    <w:rsid w:val="002F49B1"/>
    <w:rsid w:val="002F5B13"/>
    <w:rsid w:val="00301E3A"/>
    <w:rsid w:val="003028A8"/>
    <w:rsid w:val="00303A1B"/>
    <w:rsid w:val="00304D3A"/>
    <w:rsid w:val="00305157"/>
    <w:rsid w:val="00307CD3"/>
    <w:rsid w:val="003144D6"/>
    <w:rsid w:val="00314CC0"/>
    <w:rsid w:val="003176AE"/>
    <w:rsid w:val="003176DA"/>
    <w:rsid w:val="00322A49"/>
    <w:rsid w:val="003361D0"/>
    <w:rsid w:val="003363B5"/>
    <w:rsid w:val="0033641F"/>
    <w:rsid w:val="00340673"/>
    <w:rsid w:val="003407F7"/>
    <w:rsid w:val="0034188D"/>
    <w:rsid w:val="00341AF3"/>
    <w:rsid w:val="00342FBF"/>
    <w:rsid w:val="00345A44"/>
    <w:rsid w:val="00345E45"/>
    <w:rsid w:val="003479FA"/>
    <w:rsid w:val="00356A01"/>
    <w:rsid w:val="00356B12"/>
    <w:rsid w:val="003604B2"/>
    <w:rsid w:val="003641DC"/>
    <w:rsid w:val="00364FFF"/>
    <w:rsid w:val="00370524"/>
    <w:rsid w:val="00373A19"/>
    <w:rsid w:val="00387E6C"/>
    <w:rsid w:val="00390C8D"/>
    <w:rsid w:val="00393007"/>
    <w:rsid w:val="00394ECE"/>
    <w:rsid w:val="003A7D27"/>
    <w:rsid w:val="003B17F6"/>
    <w:rsid w:val="003B1DA0"/>
    <w:rsid w:val="003C01B7"/>
    <w:rsid w:val="003C2DF1"/>
    <w:rsid w:val="003C3894"/>
    <w:rsid w:val="003C60E3"/>
    <w:rsid w:val="003C7C5E"/>
    <w:rsid w:val="003D029D"/>
    <w:rsid w:val="003D25CC"/>
    <w:rsid w:val="003D5C4E"/>
    <w:rsid w:val="003D6598"/>
    <w:rsid w:val="003E74E9"/>
    <w:rsid w:val="003F17BF"/>
    <w:rsid w:val="003F3ED8"/>
    <w:rsid w:val="00400AFC"/>
    <w:rsid w:val="00403C9E"/>
    <w:rsid w:val="004048D6"/>
    <w:rsid w:val="00405D96"/>
    <w:rsid w:val="00417DCC"/>
    <w:rsid w:val="00421321"/>
    <w:rsid w:val="00423177"/>
    <w:rsid w:val="00431898"/>
    <w:rsid w:val="00433C11"/>
    <w:rsid w:val="004346B7"/>
    <w:rsid w:val="00442379"/>
    <w:rsid w:val="0044392C"/>
    <w:rsid w:val="0045336C"/>
    <w:rsid w:val="00454748"/>
    <w:rsid w:val="00455BFF"/>
    <w:rsid w:val="00457B70"/>
    <w:rsid w:val="00462D1F"/>
    <w:rsid w:val="00462F2A"/>
    <w:rsid w:val="0047324C"/>
    <w:rsid w:val="0047325F"/>
    <w:rsid w:val="004745A8"/>
    <w:rsid w:val="004748A8"/>
    <w:rsid w:val="00476ABD"/>
    <w:rsid w:val="00477284"/>
    <w:rsid w:val="004801D7"/>
    <w:rsid w:val="00486948"/>
    <w:rsid w:val="00490365"/>
    <w:rsid w:val="0049276A"/>
    <w:rsid w:val="00494254"/>
    <w:rsid w:val="004979E5"/>
    <w:rsid w:val="004A0B7F"/>
    <w:rsid w:val="004A1AC7"/>
    <w:rsid w:val="004A3443"/>
    <w:rsid w:val="004A3EA8"/>
    <w:rsid w:val="004A49BA"/>
    <w:rsid w:val="004A536B"/>
    <w:rsid w:val="004A7F1B"/>
    <w:rsid w:val="004B20D2"/>
    <w:rsid w:val="004B24F6"/>
    <w:rsid w:val="004B4067"/>
    <w:rsid w:val="004B6B37"/>
    <w:rsid w:val="004B717F"/>
    <w:rsid w:val="004B761A"/>
    <w:rsid w:val="004C0E92"/>
    <w:rsid w:val="004C1214"/>
    <w:rsid w:val="004C2CF4"/>
    <w:rsid w:val="004C58F7"/>
    <w:rsid w:val="004E2046"/>
    <w:rsid w:val="004E23B3"/>
    <w:rsid w:val="004E293F"/>
    <w:rsid w:val="004E4CC9"/>
    <w:rsid w:val="004E5CBB"/>
    <w:rsid w:val="004E6D9A"/>
    <w:rsid w:val="004E732D"/>
    <w:rsid w:val="004E7DEF"/>
    <w:rsid w:val="004F28E7"/>
    <w:rsid w:val="004F2F8D"/>
    <w:rsid w:val="00504BCA"/>
    <w:rsid w:val="005071B4"/>
    <w:rsid w:val="0051047A"/>
    <w:rsid w:val="00513827"/>
    <w:rsid w:val="005153E3"/>
    <w:rsid w:val="00520B54"/>
    <w:rsid w:val="00524350"/>
    <w:rsid w:val="0052563A"/>
    <w:rsid w:val="00531004"/>
    <w:rsid w:val="00531134"/>
    <w:rsid w:val="0053269D"/>
    <w:rsid w:val="0053458A"/>
    <w:rsid w:val="00535300"/>
    <w:rsid w:val="00536195"/>
    <w:rsid w:val="005363B9"/>
    <w:rsid w:val="00537DAD"/>
    <w:rsid w:val="005403DF"/>
    <w:rsid w:val="005415A5"/>
    <w:rsid w:val="005448D1"/>
    <w:rsid w:val="0055438A"/>
    <w:rsid w:val="00560176"/>
    <w:rsid w:val="00562454"/>
    <w:rsid w:val="005634D7"/>
    <w:rsid w:val="00564B0C"/>
    <w:rsid w:val="00570C77"/>
    <w:rsid w:val="00572965"/>
    <w:rsid w:val="005741CA"/>
    <w:rsid w:val="00574792"/>
    <w:rsid w:val="005754B8"/>
    <w:rsid w:val="005760CE"/>
    <w:rsid w:val="00581EF2"/>
    <w:rsid w:val="0058282A"/>
    <w:rsid w:val="00593A58"/>
    <w:rsid w:val="005967A9"/>
    <w:rsid w:val="005A2DE9"/>
    <w:rsid w:val="005A3C73"/>
    <w:rsid w:val="005A4E30"/>
    <w:rsid w:val="005B6208"/>
    <w:rsid w:val="005B799D"/>
    <w:rsid w:val="005C164F"/>
    <w:rsid w:val="005C70FF"/>
    <w:rsid w:val="005D1C32"/>
    <w:rsid w:val="005D1F20"/>
    <w:rsid w:val="005E29F1"/>
    <w:rsid w:val="005E4EDC"/>
    <w:rsid w:val="005E7553"/>
    <w:rsid w:val="005E7B43"/>
    <w:rsid w:val="005F1B37"/>
    <w:rsid w:val="005F2777"/>
    <w:rsid w:val="005F5BBD"/>
    <w:rsid w:val="00603C7F"/>
    <w:rsid w:val="00606994"/>
    <w:rsid w:val="00616FB4"/>
    <w:rsid w:val="006176F8"/>
    <w:rsid w:val="006204C8"/>
    <w:rsid w:val="00621546"/>
    <w:rsid w:val="00625E2D"/>
    <w:rsid w:val="00626F98"/>
    <w:rsid w:val="00630F87"/>
    <w:rsid w:val="00632C32"/>
    <w:rsid w:val="00633392"/>
    <w:rsid w:val="00635C6B"/>
    <w:rsid w:val="00635E80"/>
    <w:rsid w:val="0063779F"/>
    <w:rsid w:val="006424F1"/>
    <w:rsid w:val="006428AD"/>
    <w:rsid w:val="00647981"/>
    <w:rsid w:val="00650654"/>
    <w:rsid w:val="0065323E"/>
    <w:rsid w:val="006554ED"/>
    <w:rsid w:val="00661FE9"/>
    <w:rsid w:val="00667050"/>
    <w:rsid w:val="0067768D"/>
    <w:rsid w:val="00686236"/>
    <w:rsid w:val="00694552"/>
    <w:rsid w:val="00695E7E"/>
    <w:rsid w:val="006A1A3B"/>
    <w:rsid w:val="006A28BC"/>
    <w:rsid w:val="006A3CC3"/>
    <w:rsid w:val="006A791F"/>
    <w:rsid w:val="006B177F"/>
    <w:rsid w:val="006B346B"/>
    <w:rsid w:val="006C0AB2"/>
    <w:rsid w:val="006C16B7"/>
    <w:rsid w:val="006C1778"/>
    <w:rsid w:val="006C37C5"/>
    <w:rsid w:val="006C6183"/>
    <w:rsid w:val="006D2E90"/>
    <w:rsid w:val="006E1D68"/>
    <w:rsid w:val="006E3D59"/>
    <w:rsid w:val="006E55DF"/>
    <w:rsid w:val="006E6C3E"/>
    <w:rsid w:val="006F01C3"/>
    <w:rsid w:val="0070012A"/>
    <w:rsid w:val="007043C1"/>
    <w:rsid w:val="00710ABC"/>
    <w:rsid w:val="00711886"/>
    <w:rsid w:val="00714C43"/>
    <w:rsid w:val="00720F4F"/>
    <w:rsid w:val="007235D0"/>
    <w:rsid w:val="00730478"/>
    <w:rsid w:val="00731391"/>
    <w:rsid w:val="00743AE3"/>
    <w:rsid w:val="00750BBC"/>
    <w:rsid w:val="007510C0"/>
    <w:rsid w:val="00752E87"/>
    <w:rsid w:val="00753C9E"/>
    <w:rsid w:val="00756AAA"/>
    <w:rsid w:val="007610EE"/>
    <w:rsid w:val="00761EE8"/>
    <w:rsid w:val="00762314"/>
    <w:rsid w:val="00773D1C"/>
    <w:rsid w:val="00780A15"/>
    <w:rsid w:val="00780A68"/>
    <w:rsid w:val="00786E10"/>
    <w:rsid w:val="00791E08"/>
    <w:rsid w:val="00795546"/>
    <w:rsid w:val="007A4488"/>
    <w:rsid w:val="007A51F9"/>
    <w:rsid w:val="007A5246"/>
    <w:rsid w:val="007A5EE9"/>
    <w:rsid w:val="007A74EE"/>
    <w:rsid w:val="007B0788"/>
    <w:rsid w:val="007B0DAD"/>
    <w:rsid w:val="007B2EF8"/>
    <w:rsid w:val="007C04DC"/>
    <w:rsid w:val="007C2DA1"/>
    <w:rsid w:val="007C65BF"/>
    <w:rsid w:val="007D2A2B"/>
    <w:rsid w:val="007E015B"/>
    <w:rsid w:val="007E0CA8"/>
    <w:rsid w:val="007E3ED8"/>
    <w:rsid w:val="007E5775"/>
    <w:rsid w:val="007E5ED2"/>
    <w:rsid w:val="007E6F8A"/>
    <w:rsid w:val="007F0028"/>
    <w:rsid w:val="007F2205"/>
    <w:rsid w:val="0080426D"/>
    <w:rsid w:val="00804AD3"/>
    <w:rsid w:val="0080534E"/>
    <w:rsid w:val="00806F16"/>
    <w:rsid w:val="00810B52"/>
    <w:rsid w:val="00816C8E"/>
    <w:rsid w:val="00817F5F"/>
    <w:rsid w:val="00822F53"/>
    <w:rsid w:val="00824B0D"/>
    <w:rsid w:val="00825634"/>
    <w:rsid w:val="0082599A"/>
    <w:rsid w:val="0082756B"/>
    <w:rsid w:val="008278E4"/>
    <w:rsid w:val="00830A56"/>
    <w:rsid w:val="008330AF"/>
    <w:rsid w:val="00840A1B"/>
    <w:rsid w:val="00841058"/>
    <w:rsid w:val="00841749"/>
    <w:rsid w:val="00842154"/>
    <w:rsid w:val="00842906"/>
    <w:rsid w:val="00842D43"/>
    <w:rsid w:val="0084598F"/>
    <w:rsid w:val="00845F17"/>
    <w:rsid w:val="00851AE0"/>
    <w:rsid w:val="00855414"/>
    <w:rsid w:val="0086138F"/>
    <w:rsid w:val="00866763"/>
    <w:rsid w:val="008712C1"/>
    <w:rsid w:val="00872465"/>
    <w:rsid w:val="00877C86"/>
    <w:rsid w:val="00881896"/>
    <w:rsid w:val="00886B48"/>
    <w:rsid w:val="008872B5"/>
    <w:rsid w:val="008951CA"/>
    <w:rsid w:val="0089783F"/>
    <w:rsid w:val="008A028A"/>
    <w:rsid w:val="008A2E28"/>
    <w:rsid w:val="008B1496"/>
    <w:rsid w:val="008B3631"/>
    <w:rsid w:val="008B3D20"/>
    <w:rsid w:val="008B4A7A"/>
    <w:rsid w:val="008B4E85"/>
    <w:rsid w:val="008B52F3"/>
    <w:rsid w:val="008C21FD"/>
    <w:rsid w:val="008C2883"/>
    <w:rsid w:val="008C2967"/>
    <w:rsid w:val="008C6785"/>
    <w:rsid w:val="008D14B8"/>
    <w:rsid w:val="008D2502"/>
    <w:rsid w:val="008D65B1"/>
    <w:rsid w:val="008D68AF"/>
    <w:rsid w:val="008F2904"/>
    <w:rsid w:val="008F3460"/>
    <w:rsid w:val="008F7B75"/>
    <w:rsid w:val="009020CF"/>
    <w:rsid w:val="00904197"/>
    <w:rsid w:val="0091000D"/>
    <w:rsid w:val="009106B3"/>
    <w:rsid w:val="00914D7C"/>
    <w:rsid w:val="0091552D"/>
    <w:rsid w:val="009158A7"/>
    <w:rsid w:val="00916F0B"/>
    <w:rsid w:val="00920A47"/>
    <w:rsid w:val="009210AF"/>
    <w:rsid w:val="009218C6"/>
    <w:rsid w:val="009247A4"/>
    <w:rsid w:val="00927362"/>
    <w:rsid w:val="00932544"/>
    <w:rsid w:val="009374CE"/>
    <w:rsid w:val="009403D7"/>
    <w:rsid w:val="0094099E"/>
    <w:rsid w:val="00945C48"/>
    <w:rsid w:val="009461A9"/>
    <w:rsid w:val="00951F63"/>
    <w:rsid w:val="00952A0E"/>
    <w:rsid w:val="00957528"/>
    <w:rsid w:val="00961AFB"/>
    <w:rsid w:val="00963DD6"/>
    <w:rsid w:val="00965965"/>
    <w:rsid w:val="00967982"/>
    <w:rsid w:val="00970456"/>
    <w:rsid w:val="009721A4"/>
    <w:rsid w:val="0097262E"/>
    <w:rsid w:val="009764AC"/>
    <w:rsid w:val="00977B4A"/>
    <w:rsid w:val="00980DFB"/>
    <w:rsid w:val="0098338A"/>
    <w:rsid w:val="00985E42"/>
    <w:rsid w:val="009929FA"/>
    <w:rsid w:val="009932BF"/>
    <w:rsid w:val="00994854"/>
    <w:rsid w:val="0099543E"/>
    <w:rsid w:val="009969BA"/>
    <w:rsid w:val="009A2A44"/>
    <w:rsid w:val="009B0748"/>
    <w:rsid w:val="009B13A7"/>
    <w:rsid w:val="009B28A6"/>
    <w:rsid w:val="009B52C3"/>
    <w:rsid w:val="009B67E8"/>
    <w:rsid w:val="009C0ADE"/>
    <w:rsid w:val="009C6766"/>
    <w:rsid w:val="009D5EAA"/>
    <w:rsid w:val="009E0177"/>
    <w:rsid w:val="009E1E3C"/>
    <w:rsid w:val="009E44DB"/>
    <w:rsid w:val="009F2C14"/>
    <w:rsid w:val="009F2E4D"/>
    <w:rsid w:val="009F39E0"/>
    <w:rsid w:val="009F4CAF"/>
    <w:rsid w:val="00A000F6"/>
    <w:rsid w:val="00A02149"/>
    <w:rsid w:val="00A13266"/>
    <w:rsid w:val="00A13321"/>
    <w:rsid w:val="00A148AE"/>
    <w:rsid w:val="00A14A88"/>
    <w:rsid w:val="00A20F51"/>
    <w:rsid w:val="00A2127E"/>
    <w:rsid w:val="00A230F8"/>
    <w:rsid w:val="00A23B1C"/>
    <w:rsid w:val="00A2729F"/>
    <w:rsid w:val="00A27820"/>
    <w:rsid w:val="00A310EF"/>
    <w:rsid w:val="00A32511"/>
    <w:rsid w:val="00A3432A"/>
    <w:rsid w:val="00A35C4B"/>
    <w:rsid w:val="00A36F92"/>
    <w:rsid w:val="00A41A50"/>
    <w:rsid w:val="00A42A82"/>
    <w:rsid w:val="00A44AAD"/>
    <w:rsid w:val="00A466DF"/>
    <w:rsid w:val="00A50894"/>
    <w:rsid w:val="00A50955"/>
    <w:rsid w:val="00A54375"/>
    <w:rsid w:val="00A54DF5"/>
    <w:rsid w:val="00A5552A"/>
    <w:rsid w:val="00A6342D"/>
    <w:rsid w:val="00A67605"/>
    <w:rsid w:val="00A71BC3"/>
    <w:rsid w:val="00A734E3"/>
    <w:rsid w:val="00A76C7B"/>
    <w:rsid w:val="00A819BF"/>
    <w:rsid w:val="00A839D4"/>
    <w:rsid w:val="00A851DF"/>
    <w:rsid w:val="00A85314"/>
    <w:rsid w:val="00A85A25"/>
    <w:rsid w:val="00A864B1"/>
    <w:rsid w:val="00AA16EB"/>
    <w:rsid w:val="00AA1D55"/>
    <w:rsid w:val="00AA3EDE"/>
    <w:rsid w:val="00AB1E6B"/>
    <w:rsid w:val="00AB47FB"/>
    <w:rsid w:val="00AB6BEC"/>
    <w:rsid w:val="00AB7728"/>
    <w:rsid w:val="00AC3A35"/>
    <w:rsid w:val="00AC5B7C"/>
    <w:rsid w:val="00AC7219"/>
    <w:rsid w:val="00AC789B"/>
    <w:rsid w:val="00AC7B02"/>
    <w:rsid w:val="00AD0590"/>
    <w:rsid w:val="00AD149D"/>
    <w:rsid w:val="00AD2419"/>
    <w:rsid w:val="00AD5AB9"/>
    <w:rsid w:val="00AE0125"/>
    <w:rsid w:val="00AE2281"/>
    <w:rsid w:val="00AE3AFD"/>
    <w:rsid w:val="00AE3CE3"/>
    <w:rsid w:val="00AE5498"/>
    <w:rsid w:val="00AE686B"/>
    <w:rsid w:val="00AE69D7"/>
    <w:rsid w:val="00AF2209"/>
    <w:rsid w:val="00AF3CF7"/>
    <w:rsid w:val="00AF437A"/>
    <w:rsid w:val="00AF7C39"/>
    <w:rsid w:val="00B04152"/>
    <w:rsid w:val="00B074E3"/>
    <w:rsid w:val="00B07755"/>
    <w:rsid w:val="00B079A0"/>
    <w:rsid w:val="00B10274"/>
    <w:rsid w:val="00B12A1C"/>
    <w:rsid w:val="00B168B0"/>
    <w:rsid w:val="00B20E77"/>
    <w:rsid w:val="00B24546"/>
    <w:rsid w:val="00B42A13"/>
    <w:rsid w:val="00B4329C"/>
    <w:rsid w:val="00B4698C"/>
    <w:rsid w:val="00B47630"/>
    <w:rsid w:val="00B5322B"/>
    <w:rsid w:val="00B54ABF"/>
    <w:rsid w:val="00B57EE9"/>
    <w:rsid w:val="00B66BE4"/>
    <w:rsid w:val="00B73065"/>
    <w:rsid w:val="00B7408C"/>
    <w:rsid w:val="00B75099"/>
    <w:rsid w:val="00B75D0B"/>
    <w:rsid w:val="00B76F75"/>
    <w:rsid w:val="00B775BF"/>
    <w:rsid w:val="00B8388B"/>
    <w:rsid w:val="00B918D2"/>
    <w:rsid w:val="00B9255A"/>
    <w:rsid w:val="00B9265B"/>
    <w:rsid w:val="00B9275D"/>
    <w:rsid w:val="00BA3833"/>
    <w:rsid w:val="00BA3F48"/>
    <w:rsid w:val="00BA6600"/>
    <w:rsid w:val="00BA6A4B"/>
    <w:rsid w:val="00BA71DE"/>
    <w:rsid w:val="00BB0591"/>
    <w:rsid w:val="00BB105C"/>
    <w:rsid w:val="00BB2812"/>
    <w:rsid w:val="00BC08D7"/>
    <w:rsid w:val="00BC0F02"/>
    <w:rsid w:val="00BC3638"/>
    <w:rsid w:val="00BC5805"/>
    <w:rsid w:val="00BC5D73"/>
    <w:rsid w:val="00BD0BB2"/>
    <w:rsid w:val="00BD1A9F"/>
    <w:rsid w:val="00BD35B7"/>
    <w:rsid w:val="00BD562D"/>
    <w:rsid w:val="00BE2128"/>
    <w:rsid w:val="00BE2924"/>
    <w:rsid w:val="00BE2B70"/>
    <w:rsid w:val="00BE429D"/>
    <w:rsid w:val="00BE5155"/>
    <w:rsid w:val="00BF2DD7"/>
    <w:rsid w:val="00BF3373"/>
    <w:rsid w:val="00BF4A43"/>
    <w:rsid w:val="00BF4B52"/>
    <w:rsid w:val="00BF6EC2"/>
    <w:rsid w:val="00C0080A"/>
    <w:rsid w:val="00C07226"/>
    <w:rsid w:val="00C12934"/>
    <w:rsid w:val="00C131E9"/>
    <w:rsid w:val="00C13B32"/>
    <w:rsid w:val="00C143C8"/>
    <w:rsid w:val="00C155E9"/>
    <w:rsid w:val="00C1611A"/>
    <w:rsid w:val="00C208B9"/>
    <w:rsid w:val="00C22659"/>
    <w:rsid w:val="00C23775"/>
    <w:rsid w:val="00C27E72"/>
    <w:rsid w:val="00C42360"/>
    <w:rsid w:val="00C43A60"/>
    <w:rsid w:val="00C44FF7"/>
    <w:rsid w:val="00C462B0"/>
    <w:rsid w:val="00C50B29"/>
    <w:rsid w:val="00C53C8D"/>
    <w:rsid w:val="00C6436E"/>
    <w:rsid w:val="00C668D7"/>
    <w:rsid w:val="00C679A6"/>
    <w:rsid w:val="00C73831"/>
    <w:rsid w:val="00C74B58"/>
    <w:rsid w:val="00C75E9C"/>
    <w:rsid w:val="00C850C2"/>
    <w:rsid w:val="00C865AC"/>
    <w:rsid w:val="00C906FB"/>
    <w:rsid w:val="00C94A80"/>
    <w:rsid w:val="00CA16A0"/>
    <w:rsid w:val="00CA1A95"/>
    <w:rsid w:val="00CA5ACE"/>
    <w:rsid w:val="00CB2EE3"/>
    <w:rsid w:val="00CC0CDC"/>
    <w:rsid w:val="00CC2DD8"/>
    <w:rsid w:val="00CC4B9B"/>
    <w:rsid w:val="00CC5198"/>
    <w:rsid w:val="00CC6416"/>
    <w:rsid w:val="00CC6BC5"/>
    <w:rsid w:val="00CD1496"/>
    <w:rsid w:val="00CD4151"/>
    <w:rsid w:val="00CD7992"/>
    <w:rsid w:val="00CE137E"/>
    <w:rsid w:val="00CE18E6"/>
    <w:rsid w:val="00CE34F8"/>
    <w:rsid w:val="00CE632F"/>
    <w:rsid w:val="00CF01D0"/>
    <w:rsid w:val="00CF33A2"/>
    <w:rsid w:val="00CF5014"/>
    <w:rsid w:val="00CF57FC"/>
    <w:rsid w:val="00CF7701"/>
    <w:rsid w:val="00D00B5B"/>
    <w:rsid w:val="00D02675"/>
    <w:rsid w:val="00D02CD4"/>
    <w:rsid w:val="00D10013"/>
    <w:rsid w:val="00D105E6"/>
    <w:rsid w:val="00D11DC5"/>
    <w:rsid w:val="00D15393"/>
    <w:rsid w:val="00D15F9B"/>
    <w:rsid w:val="00D21D75"/>
    <w:rsid w:val="00D22D94"/>
    <w:rsid w:val="00D263A7"/>
    <w:rsid w:val="00D32236"/>
    <w:rsid w:val="00D424F4"/>
    <w:rsid w:val="00D440DB"/>
    <w:rsid w:val="00D4527B"/>
    <w:rsid w:val="00D50E30"/>
    <w:rsid w:val="00D5363C"/>
    <w:rsid w:val="00D659D0"/>
    <w:rsid w:val="00D70C5B"/>
    <w:rsid w:val="00D70C5E"/>
    <w:rsid w:val="00D805E4"/>
    <w:rsid w:val="00D818BD"/>
    <w:rsid w:val="00D81A51"/>
    <w:rsid w:val="00D82250"/>
    <w:rsid w:val="00D824B5"/>
    <w:rsid w:val="00D84307"/>
    <w:rsid w:val="00D87A8B"/>
    <w:rsid w:val="00D90809"/>
    <w:rsid w:val="00D95DD8"/>
    <w:rsid w:val="00DA0A6E"/>
    <w:rsid w:val="00DB7D9A"/>
    <w:rsid w:val="00DC102E"/>
    <w:rsid w:val="00DC1A11"/>
    <w:rsid w:val="00DD2C5D"/>
    <w:rsid w:val="00DD6B65"/>
    <w:rsid w:val="00DE24D8"/>
    <w:rsid w:val="00DE3869"/>
    <w:rsid w:val="00DE46BF"/>
    <w:rsid w:val="00DE5235"/>
    <w:rsid w:val="00DE6424"/>
    <w:rsid w:val="00DF0CF0"/>
    <w:rsid w:val="00DF1A8C"/>
    <w:rsid w:val="00DF2683"/>
    <w:rsid w:val="00DF5F27"/>
    <w:rsid w:val="00E04DA0"/>
    <w:rsid w:val="00E05C2D"/>
    <w:rsid w:val="00E05F9D"/>
    <w:rsid w:val="00E15CC0"/>
    <w:rsid w:val="00E16ABD"/>
    <w:rsid w:val="00E21B8E"/>
    <w:rsid w:val="00E3097C"/>
    <w:rsid w:val="00E30CC3"/>
    <w:rsid w:val="00E31BC4"/>
    <w:rsid w:val="00E326C6"/>
    <w:rsid w:val="00E3325E"/>
    <w:rsid w:val="00E33D70"/>
    <w:rsid w:val="00E36D9D"/>
    <w:rsid w:val="00E452A9"/>
    <w:rsid w:val="00E457C2"/>
    <w:rsid w:val="00E47ACF"/>
    <w:rsid w:val="00E60680"/>
    <w:rsid w:val="00E61C56"/>
    <w:rsid w:val="00E66D8E"/>
    <w:rsid w:val="00E670BA"/>
    <w:rsid w:val="00E74BB3"/>
    <w:rsid w:val="00E830F1"/>
    <w:rsid w:val="00E8754D"/>
    <w:rsid w:val="00E92CE3"/>
    <w:rsid w:val="00E936DB"/>
    <w:rsid w:val="00EA0311"/>
    <w:rsid w:val="00EA77B0"/>
    <w:rsid w:val="00EB1E2D"/>
    <w:rsid w:val="00EB4B74"/>
    <w:rsid w:val="00EB56FF"/>
    <w:rsid w:val="00EC09C6"/>
    <w:rsid w:val="00EC1943"/>
    <w:rsid w:val="00EC52B8"/>
    <w:rsid w:val="00EC6EE8"/>
    <w:rsid w:val="00EC6FCD"/>
    <w:rsid w:val="00ED12A5"/>
    <w:rsid w:val="00ED4390"/>
    <w:rsid w:val="00EE116C"/>
    <w:rsid w:val="00EF09F0"/>
    <w:rsid w:val="00EF497A"/>
    <w:rsid w:val="00EF6689"/>
    <w:rsid w:val="00EF77D0"/>
    <w:rsid w:val="00F0433F"/>
    <w:rsid w:val="00F0436F"/>
    <w:rsid w:val="00F0718B"/>
    <w:rsid w:val="00F10235"/>
    <w:rsid w:val="00F105CA"/>
    <w:rsid w:val="00F14C9D"/>
    <w:rsid w:val="00F163EB"/>
    <w:rsid w:val="00F22429"/>
    <w:rsid w:val="00F23533"/>
    <w:rsid w:val="00F261D4"/>
    <w:rsid w:val="00F26377"/>
    <w:rsid w:val="00F33FCD"/>
    <w:rsid w:val="00F34B4A"/>
    <w:rsid w:val="00F410B3"/>
    <w:rsid w:val="00F4473F"/>
    <w:rsid w:val="00F47EB5"/>
    <w:rsid w:val="00F65A90"/>
    <w:rsid w:val="00F723B9"/>
    <w:rsid w:val="00F731F8"/>
    <w:rsid w:val="00F73B7E"/>
    <w:rsid w:val="00F746F5"/>
    <w:rsid w:val="00F7582D"/>
    <w:rsid w:val="00F75A0B"/>
    <w:rsid w:val="00F76B8B"/>
    <w:rsid w:val="00F778F0"/>
    <w:rsid w:val="00F81104"/>
    <w:rsid w:val="00F81E15"/>
    <w:rsid w:val="00F90044"/>
    <w:rsid w:val="00F906F1"/>
    <w:rsid w:val="00F94A0B"/>
    <w:rsid w:val="00F951B1"/>
    <w:rsid w:val="00F95C67"/>
    <w:rsid w:val="00F95D50"/>
    <w:rsid w:val="00FA090F"/>
    <w:rsid w:val="00FA0E02"/>
    <w:rsid w:val="00FA178E"/>
    <w:rsid w:val="00FA27B1"/>
    <w:rsid w:val="00FA358E"/>
    <w:rsid w:val="00FA3F97"/>
    <w:rsid w:val="00FC0C93"/>
    <w:rsid w:val="00FD2927"/>
    <w:rsid w:val="00FD3EFC"/>
    <w:rsid w:val="00FD67D3"/>
    <w:rsid w:val="00FD72D8"/>
    <w:rsid w:val="00FF26C1"/>
    <w:rsid w:val="00FF28A6"/>
    <w:rsid w:val="00FF5049"/>
    <w:rsid w:val="00FF519A"/>
    <w:rsid w:val="00FF6BE1"/>
    <w:rsid w:val="1712744A"/>
    <w:rsid w:val="29D3BABC"/>
    <w:rsid w:val="6A4EE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744A"/>
  <w15:chartTrackingRefBased/>
  <w15:docId w15:val="{866C31F3-991C-4EA8-AFA3-F3D2D0CD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6A4EE06E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6A4EE06E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6A4EE06E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6A4EE06E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6A4EE06E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6A4EE06E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6A4EE06E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6A4EE06E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6A4EE06E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6A4EE06E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6A4EE06E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6A4EE06E"/>
    <w:rPr>
      <w:rFonts w:eastAsiaTheme="minorEastAsia"/>
      <w:color w:val="5A5A5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6A4EE0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6A4EE06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6A4EE06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6A4EE06E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6A4EE06E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6A4EE06E"/>
    <w:rPr>
      <w:rFonts w:asciiTheme="majorHAnsi" w:eastAsiaTheme="majorEastAsia" w:hAnsiTheme="majorHAnsi" w:cstheme="majorBidi"/>
      <w:noProof w:val="0"/>
      <w:color w:val="1F3763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6A4EE06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6A4EE06E"/>
    <w:rPr>
      <w:rFonts w:asciiTheme="majorHAnsi" w:eastAsiaTheme="majorEastAsia" w:hAnsiTheme="majorHAnsi" w:cstheme="majorBidi"/>
      <w:noProof w:val="0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6A4EE06E"/>
    <w:rPr>
      <w:rFonts w:asciiTheme="majorHAnsi" w:eastAsiaTheme="majorEastAsia" w:hAnsiTheme="majorHAnsi" w:cstheme="majorBidi"/>
      <w:noProof w:val="0"/>
      <w:color w:val="1F3763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6A4EE06E"/>
    <w:rPr>
      <w:rFonts w:asciiTheme="majorHAnsi" w:eastAsiaTheme="majorEastAsia" w:hAnsiTheme="majorHAnsi" w:cstheme="majorBidi"/>
      <w:i/>
      <w:iCs/>
      <w:noProof w:val="0"/>
      <w:color w:val="1F3763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6A4EE06E"/>
    <w:rPr>
      <w:rFonts w:asciiTheme="majorHAnsi" w:eastAsiaTheme="majorEastAsia" w:hAnsiTheme="majorHAnsi" w:cstheme="majorBidi"/>
      <w:noProof w:val="0"/>
      <w:color w:val="272727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6A4EE06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6A4EE06E"/>
    <w:rPr>
      <w:rFonts w:asciiTheme="majorHAnsi" w:eastAsiaTheme="majorEastAsia" w:hAnsiTheme="majorHAnsi" w:cstheme="majorBidi"/>
      <w:noProof w:val="0"/>
      <w:sz w:val="56"/>
      <w:szCs w:val="56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6A4EE06E"/>
    <w:rPr>
      <w:rFonts w:asciiTheme="minorHAnsi" w:eastAsiaTheme="minorEastAsia" w:hAnsiTheme="minorHAnsi" w:cstheme="minorBidi"/>
      <w:noProof w:val="0"/>
      <w:color w:val="5A5A5A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6A4EE06E"/>
    <w:rPr>
      <w:i/>
      <w:iCs/>
      <w:noProof w:val="0"/>
      <w:color w:val="404040" w:themeColor="text1" w:themeTint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6A4EE06E"/>
    <w:rPr>
      <w:i/>
      <w:iCs/>
      <w:noProof w:val="0"/>
      <w:color w:val="4472C4" w:themeColor="accent1"/>
      <w:lang w:val="it-IT"/>
    </w:rPr>
  </w:style>
  <w:style w:type="paragraph" w:styleId="Sommario1">
    <w:name w:val="toc 1"/>
    <w:basedOn w:val="Normale"/>
    <w:next w:val="Normale"/>
    <w:uiPriority w:val="39"/>
    <w:unhideWhenUsed/>
    <w:rsid w:val="6A4EE06E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6A4EE06E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6A4EE06E"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rsid w:val="6A4EE06E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6A4EE06E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6A4EE06E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6A4EE06E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6A4EE06E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6A4EE06E"/>
    <w:pPr>
      <w:spacing w:after="100"/>
      <w:ind w:left="1760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6A4EE06E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6A4EE06E"/>
    <w:rPr>
      <w:noProof w:val="0"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6A4EE06E"/>
    <w:pPr>
      <w:tabs>
        <w:tab w:val="center" w:pos="4680"/>
        <w:tab w:val="right" w:pos="936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6A4EE06E"/>
    <w:rPr>
      <w:noProof w:val="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6A4EE06E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6A4EE06E"/>
    <w:rPr>
      <w:noProof w:val="0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6A4EE06E"/>
    <w:pPr>
      <w:tabs>
        <w:tab w:val="center" w:pos="4680"/>
        <w:tab w:val="right" w:pos="936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6A4EE06E"/>
    <w:rPr>
      <w:noProof w:val="0"/>
      <w:lang w:val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stosegnaposto">
    <w:name w:val="Placeholder Text"/>
    <w:basedOn w:val="Carpredefinitoparagrafo"/>
    <w:uiPriority w:val="99"/>
    <w:semiHidden/>
    <w:rsid w:val="00855414"/>
    <w:rPr>
      <w:color w:val="808080"/>
    </w:rPr>
  </w:style>
  <w:style w:type="paragraph" w:styleId="Revisione">
    <w:name w:val="Revision"/>
    <w:hidden/>
    <w:uiPriority w:val="99"/>
    <w:semiHidden/>
    <w:rsid w:val="006F01C3"/>
    <w:pPr>
      <w:spacing w:after="0" w:line="240" w:lineRule="auto"/>
    </w:pPr>
    <w:rPr>
      <w:lang w:val="it-IT"/>
    </w:rPr>
  </w:style>
  <w:style w:type="character" w:styleId="Rimandonotaapidipagina">
    <w:name w:val="footnote reference"/>
    <w:aliases w:val="Footnote reference number,Footnote symbol,note TESI,Footnote"/>
    <w:basedOn w:val="Carpredefinitoparagrafo"/>
    <w:uiPriority w:val="99"/>
    <w:unhideWhenUsed/>
    <w:rsid w:val="00BA6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7eeec9d21af04f6e" Type="http://schemas.microsoft.com/office/2019/09/relationships/intelligence" Target="intelligenc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04DC-BA4D-408C-AD3D-B4FDA4E2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2875</Words>
  <Characters>16394</Characters>
  <Application>Microsoft Office Word</Application>
  <DocSecurity>4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Caringella</dc:creator>
  <cp:keywords/>
  <dc:description/>
  <cp:lastModifiedBy>FERRARI Giulia</cp:lastModifiedBy>
  <cp:revision>2</cp:revision>
  <dcterms:created xsi:type="dcterms:W3CDTF">2022-09-21T20:55:00Z</dcterms:created>
  <dcterms:modified xsi:type="dcterms:W3CDTF">2022-09-21T20:55:00Z</dcterms:modified>
</cp:coreProperties>
</file>