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DCF" w:rsidRPr="00CD5477" w:rsidRDefault="00FF659A" w:rsidP="0003545E">
      <w:pPr>
        <w:spacing w:line="360" w:lineRule="auto"/>
        <w:ind w:firstLine="709"/>
        <w:jc w:val="center"/>
        <w:rPr>
          <w:rFonts w:ascii="Times New Roman" w:hAnsi="Times New Roman"/>
          <w:b/>
          <w:caps/>
          <w:sz w:val="24"/>
          <w:szCs w:val="28"/>
        </w:rPr>
      </w:pPr>
      <w:r w:rsidRPr="00FF659A">
        <w:rPr>
          <w:rFonts w:ascii="Times New Roman" w:hAnsi="Times New Roman"/>
          <w:b/>
          <w:sz w:val="36"/>
          <w:szCs w:val="36"/>
        </w:rPr>
        <w:t>Attualità in materia antitrust</w:t>
      </w:r>
      <w:r w:rsidR="002713A5">
        <w:rPr>
          <w:rStyle w:val="Rimandonotaapidipagina"/>
          <w:rFonts w:ascii="Times New Roman" w:hAnsi="Times New Roman"/>
          <w:b/>
          <w:caps/>
          <w:sz w:val="24"/>
          <w:szCs w:val="28"/>
        </w:rPr>
        <w:footnoteReference w:id="1"/>
      </w:r>
    </w:p>
    <w:p w:rsidR="006F6849" w:rsidRPr="00CD5477" w:rsidRDefault="006F6849" w:rsidP="0003545E">
      <w:pPr>
        <w:spacing w:line="360" w:lineRule="auto"/>
        <w:ind w:firstLine="709"/>
        <w:jc w:val="both"/>
        <w:rPr>
          <w:rFonts w:ascii="Times New Roman" w:hAnsi="Times New Roman"/>
          <w:sz w:val="24"/>
        </w:rPr>
      </w:pPr>
    </w:p>
    <w:p w:rsidR="00266C9C" w:rsidRPr="00CD5477" w:rsidRDefault="00151863" w:rsidP="00266C9C">
      <w:pPr>
        <w:spacing w:line="360" w:lineRule="auto"/>
        <w:ind w:firstLine="709"/>
        <w:jc w:val="both"/>
        <w:rPr>
          <w:rFonts w:ascii="Times New Roman" w:hAnsi="Times New Roman"/>
          <w:sz w:val="24"/>
        </w:rPr>
      </w:pPr>
      <w:r w:rsidRPr="00CD5477">
        <w:rPr>
          <w:rFonts w:ascii="Times New Roman" w:hAnsi="Times New Roman"/>
          <w:b/>
          <w:sz w:val="24"/>
        </w:rPr>
        <w:t>SOMMARIO: 1. I temi rilevanti.</w:t>
      </w:r>
      <w:r w:rsidR="008F6A50" w:rsidRPr="00CD5477">
        <w:rPr>
          <w:sz w:val="24"/>
        </w:rPr>
        <w:t xml:space="preserve"> </w:t>
      </w:r>
      <w:r w:rsidR="00565064" w:rsidRPr="00CD5477">
        <w:rPr>
          <w:rFonts w:ascii="Times New Roman" w:hAnsi="Times New Roman"/>
          <w:b/>
          <w:sz w:val="24"/>
        </w:rPr>
        <w:t xml:space="preserve">2. Le </w:t>
      </w:r>
      <w:r w:rsidR="008F6A50" w:rsidRPr="00CD5477">
        <w:rPr>
          <w:rFonts w:ascii="Times New Roman" w:hAnsi="Times New Roman"/>
          <w:b/>
          <w:sz w:val="24"/>
        </w:rPr>
        <w:t>decisioni del Consiglio di Stato</w:t>
      </w:r>
      <w:r w:rsidR="00565064" w:rsidRPr="00CD5477">
        <w:rPr>
          <w:sz w:val="24"/>
        </w:rPr>
        <w:t xml:space="preserve"> </w:t>
      </w:r>
      <w:r w:rsidR="00565064" w:rsidRPr="00CD5477">
        <w:rPr>
          <w:rFonts w:ascii="Times New Roman" w:hAnsi="Times New Roman"/>
          <w:b/>
          <w:sz w:val="24"/>
        </w:rPr>
        <w:t>nell’ambito della gara Consip FM4</w:t>
      </w:r>
      <w:r w:rsidR="008F6A50" w:rsidRPr="00CD5477">
        <w:rPr>
          <w:rFonts w:ascii="Times New Roman" w:hAnsi="Times New Roman"/>
          <w:b/>
          <w:sz w:val="24"/>
        </w:rPr>
        <w:t>.</w:t>
      </w:r>
      <w:r w:rsidR="00C302CC" w:rsidRPr="00CD5477">
        <w:rPr>
          <w:rFonts w:ascii="Times New Roman" w:hAnsi="Times New Roman"/>
          <w:b/>
          <w:sz w:val="24"/>
        </w:rPr>
        <w:t xml:space="preserve"> 2.1. L’art. 14 della l. n. 689/1981.</w:t>
      </w:r>
      <w:r w:rsidR="00C302CC" w:rsidRPr="00CD5477">
        <w:rPr>
          <w:sz w:val="24"/>
        </w:rPr>
        <w:t xml:space="preserve"> </w:t>
      </w:r>
      <w:r w:rsidR="00C302CC" w:rsidRPr="00CD5477">
        <w:rPr>
          <w:rFonts w:ascii="Times New Roman" w:hAnsi="Times New Roman"/>
          <w:b/>
          <w:sz w:val="24"/>
        </w:rPr>
        <w:t>2.2. Il principio di corrispondenza tra contestazione e sanzione. 2.3. Le tematiche della prova. 2.4. I poteri del giudice amministrativo. 3. Le decisioni del Consiglio di Stato nell’ambito delle procedure indette dalla Lega Calcio.</w:t>
      </w:r>
      <w:r w:rsidR="0067122C" w:rsidRPr="00CD5477">
        <w:rPr>
          <w:rFonts w:ascii="Times New Roman" w:hAnsi="Times New Roman"/>
          <w:b/>
          <w:sz w:val="24"/>
        </w:rPr>
        <w:t xml:space="preserve"> 4. Altre recenti rilevanti decisioni del Consiglio di Stato in tema di AGCM e di diritto della concorrenza.</w:t>
      </w:r>
      <w:r w:rsidR="00DE5E22" w:rsidRPr="00CD5477">
        <w:rPr>
          <w:rFonts w:ascii="Times New Roman" w:hAnsi="Times New Roman"/>
          <w:sz w:val="24"/>
        </w:rPr>
        <w:t xml:space="preserve"> </w:t>
      </w:r>
      <w:r w:rsidR="00DE5E22" w:rsidRPr="00CD5477">
        <w:rPr>
          <w:rFonts w:ascii="Times New Roman" w:hAnsi="Times New Roman"/>
          <w:b/>
          <w:sz w:val="24"/>
        </w:rPr>
        <w:t>5. Il sindacato sugli atti dell’AGCM.</w:t>
      </w:r>
      <w:r w:rsidR="00266C9C" w:rsidRPr="00CD5477">
        <w:rPr>
          <w:rFonts w:ascii="Times New Roman" w:hAnsi="Times New Roman"/>
          <w:b/>
          <w:sz w:val="24"/>
        </w:rPr>
        <w:t xml:space="preserve"> 6. L’art. 7 del d.lgs. 19 gennaio 2017, n. 3.</w:t>
      </w:r>
      <w:r w:rsidR="00C415A1" w:rsidRPr="00CD5477">
        <w:rPr>
          <w:rFonts w:ascii="Times New Roman" w:hAnsi="Times New Roman"/>
          <w:b/>
          <w:sz w:val="24"/>
        </w:rPr>
        <w:t xml:space="preserve"> 7. Con</w:t>
      </w:r>
      <w:r w:rsidR="00C130D9">
        <w:rPr>
          <w:rFonts w:ascii="Times New Roman" w:hAnsi="Times New Roman"/>
          <w:b/>
          <w:sz w:val="24"/>
        </w:rPr>
        <w:t>siderazioni finali</w:t>
      </w:r>
      <w:r w:rsidR="00C415A1" w:rsidRPr="00CD5477">
        <w:rPr>
          <w:rFonts w:ascii="Times New Roman" w:hAnsi="Times New Roman"/>
          <w:b/>
          <w:sz w:val="24"/>
        </w:rPr>
        <w:t>.</w:t>
      </w:r>
    </w:p>
    <w:p w:rsidR="00C302CC" w:rsidRPr="00CD5477" w:rsidRDefault="00C302CC" w:rsidP="0003545E">
      <w:pPr>
        <w:spacing w:line="360" w:lineRule="auto"/>
        <w:ind w:firstLine="709"/>
        <w:jc w:val="both"/>
        <w:rPr>
          <w:rFonts w:ascii="Times New Roman" w:hAnsi="Times New Roman"/>
          <w:sz w:val="24"/>
        </w:rPr>
      </w:pPr>
    </w:p>
    <w:p w:rsidR="00343CCC" w:rsidRPr="00CD5477" w:rsidRDefault="00151863" w:rsidP="0003545E">
      <w:pPr>
        <w:spacing w:line="360" w:lineRule="auto"/>
        <w:ind w:firstLine="709"/>
        <w:jc w:val="both"/>
        <w:rPr>
          <w:rFonts w:ascii="Times New Roman" w:hAnsi="Times New Roman"/>
          <w:b/>
          <w:sz w:val="24"/>
        </w:rPr>
      </w:pPr>
      <w:r w:rsidRPr="00CD5477">
        <w:rPr>
          <w:rFonts w:ascii="Times New Roman" w:hAnsi="Times New Roman"/>
          <w:b/>
          <w:sz w:val="24"/>
        </w:rPr>
        <w:t xml:space="preserve">1. </w:t>
      </w:r>
      <w:r w:rsidR="001A178E" w:rsidRPr="00CD5477">
        <w:rPr>
          <w:rFonts w:ascii="Times New Roman" w:hAnsi="Times New Roman"/>
          <w:b/>
          <w:sz w:val="24"/>
        </w:rPr>
        <w:t>I temi</w:t>
      </w:r>
      <w:r w:rsidR="00CA30BC" w:rsidRPr="00CD5477">
        <w:rPr>
          <w:rFonts w:ascii="Times New Roman" w:hAnsi="Times New Roman"/>
          <w:b/>
          <w:sz w:val="24"/>
        </w:rPr>
        <w:t xml:space="preserve"> rilevanti.</w:t>
      </w:r>
    </w:p>
    <w:p w:rsidR="00151863" w:rsidRPr="00CD5477" w:rsidRDefault="00151863" w:rsidP="0003545E">
      <w:pPr>
        <w:spacing w:line="360" w:lineRule="auto"/>
        <w:ind w:firstLine="709"/>
        <w:jc w:val="both"/>
        <w:rPr>
          <w:rFonts w:ascii="Times New Roman" w:hAnsi="Times New Roman"/>
          <w:sz w:val="24"/>
        </w:rPr>
      </w:pPr>
      <w:r w:rsidRPr="00CD5477">
        <w:rPr>
          <w:rFonts w:ascii="Times New Roman" w:hAnsi="Times New Roman"/>
          <w:sz w:val="24"/>
        </w:rPr>
        <w:t xml:space="preserve">Tra i tanti temi rilevanti in materia antitrust, soprattutto nell’ambito delle intese anticoncorrenziali, tra i più recenti </w:t>
      </w:r>
      <w:r w:rsidR="00DE5E22" w:rsidRPr="00CD5477">
        <w:rPr>
          <w:rFonts w:ascii="Times New Roman" w:hAnsi="Times New Roman"/>
          <w:sz w:val="24"/>
        </w:rPr>
        <w:t xml:space="preserve">e non, </w:t>
      </w:r>
      <w:r w:rsidRPr="00CD5477">
        <w:rPr>
          <w:rFonts w:ascii="Times New Roman" w:hAnsi="Times New Roman"/>
          <w:sz w:val="24"/>
        </w:rPr>
        <w:t>alcuni mi sembrano preminenti. Si tratta:</w:t>
      </w:r>
    </w:p>
    <w:p w:rsidR="00151863" w:rsidRPr="00CD5477" w:rsidRDefault="00151863" w:rsidP="0003545E">
      <w:pPr>
        <w:spacing w:line="360" w:lineRule="auto"/>
        <w:ind w:firstLine="709"/>
        <w:jc w:val="both"/>
        <w:rPr>
          <w:rFonts w:ascii="Times New Roman" w:hAnsi="Times New Roman"/>
          <w:sz w:val="24"/>
        </w:rPr>
      </w:pPr>
      <w:r w:rsidRPr="00CD5477">
        <w:rPr>
          <w:rFonts w:ascii="Times New Roman" w:hAnsi="Times New Roman"/>
          <w:sz w:val="24"/>
        </w:rPr>
        <w:t xml:space="preserve">a) dell’istruttoria, innanzi all’Autorità garante della concorrenza e del mercato (AGCM) </w:t>
      </w:r>
      <w:r w:rsidR="00343CCC" w:rsidRPr="00CD5477">
        <w:rPr>
          <w:rFonts w:ascii="Times New Roman" w:hAnsi="Times New Roman"/>
          <w:sz w:val="24"/>
        </w:rPr>
        <w:t>e al</w:t>
      </w:r>
      <w:r w:rsidRPr="00CD5477">
        <w:rPr>
          <w:rFonts w:ascii="Times New Roman" w:hAnsi="Times New Roman"/>
          <w:sz w:val="24"/>
        </w:rPr>
        <w:t xml:space="preserve"> giudice amministrativo;</w:t>
      </w:r>
    </w:p>
    <w:p w:rsidR="00343CCC" w:rsidRPr="00CD5477" w:rsidRDefault="00343CCC" w:rsidP="0003545E">
      <w:pPr>
        <w:spacing w:line="360" w:lineRule="auto"/>
        <w:ind w:firstLine="709"/>
        <w:jc w:val="both"/>
        <w:rPr>
          <w:rFonts w:ascii="Times New Roman" w:hAnsi="Times New Roman"/>
          <w:sz w:val="24"/>
        </w:rPr>
      </w:pPr>
      <w:r w:rsidRPr="00CD5477">
        <w:rPr>
          <w:rFonts w:ascii="Times New Roman" w:hAnsi="Times New Roman"/>
          <w:sz w:val="24"/>
        </w:rPr>
        <w:t xml:space="preserve">b) </w:t>
      </w:r>
      <w:r w:rsidR="00151863" w:rsidRPr="00CD5477">
        <w:rPr>
          <w:rFonts w:ascii="Times New Roman" w:hAnsi="Times New Roman"/>
          <w:sz w:val="24"/>
        </w:rPr>
        <w:t>della</w:t>
      </w:r>
      <w:r w:rsidRPr="00CD5477">
        <w:rPr>
          <w:rFonts w:ascii="Times New Roman" w:hAnsi="Times New Roman"/>
          <w:sz w:val="24"/>
        </w:rPr>
        <w:t xml:space="preserve"> prova dell’illecito anticoncorrenziale e </w:t>
      </w:r>
      <w:r w:rsidR="00151863" w:rsidRPr="00CD5477">
        <w:rPr>
          <w:rFonts w:ascii="Times New Roman" w:hAnsi="Times New Roman"/>
          <w:sz w:val="24"/>
        </w:rPr>
        <w:t>del</w:t>
      </w:r>
      <w:r w:rsidRPr="00CD5477">
        <w:rPr>
          <w:rFonts w:ascii="Times New Roman" w:hAnsi="Times New Roman"/>
          <w:sz w:val="24"/>
        </w:rPr>
        <w:t>l’onere conseguente;</w:t>
      </w:r>
    </w:p>
    <w:p w:rsidR="00343CCC" w:rsidRPr="00CD5477" w:rsidRDefault="00DE5E22" w:rsidP="0003545E">
      <w:pPr>
        <w:spacing w:line="360" w:lineRule="auto"/>
        <w:ind w:firstLine="709"/>
        <w:jc w:val="both"/>
        <w:rPr>
          <w:rFonts w:ascii="Times New Roman" w:hAnsi="Times New Roman"/>
          <w:sz w:val="24"/>
        </w:rPr>
      </w:pPr>
      <w:r w:rsidRPr="00CD5477">
        <w:rPr>
          <w:rFonts w:ascii="Times New Roman" w:hAnsi="Times New Roman"/>
          <w:sz w:val="24"/>
        </w:rPr>
        <w:t>c</w:t>
      </w:r>
      <w:r w:rsidR="00343CCC" w:rsidRPr="00CD5477">
        <w:rPr>
          <w:rFonts w:ascii="Times New Roman" w:hAnsi="Times New Roman"/>
          <w:sz w:val="24"/>
        </w:rPr>
        <w:t xml:space="preserve">) </w:t>
      </w:r>
      <w:r w:rsidR="00151863" w:rsidRPr="00CD5477">
        <w:rPr>
          <w:rFonts w:ascii="Times New Roman" w:hAnsi="Times New Roman"/>
          <w:sz w:val="24"/>
        </w:rPr>
        <w:t>dei</w:t>
      </w:r>
      <w:r w:rsidR="00343CCC" w:rsidRPr="00CD5477">
        <w:rPr>
          <w:rFonts w:ascii="Times New Roman" w:hAnsi="Times New Roman"/>
          <w:sz w:val="24"/>
        </w:rPr>
        <w:t xml:space="preserve"> rapporti tra processo a</w:t>
      </w:r>
      <w:r w:rsidRPr="00CD5477">
        <w:rPr>
          <w:rFonts w:ascii="Times New Roman" w:hAnsi="Times New Roman"/>
          <w:sz w:val="24"/>
        </w:rPr>
        <w:t>mministrativo e processo penale;</w:t>
      </w:r>
    </w:p>
    <w:p w:rsidR="00DE5E22" w:rsidRPr="00CD5477" w:rsidRDefault="00DE5E22" w:rsidP="0003545E">
      <w:pPr>
        <w:spacing w:line="360" w:lineRule="auto"/>
        <w:ind w:firstLine="709"/>
        <w:jc w:val="both"/>
        <w:rPr>
          <w:rFonts w:ascii="Times New Roman" w:hAnsi="Times New Roman"/>
          <w:sz w:val="24"/>
        </w:rPr>
      </w:pPr>
      <w:r w:rsidRPr="00CD5477">
        <w:rPr>
          <w:rFonts w:ascii="Times New Roman" w:hAnsi="Times New Roman"/>
          <w:sz w:val="24"/>
        </w:rPr>
        <w:t>d) dei poteri del giudice amministrativo nel sindacato sugli atti dell’AGCM.</w:t>
      </w:r>
    </w:p>
    <w:p w:rsidR="00343CCC" w:rsidRPr="00CD5477" w:rsidRDefault="00D77F0F" w:rsidP="0003545E">
      <w:pPr>
        <w:spacing w:line="360" w:lineRule="auto"/>
        <w:ind w:firstLine="709"/>
        <w:jc w:val="both"/>
        <w:rPr>
          <w:rFonts w:ascii="Times New Roman" w:hAnsi="Times New Roman"/>
          <w:sz w:val="24"/>
        </w:rPr>
      </w:pPr>
      <w:r>
        <w:rPr>
          <w:rFonts w:ascii="Times New Roman" w:hAnsi="Times New Roman"/>
          <w:sz w:val="24"/>
        </w:rPr>
        <w:t>Partirò da alcune recentissime</w:t>
      </w:r>
      <w:r w:rsidR="00343CCC" w:rsidRPr="00CD5477">
        <w:rPr>
          <w:rFonts w:ascii="Times New Roman" w:hAnsi="Times New Roman"/>
          <w:sz w:val="24"/>
        </w:rPr>
        <w:t xml:space="preserve"> decisioni del </w:t>
      </w:r>
      <w:r w:rsidR="00151863" w:rsidRPr="00CD5477">
        <w:rPr>
          <w:rFonts w:ascii="Times New Roman" w:hAnsi="Times New Roman"/>
          <w:sz w:val="24"/>
        </w:rPr>
        <w:t xml:space="preserve">Consiglio di Stato, sempre </w:t>
      </w:r>
      <w:r w:rsidR="00343CCC" w:rsidRPr="00CD5477">
        <w:rPr>
          <w:rFonts w:ascii="Times New Roman" w:hAnsi="Times New Roman"/>
          <w:sz w:val="24"/>
        </w:rPr>
        <w:t>in te</w:t>
      </w:r>
      <w:r w:rsidR="00151863" w:rsidRPr="00CD5477">
        <w:rPr>
          <w:rFonts w:ascii="Times New Roman" w:hAnsi="Times New Roman"/>
          <w:sz w:val="24"/>
        </w:rPr>
        <w:t xml:space="preserve">ma di intese anticoncorrenziali, per poi soffermarmi </w:t>
      </w:r>
      <w:r w:rsidR="00AB0AAD">
        <w:rPr>
          <w:rFonts w:ascii="Times New Roman" w:hAnsi="Times New Roman"/>
          <w:sz w:val="24"/>
        </w:rPr>
        <w:t>su qualche considerazione</w:t>
      </w:r>
      <w:r w:rsidR="00151863" w:rsidRPr="00CD5477">
        <w:rPr>
          <w:rFonts w:ascii="Times New Roman" w:hAnsi="Times New Roman"/>
          <w:sz w:val="24"/>
        </w:rPr>
        <w:t xml:space="preserve"> in tema di normativa e </w:t>
      </w:r>
      <w:r w:rsidR="008F6A50" w:rsidRPr="00CD5477">
        <w:rPr>
          <w:rFonts w:ascii="Times New Roman" w:hAnsi="Times New Roman"/>
          <w:sz w:val="24"/>
        </w:rPr>
        <w:t>infine f</w:t>
      </w:r>
      <w:r w:rsidR="00151863" w:rsidRPr="00CD5477">
        <w:rPr>
          <w:rFonts w:ascii="Times New Roman" w:hAnsi="Times New Roman"/>
          <w:sz w:val="24"/>
        </w:rPr>
        <w:t>are un passo indietro, ritornando all’inizio</w:t>
      </w:r>
      <w:r w:rsidR="00C130D9">
        <w:rPr>
          <w:rFonts w:ascii="Times New Roman" w:hAnsi="Times New Roman"/>
          <w:sz w:val="24"/>
        </w:rPr>
        <w:t>, con riguardo, soprattutto, ai poteri del giudice amministrativo</w:t>
      </w:r>
      <w:r w:rsidR="00151863" w:rsidRPr="00CD5477">
        <w:rPr>
          <w:rFonts w:ascii="Times New Roman" w:hAnsi="Times New Roman"/>
          <w:sz w:val="24"/>
        </w:rPr>
        <w:t>.</w:t>
      </w:r>
    </w:p>
    <w:p w:rsidR="008F6A50" w:rsidRPr="00CD5477" w:rsidRDefault="008F6A50" w:rsidP="0003545E">
      <w:pPr>
        <w:spacing w:line="360" w:lineRule="auto"/>
        <w:ind w:firstLine="709"/>
        <w:jc w:val="both"/>
        <w:rPr>
          <w:rFonts w:ascii="Times New Roman" w:hAnsi="Times New Roman"/>
          <w:sz w:val="24"/>
        </w:rPr>
      </w:pPr>
    </w:p>
    <w:p w:rsidR="00565064" w:rsidRPr="00CD5477" w:rsidRDefault="008F6A50" w:rsidP="0003545E">
      <w:pPr>
        <w:spacing w:line="360" w:lineRule="auto"/>
        <w:ind w:firstLine="709"/>
        <w:jc w:val="both"/>
        <w:rPr>
          <w:rFonts w:ascii="Times New Roman" w:hAnsi="Times New Roman"/>
          <w:b/>
          <w:sz w:val="24"/>
        </w:rPr>
      </w:pPr>
      <w:r w:rsidRPr="00CD5477">
        <w:rPr>
          <w:rFonts w:ascii="Times New Roman" w:hAnsi="Times New Roman"/>
          <w:b/>
          <w:sz w:val="24"/>
        </w:rPr>
        <w:t xml:space="preserve">2. </w:t>
      </w:r>
      <w:r w:rsidR="00565064" w:rsidRPr="00CD5477">
        <w:rPr>
          <w:rFonts w:ascii="Times New Roman" w:hAnsi="Times New Roman"/>
          <w:b/>
          <w:sz w:val="24"/>
        </w:rPr>
        <w:t>Le decisioni del Consiglio di Stato nell’ambito della gara Consip FM4.</w:t>
      </w:r>
    </w:p>
    <w:p w:rsidR="00840C09" w:rsidRPr="00CD5477" w:rsidRDefault="00840C09" w:rsidP="0003545E">
      <w:pPr>
        <w:spacing w:line="360" w:lineRule="auto"/>
        <w:ind w:firstLine="709"/>
        <w:jc w:val="both"/>
        <w:rPr>
          <w:rFonts w:ascii="Times New Roman" w:hAnsi="Times New Roman"/>
          <w:sz w:val="24"/>
        </w:rPr>
      </w:pPr>
      <w:r w:rsidRPr="00CD5477">
        <w:rPr>
          <w:rFonts w:ascii="Times New Roman" w:hAnsi="Times New Roman"/>
          <w:sz w:val="24"/>
        </w:rPr>
        <w:t>Con riguardo alle pratiche concordate (anticoncorrenziali), a</w:t>
      </w:r>
      <w:r w:rsidR="008F6A50" w:rsidRPr="00CD5477">
        <w:rPr>
          <w:rFonts w:ascii="Times New Roman" w:hAnsi="Times New Roman"/>
          <w:sz w:val="24"/>
        </w:rPr>
        <w:t xml:space="preserve">lcuni principi sono stati affermati e ribaditi - </w:t>
      </w:r>
      <w:r w:rsidRPr="00CD5477">
        <w:rPr>
          <w:rFonts w:ascii="Times New Roman" w:hAnsi="Times New Roman"/>
          <w:sz w:val="24"/>
        </w:rPr>
        <w:t xml:space="preserve">in parte </w:t>
      </w:r>
      <w:r w:rsidR="008F6A50" w:rsidRPr="00CD5477">
        <w:rPr>
          <w:rFonts w:ascii="Times New Roman" w:hAnsi="Times New Roman"/>
          <w:sz w:val="24"/>
        </w:rPr>
        <w:t xml:space="preserve">secondo quanto già </w:t>
      </w:r>
      <w:r w:rsidRPr="00CD5477">
        <w:rPr>
          <w:rFonts w:ascii="Times New Roman" w:hAnsi="Times New Roman"/>
          <w:sz w:val="24"/>
        </w:rPr>
        <w:t>ritenuto</w:t>
      </w:r>
      <w:r w:rsidR="008F6A50" w:rsidRPr="00CD5477">
        <w:rPr>
          <w:rFonts w:ascii="Times New Roman" w:hAnsi="Times New Roman"/>
          <w:sz w:val="24"/>
        </w:rPr>
        <w:t xml:space="preserve"> dal Consiglio di Stato </w:t>
      </w:r>
      <w:r w:rsidRPr="00CD5477">
        <w:rPr>
          <w:rFonts w:ascii="Times New Roman" w:hAnsi="Times New Roman"/>
          <w:sz w:val="24"/>
        </w:rPr>
        <w:t>e dalla C</w:t>
      </w:r>
      <w:r w:rsidR="008F6A50" w:rsidRPr="00CD5477">
        <w:rPr>
          <w:rFonts w:ascii="Times New Roman" w:hAnsi="Times New Roman"/>
          <w:sz w:val="24"/>
        </w:rPr>
        <w:t>orte di giustizia dell’</w:t>
      </w:r>
      <w:r w:rsidRPr="00CD5477">
        <w:rPr>
          <w:rFonts w:ascii="Times New Roman" w:hAnsi="Times New Roman"/>
          <w:sz w:val="24"/>
        </w:rPr>
        <w:t>U</w:t>
      </w:r>
      <w:r w:rsidR="008F6A50" w:rsidRPr="00CD5477">
        <w:rPr>
          <w:rFonts w:ascii="Times New Roman" w:hAnsi="Times New Roman"/>
          <w:sz w:val="24"/>
        </w:rPr>
        <w:t xml:space="preserve">nione europea </w:t>
      </w:r>
      <w:r w:rsidRPr="00CD5477">
        <w:rPr>
          <w:rFonts w:ascii="Times New Roman" w:hAnsi="Times New Roman"/>
          <w:sz w:val="24"/>
        </w:rPr>
        <w:t xml:space="preserve">(CGUE) - </w:t>
      </w:r>
      <w:r w:rsidR="008F6A50" w:rsidRPr="00CD5477">
        <w:rPr>
          <w:rFonts w:ascii="Times New Roman" w:hAnsi="Times New Roman"/>
          <w:sz w:val="24"/>
        </w:rPr>
        <w:t>recentemente da</w:t>
      </w:r>
      <w:r w:rsidRPr="00CD5477">
        <w:rPr>
          <w:rFonts w:ascii="Times New Roman" w:hAnsi="Times New Roman"/>
          <w:sz w:val="24"/>
        </w:rPr>
        <w:t>l</w:t>
      </w:r>
      <w:r w:rsidR="008F6A50" w:rsidRPr="00CD5477">
        <w:rPr>
          <w:rFonts w:ascii="Times New Roman" w:hAnsi="Times New Roman"/>
          <w:sz w:val="24"/>
        </w:rPr>
        <w:t xml:space="preserve"> Consiglio di Stato, sezione </w:t>
      </w:r>
      <w:r w:rsidR="00565064" w:rsidRPr="00CD5477">
        <w:rPr>
          <w:rFonts w:ascii="Times New Roman" w:hAnsi="Times New Roman"/>
          <w:sz w:val="24"/>
        </w:rPr>
        <w:t>VI</w:t>
      </w:r>
      <w:r w:rsidR="008F6A50" w:rsidRPr="00CD5477">
        <w:rPr>
          <w:rFonts w:ascii="Times New Roman" w:hAnsi="Times New Roman"/>
          <w:sz w:val="24"/>
        </w:rPr>
        <w:t xml:space="preserve">, </w:t>
      </w:r>
      <w:r w:rsidRPr="00CD5477">
        <w:rPr>
          <w:rFonts w:ascii="Times New Roman" w:hAnsi="Times New Roman"/>
          <w:sz w:val="24"/>
        </w:rPr>
        <w:t xml:space="preserve">con le sentenze </w:t>
      </w:r>
      <w:r w:rsidR="008F6A50" w:rsidRPr="00CD5477">
        <w:rPr>
          <w:rFonts w:ascii="Times New Roman" w:hAnsi="Times New Roman"/>
          <w:sz w:val="24"/>
        </w:rPr>
        <w:t>9 maggio 2022</w:t>
      </w:r>
      <w:r w:rsidRPr="00CD5477">
        <w:rPr>
          <w:rFonts w:ascii="Times New Roman" w:hAnsi="Times New Roman"/>
          <w:sz w:val="24"/>
        </w:rPr>
        <w:t xml:space="preserve">, nn. </w:t>
      </w:r>
      <w:r w:rsidR="008F6A50" w:rsidRPr="00CD5477">
        <w:rPr>
          <w:rFonts w:ascii="Times New Roman" w:hAnsi="Times New Roman"/>
          <w:sz w:val="24"/>
        </w:rPr>
        <w:t>3570, 3571 e 3572</w:t>
      </w:r>
      <w:r w:rsidRPr="00CD5477">
        <w:rPr>
          <w:rFonts w:ascii="Times New Roman" w:hAnsi="Times New Roman"/>
          <w:sz w:val="24"/>
        </w:rPr>
        <w:t>, nell’ambito della gara Consip FM4</w:t>
      </w:r>
      <w:r w:rsidR="00565064" w:rsidRPr="00CD5477">
        <w:rPr>
          <w:rFonts w:ascii="Times New Roman" w:hAnsi="Times New Roman"/>
          <w:sz w:val="24"/>
        </w:rPr>
        <w:t>.</w:t>
      </w:r>
    </w:p>
    <w:p w:rsidR="0003545E" w:rsidRPr="00CD5477" w:rsidRDefault="0003545E" w:rsidP="0003545E">
      <w:pPr>
        <w:spacing w:line="360" w:lineRule="auto"/>
        <w:ind w:firstLine="709"/>
        <w:jc w:val="both"/>
        <w:rPr>
          <w:rFonts w:ascii="Times New Roman" w:hAnsi="Times New Roman"/>
          <w:sz w:val="24"/>
        </w:rPr>
      </w:pPr>
      <w:r w:rsidRPr="00CD5477">
        <w:rPr>
          <w:rFonts w:ascii="Times New Roman" w:hAnsi="Times New Roman"/>
          <w:sz w:val="24"/>
        </w:rPr>
        <w:lastRenderedPageBreak/>
        <w:t>Di rilievo:</w:t>
      </w:r>
    </w:p>
    <w:p w:rsidR="0003545E" w:rsidRPr="00CD5477" w:rsidRDefault="00AB490D" w:rsidP="0003545E">
      <w:pPr>
        <w:spacing w:line="360" w:lineRule="auto"/>
        <w:ind w:firstLine="709"/>
        <w:jc w:val="both"/>
        <w:rPr>
          <w:rFonts w:ascii="Times New Roman" w:hAnsi="Times New Roman"/>
          <w:sz w:val="24"/>
        </w:rPr>
      </w:pPr>
      <w:r w:rsidRPr="00CD5477">
        <w:rPr>
          <w:rFonts w:ascii="Times New Roman" w:hAnsi="Times New Roman"/>
          <w:sz w:val="24"/>
        </w:rPr>
        <w:t xml:space="preserve">a) </w:t>
      </w:r>
      <w:r w:rsidR="0003545E" w:rsidRPr="00CD5477">
        <w:rPr>
          <w:rFonts w:ascii="Times New Roman" w:hAnsi="Times New Roman"/>
          <w:sz w:val="24"/>
        </w:rPr>
        <w:t>l’applicabilità dell’</w:t>
      </w:r>
      <w:r w:rsidRPr="00CD5477">
        <w:rPr>
          <w:rFonts w:ascii="Times New Roman" w:hAnsi="Times New Roman"/>
          <w:sz w:val="24"/>
        </w:rPr>
        <w:t>art.</w:t>
      </w:r>
      <w:r w:rsidR="0003545E" w:rsidRPr="00CD5477">
        <w:rPr>
          <w:rFonts w:ascii="Times New Roman" w:hAnsi="Times New Roman"/>
          <w:sz w:val="24"/>
        </w:rPr>
        <w:t xml:space="preserve"> 14 della </w:t>
      </w:r>
      <w:r w:rsidRPr="00CD5477">
        <w:rPr>
          <w:rFonts w:ascii="Times New Roman" w:hAnsi="Times New Roman"/>
          <w:sz w:val="24"/>
        </w:rPr>
        <w:t xml:space="preserve">l. 24 novembre 1981, n. 689 </w:t>
      </w:r>
      <w:r w:rsidR="0003545E" w:rsidRPr="00CD5477">
        <w:rPr>
          <w:rFonts w:ascii="Times New Roman" w:hAnsi="Times New Roman"/>
          <w:sz w:val="24"/>
        </w:rPr>
        <w:t xml:space="preserve">ai procedimenti antitrust di irrogazione delle sanzioni </w:t>
      </w:r>
      <w:r w:rsidRPr="00CD5477">
        <w:rPr>
          <w:rFonts w:ascii="Times New Roman" w:hAnsi="Times New Roman"/>
          <w:sz w:val="24"/>
        </w:rPr>
        <w:t xml:space="preserve">e </w:t>
      </w:r>
      <w:r w:rsidR="0003545E" w:rsidRPr="00CD5477">
        <w:rPr>
          <w:rFonts w:ascii="Times New Roman" w:hAnsi="Times New Roman"/>
          <w:sz w:val="24"/>
        </w:rPr>
        <w:t>il carattere perentorio del relativo termine;</w:t>
      </w:r>
    </w:p>
    <w:p w:rsidR="0003545E" w:rsidRPr="00CD5477" w:rsidRDefault="00AB490D" w:rsidP="0003545E">
      <w:pPr>
        <w:spacing w:line="360" w:lineRule="auto"/>
        <w:ind w:firstLine="709"/>
        <w:jc w:val="both"/>
        <w:rPr>
          <w:rFonts w:ascii="Times New Roman" w:hAnsi="Times New Roman"/>
          <w:sz w:val="24"/>
        </w:rPr>
      </w:pPr>
      <w:r w:rsidRPr="00CD5477">
        <w:rPr>
          <w:rFonts w:ascii="Times New Roman" w:hAnsi="Times New Roman"/>
          <w:sz w:val="24"/>
        </w:rPr>
        <w:t xml:space="preserve">b) </w:t>
      </w:r>
      <w:r w:rsidR="0003545E" w:rsidRPr="00CD5477">
        <w:rPr>
          <w:rFonts w:ascii="Times New Roman" w:hAnsi="Times New Roman"/>
          <w:sz w:val="24"/>
        </w:rPr>
        <w:t xml:space="preserve">il principio di corrispondenza tra contestazione </w:t>
      </w:r>
      <w:r w:rsidRPr="00CD5477">
        <w:rPr>
          <w:rFonts w:ascii="Times New Roman" w:hAnsi="Times New Roman"/>
          <w:sz w:val="24"/>
        </w:rPr>
        <w:t xml:space="preserve">e </w:t>
      </w:r>
      <w:r w:rsidR="0003545E" w:rsidRPr="00CD5477">
        <w:rPr>
          <w:rFonts w:ascii="Times New Roman" w:hAnsi="Times New Roman"/>
          <w:sz w:val="24"/>
        </w:rPr>
        <w:t>sanzione;</w:t>
      </w:r>
    </w:p>
    <w:p w:rsidR="00AB490D" w:rsidRPr="00CD5477" w:rsidRDefault="00AB490D" w:rsidP="0003545E">
      <w:pPr>
        <w:spacing w:line="360" w:lineRule="auto"/>
        <w:ind w:firstLine="709"/>
        <w:jc w:val="both"/>
        <w:rPr>
          <w:rFonts w:ascii="Times New Roman" w:hAnsi="Times New Roman"/>
          <w:sz w:val="24"/>
        </w:rPr>
      </w:pPr>
      <w:r w:rsidRPr="00CD5477">
        <w:rPr>
          <w:rFonts w:ascii="Times New Roman" w:hAnsi="Times New Roman"/>
          <w:sz w:val="24"/>
        </w:rPr>
        <w:t>c) le tematiche della</w:t>
      </w:r>
      <w:r w:rsidR="0003545E" w:rsidRPr="00CD5477">
        <w:rPr>
          <w:rFonts w:ascii="Times New Roman" w:hAnsi="Times New Roman"/>
          <w:sz w:val="24"/>
        </w:rPr>
        <w:t xml:space="preserve"> prova</w:t>
      </w:r>
      <w:r w:rsidRPr="00CD5477">
        <w:rPr>
          <w:rFonts w:ascii="Times New Roman" w:hAnsi="Times New Roman"/>
          <w:sz w:val="24"/>
        </w:rPr>
        <w:t>, con riguardo:</w:t>
      </w:r>
    </w:p>
    <w:p w:rsidR="0003545E" w:rsidRPr="00CD5477" w:rsidRDefault="00AB490D" w:rsidP="0003545E">
      <w:pPr>
        <w:spacing w:line="360" w:lineRule="auto"/>
        <w:ind w:firstLine="709"/>
        <w:jc w:val="both"/>
        <w:rPr>
          <w:rFonts w:ascii="Times New Roman" w:hAnsi="Times New Roman"/>
          <w:sz w:val="24"/>
        </w:rPr>
      </w:pPr>
      <w:r w:rsidRPr="00CD5477">
        <w:rPr>
          <w:rFonts w:ascii="Times New Roman" w:hAnsi="Times New Roman"/>
          <w:sz w:val="24"/>
        </w:rPr>
        <w:t xml:space="preserve">c.a) </w:t>
      </w:r>
      <w:r w:rsidR="0003545E" w:rsidRPr="00CD5477">
        <w:rPr>
          <w:rFonts w:ascii="Times New Roman" w:hAnsi="Times New Roman"/>
          <w:sz w:val="24"/>
        </w:rPr>
        <w:t>ai rapporti tra</w:t>
      </w:r>
      <w:r w:rsidRPr="00CD5477">
        <w:rPr>
          <w:rFonts w:ascii="Times New Roman" w:hAnsi="Times New Roman"/>
          <w:sz w:val="24"/>
        </w:rPr>
        <w:t xml:space="preserve"> </w:t>
      </w:r>
      <w:r w:rsidR="0003545E" w:rsidRPr="00CD5477">
        <w:rPr>
          <w:rFonts w:ascii="Times New Roman" w:hAnsi="Times New Roman"/>
          <w:sz w:val="24"/>
        </w:rPr>
        <w:t>procedimento antitrust</w:t>
      </w:r>
      <w:r w:rsidR="00C130D9">
        <w:rPr>
          <w:rFonts w:ascii="Times New Roman" w:hAnsi="Times New Roman"/>
          <w:sz w:val="24"/>
        </w:rPr>
        <w:t xml:space="preserve">, </w:t>
      </w:r>
      <w:r w:rsidR="00C130D9" w:rsidRPr="00C130D9">
        <w:rPr>
          <w:rFonts w:ascii="Times New Roman" w:hAnsi="Times New Roman"/>
          <w:sz w:val="24"/>
        </w:rPr>
        <w:t xml:space="preserve">giudizio penale </w:t>
      </w:r>
      <w:r w:rsidR="00565064" w:rsidRPr="00CD5477">
        <w:rPr>
          <w:rFonts w:ascii="Times New Roman" w:hAnsi="Times New Roman"/>
          <w:sz w:val="24"/>
        </w:rPr>
        <w:t>e giudizio amministrativo</w:t>
      </w:r>
      <w:r w:rsidR="0003545E" w:rsidRPr="00CD5477">
        <w:rPr>
          <w:rFonts w:ascii="Times New Roman" w:hAnsi="Times New Roman"/>
          <w:sz w:val="24"/>
        </w:rPr>
        <w:t>;</w:t>
      </w:r>
    </w:p>
    <w:p w:rsidR="0003545E" w:rsidRPr="00CD5477" w:rsidRDefault="00AB490D" w:rsidP="0003545E">
      <w:pPr>
        <w:spacing w:line="360" w:lineRule="auto"/>
        <w:ind w:firstLine="709"/>
        <w:jc w:val="both"/>
        <w:rPr>
          <w:rFonts w:ascii="Times New Roman" w:hAnsi="Times New Roman"/>
          <w:sz w:val="24"/>
        </w:rPr>
      </w:pPr>
      <w:r w:rsidRPr="00CD5477">
        <w:rPr>
          <w:rFonts w:ascii="Times New Roman" w:hAnsi="Times New Roman"/>
          <w:sz w:val="24"/>
        </w:rPr>
        <w:t>c.b) allo</w:t>
      </w:r>
      <w:r w:rsidR="0003545E" w:rsidRPr="00CD5477">
        <w:rPr>
          <w:rFonts w:ascii="Times New Roman" w:hAnsi="Times New Roman"/>
          <w:sz w:val="24"/>
        </w:rPr>
        <w:t xml:space="preserve"> standard probatorio da osservare nello scrutinio delle sanzioni amministrative punitive;</w:t>
      </w:r>
    </w:p>
    <w:p w:rsidR="0003545E" w:rsidRPr="00CD5477" w:rsidRDefault="00AB490D" w:rsidP="0003545E">
      <w:pPr>
        <w:spacing w:line="360" w:lineRule="auto"/>
        <w:ind w:firstLine="709"/>
        <w:jc w:val="both"/>
        <w:rPr>
          <w:rFonts w:ascii="Times New Roman" w:hAnsi="Times New Roman"/>
          <w:sz w:val="24"/>
        </w:rPr>
      </w:pPr>
      <w:r w:rsidRPr="00CD5477">
        <w:rPr>
          <w:rFonts w:ascii="Times New Roman" w:hAnsi="Times New Roman"/>
          <w:sz w:val="24"/>
        </w:rPr>
        <w:t>d) il</w:t>
      </w:r>
      <w:r w:rsidR="0003545E" w:rsidRPr="00CD5477">
        <w:rPr>
          <w:rFonts w:ascii="Times New Roman" w:hAnsi="Times New Roman"/>
          <w:sz w:val="24"/>
        </w:rPr>
        <w:t xml:space="preserve"> tema d</w:t>
      </w:r>
      <w:r w:rsidRPr="00CD5477">
        <w:rPr>
          <w:rFonts w:ascii="Times New Roman" w:hAnsi="Times New Roman"/>
          <w:sz w:val="24"/>
        </w:rPr>
        <w:t>e</w:t>
      </w:r>
      <w:r w:rsidR="0003545E" w:rsidRPr="00CD5477">
        <w:rPr>
          <w:rFonts w:ascii="Times New Roman" w:hAnsi="Times New Roman"/>
          <w:sz w:val="24"/>
        </w:rPr>
        <w:t>i poteri del giudice.</w:t>
      </w:r>
    </w:p>
    <w:p w:rsidR="00CA30BC" w:rsidRPr="00CD5477" w:rsidRDefault="00CA30BC" w:rsidP="0003545E">
      <w:pPr>
        <w:spacing w:line="360" w:lineRule="auto"/>
        <w:ind w:firstLine="709"/>
        <w:jc w:val="both"/>
        <w:rPr>
          <w:rFonts w:ascii="Times New Roman" w:hAnsi="Times New Roman"/>
          <w:sz w:val="24"/>
        </w:rPr>
      </w:pPr>
    </w:p>
    <w:p w:rsidR="00CA30BC" w:rsidRPr="00CD5477" w:rsidRDefault="00CA30BC" w:rsidP="0003545E">
      <w:pPr>
        <w:spacing w:line="360" w:lineRule="auto"/>
        <w:ind w:firstLine="709"/>
        <w:jc w:val="both"/>
        <w:rPr>
          <w:rFonts w:ascii="Times New Roman" w:hAnsi="Times New Roman"/>
          <w:b/>
          <w:sz w:val="24"/>
        </w:rPr>
      </w:pPr>
      <w:r w:rsidRPr="00CD5477">
        <w:rPr>
          <w:rFonts w:ascii="Times New Roman" w:hAnsi="Times New Roman"/>
          <w:b/>
          <w:sz w:val="24"/>
        </w:rPr>
        <w:t>2.1. L’art. 14 della l. n. 689/1981.</w:t>
      </w:r>
    </w:p>
    <w:p w:rsidR="00D77F0F" w:rsidRPr="00CD5477" w:rsidRDefault="00D77F0F" w:rsidP="00D77F0F">
      <w:pPr>
        <w:spacing w:line="360" w:lineRule="auto"/>
        <w:ind w:firstLine="709"/>
        <w:jc w:val="both"/>
        <w:rPr>
          <w:rFonts w:ascii="Times New Roman" w:hAnsi="Times New Roman"/>
          <w:sz w:val="24"/>
        </w:rPr>
      </w:pPr>
      <w:r w:rsidRPr="00CD5477">
        <w:rPr>
          <w:rFonts w:ascii="Times New Roman" w:hAnsi="Times New Roman"/>
          <w:sz w:val="24"/>
        </w:rPr>
        <w:t>Innanzitutto è stato ritenuto applicabile l’art. 14 della l. n. 689/1981 ai procedimenti antitrust di irrogazione delle sanzioni e si è affermato il carattere perentorio del relativo termine.</w:t>
      </w:r>
    </w:p>
    <w:p w:rsidR="00F208B6" w:rsidRPr="00CD5477" w:rsidRDefault="00840C09" w:rsidP="0003545E">
      <w:pPr>
        <w:spacing w:line="360" w:lineRule="auto"/>
        <w:ind w:firstLine="709"/>
        <w:jc w:val="both"/>
        <w:rPr>
          <w:rFonts w:ascii="Times New Roman" w:hAnsi="Times New Roman"/>
          <w:sz w:val="24"/>
        </w:rPr>
      </w:pPr>
      <w:r w:rsidRPr="00CD5477">
        <w:rPr>
          <w:rFonts w:ascii="Times New Roman" w:hAnsi="Times New Roman"/>
          <w:sz w:val="24"/>
        </w:rPr>
        <w:t>L</w:t>
      </w:r>
      <w:r w:rsidR="00F208B6" w:rsidRPr="00CD5477">
        <w:rPr>
          <w:rFonts w:ascii="Times New Roman" w:hAnsi="Times New Roman"/>
          <w:sz w:val="24"/>
        </w:rPr>
        <w:t xml:space="preserve">’art. 14, commi primo e secondo, </w:t>
      </w:r>
      <w:r w:rsidRPr="00CD5477">
        <w:rPr>
          <w:rFonts w:ascii="Times New Roman" w:hAnsi="Times New Roman"/>
          <w:sz w:val="24"/>
        </w:rPr>
        <w:t xml:space="preserve">della l. n. 689/1981 prevede che </w:t>
      </w:r>
      <w:r w:rsidR="00F208B6" w:rsidRPr="00CD5477">
        <w:rPr>
          <w:rFonts w:ascii="Times New Roman" w:hAnsi="Times New Roman"/>
          <w:sz w:val="24"/>
        </w:rPr>
        <w:t>“</w:t>
      </w:r>
      <w:r w:rsidR="00F208B6" w:rsidRPr="00CD5477">
        <w:rPr>
          <w:rFonts w:ascii="Times New Roman" w:hAnsi="Times New Roman"/>
          <w:i/>
          <w:sz w:val="24"/>
        </w:rPr>
        <w:t xml:space="preserve">La violazione, quando è possibile, deve essere contestata immediatamente tanto al trasgressore quanto alla persona che sia obbligata in solido al pagamento della somma </w:t>
      </w:r>
      <w:r w:rsidRPr="00CD5477">
        <w:rPr>
          <w:rFonts w:ascii="Times New Roman" w:hAnsi="Times New Roman"/>
          <w:i/>
          <w:sz w:val="24"/>
        </w:rPr>
        <w:t>dovuta per la violazione stessa</w:t>
      </w:r>
      <w:r w:rsidRPr="00CD5477">
        <w:rPr>
          <w:rFonts w:ascii="Times New Roman" w:hAnsi="Times New Roman"/>
          <w:sz w:val="24"/>
        </w:rPr>
        <w:t>” e che</w:t>
      </w:r>
      <w:r w:rsidR="00C130D9">
        <w:rPr>
          <w:rFonts w:ascii="Times New Roman" w:hAnsi="Times New Roman"/>
          <w:sz w:val="24"/>
        </w:rPr>
        <w:t>,</w:t>
      </w:r>
      <w:r w:rsidRPr="00CD5477">
        <w:rPr>
          <w:rFonts w:ascii="Times New Roman" w:hAnsi="Times New Roman"/>
          <w:sz w:val="24"/>
        </w:rPr>
        <w:t xml:space="preserve"> “</w:t>
      </w:r>
      <w:r w:rsidR="00F208B6" w:rsidRPr="00CD5477">
        <w:rPr>
          <w:rFonts w:ascii="Times New Roman" w:hAnsi="Times New Roman"/>
          <w:i/>
          <w:sz w:val="24"/>
        </w:rPr>
        <w:t>Se non è avvenuta la contestazione immediata per tutte o per alcune delle persone indicate nel comma precedente, gli estremi della violazione debbono essere notificati agli interessati residenti nel territorio della Repubblica entro il termine di novanta giorni e a quelli residenti all'estero entro il termine di trecentosessanta giorni dall'accertamento</w:t>
      </w:r>
      <w:r w:rsidR="00F208B6" w:rsidRPr="00CD5477">
        <w:rPr>
          <w:rFonts w:ascii="Times New Roman" w:hAnsi="Times New Roman"/>
          <w:sz w:val="24"/>
        </w:rPr>
        <w:t>”.</w:t>
      </w:r>
    </w:p>
    <w:p w:rsidR="00F208B6" w:rsidRPr="00CD5477" w:rsidRDefault="0055402A" w:rsidP="0003545E">
      <w:pPr>
        <w:spacing w:line="360" w:lineRule="auto"/>
        <w:ind w:firstLine="709"/>
        <w:jc w:val="both"/>
        <w:rPr>
          <w:rFonts w:ascii="Times New Roman" w:hAnsi="Times New Roman"/>
          <w:sz w:val="24"/>
        </w:rPr>
      </w:pPr>
      <w:r w:rsidRPr="00CD5477">
        <w:rPr>
          <w:rFonts w:ascii="Times New Roman" w:hAnsi="Times New Roman"/>
          <w:sz w:val="24"/>
        </w:rPr>
        <w:t xml:space="preserve">Ciò in quanto </w:t>
      </w:r>
      <w:r w:rsidR="00F208B6" w:rsidRPr="00CD5477">
        <w:rPr>
          <w:rFonts w:ascii="Times New Roman" w:hAnsi="Times New Roman"/>
          <w:sz w:val="24"/>
        </w:rPr>
        <w:t>il precedente art. 12 pre</w:t>
      </w:r>
      <w:r w:rsidR="00C130D9">
        <w:rPr>
          <w:rFonts w:ascii="Times New Roman" w:hAnsi="Times New Roman"/>
          <w:sz w:val="24"/>
        </w:rPr>
        <w:t xml:space="preserve">scrive </w:t>
      </w:r>
      <w:r w:rsidR="00F208B6" w:rsidRPr="00CD5477">
        <w:rPr>
          <w:rFonts w:ascii="Times New Roman" w:hAnsi="Times New Roman"/>
          <w:sz w:val="24"/>
        </w:rPr>
        <w:t>che “</w:t>
      </w:r>
      <w:r w:rsidR="00F208B6" w:rsidRPr="00CD5477">
        <w:rPr>
          <w:rFonts w:ascii="Times New Roman" w:hAnsi="Times New Roman"/>
          <w:i/>
          <w:sz w:val="24"/>
        </w:rPr>
        <w:t>Le disposizioni di questo Capo si osservano, in quanto applicabili e salvo che non sia diversamente stabilito, per tutte le violazioni per le quali è prevista la sanzione amministrativa del pagamento di una somma di denaro, anche quando questa sanzione non è prevista in sostituzione di una sanzione penale</w:t>
      </w:r>
      <w:r w:rsidR="00F208B6" w:rsidRPr="00CD5477">
        <w:rPr>
          <w:rFonts w:ascii="Times New Roman" w:hAnsi="Times New Roman"/>
          <w:sz w:val="24"/>
        </w:rPr>
        <w:t>”.</w:t>
      </w:r>
      <w:r w:rsidRPr="00CD5477">
        <w:rPr>
          <w:rFonts w:ascii="Times New Roman" w:hAnsi="Times New Roman"/>
          <w:sz w:val="24"/>
        </w:rPr>
        <w:t xml:space="preserve"> E </w:t>
      </w:r>
      <w:r w:rsidR="00C130D9">
        <w:rPr>
          <w:rFonts w:ascii="Times New Roman" w:hAnsi="Times New Roman"/>
          <w:sz w:val="24"/>
        </w:rPr>
        <w:t xml:space="preserve">in forza </w:t>
      </w:r>
      <w:r w:rsidRPr="00CD5477">
        <w:rPr>
          <w:rFonts w:ascii="Times New Roman" w:hAnsi="Times New Roman"/>
          <w:sz w:val="24"/>
        </w:rPr>
        <w:t>dell’a</w:t>
      </w:r>
      <w:r w:rsidR="00714B3C" w:rsidRPr="00CD5477">
        <w:rPr>
          <w:rFonts w:ascii="Times New Roman" w:hAnsi="Times New Roman"/>
          <w:sz w:val="24"/>
        </w:rPr>
        <w:t xml:space="preserve">rt. 31 </w:t>
      </w:r>
      <w:r w:rsidRPr="00CD5477">
        <w:rPr>
          <w:rFonts w:ascii="Times New Roman" w:hAnsi="Times New Roman"/>
          <w:sz w:val="24"/>
        </w:rPr>
        <w:t xml:space="preserve">della </w:t>
      </w:r>
      <w:r w:rsidR="00714B3C" w:rsidRPr="00CD5477">
        <w:rPr>
          <w:rFonts w:ascii="Times New Roman" w:hAnsi="Times New Roman"/>
          <w:sz w:val="24"/>
        </w:rPr>
        <w:t xml:space="preserve">l. </w:t>
      </w:r>
      <w:r w:rsidRPr="00CD5477">
        <w:rPr>
          <w:rFonts w:ascii="Times New Roman" w:hAnsi="Times New Roman"/>
          <w:sz w:val="24"/>
        </w:rPr>
        <w:t xml:space="preserve">10 ottobre 1990, </w:t>
      </w:r>
      <w:r w:rsidR="00714B3C" w:rsidRPr="00CD5477">
        <w:rPr>
          <w:rFonts w:ascii="Times New Roman" w:hAnsi="Times New Roman"/>
          <w:sz w:val="24"/>
        </w:rPr>
        <w:t xml:space="preserve">n. 287, </w:t>
      </w:r>
      <w:r w:rsidRPr="00CD5477">
        <w:rPr>
          <w:rFonts w:ascii="Times New Roman" w:hAnsi="Times New Roman"/>
          <w:sz w:val="24"/>
        </w:rPr>
        <w:t xml:space="preserve">secondo cui </w:t>
      </w:r>
      <w:r w:rsidR="00714B3C" w:rsidRPr="00CD5477">
        <w:rPr>
          <w:rFonts w:ascii="Times New Roman" w:hAnsi="Times New Roman"/>
          <w:sz w:val="24"/>
        </w:rPr>
        <w:t>“</w:t>
      </w:r>
      <w:r w:rsidR="00714B3C" w:rsidRPr="00CD5477">
        <w:rPr>
          <w:rFonts w:ascii="Times New Roman" w:hAnsi="Times New Roman"/>
          <w:i/>
          <w:sz w:val="24"/>
        </w:rPr>
        <w:t>Per le sanzioni amministrative pecuniarie conseguenti alla violazione della presente legge si osservano, in quanto applicabili, le disposizioni contenute nel capo I, sezioni I e II, della legge 24 novembre 1981, n. 689</w:t>
      </w:r>
      <w:r w:rsidR="00714B3C" w:rsidRPr="00CD5477">
        <w:rPr>
          <w:rFonts w:ascii="Times New Roman" w:hAnsi="Times New Roman"/>
          <w:sz w:val="24"/>
        </w:rPr>
        <w:t>”.</w:t>
      </w:r>
    </w:p>
    <w:p w:rsidR="00F208B6" w:rsidRDefault="0055402A" w:rsidP="0003545E">
      <w:pPr>
        <w:spacing w:line="360" w:lineRule="auto"/>
        <w:ind w:firstLine="709"/>
        <w:jc w:val="both"/>
        <w:rPr>
          <w:rFonts w:ascii="Times New Roman" w:hAnsi="Times New Roman"/>
          <w:sz w:val="24"/>
        </w:rPr>
      </w:pPr>
      <w:r w:rsidRPr="00CD5477">
        <w:rPr>
          <w:rFonts w:ascii="Times New Roman" w:hAnsi="Times New Roman"/>
          <w:sz w:val="24"/>
        </w:rPr>
        <w:t>Quanto al</w:t>
      </w:r>
      <w:r w:rsidR="00AB0AAD">
        <w:rPr>
          <w:rFonts w:ascii="Times New Roman" w:hAnsi="Times New Roman"/>
          <w:sz w:val="24"/>
        </w:rPr>
        <w:t>la natura del</w:t>
      </w:r>
      <w:r w:rsidRPr="00CD5477">
        <w:rPr>
          <w:rFonts w:ascii="Times New Roman" w:hAnsi="Times New Roman"/>
          <w:sz w:val="24"/>
        </w:rPr>
        <w:t xml:space="preserve"> termine</w:t>
      </w:r>
      <w:r w:rsidR="00C130D9">
        <w:rPr>
          <w:rFonts w:ascii="Times New Roman" w:hAnsi="Times New Roman"/>
          <w:sz w:val="24"/>
        </w:rPr>
        <w:t>,</w:t>
      </w:r>
      <w:r w:rsidRPr="00CD5477">
        <w:rPr>
          <w:rFonts w:ascii="Times New Roman" w:hAnsi="Times New Roman"/>
          <w:sz w:val="24"/>
        </w:rPr>
        <w:t xml:space="preserve"> il Consiglio di Stato ha ribadito che </w:t>
      </w:r>
      <w:r w:rsidR="00714B3C" w:rsidRPr="00CD5477">
        <w:rPr>
          <w:rFonts w:ascii="Times New Roman" w:hAnsi="Times New Roman"/>
          <w:sz w:val="24"/>
        </w:rPr>
        <w:t>“</w:t>
      </w:r>
      <w:r w:rsidR="00F208B6" w:rsidRPr="00CD5477">
        <w:rPr>
          <w:rFonts w:ascii="Times New Roman" w:hAnsi="Times New Roman"/>
          <w:i/>
          <w:sz w:val="24"/>
        </w:rPr>
        <w:t xml:space="preserve">Il termine per la contestazione delle violazioni amministrative ha infatti pacificamente natura perentoria avendo la </w:t>
      </w:r>
      <w:r w:rsidR="00F208B6" w:rsidRPr="00CD5477">
        <w:rPr>
          <w:rFonts w:ascii="Times New Roman" w:hAnsi="Times New Roman"/>
          <w:i/>
          <w:sz w:val="24"/>
        </w:rPr>
        <w:lastRenderedPageBreak/>
        <w:t>precisa funzione di garanzia di consentire un tempestivo esercizio del diritto di difesa</w:t>
      </w:r>
      <w:r w:rsidR="00714B3C" w:rsidRPr="00CD5477">
        <w:rPr>
          <w:rFonts w:ascii="Times New Roman" w:hAnsi="Times New Roman"/>
          <w:i/>
          <w:sz w:val="24"/>
        </w:rPr>
        <w:t>…il decorso dei novanta giorni è collegato dall’art. 14 della legge n. 689 del 1981, non già alla data di commissione della violazione, bensì al tempo di accertamento dell’infrazione</w:t>
      </w:r>
      <w:r w:rsidR="00714B3C" w:rsidRPr="00CD5477">
        <w:rPr>
          <w:rFonts w:ascii="Times New Roman" w:hAnsi="Times New Roman"/>
          <w:sz w:val="24"/>
        </w:rPr>
        <w:t>”.</w:t>
      </w:r>
    </w:p>
    <w:p w:rsidR="00D77F0F" w:rsidRDefault="00D77F0F" w:rsidP="0003545E">
      <w:pPr>
        <w:spacing w:line="360" w:lineRule="auto"/>
        <w:ind w:firstLine="709"/>
        <w:jc w:val="both"/>
        <w:rPr>
          <w:rFonts w:ascii="Times New Roman" w:hAnsi="Times New Roman"/>
          <w:sz w:val="24"/>
        </w:rPr>
      </w:pPr>
      <w:r>
        <w:rPr>
          <w:rFonts w:ascii="Times New Roman" w:hAnsi="Times New Roman"/>
          <w:sz w:val="24"/>
        </w:rPr>
        <w:t>Sul carattere perentorio del termine la giurisprudenza del Tar del Lazio non appare ancora del tutto con</w:t>
      </w:r>
      <w:r w:rsidR="00C130D9">
        <w:rPr>
          <w:rFonts w:ascii="Times New Roman" w:hAnsi="Times New Roman"/>
          <w:sz w:val="24"/>
        </w:rPr>
        <w:t>solidata</w:t>
      </w:r>
      <w:r>
        <w:rPr>
          <w:rFonts w:ascii="Times New Roman" w:hAnsi="Times New Roman"/>
          <w:sz w:val="24"/>
        </w:rPr>
        <w:t>.</w:t>
      </w:r>
    </w:p>
    <w:p w:rsidR="0055402A" w:rsidRPr="00CD5477" w:rsidRDefault="0003545E" w:rsidP="0003545E">
      <w:pPr>
        <w:spacing w:line="360" w:lineRule="auto"/>
        <w:ind w:firstLine="709"/>
        <w:jc w:val="both"/>
        <w:rPr>
          <w:rFonts w:ascii="Times New Roman" w:hAnsi="Times New Roman"/>
          <w:sz w:val="24"/>
        </w:rPr>
      </w:pPr>
      <w:r w:rsidRPr="00CD5477">
        <w:rPr>
          <w:rFonts w:ascii="Times New Roman" w:hAnsi="Times New Roman"/>
          <w:sz w:val="24"/>
        </w:rPr>
        <w:t>U</w:t>
      </w:r>
      <w:r w:rsidR="0055402A" w:rsidRPr="00CD5477">
        <w:rPr>
          <w:rFonts w:ascii="Times New Roman" w:hAnsi="Times New Roman"/>
          <w:sz w:val="24"/>
        </w:rPr>
        <w:t xml:space="preserve">na volta affermata la perentorietà del termine </w:t>
      </w:r>
      <w:r w:rsidRPr="00CD5477">
        <w:rPr>
          <w:rFonts w:ascii="Times New Roman" w:hAnsi="Times New Roman"/>
          <w:sz w:val="24"/>
        </w:rPr>
        <w:t xml:space="preserve">di contestazione della violazione, </w:t>
      </w:r>
      <w:r w:rsidR="0055402A" w:rsidRPr="00CD5477">
        <w:rPr>
          <w:rFonts w:ascii="Times New Roman" w:hAnsi="Times New Roman"/>
          <w:sz w:val="24"/>
        </w:rPr>
        <w:t>il problema si sposta su</w:t>
      </w:r>
      <w:r w:rsidRPr="00CD5477">
        <w:rPr>
          <w:rFonts w:ascii="Times New Roman" w:hAnsi="Times New Roman"/>
          <w:sz w:val="24"/>
        </w:rPr>
        <w:t>l “</w:t>
      </w:r>
      <w:r w:rsidRPr="00CD5477">
        <w:rPr>
          <w:rFonts w:ascii="Times New Roman" w:hAnsi="Times New Roman"/>
          <w:i/>
          <w:sz w:val="24"/>
        </w:rPr>
        <w:t>dies a quo</w:t>
      </w:r>
      <w:r w:rsidRPr="00CD5477">
        <w:rPr>
          <w:rFonts w:ascii="Times New Roman" w:hAnsi="Times New Roman"/>
          <w:sz w:val="24"/>
        </w:rPr>
        <w:t>”</w:t>
      </w:r>
      <w:r w:rsidR="0055402A" w:rsidRPr="00CD5477">
        <w:rPr>
          <w:rFonts w:ascii="Times New Roman" w:hAnsi="Times New Roman"/>
          <w:sz w:val="24"/>
        </w:rPr>
        <w:t>, ossia sul</w:t>
      </w:r>
      <w:r w:rsidRPr="00CD5477">
        <w:rPr>
          <w:rFonts w:ascii="Times New Roman" w:hAnsi="Times New Roman"/>
          <w:sz w:val="24"/>
        </w:rPr>
        <w:t>l’individuazione del</w:t>
      </w:r>
      <w:r w:rsidR="0055402A" w:rsidRPr="00CD5477">
        <w:rPr>
          <w:rFonts w:ascii="Times New Roman" w:hAnsi="Times New Roman"/>
          <w:sz w:val="24"/>
        </w:rPr>
        <w:t xml:space="preserve"> momento in cui può dirsi avvenuto l’accertamento</w:t>
      </w:r>
      <w:r w:rsidRPr="00CD5477">
        <w:rPr>
          <w:rFonts w:ascii="Times New Roman" w:hAnsi="Times New Roman"/>
          <w:sz w:val="24"/>
        </w:rPr>
        <w:t>;</w:t>
      </w:r>
      <w:r w:rsidR="0055402A" w:rsidRPr="00CD5477">
        <w:rPr>
          <w:rFonts w:ascii="Times New Roman" w:hAnsi="Times New Roman"/>
          <w:sz w:val="24"/>
        </w:rPr>
        <w:t xml:space="preserve"> momento che</w:t>
      </w:r>
      <w:r w:rsidRPr="00CD5477">
        <w:rPr>
          <w:rFonts w:ascii="Times New Roman" w:hAnsi="Times New Roman"/>
          <w:sz w:val="24"/>
        </w:rPr>
        <w:t>,</w:t>
      </w:r>
      <w:r w:rsidR="0055402A" w:rsidRPr="00CD5477">
        <w:rPr>
          <w:rFonts w:ascii="Times New Roman" w:hAnsi="Times New Roman"/>
          <w:sz w:val="24"/>
        </w:rPr>
        <w:t xml:space="preserve"> soprattutto con </w:t>
      </w:r>
      <w:r w:rsidR="00D77F0F">
        <w:rPr>
          <w:rFonts w:ascii="Times New Roman" w:hAnsi="Times New Roman"/>
          <w:sz w:val="24"/>
        </w:rPr>
        <w:t>riguardo</w:t>
      </w:r>
      <w:r w:rsidR="0055402A" w:rsidRPr="00CD5477">
        <w:rPr>
          <w:rFonts w:ascii="Times New Roman" w:hAnsi="Times New Roman"/>
          <w:sz w:val="24"/>
        </w:rPr>
        <w:t xml:space="preserve"> </w:t>
      </w:r>
      <w:r w:rsidRPr="00CD5477">
        <w:rPr>
          <w:rFonts w:ascii="Times New Roman" w:hAnsi="Times New Roman"/>
          <w:sz w:val="24"/>
        </w:rPr>
        <w:t xml:space="preserve">alle </w:t>
      </w:r>
      <w:r w:rsidR="0055402A" w:rsidRPr="00CD5477">
        <w:rPr>
          <w:rFonts w:ascii="Times New Roman" w:hAnsi="Times New Roman"/>
          <w:sz w:val="24"/>
        </w:rPr>
        <w:t>intese anticoncorrenziali</w:t>
      </w:r>
      <w:r w:rsidRPr="00CD5477">
        <w:rPr>
          <w:rFonts w:ascii="Times New Roman" w:hAnsi="Times New Roman"/>
          <w:sz w:val="24"/>
        </w:rPr>
        <w:t>,</w:t>
      </w:r>
      <w:r w:rsidR="0055402A" w:rsidRPr="00CD5477">
        <w:rPr>
          <w:rFonts w:ascii="Times New Roman" w:hAnsi="Times New Roman"/>
          <w:sz w:val="24"/>
        </w:rPr>
        <w:t xml:space="preserve"> non è di facile individuazione</w:t>
      </w:r>
      <w:r w:rsidR="00D77F0F">
        <w:rPr>
          <w:rFonts w:ascii="Times New Roman" w:hAnsi="Times New Roman"/>
          <w:sz w:val="24"/>
        </w:rPr>
        <w:t>,</w:t>
      </w:r>
      <w:r w:rsidR="0055402A" w:rsidRPr="00CD5477">
        <w:rPr>
          <w:rFonts w:ascii="Times New Roman" w:hAnsi="Times New Roman"/>
          <w:sz w:val="24"/>
        </w:rPr>
        <w:t xml:space="preserve"> dovendosi </w:t>
      </w:r>
      <w:r w:rsidRPr="00CD5477">
        <w:rPr>
          <w:rFonts w:ascii="Times New Roman" w:hAnsi="Times New Roman"/>
          <w:sz w:val="24"/>
        </w:rPr>
        <w:t xml:space="preserve">riscontrare </w:t>
      </w:r>
      <w:r w:rsidR="00D77F0F">
        <w:rPr>
          <w:rFonts w:ascii="Times New Roman" w:hAnsi="Times New Roman"/>
          <w:sz w:val="24"/>
        </w:rPr>
        <w:t xml:space="preserve">solo </w:t>
      </w:r>
      <w:r w:rsidRPr="00CD5477">
        <w:rPr>
          <w:rFonts w:ascii="Times New Roman" w:hAnsi="Times New Roman"/>
          <w:sz w:val="24"/>
        </w:rPr>
        <w:t>allorquando l’illecito</w:t>
      </w:r>
      <w:r w:rsidR="0055402A" w:rsidRPr="00CD5477">
        <w:rPr>
          <w:rFonts w:ascii="Times New Roman" w:hAnsi="Times New Roman"/>
          <w:sz w:val="24"/>
        </w:rPr>
        <w:t xml:space="preserve"> anticoncorrenziale diviene evidente </w:t>
      </w:r>
      <w:r w:rsidR="00D77F0F">
        <w:rPr>
          <w:rFonts w:ascii="Times New Roman" w:hAnsi="Times New Roman"/>
          <w:sz w:val="24"/>
        </w:rPr>
        <w:t xml:space="preserve">all’AGCM </w:t>
      </w:r>
      <w:r w:rsidR="00C130D9">
        <w:rPr>
          <w:rFonts w:ascii="Times New Roman" w:hAnsi="Times New Roman"/>
          <w:sz w:val="24"/>
        </w:rPr>
        <w:t>in tutti i</w:t>
      </w:r>
      <w:r w:rsidR="0055402A" w:rsidRPr="00CD5477">
        <w:rPr>
          <w:rFonts w:ascii="Times New Roman" w:hAnsi="Times New Roman"/>
          <w:sz w:val="24"/>
        </w:rPr>
        <w:t xml:space="preserve"> suoi elementi costitutivi.</w:t>
      </w:r>
    </w:p>
    <w:p w:rsidR="00CA30BC" w:rsidRPr="00CD5477" w:rsidRDefault="00CA30BC" w:rsidP="0003545E">
      <w:pPr>
        <w:spacing w:line="360" w:lineRule="auto"/>
        <w:ind w:firstLine="709"/>
        <w:jc w:val="both"/>
        <w:rPr>
          <w:rFonts w:ascii="Times New Roman" w:hAnsi="Times New Roman"/>
          <w:sz w:val="24"/>
        </w:rPr>
      </w:pPr>
    </w:p>
    <w:p w:rsidR="00CA30BC" w:rsidRPr="00CD5477" w:rsidRDefault="00CA30BC" w:rsidP="0003545E">
      <w:pPr>
        <w:spacing w:line="360" w:lineRule="auto"/>
        <w:ind w:firstLine="709"/>
        <w:jc w:val="both"/>
        <w:rPr>
          <w:rFonts w:ascii="Times New Roman" w:hAnsi="Times New Roman"/>
          <w:b/>
          <w:sz w:val="24"/>
        </w:rPr>
      </w:pPr>
      <w:r w:rsidRPr="00CD5477">
        <w:rPr>
          <w:rFonts w:ascii="Times New Roman" w:hAnsi="Times New Roman"/>
          <w:b/>
          <w:sz w:val="24"/>
        </w:rPr>
        <w:t>2.2. Il principio di corrispondenza tra contestazione e sanzione.</w:t>
      </w:r>
    </w:p>
    <w:p w:rsidR="0003545E" w:rsidRPr="00CD5477" w:rsidRDefault="0003545E" w:rsidP="0003545E">
      <w:pPr>
        <w:spacing w:line="360" w:lineRule="auto"/>
        <w:ind w:firstLine="709"/>
        <w:jc w:val="both"/>
        <w:rPr>
          <w:rFonts w:ascii="Times New Roman" w:hAnsi="Times New Roman"/>
          <w:sz w:val="24"/>
        </w:rPr>
      </w:pPr>
      <w:r w:rsidRPr="00CD5477">
        <w:rPr>
          <w:rFonts w:ascii="Times New Roman" w:hAnsi="Times New Roman"/>
          <w:sz w:val="24"/>
        </w:rPr>
        <w:t>È stato ribadito il principio della corrispondenza tra contestazione e sanzione.</w:t>
      </w:r>
    </w:p>
    <w:p w:rsidR="00B115E7" w:rsidRPr="00CD5477" w:rsidRDefault="00B115E7" w:rsidP="0003545E">
      <w:pPr>
        <w:spacing w:line="360" w:lineRule="auto"/>
        <w:ind w:firstLine="709"/>
        <w:jc w:val="both"/>
        <w:rPr>
          <w:rFonts w:ascii="Times New Roman" w:hAnsi="Times New Roman"/>
          <w:sz w:val="24"/>
        </w:rPr>
      </w:pPr>
      <w:r w:rsidRPr="00CD5477">
        <w:rPr>
          <w:rFonts w:ascii="Times New Roman" w:hAnsi="Times New Roman"/>
          <w:b/>
          <w:sz w:val="24"/>
        </w:rPr>
        <w:t>“</w:t>
      </w:r>
      <w:r w:rsidRPr="00CD5477">
        <w:rPr>
          <w:rFonts w:ascii="Times New Roman" w:hAnsi="Times New Roman"/>
          <w:i/>
          <w:sz w:val="24"/>
        </w:rPr>
        <w:t>Il principio di necessaria corrispondenza tra addebito contestato e addebito posto a fondamento della sanzione, può ritenersi violato soltanto qualora l’Autorità deduca circostanze nuove, non preventivamente sottoposte a contraddittorio, implicanti una diversa valutazione dei fatti addebitati, salvo si tratti di deduzioni del tutto secondarie che non modifichino in alcun modo il quadro generale della contestazione</w:t>
      </w:r>
      <w:r w:rsidRPr="00CD5477">
        <w:rPr>
          <w:rFonts w:ascii="Times New Roman" w:hAnsi="Times New Roman"/>
          <w:sz w:val="24"/>
        </w:rPr>
        <w:t>”.</w:t>
      </w:r>
    </w:p>
    <w:p w:rsidR="00D77F0F" w:rsidRDefault="00D77F0F" w:rsidP="0003545E">
      <w:pPr>
        <w:spacing w:line="360" w:lineRule="auto"/>
        <w:ind w:firstLine="709"/>
        <w:jc w:val="both"/>
        <w:rPr>
          <w:rFonts w:ascii="Times New Roman" w:hAnsi="Times New Roman"/>
          <w:sz w:val="24"/>
        </w:rPr>
      </w:pPr>
      <w:r>
        <w:rPr>
          <w:rFonts w:ascii="Times New Roman" w:hAnsi="Times New Roman"/>
          <w:sz w:val="24"/>
        </w:rPr>
        <w:t xml:space="preserve">Anche qui </w:t>
      </w:r>
      <w:r w:rsidR="00282831">
        <w:rPr>
          <w:rFonts w:ascii="Times New Roman" w:hAnsi="Times New Roman"/>
          <w:sz w:val="24"/>
        </w:rPr>
        <w:t>assume</w:t>
      </w:r>
      <w:r>
        <w:rPr>
          <w:rFonts w:ascii="Times New Roman" w:hAnsi="Times New Roman"/>
          <w:sz w:val="24"/>
        </w:rPr>
        <w:t xml:space="preserve"> preminenza il carattere </w:t>
      </w:r>
      <w:r w:rsidR="00282831">
        <w:rPr>
          <w:rFonts w:ascii="Times New Roman" w:hAnsi="Times New Roman"/>
          <w:sz w:val="24"/>
        </w:rPr>
        <w:t>“penale” della sanzione</w:t>
      </w:r>
      <w:r w:rsidR="00C130D9">
        <w:rPr>
          <w:rFonts w:ascii="Times New Roman" w:hAnsi="Times New Roman"/>
          <w:sz w:val="24"/>
        </w:rPr>
        <w:t>, con la conseguen</w:t>
      </w:r>
      <w:r w:rsidR="008B72BF">
        <w:rPr>
          <w:rFonts w:ascii="Times New Roman" w:hAnsi="Times New Roman"/>
          <w:sz w:val="24"/>
        </w:rPr>
        <w:t xml:space="preserve">za che la </w:t>
      </w:r>
      <w:r w:rsidR="00AB0AAD">
        <w:rPr>
          <w:rFonts w:ascii="Times New Roman" w:hAnsi="Times New Roman"/>
          <w:sz w:val="24"/>
        </w:rPr>
        <w:t>“</w:t>
      </w:r>
      <w:r w:rsidR="00C130D9">
        <w:rPr>
          <w:rFonts w:ascii="Times New Roman" w:hAnsi="Times New Roman"/>
          <w:sz w:val="24"/>
        </w:rPr>
        <w:t>condanna</w:t>
      </w:r>
      <w:r w:rsidR="00AB0AAD">
        <w:rPr>
          <w:rFonts w:ascii="Times New Roman" w:hAnsi="Times New Roman"/>
          <w:sz w:val="24"/>
        </w:rPr>
        <w:t>”</w:t>
      </w:r>
      <w:r w:rsidR="008B72BF">
        <w:rPr>
          <w:rFonts w:ascii="Times New Roman" w:hAnsi="Times New Roman"/>
          <w:sz w:val="24"/>
        </w:rPr>
        <w:t xml:space="preserve"> si deve muovere entro l’ambito dell’</w:t>
      </w:r>
      <w:r w:rsidR="00AB0AAD">
        <w:rPr>
          <w:rFonts w:ascii="Times New Roman" w:hAnsi="Times New Roman"/>
          <w:sz w:val="24"/>
        </w:rPr>
        <w:t>“</w:t>
      </w:r>
      <w:r w:rsidR="008B72BF">
        <w:rPr>
          <w:rFonts w:ascii="Times New Roman" w:hAnsi="Times New Roman"/>
          <w:sz w:val="24"/>
        </w:rPr>
        <w:t>accusa</w:t>
      </w:r>
      <w:r w:rsidR="00AB0AAD">
        <w:rPr>
          <w:rFonts w:ascii="Times New Roman" w:hAnsi="Times New Roman"/>
          <w:sz w:val="24"/>
        </w:rPr>
        <w:t>”</w:t>
      </w:r>
      <w:r w:rsidR="00282831">
        <w:rPr>
          <w:rFonts w:ascii="Times New Roman" w:hAnsi="Times New Roman"/>
          <w:sz w:val="24"/>
        </w:rPr>
        <w:t>.</w:t>
      </w:r>
    </w:p>
    <w:p w:rsidR="00282831" w:rsidRPr="00CD5477" w:rsidRDefault="00282831" w:rsidP="0003545E">
      <w:pPr>
        <w:spacing w:line="360" w:lineRule="auto"/>
        <w:ind w:firstLine="709"/>
        <w:jc w:val="both"/>
        <w:rPr>
          <w:rFonts w:ascii="Times New Roman" w:hAnsi="Times New Roman"/>
          <w:sz w:val="24"/>
        </w:rPr>
      </w:pPr>
    </w:p>
    <w:p w:rsidR="00CA30BC" w:rsidRPr="00CD5477" w:rsidRDefault="00CA30BC" w:rsidP="0003545E">
      <w:pPr>
        <w:spacing w:line="360" w:lineRule="auto"/>
        <w:ind w:firstLine="709"/>
        <w:jc w:val="both"/>
        <w:rPr>
          <w:rFonts w:ascii="Times New Roman" w:hAnsi="Times New Roman"/>
          <w:b/>
          <w:sz w:val="24"/>
        </w:rPr>
      </w:pPr>
      <w:r w:rsidRPr="00CD5477">
        <w:rPr>
          <w:rFonts w:ascii="Times New Roman" w:hAnsi="Times New Roman"/>
          <w:b/>
          <w:sz w:val="24"/>
        </w:rPr>
        <w:t>2.3. Le tematiche della prova.</w:t>
      </w:r>
    </w:p>
    <w:p w:rsidR="007F0406" w:rsidRPr="00CD5477" w:rsidRDefault="00AB490D" w:rsidP="0003545E">
      <w:pPr>
        <w:spacing w:line="360" w:lineRule="auto"/>
        <w:ind w:firstLine="709"/>
        <w:jc w:val="both"/>
        <w:rPr>
          <w:rFonts w:ascii="Times New Roman" w:hAnsi="Times New Roman"/>
          <w:sz w:val="24"/>
        </w:rPr>
      </w:pPr>
      <w:r w:rsidRPr="00CD5477">
        <w:rPr>
          <w:rFonts w:ascii="Times New Roman" w:hAnsi="Times New Roman"/>
          <w:sz w:val="24"/>
        </w:rPr>
        <w:t>Cruciali i rapporti tra giudizio penale e procedimento antitrust, soprattutto con riguardo a</w:t>
      </w:r>
      <w:r w:rsidR="00282831">
        <w:rPr>
          <w:rFonts w:ascii="Times New Roman" w:hAnsi="Times New Roman"/>
          <w:sz w:val="24"/>
        </w:rPr>
        <w:t>lle pratiche concordate</w:t>
      </w:r>
      <w:r w:rsidRPr="00CD5477">
        <w:rPr>
          <w:rFonts w:ascii="Times New Roman" w:hAnsi="Times New Roman"/>
          <w:sz w:val="24"/>
        </w:rPr>
        <w:t xml:space="preserve"> nelle</w:t>
      </w:r>
      <w:r w:rsidR="00282831">
        <w:rPr>
          <w:rFonts w:ascii="Times New Roman" w:hAnsi="Times New Roman"/>
          <w:sz w:val="24"/>
        </w:rPr>
        <w:t xml:space="preserve"> procedure di evidenza pubblica, </w:t>
      </w:r>
      <w:r w:rsidRPr="00CD5477">
        <w:rPr>
          <w:rFonts w:ascii="Times New Roman" w:hAnsi="Times New Roman"/>
          <w:sz w:val="24"/>
        </w:rPr>
        <w:t>laddove all’illecito antitrust si accompagna quasi sempre l’illecito penale (artt. 353 e seguenti c.p.).</w:t>
      </w:r>
      <w:r w:rsidR="007F0406" w:rsidRPr="00CD5477">
        <w:rPr>
          <w:rFonts w:ascii="Times New Roman" w:hAnsi="Times New Roman"/>
          <w:sz w:val="24"/>
        </w:rPr>
        <w:t xml:space="preserve"> Cosicché divengono rilevanti le interrelazioni tra processo amministrativo e processo penale, considerando che tendenzialmente il giudice amministrativo arriva prima a definire l’illecito antitrust rispetto al giudice penale con riguardo all’accertamento definitivo del reato.</w:t>
      </w:r>
    </w:p>
    <w:p w:rsidR="00B115E7" w:rsidRPr="00CD5477" w:rsidRDefault="00282831" w:rsidP="0003545E">
      <w:pPr>
        <w:spacing w:line="360" w:lineRule="auto"/>
        <w:ind w:firstLine="709"/>
        <w:jc w:val="both"/>
        <w:rPr>
          <w:rFonts w:ascii="Times New Roman" w:hAnsi="Times New Roman"/>
          <w:i/>
          <w:sz w:val="24"/>
        </w:rPr>
      </w:pPr>
      <w:r>
        <w:rPr>
          <w:rFonts w:ascii="Times New Roman" w:hAnsi="Times New Roman"/>
          <w:sz w:val="24"/>
        </w:rPr>
        <w:t>In proposito</w:t>
      </w:r>
      <w:r w:rsidR="007F0406" w:rsidRPr="00CD5477">
        <w:rPr>
          <w:rFonts w:ascii="Times New Roman" w:hAnsi="Times New Roman"/>
          <w:sz w:val="24"/>
        </w:rPr>
        <w:t xml:space="preserve"> il Consiglio di Stato ritiene che </w:t>
      </w:r>
      <w:r w:rsidR="00B115E7" w:rsidRPr="00CD5477">
        <w:rPr>
          <w:rFonts w:ascii="Times New Roman" w:hAnsi="Times New Roman"/>
          <w:sz w:val="24"/>
        </w:rPr>
        <w:t xml:space="preserve">“ </w:t>
      </w:r>
      <w:r w:rsidR="00B115E7" w:rsidRPr="00CD5477">
        <w:rPr>
          <w:rFonts w:ascii="Times New Roman" w:hAnsi="Times New Roman"/>
          <w:i/>
          <w:sz w:val="24"/>
        </w:rPr>
        <w:t xml:space="preserve">…né la legge generale sul procedimento amministrativo…, né la specifica disciplina antitrust, contemplano preclusioni in ordine all’utilizzo ai fini istruttori di prove raccolte in un processo penale, a patto che: </w:t>
      </w:r>
    </w:p>
    <w:p w:rsidR="00B115E7" w:rsidRPr="00CD5477" w:rsidRDefault="00B115E7" w:rsidP="0003545E">
      <w:pPr>
        <w:spacing w:line="360" w:lineRule="auto"/>
        <w:ind w:firstLine="709"/>
        <w:jc w:val="both"/>
        <w:rPr>
          <w:rFonts w:ascii="Times New Roman" w:hAnsi="Times New Roman"/>
          <w:i/>
          <w:sz w:val="24"/>
        </w:rPr>
      </w:pPr>
      <w:r w:rsidRPr="00CD5477">
        <w:rPr>
          <w:rFonts w:ascii="Times New Roman" w:hAnsi="Times New Roman"/>
          <w:i/>
          <w:sz w:val="24"/>
        </w:rPr>
        <w:t xml:space="preserve">a) le prove siano state ritualmente acquisite in conformità con le regole di rito che presiedono alla loro acquisizione ed utilizzo; </w:t>
      </w:r>
    </w:p>
    <w:p w:rsidR="00B115E7" w:rsidRPr="00CD5477" w:rsidRDefault="00B115E7" w:rsidP="0003545E">
      <w:pPr>
        <w:spacing w:line="360" w:lineRule="auto"/>
        <w:ind w:firstLine="709"/>
        <w:jc w:val="both"/>
        <w:rPr>
          <w:rFonts w:ascii="Times New Roman" w:hAnsi="Times New Roman"/>
          <w:i/>
          <w:sz w:val="24"/>
        </w:rPr>
      </w:pPr>
      <w:r w:rsidRPr="00CD5477">
        <w:rPr>
          <w:rFonts w:ascii="Times New Roman" w:hAnsi="Times New Roman"/>
          <w:i/>
          <w:sz w:val="24"/>
        </w:rPr>
        <w:t xml:space="preserve">b) sia salvaguardato il diritto di difesa; </w:t>
      </w:r>
    </w:p>
    <w:p w:rsidR="00B115E7" w:rsidRPr="00CD5477" w:rsidRDefault="00B115E7" w:rsidP="0003545E">
      <w:pPr>
        <w:spacing w:line="360" w:lineRule="auto"/>
        <w:ind w:firstLine="709"/>
        <w:jc w:val="both"/>
        <w:rPr>
          <w:rFonts w:ascii="Times New Roman" w:hAnsi="Times New Roman"/>
          <w:sz w:val="24"/>
        </w:rPr>
      </w:pPr>
      <w:r w:rsidRPr="00CD5477">
        <w:rPr>
          <w:rFonts w:ascii="Times New Roman" w:hAnsi="Times New Roman"/>
          <w:i/>
          <w:sz w:val="24"/>
        </w:rPr>
        <w:t>c) il materiale probatorio formatosi aliunde sia stato oggetto di autonoma attività valutativa (in tal senso la giurisprudenza del Consiglio di Stato, a partire dalle sentenze n. 3197 del 2018 e n. 4211 del 2018)</w:t>
      </w:r>
      <w:r w:rsidRPr="00CD5477">
        <w:rPr>
          <w:rFonts w:ascii="Times New Roman" w:hAnsi="Times New Roman"/>
          <w:sz w:val="24"/>
        </w:rPr>
        <w:t>”.</w:t>
      </w:r>
    </w:p>
    <w:p w:rsidR="00B115E7" w:rsidRPr="00CD5477" w:rsidRDefault="00072178" w:rsidP="0003545E">
      <w:pPr>
        <w:spacing w:line="360" w:lineRule="auto"/>
        <w:ind w:firstLine="709"/>
        <w:jc w:val="both"/>
        <w:rPr>
          <w:rFonts w:ascii="Times New Roman" w:hAnsi="Times New Roman"/>
          <w:sz w:val="24"/>
        </w:rPr>
      </w:pPr>
      <w:r w:rsidRPr="00CD5477">
        <w:rPr>
          <w:rFonts w:ascii="Times New Roman" w:hAnsi="Times New Roman"/>
          <w:sz w:val="24"/>
        </w:rPr>
        <w:t>“</w:t>
      </w:r>
      <w:r w:rsidRPr="00CD5477">
        <w:rPr>
          <w:rFonts w:ascii="Times New Roman" w:hAnsi="Times New Roman"/>
          <w:i/>
          <w:sz w:val="24"/>
        </w:rPr>
        <w:t>L’utilizzabilità, al fine di accertare violazioni del diritto antitrust, delle fonti di prova provenienti dal procedimento penale, non si pone in contrasto con il diritto convenzionale</w:t>
      </w:r>
      <w:r w:rsidRPr="00CD5477">
        <w:rPr>
          <w:rFonts w:ascii="Times New Roman" w:hAnsi="Times New Roman"/>
          <w:sz w:val="24"/>
        </w:rPr>
        <w:t>”.</w:t>
      </w:r>
    </w:p>
    <w:p w:rsidR="000D420D" w:rsidRPr="00CD5477" w:rsidRDefault="007F0406" w:rsidP="0003545E">
      <w:pPr>
        <w:spacing w:line="360" w:lineRule="auto"/>
        <w:ind w:firstLine="709"/>
        <w:jc w:val="both"/>
        <w:rPr>
          <w:rFonts w:ascii="Times New Roman" w:hAnsi="Times New Roman"/>
          <w:sz w:val="24"/>
        </w:rPr>
      </w:pPr>
      <w:r w:rsidRPr="00CD5477">
        <w:rPr>
          <w:rFonts w:ascii="Times New Roman" w:hAnsi="Times New Roman"/>
          <w:sz w:val="24"/>
        </w:rPr>
        <w:t xml:space="preserve">In tema di standard probatorio da osservare nello scrutinio delle sanzioni amministrative punitive, </w:t>
      </w:r>
      <w:r w:rsidR="000D420D" w:rsidRPr="00CD5477">
        <w:rPr>
          <w:rFonts w:ascii="Times New Roman" w:hAnsi="Times New Roman"/>
          <w:sz w:val="24"/>
        </w:rPr>
        <w:t>innanzitutto</w:t>
      </w:r>
      <w:r w:rsidR="00282831">
        <w:rPr>
          <w:rFonts w:ascii="Times New Roman" w:hAnsi="Times New Roman"/>
          <w:sz w:val="24"/>
        </w:rPr>
        <w:t xml:space="preserve"> </w:t>
      </w:r>
      <w:r w:rsidR="008B72BF">
        <w:rPr>
          <w:rFonts w:ascii="Times New Roman" w:hAnsi="Times New Roman"/>
          <w:sz w:val="24"/>
        </w:rPr>
        <w:t>vige</w:t>
      </w:r>
      <w:r w:rsidR="000D420D" w:rsidRPr="00CD5477">
        <w:rPr>
          <w:rFonts w:ascii="Times New Roman" w:hAnsi="Times New Roman"/>
          <w:sz w:val="24"/>
        </w:rPr>
        <w:t xml:space="preserve"> il principio dell’onere della prova.</w:t>
      </w:r>
    </w:p>
    <w:p w:rsidR="00F24A45" w:rsidRPr="00CD5477" w:rsidRDefault="000D420D" w:rsidP="0003545E">
      <w:pPr>
        <w:spacing w:line="360" w:lineRule="auto"/>
        <w:ind w:firstLine="709"/>
        <w:jc w:val="both"/>
        <w:rPr>
          <w:rFonts w:ascii="Times New Roman" w:hAnsi="Times New Roman"/>
          <w:sz w:val="24"/>
        </w:rPr>
      </w:pPr>
      <w:r w:rsidRPr="00CD5477">
        <w:rPr>
          <w:rFonts w:ascii="Times New Roman" w:hAnsi="Times New Roman"/>
          <w:sz w:val="24"/>
        </w:rPr>
        <w:t>L</w:t>
      </w:r>
      <w:r w:rsidR="007F0406" w:rsidRPr="00CD5477">
        <w:rPr>
          <w:rFonts w:ascii="Times New Roman" w:hAnsi="Times New Roman"/>
          <w:sz w:val="24"/>
        </w:rPr>
        <w:t>’art. 2 del r</w:t>
      </w:r>
      <w:r w:rsidR="00F24A45" w:rsidRPr="00CD5477">
        <w:rPr>
          <w:rFonts w:ascii="Times New Roman" w:hAnsi="Times New Roman"/>
          <w:sz w:val="24"/>
        </w:rPr>
        <w:t>egolamento CE n. 1 del 2003</w:t>
      </w:r>
      <w:r w:rsidRPr="00CD5477">
        <w:rPr>
          <w:rFonts w:ascii="Times New Roman" w:hAnsi="Times New Roman"/>
          <w:sz w:val="24"/>
        </w:rPr>
        <w:t>, infatti,</w:t>
      </w:r>
      <w:r w:rsidR="00F24A45" w:rsidRPr="00CD5477">
        <w:rPr>
          <w:rFonts w:ascii="Times New Roman" w:hAnsi="Times New Roman"/>
          <w:sz w:val="24"/>
        </w:rPr>
        <w:t xml:space="preserve"> precisa che, in tutti i procedimenti nazionali o comuni</w:t>
      </w:r>
      <w:r w:rsidR="007F0406" w:rsidRPr="00CD5477">
        <w:rPr>
          <w:rFonts w:ascii="Times New Roman" w:hAnsi="Times New Roman"/>
          <w:sz w:val="24"/>
        </w:rPr>
        <w:t>tari relativi all’applicazione de</w:t>
      </w:r>
      <w:r w:rsidR="00F24A45" w:rsidRPr="00CD5477">
        <w:rPr>
          <w:rFonts w:ascii="Times New Roman" w:hAnsi="Times New Roman"/>
          <w:sz w:val="24"/>
        </w:rPr>
        <w:t xml:space="preserve">ll’art. 101 del </w:t>
      </w:r>
      <w:r w:rsidR="007F0406" w:rsidRPr="00CD5477">
        <w:rPr>
          <w:rFonts w:ascii="Times New Roman" w:hAnsi="Times New Roman"/>
          <w:sz w:val="24"/>
        </w:rPr>
        <w:t>Trattato sul funzionamento dell'Unione europea (</w:t>
      </w:r>
      <w:r w:rsidR="00F24A45" w:rsidRPr="00CD5477">
        <w:rPr>
          <w:rFonts w:ascii="Times New Roman" w:hAnsi="Times New Roman"/>
          <w:sz w:val="24"/>
        </w:rPr>
        <w:t>TFUE</w:t>
      </w:r>
      <w:r w:rsidR="007F0406" w:rsidRPr="00CD5477">
        <w:rPr>
          <w:rFonts w:ascii="Times New Roman" w:hAnsi="Times New Roman"/>
          <w:sz w:val="24"/>
        </w:rPr>
        <w:t>)</w:t>
      </w:r>
      <w:r w:rsidR="00282831">
        <w:rPr>
          <w:rFonts w:ascii="Times New Roman" w:hAnsi="Times New Roman"/>
          <w:sz w:val="24"/>
        </w:rPr>
        <w:t>,</w:t>
      </w:r>
      <w:r w:rsidR="00F24A45" w:rsidRPr="00CD5477">
        <w:rPr>
          <w:rFonts w:ascii="Times New Roman" w:hAnsi="Times New Roman"/>
          <w:sz w:val="24"/>
        </w:rPr>
        <w:t xml:space="preserve"> l’onere della prova dell’infrazione incombe alla parte o all’autorità che asserisce tale infrazione.</w:t>
      </w:r>
    </w:p>
    <w:p w:rsidR="00DA363C" w:rsidRPr="00CD5477" w:rsidRDefault="000D420D" w:rsidP="0003545E">
      <w:pPr>
        <w:spacing w:line="360" w:lineRule="auto"/>
        <w:ind w:firstLine="709"/>
        <w:jc w:val="both"/>
        <w:rPr>
          <w:rFonts w:ascii="Times New Roman" w:hAnsi="Times New Roman"/>
          <w:sz w:val="24"/>
        </w:rPr>
      </w:pPr>
      <w:r w:rsidRPr="00CD5477">
        <w:rPr>
          <w:rFonts w:ascii="Times New Roman" w:hAnsi="Times New Roman"/>
          <w:sz w:val="24"/>
        </w:rPr>
        <w:t>Poi, ma non secondario,</w:t>
      </w:r>
      <w:r w:rsidR="00E573C8" w:rsidRPr="00CD5477">
        <w:rPr>
          <w:rFonts w:ascii="Times New Roman" w:hAnsi="Times New Roman"/>
          <w:sz w:val="24"/>
        </w:rPr>
        <w:t xml:space="preserve"> i</w:t>
      </w:r>
      <w:r w:rsidR="00507010" w:rsidRPr="00CD5477">
        <w:rPr>
          <w:rFonts w:ascii="Times New Roman" w:hAnsi="Times New Roman"/>
          <w:sz w:val="24"/>
        </w:rPr>
        <w:t>l principio della p</w:t>
      </w:r>
      <w:r w:rsidR="00F07F23" w:rsidRPr="00CD5477">
        <w:rPr>
          <w:rFonts w:ascii="Times New Roman" w:hAnsi="Times New Roman"/>
          <w:sz w:val="24"/>
        </w:rPr>
        <w:t>resunzione di innocenza (</w:t>
      </w:r>
      <w:r w:rsidRPr="00CD5477">
        <w:rPr>
          <w:rFonts w:ascii="Times New Roman" w:hAnsi="Times New Roman"/>
          <w:i/>
          <w:sz w:val="24"/>
        </w:rPr>
        <w:t>“</w:t>
      </w:r>
      <w:r w:rsidR="00F07F23" w:rsidRPr="00CD5477">
        <w:rPr>
          <w:rFonts w:ascii="Times New Roman" w:hAnsi="Times New Roman"/>
          <w:i/>
          <w:sz w:val="24"/>
        </w:rPr>
        <w:t>in dubio pro reo</w:t>
      </w:r>
      <w:r w:rsidRPr="00CD5477">
        <w:rPr>
          <w:rFonts w:ascii="Times New Roman" w:hAnsi="Times New Roman"/>
          <w:sz w:val="24"/>
        </w:rPr>
        <w:t>”</w:t>
      </w:r>
      <w:r w:rsidR="00F07F23" w:rsidRPr="00CD5477">
        <w:rPr>
          <w:rFonts w:ascii="Times New Roman" w:hAnsi="Times New Roman"/>
          <w:sz w:val="24"/>
        </w:rPr>
        <w:t>)</w:t>
      </w:r>
      <w:r w:rsidR="00E573C8" w:rsidRPr="00CD5477">
        <w:rPr>
          <w:rFonts w:ascii="Times New Roman" w:hAnsi="Times New Roman"/>
          <w:sz w:val="24"/>
        </w:rPr>
        <w:t xml:space="preserve">, di cui all’art. 48, para 1, </w:t>
      </w:r>
      <w:r w:rsidRPr="00CD5477">
        <w:rPr>
          <w:rFonts w:ascii="Times New Roman" w:hAnsi="Times New Roman"/>
          <w:sz w:val="24"/>
        </w:rPr>
        <w:t>della Convenzione europea dei diritti dell’uomo (</w:t>
      </w:r>
      <w:r w:rsidR="00E573C8" w:rsidRPr="00CD5477">
        <w:rPr>
          <w:rFonts w:ascii="Times New Roman" w:hAnsi="Times New Roman"/>
          <w:sz w:val="24"/>
        </w:rPr>
        <w:t>CEDU</w:t>
      </w:r>
      <w:r w:rsidRPr="00CD5477">
        <w:rPr>
          <w:rFonts w:ascii="Times New Roman" w:hAnsi="Times New Roman"/>
          <w:sz w:val="24"/>
        </w:rPr>
        <w:t>), secondo cui “</w:t>
      </w:r>
      <w:r w:rsidR="00E573C8" w:rsidRPr="00CD5477">
        <w:rPr>
          <w:rFonts w:ascii="Times New Roman" w:hAnsi="Times New Roman"/>
          <w:i/>
          <w:sz w:val="24"/>
        </w:rPr>
        <w:t>Ogni imputato è considerato innocente fino a quando la sua colpevolezza non sia stata legalmente provata</w:t>
      </w:r>
      <w:r w:rsidRPr="00CD5477">
        <w:rPr>
          <w:rFonts w:ascii="Times New Roman" w:hAnsi="Times New Roman"/>
          <w:sz w:val="24"/>
        </w:rPr>
        <w:t>”</w:t>
      </w:r>
      <w:r w:rsidR="00E573C8" w:rsidRPr="00CD5477">
        <w:rPr>
          <w:rFonts w:ascii="Times New Roman" w:hAnsi="Times New Roman"/>
          <w:sz w:val="24"/>
        </w:rPr>
        <w:t>.</w:t>
      </w:r>
      <w:r w:rsidRPr="00CD5477">
        <w:rPr>
          <w:rFonts w:ascii="Times New Roman" w:hAnsi="Times New Roman"/>
          <w:sz w:val="24"/>
        </w:rPr>
        <w:t xml:space="preserve"> Nello stesso senso è il precedente art. 6, para. 2</w:t>
      </w:r>
      <w:r w:rsidR="00186A06" w:rsidRPr="00CD5477">
        <w:rPr>
          <w:rFonts w:ascii="Times New Roman" w:hAnsi="Times New Roman"/>
          <w:sz w:val="24"/>
        </w:rPr>
        <w:t>.</w:t>
      </w:r>
    </w:p>
    <w:p w:rsidR="006C5298" w:rsidRPr="00CD5477" w:rsidRDefault="006C5298" w:rsidP="0003545E">
      <w:pPr>
        <w:spacing w:line="360" w:lineRule="auto"/>
        <w:ind w:firstLine="709"/>
        <w:jc w:val="both"/>
        <w:rPr>
          <w:rFonts w:ascii="Times New Roman" w:hAnsi="Times New Roman"/>
          <w:sz w:val="24"/>
        </w:rPr>
      </w:pPr>
      <w:r w:rsidRPr="00CD5477">
        <w:rPr>
          <w:rFonts w:ascii="Times New Roman" w:hAnsi="Times New Roman"/>
          <w:sz w:val="24"/>
        </w:rPr>
        <w:t xml:space="preserve">Si tratta di principi generali del diritto dell’Unione. Ed è </w:t>
      </w:r>
      <w:r w:rsidR="008B72BF">
        <w:rPr>
          <w:rFonts w:ascii="Times New Roman" w:hAnsi="Times New Roman"/>
          <w:sz w:val="24"/>
        </w:rPr>
        <w:t xml:space="preserve">ormai </w:t>
      </w:r>
      <w:r w:rsidRPr="00CD5477">
        <w:rPr>
          <w:rFonts w:ascii="Times New Roman" w:hAnsi="Times New Roman"/>
          <w:sz w:val="24"/>
        </w:rPr>
        <w:t>indubbia la natura “penale” in senso convenzionale delle sanzioni irrogate dall’AGCM.</w:t>
      </w:r>
    </w:p>
    <w:p w:rsidR="0084257D" w:rsidRPr="00CD5477" w:rsidRDefault="000D420D" w:rsidP="0003545E">
      <w:pPr>
        <w:spacing w:line="360" w:lineRule="auto"/>
        <w:ind w:firstLine="709"/>
        <w:jc w:val="both"/>
        <w:rPr>
          <w:rFonts w:ascii="Times New Roman" w:hAnsi="Times New Roman"/>
          <w:sz w:val="24"/>
        </w:rPr>
      </w:pPr>
      <w:r w:rsidRPr="00CD5477">
        <w:rPr>
          <w:rFonts w:ascii="Times New Roman" w:hAnsi="Times New Roman"/>
          <w:sz w:val="24"/>
        </w:rPr>
        <w:t>Tuttavia il</w:t>
      </w:r>
      <w:r w:rsidR="0084257D" w:rsidRPr="00CD5477">
        <w:rPr>
          <w:rFonts w:ascii="Times New Roman" w:hAnsi="Times New Roman"/>
          <w:sz w:val="24"/>
        </w:rPr>
        <w:t xml:space="preserve"> principio della presunzione di innocenza non osta all’applicazione di presunzioni relative, le quali consentono di trarre una determinata conclusione in base a massime di esperienza.</w:t>
      </w:r>
      <w:r w:rsidRPr="00CD5477">
        <w:rPr>
          <w:rFonts w:ascii="Times New Roman" w:hAnsi="Times New Roman"/>
          <w:sz w:val="24"/>
        </w:rPr>
        <w:t xml:space="preserve"> Infatti,</w:t>
      </w:r>
      <w:r w:rsidR="005B4BDC" w:rsidRPr="00CD5477">
        <w:rPr>
          <w:rFonts w:ascii="Times New Roman" w:hAnsi="Times New Roman"/>
          <w:sz w:val="24"/>
        </w:rPr>
        <w:t xml:space="preserve"> </w:t>
      </w:r>
      <w:r w:rsidR="00C61128" w:rsidRPr="00CD5477">
        <w:rPr>
          <w:rFonts w:ascii="Times New Roman" w:hAnsi="Times New Roman"/>
          <w:sz w:val="24"/>
        </w:rPr>
        <w:t xml:space="preserve">“ </w:t>
      </w:r>
      <w:r w:rsidR="00C61128" w:rsidRPr="00CD5477">
        <w:rPr>
          <w:rFonts w:ascii="Times New Roman" w:hAnsi="Times New Roman"/>
          <w:i/>
          <w:sz w:val="24"/>
        </w:rPr>
        <w:t>…la prova delle intese restrittive della concorrenza può essere sostenuta da un compendio probatorio di natura indiziaria, ovvero un complesso di prove esclusivamente indirette, purché queste possano essere significative al pari della prova rappresentativa (anche il processo penale consente il ricorso alla prova indiziaria ed ai principi fondati sull’esperienza)</w:t>
      </w:r>
      <w:r w:rsidR="00C61128" w:rsidRPr="00CD5477">
        <w:rPr>
          <w:rFonts w:ascii="Times New Roman" w:hAnsi="Times New Roman"/>
          <w:sz w:val="24"/>
        </w:rPr>
        <w:t>”.</w:t>
      </w:r>
    </w:p>
    <w:p w:rsidR="001C368C" w:rsidRPr="00CD5477" w:rsidRDefault="001C368C" w:rsidP="0003545E">
      <w:pPr>
        <w:spacing w:line="360" w:lineRule="auto"/>
        <w:ind w:firstLine="709"/>
        <w:jc w:val="both"/>
        <w:rPr>
          <w:rFonts w:ascii="Times New Roman" w:hAnsi="Times New Roman"/>
          <w:sz w:val="24"/>
        </w:rPr>
      </w:pPr>
      <w:r w:rsidRPr="00CD5477">
        <w:rPr>
          <w:rFonts w:ascii="Times New Roman" w:hAnsi="Times New Roman"/>
          <w:sz w:val="24"/>
        </w:rPr>
        <w:t>Ai fini dell’individuazione di un coordinamento illecito tra imprese, l’AGCM</w:t>
      </w:r>
      <w:r w:rsidR="00385FEF" w:rsidRPr="00CD5477">
        <w:rPr>
          <w:rFonts w:ascii="Times New Roman" w:hAnsi="Times New Roman"/>
          <w:sz w:val="24"/>
        </w:rPr>
        <w:t>, in mancanza di prova diretta,</w:t>
      </w:r>
      <w:r w:rsidRPr="00CD5477">
        <w:rPr>
          <w:rFonts w:ascii="Times New Roman" w:hAnsi="Times New Roman"/>
          <w:sz w:val="24"/>
        </w:rPr>
        <w:t xml:space="preserve"> </w:t>
      </w:r>
      <w:r w:rsidR="00C130D9">
        <w:rPr>
          <w:rFonts w:ascii="Times New Roman" w:hAnsi="Times New Roman"/>
          <w:sz w:val="24"/>
        </w:rPr>
        <w:t xml:space="preserve">non </w:t>
      </w:r>
      <w:r w:rsidRPr="00CD5477">
        <w:rPr>
          <w:rFonts w:ascii="Times New Roman" w:hAnsi="Times New Roman"/>
          <w:sz w:val="24"/>
        </w:rPr>
        <w:t xml:space="preserve">può </w:t>
      </w:r>
      <w:r w:rsidR="00C130D9">
        <w:rPr>
          <w:rFonts w:ascii="Times New Roman" w:hAnsi="Times New Roman"/>
          <w:sz w:val="24"/>
        </w:rPr>
        <w:t xml:space="preserve">che </w:t>
      </w:r>
      <w:r w:rsidRPr="00CD5477">
        <w:rPr>
          <w:rFonts w:ascii="Times New Roman" w:hAnsi="Times New Roman"/>
          <w:sz w:val="24"/>
        </w:rPr>
        <w:t>raccogliere indi</w:t>
      </w:r>
      <w:r w:rsidR="00460920" w:rsidRPr="00CD5477">
        <w:rPr>
          <w:rFonts w:ascii="Times New Roman" w:hAnsi="Times New Roman"/>
          <w:sz w:val="24"/>
        </w:rPr>
        <w:t>zi gravi, precisi e concordanti.</w:t>
      </w:r>
    </w:p>
    <w:p w:rsidR="00460920" w:rsidRPr="00CD5477" w:rsidRDefault="000D420D" w:rsidP="0003545E">
      <w:pPr>
        <w:spacing w:line="360" w:lineRule="auto"/>
        <w:ind w:firstLine="709"/>
        <w:jc w:val="both"/>
        <w:rPr>
          <w:rFonts w:ascii="Times New Roman" w:hAnsi="Times New Roman"/>
          <w:sz w:val="24"/>
        </w:rPr>
      </w:pPr>
      <w:r w:rsidRPr="00CD5477">
        <w:rPr>
          <w:rFonts w:ascii="Times New Roman" w:hAnsi="Times New Roman"/>
          <w:sz w:val="24"/>
        </w:rPr>
        <w:t>Nell’ambito delle</w:t>
      </w:r>
      <w:r w:rsidR="00460920" w:rsidRPr="00CD5477">
        <w:rPr>
          <w:rFonts w:ascii="Times New Roman" w:hAnsi="Times New Roman"/>
          <w:sz w:val="24"/>
        </w:rPr>
        <w:t xml:space="preserve"> intese restrittive della concorrenza, la valutazione della prova indiziaria va scomposta in due stadi. Il primo è diretto ad apprezzare la valenza qualitativa del singolo indizio, ovvero la forza di necessità logica con la quale esso è in grado di dimostrare il fatto rilevante.</w:t>
      </w:r>
    </w:p>
    <w:p w:rsidR="00460920" w:rsidRPr="00CD5477" w:rsidRDefault="00460920" w:rsidP="0003545E">
      <w:pPr>
        <w:spacing w:line="360" w:lineRule="auto"/>
        <w:ind w:firstLine="709"/>
        <w:jc w:val="both"/>
        <w:rPr>
          <w:rFonts w:ascii="Times New Roman" w:hAnsi="Times New Roman"/>
          <w:sz w:val="24"/>
        </w:rPr>
      </w:pPr>
      <w:r w:rsidRPr="00CD5477">
        <w:rPr>
          <w:rFonts w:ascii="Times New Roman" w:hAnsi="Times New Roman"/>
          <w:sz w:val="24"/>
        </w:rPr>
        <w:t>Il secondo è costituito dall’esame globale degli indizi così raccolti, al fine di accertare se gli stessi, una volta integrati gli uni con gli altri, siano in grado di dissolvere la loro intrinseca ambiguità. In questa fase, vanno utilizzati i canoni (codificati all’art. 2729 c.c.) della gravità (la capacità dimostrativa e di resistenza agli argomenti contrapposti), precisione (l’univocità che rende assai inverosimili le interpretazioni alternative) e concordanza (la coerenza narrativa, dovuta alla circostanza che gli elementi raccolti non si pongono in contraddizione tra loro).</w:t>
      </w:r>
    </w:p>
    <w:p w:rsidR="00460920" w:rsidRPr="00CD5477" w:rsidRDefault="00460920" w:rsidP="0003545E">
      <w:pPr>
        <w:spacing w:line="360" w:lineRule="auto"/>
        <w:ind w:firstLine="709"/>
        <w:jc w:val="both"/>
        <w:rPr>
          <w:rFonts w:ascii="Times New Roman" w:hAnsi="Times New Roman"/>
          <w:sz w:val="24"/>
        </w:rPr>
      </w:pPr>
      <w:r w:rsidRPr="00CD5477">
        <w:rPr>
          <w:rFonts w:ascii="Times New Roman" w:hAnsi="Times New Roman"/>
          <w:sz w:val="24"/>
        </w:rPr>
        <w:t xml:space="preserve">All’esito della predetta attività conoscitiva, l’ipotesi accusatoria, attentamente verificata nel contraddittorio delle parti, può ritenersi avere attinto </w:t>
      </w:r>
      <w:r w:rsidR="000D420D" w:rsidRPr="00CD5477">
        <w:rPr>
          <w:rFonts w:ascii="Times New Roman" w:hAnsi="Times New Roman"/>
          <w:sz w:val="24"/>
        </w:rPr>
        <w:t>la “certezza processuale”</w:t>
      </w:r>
      <w:r w:rsidRPr="00CD5477">
        <w:rPr>
          <w:rFonts w:ascii="Times New Roman" w:hAnsi="Times New Roman"/>
          <w:sz w:val="24"/>
        </w:rPr>
        <w:t xml:space="preserve"> soltanto quando essa risulti l’unica in grado di giustificare i vari elementi probatori raccolti, ovvero la più attendibile rispetto alle altre ipotesi alternative, pure astrattamente prospettabili, ma la cui realizzazione storica, in quanto priva di riscontri significativi nelle emergenze i</w:t>
      </w:r>
      <w:r w:rsidR="00282831">
        <w:rPr>
          <w:rFonts w:ascii="Times New Roman" w:hAnsi="Times New Roman"/>
          <w:sz w:val="24"/>
        </w:rPr>
        <w:t>struttorie, appaia soltanto un’</w:t>
      </w:r>
      <w:r w:rsidRPr="00CD5477">
        <w:rPr>
          <w:rFonts w:ascii="Times New Roman" w:hAnsi="Times New Roman"/>
          <w:sz w:val="24"/>
        </w:rPr>
        <w:t>eventualità remota.</w:t>
      </w:r>
    </w:p>
    <w:p w:rsidR="00460920" w:rsidRPr="00CD5477" w:rsidRDefault="00282831" w:rsidP="0003545E">
      <w:pPr>
        <w:spacing w:line="360" w:lineRule="auto"/>
        <w:ind w:firstLine="709"/>
        <w:jc w:val="both"/>
        <w:rPr>
          <w:rFonts w:ascii="Times New Roman" w:hAnsi="Times New Roman"/>
          <w:sz w:val="24"/>
        </w:rPr>
      </w:pPr>
      <w:r>
        <w:rPr>
          <w:rFonts w:ascii="Times New Roman" w:hAnsi="Times New Roman"/>
          <w:sz w:val="24"/>
        </w:rPr>
        <w:t>A</w:t>
      </w:r>
      <w:r w:rsidR="00CA30BC" w:rsidRPr="00CD5477">
        <w:rPr>
          <w:rFonts w:ascii="Times New Roman" w:hAnsi="Times New Roman"/>
          <w:sz w:val="24"/>
        </w:rPr>
        <w:t>lle imprese spetta la prova contraria.</w:t>
      </w:r>
    </w:p>
    <w:p w:rsidR="001C368C" w:rsidRPr="00CD5477" w:rsidRDefault="00CA30BC" w:rsidP="0003545E">
      <w:pPr>
        <w:spacing w:line="360" w:lineRule="auto"/>
        <w:ind w:firstLine="709"/>
        <w:jc w:val="both"/>
        <w:rPr>
          <w:rFonts w:ascii="Times New Roman" w:hAnsi="Times New Roman"/>
          <w:i/>
          <w:sz w:val="24"/>
        </w:rPr>
      </w:pPr>
      <w:r w:rsidRPr="00CD5477">
        <w:rPr>
          <w:rFonts w:ascii="Times New Roman" w:hAnsi="Times New Roman"/>
          <w:sz w:val="24"/>
        </w:rPr>
        <w:t xml:space="preserve">In particolare, </w:t>
      </w:r>
      <w:r w:rsidR="001C368C" w:rsidRPr="00CD5477">
        <w:rPr>
          <w:rFonts w:ascii="Times New Roman" w:hAnsi="Times New Roman"/>
          <w:sz w:val="24"/>
        </w:rPr>
        <w:t>“</w:t>
      </w:r>
      <w:r w:rsidR="001C368C" w:rsidRPr="00CD5477">
        <w:rPr>
          <w:rFonts w:ascii="Times New Roman" w:hAnsi="Times New Roman"/>
          <w:i/>
          <w:sz w:val="24"/>
        </w:rPr>
        <w:t>i) …quando l’Autorità ha fornito la prova dell’esistenza di un accordo avente carattere manifestamente anticoncorrenziale, spetta alle imprese che vi hanno partecipato fornire la prova di essersene dissociate, prova che deve dimostrare una volontà inequivocabile, e portata a conoscenza delle altre imprese partecipanti, di sottrarsi a tale accordo…;</w:t>
      </w:r>
    </w:p>
    <w:p w:rsidR="001C368C" w:rsidRPr="00CD5477" w:rsidRDefault="001C368C" w:rsidP="0003545E">
      <w:pPr>
        <w:spacing w:line="360" w:lineRule="auto"/>
        <w:ind w:firstLine="709"/>
        <w:jc w:val="both"/>
        <w:rPr>
          <w:rFonts w:ascii="Times New Roman" w:hAnsi="Times New Roman"/>
          <w:sz w:val="24"/>
        </w:rPr>
      </w:pPr>
      <w:r w:rsidRPr="00CD5477">
        <w:rPr>
          <w:rFonts w:ascii="Times New Roman" w:hAnsi="Times New Roman"/>
          <w:i/>
          <w:sz w:val="24"/>
        </w:rPr>
        <w:t>ii) qualora invece l’Autorità fornisca soltanto la dimostrazione di un comportamento economico ‘anomalo’ (quali l’uniformità ed il parallelismo dei comportamenti), è consentito presumere l’esistenza di una concertazione, ponendo a carico delle imprese l’onere di fornire una spiegazione alternativa e plausibile della condotta contestata</w:t>
      </w:r>
      <w:r w:rsidRPr="00CD5477">
        <w:rPr>
          <w:rFonts w:ascii="Times New Roman" w:hAnsi="Times New Roman"/>
          <w:sz w:val="24"/>
        </w:rPr>
        <w:t>”.</w:t>
      </w:r>
    </w:p>
    <w:p w:rsidR="00B45AE8" w:rsidRPr="00CD5477" w:rsidRDefault="00B45AE8" w:rsidP="0003545E">
      <w:pPr>
        <w:spacing w:line="360" w:lineRule="auto"/>
        <w:ind w:firstLine="709"/>
        <w:jc w:val="both"/>
        <w:rPr>
          <w:rFonts w:ascii="Times New Roman" w:hAnsi="Times New Roman"/>
          <w:sz w:val="24"/>
        </w:rPr>
      </w:pPr>
    </w:p>
    <w:p w:rsidR="00CA30BC" w:rsidRPr="00CD5477" w:rsidRDefault="00CA30BC" w:rsidP="0003545E">
      <w:pPr>
        <w:spacing w:line="360" w:lineRule="auto"/>
        <w:ind w:firstLine="709"/>
        <w:jc w:val="both"/>
        <w:rPr>
          <w:rFonts w:ascii="Times New Roman" w:hAnsi="Times New Roman"/>
          <w:b/>
          <w:sz w:val="24"/>
        </w:rPr>
      </w:pPr>
      <w:r w:rsidRPr="00CD5477">
        <w:rPr>
          <w:rFonts w:ascii="Times New Roman" w:hAnsi="Times New Roman"/>
          <w:b/>
          <w:sz w:val="24"/>
        </w:rPr>
        <w:t>2.4. I poteri del giudice</w:t>
      </w:r>
      <w:r w:rsidR="00C302CC" w:rsidRPr="00CD5477">
        <w:rPr>
          <w:rFonts w:ascii="Times New Roman" w:hAnsi="Times New Roman"/>
          <w:b/>
          <w:sz w:val="24"/>
        </w:rPr>
        <w:t xml:space="preserve"> amministrativo</w:t>
      </w:r>
      <w:r w:rsidRPr="00CD5477">
        <w:rPr>
          <w:rFonts w:ascii="Times New Roman" w:hAnsi="Times New Roman"/>
          <w:b/>
          <w:sz w:val="24"/>
        </w:rPr>
        <w:t>.</w:t>
      </w:r>
    </w:p>
    <w:p w:rsidR="00097E1E" w:rsidRPr="00CD5477" w:rsidRDefault="00CA30BC" w:rsidP="0003545E">
      <w:pPr>
        <w:spacing w:line="360" w:lineRule="auto"/>
        <w:ind w:firstLine="709"/>
        <w:jc w:val="both"/>
        <w:rPr>
          <w:rFonts w:ascii="Times New Roman" w:hAnsi="Times New Roman"/>
          <w:sz w:val="24"/>
        </w:rPr>
      </w:pPr>
      <w:r w:rsidRPr="00CD5477">
        <w:rPr>
          <w:rFonts w:ascii="Times New Roman" w:hAnsi="Times New Roman"/>
          <w:sz w:val="24"/>
        </w:rPr>
        <w:t>Con riguardo ai poteri del giudice</w:t>
      </w:r>
      <w:r w:rsidR="00C302CC" w:rsidRPr="00CD5477">
        <w:rPr>
          <w:rFonts w:ascii="Times New Roman" w:hAnsi="Times New Roman"/>
          <w:sz w:val="24"/>
        </w:rPr>
        <w:t xml:space="preserve"> amministrativo</w:t>
      </w:r>
      <w:r w:rsidRPr="00CD5477">
        <w:rPr>
          <w:rFonts w:ascii="Times New Roman" w:hAnsi="Times New Roman"/>
          <w:sz w:val="24"/>
        </w:rPr>
        <w:t xml:space="preserve">, il Consiglio di Stato ha ribadito che </w:t>
      </w:r>
      <w:r w:rsidR="00097E1E" w:rsidRPr="00CD5477">
        <w:rPr>
          <w:rFonts w:ascii="Times New Roman" w:hAnsi="Times New Roman"/>
          <w:sz w:val="24"/>
        </w:rPr>
        <w:t xml:space="preserve">“ </w:t>
      </w:r>
      <w:r w:rsidR="00097E1E" w:rsidRPr="00CD5477">
        <w:rPr>
          <w:rFonts w:ascii="Times New Roman" w:hAnsi="Times New Roman"/>
          <w:i/>
          <w:sz w:val="24"/>
        </w:rPr>
        <w:t>…la tutela giurisdizionale, per essere effettiva e rispettosa della garanzia della parità delle armi, deve consentire al giudice un controllo penetrante attraverso la piena e diretta verifica della quaestio facti sotto il profilo della sua intrinseca verità</w:t>
      </w:r>
      <w:r w:rsidR="00097E1E" w:rsidRPr="00CD5477">
        <w:rPr>
          <w:rFonts w:ascii="Times New Roman" w:hAnsi="Times New Roman"/>
          <w:sz w:val="24"/>
        </w:rPr>
        <w:t>”.</w:t>
      </w:r>
    </w:p>
    <w:p w:rsidR="00CA30BC" w:rsidRPr="00CD5477" w:rsidRDefault="00CA30BC" w:rsidP="0003545E">
      <w:pPr>
        <w:spacing w:line="360" w:lineRule="auto"/>
        <w:ind w:firstLine="709"/>
        <w:jc w:val="both"/>
        <w:rPr>
          <w:rFonts w:ascii="Times New Roman" w:hAnsi="Times New Roman"/>
          <w:sz w:val="24"/>
        </w:rPr>
      </w:pPr>
      <w:r w:rsidRPr="00CD5477">
        <w:rPr>
          <w:rFonts w:ascii="Times New Roman" w:hAnsi="Times New Roman"/>
          <w:sz w:val="24"/>
        </w:rPr>
        <w:t xml:space="preserve">Ossia piena cognizione del fatto da parte del giudice amministrativo. Il vedere poi come e con quali mezzi si </w:t>
      </w:r>
      <w:r w:rsidR="00C130D9">
        <w:rPr>
          <w:rFonts w:ascii="Times New Roman" w:hAnsi="Times New Roman"/>
          <w:sz w:val="24"/>
        </w:rPr>
        <w:t>attua</w:t>
      </w:r>
      <w:r w:rsidRPr="00CD5477">
        <w:rPr>
          <w:rFonts w:ascii="Times New Roman" w:hAnsi="Times New Roman"/>
          <w:sz w:val="24"/>
        </w:rPr>
        <w:t xml:space="preserve"> la piena cognizione del fatto è un ulteriore problema</w:t>
      </w:r>
      <w:r w:rsidR="00AB0AAD">
        <w:rPr>
          <w:rFonts w:ascii="Times New Roman" w:hAnsi="Times New Roman"/>
          <w:sz w:val="24"/>
        </w:rPr>
        <w:t>,</w:t>
      </w:r>
      <w:r w:rsidRPr="00CD5477">
        <w:rPr>
          <w:rFonts w:ascii="Times New Roman" w:hAnsi="Times New Roman"/>
          <w:sz w:val="24"/>
        </w:rPr>
        <w:t xml:space="preserve"> del quale si dirà tra poco.</w:t>
      </w:r>
    </w:p>
    <w:p w:rsidR="00097E1E" w:rsidRPr="00CD5477" w:rsidRDefault="00097E1E" w:rsidP="0003545E">
      <w:pPr>
        <w:spacing w:line="360" w:lineRule="auto"/>
        <w:ind w:firstLine="709"/>
        <w:jc w:val="both"/>
        <w:rPr>
          <w:rFonts w:ascii="Times New Roman" w:hAnsi="Times New Roman"/>
          <w:sz w:val="24"/>
        </w:rPr>
      </w:pPr>
    </w:p>
    <w:p w:rsidR="00565064" w:rsidRPr="00CD5477" w:rsidRDefault="00565064" w:rsidP="0003545E">
      <w:pPr>
        <w:spacing w:line="360" w:lineRule="auto"/>
        <w:ind w:firstLine="709"/>
        <w:jc w:val="both"/>
        <w:rPr>
          <w:rFonts w:ascii="Times New Roman" w:hAnsi="Times New Roman"/>
          <w:b/>
          <w:sz w:val="24"/>
        </w:rPr>
      </w:pPr>
      <w:r w:rsidRPr="00CD5477">
        <w:rPr>
          <w:rFonts w:ascii="Times New Roman" w:hAnsi="Times New Roman"/>
          <w:b/>
          <w:sz w:val="24"/>
        </w:rPr>
        <w:t>3. Le decisioni del Consiglio di Stato nell’ambito delle procedure indette dalla Lega Calcio.</w:t>
      </w:r>
    </w:p>
    <w:p w:rsidR="00CA30BC" w:rsidRPr="00CD5477" w:rsidRDefault="00C302CC" w:rsidP="0003545E">
      <w:pPr>
        <w:spacing w:line="360" w:lineRule="auto"/>
        <w:ind w:firstLine="709"/>
        <w:jc w:val="both"/>
        <w:rPr>
          <w:rFonts w:ascii="Times New Roman" w:hAnsi="Times New Roman"/>
          <w:sz w:val="24"/>
        </w:rPr>
      </w:pPr>
      <w:r w:rsidRPr="00CD5477">
        <w:rPr>
          <w:rFonts w:ascii="Times New Roman" w:hAnsi="Times New Roman"/>
          <w:sz w:val="24"/>
        </w:rPr>
        <w:t>Significative</w:t>
      </w:r>
      <w:r w:rsidR="00C130D9">
        <w:rPr>
          <w:rFonts w:ascii="Times New Roman" w:hAnsi="Times New Roman"/>
          <w:sz w:val="24"/>
        </w:rPr>
        <w:t>,</w:t>
      </w:r>
      <w:r w:rsidRPr="00CD5477">
        <w:rPr>
          <w:rFonts w:ascii="Times New Roman" w:hAnsi="Times New Roman"/>
          <w:sz w:val="24"/>
        </w:rPr>
        <w:t xml:space="preserve"> nella tematica dei rapporti tra giudizio penale (per turbata libertà degli incanti) e giudizio amministrativo</w:t>
      </w:r>
      <w:r w:rsidR="00C130D9">
        <w:rPr>
          <w:rFonts w:ascii="Times New Roman" w:hAnsi="Times New Roman"/>
          <w:sz w:val="24"/>
        </w:rPr>
        <w:t>,</w:t>
      </w:r>
      <w:r w:rsidRPr="00CD5477">
        <w:rPr>
          <w:rFonts w:ascii="Times New Roman" w:hAnsi="Times New Roman"/>
          <w:sz w:val="24"/>
        </w:rPr>
        <w:t xml:space="preserve"> sono le sentenze del Consiglio di Stato, sezione VI, </w:t>
      </w:r>
      <w:r w:rsidR="00565064" w:rsidRPr="00CD5477">
        <w:rPr>
          <w:rFonts w:ascii="Times New Roman" w:hAnsi="Times New Roman"/>
          <w:sz w:val="24"/>
        </w:rPr>
        <w:t>9 giugno 2022, n. 4696 e 13 giugno 2022, n. 4779</w:t>
      </w:r>
      <w:r w:rsidRPr="00CD5477">
        <w:rPr>
          <w:rFonts w:ascii="Times New Roman" w:hAnsi="Times New Roman"/>
          <w:sz w:val="24"/>
        </w:rPr>
        <w:t>,</w:t>
      </w:r>
      <w:r w:rsidR="00565064" w:rsidRPr="00CD5477">
        <w:rPr>
          <w:rFonts w:ascii="Times New Roman" w:hAnsi="Times New Roman"/>
          <w:sz w:val="24"/>
        </w:rPr>
        <w:t xml:space="preserve"> in ambito di g</w:t>
      </w:r>
      <w:r w:rsidRPr="00CD5477">
        <w:rPr>
          <w:rFonts w:ascii="Times New Roman" w:hAnsi="Times New Roman"/>
          <w:sz w:val="24"/>
        </w:rPr>
        <w:t>are indette dalla L</w:t>
      </w:r>
      <w:r w:rsidR="00565064" w:rsidRPr="00CD5477">
        <w:rPr>
          <w:rFonts w:ascii="Times New Roman" w:hAnsi="Times New Roman"/>
          <w:sz w:val="24"/>
        </w:rPr>
        <w:t>ega Calcio.</w:t>
      </w:r>
    </w:p>
    <w:p w:rsidR="00E02B48" w:rsidRPr="00CD5477" w:rsidRDefault="00C302CC" w:rsidP="0003545E">
      <w:pPr>
        <w:spacing w:line="360" w:lineRule="auto"/>
        <w:ind w:firstLine="709"/>
        <w:jc w:val="both"/>
        <w:rPr>
          <w:rFonts w:ascii="Times New Roman" w:hAnsi="Times New Roman"/>
          <w:sz w:val="24"/>
        </w:rPr>
      </w:pPr>
      <w:r w:rsidRPr="00CD5477">
        <w:rPr>
          <w:rFonts w:ascii="Times New Roman" w:hAnsi="Times New Roman"/>
          <w:sz w:val="24"/>
        </w:rPr>
        <w:t>L’</w:t>
      </w:r>
      <w:r w:rsidR="00E02B48" w:rsidRPr="00CD5477">
        <w:rPr>
          <w:rFonts w:ascii="Times New Roman" w:hAnsi="Times New Roman"/>
          <w:sz w:val="24"/>
        </w:rPr>
        <w:t xml:space="preserve">AGCM aveva individuato un’intesa in violazione dell’art. 101 del TFUE, avente per oggetto il coordinamento alla partecipazione alle gare, determinando il contenuto delle offerte economiche nelle procedure indette dalla Lega Professionisti Serie A (“Lega Calcio”) per l’assegnazione dei diritti TV per la visione fuori dall’Italia delle competizioni calcistiche del Campionato di Serie A, di </w:t>
      </w:r>
      <w:r w:rsidR="00A86055">
        <w:rPr>
          <w:rFonts w:ascii="Times New Roman" w:hAnsi="Times New Roman"/>
          <w:sz w:val="24"/>
        </w:rPr>
        <w:t xml:space="preserve">Coppa Italia e Supercoppa, in un </w:t>
      </w:r>
      <w:r w:rsidR="00E02B48" w:rsidRPr="00CD5477">
        <w:rPr>
          <w:rFonts w:ascii="Times New Roman" w:hAnsi="Times New Roman"/>
          <w:sz w:val="24"/>
        </w:rPr>
        <w:t>arco temporale dal 2008 al 2015.</w:t>
      </w:r>
    </w:p>
    <w:p w:rsidR="00E02B48" w:rsidRPr="00CD5477" w:rsidRDefault="00C302CC" w:rsidP="0003545E">
      <w:pPr>
        <w:spacing w:line="360" w:lineRule="auto"/>
        <w:ind w:firstLine="709"/>
        <w:jc w:val="both"/>
        <w:rPr>
          <w:rFonts w:ascii="Times New Roman" w:hAnsi="Times New Roman"/>
          <w:sz w:val="24"/>
        </w:rPr>
      </w:pPr>
      <w:r w:rsidRPr="00CD5477">
        <w:rPr>
          <w:rFonts w:ascii="Times New Roman" w:hAnsi="Times New Roman"/>
          <w:sz w:val="24"/>
        </w:rPr>
        <w:t>Di seguito i passi rilevanti delle decisioni.</w:t>
      </w:r>
    </w:p>
    <w:p w:rsidR="00E02B48" w:rsidRPr="00CD5477" w:rsidRDefault="00C302CC" w:rsidP="0003545E">
      <w:pPr>
        <w:spacing w:line="360" w:lineRule="auto"/>
        <w:ind w:firstLine="709"/>
        <w:jc w:val="both"/>
        <w:rPr>
          <w:rFonts w:ascii="Times New Roman" w:hAnsi="Times New Roman"/>
          <w:i/>
          <w:sz w:val="24"/>
        </w:rPr>
      </w:pPr>
      <w:r w:rsidRPr="00CD5477">
        <w:rPr>
          <w:rFonts w:ascii="Times New Roman" w:hAnsi="Times New Roman"/>
          <w:sz w:val="24"/>
        </w:rPr>
        <w:t>“</w:t>
      </w:r>
      <w:r w:rsidR="00E02B48" w:rsidRPr="00CD5477">
        <w:rPr>
          <w:rFonts w:ascii="Times New Roman" w:hAnsi="Times New Roman"/>
          <w:i/>
          <w:sz w:val="24"/>
        </w:rPr>
        <w:t>9.1 – Per tali ragioni, non può essere oltremodo enfatizzato ai fini del presente giudizio – che, giova rimarcarlo, ha ad oggetto un’intesa “per oggetto”, la cui sussistenza non richiede alcuna dimostrazione degli effetti sul mercato (cfr. da ultimo, Consiglio di Stato, Sez. VI, 14 ottobre 2019, n. 6985) - l’esito del procedimento penale, che invece valorizza tale aspetto in senso favorevole a parte appellante.</w:t>
      </w:r>
    </w:p>
    <w:p w:rsidR="00E02B48" w:rsidRPr="00CD5477" w:rsidRDefault="00E02B48" w:rsidP="0003545E">
      <w:pPr>
        <w:spacing w:line="360" w:lineRule="auto"/>
        <w:ind w:firstLine="709"/>
        <w:jc w:val="both"/>
        <w:rPr>
          <w:rFonts w:ascii="Times New Roman" w:hAnsi="Times New Roman"/>
          <w:i/>
          <w:sz w:val="24"/>
        </w:rPr>
      </w:pPr>
      <w:r w:rsidRPr="00CD5477">
        <w:rPr>
          <w:rFonts w:ascii="Times New Roman" w:hAnsi="Times New Roman"/>
          <w:i/>
          <w:sz w:val="24"/>
        </w:rPr>
        <w:t>In ogni caso, i fatti oggetto di indagine da parte della Procura di Milano, seppur in parte coincidenti, valgono ad integrare una fattispecie autonoma e distinta rispetto alla violazione dell’art. 101 TFUE di cui si discute in questa sede e la cui valutazione è rimessa all’AGCM.</w:t>
      </w:r>
    </w:p>
    <w:p w:rsidR="00E02B48" w:rsidRPr="00CD5477" w:rsidRDefault="00E02B48" w:rsidP="0003545E">
      <w:pPr>
        <w:spacing w:line="360" w:lineRule="auto"/>
        <w:ind w:firstLine="709"/>
        <w:jc w:val="both"/>
        <w:rPr>
          <w:rFonts w:ascii="Times New Roman" w:hAnsi="Times New Roman"/>
          <w:i/>
          <w:sz w:val="24"/>
        </w:rPr>
      </w:pPr>
      <w:r w:rsidRPr="00CD5477">
        <w:rPr>
          <w:rFonts w:ascii="Times New Roman" w:hAnsi="Times New Roman"/>
          <w:i/>
          <w:sz w:val="24"/>
        </w:rPr>
        <w:t>Deve inoltre ricordarsi che, come costantemente ribadito dalla giurisprudenza (cfr. Cons. St., VI, 10 gennaio 2020, nn. 258 e 246), esiste nell’ordinamento un principio di reciproca autonomia tra giudizio penale ed amministrativo, posto che i due accertamenti giurisdizionali “operano in ambiti diversi e con finalità differenti”.</w:t>
      </w:r>
    </w:p>
    <w:p w:rsidR="00E02B48" w:rsidRPr="00CD5477" w:rsidRDefault="00E02B48" w:rsidP="0003545E">
      <w:pPr>
        <w:spacing w:line="360" w:lineRule="auto"/>
        <w:ind w:firstLine="709"/>
        <w:jc w:val="both"/>
        <w:rPr>
          <w:rFonts w:ascii="Times New Roman" w:hAnsi="Times New Roman"/>
          <w:sz w:val="24"/>
        </w:rPr>
      </w:pPr>
      <w:r w:rsidRPr="00CD5477">
        <w:rPr>
          <w:rFonts w:ascii="Times New Roman" w:hAnsi="Times New Roman"/>
          <w:i/>
          <w:sz w:val="24"/>
        </w:rPr>
        <w:t xml:space="preserve">Ad ogni buon conto, nella relazione dell’AGCM del 24.5.2021, in ottemperanza all’ordinanza della Sezione n. 3344/2021, quest’ultima ha chiarito che i fatti accertati nel provvedimento non sono del tutto sovrapponibili a quelli posti a base della </w:t>
      </w:r>
      <w:r w:rsidR="00C302CC" w:rsidRPr="00CD5477">
        <w:rPr>
          <w:rFonts w:ascii="Times New Roman" w:hAnsi="Times New Roman"/>
          <w:i/>
          <w:sz w:val="24"/>
        </w:rPr>
        <w:t>valutazione resa in sede penale</w:t>
      </w:r>
      <w:r w:rsidR="00C302CC" w:rsidRPr="00CD5477">
        <w:rPr>
          <w:rFonts w:ascii="Times New Roman" w:hAnsi="Times New Roman"/>
          <w:sz w:val="24"/>
        </w:rPr>
        <w:t>”.</w:t>
      </w:r>
    </w:p>
    <w:p w:rsidR="0067122C" w:rsidRPr="00CD5477" w:rsidRDefault="00C302CC" w:rsidP="0003545E">
      <w:pPr>
        <w:spacing w:line="360" w:lineRule="auto"/>
        <w:ind w:firstLine="709"/>
        <w:jc w:val="both"/>
        <w:rPr>
          <w:rFonts w:ascii="Times New Roman" w:hAnsi="Times New Roman"/>
          <w:sz w:val="24"/>
        </w:rPr>
      </w:pPr>
      <w:r w:rsidRPr="00CD5477">
        <w:rPr>
          <w:rFonts w:ascii="Times New Roman" w:hAnsi="Times New Roman"/>
          <w:sz w:val="24"/>
        </w:rPr>
        <w:t xml:space="preserve">In sostanza, il principio di reciproca autonomia tra giudizio penale e </w:t>
      </w:r>
      <w:r w:rsidR="0067122C" w:rsidRPr="00CD5477">
        <w:rPr>
          <w:rFonts w:ascii="Times New Roman" w:hAnsi="Times New Roman"/>
          <w:sz w:val="24"/>
        </w:rPr>
        <w:t xml:space="preserve">giudizio amministrativo non trova eccezione nell’illecito antitrust. Ma l’illecito antitrust non è così lontano dall’illecito penale - vedi ad esempio la parificazione tra le sanzioni amministrative e le sanzioni penali ai fini dell’applicazione della l. n. 689/1981 - e l’accertamento del giudice amministrativo è </w:t>
      </w:r>
      <w:r w:rsidR="00A86055">
        <w:rPr>
          <w:rFonts w:ascii="Times New Roman" w:hAnsi="Times New Roman"/>
          <w:sz w:val="24"/>
        </w:rPr>
        <w:t>contiguo</w:t>
      </w:r>
      <w:r w:rsidR="0067122C" w:rsidRPr="00CD5477">
        <w:rPr>
          <w:rFonts w:ascii="Times New Roman" w:hAnsi="Times New Roman"/>
          <w:sz w:val="24"/>
        </w:rPr>
        <w:t xml:space="preserve"> a quello del giudice penale. Del che si dirà </w:t>
      </w:r>
      <w:r w:rsidR="00A86055">
        <w:rPr>
          <w:rFonts w:ascii="Times New Roman" w:hAnsi="Times New Roman"/>
          <w:sz w:val="24"/>
        </w:rPr>
        <w:t>in</w:t>
      </w:r>
      <w:r w:rsidR="0067122C" w:rsidRPr="00CD5477">
        <w:rPr>
          <w:rFonts w:ascii="Times New Roman" w:hAnsi="Times New Roman"/>
          <w:sz w:val="24"/>
        </w:rPr>
        <w:t xml:space="preserve"> prosieguo.</w:t>
      </w:r>
    </w:p>
    <w:p w:rsidR="0067122C" w:rsidRPr="00CD5477" w:rsidRDefault="0067122C" w:rsidP="0003545E">
      <w:pPr>
        <w:spacing w:line="360" w:lineRule="auto"/>
        <w:ind w:firstLine="709"/>
        <w:jc w:val="both"/>
        <w:rPr>
          <w:rFonts w:ascii="Times New Roman" w:hAnsi="Times New Roman"/>
          <w:sz w:val="24"/>
        </w:rPr>
      </w:pPr>
    </w:p>
    <w:p w:rsidR="0067122C" w:rsidRPr="00CD5477" w:rsidRDefault="0067122C" w:rsidP="0003545E">
      <w:pPr>
        <w:spacing w:line="360" w:lineRule="auto"/>
        <w:ind w:firstLine="709"/>
        <w:jc w:val="both"/>
        <w:rPr>
          <w:rFonts w:ascii="Times New Roman" w:hAnsi="Times New Roman"/>
          <w:b/>
          <w:sz w:val="24"/>
        </w:rPr>
      </w:pPr>
      <w:r w:rsidRPr="00CD5477">
        <w:rPr>
          <w:rFonts w:ascii="Times New Roman" w:hAnsi="Times New Roman"/>
          <w:b/>
          <w:sz w:val="24"/>
        </w:rPr>
        <w:t>4. Altre recenti rilevanti decisioni del Consiglio di Stato in tema di AGCM e di diritto della concorrenza.</w:t>
      </w:r>
    </w:p>
    <w:p w:rsidR="003B76C9" w:rsidRPr="00CD5477" w:rsidRDefault="003B76C9" w:rsidP="0003545E">
      <w:pPr>
        <w:spacing w:line="360" w:lineRule="auto"/>
        <w:ind w:firstLine="709"/>
        <w:jc w:val="both"/>
        <w:rPr>
          <w:rFonts w:ascii="Times New Roman" w:hAnsi="Times New Roman"/>
          <w:sz w:val="24"/>
        </w:rPr>
      </w:pPr>
      <w:r w:rsidRPr="00CD5477">
        <w:rPr>
          <w:rFonts w:ascii="Times New Roman" w:hAnsi="Times New Roman"/>
          <w:sz w:val="24"/>
        </w:rPr>
        <w:t>A questo punto non posso non ricordare altre recenti rilevanti decisioni del Consiglio di Stato in tema di AGCM e di diritto della concorrenza.</w:t>
      </w:r>
    </w:p>
    <w:p w:rsidR="002B49A8" w:rsidRPr="00CD5477" w:rsidRDefault="003B76C9" w:rsidP="0003545E">
      <w:pPr>
        <w:spacing w:line="360" w:lineRule="auto"/>
        <w:ind w:firstLine="709"/>
        <w:jc w:val="both"/>
        <w:rPr>
          <w:rFonts w:ascii="Times New Roman" w:hAnsi="Times New Roman"/>
          <w:sz w:val="24"/>
        </w:rPr>
      </w:pPr>
      <w:r w:rsidRPr="00CD5477">
        <w:rPr>
          <w:rFonts w:ascii="Times New Roman" w:hAnsi="Times New Roman"/>
          <w:sz w:val="24"/>
        </w:rPr>
        <w:t xml:space="preserve">Espressioni del principio della piena cognizione del fatto nell’ambito dell’istruttoria nel processo amministrativo sono le ordinanze del Consiglio di Stato, sez. VI, </w:t>
      </w:r>
      <w:r w:rsidR="002B49A8" w:rsidRPr="00CD5477">
        <w:rPr>
          <w:rFonts w:ascii="Times New Roman" w:hAnsi="Times New Roman"/>
          <w:sz w:val="24"/>
        </w:rPr>
        <w:t>9 aprile 2021, n. 2880 e 27 settembre 2021, n. 6499, in tema di acquisizione agli atti del processo delle dichiarazioni integrali del collaboratore (</w:t>
      </w:r>
      <w:r w:rsidR="002B49A8" w:rsidRPr="00CD5477">
        <w:rPr>
          <w:rFonts w:ascii="Times New Roman" w:hAnsi="Times New Roman"/>
          <w:i/>
          <w:sz w:val="24"/>
        </w:rPr>
        <w:t>leniency applicant</w:t>
      </w:r>
      <w:r w:rsidR="002B49A8" w:rsidRPr="00CD5477">
        <w:rPr>
          <w:rFonts w:ascii="Times New Roman" w:hAnsi="Times New Roman"/>
          <w:sz w:val="24"/>
        </w:rPr>
        <w:t>).</w:t>
      </w:r>
    </w:p>
    <w:p w:rsidR="002B49A8" w:rsidRPr="00CD5477" w:rsidRDefault="002B49A8" w:rsidP="0003545E">
      <w:pPr>
        <w:spacing w:line="360" w:lineRule="auto"/>
        <w:ind w:firstLine="709"/>
        <w:jc w:val="both"/>
        <w:rPr>
          <w:rFonts w:ascii="Times New Roman" w:hAnsi="Times New Roman"/>
          <w:sz w:val="24"/>
        </w:rPr>
      </w:pPr>
      <w:r w:rsidRPr="00CD5477">
        <w:rPr>
          <w:rFonts w:ascii="Times New Roman" w:hAnsi="Times New Roman"/>
          <w:sz w:val="24"/>
        </w:rPr>
        <w:t xml:space="preserve">In tema di </w:t>
      </w:r>
      <w:r w:rsidR="003B76C9" w:rsidRPr="00CD5477">
        <w:rPr>
          <w:rFonts w:ascii="Times New Roman" w:hAnsi="Times New Roman"/>
          <w:sz w:val="24"/>
        </w:rPr>
        <w:t>diritto di difesa delle parti</w:t>
      </w:r>
      <w:r w:rsidRPr="00CD5477">
        <w:rPr>
          <w:rFonts w:ascii="Times New Roman" w:hAnsi="Times New Roman"/>
          <w:sz w:val="24"/>
        </w:rPr>
        <w:t xml:space="preserve"> del procedimento di accertamento dell’illecito a</w:t>
      </w:r>
      <w:r w:rsidR="003B76C9" w:rsidRPr="00CD5477">
        <w:rPr>
          <w:rFonts w:ascii="Times New Roman" w:hAnsi="Times New Roman"/>
          <w:sz w:val="24"/>
        </w:rPr>
        <w:t>ntitrust (cfr. l’art. 31 della d</w:t>
      </w:r>
      <w:r w:rsidRPr="00CD5477">
        <w:rPr>
          <w:rFonts w:ascii="Times New Roman" w:hAnsi="Times New Roman"/>
          <w:sz w:val="24"/>
        </w:rPr>
        <w:t>irettiva 2019/1</w:t>
      </w:r>
      <w:r w:rsidR="00A86055">
        <w:rPr>
          <w:rFonts w:ascii="Times New Roman" w:hAnsi="Times New Roman"/>
          <w:sz w:val="24"/>
        </w:rPr>
        <w:t>7UE</w:t>
      </w:r>
      <w:r w:rsidRPr="00CD5477">
        <w:rPr>
          <w:rFonts w:ascii="Times New Roman" w:hAnsi="Times New Roman"/>
          <w:sz w:val="24"/>
        </w:rPr>
        <w:t xml:space="preserve"> del Parlamento Europeo e del Consig</w:t>
      </w:r>
      <w:r w:rsidR="00C130D9">
        <w:rPr>
          <w:rFonts w:ascii="Times New Roman" w:hAnsi="Times New Roman"/>
          <w:sz w:val="24"/>
        </w:rPr>
        <w:t xml:space="preserve">lio dell’11 dicembre 2018), </w:t>
      </w:r>
      <w:r w:rsidR="003B76C9" w:rsidRPr="00CD5477">
        <w:rPr>
          <w:rFonts w:ascii="Times New Roman" w:hAnsi="Times New Roman"/>
          <w:sz w:val="24"/>
        </w:rPr>
        <w:t>l’esigenza di “</w:t>
      </w:r>
      <w:r w:rsidRPr="00CD5477">
        <w:rPr>
          <w:rFonts w:ascii="Times New Roman" w:hAnsi="Times New Roman"/>
          <w:i/>
          <w:sz w:val="24"/>
        </w:rPr>
        <w:t>full jurisdiction</w:t>
      </w:r>
      <w:r w:rsidR="003B76C9" w:rsidRPr="00CD5477">
        <w:rPr>
          <w:rFonts w:ascii="Times New Roman" w:hAnsi="Times New Roman"/>
          <w:sz w:val="24"/>
        </w:rPr>
        <w:t>”</w:t>
      </w:r>
      <w:r w:rsidR="00C130D9">
        <w:rPr>
          <w:rFonts w:ascii="Times New Roman" w:hAnsi="Times New Roman"/>
          <w:sz w:val="24"/>
        </w:rPr>
        <w:t>,</w:t>
      </w:r>
      <w:r w:rsidRPr="00CD5477">
        <w:rPr>
          <w:rFonts w:ascii="Times New Roman" w:hAnsi="Times New Roman"/>
          <w:sz w:val="24"/>
        </w:rPr>
        <w:t xml:space="preserve"> in materia di sanzioni amministrative antitrust, comporta che “</w:t>
      </w:r>
      <w:r w:rsidRPr="00CD5477">
        <w:rPr>
          <w:rFonts w:ascii="Times New Roman" w:hAnsi="Times New Roman"/>
          <w:i/>
          <w:sz w:val="24"/>
        </w:rPr>
        <w:t>deve consentirsi al giudice un pieno riesame, in ogni punto di fatto e di diritto, della misura afflittiva, senza che possa rimettersi a chi accusa la decisione di ciò che è rilevante per la difesa</w:t>
      </w:r>
      <w:r w:rsidRPr="00CD5477">
        <w:rPr>
          <w:rFonts w:ascii="Times New Roman" w:hAnsi="Times New Roman"/>
          <w:sz w:val="24"/>
        </w:rPr>
        <w:t>”.</w:t>
      </w:r>
    </w:p>
    <w:p w:rsidR="002B49A8" w:rsidRPr="00CD5477" w:rsidRDefault="002B49A8" w:rsidP="0003545E">
      <w:pPr>
        <w:spacing w:line="360" w:lineRule="auto"/>
        <w:ind w:firstLine="709"/>
        <w:jc w:val="both"/>
        <w:rPr>
          <w:rFonts w:ascii="Times New Roman" w:hAnsi="Times New Roman"/>
          <w:sz w:val="24"/>
        </w:rPr>
      </w:pPr>
      <w:r w:rsidRPr="00CD5477">
        <w:rPr>
          <w:rFonts w:ascii="Times New Roman" w:hAnsi="Times New Roman"/>
          <w:sz w:val="24"/>
        </w:rPr>
        <w:t>Nella specie si è affermata la</w:t>
      </w:r>
      <w:r w:rsidRPr="00CD5477">
        <w:rPr>
          <w:rFonts w:ascii="Times New Roman" w:hAnsi="Times New Roman"/>
          <w:i/>
          <w:sz w:val="24"/>
        </w:rPr>
        <w:t xml:space="preserve"> </w:t>
      </w:r>
      <w:r w:rsidRPr="00CD5477">
        <w:rPr>
          <w:rFonts w:ascii="Times New Roman" w:hAnsi="Times New Roman"/>
          <w:sz w:val="24"/>
        </w:rPr>
        <w:t>“</w:t>
      </w:r>
      <w:r w:rsidRPr="00CD5477">
        <w:rPr>
          <w:rFonts w:ascii="Times New Roman" w:hAnsi="Times New Roman"/>
          <w:i/>
          <w:sz w:val="24"/>
        </w:rPr>
        <w:t>necessità, ai fini del decidere, di acquisire dall’Autorità – perché siano sottoposte alla cognizione del Collegio ed al contraddittorio delle parti – le dichiarazioni integrali del collaborante (leniency applicant), non potendosi ammettere una sottrazione, neppure parziale, del predetto materiale istruttorio al giudice ed alle parti del giudizio; resta fermo che le parti potranno utilizzare le informazioni desunte dalle dichiarazioni legate al programma di trattamento favorevole solo in quanto necessario per l’esercizio dei diritti di difesa nel presente procedimento e con l’obbligo di non divulgarle a terzi estranei</w:t>
      </w:r>
      <w:r w:rsidRPr="00CD5477">
        <w:rPr>
          <w:rFonts w:ascii="Times New Roman" w:hAnsi="Times New Roman"/>
          <w:sz w:val="24"/>
        </w:rPr>
        <w:t>”.</w:t>
      </w:r>
    </w:p>
    <w:p w:rsidR="00885FB4" w:rsidRPr="00CD5477" w:rsidRDefault="003B76C9" w:rsidP="0003545E">
      <w:pPr>
        <w:spacing w:line="360" w:lineRule="auto"/>
        <w:ind w:firstLine="709"/>
        <w:jc w:val="both"/>
        <w:rPr>
          <w:rFonts w:ascii="Times New Roman" w:hAnsi="Times New Roman"/>
          <w:sz w:val="24"/>
        </w:rPr>
      </w:pPr>
      <w:r w:rsidRPr="00CD5477">
        <w:rPr>
          <w:rFonts w:ascii="Times New Roman" w:hAnsi="Times New Roman"/>
          <w:sz w:val="24"/>
        </w:rPr>
        <w:t xml:space="preserve">In tema di misure cautelari disposte dall’AGCM </w:t>
      </w:r>
      <w:r w:rsidR="00885FB4" w:rsidRPr="00CD5477">
        <w:rPr>
          <w:rFonts w:ascii="Times New Roman" w:hAnsi="Times New Roman"/>
          <w:sz w:val="24"/>
        </w:rPr>
        <w:t xml:space="preserve">in via interinale </w:t>
      </w:r>
      <w:r w:rsidRPr="00CD5477">
        <w:rPr>
          <w:rFonts w:ascii="Times New Roman" w:hAnsi="Times New Roman"/>
          <w:sz w:val="24"/>
        </w:rPr>
        <w:t>ai sensi dell’art. 14-bis della l. n. 28</w:t>
      </w:r>
      <w:r w:rsidR="00885FB4" w:rsidRPr="00CD5477">
        <w:rPr>
          <w:rFonts w:ascii="Times New Roman" w:hAnsi="Times New Roman"/>
          <w:sz w:val="24"/>
        </w:rPr>
        <w:t>7</w:t>
      </w:r>
      <w:r w:rsidRPr="00CD5477">
        <w:rPr>
          <w:rFonts w:ascii="Times New Roman" w:hAnsi="Times New Roman"/>
          <w:sz w:val="24"/>
        </w:rPr>
        <w:t>/1990</w:t>
      </w:r>
      <w:r w:rsidR="00885FB4" w:rsidRPr="00CD5477">
        <w:rPr>
          <w:rFonts w:ascii="Times New Roman" w:hAnsi="Times New Roman"/>
          <w:sz w:val="24"/>
        </w:rPr>
        <w:t>, si è affermato che il contenuto delle stesse, in applicazione del principio di strumentalità della tutela cautelare (anche sostanziale), non può eccedere quanto l'Autorità procedente potrebbe adottare con il provvedimento conclusivo del procedimento, avuto riguardo allo stato del mercato riscontrabile al momento della decisione (Cons. Stato, sez. VI, 16 dicembre 2021, n. 8402).</w:t>
      </w:r>
    </w:p>
    <w:p w:rsidR="00585D44" w:rsidRPr="00CD5477" w:rsidRDefault="00A86055" w:rsidP="0003545E">
      <w:pPr>
        <w:spacing w:line="360" w:lineRule="auto"/>
        <w:ind w:firstLine="709"/>
        <w:jc w:val="both"/>
        <w:rPr>
          <w:rFonts w:ascii="Times New Roman" w:hAnsi="Times New Roman"/>
          <w:sz w:val="24"/>
        </w:rPr>
      </w:pPr>
      <w:r>
        <w:rPr>
          <w:rFonts w:ascii="Times New Roman" w:hAnsi="Times New Roman"/>
          <w:sz w:val="24"/>
        </w:rPr>
        <w:t>Nel solco de</w:t>
      </w:r>
      <w:r w:rsidR="00885FB4" w:rsidRPr="00CD5477">
        <w:rPr>
          <w:rFonts w:ascii="Times New Roman" w:hAnsi="Times New Roman"/>
          <w:sz w:val="24"/>
        </w:rPr>
        <w:t xml:space="preserve">l diritto antitrust, che stravolge i connotati degli istituti di diritto interno nella precipua esigenza dell’applicazione della normativa europea di cui agli artt. 101 e 102 del TFUE, va ricordata la decisione del Consiglio di Stato, sez. VI, 29 gennaio 2021, n. 874 </w:t>
      </w:r>
      <w:r>
        <w:rPr>
          <w:rFonts w:ascii="Times New Roman" w:hAnsi="Times New Roman"/>
          <w:sz w:val="24"/>
        </w:rPr>
        <w:t>sul</w:t>
      </w:r>
      <w:r w:rsidR="00885FB4" w:rsidRPr="00CD5477">
        <w:rPr>
          <w:rFonts w:ascii="Times New Roman" w:hAnsi="Times New Roman"/>
          <w:sz w:val="24"/>
        </w:rPr>
        <w:t xml:space="preserve"> concetto di impresa. Nella quale è stato compreso </w:t>
      </w:r>
      <w:r w:rsidR="00585D44" w:rsidRPr="00CD5477">
        <w:rPr>
          <w:rFonts w:ascii="Times New Roman" w:hAnsi="Times New Roman"/>
          <w:sz w:val="24"/>
        </w:rPr>
        <w:t xml:space="preserve">l’esercizio di professioni intellettuali, anche di rilevo pubblicistico, </w:t>
      </w:r>
      <w:r w:rsidR="002B3C20" w:rsidRPr="00CD5477">
        <w:rPr>
          <w:rFonts w:ascii="Times New Roman" w:hAnsi="Times New Roman"/>
          <w:sz w:val="24"/>
        </w:rPr>
        <w:t>qualificando</w:t>
      </w:r>
      <w:r w:rsidR="00585D44" w:rsidRPr="00CD5477">
        <w:rPr>
          <w:rFonts w:ascii="Times New Roman" w:hAnsi="Times New Roman"/>
          <w:sz w:val="24"/>
        </w:rPr>
        <w:t xml:space="preserve"> l’ordine professionale alla stregua di un’assoc</w:t>
      </w:r>
      <w:r w:rsidR="0069619C" w:rsidRPr="00CD5477">
        <w:rPr>
          <w:rFonts w:ascii="Times New Roman" w:hAnsi="Times New Roman"/>
          <w:sz w:val="24"/>
        </w:rPr>
        <w:t>iazione di imprese</w:t>
      </w:r>
      <w:r w:rsidR="00585D44" w:rsidRPr="00CD5477">
        <w:rPr>
          <w:rFonts w:ascii="Times New Roman" w:hAnsi="Times New Roman"/>
          <w:sz w:val="24"/>
        </w:rPr>
        <w:t>. Con la conseguenza che l’attività del notaio, anche se di rilievo pubblicistico, è soggetta alle norme sulla concorrenza (</w:t>
      </w:r>
      <w:r w:rsidR="002B3C20" w:rsidRPr="00CD5477">
        <w:rPr>
          <w:rFonts w:ascii="Times New Roman" w:hAnsi="Times New Roman"/>
          <w:sz w:val="24"/>
        </w:rPr>
        <w:t xml:space="preserve">in tema di </w:t>
      </w:r>
      <w:r w:rsidR="005B4BDC" w:rsidRPr="00CD5477">
        <w:rPr>
          <w:rFonts w:ascii="Times New Roman" w:hAnsi="Times New Roman"/>
          <w:sz w:val="24"/>
        </w:rPr>
        <w:t>illecito</w:t>
      </w:r>
      <w:r w:rsidR="00585D44" w:rsidRPr="00CD5477">
        <w:rPr>
          <w:rFonts w:ascii="Times New Roman" w:hAnsi="Times New Roman"/>
          <w:sz w:val="24"/>
        </w:rPr>
        <w:t xml:space="preserve"> antitrust addebitato al Consiglio Notarile dei Distretti Riunti di Roma nell’ambito del fenomeno della dismissione degli edifici pubblici).</w:t>
      </w:r>
    </w:p>
    <w:p w:rsidR="00246FB3" w:rsidRPr="00CD5477" w:rsidRDefault="00246FB3" w:rsidP="0003545E">
      <w:pPr>
        <w:spacing w:line="360" w:lineRule="auto"/>
        <w:ind w:firstLine="709"/>
        <w:jc w:val="both"/>
        <w:rPr>
          <w:rFonts w:ascii="Times New Roman" w:hAnsi="Times New Roman"/>
          <w:sz w:val="24"/>
        </w:rPr>
      </w:pPr>
      <w:r w:rsidRPr="00CD5477">
        <w:rPr>
          <w:rFonts w:ascii="Times New Roman" w:hAnsi="Times New Roman"/>
          <w:sz w:val="24"/>
        </w:rPr>
        <w:t>Vanno menzionate, infine, le due decisioni dell’Adunanza Plenaria del Consiglio di Stato 9 novembre 2021, nn. 17 e 18, in tema di concessioni demaniali marittime con finalità turistico-ricreative.</w:t>
      </w:r>
    </w:p>
    <w:p w:rsidR="00246FB3" w:rsidRPr="00CD5477" w:rsidRDefault="00246FB3" w:rsidP="0003545E">
      <w:pPr>
        <w:spacing w:line="360" w:lineRule="auto"/>
        <w:ind w:firstLine="709"/>
        <w:jc w:val="both"/>
        <w:rPr>
          <w:rFonts w:ascii="Times New Roman" w:hAnsi="Times New Roman"/>
          <w:sz w:val="24"/>
        </w:rPr>
      </w:pPr>
      <w:r w:rsidRPr="00CD5477">
        <w:rPr>
          <w:rFonts w:ascii="Times New Roman" w:hAnsi="Times New Roman"/>
          <w:sz w:val="24"/>
        </w:rPr>
        <w:t xml:space="preserve">Qui il “cerino acceso” </w:t>
      </w:r>
      <w:r w:rsidR="00C130D9">
        <w:rPr>
          <w:rFonts w:ascii="Times New Roman" w:hAnsi="Times New Roman"/>
          <w:sz w:val="24"/>
        </w:rPr>
        <w:t>è</w:t>
      </w:r>
      <w:r w:rsidRPr="00CD5477">
        <w:rPr>
          <w:rFonts w:ascii="Times New Roman" w:hAnsi="Times New Roman"/>
          <w:sz w:val="24"/>
        </w:rPr>
        <w:t xml:space="preserve"> stato passato dalla politica, incapace a risolvere problemi conseguenti al contemperamento degli interessi degli operatori del settore con quelli inerenti la tutela della concorrenza</w:t>
      </w:r>
      <w:r w:rsidR="00F221C9">
        <w:rPr>
          <w:rFonts w:ascii="Times New Roman" w:hAnsi="Times New Roman"/>
          <w:sz w:val="24"/>
        </w:rPr>
        <w:t xml:space="preserve"> nel rispetto del diritto europeo</w:t>
      </w:r>
      <w:r w:rsidRPr="00CD5477">
        <w:rPr>
          <w:rFonts w:ascii="Times New Roman" w:hAnsi="Times New Roman"/>
          <w:sz w:val="24"/>
        </w:rPr>
        <w:t>, al giudice amministrativo. E il Consiglio di Stato non poteva che addivenire a una soluzione conforme alla normativa europea, al principio di concorrenza e a quelli che ne sono i suoi corollari.</w:t>
      </w:r>
    </w:p>
    <w:p w:rsidR="00246FB3" w:rsidRPr="00CD5477" w:rsidRDefault="00246FB3" w:rsidP="0003545E">
      <w:pPr>
        <w:spacing w:line="360" w:lineRule="auto"/>
        <w:ind w:firstLine="709"/>
        <w:jc w:val="both"/>
        <w:rPr>
          <w:rFonts w:ascii="Times New Roman" w:hAnsi="Times New Roman"/>
          <w:sz w:val="24"/>
        </w:rPr>
      </w:pPr>
      <w:r w:rsidRPr="00CD5477">
        <w:rPr>
          <w:rFonts w:ascii="Times New Roman" w:hAnsi="Times New Roman"/>
          <w:sz w:val="24"/>
        </w:rPr>
        <w:t>Si è così affermato che:</w:t>
      </w:r>
    </w:p>
    <w:p w:rsidR="00AD0CCF" w:rsidRPr="00CD5477" w:rsidRDefault="00246FB3" w:rsidP="0003545E">
      <w:pPr>
        <w:spacing w:line="360" w:lineRule="auto"/>
        <w:ind w:firstLine="709"/>
        <w:jc w:val="both"/>
        <w:rPr>
          <w:rFonts w:ascii="Times New Roman" w:hAnsi="Times New Roman"/>
          <w:sz w:val="24"/>
        </w:rPr>
      </w:pPr>
      <w:r w:rsidRPr="00CD5477">
        <w:rPr>
          <w:rFonts w:ascii="Times New Roman" w:hAnsi="Times New Roman"/>
          <w:sz w:val="24"/>
        </w:rPr>
        <w:t>a) “</w:t>
      </w:r>
      <w:r w:rsidR="00AD0CCF" w:rsidRPr="00CD5477">
        <w:rPr>
          <w:rFonts w:ascii="Times New Roman" w:hAnsi="Times New Roman"/>
          <w:i/>
          <w:sz w:val="24"/>
        </w:rPr>
        <w:t>Le norme legislative nazionali che hanno disposto (e che in futuro dovessero ancora disporre) la proroga automatica delle concessioni demaniali marittime per finalità turistico-ricreative — compresa la moratoria introdotta in correlazione con l'emergenza epidemiologica da Covid-19 dall'art. 182, comma 2, d.-l. n. 34/2020, convertito in l. n. 77/2020 — sono in contrasto con il diritto eurounitario, segnatamente con l'art. 49 t.f.u.e. e con l'art. 12 della direttiva 2006/123/CE. Tali norme, pertanto, non devono essere applicate né dai giudici né</w:t>
      </w:r>
      <w:r w:rsidRPr="00CD5477">
        <w:rPr>
          <w:rFonts w:ascii="Times New Roman" w:hAnsi="Times New Roman"/>
          <w:i/>
          <w:sz w:val="24"/>
        </w:rPr>
        <w:t xml:space="preserve"> dalla pubblica Amministrazione</w:t>
      </w:r>
      <w:r w:rsidRPr="00CD5477">
        <w:rPr>
          <w:rFonts w:ascii="Times New Roman" w:hAnsi="Times New Roman"/>
          <w:sz w:val="24"/>
        </w:rPr>
        <w:t>”;</w:t>
      </w:r>
    </w:p>
    <w:p w:rsidR="00AD0CCF" w:rsidRPr="00CD5477" w:rsidRDefault="00246FB3" w:rsidP="0003545E">
      <w:pPr>
        <w:spacing w:line="360" w:lineRule="auto"/>
        <w:ind w:firstLine="709"/>
        <w:jc w:val="both"/>
        <w:rPr>
          <w:rFonts w:ascii="Times New Roman" w:hAnsi="Times New Roman"/>
          <w:sz w:val="24"/>
        </w:rPr>
      </w:pPr>
      <w:r w:rsidRPr="00CD5477">
        <w:rPr>
          <w:rFonts w:ascii="Times New Roman" w:hAnsi="Times New Roman"/>
          <w:sz w:val="24"/>
        </w:rPr>
        <w:t>b) “</w:t>
      </w:r>
      <w:r w:rsidR="00AD0CCF" w:rsidRPr="00CD5477">
        <w:rPr>
          <w:rFonts w:ascii="Times New Roman" w:hAnsi="Times New Roman"/>
          <w:i/>
          <w:sz w:val="24"/>
        </w:rPr>
        <w:t>Al fine di evitare il significativo impatto socio-economico che deriverebbe da una decadenza immediata e generalizzata di tutte le concessioni in essere, di tener conto dei tempi tecnici perché le Amministrazioni predispongano le procedure di gara richieste e, altresì, nell'auspicio che il legislatore intervenga a riordinare la materia in conformità ai principi di derivazione europea, le concessioni demaniali per finalità turistico-ricreative già in essere continuano ad essere efficaci sino al 31 dicembre 2023, fermo restando che, oltre tale data, anche in assenza di una disciplina legislativa, esse cesseranno di produrre effetti, nonostante qualsiasi eventuale ulteriore proroga legislativa che dovesse nel frattempo intervenire, la quale andrebbe considerata senza effetto perché in contrasto con le n</w:t>
      </w:r>
      <w:r w:rsidRPr="00CD5477">
        <w:rPr>
          <w:rFonts w:ascii="Times New Roman" w:hAnsi="Times New Roman"/>
          <w:i/>
          <w:sz w:val="24"/>
        </w:rPr>
        <w:t>orme dell'ordinamento dell'U.E.</w:t>
      </w:r>
      <w:r w:rsidRPr="00CD5477">
        <w:rPr>
          <w:rFonts w:ascii="Times New Roman" w:hAnsi="Times New Roman"/>
          <w:sz w:val="24"/>
        </w:rPr>
        <w:t>”.</w:t>
      </w:r>
    </w:p>
    <w:p w:rsidR="00C130D9" w:rsidRDefault="00246FB3" w:rsidP="0003545E">
      <w:pPr>
        <w:spacing w:line="360" w:lineRule="auto"/>
        <w:ind w:firstLine="709"/>
        <w:jc w:val="both"/>
        <w:rPr>
          <w:rFonts w:ascii="Times New Roman" w:hAnsi="Times New Roman"/>
          <w:sz w:val="24"/>
        </w:rPr>
      </w:pPr>
      <w:r w:rsidRPr="00CD5477">
        <w:rPr>
          <w:rFonts w:ascii="Times New Roman" w:hAnsi="Times New Roman"/>
          <w:sz w:val="24"/>
        </w:rPr>
        <w:t xml:space="preserve">I nodi della concorrenza non </w:t>
      </w:r>
      <w:r w:rsidR="00F221C9">
        <w:rPr>
          <w:rFonts w:ascii="Times New Roman" w:hAnsi="Times New Roman"/>
          <w:sz w:val="24"/>
        </w:rPr>
        <w:t>esistono</w:t>
      </w:r>
      <w:r w:rsidRPr="00CD5477">
        <w:rPr>
          <w:rFonts w:ascii="Times New Roman" w:hAnsi="Times New Roman"/>
          <w:sz w:val="24"/>
        </w:rPr>
        <w:t xml:space="preserve"> solo nel settore di cui si è detto.</w:t>
      </w:r>
      <w:r w:rsidR="00C130D9" w:rsidRPr="00C130D9">
        <w:t xml:space="preserve"> </w:t>
      </w:r>
      <w:r w:rsidR="00C130D9">
        <w:rPr>
          <w:rFonts w:ascii="Times New Roman" w:hAnsi="Times New Roman"/>
          <w:sz w:val="24"/>
        </w:rPr>
        <w:t>S</w:t>
      </w:r>
      <w:r w:rsidR="00C130D9" w:rsidRPr="00C130D9">
        <w:rPr>
          <w:rFonts w:ascii="Times New Roman" w:hAnsi="Times New Roman"/>
          <w:sz w:val="24"/>
        </w:rPr>
        <w:t>i pensi ai settori delle farmacie e parafarmacie, dei servizi pubblici locali, dei trasporti (ad esempio il servizio taxi), dell’elettricità e del gas.</w:t>
      </w:r>
      <w:r w:rsidR="00C130D9">
        <w:rPr>
          <w:rFonts w:ascii="Times New Roman" w:hAnsi="Times New Roman"/>
          <w:sz w:val="24"/>
        </w:rPr>
        <w:t xml:space="preserve"> E si riscontrano </w:t>
      </w:r>
      <w:r w:rsidR="0054126D" w:rsidRPr="00CD5477">
        <w:rPr>
          <w:rFonts w:ascii="Times New Roman" w:hAnsi="Times New Roman"/>
          <w:sz w:val="24"/>
        </w:rPr>
        <w:t>nella giurisprudenza del Consiglio di Stato, nell</w:t>
      </w:r>
      <w:r w:rsidR="00C130D9">
        <w:rPr>
          <w:rFonts w:ascii="Times New Roman" w:hAnsi="Times New Roman"/>
          <w:sz w:val="24"/>
        </w:rPr>
        <w:t>a quale trovano adeguata tutela.</w:t>
      </w:r>
    </w:p>
    <w:p w:rsidR="0054126D" w:rsidRPr="00CD5477" w:rsidRDefault="0054126D" w:rsidP="0003545E">
      <w:pPr>
        <w:spacing w:line="360" w:lineRule="auto"/>
        <w:ind w:firstLine="709"/>
        <w:jc w:val="both"/>
        <w:rPr>
          <w:rFonts w:ascii="Times New Roman" w:hAnsi="Times New Roman"/>
          <w:sz w:val="24"/>
        </w:rPr>
      </w:pPr>
      <w:r w:rsidRPr="00CD5477">
        <w:rPr>
          <w:rFonts w:ascii="Times New Roman" w:hAnsi="Times New Roman"/>
          <w:sz w:val="24"/>
        </w:rPr>
        <w:t xml:space="preserve"> M</w:t>
      </w:r>
      <w:r w:rsidR="00C1063D" w:rsidRPr="00CD5477">
        <w:rPr>
          <w:rFonts w:ascii="Times New Roman" w:hAnsi="Times New Roman"/>
          <w:sz w:val="24"/>
        </w:rPr>
        <w:t xml:space="preserve">a </w:t>
      </w:r>
      <w:r w:rsidRPr="00CD5477">
        <w:rPr>
          <w:rFonts w:ascii="Times New Roman" w:hAnsi="Times New Roman"/>
          <w:sz w:val="24"/>
        </w:rPr>
        <w:t xml:space="preserve">la </w:t>
      </w:r>
      <w:r w:rsidR="00C1063D" w:rsidRPr="00CD5477">
        <w:rPr>
          <w:rFonts w:ascii="Times New Roman" w:hAnsi="Times New Roman"/>
          <w:sz w:val="24"/>
        </w:rPr>
        <w:t>concorrenza è un’opportunità o un pericolo?</w:t>
      </w:r>
    </w:p>
    <w:p w:rsidR="00C1063D" w:rsidRPr="00CD5477" w:rsidRDefault="0054126D" w:rsidP="0003545E">
      <w:pPr>
        <w:spacing w:line="360" w:lineRule="auto"/>
        <w:ind w:firstLine="709"/>
        <w:jc w:val="both"/>
        <w:rPr>
          <w:rFonts w:ascii="Times New Roman" w:hAnsi="Times New Roman"/>
          <w:sz w:val="24"/>
        </w:rPr>
      </w:pPr>
      <w:r w:rsidRPr="00CD5477">
        <w:rPr>
          <w:rFonts w:ascii="Times New Roman" w:hAnsi="Times New Roman"/>
          <w:sz w:val="24"/>
        </w:rPr>
        <w:t xml:space="preserve">La risposta è evidente. Tuttavia spesso nella pratica i </w:t>
      </w:r>
      <w:r w:rsidR="00CA63F8" w:rsidRPr="00CD5477">
        <w:rPr>
          <w:rFonts w:ascii="Times New Roman" w:hAnsi="Times New Roman"/>
          <w:sz w:val="24"/>
        </w:rPr>
        <w:t>vantaggi per i consumatori vanno in sottordine.</w:t>
      </w:r>
    </w:p>
    <w:p w:rsidR="00B249BA" w:rsidRPr="00CD5477" w:rsidRDefault="0054126D" w:rsidP="0054126D">
      <w:pPr>
        <w:spacing w:line="360" w:lineRule="auto"/>
        <w:ind w:firstLine="709"/>
        <w:jc w:val="both"/>
        <w:rPr>
          <w:rFonts w:ascii="Times New Roman" w:hAnsi="Times New Roman"/>
          <w:sz w:val="24"/>
        </w:rPr>
      </w:pPr>
      <w:r w:rsidRPr="00CD5477">
        <w:rPr>
          <w:rFonts w:ascii="Times New Roman" w:hAnsi="Times New Roman"/>
          <w:sz w:val="24"/>
        </w:rPr>
        <w:t xml:space="preserve">È anche vero però che se si cambia la visuale i punti di vista divergono. E se ci si mette nei panni di coloro i quali, titolari di concessioni, hanno effettuato ingenti investimenti facendo affidamento sulle diverse normative di proroga </w:t>
      </w:r>
      <w:r w:rsidR="00C130D9">
        <w:rPr>
          <w:rFonts w:ascii="Times New Roman" w:hAnsi="Times New Roman"/>
          <w:sz w:val="24"/>
        </w:rPr>
        <w:t>del loro titolo</w:t>
      </w:r>
      <w:r w:rsidR="00EF40CB">
        <w:rPr>
          <w:rFonts w:ascii="Times New Roman" w:hAnsi="Times New Roman"/>
          <w:sz w:val="24"/>
        </w:rPr>
        <w:t xml:space="preserve"> </w:t>
      </w:r>
      <w:r w:rsidRPr="00CD5477">
        <w:rPr>
          <w:rFonts w:ascii="Times New Roman" w:hAnsi="Times New Roman"/>
          <w:sz w:val="24"/>
        </w:rPr>
        <w:t xml:space="preserve">succedutesi nel tempo, si comprende come anche costoro, </w:t>
      </w:r>
      <w:r w:rsidR="00F221C9">
        <w:rPr>
          <w:rFonts w:ascii="Times New Roman" w:hAnsi="Times New Roman"/>
          <w:sz w:val="24"/>
        </w:rPr>
        <w:t>che hanno interesse contrario alle</w:t>
      </w:r>
      <w:r w:rsidR="00C130D9">
        <w:rPr>
          <w:rFonts w:ascii="Times New Roman" w:hAnsi="Times New Roman"/>
          <w:sz w:val="24"/>
        </w:rPr>
        <w:t xml:space="preserve"> aperture del</w:t>
      </w:r>
      <w:r w:rsidRPr="00CD5477">
        <w:rPr>
          <w:rFonts w:ascii="Times New Roman" w:hAnsi="Times New Roman"/>
          <w:sz w:val="24"/>
        </w:rPr>
        <w:t xml:space="preserve"> mercato, siano portatori di situazioni degne di </w:t>
      </w:r>
      <w:r w:rsidR="00C130D9">
        <w:rPr>
          <w:rFonts w:ascii="Times New Roman" w:hAnsi="Times New Roman"/>
          <w:sz w:val="24"/>
        </w:rPr>
        <w:t xml:space="preserve">considerazione e </w:t>
      </w:r>
      <w:r w:rsidRPr="00CD5477">
        <w:rPr>
          <w:rFonts w:ascii="Times New Roman" w:hAnsi="Times New Roman"/>
          <w:sz w:val="24"/>
        </w:rPr>
        <w:t>tutela.</w:t>
      </w:r>
    </w:p>
    <w:p w:rsidR="0054126D" w:rsidRPr="00CD5477" w:rsidRDefault="0054126D" w:rsidP="0054126D">
      <w:pPr>
        <w:spacing w:line="360" w:lineRule="auto"/>
        <w:ind w:firstLine="709"/>
        <w:jc w:val="both"/>
        <w:rPr>
          <w:rFonts w:ascii="Times New Roman" w:hAnsi="Times New Roman"/>
          <w:sz w:val="24"/>
        </w:rPr>
      </w:pPr>
    </w:p>
    <w:p w:rsidR="0054126D" w:rsidRPr="00CD5477" w:rsidRDefault="00DE5E22" w:rsidP="0054126D">
      <w:pPr>
        <w:spacing w:line="360" w:lineRule="auto"/>
        <w:ind w:firstLine="709"/>
        <w:jc w:val="both"/>
        <w:rPr>
          <w:rFonts w:ascii="Times New Roman" w:hAnsi="Times New Roman"/>
          <w:b/>
          <w:sz w:val="24"/>
        </w:rPr>
      </w:pPr>
      <w:r w:rsidRPr="00CD5477">
        <w:rPr>
          <w:rFonts w:ascii="Times New Roman" w:hAnsi="Times New Roman"/>
          <w:b/>
          <w:sz w:val="24"/>
        </w:rPr>
        <w:t xml:space="preserve">5. </w:t>
      </w:r>
      <w:r w:rsidR="0054126D" w:rsidRPr="00CD5477">
        <w:rPr>
          <w:rFonts w:ascii="Times New Roman" w:hAnsi="Times New Roman"/>
          <w:b/>
          <w:sz w:val="24"/>
        </w:rPr>
        <w:t>Il sindacato sugli atti dell’AGCM.</w:t>
      </w:r>
    </w:p>
    <w:p w:rsidR="00DE5E22" w:rsidRPr="00CD5477" w:rsidRDefault="00DE5E22" w:rsidP="0054126D">
      <w:pPr>
        <w:spacing w:line="360" w:lineRule="auto"/>
        <w:ind w:firstLine="709"/>
        <w:jc w:val="both"/>
        <w:rPr>
          <w:rFonts w:ascii="Times New Roman" w:hAnsi="Times New Roman"/>
          <w:sz w:val="24"/>
        </w:rPr>
      </w:pPr>
      <w:r w:rsidRPr="00CD5477">
        <w:rPr>
          <w:rFonts w:ascii="Times New Roman" w:hAnsi="Times New Roman"/>
          <w:sz w:val="24"/>
        </w:rPr>
        <w:t xml:space="preserve">Uno tra i temi centrali in materia antitrust è senza dubbio quello </w:t>
      </w:r>
      <w:r w:rsidR="00F221C9">
        <w:rPr>
          <w:rFonts w:ascii="Times New Roman" w:hAnsi="Times New Roman"/>
          <w:sz w:val="24"/>
        </w:rPr>
        <w:t>de</w:t>
      </w:r>
      <w:r w:rsidRPr="00CD5477">
        <w:rPr>
          <w:rFonts w:ascii="Times New Roman" w:hAnsi="Times New Roman"/>
          <w:sz w:val="24"/>
        </w:rPr>
        <w:t>l sindacato sugli atti dell’Autorità.</w:t>
      </w:r>
    </w:p>
    <w:p w:rsidR="000C5170" w:rsidRPr="00CD5477" w:rsidRDefault="000C5170" w:rsidP="0003545E">
      <w:pPr>
        <w:spacing w:line="360" w:lineRule="auto"/>
        <w:ind w:firstLine="709"/>
        <w:jc w:val="both"/>
        <w:rPr>
          <w:rFonts w:ascii="Times New Roman" w:hAnsi="Times New Roman"/>
          <w:sz w:val="24"/>
        </w:rPr>
      </w:pPr>
      <w:r w:rsidRPr="00CD5477">
        <w:rPr>
          <w:rFonts w:ascii="Times New Roman" w:hAnsi="Times New Roman"/>
          <w:sz w:val="24"/>
        </w:rPr>
        <w:t>Si</w:t>
      </w:r>
      <w:r w:rsidR="00DE5E22" w:rsidRPr="00CD5477">
        <w:rPr>
          <w:rFonts w:ascii="Times New Roman" w:hAnsi="Times New Roman"/>
          <w:sz w:val="24"/>
        </w:rPr>
        <w:t xml:space="preserve"> verte nell’ambito della giurisdizione esclusiva del giudice amministrativo (art. 133, comma 1, lett. l), con cognizione </w:t>
      </w:r>
      <w:r w:rsidRPr="00CD5477">
        <w:rPr>
          <w:rFonts w:ascii="Times New Roman" w:hAnsi="Times New Roman"/>
          <w:sz w:val="24"/>
        </w:rPr>
        <w:t xml:space="preserve">estesa anche al merito </w:t>
      </w:r>
      <w:r w:rsidR="00DE5E22" w:rsidRPr="00CD5477">
        <w:rPr>
          <w:rFonts w:ascii="Times New Roman" w:hAnsi="Times New Roman"/>
          <w:sz w:val="24"/>
        </w:rPr>
        <w:t xml:space="preserve">nelle controversie aventi a oggetto </w:t>
      </w:r>
      <w:r w:rsidRPr="00CD5477">
        <w:rPr>
          <w:rFonts w:ascii="Times New Roman" w:hAnsi="Times New Roman"/>
          <w:sz w:val="24"/>
        </w:rPr>
        <w:t>le sanzioni</w:t>
      </w:r>
      <w:r w:rsidR="00DE5E22" w:rsidRPr="00CD5477">
        <w:rPr>
          <w:rFonts w:ascii="Times New Roman" w:hAnsi="Times New Roman"/>
          <w:sz w:val="24"/>
        </w:rPr>
        <w:t xml:space="preserve"> pecuniarie (art. 134, comma 1, lett. c)</w:t>
      </w:r>
      <w:r w:rsidRPr="00CD5477">
        <w:rPr>
          <w:rFonts w:ascii="Times New Roman" w:hAnsi="Times New Roman"/>
          <w:sz w:val="24"/>
        </w:rPr>
        <w:t>.</w:t>
      </w:r>
    </w:p>
    <w:p w:rsidR="000C5170" w:rsidRPr="00CD5477" w:rsidRDefault="000C5170" w:rsidP="0003545E">
      <w:pPr>
        <w:spacing w:line="360" w:lineRule="auto"/>
        <w:ind w:firstLine="709"/>
        <w:jc w:val="both"/>
        <w:rPr>
          <w:rFonts w:ascii="Times New Roman" w:hAnsi="Times New Roman"/>
          <w:sz w:val="24"/>
        </w:rPr>
      </w:pPr>
      <w:r w:rsidRPr="00CD5477">
        <w:rPr>
          <w:rFonts w:ascii="Times New Roman" w:hAnsi="Times New Roman"/>
          <w:sz w:val="24"/>
        </w:rPr>
        <w:t xml:space="preserve">Il </w:t>
      </w:r>
      <w:r w:rsidR="00DE5E22" w:rsidRPr="00CD5477">
        <w:rPr>
          <w:rFonts w:ascii="Times New Roman" w:hAnsi="Times New Roman"/>
          <w:sz w:val="24"/>
        </w:rPr>
        <w:t xml:space="preserve">giudizio </w:t>
      </w:r>
      <w:r w:rsidRPr="00CD5477">
        <w:rPr>
          <w:rFonts w:ascii="Times New Roman" w:hAnsi="Times New Roman"/>
          <w:sz w:val="24"/>
        </w:rPr>
        <w:t xml:space="preserve">è configurato come </w:t>
      </w:r>
      <w:r w:rsidR="00DE5E22" w:rsidRPr="00CD5477">
        <w:rPr>
          <w:rFonts w:ascii="Times New Roman" w:hAnsi="Times New Roman"/>
          <w:sz w:val="24"/>
        </w:rPr>
        <w:t xml:space="preserve">di tipo </w:t>
      </w:r>
      <w:r w:rsidRPr="00CD5477">
        <w:rPr>
          <w:rFonts w:ascii="Times New Roman" w:hAnsi="Times New Roman"/>
          <w:sz w:val="24"/>
        </w:rPr>
        <w:t>impugnatori</w:t>
      </w:r>
      <w:r w:rsidR="00350B62" w:rsidRPr="00CD5477">
        <w:rPr>
          <w:rFonts w:ascii="Times New Roman" w:hAnsi="Times New Roman"/>
          <w:sz w:val="24"/>
        </w:rPr>
        <w:t>o</w:t>
      </w:r>
      <w:r w:rsidRPr="00CD5477">
        <w:rPr>
          <w:rFonts w:ascii="Times New Roman" w:hAnsi="Times New Roman"/>
          <w:sz w:val="24"/>
        </w:rPr>
        <w:t xml:space="preserve"> e il </w:t>
      </w:r>
      <w:r w:rsidR="00DE5E22" w:rsidRPr="00CD5477">
        <w:rPr>
          <w:rFonts w:ascii="Times New Roman" w:hAnsi="Times New Roman"/>
          <w:sz w:val="24"/>
        </w:rPr>
        <w:t>giudice amministrativo</w:t>
      </w:r>
      <w:r w:rsidRPr="00CD5477">
        <w:rPr>
          <w:rFonts w:ascii="Times New Roman" w:hAnsi="Times New Roman"/>
          <w:sz w:val="24"/>
        </w:rPr>
        <w:t xml:space="preserve"> non può sovrapporre la propri</w:t>
      </w:r>
      <w:r w:rsidR="00DE5E22" w:rsidRPr="00CD5477">
        <w:rPr>
          <w:rFonts w:ascii="Times New Roman" w:hAnsi="Times New Roman"/>
          <w:sz w:val="24"/>
        </w:rPr>
        <w:t>a valutazione a quella dell’amministrazione. In sostanza il giudice amministrativo</w:t>
      </w:r>
      <w:r w:rsidR="000404E5" w:rsidRPr="00CD5477">
        <w:rPr>
          <w:rFonts w:ascii="Times New Roman" w:hAnsi="Times New Roman"/>
          <w:sz w:val="24"/>
        </w:rPr>
        <w:t xml:space="preserve"> non è sostitutivo dell’AGCM.</w:t>
      </w:r>
    </w:p>
    <w:p w:rsidR="000C5170" w:rsidRPr="00CD5477" w:rsidRDefault="00DE5E22" w:rsidP="0003545E">
      <w:pPr>
        <w:spacing w:line="360" w:lineRule="auto"/>
        <w:ind w:firstLine="709"/>
        <w:jc w:val="both"/>
        <w:rPr>
          <w:rFonts w:ascii="Times New Roman" w:hAnsi="Times New Roman"/>
          <w:sz w:val="24"/>
        </w:rPr>
      </w:pPr>
      <w:r w:rsidRPr="00CD5477">
        <w:rPr>
          <w:rFonts w:ascii="Times New Roman" w:hAnsi="Times New Roman"/>
          <w:sz w:val="24"/>
        </w:rPr>
        <w:t xml:space="preserve">Il che riproduce la posizione della giurisprudenza </w:t>
      </w:r>
      <w:r w:rsidR="00FD0E3C" w:rsidRPr="00CD5477">
        <w:rPr>
          <w:rFonts w:ascii="Times New Roman" w:hAnsi="Times New Roman"/>
          <w:sz w:val="24"/>
        </w:rPr>
        <w:t xml:space="preserve">degli organi giudicanti dell’Unione (Tribunale UE e CGUE), secondo cui i giudici dell’Unione non possono, nell’ambito del controllo di legittimità di cui all’art. 263 TFUE, sostituire la propria motivazione a quella dell’autore dell’atto </w:t>
      </w:r>
      <w:r w:rsidR="00C130D9">
        <w:rPr>
          <w:rFonts w:ascii="Times New Roman" w:hAnsi="Times New Roman"/>
          <w:sz w:val="24"/>
        </w:rPr>
        <w:t>sottoposto a controllo</w:t>
      </w:r>
      <w:r w:rsidR="00FD0E3C" w:rsidRPr="00CD5477">
        <w:rPr>
          <w:rStyle w:val="Rimandonotaapidipagina"/>
          <w:rFonts w:ascii="Times New Roman" w:hAnsi="Times New Roman"/>
          <w:sz w:val="24"/>
        </w:rPr>
        <w:footnoteReference w:id="2"/>
      </w:r>
      <w:r w:rsidR="00FD0E3C" w:rsidRPr="00CD5477">
        <w:rPr>
          <w:rFonts w:ascii="Times New Roman" w:hAnsi="Times New Roman"/>
          <w:sz w:val="24"/>
        </w:rPr>
        <w:t>.</w:t>
      </w:r>
    </w:p>
    <w:p w:rsidR="0000583C" w:rsidRPr="00CD5477" w:rsidRDefault="0000583C" w:rsidP="0003545E">
      <w:pPr>
        <w:spacing w:line="360" w:lineRule="auto"/>
        <w:ind w:firstLine="709"/>
        <w:jc w:val="both"/>
        <w:rPr>
          <w:rFonts w:ascii="Times New Roman" w:hAnsi="Times New Roman"/>
          <w:sz w:val="24"/>
        </w:rPr>
      </w:pPr>
      <w:r w:rsidRPr="00CD5477">
        <w:rPr>
          <w:rFonts w:ascii="Times New Roman" w:hAnsi="Times New Roman"/>
          <w:sz w:val="24"/>
        </w:rPr>
        <w:t>È noto come il sindacato del giudice amministrativo su</w:t>
      </w:r>
      <w:r w:rsidR="00C130D9">
        <w:rPr>
          <w:rFonts w:ascii="Times New Roman" w:hAnsi="Times New Roman"/>
          <w:sz w:val="24"/>
        </w:rPr>
        <w:t>gli</w:t>
      </w:r>
      <w:r w:rsidRPr="00CD5477">
        <w:rPr>
          <w:rFonts w:ascii="Times New Roman" w:hAnsi="Times New Roman"/>
          <w:sz w:val="24"/>
        </w:rPr>
        <w:t xml:space="preserve"> atti amministrativi espressione della discrezionalità tecnica, di cui l'amministrazione è titolare per il conseguimento e la cura dell'interesse pubblico a essa affidato dalla legge, è limitato alla illogicità, arbitrarietà, irragionevolezza, irrazionalità o travisamento dei fatti; in altri termini il sindacato sulle relative valutazioni non può estendersi oltre l'apprezzamento della loro intrinseca logicità e ragionevolezza, nonché della congruità della relativa istruttoria (Cons. Stato, sez. V, 17 marzo 2022, n. 1946).</w:t>
      </w:r>
    </w:p>
    <w:p w:rsidR="00266C9C" w:rsidRPr="00CD5477" w:rsidRDefault="00234FEF" w:rsidP="0003545E">
      <w:pPr>
        <w:spacing w:line="360" w:lineRule="auto"/>
        <w:ind w:firstLine="709"/>
        <w:jc w:val="both"/>
        <w:rPr>
          <w:rFonts w:ascii="Times New Roman" w:hAnsi="Times New Roman"/>
          <w:sz w:val="24"/>
        </w:rPr>
      </w:pPr>
      <w:r>
        <w:rPr>
          <w:rFonts w:ascii="Times New Roman" w:hAnsi="Times New Roman"/>
          <w:sz w:val="24"/>
        </w:rPr>
        <w:t>O</w:t>
      </w:r>
      <w:r w:rsidRPr="00234FEF">
        <w:rPr>
          <w:rFonts w:ascii="Times New Roman" w:hAnsi="Times New Roman"/>
          <w:sz w:val="24"/>
        </w:rPr>
        <w:t xml:space="preserve">rmai da tempo, </w:t>
      </w:r>
      <w:r>
        <w:rPr>
          <w:rFonts w:ascii="Times New Roman" w:hAnsi="Times New Roman"/>
          <w:sz w:val="24"/>
        </w:rPr>
        <w:t>i</w:t>
      </w:r>
      <w:r w:rsidR="0000583C" w:rsidRPr="00CD5477">
        <w:rPr>
          <w:rFonts w:ascii="Times New Roman" w:hAnsi="Times New Roman"/>
          <w:sz w:val="24"/>
        </w:rPr>
        <w:t>n tema di sindacato del giudice amministrativo sugli atti dell'A</w:t>
      </w:r>
      <w:r w:rsidR="00266C9C" w:rsidRPr="00CD5477">
        <w:rPr>
          <w:rFonts w:ascii="Times New Roman" w:hAnsi="Times New Roman"/>
          <w:sz w:val="24"/>
        </w:rPr>
        <w:t>GCM, sulla spinta della “</w:t>
      </w:r>
      <w:r w:rsidR="005B4BDC" w:rsidRPr="00CD5477">
        <w:rPr>
          <w:rFonts w:ascii="Times New Roman" w:hAnsi="Times New Roman"/>
          <w:i/>
          <w:sz w:val="24"/>
        </w:rPr>
        <w:t>full j</w:t>
      </w:r>
      <w:r w:rsidR="00266C9C" w:rsidRPr="00CD5477">
        <w:rPr>
          <w:rFonts w:ascii="Times New Roman" w:hAnsi="Times New Roman"/>
          <w:i/>
          <w:sz w:val="24"/>
        </w:rPr>
        <w:t>urisdiction</w:t>
      </w:r>
      <w:r w:rsidR="00266C9C" w:rsidRPr="00CD5477">
        <w:rPr>
          <w:rFonts w:ascii="Times New Roman" w:hAnsi="Times New Roman"/>
          <w:sz w:val="24"/>
        </w:rPr>
        <w:t xml:space="preserve">” </w:t>
      </w:r>
      <w:r w:rsidR="0000583C" w:rsidRPr="00CD5477">
        <w:rPr>
          <w:rFonts w:ascii="Times New Roman" w:hAnsi="Times New Roman"/>
          <w:sz w:val="24"/>
        </w:rPr>
        <w:t xml:space="preserve">è </w:t>
      </w:r>
      <w:r w:rsidR="00266C9C" w:rsidRPr="00CD5477">
        <w:rPr>
          <w:rFonts w:ascii="Times New Roman" w:hAnsi="Times New Roman"/>
          <w:sz w:val="24"/>
        </w:rPr>
        <w:t xml:space="preserve">venuta meno </w:t>
      </w:r>
      <w:r w:rsidR="0000583C" w:rsidRPr="00CD5477">
        <w:rPr>
          <w:rFonts w:ascii="Times New Roman" w:hAnsi="Times New Roman"/>
          <w:sz w:val="24"/>
        </w:rPr>
        <w:t>la qualificazione del controllo giurisdiz</w:t>
      </w:r>
      <w:r w:rsidR="00266C9C" w:rsidRPr="00CD5477">
        <w:rPr>
          <w:rFonts w:ascii="Times New Roman" w:hAnsi="Times New Roman"/>
          <w:sz w:val="24"/>
        </w:rPr>
        <w:t xml:space="preserve">ionale come "forte" o "debole". Si è affermato </w:t>
      </w:r>
      <w:r w:rsidR="0000583C" w:rsidRPr="00CD5477">
        <w:rPr>
          <w:rFonts w:ascii="Times New Roman" w:hAnsi="Times New Roman"/>
          <w:sz w:val="24"/>
        </w:rPr>
        <w:t>l'eserci</w:t>
      </w:r>
      <w:r w:rsidR="00266C9C" w:rsidRPr="00CD5477">
        <w:rPr>
          <w:rFonts w:ascii="Times New Roman" w:hAnsi="Times New Roman"/>
          <w:sz w:val="24"/>
        </w:rPr>
        <w:t xml:space="preserve">zio di un controllo tendente a </w:t>
      </w:r>
      <w:r w:rsidR="0000583C" w:rsidRPr="00CD5477">
        <w:rPr>
          <w:rFonts w:ascii="Times New Roman" w:hAnsi="Times New Roman"/>
          <w:sz w:val="24"/>
        </w:rPr>
        <w:t xml:space="preserve">un modello comune a livello comunitario, in cui il principio </w:t>
      </w:r>
      <w:r w:rsidR="00266C9C" w:rsidRPr="00CD5477">
        <w:rPr>
          <w:rFonts w:ascii="Times New Roman" w:hAnsi="Times New Roman"/>
          <w:sz w:val="24"/>
        </w:rPr>
        <w:t xml:space="preserve">(costituzionale ed europeo) </w:t>
      </w:r>
      <w:r w:rsidR="0000583C" w:rsidRPr="00CD5477">
        <w:rPr>
          <w:rFonts w:ascii="Times New Roman" w:hAnsi="Times New Roman"/>
          <w:sz w:val="24"/>
        </w:rPr>
        <w:t>di effettivi</w:t>
      </w:r>
      <w:r w:rsidR="00266C9C" w:rsidRPr="00CD5477">
        <w:rPr>
          <w:rFonts w:ascii="Times New Roman" w:hAnsi="Times New Roman"/>
          <w:sz w:val="24"/>
        </w:rPr>
        <w:t xml:space="preserve">tà della tutela giurisdizionale </w:t>
      </w:r>
      <w:r>
        <w:rPr>
          <w:rFonts w:ascii="Times New Roman" w:hAnsi="Times New Roman"/>
          <w:sz w:val="24"/>
        </w:rPr>
        <w:t>deve essere</w:t>
      </w:r>
      <w:r w:rsidR="0000583C" w:rsidRPr="00CD5477">
        <w:rPr>
          <w:rFonts w:ascii="Times New Roman" w:hAnsi="Times New Roman"/>
          <w:sz w:val="24"/>
        </w:rPr>
        <w:t xml:space="preserve"> coniugato con la specificità di controversie</w:t>
      </w:r>
      <w:r>
        <w:rPr>
          <w:rFonts w:ascii="Times New Roman" w:hAnsi="Times New Roman"/>
          <w:sz w:val="24"/>
        </w:rPr>
        <w:t xml:space="preserve"> nelle quali </w:t>
      </w:r>
      <w:r w:rsidR="0000583C" w:rsidRPr="00CD5477">
        <w:rPr>
          <w:rFonts w:ascii="Times New Roman" w:hAnsi="Times New Roman"/>
          <w:sz w:val="24"/>
        </w:rPr>
        <w:t>è attribuito al giudice il compito</w:t>
      </w:r>
      <w:r>
        <w:rPr>
          <w:rFonts w:ascii="Times New Roman" w:hAnsi="Times New Roman"/>
          <w:sz w:val="24"/>
        </w:rPr>
        <w:t>,</w:t>
      </w:r>
      <w:r w:rsidR="0000583C" w:rsidRPr="00CD5477">
        <w:rPr>
          <w:rFonts w:ascii="Times New Roman" w:hAnsi="Times New Roman"/>
          <w:sz w:val="24"/>
        </w:rPr>
        <w:t xml:space="preserve"> non di esercitare un potere in materia "antitrust", ma di verificare, senza alcuna limitazione, se il potere a tal fine attribuito all'Autorità "antitrust" sia stato correttamente esercitato</w:t>
      </w:r>
      <w:r w:rsidR="00266C9C" w:rsidRPr="00CD5477">
        <w:rPr>
          <w:rFonts w:ascii="Times New Roman" w:hAnsi="Times New Roman"/>
          <w:sz w:val="24"/>
        </w:rPr>
        <w:t xml:space="preserve"> (Cons. Stato, sez. VI, 2 marzo 2004, n. 926).</w:t>
      </w:r>
    </w:p>
    <w:p w:rsidR="0000583C" w:rsidRPr="00CD5477" w:rsidRDefault="00234FEF" w:rsidP="0003545E">
      <w:pPr>
        <w:spacing w:line="360" w:lineRule="auto"/>
        <w:ind w:firstLine="709"/>
        <w:jc w:val="both"/>
        <w:rPr>
          <w:rFonts w:ascii="Times New Roman" w:hAnsi="Times New Roman"/>
          <w:sz w:val="24"/>
        </w:rPr>
      </w:pPr>
      <w:r>
        <w:rPr>
          <w:rFonts w:ascii="Times New Roman" w:hAnsi="Times New Roman"/>
          <w:sz w:val="24"/>
        </w:rPr>
        <w:t xml:space="preserve">Con la conseguenza che il processo innanzi al giudice amministrativo non </w:t>
      </w:r>
      <w:r w:rsidR="00AB0AAD">
        <w:rPr>
          <w:rFonts w:ascii="Times New Roman" w:hAnsi="Times New Roman"/>
          <w:sz w:val="24"/>
        </w:rPr>
        <w:t>può</w:t>
      </w:r>
      <w:r>
        <w:rPr>
          <w:rFonts w:ascii="Times New Roman" w:hAnsi="Times New Roman"/>
          <w:sz w:val="24"/>
        </w:rPr>
        <w:t xml:space="preserve"> essere un surrogato del procedimento innanzi all’Autorità. </w:t>
      </w:r>
      <w:r w:rsidR="00301CC3" w:rsidRPr="00CD5477">
        <w:rPr>
          <w:rFonts w:ascii="Times New Roman" w:hAnsi="Times New Roman"/>
          <w:sz w:val="24"/>
        </w:rPr>
        <w:t>Ma fino a che punto si possono spingere i poteri del giudice amministrativo?</w:t>
      </w:r>
    </w:p>
    <w:p w:rsidR="00301CC3" w:rsidRPr="00CD5477" w:rsidRDefault="00301CC3" w:rsidP="0003545E">
      <w:pPr>
        <w:spacing w:line="360" w:lineRule="auto"/>
        <w:ind w:firstLine="709"/>
        <w:jc w:val="both"/>
        <w:rPr>
          <w:rFonts w:ascii="Times New Roman" w:hAnsi="Times New Roman"/>
          <w:sz w:val="24"/>
        </w:rPr>
      </w:pPr>
    </w:p>
    <w:p w:rsidR="00266C9C" w:rsidRPr="00CD5477" w:rsidRDefault="00266C9C" w:rsidP="0003545E">
      <w:pPr>
        <w:spacing w:line="360" w:lineRule="auto"/>
        <w:ind w:firstLine="709"/>
        <w:jc w:val="both"/>
        <w:rPr>
          <w:rFonts w:ascii="Times New Roman" w:hAnsi="Times New Roman"/>
          <w:sz w:val="24"/>
        </w:rPr>
      </w:pPr>
      <w:r w:rsidRPr="00CD5477">
        <w:rPr>
          <w:rFonts w:ascii="Times New Roman" w:hAnsi="Times New Roman"/>
          <w:b/>
          <w:sz w:val="24"/>
        </w:rPr>
        <w:t>6. L’art</w:t>
      </w:r>
      <w:r w:rsidR="00301CC3" w:rsidRPr="00CD5477">
        <w:rPr>
          <w:rFonts w:ascii="Times New Roman" w:hAnsi="Times New Roman"/>
          <w:b/>
          <w:sz w:val="24"/>
        </w:rPr>
        <w:t>.</w:t>
      </w:r>
      <w:r w:rsidRPr="00CD5477">
        <w:rPr>
          <w:rFonts w:ascii="Times New Roman" w:hAnsi="Times New Roman"/>
          <w:b/>
          <w:sz w:val="24"/>
        </w:rPr>
        <w:t xml:space="preserve"> 7 del d.lgs. 19 gennaio 2017, n. 3.</w:t>
      </w:r>
    </w:p>
    <w:p w:rsidR="00B34D3B" w:rsidRPr="00CD5477" w:rsidRDefault="00301CC3" w:rsidP="0003545E">
      <w:pPr>
        <w:spacing w:line="360" w:lineRule="auto"/>
        <w:ind w:firstLine="709"/>
        <w:jc w:val="both"/>
        <w:rPr>
          <w:rFonts w:ascii="Times New Roman" w:hAnsi="Times New Roman"/>
          <w:sz w:val="24"/>
        </w:rPr>
      </w:pPr>
      <w:r w:rsidRPr="00CD5477">
        <w:rPr>
          <w:rFonts w:ascii="Times New Roman" w:hAnsi="Times New Roman"/>
          <w:sz w:val="24"/>
        </w:rPr>
        <w:t>L’art.</w:t>
      </w:r>
      <w:r w:rsidR="00CB5441" w:rsidRPr="00CD5477">
        <w:rPr>
          <w:rFonts w:ascii="Times New Roman" w:hAnsi="Times New Roman"/>
          <w:sz w:val="24"/>
        </w:rPr>
        <w:t xml:space="preserve"> </w:t>
      </w:r>
      <w:r w:rsidR="00B34D3B" w:rsidRPr="00CD5477">
        <w:rPr>
          <w:rFonts w:ascii="Times New Roman" w:hAnsi="Times New Roman"/>
          <w:sz w:val="24"/>
        </w:rPr>
        <w:t xml:space="preserve">7 </w:t>
      </w:r>
      <w:r w:rsidRPr="00CD5477">
        <w:rPr>
          <w:rFonts w:ascii="Times New Roman" w:hAnsi="Times New Roman"/>
          <w:sz w:val="24"/>
        </w:rPr>
        <w:t xml:space="preserve">del </w:t>
      </w:r>
      <w:r w:rsidR="00CB5441" w:rsidRPr="00CD5477">
        <w:rPr>
          <w:rFonts w:ascii="Times New Roman" w:hAnsi="Times New Roman"/>
          <w:sz w:val="24"/>
        </w:rPr>
        <w:t>d.lgs. 19 gennaio</w:t>
      </w:r>
      <w:r w:rsidR="00B34D3B" w:rsidRPr="00CD5477">
        <w:rPr>
          <w:rFonts w:ascii="Times New Roman" w:hAnsi="Times New Roman"/>
          <w:sz w:val="24"/>
        </w:rPr>
        <w:t xml:space="preserve"> 2017, </w:t>
      </w:r>
      <w:r w:rsidR="00DE3BCF" w:rsidRPr="00CD5477">
        <w:rPr>
          <w:rFonts w:ascii="Times New Roman" w:hAnsi="Times New Roman"/>
          <w:sz w:val="24"/>
        </w:rPr>
        <w:t xml:space="preserve">n. </w:t>
      </w:r>
      <w:r w:rsidR="00B34D3B" w:rsidRPr="00CD5477">
        <w:rPr>
          <w:rFonts w:ascii="Times New Roman" w:hAnsi="Times New Roman"/>
          <w:sz w:val="24"/>
        </w:rPr>
        <w:t>3</w:t>
      </w:r>
      <w:r w:rsidR="008A6AC1" w:rsidRPr="00CD5477">
        <w:rPr>
          <w:rFonts w:ascii="Times New Roman" w:hAnsi="Times New Roman"/>
          <w:sz w:val="24"/>
        </w:rPr>
        <w:t xml:space="preserve">, </w:t>
      </w:r>
      <w:r w:rsidRPr="00CD5477">
        <w:rPr>
          <w:rFonts w:ascii="Times New Roman" w:hAnsi="Times New Roman"/>
          <w:sz w:val="24"/>
        </w:rPr>
        <w:t xml:space="preserve">dal titolo “Effetti delle decisioni dell’autorità garante della concorrenza”, </w:t>
      </w:r>
      <w:r w:rsidR="00350B62" w:rsidRPr="00CD5477">
        <w:rPr>
          <w:rFonts w:ascii="Times New Roman" w:hAnsi="Times New Roman"/>
          <w:sz w:val="24"/>
        </w:rPr>
        <w:t xml:space="preserve">ha </w:t>
      </w:r>
      <w:r w:rsidR="008A6AC1" w:rsidRPr="00CD5477">
        <w:rPr>
          <w:rFonts w:ascii="Times New Roman" w:hAnsi="Times New Roman"/>
          <w:sz w:val="24"/>
        </w:rPr>
        <w:t>traspo</w:t>
      </w:r>
      <w:r w:rsidR="00350B62" w:rsidRPr="00CD5477">
        <w:rPr>
          <w:rFonts w:ascii="Times New Roman" w:hAnsi="Times New Roman"/>
          <w:sz w:val="24"/>
        </w:rPr>
        <w:t>sto</w:t>
      </w:r>
      <w:r w:rsidR="008A6AC1" w:rsidRPr="00CD5477">
        <w:rPr>
          <w:rFonts w:ascii="Times New Roman" w:hAnsi="Times New Roman"/>
          <w:sz w:val="24"/>
        </w:rPr>
        <w:t xml:space="preserve"> l’art. 9</w:t>
      </w:r>
      <w:r w:rsidRPr="00CD5477">
        <w:rPr>
          <w:rFonts w:ascii="Times New Roman" w:hAnsi="Times New Roman"/>
          <w:sz w:val="24"/>
        </w:rPr>
        <w:t>,</w:t>
      </w:r>
      <w:r w:rsidR="008A6AC1" w:rsidRPr="00CD5477">
        <w:rPr>
          <w:rFonts w:ascii="Times New Roman" w:hAnsi="Times New Roman"/>
          <w:sz w:val="24"/>
        </w:rPr>
        <w:t xml:space="preserve"> par. 1</w:t>
      </w:r>
      <w:r w:rsidRPr="00CD5477">
        <w:rPr>
          <w:rFonts w:ascii="Times New Roman" w:hAnsi="Times New Roman"/>
          <w:sz w:val="24"/>
        </w:rPr>
        <w:t>,</w:t>
      </w:r>
      <w:r w:rsidR="008A6AC1" w:rsidRPr="00CD5477">
        <w:rPr>
          <w:rFonts w:ascii="Times New Roman" w:hAnsi="Times New Roman"/>
          <w:sz w:val="24"/>
        </w:rPr>
        <w:t xml:space="preserve"> della direttiva 2</w:t>
      </w:r>
      <w:r w:rsidRPr="00CD5477">
        <w:rPr>
          <w:rFonts w:ascii="Times New Roman" w:hAnsi="Times New Roman"/>
          <w:sz w:val="24"/>
        </w:rPr>
        <w:t>014/104/UE del 26 novembre 2014, relativa a determinate norme che regolano le azioni per il risarcimento del danno ai sensi del diritto nazionale per violazioni delle disposizioni del diritto della concorrenza degli Stati membri e dell'Unione europea.</w:t>
      </w:r>
    </w:p>
    <w:p w:rsidR="00301CC3" w:rsidRPr="00CD5477" w:rsidRDefault="00301CC3" w:rsidP="0003545E">
      <w:pPr>
        <w:spacing w:line="360" w:lineRule="auto"/>
        <w:ind w:firstLine="709"/>
        <w:jc w:val="both"/>
        <w:rPr>
          <w:rFonts w:ascii="Times New Roman" w:hAnsi="Times New Roman"/>
          <w:sz w:val="24"/>
        </w:rPr>
      </w:pPr>
      <w:r w:rsidRPr="00CD5477">
        <w:rPr>
          <w:rFonts w:ascii="Times New Roman" w:hAnsi="Times New Roman"/>
          <w:sz w:val="24"/>
        </w:rPr>
        <w:t>Si tratta di normativa in tema di “</w:t>
      </w:r>
      <w:r w:rsidRPr="00C130D9">
        <w:rPr>
          <w:rFonts w:ascii="Times New Roman" w:hAnsi="Times New Roman"/>
          <w:i/>
          <w:sz w:val="24"/>
        </w:rPr>
        <w:t>private enforcement</w:t>
      </w:r>
      <w:r w:rsidRPr="00CD5477">
        <w:rPr>
          <w:rFonts w:ascii="Times New Roman" w:hAnsi="Times New Roman"/>
          <w:sz w:val="24"/>
        </w:rPr>
        <w:t>”, ossia d</w:t>
      </w:r>
      <w:r w:rsidR="00C130D9">
        <w:rPr>
          <w:rFonts w:ascii="Times New Roman" w:hAnsi="Times New Roman"/>
          <w:sz w:val="24"/>
        </w:rPr>
        <w:t>el</w:t>
      </w:r>
      <w:r w:rsidRPr="00CD5477">
        <w:rPr>
          <w:rFonts w:ascii="Times New Roman" w:hAnsi="Times New Roman"/>
          <w:sz w:val="24"/>
        </w:rPr>
        <w:t xml:space="preserve"> risarcimento che viene chiesto dai soggetti danneggiati da violazioni del diritto della concorrenza. Quindi di materia attribuita alla giurisdizione del giudice ordinario. Eppure vi è una disposizione che non trova fonte nella direttiva e che riguarda </w:t>
      </w:r>
      <w:r w:rsidR="00E21392" w:rsidRPr="00CD5477">
        <w:rPr>
          <w:rFonts w:ascii="Times New Roman" w:hAnsi="Times New Roman"/>
          <w:sz w:val="24"/>
        </w:rPr>
        <w:t xml:space="preserve">direttamente </w:t>
      </w:r>
      <w:r w:rsidRPr="00CD5477">
        <w:rPr>
          <w:rFonts w:ascii="Times New Roman" w:hAnsi="Times New Roman"/>
          <w:sz w:val="24"/>
        </w:rPr>
        <w:t>il giudice amministrativo.</w:t>
      </w:r>
    </w:p>
    <w:p w:rsidR="00E21392" w:rsidRPr="00CD5477" w:rsidRDefault="00E21392" w:rsidP="0003545E">
      <w:pPr>
        <w:spacing w:line="360" w:lineRule="auto"/>
        <w:ind w:firstLine="709"/>
        <w:jc w:val="both"/>
        <w:rPr>
          <w:rFonts w:ascii="Times New Roman" w:hAnsi="Times New Roman"/>
          <w:sz w:val="24"/>
        </w:rPr>
      </w:pPr>
      <w:r w:rsidRPr="00CD5477">
        <w:rPr>
          <w:rFonts w:ascii="Times New Roman" w:hAnsi="Times New Roman"/>
          <w:sz w:val="24"/>
        </w:rPr>
        <w:t>Il primo periodo del comma 1 prevede che, “</w:t>
      </w:r>
      <w:r w:rsidR="00B34D3B" w:rsidRPr="00CD5477">
        <w:rPr>
          <w:rFonts w:ascii="Times New Roman" w:hAnsi="Times New Roman"/>
          <w:i/>
          <w:sz w:val="24"/>
        </w:rPr>
        <w:t>Ai fini dell'azione per il risarcimento del danno si ritiene definitivamente accertata, nei confronti dell'autore, la violazione del diritto della concorrenza constatata da una decisione dell'autorità garante della concorrenza e del mercato di cui all'articolo 10 della legge 10 ottobre 1990, n. 287, non più soggetta ad impugnazione davanti al giudice del ricorso, o da una sentenza del giudice del ricorso passata in giudicato</w:t>
      </w:r>
      <w:r w:rsidRPr="00CD5477">
        <w:rPr>
          <w:rFonts w:ascii="Times New Roman" w:hAnsi="Times New Roman"/>
          <w:sz w:val="24"/>
        </w:rPr>
        <w:t>”.</w:t>
      </w:r>
    </w:p>
    <w:p w:rsidR="00E21392" w:rsidRPr="00CD5477" w:rsidRDefault="00E21392" w:rsidP="0003545E">
      <w:pPr>
        <w:spacing w:line="360" w:lineRule="auto"/>
        <w:ind w:firstLine="709"/>
        <w:jc w:val="both"/>
        <w:rPr>
          <w:rFonts w:ascii="Times New Roman" w:hAnsi="Times New Roman"/>
          <w:sz w:val="24"/>
        </w:rPr>
      </w:pPr>
      <w:r w:rsidRPr="00CD5477">
        <w:rPr>
          <w:rFonts w:ascii="Times New Roman" w:hAnsi="Times New Roman"/>
          <w:sz w:val="24"/>
        </w:rPr>
        <w:t>Il secondo periodo, sempre del comma 1, aggiunge che “</w:t>
      </w:r>
      <w:r w:rsidR="00B34D3B" w:rsidRPr="00CD5477">
        <w:rPr>
          <w:rFonts w:ascii="Times New Roman" w:hAnsi="Times New Roman"/>
          <w:i/>
          <w:sz w:val="24"/>
        </w:rPr>
        <w:t>Il sindacato del giudice del ricorso</w:t>
      </w:r>
      <w:r w:rsidRPr="00CD5477">
        <w:rPr>
          <w:rFonts w:ascii="Times New Roman" w:hAnsi="Times New Roman"/>
          <w:sz w:val="24"/>
        </w:rPr>
        <w:t xml:space="preserve">”, </w:t>
      </w:r>
      <w:r w:rsidR="00234FEF">
        <w:rPr>
          <w:rFonts w:ascii="Times New Roman" w:hAnsi="Times New Roman"/>
          <w:sz w:val="24"/>
        </w:rPr>
        <w:t xml:space="preserve">il quale è il </w:t>
      </w:r>
      <w:r w:rsidRPr="00CD5477">
        <w:rPr>
          <w:rFonts w:ascii="Times New Roman" w:hAnsi="Times New Roman"/>
          <w:sz w:val="24"/>
        </w:rPr>
        <w:t>giudice amministrativo,</w:t>
      </w:r>
      <w:r w:rsidR="00B34D3B" w:rsidRPr="00CD5477">
        <w:rPr>
          <w:rFonts w:ascii="Times New Roman" w:hAnsi="Times New Roman"/>
          <w:i/>
          <w:sz w:val="24"/>
        </w:rPr>
        <w:t xml:space="preserve"> </w:t>
      </w:r>
      <w:r w:rsidRPr="00CD5477">
        <w:rPr>
          <w:rFonts w:ascii="Times New Roman" w:hAnsi="Times New Roman"/>
          <w:sz w:val="24"/>
        </w:rPr>
        <w:t>“</w:t>
      </w:r>
      <w:r w:rsidR="00B34D3B" w:rsidRPr="00CD5477">
        <w:rPr>
          <w:rFonts w:ascii="Times New Roman" w:hAnsi="Times New Roman"/>
          <w:i/>
          <w:sz w:val="24"/>
        </w:rPr>
        <w:t>comporta la verifica diretta dei fatti posti a fondamento della decisione impugnata e si estende anche ai profili tecnici che non presentano un oggettivo margine di opinabilità, il cui esame sia necessario per giudicare la legit</w:t>
      </w:r>
      <w:r w:rsidRPr="00CD5477">
        <w:rPr>
          <w:rFonts w:ascii="Times New Roman" w:hAnsi="Times New Roman"/>
          <w:i/>
          <w:sz w:val="24"/>
        </w:rPr>
        <w:t>timità della decisione medesima</w:t>
      </w:r>
      <w:r w:rsidRPr="00CD5477">
        <w:rPr>
          <w:rFonts w:ascii="Times New Roman" w:hAnsi="Times New Roman"/>
          <w:sz w:val="24"/>
        </w:rPr>
        <w:t>”.</w:t>
      </w:r>
    </w:p>
    <w:p w:rsidR="00B34D3B" w:rsidRPr="00CD5477" w:rsidRDefault="00E21392" w:rsidP="0003545E">
      <w:pPr>
        <w:spacing w:line="360" w:lineRule="auto"/>
        <w:ind w:firstLine="709"/>
        <w:jc w:val="both"/>
        <w:rPr>
          <w:rFonts w:ascii="Times New Roman" w:hAnsi="Times New Roman"/>
          <w:sz w:val="24"/>
        </w:rPr>
      </w:pPr>
      <w:r w:rsidRPr="00CD5477">
        <w:rPr>
          <w:rFonts w:ascii="Times New Roman" w:hAnsi="Times New Roman"/>
          <w:sz w:val="24"/>
        </w:rPr>
        <w:t>Il terzo periodo prescrive, infine</w:t>
      </w:r>
      <w:r w:rsidR="00734E32" w:rsidRPr="00CD5477">
        <w:rPr>
          <w:rFonts w:ascii="Times New Roman" w:hAnsi="Times New Roman"/>
          <w:sz w:val="24"/>
        </w:rPr>
        <w:t>,</w:t>
      </w:r>
      <w:r w:rsidRPr="00CD5477">
        <w:rPr>
          <w:rFonts w:ascii="Times New Roman" w:hAnsi="Times New Roman"/>
          <w:sz w:val="24"/>
        </w:rPr>
        <w:t xml:space="preserve"> che “</w:t>
      </w:r>
      <w:r w:rsidR="00B34D3B" w:rsidRPr="00CD5477">
        <w:rPr>
          <w:rFonts w:ascii="Times New Roman" w:hAnsi="Times New Roman"/>
          <w:i/>
          <w:sz w:val="24"/>
        </w:rPr>
        <w:t>Quanto previsto al primo periodo riguarda la natura della violazione e la sua portata materiale, personale, temporale e territoriale, ma non il nesso di ca</w:t>
      </w:r>
      <w:r w:rsidRPr="00CD5477">
        <w:rPr>
          <w:rFonts w:ascii="Times New Roman" w:hAnsi="Times New Roman"/>
          <w:i/>
          <w:sz w:val="24"/>
        </w:rPr>
        <w:t>usalità e l'esistenza del danno</w:t>
      </w:r>
      <w:r w:rsidRPr="00CD5477">
        <w:rPr>
          <w:rFonts w:ascii="Times New Roman" w:hAnsi="Times New Roman"/>
          <w:sz w:val="24"/>
        </w:rPr>
        <w:t>”.</w:t>
      </w:r>
    </w:p>
    <w:p w:rsidR="00CB5441" w:rsidRPr="00CD5477" w:rsidRDefault="00234FEF" w:rsidP="0003545E">
      <w:pPr>
        <w:spacing w:line="360" w:lineRule="auto"/>
        <w:ind w:firstLine="709"/>
        <w:jc w:val="both"/>
        <w:rPr>
          <w:rFonts w:ascii="Times New Roman" w:hAnsi="Times New Roman"/>
          <w:sz w:val="24"/>
        </w:rPr>
      </w:pPr>
      <w:r>
        <w:rPr>
          <w:rFonts w:ascii="Times New Roman" w:hAnsi="Times New Roman"/>
          <w:sz w:val="24"/>
        </w:rPr>
        <w:t xml:space="preserve">Per cui, </w:t>
      </w:r>
      <w:r w:rsidR="00734E32" w:rsidRPr="00CD5477">
        <w:rPr>
          <w:rFonts w:ascii="Times New Roman" w:hAnsi="Times New Roman"/>
          <w:sz w:val="24"/>
        </w:rPr>
        <w:t>per legge</w:t>
      </w:r>
      <w:r>
        <w:rPr>
          <w:rFonts w:ascii="Times New Roman" w:hAnsi="Times New Roman"/>
          <w:sz w:val="24"/>
        </w:rPr>
        <w:t>,</w:t>
      </w:r>
      <w:r w:rsidR="00734E32" w:rsidRPr="00CD5477">
        <w:rPr>
          <w:rFonts w:ascii="Times New Roman" w:hAnsi="Times New Roman"/>
          <w:sz w:val="24"/>
        </w:rPr>
        <w:t xml:space="preserve"> il sindacato del giudice amministrativo </w:t>
      </w:r>
      <w:r w:rsidR="00CB5441" w:rsidRPr="00CD5477">
        <w:rPr>
          <w:rFonts w:ascii="Times New Roman" w:hAnsi="Times New Roman"/>
          <w:sz w:val="24"/>
        </w:rPr>
        <w:t>è pieno e si estende anche ai profili tecnici, con esclusione solo di quelli che presentano un oggettivo margine di opinabilità.</w:t>
      </w:r>
    </w:p>
    <w:p w:rsidR="00D45B54" w:rsidRPr="00CD5477" w:rsidRDefault="00D45B54" w:rsidP="0003545E">
      <w:pPr>
        <w:spacing w:line="360" w:lineRule="auto"/>
        <w:ind w:firstLine="709"/>
        <w:jc w:val="both"/>
        <w:rPr>
          <w:rFonts w:ascii="Times New Roman" w:hAnsi="Times New Roman"/>
          <w:sz w:val="24"/>
        </w:rPr>
      </w:pPr>
      <w:r w:rsidRPr="00CD5477">
        <w:rPr>
          <w:rFonts w:ascii="Times New Roman" w:hAnsi="Times New Roman"/>
          <w:sz w:val="24"/>
        </w:rPr>
        <w:t>In quest’ultima ipotesi il sindacato dovrebbe essere limitato alla plausibilità, ragionevolezza</w:t>
      </w:r>
      <w:r w:rsidR="008E00BE" w:rsidRPr="00CD5477">
        <w:rPr>
          <w:rFonts w:ascii="Times New Roman" w:hAnsi="Times New Roman"/>
          <w:sz w:val="24"/>
        </w:rPr>
        <w:t xml:space="preserve">, logicità, coerenza </w:t>
      </w:r>
      <w:r w:rsidRPr="00CD5477">
        <w:rPr>
          <w:rFonts w:ascii="Times New Roman" w:hAnsi="Times New Roman"/>
          <w:sz w:val="24"/>
        </w:rPr>
        <w:t>e proporzionalit</w:t>
      </w:r>
      <w:r w:rsidR="002C20FF" w:rsidRPr="00CD5477">
        <w:rPr>
          <w:rFonts w:ascii="Times New Roman" w:hAnsi="Times New Roman"/>
          <w:sz w:val="24"/>
        </w:rPr>
        <w:t>à della decisione dell’Autorità e comunque alla verifica che il provvedimento dell’AGCM non abbia esorbitato da</w:t>
      </w:r>
      <w:r w:rsidR="00350B62" w:rsidRPr="00CD5477">
        <w:rPr>
          <w:rFonts w:ascii="Times New Roman" w:hAnsi="Times New Roman"/>
          <w:sz w:val="24"/>
        </w:rPr>
        <w:t>gl</w:t>
      </w:r>
      <w:r w:rsidR="002C20FF" w:rsidRPr="00CD5477">
        <w:rPr>
          <w:rFonts w:ascii="Times New Roman" w:hAnsi="Times New Roman"/>
          <w:sz w:val="24"/>
        </w:rPr>
        <w:t xml:space="preserve">i </w:t>
      </w:r>
      <w:r w:rsidR="00350B62" w:rsidRPr="00CD5477">
        <w:rPr>
          <w:rFonts w:ascii="Times New Roman" w:hAnsi="Times New Roman"/>
          <w:sz w:val="24"/>
        </w:rPr>
        <w:t xml:space="preserve">esistenti </w:t>
      </w:r>
      <w:r w:rsidR="002C20FF" w:rsidRPr="00CD5477">
        <w:rPr>
          <w:rFonts w:ascii="Times New Roman" w:hAnsi="Times New Roman"/>
          <w:sz w:val="24"/>
        </w:rPr>
        <w:t>margini di opinabilità.</w:t>
      </w:r>
    </w:p>
    <w:p w:rsidR="002C20FF" w:rsidRPr="00CD5477" w:rsidRDefault="002C20FF" w:rsidP="0003545E">
      <w:pPr>
        <w:spacing w:line="360" w:lineRule="auto"/>
        <w:ind w:firstLine="709"/>
        <w:jc w:val="both"/>
        <w:rPr>
          <w:rFonts w:ascii="Times New Roman" w:hAnsi="Times New Roman"/>
          <w:sz w:val="24"/>
        </w:rPr>
      </w:pPr>
      <w:r w:rsidRPr="00CD5477">
        <w:rPr>
          <w:rFonts w:ascii="Times New Roman" w:hAnsi="Times New Roman"/>
          <w:sz w:val="24"/>
        </w:rPr>
        <w:t xml:space="preserve">La norma legifera </w:t>
      </w:r>
      <w:r w:rsidR="00234FEF">
        <w:rPr>
          <w:rFonts w:ascii="Times New Roman" w:hAnsi="Times New Roman"/>
          <w:sz w:val="24"/>
        </w:rPr>
        <w:t xml:space="preserve">quanto specificamente affermato da </w:t>
      </w:r>
      <w:r w:rsidRPr="00CD5477">
        <w:rPr>
          <w:rFonts w:ascii="Times New Roman" w:hAnsi="Times New Roman"/>
          <w:sz w:val="24"/>
        </w:rPr>
        <w:t>Cass., sez. un., 20 gen</w:t>
      </w:r>
      <w:r w:rsidR="00734E32" w:rsidRPr="00CD5477">
        <w:rPr>
          <w:rFonts w:ascii="Times New Roman" w:hAnsi="Times New Roman"/>
          <w:sz w:val="24"/>
        </w:rPr>
        <w:t>naio 2014, n. 1013, secondo cui “</w:t>
      </w:r>
      <w:r w:rsidRPr="00CD5477">
        <w:rPr>
          <w:rFonts w:ascii="Times New Roman" w:hAnsi="Times New Roman"/>
          <w:i/>
          <w:sz w:val="24"/>
        </w:rPr>
        <w:t>Il sindacato di legittimità del giudice amministrativo sui provvedimenti dell'Autorità Garante della Concorrenza e del Mercato comporta la verifica diretta dei fatti posti a fondamento del provvedimento impugnato e si estende anche ai profili tecnici, il cui esame sia necessario per giudicarne della legittimità, salvo non includano valutazioni ed apprezzamenti che presentano un oggettivo margine di opinabilità (come nel caso della definizione di mercato rilevante nell'accertamento di intese restrittive della concorrenza), nel qual caso il sindacato, oltre che in un controllo di ragionevolezza, logicità e coerenza della motivazione del provvedimento impugnato, è limitato alla verifica della non esorbitanza dai suddetti margini di opinabilità, non potendo il giudice sostituire il propr</w:t>
      </w:r>
      <w:r w:rsidR="00350B62" w:rsidRPr="00CD5477">
        <w:rPr>
          <w:rFonts w:ascii="Times New Roman" w:hAnsi="Times New Roman"/>
          <w:i/>
          <w:sz w:val="24"/>
        </w:rPr>
        <w:t>io apprezzamento a quello dell'</w:t>
      </w:r>
      <w:r w:rsidR="00734E32" w:rsidRPr="00CD5477">
        <w:rPr>
          <w:rFonts w:ascii="Times New Roman" w:hAnsi="Times New Roman"/>
          <w:i/>
          <w:sz w:val="24"/>
        </w:rPr>
        <w:t>Autorità Garante</w:t>
      </w:r>
      <w:r w:rsidR="00734E32" w:rsidRPr="00CD5477">
        <w:rPr>
          <w:rFonts w:ascii="Times New Roman" w:hAnsi="Times New Roman"/>
          <w:sz w:val="24"/>
        </w:rPr>
        <w:t>”.</w:t>
      </w:r>
    </w:p>
    <w:p w:rsidR="00734E32" w:rsidRPr="00CD5477" w:rsidRDefault="00234FEF" w:rsidP="0003545E">
      <w:pPr>
        <w:spacing w:line="360" w:lineRule="auto"/>
        <w:ind w:firstLine="709"/>
        <w:jc w:val="both"/>
        <w:rPr>
          <w:rFonts w:ascii="Times New Roman" w:hAnsi="Times New Roman"/>
          <w:sz w:val="24"/>
        </w:rPr>
      </w:pPr>
      <w:r>
        <w:rPr>
          <w:rFonts w:ascii="Times New Roman" w:hAnsi="Times New Roman"/>
          <w:sz w:val="24"/>
        </w:rPr>
        <w:t>S</w:t>
      </w:r>
      <w:r w:rsidR="00734E32" w:rsidRPr="00CD5477">
        <w:rPr>
          <w:rFonts w:ascii="Times New Roman" w:hAnsi="Times New Roman"/>
          <w:sz w:val="24"/>
        </w:rPr>
        <w:t>econdo il Consiglio di Stato (sez. VI, 12 ottobre 2017, n. 4733)</w:t>
      </w:r>
      <w:r w:rsidR="00AB0AAD">
        <w:rPr>
          <w:rFonts w:ascii="Times New Roman" w:hAnsi="Times New Roman"/>
          <w:sz w:val="24"/>
        </w:rPr>
        <w:t>,</w:t>
      </w:r>
      <w:r w:rsidR="00734E32" w:rsidRPr="00CD5477">
        <w:rPr>
          <w:rFonts w:ascii="Times New Roman" w:hAnsi="Times New Roman"/>
          <w:sz w:val="24"/>
        </w:rPr>
        <w:t xml:space="preserve"> il legislatore</w:t>
      </w:r>
      <w:r w:rsidR="00C130D9">
        <w:rPr>
          <w:rFonts w:ascii="Times New Roman" w:hAnsi="Times New Roman"/>
          <w:sz w:val="24"/>
        </w:rPr>
        <w:t>, con il citato art. 7,</w:t>
      </w:r>
      <w:r w:rsidR="00734E32" w:rsidRPr="00CD5477">
        <w:rPr>
          <w:rFonts w:ascii="Times New Roman" w:hAnsi="Times New Roman"/>
          <w:sz w:val="24"/>
        </w:rPr>
        <w:t xml:space="preserve"> ha recepito i principi della giurisprudenza amministrativa.</w:t>
      </w:r>
    </w:p>
    <w:p w:rsidR="00446152" w:rsidRPr="00CD5477" w:rsidRDefault="00446152" w:rsidP="0003545E">
      <w:pPr>
        <w:spacing w:line="360" w:lineRule="auto"/>
        <w:ind w:firstLine="709"/>
        <w:jc w:val="both"/>
        <w:rPr>
          <w:rFonts w:ascii="Times New Roman" w:hAnsi="Times New Roman"/>
          <w:sz w:val="24"/>
        </w:rPr>
      </w:pPr>
      <w:r w:rsidRPr="00CD5477">
        <w:rPr>
          <w:rFonts w:ascii="Times New Roman" w:hAnsi="Times New Roman"/>
          <w:sz w:val="24"/>
        </w:rPr>
        <w:t xml:space="preserve">Ma tutto questo è conforme </w:t>
      </w:r>
      <w:r w:rsidR="00734E32" w:rsidRPr="00CD5477">
        <w:rPr>
          <w:rFonts w:ascii="Times New Roman" w:hAnsi="Times New Roman"/>
          <w:sz w:val="24"/>
        </w:rPr>
        <w:t xml:space="preserve">alla CEDU, con </w:t>
      </w:r>
      <w:r w:rsidR="00234FEF">
        <w:rPr>
          <w:rFonts w:ascii="Times New Roman" w:hAnsi="Times New Roman"/>
          <w:sz w:val="24"/>
        </w:rPr>
        <w:t>possibili</w:t>
      </w:r>
      <w:r w:rsidR="00734E32" w:rsidRPr="00CD5477">
        <w:rPr>
          <w:rFonts w:ascii="Times New Roman" w:hAnsi="Times New Roman"/>
          <w:sz w:val="24"/>
        </w:rPr>
        <w:t xml:space="preserve"> problemi di </w:t>
      </w:r>
      <w:r w:rsidRPr="00CD5477">
        <w:rPr>
          <w:rFonts w:ascii="Times New Roman" w:hAnsi="Times New Roman"/>
          <w:sz w:val="24"/>
        </w:rPr>
        <w:t xml:space="preserve">costituzionalità per violazione </w:t>
      </w:r>
      <w:r w:rsidR="00CE0AF3" w:rsidRPr="00CD5477">
        <w:rPr>
          <w:rFonts w:ascii="Times New Roman" w:hAnsi="Times New Roman"/>
          <w:sz w:val="24"/>
        </w:rPr>
        <w:t>di</w:t>
      </w:r>
      <w:r w:rsidRPr="00CD5477">
        <w:rPr>
          <w:rFonts w:ascii="Times New Roman" w:hAnsi="Times New Roman"/>
          <w:sz w:val="24"/>
        </w:rPr>
        <w:t xml:space="preserve"> norma</w:t>
      </w:r>
      <w:r w:rsidR="00CE0AF3" w:rsidRPr="00CD5477">
        <w:rPr>
          <w:rFonts w:ascii="Times New Roman" w:hAnsi="Times New Roman"/>
          <w:sz w:val="24"/>
        </w:rPr>
        <w:t>tiva</w:t>
      </w:r>
      <w:r w:rsidRPr="00CD5477">
        <w:rPr>
          <w:rFonts w:ascii="Times New Roman" w:hAnsi="Times New Roman"/>
          <w:sz w:val="24"/>
        </w:rPr>
        <w:t xml:space="preserve"> inte</w:t>
      </w:r>
      <w:r w:rsidR="00CE0AF3" w:rsidRPr="00CD5477">
        <w:rPr>
          <w:rFonts w:ascii="Times New Roman" w:hAnsi="Times New Roman"/>
          <w:sz w:val="24"/>
        </w:rPr>
        <w:t xml:space="preserve">rposta rappresentata </w:t>
      </w:r>
      <w:r w:rsidR="00234FEF">
        <w:rPr>
          <w:rFonts w:ascii="Times New Roman" w:hAnsi="Times New Roman"/>
          <w:sz w:val="24"/>
        </w:rPr>
        <w:t>dalle norme</w:t>
      </w:r>
      <w:r w:rsidR="00CE0AF3" w:rsidRPr="00CD5477">
        <w:rPr>
          <w:rFonts w:ascii="Times New Roman" w:hAnsi="Times New Roman"/>
          <w:sz w:val="24"/>
        </w:rPr>
        <w:t xml:space="preserve"> della CEDU, oltre che ai principi del giusto processo e dell’effettività della tutela giurisdizionale?</w:t>
      </w:r>
    </w:p>
    <w:p w:rsidR="00CE0AF3" w:rsidRPr="00CD5477" w:rsidRDefault="00CE0AF3" w:rsidP="0003545E">
      <w:pPr>
        <w:spacing w:line="360" w:lineRule="auto"/>
        <w:ind w:firstLine="709"/>
        <w:jc w:val="both"/>
        <w:rPr>
          <w:rFonts w:ascii="Times New Roman" w:hAnsi="Times New Roman"/>
          <w:sz w:val="24"/>
        </w:rPr>
      </w:pPr>
      <w:r w:rsidRPr="00CD5477">
        <w:rPr>
          <w:rFonts w:ascii="Times New Roman" w:hAnsi="Times New Roman"/>
          <w:sz w:val="24"/>
        </w:rPr>
        <w:t>Il diritto di per sé non è una scienza esatta.</w:t>
      </w:r>
    </w:p>
    <w:p w:rsidR="00CE0AF3" w:rsidRPr="00CD5477" w:rsidRDefault="00CE0AF3" w:rsidP="0003545E">
      <w:pPr>
        <w:spacing w:line="360" w:lineRule="auto"/>
        <w:ind w:firstLine="709"/>
        <w:jc w:val="both"/>
        <w:rPr>
          <w:rFonts w:ascii="Times New Roman" w:hAnsi="Times New Roman"/>
          <w:sz w:val="24"/>
        </w:rPr>
      </w:pPr>
      <w:r w:rsidRPr="00CD5477">
        <w:rPr>
          <w:rFonts w:ascii="Times New Roman" w:hAnsi="Times New Roman"/>
          <w:sz w:val="24"/>
        </w:rPr>
        <w:t>La limitazione del sindacato del giudice amministrativo</w:t>
      </w:r>
      <w:r w:rsidR="00AB0AAD">
        <w:rPr>
          <w:rFonts w:ascii="Times New Roman" w:hAnsi="Times New Roman"/>
          <w:sz w:val="24"/>
        </w:rPr>
        <w:t>,</w:t>
      </w:r>
      <w:r w:rsidRPr="00CD5477">
        <w:rPr>
          <w:rFonts w:ascii="Times New Roman" w:hAnsi="Times New Roman"/>
          <w:sz w:val="24"/>
        </w:rPr>
        <w:t xml:space="preserve"> con riguardo ai profili tecnici che non presentano un oggettivo margine di opinabilità</w:t>
      </w:r>
      <w:r w:rsidR="00AB0AAD">
        <w:rPr>
          <w:rFonts w:ascii="Times New Roman" w:hAnsi="Times New Roman"/>
          <w:sz w:val="24"/>
        </w:rPr>
        <w:t>,</w:t>
      </w:r>
      <w:r w:rsidRPr="00CD5477">
        <w:rPr>
          <w:rFonts w:ascii="Times New Roman" w:hAnsi="Times New Roman"/>
          <w:sz w:val="24"/>
        </w:rPr>
        <w:t xml:space="preserve"> non appare in linea con l’attribuzione allo stesso del potere di verificare direttamente </w:t>
      </w:r>
      <w:r w:rsidR="00C130D9">
        <w:rPr>
          <w:rFonts w:ascii="Times New Roman" w:hAnsi="Times New Roman"/>
          <w:sz w:val="24"/>
        </w:rPr>
        <w:t xml:space="preserve">e pienamente </w:t>
      </w:r>
      <w:r w:rsidRPr="00CD5477">
        <w:rPr>
          <w:rFonts w:ascii="Times New Roman" w:hAnsi="Times New Roman"/>
          <w:sz w:val="24"/>
        </w:rPr>
        <w:t>i fatti posti a fondamento del provvedimento impugnato. Anche perché è difficile imbattersi in profili tecnici che non presentano un oggettivo margine di opinabilità.</w:t>
      </w:r>
    </w:p>
    <w:p w:rsidR="00CE0AF3" w:rsidRPr="00CD5477" w:rsidRDefault="00CE0AF3" w:rsidP="0003545E">
      <w:pPr>
        <w:spacing w:line="360" w:lineRule="auto"/>
        <w:ind w:firstLine="709"/>
        <w:jc w:val="both"/>
        <w:rPr>
          <w:rFonts w:ascii="Times New Roman" w:hAnsi="Times New Roman"/>
          <w:sz w:val="24"/>
        </w:rPr>
      </w:pPr>
      <w:r w:rsidRPr="00CD5477">
        <w:rPr>
          <w:rFonts w:ascii="Times New Roman" w:hAnsi="Times New Roman"/>
          <w:sz w:val="24"/>
        </w:rPr>
        <w:t>E allora</w:t>
      </w:r>
      <w:r w:rsidR="00234FEF">
        <w:rPr>
          <w:rFonts w:ascii="Times New Roman" w:hAnsi="Times New Roman"/>
          <w:sz w:val="24"/>
        </w:rPr>
        <w:t>,</w:t>
      </w:r>
      <w:r w:rsidR="00D90FB8" w:rsidRPr="00CD5477">
        <w:rPr>
          <w:rFonts w:ascii="Times New Roman" w:hAnsi="Times New Roman"/>
          <w:sz w:val="24"/>
        </w:rPr>
        <w:t xml:space="preserve"> </w:t>
      </w:r>
      <w:r w:rsidR="00E80985">
        <w:rPr>
          <w:rFonts w:ascii="Times New Roman" w:hAnsi="Times New Roman"/>
          <w:sz w:val="24"/>
        </w:rPr>
        <w:t xml:space="preserve">fermo restando il principio per cui il giudice non si può sostituire all’amministrazione, </w:t>
      </w:r>
      <w:r w:rsidR="00D90FB8" w:rsidRPr="00CD5477">
        <w:rPr>
          <w:rFonts w:ascii="Times New Roman" w:hAnsi="Times New Roman"/>
          <w:sz w:val="24"/>
        </w:rPr>
        <w:t>al</w:t>
      </w:r>
      <w:r w:rsidR="008B72BF">
        <w:rPr>
          <w:rFonts w:ascii="Times New Roman" w:hAnsi="Times New Roman"/>
          <w:sz w:val="24"/>
        </w:rPr>
        <w:t xml:space="preserve">lo stesso </w:t>
      </w:r>
      <w:r w:rsidR="00D90FB8" w:rsidRPr="00CD5477">
        <w:rPr>
          <w:rFonts w:ascii="Times New Roman" w:hAnsi="Times New Roman"/>
          <w:sz w:val="24"/>
        </w:rPr>
        <w:t xml:space="preserve">deve essere consentito non solo di verificare l’esistenza dell’“oggettivo margine di opinabilità” ma anche, in caso di esito positivo, </w:t>
      </w:r>
      <w:r w:rsidR="00E80985">
        <w:rPr>
          <w:rFonts w:ascii="Times New Roman" w:hAnsi="Times New Roman"/>
          <w:sz w:val="24"/>
        </w:rPr>
        <w:t xml:space="preserve">di non fermarsi al semplice riscontro. </w:t>
      </w:r>
      <w:r w:rsidR="008B72BF">
        <w:rPr>
          <w:rFonts w:ascii="Times New Roman" w:hAnsi="Times New Roman"/>
          <w:sz w:val="24"/>
        </w:rPr>
        <w:t>E</w:t>
      </w:r>
      <w:r w:rsidR="00E80985">
        <w:rPr>
          <w:rFonts w:ascii="Times New Roman" w:hAnsi="Times New Roman"/>
          <w:sz w:val="24"/>
        </w:rPr>
        <w:t xml:space="preserve"> </w:t>
      </w:r>
      <w:r w:rsidR="00D90FB8" w:rsidRPr="00CD5477">
        <w:rPr>
          <w:rFonts w:ascii="Times New Roman" w:hAnsi="Times New Roman"/>
          <w:sz w:val="24"/>
        </w:rPr>
        <w:t>di valutare se l’</w:t>
      </w:r>
      <w:r w:rsidR="00E80985">
        <w:rPr>
          <w:rFonts w:ascii="Times New Roman" w:hAnsi="Times New Roman"/>
          <w:sz w:val="24"/>
        </w:rPr>
        <w:t>A</w:t>
      </w:r>
      <w:r w:rsidR="00D90FB8" w:rsidRPr="00CD5477">
        <w:rPr>
          <w:rFonts w:ascii="Times New Roman" w:hAnsi="Times New Roman"/>
          <w:sz w:val="24"/>
        </w:rPr>
        <w:t xml:space="preserve">utorità si sia mossa </w:t>
      </w:r>
      <w:r w:rsidR="00E80985">
        <w:rPr>
          <w:rFonts w:ascii="Times New Roman" w:hAnsi="Times New Roman"/>
          <w:sz w:val="24"/>
        </w:rPr>
        <w:t xml:space="preserve">all’interno </w:t>
      </w:r>
      <w:r w:rsidR="00D90FB8" w:rsidRPr="00CD5477">
        <w:rPr>
          <w:rFonts w:ascii="Times New Roman" w:hAnsi="Times New Roman"/>
          <w:sz w:val="24"/>
        </w:rPr>
        <w:t>delle varie soluzioni consentite</w:t>
      </w:r>
      <w:r w:rsidR="00EF40CB">
        <w:rPr>
          <w:rFonts w:ascii="Times New Roman" w:hAnsi="Times New Roman"/>
          <w:sz w:val="24"/>
        </w:rPr>
        <w:t xml:space="preserve"> dalla tecnica. Proprio perché </w:t>
      </w:r>
      <w:r w:rsidR="00D90FB8" w:rsidRPr="00CD5477">
        <w:rPr>
          <w:rFonts w:ascii="Times New Roman" w:hAnsi="Times New Roman"/>
          <w:sz w:val="24"/>
        </w:rPr>
        <w:t xml:space="preserve">opinabilità significa incertezza ma non arbitrio e comunque le scelte </w:t>
      </w:r>
      <w:r w:rsidR="00EF40CB">
        <w:rPr>
          <w:rFonts w:ascii="Times New Roman" w:hAnsi="Times New Roman"/>
          <w:sz w:val="24"/>
        </w:rPr>
        <w:t xml:space="preserve">non sono illimitate e </w:t>
      </w:r>
      <w:r w:rsidR="00D90FB8" w:rsidRPr="00CD5477">
        <w:rPr>
          <w:rFonts w:ascii="Times New Roman" w:hAnsi="Times New Roman"/>
          <w:sz w:val="24"/>
        </w:rPr>
        <w:t>hanno pur sempre bisogno di giustificazioni e di motivazioni.</w:t>
      </w:r>
    </w:p>
    <w:p w:rsidR="00C415A1" w:rsidRPr="00CD5477" w:rsidRDefault="00E80985" w:rsidP="0003545E">
      <w:pPr>
        <w:spacing w:line="360" w:lineRule="auto"/>
        <w:ind w:firstLine="709"/>
        <w:jc w:val="both"/>
        <w:rPr>
          <w:rFonts w:ascii="Times New Roman" w:hAnsi="Times New Roman"/>
          <w:sz w:val="24"/>
        </w:rPr>
      </w:pPr>
      <w:r>
        <w:rPr>
          <w:rFonts w:ascii="Times New Roman" w:hAnsi="Times New Roman"/>
          <w:sz w:val="24"/>
        </w:rPr>
        <w:t>A</w:t>
      </w:r>
      <w:r w:rsidR="00D90FB8" w:rsidRPr="00CD5477">
        <w:rPr>
          <w:rFonts w:ascii="Times New Roman" w:hAnsi="Times New Roman"/>
          <w:sz w:val="24"/>
        </w:rPr>
        <w:t>l giudice amministrativo potrà essere</w:t>
      </w:r>
      <w:r>
        <w:rPr>
          <w:rFonts w:ascii="Times New Roman" w:hAnsi="Times New Roman"/>
          <w:sz w:val="24"/>
        </w:rPr>
        <w:t>,</w:t>
      </w:r>
      <w:r w:rsidR="00D90FB8" w:rsidRPr="00CD5477">
        <w:rPr>
          <w:rFonts w:ascii="Times New Roman" w:hAnsi="Times New Roman"/>
          <w:sz w:val="24"/>
        </w:rPr>
        <w:t xml:space="preserve"> ad esempio</w:t>
      </w:r>
      <w:r>
        <w:rPr>
          <w:rFonts w:ascii="Times New Roman" w:hAnsi="Times New Roman"/>
          <w:sz w:val="24"/>
        </w:rPr>
        <w:t>,</w:t>
      </w:r>
      <w:r w:rsidR="00D90FB8" w:rsidRPr="00CD5477">
        <w:rPr>
          <w:rFonts w:ascii="Times New Roman" w:hAnsi="Times New Roman"/>
          <w:sz w:val="24"/>
        </w:rPr>
        <w:t xml:space="preserve"> consentito </w:t>
      </w:r>
      <w:r w:rsidR="008B72BF">
        <w:rPr>
          <w:rFonts w:ascii="Times New Roman" w:hAnsi="Times New Roman"/>
          <w:sz w:val="24"/>
        </w:rPr>
        <w:t>l’ausilio</w:t>
      </w:r>
      <w:r w:rsidR="00D90FB8" w:rsidRPr="00CD5477">
        <w:rPr>
          <w:rFonts w:ascii="Times New Roman" w:hAnsi="Times New Roman"/>
          <w:sz w:val="24"/>
        </w:rPr>
        <w:t xml:space="preserve"> di una consulenza tecnica d’ufficio anche in presenza di profili tecnici che presentano un oggettivo margine di opinabilità</w:t>
      </w:r>
      <w:r>
        <w:rPr>
          <w:rFonts w:ascii="Times New Roman" w:hAnsi="Times New Roman"/>
          <w:sz w:val="24"/>
        </w:rPr>
        <w:t>;</w:t>
      </w:r>
      <w:r w:rsidR="00D90FB8" w:rsidRPr="00CD5477">
        <w:rPr>
          <w:rFonts w:ascii="Times New Roman" w:hAnsi="Times New Roman"/>
          <w:sz w:val="24"/>
        </w:rPr>
        <w:t xml:space="preserve"> non per </w:t>
      </w:r>
      <w:r w:rsidR="00C415A1" w:rsidRPr="00CD5477">
        <w:rPr>
          <w:rFonts w:ascii="Times New Roman" w:hAnsi="Times New Roman"/>
          <w:sz w:val="24"/>
        </w:rPr>
        <w:t>sostituirsi a</w:t>
      </w:r>
      <w:r w:rsidR="00D90FB8" w:rsidRPr="00CD5477">
        <w:rPr>
          <w:rFonts w:ascii="Times New Roman" w:hAnsi="Times New Roman"/>
          <w:sz w:val="24"/>
        </w:rPr>
        <w:t>ll’</w:t>
      </w:r>
      <w:r w:rsidR="00C415A1" w:rsidRPr="00CD5477">
        <w:rPr>
          <w:rFonts w:ascii="Times New Roman" w:hAnsi="Times New Roman"/>
          <w:sz w:val="24"/>
        </w:rPr>
        <w:t>A</w:t>
      </w:r>
      <w:r w:rsidR="00D90FB8" w:rsidRPr="00CD5477">
        <w:rPr>
          <w:rFonts w:ascii="Times New Roman" w:hAnsi="Times New Roman"/>
          <w:sz w:val="24"/>
        </w:rPr>
        <w:t>utorità</w:t>
      </w:r>
      <w:r w:rsidR="00AB0AAD">
        <w:rPr>
          <w:rFonts w:ascii="Times New Roman" w:hAnsi="Times New Roman"/>
          <w:sz w:val="24"/>
        </w:rPr>
        <w:t>,</w:t>
      </w:r>
      <w:r w:rsidR="00D90FB8" w:rsidRPr="00CD5477">
        <w:rPr>
          <w:rFonts w:ascii="Times New Roman" w:hAnsi="Times New Roman"/>
          <w:sz w:val="24"/>
        </w:rPr>
        <w:t xml:space="preserve"> ma per verificare </w:t>
      </w:r>
      <w:r w:rsidR="00C415A1" w:rsidRPr="00CD5477">
        <w:rPr>
          <w:rFonts w:ascii="Times New Roman" w:hAnsi="Times New Roman"/>
          <w:sz w:val="24"/>
        </w:rPr>
        <w:t xml:space="preserve">che </w:t>
      </w:r>
      <w:r>
        <w:rPr>
          <w:rFonts w:ascii="Times New Roman" w:hAnsi="Times New Roman"/>
          <w:sz w:val="24"/>
        </w:rPr>
        <w:t>essa</w:t>
      </w:r>
      <w:r w:rsidR="00C415A1" w:rsidRPr="00CD5477">
        <w:rPr>
          <w:rFonts w:ascii="Times New Roman" w:hAnsi="Times New Roman"/>
          <w:sz w:val="24"/>
        </w:rPr>
        <w:t xml:space="preserve"> si sia mossa </w:t>
      </w:r>
      <w:r w:rsidR="00D90FB8" w:rsidRPr="00CD5477">
        <w:rPr>
          <w:rFonts w:ascii="Times New Roman" w:hAnsi="Times New Roman"/>
          <w:sz w:val="24"/>
        </w:rPr>
        <w:t>nell’ambito</w:t>
      </w:r>
      <w:r w:rsidR="00C415A1" w:rsidRPr="00CD5477">
        <w:rPr>
          <w:rFonts w:ascii="Times New Roman" w:hAnsi="Times New Roman"/>
          <w:sz w:val="24"/>
        </w:rPr>
        <w:t xml:space="preserve"> delle varie alternative consentite dalla scienza tecnica e non sia andata al di là del </w:t>
      </w:r>
      <w:r w:rsidR="005B4BDC" w:rsidRPr="00CD5477">
        <w:rPr>
          <w:rFonts w:ascii="Times New Roman" w:hAnsi="Times New Roman"/>
          <w:sz w:val="24"/>
        </w:rPr>
        <w:t>consentito</w:t>
      </w:r>
      <w:r w:rsidR="00C415A1" w:rsidRPr="00CD5477">
        <w:rPr>
          <w:rFonts w:ascii="Times New Roman" w:hAnsi="Times New Roman"/>
          <w:sz w:val="24"/>
        </w:rPr>
        <w:t>.</w:t>
      </w:r>
    </w:p>
    <w:p w:rsidR="00CE0AF3" w:rsidRPr="00CD5477" w:rsidRDefault="00CE0AF3" w:rsidP="0003545E">
      <w:pPr>
        <w:spacing w:line="360" w:lineRule="auto"/>
        <w:ind w:firstLine="709"/>
        <w:jc w:val="both"/>
        <w:rPr>
          <w:rFonts w:ascii="Times New Roman" w:hAnsi="Times New Roman"/>
          <w:sz w:val="24"/>
        </w:rPr>
      </w:pPr>
    </w:p>
    <w:p w:rsidR="00C415A1" w:rsidRPr="00CD5477" w:rsidRDefault="00C415A1" w:rsidP="00C415A1">
      <w:pPr>
        <w:spacing w:line="360" w:lineRule="auto"/>
        <w:ind w:firstLine="709"/>
        <w:jc w:val="both"/>
        <w:rPr>
          <w:rFonts w:ascii="Times New Roman" w:hAnsi="Times New Roman"/>
          <w:sz w:val="24"/>
        </w:rPr>
      </w:pPr>
      <w:r w:rsidRPr="00CD5477">
        <w:rPr>
          <w:rFonts w:ascii="Times New Roman" w:hAnsi="Times New Roman"/>
          <w:b/>
          <w:sz w:val="24"/>
        </w:rPr>
        <w:t>7. Con</w:t>
      </w:r>
      <w:r w:rsidR="00EF40CB">
        <w:rPr>
          <w:rFonts w:ascii="Times New Roman" w:hAnsi="Times New Roman"/>
          <w:b/>
          <w:sz w:val="24"/>
        </w:rPr>
        <w:t>siderazioni finali</w:t>
      </w:r>
      <w:r w:rsidRPr="00CD5477">
        <w:rPr>
          <w:rFonts w:ascii="Times New Roman" w:hAnsi="Times New Roman"/>
          <w:b/>
          <w:sz w:val="24"/>
        </w:rPr>
        <w:t>.</w:t>
      </w:r>
    </w:p>
    <w:p w:rsidR="00C415A1" w:rsidRPr="00CD5477" w:rsidRDefault="00C415A1" w:rsidP="0003545E">
      <w:pPr>
        <w:spacing w:line="360" w:lineRule="auto"/>
        <w:ind w:firstLine="709"/>
        <w:jc w:val="both"/>
        <w:rPr>
          <w:rFonts w:ascii="Times New Roman" w:hAnsi="Times New Roman"/>
          <w:sz w:val="24"/>
        </w:rPr>
      </w:pPr>
      <w:r w:rsidRPr="00CD5477">
        <w:rPr>
          <w:rFonts w:ascii="Times New Roman" w:hAnsi="Times New Roman"/>
          <w:sz w:val="24"/>
        </w:rPr>
        <w:t>Alcune i</w:t>
      </w:r>
      <w:r w:rsidR="00350B62" w:rsidRPr="00CD5477">
        <w:rPr>
          <w:rFonts w:ascii="Times New Roman" w:hAnsi="Times New Roman"/>
          <w:sz w:val="24"/>
        </w:rPr>
        <w:t>mp</w:t>
      </w:r>
      <w:r w:rsidRPr="00CD5477">
        <w:rPr>
          <w:rFonts w:ascii="Times New Roman" w:hAnsi="Times New Roman"/>
          <w:sz w:val="24"/>
        </w:rPr>
        <w:t xml:space="preserve">ressioni dalla visuale del giudice amministrativo, </w:t>
      </w:r>
      <w:r w:rsidR="008B72BF">
        <w:rPr>
          <w:rFonts w:ascii="Times New Roman" w:hAnsi="Times New Roman"/>
          <w:sz w:val="24"/>
        </w:rPr>
        <w:t>il quale</w:t>
      </w:r>
      <w:r w:rsidRPr="00CD5477">
        <w:rPr>
          <w:rFonts w:ascii="Times New Roman" w:hAnsi="Times New Roman"/>
          <w:sz w:val="24"/>
        </w:rPr>
        <w:t xml:space="preserve"> si trova a dovere valutare la legittimità di un provvedimento antitrust dell’Autorità dopo che si è svolta un</w:t>
      </w:r>
      <w:r w:rsidR="00E80985">
        <w:rPr>
          <w:rFonts w:ascii="Times New Roman" w:hAnsi="Times New Roman"/>
          <w:sz w:val="24"/>
        </w:rPr>
        <w:t>’</w:t>
      </w:r>
      <w:r w:rsidRPr="00CD5477">
        <w:rPr>
          <w:rFonts w:ascii="Times New Roman" w:hAnsi="Times New Roman"/>
          <w:sz w:val="24"/>
        </w:rPr>
        <w:t xml:space="preserve">istruttoria </w:t>
      </w:r>
      <w:r w:rsidR="00EF40CB">
        <w:rPr>
          <w:rFonts w:ascii="Times New Roman" w:hAnsi="Times New Roman"/>
          <w:sz w:val="24"/>
        </w:rPr>
        <w:t xml:space="preserve">spesso </w:t>
      </w:r>
      <w:r w:rsidR="00E80985">
        <w:rPr>
          <w:rFonts w:ascii="Times New Roman" w:hAnsi="Times New Roman"/>
          <w:sz w:val="24"/>
        </w:rPr>
        <w:t xml:space="preserve">lunga e ponderosa </w:t>
      </w:r>
      <w:r w:rsidRPr="00CD5477">
        <w:rPr>
          <w:rFonts w:ascii="Times New Roman" w:hAnsi="Times New Roman"/>
          <w:sz w:val="24"/>
        </w:rPr>
        <w:t>tra la stessa e le parti interessate.</w:t>
      </w:r>
    </w:p>
    <w:p w:rsidR="00350B62" w:rsidRPr="00CD5477" w:rsidRDefault="00C415A1" w:rsidP="0003545E">
      <w:pPr>
        <w:spacing w:line="360" w:lineRule="auto"/>
        <w:ind w:firstLine="709"/>
        <w:jc w:val="both"/>
        <w:rPr>
          <w:rFonts w:ascii="Times New Roman" w:hAnsi="Times New Roman"/>
          <w:sz w:val="24"/>
        </w:rPr>
      </w:pPr>
      <w:r w:rsidRPr="00CD5477">
        <w:rPr>
          <w:rFonts w:ascii="Times New Roman" w:hAnsi="Times New Roman"/>
          <w:sz w:val="24"/>
        </w:rPr>
        <w:t>La prima impressione è che alcune volte l’</w:t>
      </w:r>
      <w:r w:rsidR="00350B62" w:rsidRPr="00CD5477">
        <w:rPr>
          <w:rFonts w:ascii="Times New Roman" w:hAnsi="Times New Roman"/>
          <w:sz w:val="24"/>
        </w:rPr>
        <w:t>istruttoria svolta dall’</w:t>
      </w:r>
      <w:r w:rsidR="009B1CA9" w:rsidRPr="00CD5477">
        <w:rPr>
          <w:rFonts w:ascii="Times New Roman" w:hAnsi="Times New Roman"/>
          <w:sz w:val="24"/>
        </w:rPr>
        <w:t xml:space="preserve">AGCM </w:t>
      </w:r>
      <w:r w:rsidR="00350B62" w:rsidRPr="00CD5477">
        <w:rPr>
          <w:rFonts w:ascii="Times New Roman" w:hAnsi="Times New Roman"/>
          <w:sz w:val="24"/>
        </w:rPr>
        <w:t xml:space="preserve">si rivela incompleta nei confronti delle parti, con riguardo alle quali non </w:t>
      </w:r>
      <w:r w:rsidR="00EF40CB">
        <w:rPr>
          <w:rFonts w:ascii="Times New Roman" w:hAnsi="Times New Roman"/>
          <w:sz w:val="24"/>
        </w:rPr>
        <w:t>risulta</w:t>
      </w:r>
      <w:r w:rsidR="00E80985">
        <w:rPr>
          <w:rFonts w:ascii="Times New Roman" w:hAnsi="Times New Roman"/>
          <w:sz w:val="24"/>
        </w:rPr>
        <w:t xml:space="preserve"> instaurato</w:t>
      </w:r>
      <w:r w:rsidR="00350B62" w:rsidRPr="00CD5477">
        <w:rPr>
          <w:rFonts w:ascii="Times New Roman" w:hAnsi="Times New Roman"/>
          <w:sz w:val="24"/>
        </w:rPr>
        <w:t xml:space="preserve"> un contraddittorio </w:t>
      </w:r>
      <w:r w:rsidR="009B1CA9" w:rsidRPr="00CD5477">
        <w:rPr>
          <w:rFonts w:ascii="Times New Roman" w:hAnsi="Times New Roman"/>
          <w:sz w:val="24"/>
        </w:rPr>
        <w:t>pieno e completo</w:t>
      </w:r>
      <w:r w:rsidR="00350B62" w:rsidRPr="00CD5477">
        <w:rPr>
          <w:rFonts w:ascii="Times New Roman" w:hAnsi="Times New Roman"/>
          <w:sz w:val="24"/>
        </w:rPr>
        <w:t>.</w:t>
      </w:r>
      <w:r w:rsidRPr="00CD5477">
        <w:rPr>
          <w:rFonts w:ascii="Times New Roman" w:hAnsi="Times New Roman"/>
          <w:sz w:val="24"/>
        </w:rPr>
        <w:t xml:space="preserve"> E innanzi al giudice amministrativo</w:t>
      </w:r>
      <w:r w:rsidR="009B1CA9" w:rsidRPr="00CD5477">
        <w:rPr>
          <w:rFonts w:ascii="Times New Roman" w:hAnsi="Times New Roman"/>
          <w:sz w:val="24"/>
        </w:rPr>
        <w:t xml:space="preserve"> si </w:t>
      </w:r>
      <w:r w:rsidRPr="00CD5477">
        <w:rPr>
          <w:rFonts w:ascii="Times New Roman" w:hAnsi="Times New Roman"/>
          <w:sz w:val="24"/>
        </w:rPr>
        <w:t>tende</w:t>
      </w:r>
      <w:r w:rsidR="009B1CA9" w:rsidRPr="00CD5477">
        <w:rPr>
          <w:rFonts w:ascii="Times New Roman" w:hAnsi="Times New Roman"/>
          <w:sz w:val="24"/>
        </w:rPr>
        <w:t xml:space="preserve"> a supplire alle carenze ist</w:t>
      </w:r>
      <w:r w:rsidRPr="00CD5477">
        <w:rPr>
          <w:rFonts w:ascii="Times New Roman" w:hAnsi="Times New Roman"/>
          <w:sz w:val="24"/>
        </w:rPr>
        <w:t xml:space="preserve">ruttorie del procedimento, nella ricerca di </w:t>
      </w:r>
      <w:r w:rsidR="00EF40CB">
        <w:rPr>
          <w:rFonts w:ascii="Times New Roman" w:hAnsi="Times New Roman"/>
          <w:sz w:val="24"/>
        </w:rPr>
        <w:t xml:space="preserve">un </w:t>
      </w:r>
      <w:r w:rsidRPr="00CD5477">
        <w:rPr>
          <w:rFonts w:ascii="Times New Roman" w:hAnsi="Times New Roman"/>
          <w:sz w:val="24"/>
        </w:rPr>
        <w:t>contraddittorio tra le parti</w:t>
      </w:r>
      <w:r w:rsidR="00E80985">
        <w:rPr>
          <w:rFonts w:ascii="Times New Roman" w:hAnsi="Times New Roman"/>
          <w:sz w:val="24"/>
        </w:rPr>
        <w:t xml:space="preserve"> pieno ed effettivo</w:t>
      </w:r>
      <w:r w:rsidRPr="00CD5477">
        <w:rPr>
          <w:rFonts w:ascii="Times New Roman" w:hAnsi="Times New Roman"/>
          <w:sz w:val="24"/>
        </w:rPr>
        <w:t>.</w:t>
      </w:r>
    </w:p>
    <w:p w:rsidR="00D67386" w:rsidRPr="00CD5477" w:rsidRDefault="00E80985" w:rsidP="0003545E">
      <w:pPr>
        <w:spacing w:line="360" w:lineRule="auto"/>
        <w:ind w:firstLine="709"/>
        <w:jc w:val="both"/>
        <w:rPr>
          <w:rFonts w:ascii="Times New Roman" w:hAnsi="Times New Roman"/>
          <w:sz w:val="24"/>
        </w:rPr>
      </w:pPr>
      <w:r>
        <w:rPr>
          <w:rFonts w:ascii="Times New Roman" w:hAnsi="Times New Roman"/>
          <w:sz w:val="24"/>
        </w:rPr>
        <w:t>Così che l’</w:t>
      </w:r>
      <w:r w:rsidR="00E15F21" w:rsidRPr="00CD5477">
        <w:rPr>
          <w:rFonts w:ascii="Times New Roman" w:hAnsi="Times New Roman"/>
          <w:sz w:val="24"/>
        </w:rPr>
        <w:t>istruttoria innanz</w:t>
      </w:r>
      <w:r w:rsidR="00D67386" w:rsidRPr="00CD5477">
        <w:rPr>
          <w:rFonts w:ascii="Times New Roman" w:hAnsi="Times New Roman"/>
          <w:sz w:val="24"/>
        </w:rPr>
        <w:t xml:space="preserve">i al </w:t>
      </w:r>
      <w:r w:rsidR="00E15F21" w:rsidRPr="00CD5477">
        <w:rPr>
          <w:rFonts w:ascii="Times New Roman" w:hAnsi="Times New Roman"/>
          <w:sz w:val="24"/>
        </w:rPr>
        <w:t>giudice amministrativo, e i poteri esercitati nell’ambito della stessa,</w:t>
      </w:r>
      <w:r w:rsidR="00D67386" w:rsidRPr="00CD5477">
        <w:rPr>
          <w:rFonts w:ascii="Times New Roman" w:hAnsi="Times New Roman"/>
          <w:sz w:val="24"/>
        </w:rPr>
        <w:t xml:space="preserve"> </w:t>
      </w:r>
      <w:r w:rsidR="00E15F21" w:rsidRPr="00CD5477">
        <w:rPr>
          <w:rFonts w:ascii="Times New Roman" w:hAnsi="Times New Roman"/>
          <w:sz w:val="24"/>
        </w:rPr>
        <w:t>divengono centrali</w:t>
      </w:r>
      <w:r w:rsidR="00D67386" w:rsidRPr="00CD5477">
        <w:rPr>
          <w:rFonts w:ascii="Times New Roman" w:hAnsi="Times New Roman"/>
          <w:sz w:val="24"/>
        </w:rPr>
        <w:t xml:space="preserve"> ai fini della decis</w:t>
      </w:r>
      <w:r w:rsidR="00E15F21" w:rsidRPr="00CD5477">
        <w:rPr>
          <w:rFonts w:ascii="Times New Roman" w:hAnsi="Times New Roman"/>
          <w:sz w:val="24"/>
        </w:rPr>
        <w:t>i</w:t>
      </w:r>
      <w:r w:rsidR="00D67386" w:rsidRPr="00CD5477">
        <w:rPr>
          <w:rFonts w:ascii="Times New Roman" w:hAnsi="Times New Roman"/>
          <w:sz w:val="24"/>
        </w:rPr>
        <w:t>one</w:t>
      </w:r>
      <w:r w:rsidR="00E15F21" w:rsidRPr="00CD5477">
        <w:rPr>
          <w:rFonts w:ascii="Times New Roman" w:hAnsi="Times New Roman"/>
          <w:sz w:val="24"/>
        </w:rPr>
        <w:t xml:space="preserve"> finale</w:t>
      </w:r>
      <w:r w:rsidR="00D67386" w:rsidRPr="00CD5477">
        <w:rPr>
          <w:rFonts w:ascii="Times New Roman" w:hAnsi="Times New Roman"/>
          <w:sz w:val="24"/>
        </w:rPr>
        <w:t>.</w:t>
      </w:r>
    </w:p>
    <w:p w:rsidR="009B1CA9" w:rsidRPr="00CD5477" w:rsidRDefault="00E15F21" w:rsidP="0003545E">
      <w:pPr>
        <w:spacing w:line="360" w:lineRule="auto"/>
        <w:ind w:firstLine="709"/>
        <w:jc w:val="both"/>
        <w:rPr>
          <w:rFonts w:ascii="Times New Roman" w:hAnsi="Times New Roman"/>
          <w:sz w:val="24"/>
        </w:rPr>
      </w:pPr>
      <w:r w:rsidRPr="00CD5477">
        <w:rPr>
          <w:rFonts w:ascii="Times New Roman" w:hAnsi="Times New Roman"/>
          <w:sz w:val="24"/>
        </w:rPr>
        <w:t xml:space="preserve">Inoltre, </w:t>
      </w:r>
      <w:r w:rsidR="009B1CA9" w:rsidRPr="00CD5477">
        <w:rPr>
          <w:rFonts w:ascii="Times New Roman" w:hAnsi="Times New Roman"/>
          <w:sz w:val="24"/>
        </w:rPr>
        <w:t xml:space="preserve">con riguardo soprattutto alle intese anticoncorrenziali, </w:t>
      </w:r>
      <w:r w:rsidRPr="00CD5477">
        <w:rPr>
          <w:rFonts w:ascii="Times New Roman" w:hAnsi="Times New Roman"/>
          <w:sz w:val="24"/>
        </w:rPr>
        <w:t xml:space="preserve">il giudice amministrativo si avvicina molto al </w:t>
      </w:r>
      <w:r w:rsidR="009B1CA9" w:rsidRPr="00CD5477">
        <w:rPr>
          <w:rFonts w:ascii="Times New Roman" w:hAnsi="Times New Roman"/>
          <w:sz w:val="24"/>
        </w:rPr>
        <w:t xml:space="preserve">giudice penale </w:t>
      </w:r>
      <w:r w:rsidRPr="00CD5477">
        <w:rPr>
          <w:rFonts w:ascii="Times New Roman" w:hAnsi="Times New Roman"/>
          <w:sz w:val="24"/>
        </w:rPr>
        <w:t xml:space="preserve">allontanandosi da quelli che sono gli standard tipici del suo essere. Non solo per </w:t>
      </w:r>
      <w:r w:rsidR="009B1CA9" w:rsidRPr="00CD5477">
        <w:rPr>
          <w:rFonts w:ascii="Times New Roman" w:hAnsi="Times New Roman"/>
          <w:sz w:val="24"/>
        </w:rPr>
        <w:t xml:space="preserve">la tendenziale parificazione delle sanzioni amministrative a quelle penali per quanto riguarda l’applicazione </w:t>
      </w:r>
      <w:r w:rsidR="00D67386" w:rsidRPr="00CD5477">
        <w:rPr>
          <w:rFonts w:ascii="Times New Roman" w:hAnsi="Times New Roman"/>
          <w:sz w:val="24"/>
        </w:rPr>
        <w:t xml:space="preserve">dei </w:t>
      </w:r>
      <w:r w:rsidRPr="00CD5477">
        <w:rPr>
          <w:rFonts w:ascii="Times New Roman" w:hAnsi="Times New Roman"/>
          <w:sz w:val="24"/>
        </w:rPr>
        <w:t>principi e della l. n. 689/1981</w:t>
      </w:r>
      <w:r w:rsidR="00E80985">
        <w:rPr>
          <w:rFonts w:ascii="Times New Roman" w:hAnsi="Times New Roman"/>
          <w:sz w:val="24"/>
        </w:rPr>
        <w:t>,</w:t>
      </w:r>
      <w:r w:rsidRPr="00CD5477">
        <w:rPr>
          <w:rFonts w:ascii="Times New Roman" w:hAnsi="Times New Roman"/>
          <w:sz w:val="24"/>
        </w:rPr>
        <w:t xml:space="preserve"> oltre che per quanto si è </w:t>
      </w:r>
      <w:r w:rsidR="00E80985">
        <w:rPr>
          <w:rFonts w:ascii="Times New Roman" w:hAnsi="Times New Roman"/>
          <w:sz w:val="24"/>
        </w:rPr>
        <w:t>detto</w:t>
      </w:r>
      <w:r w:rsidRPr="00CD5477">
        <w:rPr>
          <w:rFonts w:ascii="Times New Roman" w:hAnsi="Times New Roman"/>
          <w:sz w:val="24"/>
        </w:rPr>
        <w:t xml:space="preserve"> in tema di prove.</w:t>
      </w:r>
    </w:p>
    <w:p w:rsidR="00E15F21" w:rsidRPr="00CD5477" w:rsidRDefault="00E15F21" w:rsidP="0003545E">
      <w:pPr>
        <w:spacing w:line="360" w:lineRule="auto"/>
        <w:ind w:firstLine="709"/>
        <w:jc w:val="both"/>
        <w:rPr>
          <w:rFonts w:ascii="Times New Roman" w:hAnsi="Times New Roman"/>
          <w:sz w:val="24"/>
        </w:rPr>
      </w:pPr>
      <w:r w:rsidRPr="00CD5477">
        <w:rPr>
          <w:rFonts w:ascii="Times New Roman" w:hAnsi="Times New Roman"/>
          <w:sz w:val="24"/>
        </w:rPr>
        <w:t>Le intese anticoncorrenziali, soprattutto i cartelli e le pratiche concordate, in questi ultimi tempi molto diffus</w:t>
      </w:r>
      <w:r w:rsidR="00EF40CB">
        <w:rPr>
          <w:rFonts w:ascii="Times New Roman" w:hAnsi="Times New Roman"/>
          <w:sz w:val="24"/>
        </w:rPr>
        <w:t>i</w:t>
      </w:r>
      <w:r w:rsidRPr="00CD5477">
        <w:rPr>
          <w:rFonts w:ascii="Times New Roman" w:hAnsi="Times New Roman"/>
          <w:sz w:val="24"/>
        </w:rPr>
        <w:t xml:space="preserve"> </w:t>
      </w:r>
      <w:r w:rsidR="008B72BF">
        <w:rPr>
          <w:rFonts w:ascii="Times New Roman" w:hAnsi="Times New Roman"/>
          <w:sz w:val="24"/>
        </w:rPr>
        <w:t>nelle</w:t>
      </w:r>
      <w:r w:rsidRPr="00CD5477">
        <w:rPr>
          <w:rFonts w:ascii="Times New Roman" w:hAnsi="Times New Roman"/>
          <w:sz w:val="24"/>
        </w:rPr>
        <w:t xml:space="preserve"> gare di appalti pubblici, sono di difficile individuazione dato il loro carattere segreto. L’</w:t>
      </w:r>
      <w:r w:rsidR="00CE6D6F" w:rsidRPr="00CD5477">
        <w:rPr>
          <w:rFonts w:ascii="Times New Roman" w:hAnsi="Times New Roman"/>
          <w:sz w:val="24"/>
        </w:rPr>
        <w:t>A</w:t>
      </w:r>
      <w:r w:rsidRPr="00CD5477">
        <w:rPr>
          <w:rFonts w:ascii="Times New Roman" w:hAnsi="Times New Roman"/>
          <w:sz w:val="24"/>
        </w:rPr>
        <w:t>utorità</w:t>
      </w:r>
      <w:r w:rsidR="00CE6D6F" w:rsidRPr="00CD5477">
        <w:rPr>
          <w:rFonts w:ascii="Times New Roman" w:hAnsi="Times New Roman"/>
          <w:sz w:val="24"/>
        </w:rPr>
        <w:t>,</w:t>
      </w:r>
      <w:r w:rsidRPr="00CD5477">
        <w:rPr>
          <w:rFonts w:ascii="Times New Roman" w:hAnsi="Times New Roman"/>
          <w:sz w:val="24"/>
        </w:rPr>
        <w:t xml:space="preserve"> </w:t>
      </w:r>
      <w:r w:rsidR="00E80985">
        <w:rPr>
          <w:rFonts w:ascii="Times New Roman" w:hAnsi="Times New Roman"/>
          <w:sz w:val="24"/>
        </w:rPr>
        <w:t>ne</w:t>
      </w:r>
      <w:r w:rsidRPr="00CD5477">
        <w:rPr>
          <w:rFonts w:ascii="Times New Roman" w:hAnsi="Times New Roman"/>
          <w:sz w:val="24"/>
        </w:rPr>
        <w:t xml:space="preserve">ll’attività di indagine basata </w:t>
      </w:r>
      <w:r w:rsidR="00E80985">
        <w:rPr>
          <w:rFonts w:ascii="Times New Roman" w:hAnsi="Times New Roman"/>
          <w:sz w:val="24"/>
        </w:rPr>
        <w:t>soprattutto</w:t>
      </w:r>
      <w:r w:rsidRPr="00CD5477">
        <w:rPr>
          <w:rFonts w:ascii="Times New Roman" w:hAnsi="Times New Roman"/>
          <w:sz w:val="24"/>
        </w:rPr>
        <w:t xml:space="preserve"> su indizi</w:t>
      </w:r>
      <w:r w:rsidR="00CE6D6F" w:rsidRPr="00CD5477">
        <w:rPr>
          <w:rFonts w:ascii="Times New Roman" w:hAnsi="Times New Roman"/>
          <w:sz w:val="24"/>
        </w:rPr>
        <w:t>,</w:t>
      </w:r>
      <w:r w:rsidRPr="00CD5477">
        <w:rPr>
          <w:rFonts w:ascii="Times New Roman" w:hAnsi="Times New Roman"/>
          <w:sz w:val="24"/>
        </w:rPr>
        <w:t xml:space="preserve"> nel formulare </w:t>
      </w:r>
      <w:r w:rsidR="00CE6D6F" w:rsidRPr="00CD5477">
        <w:rPr>
          <w:rFonts w:ascii="Times New Roman" w:hAnsi="Times New Roman"/>
          <w:sz w:val="24"/>
        </w:rPr>
        <w:t>l</w:t>
      </w:r>
      <w:r w:rsidRPr="00CD5477">
        <w:rPr>
          <w:rFonts w:ascii="Times New Roman" w:hAnsi="Times New Roman"/>
          <w:sz w:val="24"/>
        </w:rPr>
        <w:t>’ipotesi accusatoria si avvicina al ruolo tipico</w:t>
      </w:r>
      <w:r w:rsidR="00CE6D6F" w:rsidRPr="00CD5477">
        <w:rPr>
          <w:rFonts w:ascii="Times New Roman" w:hAnsi="Times New Roman"/>
          <w:sz w:val="24"/>
        </w:rPr>
        <w:t xml:space="preserve"> della P</w:t>
      </w:r>
      <w:r w:rsidRPr="00CD5477">
        <w:rPr>
          <w:rFonts w:ascii="Times New Roman" w:hAnsi="Times New Roman"/>
          <w:sz w:val="24"/>
        </w:rPr>
        <w:t>rocura</w:t>
      </w:r>
      <w:r w:rsidR="00CE6D6F" w:rsidRPr="00CD5477">
        <w:rPr>
          <w:rFonts w:ascii="Times New Roman" w:hAnsi="Times New Roman"/>
          <w:sz w:val="24"/>
        </w:rPr>
        <w:t xml:space="preserve"> della Repubblica</w:t>
      </w:r>
      <w:r w:rsidRPr="00CD5477">
        <w:rPr>
          <w:rFonts w:ascii="Times New Roman" w:hAnsi="Times New Roman"/>
          <w:sz w:val="24"/>
        </w:rPr>
        <w:t xml:space="preserve">. Alle parti spetta il compito di far cadere il </w:t>
      </w:r>
      <w:r w:rsidR="00CE6D6F" w:rsidRPr="00CD5477">
        <w:rPr>
          <w:rFonts w:ascii="Times New Roman" w:hAnsi="Times New Roman"/>
          <w:sz w:val="24"/>
        </w:rPr>
        <w:t>“</w:t>
      </w:r>
      <w:r w:rsidRPr="00CD5477">
        <w:rPr>
          <w:rFonts w:ascii="Times New Roman" w:hAnsi="Times New Roman"/>
          <w:sz w:val="24"/>
        </w:rPr>
        <w:t>castello accusatorio</w:t>
      </w:r>
      <w:r w:rsidR="00CE6D6F" w:rsidRPr="00CD5477">
        <w:rPr>
          <w:rFonts w:ascii="Times New Roman" w:hAnsi="Times New Roman"/>
          <w:sz w:val="24"/>
        </w:rPr>
        <w:t>”</w:t>
      </w:r>
      <w:r w:rsidRPr="00CD5477">
        <w:rPr>
          <w:rFonts w:ascii="Times New Roman" w:hAnsi="Times New Roman"/>
          <w:sz w:val="24"/>
        </w:rPr>
        <w:t>. E se non vi riescono nel procedimento che si svolge innanzi all’</w:t>
      </w:r>
      <w:r w:rsidR="00CE6D6F" w:rsidRPr="00CD5477">
        <w:rPr>
          <w:rFonts w:ascii="Times New Roman" w:hAnsi="Times New Roman"/>
          <w:sz w:val="24"/>
        </w:rPr>
        <w:t>A</w:t>
      </w:r>
      <w:r w:rsidRPr="00CD5477">
        <w:rPr>
          <w:rFonts w:ascii="Times New Roman" w:hAnsi="Times New Roman"/>
          <w:sz w:val="24"/>
        </w:rPr>
        <w:t xml:space="preserve">utorità, ci provano </w:t>
      </w:r>
      <w:r w:rsidR="00EF40CB">
        <w:rPr>
          <w:rFonts w:ascii="Times New Roman" w:hAnsi="Times New Roman"/>
          <w:sz w:val="24"/>
        </w:rPr>
        <w:t>con l’</w:t>
      </w:r>
      <w:r w:rsidRPr="00CD5477">
        <w:rPr>
          <w:rFonts w:ascii="Times New Roman" w:hAnsi="Times New Roman"/>
          <w:sz w:val="24"/>
        </w:rPr>
        <w:t>impugna</w:t>
      </w:r>
      <w:r w:rsidR="00EF40CB">
        <w:rPr>
          <w:rFonts w:ascii="Times New Roman" w:hAnsi="Times New Roman"/>
          <w:sz w:val="24"/>
        </w:rPr>
        <w:t>zione de</w:t>
      </w:r>
      <w:r w:rsidRPr="00CD5477">
        <w:rPr>
          <w:rFonts w:ascii="Times New Roman" w:hAnsi="Times New Roman"/>
          <w:sz w:val="24"/>
        </w:rPr>
        <w:t xml:space="preserve">i provvedimenti sanzionatori innanzi al giudice amministrativo. </w:t>
      </w:r>
      <w:r w:rsidR="00CE6D6F" w:rsidRPr="00CD5477">
        <w:rPr>
          <w:rFonts w:ascii="Times New Roman" w:hAnsi="Times New Roman"/>
          <w:sz w:val="24"/>
        </w:rPr>
        <w:t>I</w:t>
      </w:r>
      <w:r w:rsidRPr="00CD5477">
        <w:rPr>
          <w:rFonts w:ascii="Times New Roman" w:hAnsi="Times New Roman"/>
          <w:sz w:val="24"/>
        </w:rPr>
        <w:t>l quale</w:t>
      </w:r>
      <w:r w:rsidR="00CE6D6F" w:rsidRPr="00CD5477">
        <w:rPr>
          <w:rFonts w:ascii="Times New Roman" w:hAnsi="Times New Roman"/>
          <w:sz w:val="24"/>
        </w:rPr>
        <w:t xml:space="preserve">, nel </w:t>
      </w:r>
      <w:r w:rsidRPr="00CD5477">
        <w:rPr>
          <w:rFonts w:ascii="Times New Roman" w:hAnsi="Times New Roman"/>
          <w:sz w:val="24"/>
        </w:rPr>
        <w:t xml:space="preserve">verificare se il </w:t>
      </w:r>
      <w:r w:rsidR="00CE6D6F" w:rsidRPr="00CD5477">
        <w:rPr>
          <w:rFonts w:ascii="Times New Roman" w:hAnsi="Times New Roman"/>
          <w:sz w:val="24"/>
        </w:rPr>
        <w:t>“</w:t>
      </w:r>
      <w:r w:rsidRPr="00CD5477">
        <w:rPr>
          <w:rFonts w:ascii="Times New Roman" w:hAnsi="Times New Roman"/>
          <w:sz w:val="24"/>
        </w:rPr>
        <w:t>castello accusatorio</w:t>
      </w:r>
      <w:r w:rsidR="00CE6D6F" w:rsidRPr="00CD5477">
        <w:rPr>
          <w:rFonts w:ascii="Times New Roman" w:hAnsi="Times New Roman"/>
          <w:sz w:val="24"/>
        </w:rPr>
        <w:t>”</w:t>
      </w:r>
      <w:r w:rsidRPr="00CD5477">
        <w:rPr>
          <w:rFonts w:ascii="Times New Roman" w:hAnsi="Times New Roman"/>
          <w:sz w:val="24"/>
        </w:rPr>
        <w:t xml:space="preserve"> regge o meno</w:t>
      </w:r>
      <w:r w:rsidR="00CE6D6F" w:rsidRPr="00CD5477">
        <w:rPr>
          <w:rFonts w:ascii="Times New Roman" w:hAnsi="Times New Roman"/>
          <w:sz w:val="24"/>
        </w:rPr>
        <w:t>,</w:t>
      </w:r>
      <w:r w:rsidRPr="00CD5477">
        <w:rPr>
          <w:rFonts w:ascii="Times New Roman" w:hAnsi="Times New Roman"/>
          <w:sz w:val="24"/>
        </w:rPr>
        <w:t xml:space="preserve"> </w:t>
      </w:r>
      <w:r w:rsidR="00CE6D6F" w:rsidRPr="00CD5477">
        <w:rPr>
          <w:rFonts w:ascii="Times New Roman" w:hAnsi="Times New Roman"/>
          <w:sz w:val="24"/>
        </w:rPr>
        <w:t xml:space="preserve">si </w:t>
      </w:r>
      <w:r w:rsidRPr="00CD5477">
        <w:rPr>
          <w:rFonts w:ascii="Times New Roman" w:hAnsi="Times New Roman"/>
          <w:sz w:val="24"/>
        </w:rPr>
        <w:t xml:space="preserve">avvicina molto </w:t>
      </w:r>
      <w:r w:rsidR="00CE6D6F" w:rsidRPr="00CD5477">
        <w:rPr>
          <w:rFonts w:ascii="Times New Roman" w:hAnsi="Times New Roman"/>
          <w:sz w:val="24"/>
        </w:rPr>
        <w:t xml:space="preserve">a </w:t>
      </w:r>
      <w:r w:rsidRPr="00CD5477">
        <w:rPr>
          <w:rFonts w:ascii="Times New Roman" w:hAnsi="Times New Roman"/>
          <w:sz w:val="24"/>
        </w:rPr>
        <w:t>quella che è la funzione del giudice penale.</w:t>
      </w:r>
    </w:p>
    <w:p w:rsidR="009B1CA9" w:rsidRPr="00CD5477" w:rsidRDefault="009B1CA9" w:rsidP="0003545E">
      <w:pPr>
        <w:spacing w:line="360" w:lineRule="auto"/>
        <w:ind w:firstLine="709"/>
        <w:jc w:val="both"/>
        <w:rPr>
          <w:rFonts w:ascii="Times New Roman" w:hAnsi="Times New Roman"/>
          <w:sz w:val="24"/>
        </w:rPr>
      </w:pPr>
      <w:r w:rsidRPr="00CD5477">
        <w:rPr>
          <w:rFonts w:ascii="Times New Roman" w:hAnsi="Times New Roman"/>
          <w:sz w:val="24"/>
        </w:rPr>
        <w:t xml:space="preserve">Ma </w:t>
      </w:r>
      <w:r w:rsidR="0048689C" w:rsidRPr="00CD5477">
        <w:rPr>
          <w:rFonts w:ascii="Times New Roman" w:hAnsi="Times New Roman"/>
          <w:sz w:val="24"/>
        </w:rPr>
        <w:t xml:space="preserve">il </w:t>
      </w:r>
      <w:r w:rsidR="00CE6D6F" w:rsidRPr="00CD5477">
        <w:rPr>
          <w:rFonts w:ascii="Times New Roman" w:hAnsi="Times New Roman"/>
          <w:sz w:val="24"/>
        </w:rPr>
        <w:t>giudice amministrativo</w:t>
      </w:r>
      <w:r w:rsidR="0048689C" w:rsidRPr="00CD5477">
        <w:rPr>
          <w:rFonts w:ascii="Times New Roman" w:hAnsi="Times New Roman"/>
          <w:sz w:val="24"/>
        </w:rPr>
        <w:t xml:space="preserve"> </w:t>
      </w:r>
      <w:r w:rsidRPr="00CD5477">
        <w:rPr>
          <w:rFonts w:ascii="Times New Roman" w:hAnsi="Times New Roman"/>
          <w:sz w:val="24"/>
        </w:rPr>
        <w:t xml:space="preserve">non </w:t>
      </w:r>
      <w:r w:rsidR="00CE6D6F" w:rsidRPr="00CD5477">
        <w:rPr>
          <w:rFonts w:ascii="Times New Roman" w:hAnsi="Times New Roman"/>
          <w:sz w:val="24"/>
        </w:rPr>
        <w:t>dispone de</w:t>
      </w:r>
      <w:r w:rsidRPr="00CD5477">
        <w:rPr>
          <w:rFonts w:ascii="Times New Roman" w:hAnsi="Times New Roman"/>
          <w:sz w:val="24"/>
        </w:rPr>
        <w:t xml:space="preserve">gli stessi mezzi di prova </w:t>
      </w:r>
      <w:r w:rsidR="0048689C" w:rsidRPr="00CD5477">
        <w:rPr>
          <w:rFonts w:ascii="Times New Roman" w:hAnsi="Times New Roman"/>
          <w:sz w:val="24"/>
        </w:rPr>
        <w:t>che ha il</w:t>
      </w:r>
      <w:r w:rsidRPr="00CD5477">
        <w:rPr>
          <w:rFonts w:ascii="Times New Roman" w:hAnsi="Times New Roman"/>
          <w:sz w:val="24"/>
        </w:rPr>
        <w:t xml:space="preserve"> giudice penale. E non sempre l’istruttoria di tipo documentale</w:t>
      </w:r>
      <w:r w:rsidR="00E80985">
        <w:rPr>
          <w:rFonts w:ascii="Times New Roman" w:hAnsi="Times New Roman"/>
          <w:sz w:val="24"/>
        </w:rPr>
        <w:t>,</w:t>
      </w:r>
      <w:r w:rsidRPr="00CD5477">
        <w:rPr>
          <w:rFonts w:ascii="Times New Roman" w:hAnsi="Times New Roman"/>
          <w:sz w:val="24"/>
        </w:rPr>
        <w:t xml:space="preserve"> </w:t>
      </w:r>
      <w:r w:rsidR="00E80985">
        <w:rPr>
          <w:rFonts w:ascii="Times New Roman" w:hAnsi="Times New Roman"/>
          <w:sz w:val="24"/>
        </w:rPr>
        <w:t xml:space="preserve">che si svolge innanzi allo stesso, </w:t>
      </w:r>
      <w:r w:rsidRPr="00CD5477">
        <w:rPr>
          <w:rFonts w:ascii="Times New Roman" w:hAnsi="Times New Roman"/>
          <w:sz w:val="24"/>
        </w:rPr>
        <w:t>riesce a pervenire a un esauriente accertamento del fatto.</w:t>
      </w:r>
    </w:p>
    <w:p w:rsidR="005B4BDC" w:rsidRDefault="00E80985" w:rsidP="0003545E">
      <w:pPr>
        <w:spacing w:line="360" w:lineRule="auto"/>
        <w:ind w:firstLine="709"/>
        <w:jc w:val="both"/>
        <w:rPr>
          <w:rFonts w:ascii="Times New Roman" w:hAnsi="Times New Roman"/>
          <w:sz w:val="24"/>
        </w:rPr>
      </w:pPr>
      <w:r>
        <w:rPr>
          <w:rFonts w:ascii="Times New Roman" w:hAnsi="Times New Roman"/>
          <w:sz w:val="24"/>
        </w:rPr>
        <w:t>I</w:t>
      </w:r>
      <w:r w:rsidR="00EF40CB">
        <w:rPr>
          <w:rFonts w:ascii="Times New Roman" w:hAnsi="Times New Roman"/>
          <w:sz w:val="24"/>
        </w:rPr>
        <w:t>nvece, in tema di sindacato su</w:t>
      </w:r>
      <w:r w:rsidR="005B4BDC" w:rsidRPr="00CD5477">
        <w:rPr>
          <w:rFonts w:ascii="Times New Roman" w:hAnsi="Times New Roman"/>
          <w:sz w:val="24"/>
        </w:rPr>
        <w:t xml:space="preserve">l quantum della sanzione pecuniaria, anche per effetto dei maggiori poteri attribuiti nell’ambito della giurisdizione di merito, il giudice amministrativo si </w:t>
      </w:r>
      <w:r w:rsidR="00EF40CB">
        <w:rPr>
          <w:rFonts w:ascii="Times New Roman" w:hAnsi="Times New Roman"/>
          <w:sz w:val="24"/>
        </w:rPr>
        <w:t>muove</w:t>
      </w:r>
      <w:r w:rsidR="005B4BDC" w:rsidRPr="00CD5477">
        <w:rPr>
          <w:rFonts w:ascii="Times New Roman" w:hAnsi="Times New Roman"/>
          <w:sz w:val="24"/>
        </w:rPr>
        <w:t xml:space="preserve"> in un campo a sé più congeniale, tipico del sindacato </w:t>
      </w:r>
      <w:r w:rsidR="00EF40CB">
        <w:rPr>
          <w:rFonts w:ascii="Times New Roman" w:hAnsi="Times New Roman"/>
          <w:sz w:val="24"/>
        </w:rPr>
        <w:t xml:space="preserve">classico </w:t>
      </w:r>
      <w:r w:rsidR="005B4BDC" w:rsidRPr="00CD5477">
        <w:rPr>
          <w:rFonts w:ascii="Times New Roman" w:hAnsi="Times New Roman"/>
          <w:sz w:val="24"/>
        </w:rPr>
        <w:t>di legittimità. Con la conseguente possibilità di intervenire in maniera più incisiva.</w:t>
      </w:r>
    </w:p>
    <w:p w:rsidR="00282831" w:rsidRPr="00CD5477" w:rsidRDefault="00282831" w:rsidP="0003545E">
      <w:pPr>
        <w:spacing w:line="360" w:lineRule="auto"/>
        <w:ind w:firstLine="709"/>
        <w:jc w:val="both"/>
        <w:rPr>
          <w:rFonts w:ascii="Times New Roman" w:hAnsi="Times New Roman"/>
          <w:sz w:val="24"/>
        </w:rPr>
      </w:pPr>
      <w:r>
        <w:rPr>
          <w:rFonts w:ascii="Times New Roman" w:hAnsi="Times New Roman"/>
          <w:sz w:val="24"/>
        </w:rPr>
        <w:t>Va comunque sottolineato l’ibrido costituito dalla parificazione</w:t>
      </w:r>
      <w:r w:rsidR="00EF40CB">
        <w:rPr>
          <w:rFonts w:ascii="Times New Roman" w:hAnsi="Times New Roman"/>
          <w:sz w:val="24"/>
        </w:rPr>
        <w:t>,</w:t>
      </w:r>
      <w:r>
        <w:rPr>
          <w:rFonts w:ascii="Times New Roman" w:hAnsi="Times New Roman"/>
          <w:sz w:val="24"/>
        </w:rPr>
        <w:t xml:space="preserve"> a determinati fini</w:t>
      </w:r>
      <w:r w:rsidR="00EF40CB">
        <w:rPr>
          <w:rFonts w:ascii="Times New Roman" w:hAnsi="Times New Roman"/>
          <w:sz w:val="24"/>
        </w:rPr>
        <w:t>,</w:t>
      </w:r>
      <w:r>
        <w:rPr>
          <w:rFonts w:ascii="Times New Roman" w:hAnsi="Times New Roman"/>
          <w:sz w:val="24"/>
        </w:rPr>
        <w:t xml:space="preserve"> delle sanzioni amministrative alle sanzioni penali</w:t>
      </w:r>
      <w:r w:rsidR="00A86055">
        <w:rPr>
          <w:rFonts w:ascii="Times New Roman" w:hAnsi="Times New Roman"/>
          <w:sz w:val="24"/>
        </w:rPr>
        <w:t>,</w:t>
      </w:r>
      <w:r>
        <w:rPr>
          <w:rFonts w:ascii="Times New Roman" w:hAnsi="Times New Roman"/>
          <w:sz w:val="24"/>
        </w:rPr>
        <w:t xml:space="preserve"> mentre, invece, l’illecito antitrust o meglio gli illeciti antitrust non costituiscono fatti tipici come lo sono le fattispecie criminose costituenti reati.</w:t>
      </w:r>
      <w:r w:rsidR="00990E7D">
        <w:rPr>
          <w:rFonts w:ascii="Times New Roman" w:hAnsi="Times New Roman"/>
          <w:sz w:val="24"/>
        </w:rPr>
        <w:t xml:space="preserve"> E, a differenza di queste ultime, </w:t>
      </w:r>
      <w:r w:rsidR="00EF40CB">
        <w:rPr>
          <w:rFonts w:ascii="Times New Roman" w:hAnsi="Times New Roman"/>
          <w:sz w:val="24"/>
        </w:rPr>
        <w:t>non hanno</w:t>
      </w:r>
      <w:r w:rsidR="00990E7D">
        <w:rPr>
          <w:rFonts w:ascii="Times New Roman" w:hAnsi="Times New Roman"/>
          <w:sz w:val="24"/>
        </w:rPr>
        <w:t xml:space="preserve"> confini</w:t>
      </w:r>
      <w:r w:rsidR="00EF40CB">
        <w:rPr>
          <w:rFonts w:ascii="Times New Roman" w:hAnsi="Times New Roman"/>
          <w:sz w:val="24"/>
        </w:rPr>
        <w:t xml:space="preserve"> ben </w:t>
      </w:r>
      <w:r w:rsidR="00990E7D">
        <w:rPr>
          <w:rFonts w:ascii="Times New Roman" w:hAnsi="Times New Roman"/>
          <w:sz w:val="24"/>
        </w:rPr>
        <w:t>definiti.</w:t>
      </w:r>
    </w:p>
    <w:p w:rsidR="005B4BDC" w:rsidRPr="00CD5477" w:rsidRDefault="00990E7D" w:rsidP="0003545E">
      <w:pPr>
        <w:spacing w:line="360" w:lineRule="auto"/>
        <w:ind w:firstLine="709"/>
        <w:jc w:val="both"/>
        <w:rPr>
          <w:rFonts w:ascii="Times New Roman" w:hAnsi="Times New Roman"/>
          <w:sz w:val="24"/>
        </w:rPr>
      </w:pPr>
      <w:r>
        <w:rPr>
          <w:rFonts w:ascii="Times New Roman" w:hAnsi="Times New Roman"/>
          <w:sz w:val="24"/>
        </w:rPr>
        <w:t>Comunque, i</w:t>
      </w:r>
      <w:r w:rsidR="005B4BDC" w:rsidRPr="00CD5477">
        <w:rPr>
          <w:rFonts w:ascii="Times New Roman" w:hAnsi="Times New Roman"/>
          <w:sz w:val="24"/>
        </w:rPr>
        <w:t xml:space="preserve">n conclusione, </w:t>
      </w:r>
      <w:r>
        <w:rPr>
          <w:rFonts w:ascii="Times New Roman" w:hAnsi="Times New Roman"/>
          <w:sz w:val="24"/>
        </w:rPr>
        <w:t xml:space="preserve">il giudice amministrativo, </w:t>
      </w:r>
      <w:r w:rsidR="005B4BDC" w:rsidRPr="00CD5477">
        <w:rPr>
          <w:rFonts w:ascii="Times New Roman" w:hAnsi="Times New Roman"/>
          <w:sz w:val="24"/>
        </w:rPr>
        <w:t>anche se con tutti i limiti</w:t>
      </w:r>
      <w:r>
        <w:rPr>
          <w:rFonts w:ascii="Times New Roman" w:hAnsi="Times New Roman"/>
          <w:sz w:val="24"/>
        </w:rPr>
        <w:t xml:space="preserve">, </w:t>
      </w:r>
      <w:r w:rsidR="005B4BDC" w:rsidRPr="00CD5477">
        <w:rPr>
          <w:rFonts w:ascii="Times New Roman" w:hAnsi="Times New Roman"/>
          <w:sz w:val="24"/>
        </w:rPr>
        <w:t xml:space="preserve">ha pur sempre un armamentario di poteri che, se esercitati in maniera puntuale, sono </w:t>
      </w:r>
      <w:r>
        <w:rPr>
          <w:rFonts w:ascii="Times New Roman" w:hAnsi="Times New Roman"/>
          <w:sz w:val="24"/>
        </w:rPr>
        <w:t xml:space="preserve">ancora </w:t>
      </w:r>
      <w:r w:rsidR="005B4BDC" w:rsidRPr="00CD5477">
        <w:rPr>
          <w:rFonts w:ascii="Times New Roman" w:hAnsi="Times New Roman"/>
          <w:sz w:val="24"/>
        </w:rPr>
        <w:t xml:space="preserve">in grado di assicurare </w:t>
      </w:r>
      <w:r>
        <w:rPr>
          <w:rFonts w:ascii="Times New Roman" w:hAnsi="Times New Roman"/>
          <w:sz w:val="24"/>
        </w:rPr>
        <w:t>il</w:t>
      </w:r>
      <w:r w:rsidR="005B4BDC" w:rsidRPr="00CD5477">
        <w:rPr>
          <w:rFonts w:ascii="Times New Roman" w:hAnsi="Times New Roman"/>
          <w:sz w:val="24"/>
        </w:rPr>
        <w:t xml:space="preserve"> controllo di legittimità in materia antitrust.</w:t>
      </w:r>
    </w:p>
    <w:p w:rsidR="009B1CA9" w:rsidRDefault="009B1CA9" w:rsidP="0003545E">
      <w:pPr>
        <w:spacing w:line="360" w:lineRule="auto"/>
        <w:ind w:firstLine="709"/>
        <w:jc w:val="both"/>
        <w:rPr>
          <w:rFonts w:ascii="Times New Roman" w:hAnsi="Times New Roman"/>
          <w:sz w:val="24"/>
        </w:rPr>
      </w:pPr>
    </w:p>
    <w:p w:rsidR="002713A5" w:rsidRPr="00FF659A" w:rsidRDefault="002713A5" w:rsidP="002713A5">
      <w:pPr>
        <w:spacing w:line="360" w:lineRule="auto"/>
        <w:ind w:firstLine="709"/>
        <w:jc w:val="right"/>
        <w:rPr>
          <w:rFonts w:ascii="Times New Roman" w:hAnsi="Times New Roman"/>
          <w:b/>
          <w:sz w:val="28"/>
          <w:szCs w:val="28"/>
        </w:rPr>
      </w:pPr>
      <w:r w:rsidRPr="00FF659A">
        <w:rPr>
          <w:rFonts w:ascii="Times New Roman" w:hAnsi="Times New Roman"/>
          <w:b/>
          <w:sz w:val="28"/>
          <w:szCs w:val="28"/>
        </w:rPr>
        <w:t>Carmine Volpe</w:t>
      </w:r>
    </w:p>
    <w:p w:rsidR="002713A5" w:rsidRDefault="002713A5" w:rsidP="002713A5">
      <w:pPr>
        <w:spacing w:line="360" w:lineRule="auto"/>
        <w:ind w:firstLine="709"/>
        <w:jc w:val="right"/>
        <w:rPr>
          <w:rFonts w:ascii="Times New Roman" w:hAnsi="Times New Roman"/>
          <w:sz w:val="24"/>
        </w:rPr>
      </w:pPr>
      <w:r>
        <w:rPr>
          <w:rFonts w:ascii="Times New Roman" w:hAnsi="Times New Roman"/>
          <w:sz w:val="24"/>
        </w:rPr>
        <w:t>Presidente della sezione sesta del Consiglio di Stato</w:t>
      </w:r>
    </w:p>
    <w:p w:rsidR="00FF659A" w:rsidRPr="00CD5477" w:rsidRDefault="00FF659A" w:rsidP="002713A5">
      <w:pPr>
        <w:spacing w:line="360" w:lineRule="auto"/>
        <w:ind w:firstLine="709"/>
        <w:jc w:val="right"/>
        <w:rPr>
          <w:rFonts w:ascii="Times New Roman" w:hAnsi="Times New Roman"/>
          <w:sz w:val="24"/>
        </w:rPr>
      </w:pPr>
      <w:r>
        <w:rPr>
          <w:rFonts w:ascii="Times New Roman" w:hAnsi="Times New Roman"/>
          <w:sz w:val="24"/>
        </w:rPr>
        <w:t>Pubblicato il 6 luglio 2022</w:t>
      </w:r>
      <w:bookmarkStart w:id="0" w:name="_GoBack"/>
      <w:bookmarkEnd w:id="0"/>
    </w:p>
    <w:sectPr w:rsidR="00FF659A" w:rsidRPr="00CD5477">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16E" w:rsidRDefault="001C716E" w:rsidP="00CA15DC">
      <w:pPr>
        <w:spacing w:after="0" w:line="240" w:lineRule="auto"/>
      </w:pPr>
      <w:r>
        <w:separator/>
      </w:r>
    </w:p>
  </w:endnote>
  <w:endnote w:type="continuationSeparator" w:id="0">
    <w:p w:rsidR="001C716E" w:rsidRDefault="001C716E" w:rsidP="00CA1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22" w:rsidRDefault="00DE5E2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155027"/>
      <w:docPartObj>
        <w:docPartGallery w:val="Page Numbers (Bottom of Page)"/>
        <w:docPartUnique/>
      </w:docPartObj>
    </w:sdtPr>
    <w:sdtEndPr/>
    <w:sdtContent>
      <w:p w:rsidR="00DE5E22" w:rsidRDefault="00DE5E22">
        <w:pPr>
          <w:pStyle w:val="Pidipagina"/>
          <w:jc w:val="right"/>
        </w:pPr>
        <w:r>
          <w:fldChar w:fldCharType="begin"/>
        </w:r>
        <w:r>
          <w:instrText>PAGE   \* MERGEFORMAT</w:instrText>
        </w:r>
        <w:r>
          <w:fldChar w:fldCharType="separate"/>
        </w:r>
        <w:r w:rsidR="00FF659A">
          <w:rPr>
            <w:noProof/>
          </w:rPr>
          <w:t>14</w:t>
        </w:r>
        <w:r>
          <w:fldChar w:fldCharType="end"/>
        </w:r>
      </w:p>
    </w:sdtContent>
  </w:sdt>
  <w:p w:rsidR="00DE5E22" w:rsidRDefault="00DE5E2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22" w:rsidRDefault="00DE5E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16E" w:rsidRDefault="001C716E" w:rsidP="00CA15DC">
      <w:pPr>
        <w:spacing w:after="0" w:line="240" w:lineRule="auto"/>
      </w:pPr>
      <w:r>
        <w:separator/>
      </w:r>
    </w:p>
  </w:footnote>
  <w:footnote w:type="continuationSeparator" w:id="0">
    <w:p w:rsidR="001C716E" w:rsidRDefault="001C716E" w:rsidP="00CA15DC">
      <w:pPr>
        <w:spacing w:after="0" w:line="240" w:lineRule="auto"/>
      </w:pPr>
      <w:r>
        <w:continuationSeparator/>
      </w:r>
    </w:p>
  </w:footnote>
  <w:footnote w:id="1">
    <w:p w:rsidR="002713A5" w:rsidRDefault="002713A5" w:rsidP="002713A5">
      <w:pPr>
        <w:pStyle w:val="Testonotaapidipagina"/>
        <w:jc w:val="both"/>
      </w:pPr>
      <w:r>
        <w:rPr>
          <w:rStyle w:val="Rimandonotaapidipagina"/>
        </w:rPr>
        <w:footnoteRef/>
      </w:r>
      <w:r>
        <w:t xml:space="preserve"> Si tratta della relazione svolta nel convegno “</w:t>
      </w:r>
      <w:r w:rsidRPr="002713A5">
        <w:rPr>
          <w:i/>
        </w:rPr>
        <w:t>Antitrust between european law and national law</w:t>
      </w:r>
      <w:r>
        <w:t>”, tenutosi a Treviso il 16 e 17 giugno 2022, dove il sottoscritto ha presieduto la prima sessione dal titolo “</w:t>
      </w:r>
      <w:r w:rsidRPr="002713A5">
        <w:rPr>
          <w:i/>
        </w:rPr>
        <w:t>Attualità in materi</w:t>
      </w:r>
      <w:r>
        <w:rPr>
          <w:i/>
        </w:rPr>
        <w:t>a</w:t>
      </w:r>
      <w:r w:rsidRPr="002713A5">
        <w:rPr>
          <w:i/>
        </w:rPr>
        <w:t xml:space="preserve"> antitrust</w:t>
      </w:r>
      <w:r>
        <w:t>”.</w:t>
      </w:r>
    </w:p>
  </w:footnote>
  <w:footnote w:id="2">
    <w:p w:rsidR="00FD0E3C" w:rsidRDefault="00FD0E3C" w:rsidP="00FD0E3C">
      <w:pPr>
        <w:pStyle w:val="Testonotaapidipagina"/>
        <w:jc w:val="both"/>
      </w:pPr>
      <w:r>
        <w:rPr>
          <w:rStyle w:val="Rimandonotaapidipagina"/>
        </w:rPr>
        <w:footnoteRef/>
      </w:r>
      <w:r>
        <w:t xml:space="preserve"> Sentenza T-286/09 (quindi del Tribunale UE):</w:t>
      </w:r>
    </w:p>
    <w:p w:rsidR="00FD0E3C" w:rsidRDefault="00FD0E3C" w:rsidP="00FD0E3C">
      <w:pPr>
        <w:pStyle w:val="Testonotaapidipagina"/>
        <w:jc w:val="both"/>
      </w:pPr>
      <w:r>
        <w:t>“</w:t>
      </w:r>
      <w:r w:rsidRPr="00FD0E3C">
        <w:rPr>
          <w:i/>
        </w:rPr>
        <w:t>150: Il sistema di controllo giurisdizionale delle decisioni della Commissione riguardanti i procedimenti ai sensi degli articoli 101 e 102 TFUE consiste in un controllo della legittimità degli atti delle istituzioni stabilito all’articolo 263 TFUE (v. sentenza del 26 settembre 2018, Infineon Technologies/Commissione, C 99/17 P, EU:C:2018:773, punto 47 e giurisprudenza ivi citata). La portata di tale controllo si estende a tutti gli elementi delle decisioni della Commissione relative ai procedimenti in applicazione degli articoli 101 e 102 TFUE di cui il giudice dell’Unione garantisce un controllo approfondito, in diritto e in fatto, alla luce dei motivi dedotti dalla parte ricorrente e in considerazione di tutti gli elementi pertinenti forniti da quest’ultima (v. sentenza del 26 settembre 2018, Infineon Technologies/Commissione, C 99/17 P, EU:C:2018:773, punto 48 e giurisprudenza ivi citata). Occorre ricordare, tuttavia, che i giudici dell’Unione non possono, nell’ambito del controllo di legittimità di cui all’articolo 263 TFUE, sostituire la propria motivazione a quella dell’autore dell’atto di cui trattasi (v., sentenza del 24 gennaio 2013, Frucona Košice/Commissione, C 73/11 P, EU:C:2013:32, punto 89 e giurisprudenza ivi citata)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22" w:rsidRDefault="00DE5E2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22" w:rsidRDefault="00DE5E2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22" w:rsidRDefault="00DE5E2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1702AB9-D084-42D1-BC0D-27337E46112F}"/>
    <w:docVar w:name="dgnword-eventsink" w:val="383133896"/>
  </w:docVars>
  <w:rsids>
    <w:rsidRoot w:val="009931F7"/>
    <w:rsid w:val="00003B6B"/>
    <w:rsid w:val="0000583C"/>
    <w:rsid w:val="00017E6E"/>
    <w:rsid w:val="0003545E"/>
    <w:rsid w:val="000376BA"/>
    <w:rsid w:val="000404E5"/>
    <w:rsid w:val="000428E0"/>
    <w:rsid w:val="00053728"/>
    <w:rsid w:val="00064717"/>
    <w:rsid w:val="00072178"/>
    <w:rsid w:val="00097E1E"/>
    <w:rsid w:val="000C1AD1"/>
    <w:rsid w:val="000C2E72"/>
    <w:rsid w:val="000C5170"/>
    <w:rsid w:val="000D01D7"/>
    <w:rsid w:val="000D0D1F"/>
    <w:rsid w:val="000D420D"/>
    <w:rsid w:val="000E19B6"/>
    <w:rsid w:val="000E6FE2"/>
    <w:rsid w:val="001300E7"/>
    <w:rsid w:val="00151762"/>
    <w:rsid w:val="00151863"/>
    <w:rsid w:val="00172D5E"/>
    <w:rsid w:val="00186A06"/>
    <w:rsid w:val="001A0157"/>
    <w:rsid w:val="001A178E"/>
    <w:rsid w:val="001A5EAB"/>
    <w:rsid w:val="001C368C"/>
    <w:rsid w:val="001C4226"/>
    <w:rsid w:val="001C716E"/>
    <w:rsid w:val="001D7DCF"/>
    <w:rsid w:val="001E3526"/>
    <w:rsid w:val="001E4F01"/>
    <w:rsid w:val="001E5FAE"/>
    <w:rsid w:val="00207389"/>
    <w:rsid w:val="00221E74"/>
    <w:rsid w:val="00227A16"/>
    <w:rsid w:val="00234FEF"/>
    <w:rsid w:val="00242C4B"/>
    <w:rsid w:val="0024526E"/>
    <w:rsid w:val="00246FB3"/>
    <w:rsid w:val="00260DE1"/>
    <w:rsid w:val="00266C9C"/>
    <w:rsid w:val="00266D19"/>
    <w:rsid w:val="00270600"/>
    <w:rsid w:val="002713A5"/>
    <w:rsid w:val="00272976"/>
    <w:rsid w:val="002746D0"/>
    <w:rsid w:val="00282831"/>
    <w:rsid w:val="0029275C"/>
    <w:rsid w:val="00295B1C"/>
    <w:rsid w:val="002A002B"/>
    <w:rsid w:val="002B3C20"/>
    <w:rsid w:val="002B49A8"/>
    <w:rsid w:val="002C20FF"/>
    <w:rsid w:val="00301CC3"/>
    <w:rsid w:val="00302773"/>
    <w:rsid w:val="00310209"/>
    <w:rsid w:val="00324FAD"/>
    <w:rsid w:val="00343CCC"/>
    <w:rsid w:val="00350B62"/>
    <w:rsid w:val="00354574"/>
    <w:rsid w:val="00370F41"/>
    <w:rsid w:val="0037528D"/>
    <w:rsid w:val="003754F4"/>
    <w:rsid w:val="00385FEF"/>
    <w:rsid w:val="00397FE7"/>
    <w:rsid w:val="003A044C"/>
    <w:rsid w:val="003A48B0"/>
    <w:rsid w:val="003A5028"/>
    <w:rsid w:val="003B3214"/>
    <w:rsid w:val="003B64A1"/>
    <w:rsid w:val="003B76C9"/>
    <w:rsid w:val="003B7A91"/>
    <w:rsid w:val="003D3A0C"/>
    <w:rsid w:val="003E000B"/>
    <w:rsid w:val="0040619E"/>
    <w:rsid w:val="00446152"/>
    <w:rsid w:val="00454CD8"/>
    <w:rsid w:val="00460920"/>
    <w:rsid w:val="00465774"/>
    <w:rsid w:val="00467EEA"/>
    <w:rsid w:val="004708CF"/>
    <w:rsid w:val="0048689C"/>
    <w:rsid w:val="004A1D71"/>
    <w:rsid w:val="004A649E"/>
    <w:rsid w:val="004D4DD5"/>
    <w:rsid w:val="004F1DC4"/>
    <w:rsid w:val="00507010"/>
    <w:rsid w:val="00512816"/>
    <w:rsid w:val="00521554"/>
    <w:rsid w:val="00540041"/>
    <w:rsid w:val="0054126D"/>
    <w:rsid w:val="005479F5"/>
    <w:rsid w:val="0055402A"/>
    <w:rsid w:val="00564652"/>
    <w:rsid w:val="00565064"/>
    <w:rsid w:val="0058401E"/>
    <w:rsid w:val="00585D44"/>
    <w:rsid w:val="00594183"/>
    <w:rsid w:val="005B17F0"/>
    <w:rsid w:val="005B4BDC"/>
    <w:rsid w:val="005D42C9"/>
    <w:rsid w:val="00600EF4"/>
    <w:rsid w:val="00602189"/>
    <w:rsid w:val="006039E4"/>
    <w:rsid w:val="0061151E"/>
    <w:rsid w:val="0067122C"/>
    <w:rsid w:val="006738C7"/>
    <w:rsid w:val="0069619C"/>
    <w:rsid w:val="006A0D6A"/>
    <w:rsid w:val="006A4353"/>
    <w:rsid w:val="006C5298"/>
    <w:rsid w:val="006C6BEF"/>
    <w:rsid w:val="006E55C9"/>
    <w:rsid w:val="006F354A"/>
    <w:rsid w:val="006F6849"/>
    <w:rsid w:val="0070598F"/>
    <w:rsid w:val="0071087E"/>
    <w:rsid w:val="00714B3C"/>
    <w:rsid w:val="00730805"/>
    <w:rsid w:val="00734E32"/>
    <w:rsid w:val="00740F13"/>
    <w:rsid w:val="0076674E"/>
    <w:rsid w:val="00782F65"/>
    <w:rsid w:val="0078733D"/>
    <w:rsid w:val="007C0755"/>
    <w:rsid w:val="007C270E"/>
    <w:rsid w:val="007D4CEF"/>
    <w:rsid w:val="007E50AE"/>
    <w:rsid w:val="007F0406"/>
    <w:rsid w:val="008151FC"/>
    <w:rsid w:val="00836E87"/>
    <w:rsid w:val="00840C09"/>
    <w:rsid w:val="0084257D"/>
    <w:rsid w:val="0085282F"/>
    <w:rsid w:val="008769DA"/>
    <w:rsid w:val="00884F0B"/>
    <w:rsid w:val="00885FB4"/>
    <w:rsid w:val="008A6AC1"/>
    <w:rsid w:val="008B4B6E"/>
    <w:rsid w:val="008B72BF"/>
    <w:rsid w:val="008B7E3A"/>
    <w:rsid w:val="008B7F2C"/>
    <w:rsid w:val="008D4978"/>
    <w:rsid w:val="008E00BE"/>
    <w:rsid w:val="008E0F17"/>
    <w:rsid w:val="008F6A50"/>
    <w:rsid w:val="00921672"/>
    <w:rsid w:val="00933C65"/>
    <w:rsid w:val="00980936"/>
    <w:rsid w:val="00990E7D"/>
    <w:rsid w:val="00991A2A"/>
    <w:rsid w:val="009931F7"/>
    <w:rsid w:val="009B1CA9"/>
    <w:rsid w:val="009D696D"/>
    <w:rsid w:val="00A34B11"/>
    <w:rsid w:val="00A56FF2"/>
    <w:rsid w:val="00A60F4C"/>
    <w:rsid w:val="00A62C33"/>
    <w:rsid w:val="00A73DF2"/>
    <w:rsid w:val="00A83D19"/>
    <w:rsid w:val="00A842E6"/>
    <w:rsid w:val="00A86055"/>
    <w:rsid w:val="00A927F4"/>
    <w:rsid w:val="00AB0AAD"/>
    <w:rsid w:val="00AB1F37"/>
    <w:rsid w:val="00AB490D"/>
    <w:rsid w:val="00AD0CCF"/>
    <w:rsid w:val="00B115E7"/>
    <w:rsid w:val="00B201B8"/>
    <w:rsid w:val="00B249BA"/>
    <w:rsid w:val="00B26FF0"/>
    <w:rsid w:val="00B34D3B"/>
    <w:rsid w:val="00B45AE8"/>
    <w:rsid w:val="00B50FA0"/>
    <w:rsid w:val="00B611F9"/>
    <w:rsid w:val="00B760FE"/>
    <w:rsid w:val="00B81987"/>
    <w:rsid w:val="00B91E09"/>
    <w:rsid w:val="00B93B9D"/>
    <w:rsid w:val="00BF73A1"/>
    <w:rsid w:val="00BF7B58"/>
    <w:rsid w:val="00C1063D"/>
    <w:rsid w:val="00C130D9"/>
    <w:rsid w:val="00C24968"/>
    <w:rsid w:val="00C26808"/>
    <w:rsid w:val="00C302CC"/>
    <w:rsid w:val="00C415A1"/>
    <w:rsid w:val="00C43721"/>
    <w:rsid w:val="00C50B44"/>
    <w:rsid w:val="00C52A84"/>
    <w:rsid w:val="00C61128"/>
    <w:rsid w:val="00C92AC9"/>
    <w:rsid w:val="00CA15DC"/>
    <w:rsid w:val="00CA30BC"/>
    <w:rsid w:val="00CA4069"/>
    <w:rsid w:val="00CA63F8"/>
    <w:rsid w:val="00CB0460"/>
    <w:rsid w:val="00CB5441"/>
    <w:rsid w:val="00CB544C"/>
    <w:rsid w:val="00CD5477"/>
    <w:rsid w:val="00CE0AF3"/>
    <w:rsid w:val="00CE6D6F"/>
    <w:rsid w:val="00CF1247"/>
    <w:rsid w:val="00D24AB3"/>
    <w:rsid w:val="00D45B54"/>
    <w:rsid w:val="00D67386"/>
    <w:rsid w:val="00D77F0F"/>
    <w:rsid w:val="00D82C5C"/>
    <w:rsid w:val="00D90FB8"/>
    <w:rsid w:val="00D927F8"/>
    <w:rsid w:val="00DA363C"/>
    <w:rsid w:val="00DA5263"/>
    <w:rsid w:val="00DA6E5E"/>
    <w:rsid w:val="00DB4A14"/>
    <w:rsid w:val="00DB535D"/>
    <w:rsid w:val="00DB7F31"/>
    <w:rsid w:val="00DC0F9F"/>
    <w:rsid w:val="00DC1E06"/>
    <w:rsid w:val="00DE3BCF"/>
    <w:rsid w:val="00DE5E22"/>
    <w:rsid w:val="00E02B48"/>
    <w:rsid w:val="00E15F21"/>
    <w:rsid w:val="00E20D78"/>
    <w:rsid w:val="00E21392"/>
    <w:rsid w:val="00E362C2"/>
    <w:rsid w:val="00E441E4"/>
    <w:rsid w:val="00E573C8"/>
    <w:rsid w:val="00E634A1"/>
    <w:rsid w:val="00E63BB5"/>
    <w:rsid w:val="00E80985"/>
    <w:rsid w:val="00E971D6"/>
    <w:rsid w:val="00EC2F4A"/>
    <w:rsid w:val="00EF078E"/>
    <w:rsid w:val="00EF40CB"/>
    <w:rsid w:val="00F07F23"/>
    <w:rsid w:val="00F208B6"/>
    <w:rsid w:val="00F221C9"/>
    <w:rsid w:val="00F24A45"/>
    <w:rsid w:val="00F271A0"/>
    <w:rsid w:val="00FA3BC6"/>
    <w:rsid w:val="00FC0ABF"/>
    <w:rsid w:val="00FD0E3C"/>
    <w:rsid w:val="00FD2F5C"/>
    <w:rsid w:val="00FE22EA"/>
    <w:rsid w:val="00FF3034"/>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3E99"/>
  <w15:chartTrackingRefBased/>
  <w15:docId w15:val="{A5F9DE3E-5885-4BB2-85A1-74AF4020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15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A15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15DC"/>
  </w:style>
  <w:style w:type="paragraph" w:styleId="Pidipagina">
    <w:name w:val="footer"/>
    <w:basedOn w:val="Normale"/>
    <w:link w:val="PidipaginaCarattere"/>
    <w:uiPriority w:val="99"/>
    <w:unhideWhenUsed/>
    <w:rsid w:val="00CA15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15DC"/>
  </w:style>
  <w:style w:type="paragraph" w:styleId="Testofumetto">
    <w:name w:val="Balloon Text"/>
    <w:basedOn w:val="Normale"/>
    <w:link w:val="TestofumettoCarattere"/>
    <w:uiPriority w:val="99"/>
    <w:semiHidden/>
    <w:unhideWhenUsed/>
    <w:rsid w:val="00266D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6D19"/>
    <w:rPr>
      <w:rFonts w:ascii="Segoe UI" w:hAnsi="Segoe UI" w:cs="Segoe UI"/>
      <w:sz w:val="18"/>
      <w:szCs w:val="18"/>
    </w:rPr>
  </w:style>
  <w:style w:type="paragraph" w:styleId="Paragrafoelenco">
    <w:name w:val="List Paragraph"/>
    <w:basedOn w:val="Normale"/>
    <w:uiPriority w:val="34"/>
    <w:qFormat/>
    <w:rsid w:val="00246FB3"/>
    <w:pPr>
      <w:ind w:left="720"/>
      <w:contextualSpacing/>
    </w:pPr>
  </w:style>
  <w:style w:type="paragraph" w:styleId="Testonotaapidipagina">
    <w:name w:val="footnote text"/>
    <w:basedOn w:val="Normale"/>
    <w:link w:val="TestonotaapidipaginaCarattere"/>
    <w:uiPriority w:val="99"/>
    <w:semiHidden/>
    <w:unhideWhenUsed/>
    <w:rsid w:val="00FD0E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E3C"/>
    <w:rPr>
      <w:sz w:val="20"/>
      <w:szCs w:val="20"/>
    </w:rPr>
  </w:style>
  <w:style w:type="character" w:styleId="Rimandonotaapidipagina">
    <w:name w:val="footnote reference"/>
    <w:basedOn w:val="Carpredefinitoparagrafo"/>
    <w:uiPriority w:val="99"/>
    <w:semiHidden/>
    <w:unhideWhenUsed/>
    <w:rsid w:val="00FD0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4ED7E-E081-4DC0-8161-CFB9C54F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4633</Words>
  <Characters>26413</Characters>
  <Application>Microsoft Office Word</Application>
  <DocSecurity>0</DocSecurity>
  <Lines>220</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VOLPE Carmine</dc:creator>
  <cp:keywords/>
  <dc:description/>
  <cp:lastModifiedBy>FERRARI Giulia</cp:lastModifiedBy>
  <cp:revision>2</cp:revision>
  <cp:lastPrinted>2022-06-15T08:32:00Z</cp:lastPrinted>
  <dcterms:created xsi:type="dcterms:W3CDTF">2022-07-06T10:58:00Z</dcterms:created>
  <dcterms:modified xsi:type="dcterms:W3CDTF">2022-07-06T10:58:00Z</dcterms:modified>
</cp:coreProperties>
</file>