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4344EC" w14:textId="44105FEF" w:rsidR="00FD616A" w:rsidRPr="00BF1CAF" w:rsidRDefault="00BF1CAF" w:rsidP="005479DA">
      <w:pPr>
        <w:pStyle w:val="Titolodelcapitolo"/>
        <w:spacing w:before="0" w:after="0" w:line="360" w:lineRule="auto"/>
        <w:contextualSpacing/>
        <w:rPr>
          <w:rFonts w:ascii="Century Schoolbook" w:hAnsi="Century Schoolbook"/>
          <w:b/>
          <w:sz w:val="36"/>
          <w:szCs w:val="36"/>
        </w:rPr>
      </w:pPr>
      <w:bookmarkStart w:id="0" w:name="_GoBack"/>
      <w:bookmarkEnd w:id="0"/>
      <w:r w:rsidRPr="00BF1CAF">
        <w:rPr>
          <w:rFonts w:ascii="Century Schoolbook" w:hAnsi="Century Schoolbook"/>
          <w:b/>
          <w:caps w:val="0"/>
          <w:sz w:val="36"/>
          <w:szCs w:val="36"/>
        </w:rPr>
        <w:t xml:space="preserve">Ricorso al mercato </w:t>
      </w:r>
    </w:p>
    <w:p w14:paraId="205D5988" w14:textId="23B53607" w:rsidR="005479DA" w:rsidRPr="00BF1CAF" w:rsidRDefault="00BF1CAF" w:rsidP="005479DA">
      <w:pPr>
        <w:pStyle w:val="Titolodelcapitolo"/>
        <w:spacing w:before="0" w:after="0" w:line="360" w:lineRule="auto"/>
        <w:contextualSpacing/>
        <w:rPr>
          <w:rFonts w:ascii="Century Schoolbook" w:hAnsi="Century Schoolbook"/>
          <w:b/>
          <w:sz w:val="36"/>
          <w:szCs w:val="36"/>
        </w:rPr>
      </w:pPr>
      <w:r w:rsidRPr="00BF1CAF">
        <w:rPr>
          <w:rFonts w:ascii="Century Schoolbook" w:hAnsi="Century Schoolbook"/>
          <w:b/>
          <w:caps w:val="0"/>
          <w:sz w:val="36"/>
          <w:szCs w:val="36"/>
        </w:rPr>
        <w:t xml:space="preserve">e affidamento </w:t>
      </w:r>
      <w:r w:rsidRPr="00BF1CAF">
        <w:rPr>
          <w:rFonts w:ascii="Century Schoolbook" w:hAnsi="Century Schoolbook"/>
          <w:b/>
          <w:i/>
          <w:iCs/>
          <w:caps w:val="0"/>
          <w:sz w:val="36"/>
          <w:szCs w:val="36"/>
        </w:rPr>
        <w:t xml:space="preserve">in </w:t>
      </w:r>
      <w:proofErr w:type="spellStart"/>
      <w:r w:rsidRPr="00BF1CAF">
        <w:rPr>
          <w:rFonts w:ascii="Century Schoolbook" w:hAnsi="Century Schoolbook"/>
          <w:b/>
          <w:i/>
          <w:iCs/>
          <w:caps w:val="0"/>
          <w:sz w:val="36"/>
          <w:szCs w:val="36"/>
        </w:rPr>
        <w:t>house</w:t>
      </w:r>
      <w:proofErr w:type="spellEnd"/>
      <w:r w:rsidRPr="00BF1CAF">
        <w:rPr>
          <w:rFonts w:ascii="Century Schoolbook" w:hAnsi="Century Schoolbook"/>
          <w:b/>
          <w:caps w:val="0"/>
          <w:sz w:val="36"/>
          <w:szCs w:val="36"/>
        </w:rPr>
        <w:t xml:space="preserve"> </w:t>
      </w:r>
    </w:p>
    <w:p w14:paraId="1772C0C5" w14:textId="1C651B49" w:rsidR="005479DA" w:rsidRPr="00FD616A" w:rsidRDefault="00BF1CAF" w:rsidP="005479DA">
      <w:pPr>
        <w:pStyle w:val="Titolodelcapitolo"/>
        <w:spacing w:before="0" w:after="0" w:line="360" w:lineRule="auto"/>
        <w:contextualSpacing/>
        <w:rPr>
          <w:rStyle w:val="Rimandonotaapidipagina"/>
          <w:rFonts w:ascii="Century Schoolbook" w:hAnsi="Century Schoolbook"/>
        </w:rPr>
      </w:pPr>
      <w:r w:rsidRPr="00BF1CAF">
        <w:rPr>
          <w:rFonts w:ascii="Century Schoolbook" w:hAnsi="Century Schoolbook"/>
          <w:b/>
          <w:caps w:val="0"/>
          <w:sz w:val="36"/>
          <w:szCs w:val="36"/>
        </w:rPr>
        <w:t>nel diritto universitario</w:t>
      </w:r>
      <w:r w:rsidR="00F7397D" w:rsidRPr="00FD616A">
        <w:rPr>
          <w:rStyle w:val="Rimandonotaapidipagina"/>
          <w:rFonts w:ascii="Century Schoolbook" w:hAnsi="Century Schoolbook"/>
        </w:rPr>
        <w:footnoteReference w:customMarkFollows="1" w:id="2"/>
        <w:t>*</w:t>
      </w:r>
    </w:p>
    <w:p w14:paraId="0C457D11" w14:textId="77777777" w:rsidR="00FD616A" w:rsidRDefault="00FD616A" w:rsidP="005479DA">
      <w:pPr>
        <w:pStyle w:val="Titolodelcapitolo"/>
        <w:spacing w:before="0" w:after="0" w:line="240" w:lineRule="auto"/>
        <w:contextualSpacing/>
        <w:jc w:val="right"/>
        <w:rPr>
          <w:rFonts w:ascii="Century Schoolbook" w:hAnsi="Century Schoolbook"/>
          <w:caps w:val="0"/>
          <w:sz w:val="24"/>
        </w:rPr>
      </w:pPr>
    </w:p>
    <w:p w14:paraId="4F19CE31" w14:textId="6817E210" w:rsidR="00F7397D" w:rsidRPr="00FD616A" w:rsidRDefault="00F7397D" w:rsidP="005479DA">
      <w:pPr>
        <w:pStyle w:val="Titolodelcapitolo"/>
        <w:spacing w:before="0" w:after="0" w:line="240" w:lineRule="auto"/>
        <w:contextualSpacing/>
        <w:jc w:val="right"/>
        <w:rPr>
          <w:rFonts w:ascii="Century Schoolbook" w:hAnsi="Century Schoolbook"/>
          <w:i/>
          <w:iCs/>
          <w:sz w:val="16"/>
          <w:szCs w:val="16"/>
        </w:rPr>
      </w:pPr>
    </w:p>
    <w:p w14:paraId="29A3FEDE" w14:textId="77777777" w:rsidR="005479DA" w:rsidRPr="00FD616A" w:rsidRDefault="005479DA" w:rsidP="005479DA">
      <w:pPr>
        <w:pStyle w:val="Sommario"/>
        <w:spacing w:before="0" w:after="0" w:line="360" w:lineRule="auto"/>
        <w:contextualSpacing/>
        <w:rPr>
          <w:rFonts w:ascii="Century Schoolbook" w:hAnsi="Century Schoolbook"/>
          <w:smallCaps/>
        </w:rPr>
      </w:pPr>
    </w:p>
    <w:p w14:paraId="2C081F78" w14:textId="2B424D80" w:rsidR="00F7397D" w:rsidRPr="00FD616A" w:rsidRDefault="00F7397D" w:rsidP="005479DA">
      <w:pPr>
        <w:pStyle w:val="Sommario"/>
        <w:spacing w:before="0" w:after="0" w:line="360" w:lineRule="auto"/>
        <w:contextualSpacing/>
        <w:rPr>
          <w:rFonts w:ascii="Century Schoolbook" w:hAnsi="Century Schoolbook"/>
          <w:i/>
          <w:iCs/>
        </w:rPr>
      </w:pPr>
      <w:r w:rsidRPr="00FD616A">
        <w:rPr>
          <w:rFonts w:ascii="Century Schoolbook" w:hAnsi="Century Schoolbook"/>
          <w:smallCaps/>
        </w:rPr>
        <w:t xml:space="preserve">Sommario: 1. </w:t>
      </w:r>
      <w:r w:rsidRPr="00FD616A">
        <w:rPr>
          <w:rFonts w:ascii="Century Schoolbook" w:hAnsi="Century Schoolbook"/>
        </w:rPr>
        <w:t>Come una saga: gli attori.</w:t>
      </w:r>
      <w:r w:rsidRPr="00FD616A">
        <w:rPr>
          <w:rFonts w:ascii="Century Schoolbook" w:hAnsi="Century Schoolbook"/>
          <w:smallCaps/>
        </w:rPr>
        <w:t xml:space="preserve"> – 2.</w:t>
      </w:r>
      <w:r w:rsidRPr="00FD616A">
        <w:rPr>
          <w:rFonts w:ascii="Century Schoolbook" w:hAnsi="Century Schoolbook"/>
        </w:rPr>
        <w:t xml:space="preserve"> La contesa. – 3. Nel 2015: il contrasto interno al Consiglio di Stato e la posizione rigorosa della VI sezione. – 4. Le norme c.d. salva-Cine</w:t>
      </w:r>
      <w:r w:rsidRPr="00FD616A">
        <w:rPr>
          <w:rFonts w:ascii="Century Schoolbook" w:hAnsi="Century Schoolbook"/>
        </w:rPr>
        <w:softHyphen/>
        <w:t xml:space="preserve">ca: un nulla di fatto? – 5. Provvista di servizi universitari, aiuti di Stato, </w:t>
      </w:r>
      <w:r w:rsidRPr="00FD616A">
        <w:rPr>
          <w:rFonts w:ascii="Century Schoolbook" w:hAnsi="Century Schoolbook"/>
          <w:i/>
          <w:iCs/>
        </w:rPr>
        <w:t>in house</w:t>
      </w:r>
      <w:r w:rsidRPr="00FD616A">
        <w:rPr>
          <w:rFonts w:ascii="Century Schoolbook" w:hAnsi="Century Schoolbook"/>
        </w:rPr>
        <w:t xml:space="preserve">. – 6. </w:t>
      </w:r>
      <w:proofErr w:type="spellStart"/>
      <w:r w:rsidRPr="00FD616A">
        <w:rPr>
          <w:rFonts w:ascii="Century Schoolbook" w:hAnsi="Century Schoolbook"/>
        </w:rPr>
        <w:t>L’</w:t>
      </w:r>
      <w:r w:rsidRPr="00FD616A">
        <w:rPr>
          <w:rFonts w:ascii="Century Schoolbook" w:hAnsi="Century Schoolbook"/>
          <w:i/>
          <w:iCs/>
        </w:rPr>
        <w:t>intra</w:t>
      </w:r>
      <w:proofErr w:type="spellEnd"/>
      <w:r w:rsidRPr="00FD616A">
        <w:rPr>
          <w:rFonts w:ascii="Century Schoolbook" w:hAnsi="Century Schoolbook"/>
          <w:i/>
          <w:iCs/>
        </w:rPr>
        <w:t xml:space="preserve"> </w:t>
      </w:r>
      <w:proofErr w:type="spellStart"/>
      <w:r w:rsidRPr="00FD616A">
        <w:rPr>
          <w:rFonts w:ascii="Century Schoolbook" w:hAnsi="Century Schoolbook"/>
          <w:i/>
          <w:iCs/>
        </w:rPr>
        <w:t>moenia</w:t>
      </w:r>
      <w:proofErr w:type="spellEnd"/>
      <w:r w:rsidRPr="00FD616A">
        <w:rPr>
          <w:rFonts w:ascii="Century Schoolbook" w:hAnsi="Century Schoolbook"/>
          <w:i/>
          <w:iCs/>
        </w:rPr>
        <w:t xml:space="preserve"> </w:t>
      </w:r>
      <w:r w:rsidRPr="00FD616A">
        <w:rPr>
          <w:rFonts w:ascii="Century Schoolbook" w:hAnsi="Century Schoolbook"/>
        </w:rPr>
        <w:t>«all’italiana» come resistita finzione per diritto legislativo.</w:t>
      </w:r>
    </w:p>
    <w:p w14:paraId="186C2ECB" w14:textId="77777777" w:rsidR="005479DA" w:rsidRPr="00FD616A" w:rsidRDefault="005479DA" w:rsidP="005479DA">
      <w:pPr>
        <w:pStyle w:val="Paragrafo"/>
        <w:spacing w:before="0" w:after="0" w:line="360" w:lineRule="auto"/>
        <w:contextualSpacing/>
        <w:rPr>
          <w:rFonts w:ascii="Century Schoolbook" w:hAnsi="Century Schoolbook"/>
          <w:i w:val="0"/>
          <w:iCs/>
        </w:rPr>
      </w:pPr>
    </w:p>
    <w:p w14:paraId="4EAC0720" w14:textId="13755C8C" w:rsidR="00F7397D" w:rsidRPr="00FD616A" w:rsidRDefault="00F7397D" w:rsidP="005479DA">
      <w:pPr>
        <w:pStyle w:val="Paragrafo"/>
        <w:spacing w:before="0" w:after="0" w:line="360" w:lineRule="auto"/>
        <w:contextualSpacing/>
        <w:rPr>
          <w:rFonts w:ascii="Century Schoolbook" w:hAnsi="Century Schoolbook"/>
        </w:rPr>
      </w:pPr>
      <w:r w:rsidRPr="00FD616A">
        <w:rPr>
          <w:rFonts w:ascii="Century Schoolbook" w:hAnsi="Century Schoolbook"/>
          <w:i w:val="0"/>
          <w:iCs/>
        </w:rPr>
        <w:t>1.</w:t>
      </w:r>
      <w:r w:rsidRPr="00FD616A">
        <w:rPr>
          <w:rFonts w:ascii="Century Schoolbook" w:hAnsi="Century Schoolbook"/>
        </w:rPr>
        <w:t xml:space="preserve"> Come una saga: gli attori</w:t>
      </w:r>
    </w:p>
    <w:p w14:paraId="389A29DF" w14:textId="77777777" w:rsidR="00F7397D" w:rsidRPr="00FD616A" w:rsidRDefault="00F7397D" w:rsidP="005479DA">
      <w:pPr>
        <w:pStyle w:val="Capoverso"/>
        <w:spacing w:line="360" w:lineRule="auto"/>
        <w:contextualSpacing/>
        <w:rPr>
          <w:rFonts w:ascii="Century Schoolbook" w:hAnsi="Century Schoolbook"/>
          <w:szCs w:val="22"/>
        </w:rPr>
      </w:pPr>
      <w:r w:rsidRPr="00FD616A">
        <w:rPr>
          <w:rFonts w:ascii="Century Schoolbook" w:hAnsi="Century Schoolbook"/>
          <w:szCs w:val="22"/>
        </w:rPr>
        <w:t xml:space="preserve">Il tema </w:t>
      </w:r>
      <w:proofErr w:type="spellStart"/>
      <w:r w:rsidRPr="00FD616A">
        <w:rPr>
          <w:rFonts w:ascii="Century Schoolbook" w:hAnsi="Century Schoolbook"/>
          <w:szCs w:val="22"/>
        </w:rPr>
        <w:t>dell’</w:t>
      </w:r>
      <w:r w:rsidRPr="00FD616A">
        <w:rPr>
          <w:rFonts w:ascii="Century Schoolbook" w:hAnsi="Century Schoolbook"/>
          <w:i/>
          <w:iCs/>
          <w:szCs w:val="22"/>
        </w:rPr>
        <w:t>in</w:t>
      </w:r>
      <w:proofErr w:type="spellEnd"/>
      <w:r w:rsidRPr="00FD616A">
        <w:rPr>
          <w:rFonts w:ascii="Century Schoolbook" w:hAnsi="Century Schoolbook"/>
          <w:i/>
          <w:iCs/>
          <w:szCs w:val="22"/>
        </w:rPr>
        <w:t xml:space="preserve"> </w:t>
      </w:r>
      <w:proofErr w:type="spellStart"/>
      <w:r w:rsidRPr="00FD616A">
        <w:rPr>
          <w:rFonts w:ascii="Century Schoolbook" w:hAnsi="Century Schoolbook"/>
          <w:i/>
          <w:iCs/>
          <w:szCs w:val="22"/>
        </w:rPr>
        <w:t>house</w:t>
      </w:r>
      <w:proofErr w:type="spellEnd"/>
      <w:r w:rsidRPr="00FD616A">
        <w:rPr>
          <w:rStyle w:val="Rimandonotaapidipagina"/>
          <w:rFonts w:ascii="Century Schoolbook" w:hAnsi="Century Schoolbook"/>
          <w:szCs w:val="22"/>
        </w:rPr>
        <w:t> </w:t>
      </w:r>
      <w:r w:rsidRPr="00FD616A">
        <w:rPr>
          <w:rStyle w:val="Rimandonotaapidipagina"/>
          <w:rFonts w:ascii="Century Schoolbook" w:hAnsi="Century Schoolbook"/>
          <w:szCs w:val="22"/>
        </w:rPr>
        <w:footnoteReference w:id="3"/>
      </w:r>
      <w:r w:rsidRPr="00FD616A">
        <w:rPr>
          <w:rFonts w:ascii="Century Schoolbook" w:hAnsi="Century Schoolbook"/>
          <w:szCs w:val="22"/>
        </w:rPr>
        <w:t xml:space="preserve">, se ci limitiamo allo spazio giuridico dell’Università, è </w:t>
      </w:r>
      <w:r w:rsidRPr="00FD616A">
        <w:rPr>
          <w:rFonts w:ascii="Century Schoolbook" w:hAnsi="Century Schoolbook"/>
          <w:spacing w:val="-2"/>
          <w:szCs w:val="22"/>
        </w:rPr>
        <w:t>sopra tutto di diritto giurisprudenziale</w:t>
      </w:r>
      <w:r w:rsidRPr="00FD616A">
        <w:rPr>
          <w:rStyle w:val="Rimandonotaapidipagina"/>
          <w:rFonts w:ascii="Century Schoolbook" w:hAnsi="Century Schoolbook"/>
          <w:spacing w:val="-2"/>
          <w:szCs w:val="22"/>
        </w:rPr>
        <w:t> </w:t>
      </w:r>
      <w:r w:rsidRPr="00FD616A">
        <w:rPr>
          <w:rStyle w:val="Rimandonotaapidipagina"/>
          <w:rFonts w:ascii="Century Schoolbook" w:hAnsi="Century Schoolbook"/>
          <w:spacing w:val="-2"/>
          <w:szCs w:val="22"/>
        </w:rPr>
        <w:footnoteReference w:id="4"/>
      </w:r>
      <w:r w:rsidRPr="00FD616A">
        <w:rPr>
          <w:rFonts w:ascii="Century Schoolbook" w:hAnsi="Century Schoolbook"/>
          <w:spacing w:val="-2"/>
          <w:szCs w:val="22"/>
        </w:rPr>
        <w:t>. Dove assume, nel concreto, i tratti di</w:t>
      </w:r>
      <w:r w:rsidRPr="00FD616A">
        <w:rPr>
          <w:rFonts w:ascii="Century Schoolbook" w:hAnsi="Century Schoolbook"/>
          <w:szCs w:val="22"/>
        </w:rPr>
        <w:t xml:space="preserve"> una contesa «binaria», per oggetto e soggetti. Da una </w:t>
      </w:r>
      <w:r w:rsidRPr="00FD616A">
        <w:rPr>
          <w:rFonts w:ascii="Century Schoolbook" w:hAnsi="Century Schoolbook"/>
          <w:szCs w:val="22"/>
        </w:rPr>
        <w:lastRenderedPageBreak/>
        <w:t>parte c’è colui che agisce per aprire al mercato i servizi affidati invece</w:t>
      </w:r>
      <w:r w:rsidRPr="00FD616A">
        <w:rPr>
          <w:rFonts w:ascii="Century Schoolbook" w:hAnsi="Century Schoolbook"/>
          <w:i/>
          <w:iCs/>
          <w:szCs w:val="22"/>
        </w:rPr>
        <w:t xml:space="preserve"> intra moenia</w:t>
      </w:r>
      <w:r w:rsidRPr="00FD616A">
        <w:rPr>
          <w:rFonts w:ascii="Century Schoolbook" w:hAnsi="Century Schoolbook"/>
          <w:szCs w:val="22"/>
        </w:rPr>
        <w:t xml:space="preserve">, negando che il beneficiario abbia i requisiti per sfuggire alle regole dell’evidenza pubblica. Dall’altra, ovviamente, si pone il </w:t>
      </w:r>
      <w:r w:rsidRPr="00FD616A">
        <w:rPr>
          <w:rFonts w:ascii="Century Schoolbook" w:hAnsi="Century Schoolbook"/>
          <w:i/>
          <w:iCs/>
          <w:szCs w:val="22"/>
        </w:rPr>
        <w:t>provider</w:t>
      </w:r>
      <w:r w:rsidRPr="00FD616A">
        <w:rPr>
          <w:rFonts w:ascii="Century Schoolbook" w:hAnsi="Century Schoolbook"/>
          <w:szCs w:val="22"/>
        </w:rPr>
        <w:t>, fermo nel sostenere la tesi contraria.</w:t>
      </w:r>
    </w:p>
    <w:p w14:paraId="0D452249" w14:textId="77777777" w:rsidR="00F7397D" w:rsidRPr="00FD616A" w:rsidRDefault="00F7397D" w:rsidP="005479DA">
      <w:pPr>
        <w:pStyle w:val="Capoverso"/>
        <w:spacing w:line="360" w:lineRule="auto"/>
        <w:contextualSpacing/>
        <w:rPr>
          <w:rFonts w:ascii="Century Schoolbook" w:hAnsi="Century Schoolbook"/>
          <w:szCs w:val="22"/>
        </w:rPr>
      </w:pPr>
      <w:r w:rsidRPr="00FD616A">
        <w:rPr>
          <w:rFonts w:ascii="Century Schoolbook" w:hAnsi="Century Schoolbook"/>
          <w:szCs w:val="22"/>
        </w:rPr>
        <w:t xml:space="preserve">Deuteragonisti necessari (altri se ne aggiungeranno in corso di rappresentazione) sono il MIUR (oggi sdoppiato in base al d.l. n. 1/2020) e le Università che s’avvalgono di quel </w:t>
      </w:r>
      <w:r w:rsidRPr="00FD616A">
        <w:rPr>
          <w:rFonts w:ascii="Century Schoolbook" w:hAnsi="Century Schoolbook"/>
          <w:i/>
          <w:iCs/>
          <w:szCs w:val="22"/>
        </w:rPr>
        <w:t>provider</w:t>
      </w:r>
      <w:r w:rsidRPr="00FD616A">
        <w:rPr>
          <w:rFonts w:ascii="Century Schoolbook" w:hAnsi="Century Schoolbook"/>
          <w:szCs w:val="22"/>
        </w:rPr>
        <w:t>.</w:t>
      </w:r>
    </w:p>
    <w:p w14:paraId="30410EEE" w14:textId="77777777" w:rsidR="00F7397D" w:rsidRPr="00FD616A" w:rsidRDefault="00F7397D" w:rsidP="005479DA">
      <w:pPr>
        <w:pStyle w:val="Capoverso"/>
        <w:spacing w:line="360" w:lineRule="auto"/>
        <w:contextualSpacing/>
        <w:rPr>
          <w:rFonts w:ascii="Century Schoolbook" w:hAnsi="Century Schoolbook"/>
          <w:szCs w:val="22"/>
        </w:rPr>
      </w:pPr>
      <w:r w:rsidRPr="00FD616A">
        <w:rPr>
          <w:rFonts w:ascii="Century Schoolbook" w:hAnsi="Century Schoolbook"/>
          <w:szCs w:val="22"/>
        </w:rPr>
        <w:t>La durata (e la durezza) di questo scontro</w:t>
      </w:r>
      <w:r w:rsidRPr="00FD616A">
        <w:rPr>
          <w:rStyle w:val="Rimandonotaapidipagina"/>
          <w:rFonts w:ascii="Century Schoolbook" w:hAnsi="Century Schoolbook"/>
          <w:szCs w:val="22"/>
        </w:rPr>
        <w:t> </w:t>
      </w:r>
      <w:r w:rsidRPr="00FD616A">
        <w:rPr>
          <w:rStyle w:val="Rimandonotaapidipagina"/>
          <w:rFonts w:ascii="Century Schoolbook" w:hAnsi="Century Schoolbook"/>
          <w:szCs w:val="22"/>
        </w:rPr>
        <w:footnoteReference w:id="5"/>
      </w:r>
      <w:r w:rsidRPr="00FD616A">
        <w:rPr>
          <w:rFonts w:ascii="Century Schoolbook" w:hAnsi="Century Schoolbook"/>
          <w:szCs w:val="22"/>
        </w:rPr>
        <w:t xml:space="preserve"> sta sottoponendo a un’interessan</w:t>
      </w:r>
      <w:r w:rsidRPr="00FD616A">
        <w:rPr>
          <w:rFonts w:ascii="Century Schoolbook" w:hAnsi="Century Schoolbook"/>
          <w:szCs w:val="22"/>
        </w:rPr>
        <w:softHyphen/>
        <w:t xml:space="preserve">te prova di tenuta gli istituti </w:t>
      </w:r>
      <w:proofErr w:type="spellStart"/>
      <w:r w:rsidRPr="00FD616A">
        <w:rPr>
          <w:rFonts w:ascii="Century Schoolbook" w:hAnsi="Century Schoolbook"/>
          <w:szCs w:val="22"/>
        </w:rPr>
        <w:t>proconcorrenziali</w:t>
      </w:r>
      <w:proofErr w:type="spellEnd"/>
      <w:r w:rsidRPr="00FD616A">
        <w:rPr>
          <w:rFonts w:ascii="Century Schoolbook" w:hAnsi="Century Schoolbook"/>
          <w:szCs w:val="22"/>
        </w:rPr>
        <w:t xml:space="preserve"> </w:t>
      </w:r>
      <w:proofErr w:type="spellStart"/>
      <w:r w:rsidRPr="00FD616A">
        <w:rPr>
          <w:rFonts w:ascii="Century Schoolbook" w:hAnsi="Century Schoolbook"/>
          <w:szCs w:val="22"/>
        </w:rPr>
        <w:t>unionali</w:t>
      </w:r>
      <w:proofErr w:type="spellEnd"/>
      <w:r w:rsidRPr="00FD616A">
        <w:rPr>
          <w:rFonts w:ascii="Century Schoolbook" w:hAnsi="Century Schoolbook"/>
          <w:szCs w:val="22"/>
        </w:rPr>
        <w:t xml:space="preserve"> e interni: coinvolgendo tutte e tre le Magistrature italiane (amministrativa, contabile e ordinaria) e ora anche la Commissione europea – Direzione generale della concorrenza.</w:t>
      </w:r>
    </w:p>
    <w:p w14:paraId="4AE69415" w14:textId="77777777" w:rsidR="00F7397D" w:rsidRPr="00FD616A" w:rsidRDefault="00F7397D" w:rsidP="005479DA">
      <w:pPr>
        <w:pStyle w:val="Capoverso"/>
        <w:spacing w:line="360" w:lineRule="auto"/>
        <w:contextualSpacing/>
        <w:rPr>
          <w:rFonts w:ascii="Century Schoolbook" w:hAnsi="Century Schoolbook"/>
          <w:szCs w:val="22"/>
        </w:rPr>
      </w:pPr>
      <w:r w:rsidRPr="00FD616A">
        <w:rPr>
          <w:rFonts w:ascii="Century Schoolbook" w:hAnsi="Century Schoolbook"/>
          <w:szCs w:val="22"/>
        </w:rPr>
        <w:t>Resta da dire, qui in apertura, dell’apporto dato al settore dal diritto legislativo (interno). Come vedremo, è ben poco, ma non è poco significativo. Si tratta di un emendamento all’art. 9, d.l. 19 giugno 2015, n. 78 (c.d. decreto enti locali), inserito in sede di conversione (di cui alla legge 6 agosto 2015, n. 125)</w:t>
      </w:r>
      <w:r w:rsidRPr="00FD616A">
        <w:rPr>
          <w:rStyle w:val="Rimandonotaapidipagina"/>
          <w:rFonts w:ascii="Century Schoolbook" w:hAnsi="Century Schoolbook"/>
          <w:szCs w:val="22"/>
        </w:rPr>
        <w:t> </w:t>
      </w:r>
      <w:r w:rsidRPr="00FD616A">
        <w:rPr>
          <w:rStyle w:val="Rimandonotaapidipagina"/>
          <w:rFonts w:ascii="Century Schoolbook" w:hAnsi="Century Schoolbook"/>
          <w:szCs w:val="22"/>
        </w:rPr>
        <w:footnoteReference w:id="6"/>
      </w:r>
      <w:r w:rsidRPr="00FD616A">
        <w:rPr>
          <w:rFonts w:ascii="Century Schoolbook" w:hAnsi="Century Schoolbook"/>
          <w:szCs w:val="22"/>
        </w:rPr>
        <w:t>.</w:t>
      </w:r>
    </w:p>
    <w:p w14:paraId="0ACBB862" w14:textId="77777777" w:rsidR="00F7397D" w:rsidRPr="00FD616A" w:rsidRDefault="00F7397D" w:rsidP="005479DA">
      <w:pPr>
        <w:pStyle w:val="Capoverso"/>
        <w:spacing w:line="360" w:lineRule="auto"/>
        <w:contextualSpacing/>
        <w:rPr>
          <w:rFonts w:ascii="Century Schoolbook" w:hAnsi="Century Schoolbook"/>
          <w:szCs w:val="22"/>
        </w:rPr>
      </w:pPr>
      <w:r w:rsidRPr="00FD616A">
        <w:rPr>
          <w:rFonts w:ascii="Century Schoolbook" w:hAnsi="Century Schoolbook"/>
          <w:szCs w:val="22"/>
        </w:rPr>
        <w:t xml:space="preserve">Poiché – come ho detto – il tema si sviluppa lungo la dorsale evolutiva di questa contesa specifica, ho pensato che sia preferibile affrontarlo a mo’ di una </w:t>
      </w:r>
      <w:r w:rsidRPr="00FD616A">
        <w:rPr>
          <w:rFonts w:ascii="Century Schoolbook" w:hAnsi="Century Schoolbook"/>
          <w:spacing w:val="-2"/>
          <w:szCs w:val="22"/>
        </w:rPr>
        <w:t>saga. Ne seguiremo l’origine, i punti notevoli, lo stato attuale della situazione.</w:t>
      </w:r>
      <w:r w:rsidRPr="00FD616A">
        <w:rPr>
          <w:rFonts w:ascii="Century Schoolbook" w:hAnsi="Century Schoolbook"/>
          <w:szCs w:val="22"/>
        </w:rPr>
        <w:t xml:space="preserve"> Che è ancora, lo preciso subito, assai lontana dall’esito finale.</w:t>
      </w:r>
    </w:p>
    <w:p w14:paraId="446D3768" w14:textId="77777777" w:rsidR="00F7397D" w:rsidRPr="00FD616A" w:rsidRDefault="00F7397D" w:rsidP="005479DA">
      <w:pPr>
        <w:pStyle w:val="Paragrafo"/>
        <w:spacing w:before="0" w:after="0" w:line="360" w:lineRule="auto"/>
        <w:contextualSpacing/>
        <w:rPr>
          <w:rFonts w:ascii="Century Schoolbook" w:hAnsi="Century Schoolbook"/>
        </w:rPr>
      </w:pPr>
      <w:r w:rsidRPr="00FD616A">
        <w:rPr>
          <w:rFonts w:ascii="Century Schoolbook" w:hAnsi="Century Schoolbook"/>
          <w:i w:val="0"/>
          <w:iCs/>
        </w:rPr>
        <w:lastRenderedPageBreak/>
        <w:t>2.</w:t>
      </w:r>
      <w:r w:rsidRPr="00FD616A">
        <w:rPr>
          <w:rFonts w:ascii="Century Schoolbook" w:hAnsi="Century Schoolbook"/>
        </w:rPr>
        <w:t xml:space="preserve"> La contesa</w:t>
      </w:r>
    </w:p>
    <w:p w14:paraId="2CF36647" w14:textId="77777777" w:rsidR="00F7397D" w:rsidRPr="00FD616A" w:rsidRDefault="00F7397D" w:rsidP="005479DA">
      <w:pPr>
        <w:pStyle w:val="Capoverso"/>
        <w:spacing w:line="360" w:lineRule="auto"/>
        <w:contextualSpacing/>
        <w:rPr>
          <w:rFonts w:ascii="Century Schoolbook" w:hAnsi="Century Schoolbook"/>
          <w:szCs w:val="22"/>
        </w:rPr>
      </w:pPr>
      <w:r w:rsidRPr="00FD616A">
        <w:rPr>
          <w:rFonts w:ascii="Century Schoolbook" w:hAnsi="Century Schoolbook"/>
          <w:szCs w:val="22"/>
        </w:rPr>
        <w:t xml:space="preserve">Poiché non versiamo in un caso di </w:t>
      </w:r>
      <w:proofErr w:type="spellStart"/>
      <w:r w:rsidRPr="00FD616A">
        <w:rPr>
          <w:rFonts w:ascii="Times New Roman" w:hAnsi="Times New Roman"/>
          <w:szCs w:val="22"/>
        </w:rPr>
        <w:t>ὀ</w:t>
      </w:r>
      <w:r w:rsidRPr="00FD616A">
        <w:rPr>
          <w:rFonts w:ascii="Century Schoolbook" w:hAnsi="Century Schoolbook" w:cs="Cambria"/>
          <w:szCs w:val="22"/>
        </w:rPr>
        <w:t>νο</w:t>
      </w:r>
      <w:r w:rsidRPr="00FD616A">
        <w:rPr>
          <w:rFonts w:ascii="Century Schoolbook" w:hAnsi="Century Schoolbook" w:cs="Simoncini Garamond Std"/>
          <w:szCs w:val="22"/>
        </w:rPr>
        <w:t>μ</w:t>
      </w:r>
      <w:proofErr w:type="spellEnd"/>
      <w:r w:rsidRPr="00FD616A">
        <w:rPr>
          <w:rFonts w:ascii="Century Schoolbook" w:hAnsi="Century Schoolbook" w:cs="Cambria"/>
          <w:szCs w:val="22"/>
        </w:rPr>
        <w:t>αστ</w:t>
      </w:r>
      <w:r w:rsidRPr="00FD616A">
        <w:rPr>
          <w:rFonts w:ascii="Times New Roman" w:hAnsi="Times New Roman"/>
          <w:szCs w:val="22"/>
        </w:rPr>
        <w:t>ὶ</w:t>
      </w:r>
      <w:r w:rsidRPr="00FD616A">
        <w:rPr>
          <w:rFonts w:ascii="Century Schoolbook" w:hAnsi="Century Schoolbook"/>
          <w:szCs w:val="22"/>
        </w:rPr>
        <w:t xml:space="preserve"> </w:t>
      </w:r>
      <w:proofErr w:type="spellStart"/>
      <w:r w:rsidRPr="00FD616A">
        <w:rPr>
          <w:rFonts w:ascii="Century Schoolbook" w:hAnsi="Century Schoolbook" w:cs="Cambria"/>
          <w:szCs w:val="22"/>
        </w:rPr>
        <w:t>κω</w:t>
      </w:r>
      <w:r w:rsidRPr="00FD616A">
        <w:rPr>
          <w:rFonts w:ascii="Century Schoolbook" w:hAnsi="Century Schoolbook" w:cs="Simoncini Garamond Std"/>
          <w:szCs w:val="22"/>
        </w:rPr>
        <w:t>μ</w:t>
      </w:r>
      <w:r w:rsidRPr="00FD616A">
        <w:rPr>
          <w:rFonts w:ascii="Times New Roman" w:hAnsi="Times New Roman"/>
          <w:szCs w:val="22"/>
        </w:rPr>
        <w:t>ῳ</w:t>
      </w:r>
      <w:r w:rsidRPr="00FD616A">
        <w:rPr>
          <w:rFonts w:ascii="Century Schoolbook" w:hAnsi="Century Schoolbook" w:cs="Cambria"/>
          <w:szCs w:val="22"/>
        </w:rPr>
        <w:t>δε</w:t>
      </w:r>
      <w:r w:rsidRPr="00FD616A">
        <w:rPr>
          <w:rFonts w:ascii="Times New Roman" w:hAnsi="Times New Roman"/>
          <w:szCs w:val="22"/>
        </w:rPr>
        <w:t>ῖ</w:t>
      </w:r>
      <w:r w:rsidRPr="00FD616A">
        <w:rPr>
          <w:rFonts w:ascii="Century Schoolbook" w:hAnsi="Century Schoolbook" w:cs="Cambria"/>
          <w:szCs w:val="22"/>
        </w:rPr>
        <w:t>ν</w:t>
      </w:r>
      <w:proofErr w:type="spellEnd"/>
      <w:r w:rsidRPr="00FD616A">
        <w:rPr>
          <w:rFonts w:ascii="Century Schoolbook" w:hAnsi="Century Schoolbook"/>
          <w:szCs w:val="22"/>
        </w:rPr>
        <w:t xml:space="preserve">, </w:t>
      </w:r>
      <w:r w:rsidRPr="00FD616A">
        <w:rPr>
          <w:rFonts w:ascii="Century Schoolbook" w:hAnsi="Century Schoolbook" w:cs="Simoncini Garamond Std"/>
          <w:szCs w:val="22"/>
        </w:rPr>
        <w:t>è</w:t>
      </w:r>
      <w:r w:rsidRPr="00FD616A">
        <w:rPr>
          <w:rFonts w:ascii="Century Schoolbook" w:hAnsi="Century Schoolbook"/>
          <w:szCs w:val="22"/>
        </w:rPr>
        <w:t xml:space="preserve"> il momento di identificare il protagonista. Si tratta del Cineca, un consorzio interuniversitario di diritto privato soggetto alla vigilanza del M(I)UR.</w:t>
      </w:r>
    </w:p>
    <w:p w14:paraId="10A76EF0" w14:textId="77777777" w:rsidR="00F7397D" w:rsidRPr="00FD616A" w:rsidRDefault="00F7397D" w:rsidP="005479DA">
      <w:pPr>
        <w:pStyle w:val="Capoverso"/>
        <w:spacing w:line="360" w:lineRule="auto"/>
        <w:contextualSpacing/>
        <w:rPr>
          <w:rFonts w:ascii="Century Schoolbook" w:hAnsi="Century Schoolbook"/>
          <w:szCs w:val="22"/>
        </w:rPr>
      </w:pPr>
      <w:r w:rsidRPr="00FD616A">
        <w:rPr>
          <w:rFonts w:ascii="Century Schoolbook" w:hAnsi="Century Schoolbook"/>
          <w:szCs w:val="22"/>
        </w:rPr>
        <w:t xml:space="preserve">Costituito sul finire degli scorsi anni Sessanta da alcuni nostri atenei, ha ricevuto nel tempo l’adesione di un numero crescente di Università – si noti: anche </w:t>
      </w:r>
      <w:r w:rsidRPr="00FD616A">
        <w:rPr>
          <w:rFonts w:ascii="Century Schoolbook" w:hAnsi="Century Schoolbook"/>
          <w:i/>
          <w:iCs/>
          <w:szCs w:val="22"/>
        </w:rPr>
        <w:t>private</w:t>
      </w:r>
      <w:r w:rsidRPr="00FD616A">
        <w:rPr>
          <w:rFonts w:ascii="Century Schoolbook" w:hAnsi="Century Schoolbook"/>
          <w:szCs w:val="22"/>
        </w:rPr>
        <w:t xml:space="preserve"> – sino ad annoverare fra i propri consorziati la grande maggioranza delle accademie italiane e anche il MIUR, per i quali progetta e fornisce servizi informatici gestionali.</w:t>
      </w:r>
    </w:p>
    <w:p w14:paraId="0257A90F" w14:textId="77777777" w:rsidR="00F7397D" w:rsidRPr="00FD616A" w:rsidRDefault="00F7397D" w:rsidP="005479DA">
      <w:pPr>
        <w:pStyle w:val="Capoverso"/>
        <w:spacing w:line="360" w:lineRule="auto"/>
        <w:contextualSpacing/>
        <w:rPr>
          <w:rFonts w:ascii="Century Schoolbook" w:hAnsi="Century Schoolbook"/>
          <w:szCs w:val="22"/>
        </w:rPr>
      </w:pPr>
      <w:r w:rsidRPr="00FD616A">
        <w:rPr>
          <w:rFonts w:ascii="Century Schoolbook" w:hAnsi="Century Schoolbook"/>
          <w:szCs w:val="22"/>
        </w:rPr>
        <w:t xml:space="preserve">Da tempo le Università consorziate utilizzano i servizi del Cineca mediante affidamenti diretti, poiché ritengono che quel consorzio sia un loro organismo </w:t>
      </w:r>
      <w:r w:rsidRPr="00FD616A">
        <w:rPr>
          <w:rFonts w:ascii="Century Schoolbook" w:hAnsi="Century Schoolbook"/>
          <w:i/>
          <w:iCs/>
          <w:szCs w:val="22"/>
        </w:rPr>
        <w:t>in house</w:t>
      </w:r>
      <w:r w:rsidRPr="00FD616A">
        <w:rPr>
          <w:rFonts w:ascii="Century Schoolbook" w:hAnsi="Century Schoolbook"/>
          <w:szCs w:val="22"/>
        </w:rPr>
        <w:t>.</w:t>
      </w:r>
    </w:p>
    <w:p w14:paraId="77FD5CF1" w14:textId="77777777" w:rsidR="00F7397D" w:rsidRPr="00FD616A" w:rsidRDefault="00F7397D" w:rsidP="005479DA">
      <w:pPr>
        <w:pStyle w:val="Capoverso"/>
        <w:spacing w:line="360" w:lineRule="auto"/>
        <w:contextualSpacing/>
        <w:rPr>
          <w:rFonts w:ascii="Century Schoolbook" w:hAnsi="Century Schoolbook"/>
          <w:szCs w:val="22"/>
        </w:rPr>
      </w:pPr>
      <w:r w:rsidRPr="00FD616A">
        <w:rPr>
          <w:rFonts w:ascii="Century Schoolbook" w:hAnsi="Century Schoolbook"/>
          <w:szCs w:val="22"/>
        </w:rPr>
        <w:t xml:space="preserve">Inoltre, per la stessa ragione il MIUR ha negli anni scorsi emanato decreti di finanziamento al Cineca a fronte dei servizi informatici strumentali che quel </w:t>
      </w:r>
      <w:r w:rsidRPr="00FD616A">
        <w:rPr>
          <w:rFonts w:ascii="Century Schoolbook" w:hAnsi="Century Schoolbook"/>
          <w:spacing w:val="-3"/>
          <w:szCs w:val="22"/>
        </w:rPr>
        <w:t>consorzio mette a disposizione dello stesso Ministero e del sistema universita</w:t>
      </w:r>
      <w:r w:rsidRPr="00FD616A">
        <w:rPr>
          <w:rFonts w:ascii="Century Schoolbook" w:hAnsi="Century Schoolbook"/>
          <w:szCs w:val="22"/>
        </w:rPr>
        <w:t>rio</w:t>
      </w:r>
      <w:r w:rsidRPr="00FD616A">
        <w:rPr>
          <w:rStyle w:val="Rimandonotaapidipagina"/>
          <w:rFonts w:ascii="Century Schoolbook" w:hAnsi="Century Schoolbook"/>
          <w:szCs w:val="22"/>
        </w:rPr>
        <w:t> </w:t>
      </w:r>
      <w:r w:rsidRPr="00FD616A">
        <w:rPr>
          <w:rStyle w:val="Rimandonotaapidipagina"/>
          <w:rFonts w:ascii="Century Schoolbook" w:hAnsi="Century Schoolbook"/>
          <w:szCs w:val="22"/>
        </w:rPr>
        <w:footnoteReference w:id="7"/>
      </w:r>
      <w:r w:rsidRPr="00FD616A">
        <w:rPr>
          <w:rFonts w:ascii="Century Schoolbook" w:hAnsi="Century Schoolbook"/>
          <w:szCs w:val="22"/>
        </w:rPr>
        <w:t xml:space="preserve">. Nel 2020, invece, il M(I)UR non ha adottato un provvedimento erogativo unilaterale, ma ha stipulato una convenzione per «l’affidamento diretto da parte del MI al Consorzio Interuniversitario CINECA, quale soggetto </w:t>
      </w:r>
      <w:r w:rsidRPr="00FD616A">
        <w:rPr>
          <w:rFonts w:ascii="Century Schoolbook" w:hAnsi="Century Schoolbook"/>
          <w:i/>
          <w:iCs/>
          <w:szCs w:val="22"/>
        </w:rPr>
        <w:t>in house</w:t>
      </w:r>
      <w:r w:rsidRPr="00FD616A">
        <w:rPr>
          <w:rFonts w:ascii="Century Schoolbook" w:hAnsi="Century Schoolbook"/>
          <w:szCs w:val="22"/>
        </w:rPr>
        <w:t xml:space="preserve"> del Ministero dell’Istruzione […] e del Ministero dell’Università e della Ricerca […] della fornitura di servizi informatici (ICT) necessari all’espletamento dei procedimenti amministrativi di competenza dei ministeri»</w:t>
      </w:r>
      <w:r w:rsidRPr="00FD616A">
        <w:rPr>
          <w:rStyle w:val="Rimandonotaapidipagina"/>
          <w:rFonts w:ascii="Century Schoolbook" w:hAnsi="Century Schoolbook"/>
          <w:szCs w:val="22"/>
        </w:rPr>
        <w:t> </w:t>
      </w:r>
      <w:r w:rsidRPr="00FD616A">
        <w:rPr>
          <w:rStyle w:val="Rimandonotaapidipagina"/>
          <w:rFonts w:ascii="Century Schoolbook" w:hAnsi="Century Schoolbook"/>
          <w:szCs w:val="22"/>
        </w:rPr>
        <w:footnoteReference w:id="8"/>
      </w:r>
      <w:r w:rsidRPr="00FD616A">
        <w:rPr>
          <w:rFonts w:ascii="Century Schoolbook" w:hAnsi="Century Schoolbook"/>
          <w:szCs w:val="22"/>
        </w:rPr>
        <w:t xml:space="preserve">. La convenzione è stata </w:t>
      </w:r>
      <w:r w:rsidRPr="00FD616A">
        <w:rPr>
          <w:rFonts w:ascii="Century Schoolbook" w:hAnsi="Century Schoolbook"/>
          <w:szCs w:val="22"/>
        </w:rPr>
        <w:lastRenderedPageBreak/>
        <w:t>poi approvata con decreto dipartimentale del Ministero</w:t>
      </w:r>
      <w:r w:rsidRPr="00FD616A">
        <w:rPr>
          <w:rStyle w:val="Rimandonotaapidipagina"/>
          <w:rFonts w:ascii="Century Schoolbook" w:hAnsi="Century Schoolbook"/>
          <w:szCs w:val="22"/>
        </w:rPr>
        <w:t> </w:t>
      </w:r>
      <w:r w:rsidRPr="00FD616A">
        <w:rPr>
          <w:rStyle w:val="Rimandonotaapidipagina"/>
          <w:rFonts w:ascii="Century Schoolbook" w:hAnsi="Century Schoolbook"/>
          <w:szCs w:val="22"/>
        </w:rPr>
        <w:footnoteReference w:id="9"/>
      </w:r>
      <w:r w:rsidRPr="00FD616A">
        <w:rPr>
          <w:rFonts w:ascii="Century Schoolbook" w:hAnsi="Century Schoolbook"/>
          <w:szCs w:val="22"/>
        </w:rPr>
        <w:t xml:space="preserve"> anche sull’espresso presupposto che il citato d.l. n. 78/2015 abbia «normativamente strutturato il rapporto intersoggettivo tra il Cineca e i suoi consorziati in termini di </w:t>
      </w:r>
      <w:r w:rsidRPr="00FD616A">
        <w:rPr>
          <w:rFonts w:ascii="Century Schoolbook" w:hAnsi="Century Schoolbook"/>
          <w:i/>
          <w:iCs/>
          <w:szCs w:val="22"/>
        </w:rPr>
        <w:t>in house providing</w:t>
      </w:r>
      <w:r w:rsidRPr="00FD616A">
        <w:rPr>
          <w:rFonts w:ascii="Century Schoolbook" w:hAnsi="Century Schoolbook"/>
          <w:szCs w:val="22"/>
        </w:rPr>
        <w:t>».</w:t>
      </w:r>
    </w:p>
    <w:p w14:paraId="4DE3881B" w14:textId="77777777" w:rsidR="00F7397D" w:rsidRPr="00FD616A" w:rsidRDefault="00F7397D" w:rsidP="005479DA">
      <w:pPr>
        <w:pStyle w:val="Capoverso"/>
        <w:spacing w:line="360" w:lineRule="auto"/>
        <w:contextualSpacing/>
        <w:rPr>
          <w:rFonts w:ascii="Century Schoolbook" w:hAnsi="Century Schoolbook"/>
          <w:szCs w:val="22"/>
        </w:rPr>
      </w:pPr>
      <w:r w:rsidRPr="00FD616A">
        <w:rPr>
          <w:rFonts w:ascii="Century Schoolbook" w:hAnsi="Century Schoolbook"/>
          <w:szCs w:val="22"/>
        </w:rPr>
        <w:t>I punti di contrasto – e quindi di elaborazione da parte del diritto giurisprudenziale</w:t>
      </w:r>
      <w:r w:rsidRPr="00FD616A">
        <w:rPr>
          <w:rStyle w:val="Rimandonotaapidipagina"/>
          <w:rFonts w:ascii="Century Schoolbook" w:hAnsi="Century Schoolbook"/>
          <w:szCs w:val="22"/>
        </w:rPr>
        <w:t> </w:t>
      </w:r>
      <w:r w:rsidRPr="00FD616A">
        <w:rPr>
          <w:rStyle w:val="Rimandonotaapidipagina"/>
          <w:rFonts w:ascii="Century Schoolbook" w:hAnsi="Century Schoolbook"/>
          <w:szCs w:val="22"/>
        </w:rPr>
        <w:footnoteReference w:id="10"/>
      </w:r>
      <w:r w:rsidRPr="00FD616A">
        <w:rPr>
          <w:rFonts w:ascii="Century Schoolbook" w:hAnsi="Century Schoolbook"/>
          <w:szCs w:val="22"/>
        </w:rPr>
        <w:t xml:space="preserve"> – sono due, fra loro intrecciati.</w:t>
      </w:r>
    </w:p>
    <w:p w14:paraId="2CE95CA2" w14:textId="77777777" w:rsidR="00F7397D" w:rsidRPr="00FD616A" w:rsidRDefault="00F7397D" w:rsidP="005479DA">
      <w:pPr>
        <w:pStyle w:val="Capoverso"/>
        <w:spacing w:line="360" w:lineRule="auto"/>
        <w:contextualSpacing/>
        <w:rPr>
          <w:rFonts w:ascii="Century Schoolbook" w:hAnsi="Century Schoolbook"/>
          <w:szCs w:val="22"/>
        </w:rPr>
      </w:pPr>
      <w:r w:rsidRPr="00FD616A">
        <w:rPr>
          <w:rFonts w:ascii="Century Schoolbook" w:hAnsi="Century Schoolbook"/>
          <w:szCs w:val="22"/>
        </w:rPr>
        <w:t xml:space="preserve">Il primo è quello che sembra delinearsi sin dall’inizio: se il Cineca sia o meno un organismo </w:t>
      </w:r>
      <w:r w:rsidRPr="00FD616A">
        <w:rPr>
          <w:rFonts w:ascii="Century Schoolbook" w:hAnsi="Century Schoolbook"/>
          <w:i/>
          <w:iCs/>
          <w:szCs w:val="22"/>
        </w:rPr>
        <w:t>in house</w:t>
      </w:r>
      <w:r w:rsidRPr="00FD616A">
        <w:rPr>
          <w:rFonts w:ascii="Century Schoolbook" w:hAnsi="Century Schoolbook"/>
          <w:szCs w:val="22"/>
        </w:rPr>
        <w:t>; e dunque – astraendo dal caso concreto – quali siano le condizioni per qualificare in tal modo una figura soggettiva per poi ritenerla legittima affidataria diretta di servizi da parte degli enti che abbiano su di essa un potere di controllo.</w:t>
      </w:r>
    </w:p>
    <w:p w14:paraId="0F93911D" w14:textId="77777777" w:rsidR="00F7397D" w:rsidRPr="00FD616A" w:rsidRDefault="00F7397D" w:rsidP="005479DA">
      <w:pPr>
        <w:pStyle w:val="Capoverso"/>
        <w:spacing w:line="360" w:lineRule="auto"/>
        <w:contextualSpacing/>
        <w:rPr>
          <w:rFonts w:ascii="Century Schoolbook" w:hAnsi="Century Schoolbook"/>
          <w:szCs w:val="22"/>
        </w:rPr>
      </w:pPr>
      <w:r w:rsidRPr="00FD616A">
        <w:rPr>
          <w:rFonts w:ascii="Century Schoolbook" w:hAnsi="Century Schoolbook"/>
          <w:szCs w:val="22"/>
        </w:rPr>
        <w:t>Secondo punto: se l’erogazione di contributi pubblici al Cineca (e quindi, di nuovo in astratto, a entità similari) configuri o meno un vieto aiuto di Stato</w:t>
      </w:r>
      <w:r w:rsidRPr="00FD616A">
        <w:rPr>
          <w:rStyle w:val="Rimandonotaapidipagina"/>
          <w:rFonts w:ascii="Century Schoolbook" w:hAnsi="Century Schoolbook"/>
          <w:szCs w:val="22"/>
        </w:rPr>
        <w:t> </w:t>
      </w:r>
      <w:r w:rsidRPr="00FD616A">
        <w:rPr>
          <w:rStyle w:val="Rimandonotaapidipagina"/>
          <w:rFonts w:ascii="Century Schoolbook" w:hAnsi="Century Schoolbook"/>
          <w:szCs w:val="22"/>
        </w:rPr>
        <w:footnoteReference w:id="11"/>
      </w:r>
      <w:r w:rsidRPr="00FD616A">
        <w:rPr>
          <w:rFonts w:ascii="Century Schoolbook" w:hAnsi="Century Schoolbook"/>
          <w:szCs w:val="22"/>
        </w:rPr>
        <w:t>; ma questo è un profilo che a noi interessa solo indirettamente.</w:t>
      </w:r>
    </w:p>
    <w:p w14:paraId="2B32CC58" w14:textId="77777777" w:rsidR="00F7397D" w:rsidRPr="00FD616A" w:rsidRDefault="00F7397D" w:rsidP="005479DA">
      <w:pPr>
        <w:pStyle w:val="Paragrafo"/>
        <w:spacing w:before="0" w:after="0" w:line="360" w:lineRule="auto"/>
        <w:contextualSpacing/>
        <w:rPr>
          <w:rFonts w:ascii="Century Schoolbook" w:hAnsi="Century Schoolbook"/>
        </w:rPr>
      </w:pPr>
      <w:r w:rsidRPr="00FD616A">
        <w:rPr>
          <w:rFonts w:ascii="Century Schoolbook" w:hAnsi="Century Schoolbook"/>
          <w:i w:val="0"/>
          <w:iCs/>
        </w:rPr>
        <w:lastRenderedPageBreak/>
        <w:t>3.</w:t>
      </w:r>
      <w:r w:rsidRPr="00FD616A">
        <w:rPr>
          <w:rFonts w:ascii="Century Schoolbook" w:hAnsi="Century Schoolbook"/>
        </w:rPr>
        <w:t xml:space="preserve"> Nel 2015: il contrasto interno al Consiglio di Stato e la posizione rigorosa della VI sezione</w:t>
      </w:r>
    </w:p>
    <w:p w14:paraId="56D61865" w14:textId="77777777" w:rsidR="00F7397D" w:rsidRPr="00FD616A" w:rsidRDefault="00F7397D" w:rsidP="005479DA">
      <w:pPr>
        <w:pStyle w:val="Capoverso"/>
        <w:spacing w:line="360" w:lineRule="auto"/>
        <w:contextualSpacing/>
        <w:rPr>
          <w:rFonts w:ascii="Century Schoolbook" w:hAnsi="Century Schoolbook"/>
          <w:szCs w:val="22"/>
        </w:rPr>
      </w:pPr>
      <w:r w:rsidRPr="00FD616A">
        <w:rPr>
          <w:rFonts w:ascii="Century Schoolbook" w:hAnsi="Century Schoolbook"/>
          <w:szCs w:val="22"/>
        </w:rPr>
        <w:t xml:space="preserve">Appena un cenno, per iniziare, agli elementi costitutivi del rapporto </w:t>
      </w:r>
      <w:r w:rsidRPr="00FD616A">
        <w:rPr>
          <w:rFonts w:ascii="Century Schoolbook" w:hAnsi="Century Schoolbook"/>
          <w:i/>
          <w:iCs/>
          <w:szCs w:val="22"/>
        </w:rPr>
        <w:t>in house</w:t>
      </w:r>
      <w:r w:rsidRPr="00FD616A">
        <w:rPr>
          <w:rStyle w:val="Rimandonotaapidipagina"/>
          <w:rFonts w:ascii="Century Schoolbook" w:hAnsi="Century Schoolbook"/>
          <w:szCs w:val="22"/>
        </w:rPr>
        <w:t> </w:t>
      </w:r>
      <w:r w:rsidRPr="00FD616A">
        <w:rPr>
          <w:rStyle w:val="Rimandonotaapidipagina"/>
          <w:rFonts w:ascii="Century Schoolbook" w:hAnsi="Century Schoolbook"/>
          <w:szCs w:val="22"/>
        </w:rPr>
        <w:footnoteReference w:id="12"/>
      </w:r>
      <w:r w:rsidRPr="00FD616A">
        <w:rPr>
          <w:rFonts w:ascii="Century Schoolbook" w:hAnsi="Century Schoolbook"/>
          <w:szCs w:val="22"/>
        </w:rPr>
        <w:t>. Il requisito c.d. strutturale: il controllo analogo</w:t>
      </w:r>
      <w:r w:rsidRPr="00FD616A">
        <w:rPr>
          <w:rStyle w:val="Rimandonotaapidipagina"/>
          <w:rFonts w:ascii="Century Schoolbook" w:hAnsi="Century Schoolbook"/>
          <w:szCs w:val="22"/>
        </w:rPr>
        <w:t> </w:t>
      </w:r>
      <w:r w:rsidRPr="00FD616A">
        <w:rPr>
          <w:rStyle w:val="Rimandonotaapidipagina"/>
          <w:rFonts w:ascii="Century Schoolbook" w:hAnsi="Century Schoolbook"/>
          <w:szCs w:val="22"/>
        </w:rPr>
        <w:footnoteReference w:id="13"/>
      </w:r>
      <w:r w:rsidRPr="00FD616A">
        <w:rPr>
          <w:rFonts w:ascii="Century Schoolbook" w:hAnsi="Century Schoolbook"/>
          <w:szCs w:val="22"/>
        </w:rPr>
        <w:t>, anche congiunto, pluripartecipato o frazionato</w:t>
      </w:r>
      <w:r w:rsidRPr="00FD616A">
        <w:rPr>
          <w:rStyle w:val="Rimandonotaapidipagina"/>
          <w:rFonts w:ascii="Century Schoolbook" w:hAnsi="Century Schoolbook"/>
          <w:szCs w:val="22"/>
        </w:rPr>
        <w:t> </w:t>
      </w:r>
      <w:r w:rsidRPr="00FD616A">
        <w:rPr>
          <w:rStyle w:val="Rimandonotaapidipagina"/>
          <w:rFonts w:ascii="Century Schoolbook" w:hAnsi="Century Schoolbook"/>
          <w:szCs w:val="22"/>
        </w:rPr>
        <w:footnoteReference w:id="14"/>
      </w:r>
      <w:r w:rsidRPr="00FD616A">
        <w:rPr>
          <w:rFonts w:ascii="Century Schoolbook" w:hAnsi="Century Schoolbook"/>
          <w:szCs w:val="22"/>
        </w:rPr>
        <w:t xml:space="preserve"> (come nel nostro caso); il requisito c.d. funzionale: lo svolgimento della parte più importante dell’attività con la p.A. affidante (una o più)</w:t>
      </w:r>
      <w:r w:rsidRPr="00FD616A">
        <w:rPr>
          <w:rStyle w:val="Rimandonotaapidipagina"/>
          <w:rFonts w:ascii="Century Schoolbook" w:hAnsi="Century Schoolbook"/>
          <w:szCs w:val="22"/>
        </w:rPr>
        <w:t> </w:t>
      </w:r>
      <w:r w:rsidRPr="00FD616A">
        <w:rPr>
          <w:rStyle w:val="Rimandonotaapidipagina"/>
          <w:rFonts w:ascii="Century Schoolbook" w:hAnsi="Century Schoolbook"/>
          <w:szCs w:val="22"/>
        </w:rPr>
        <w:footnoteReference w:id="15"/>
      </w:r>
      <w:r w:rsidRPr="00FD616A">
        <w:rPr>
          <w:rFonts w:ascii="Century Schoolbook" w:hAnsi="Century Schoolbook"/>
          <w:szCs w:val="22"/>
        </w:rPr>
        <w:t>; la partecipazione pubblica totalitaria (con le limitate eccezioni consentite dalle direttive UE del 2014)</w:t>
      </w:r>
      <w:r w:rsidRPr="00FD616A">
        <w:rPr>
          <w:rStyle w:val="Rimandonotaapidipagina"/>
          <w:rFonts w:ascii="Century Schoolbook" w:hAnsi="Century Schoolbook"/>
          <w:szCs w:val="22"/>
        </w:rPr>
        <w:t> </w:t>
      </w:r>
      <w:r w:rsidRPr="00FD616A">
        <w:rPr>
          <w:rStyle w:val="Rimandonotaapidipagina"/>
          <w:rFonts w:ascii="Century Schoolbook" w:hAnsi="Century Schoolbook"/>
          <w:szCs w:val="22"/>
        </w:rPr>
        <w:footnoteReference w:id="16"/>
      </w:r>
      <w:r w:rsidRPr="00FD616A">
        <w:rPr>
          <w:rFonts w:ascii="Century Schoolbook" w:hAnsi="Century Schoolbook"/>
          <w:szCs w:val="22"/>
        </w:rPr>
        <w:t>.</w:t>
      </w:r>
    </w:p>
    <w:p w14:paraId="6E72BF05" w14:textId="77777777" w:rsidR="00F7397D" w:rsidRPr="00FD616A" w:rsidRDefault="00F7397D" w:rsidP="005479DA">
      <w:pPr>
        <w:pStyle w:val="Capoverso"/>
        <w:spacing w:line="360" w:lineRule="auto"/>
        <w:contextualSpacing/>
        <w:rPr>
          <w:rFonts w:ascii="Century Schoolbook" w:hAnsi="Century Schoolbook"/>
          <w:szCs w:val="22"/>
        </w:rPr>
      </w:pPr>
      <w:r w:rsidRPr="00FD616A">
        <w:rPr>
          <w:rFonts w:ascii="Century Schoolbook" w:hAnsi="Century Schoolbook"/>
          <w:szCs w:val="22"/>
        </w:rPr>
        <w:t xml:space="preserve">Questo, almeno, </w:t>
      </w:r>
      <w:r w:rsidRPr="00FD616A">
        <w:rPr>
          <w:rFonts w:ascii="Century Schoolbook" w:hAnsi="Century Schoolbook"/>
          <w:i/>
          <w:iCs/>
          <w:szCs w:val="22"/>
        </w:rPr>
        <w:t>era</w:t>
      </w:r>
      <w:r w:rsidRPr="00FD616A">
        <w:rPr>
          <w:rFonts w:ascii="Century Schoolbook" w:hAnsi="Century Schoolbook"/>
          <w:szCs w:val="22"/>
        </w:rPr>
        <w:t xml:space="preserve"> il modello che pareva assestato: anzi, per usare le parole del Consiglio di Stato, era la «nozione di </w:t>
      </w:r>
      <w:r w:rsidRPr="00FD616A">
        <w:rPr>
          <w:rFonts w:ascii="Century Schoolbook" w:hAnsi="Century Schoolbook"/>
          <w:i/>
          <w:iCs/>
          <w:szCs w:val="22"/>
        </w:rPr>
        <w:t>in house</w:t>
      </w:r>
      <w:r w:rsidRPr="00FD616A">
        <w:rPr>
          <w:rFonts w:ascii="Century Schoolbook" w:hAnsi="Century Schoolbook"/>
          <w:szCs w:val="22"/>
        </w:rPr>
        <w:t xml:space="preserve"> di matrice </w:t>
      </w:r>
      <w:r w:rsidRPr="00FD616A">
        <w:rPr>
          <w:rFonts w:ascii="Century Schoolbook" w:hAnsi="Century Schoolbook"/>
          <w:szCs w:val="22"/>
        </w:rPr>
        <w:lastRenderedPageBreak/>
        <w:t>comunitaria (elaborata da una giurisprudenza pietrificata, tanto da costituire diritto vivente)»</w:t>
      </w:r>
      <w:r w:rsidRPr="00FD616A">
        <w:rPr>
          <w:rStyle w:val="Rimandonotaapidipagina"/>
          <w:rFonts w:ascii="Century Schoolbook" w:hAnsi="Century Schoolbook"/>
          <w:szCs w:val="22"/>
        </w:rPr>
        <w:t> </w:t>
      </w:r>
      <w:r w:rsidRPr="00FD616A">
        <w:rPr>
          <w:rStyle w:val="Rimandonotaapidipagina"/>
          <w:rFonts w:ascii="Century Schoolbook" w:hAnsi="Century Schoolbook"/>
          <w:szCs w:val="22"/>
        </w:rPr>
        <w:footnoteReference w:id="17"/>
      </w:r>
      <w:r w:rsidRPr="00FD616A">
        <w:rPr>
          <w:rFonts w:ascii="Century Schoolbook" w:hAnsi="Century Schoolbook"/>
          <w:szCs w:val="22"/>
        </w:rPr>
        <w:t>.</w:t>
      </w:r>
    </w:p>
    <w:p w14:paraId="431704F9" w14:textId="77777777" w:rsidR="00F7397D" w:rsidRPr="00FD616A" w:rsidRDefault="00F7397D" w:rsidP="005479DA">
      <w:pPr>
        <w:pStyle w:val="Capoverso"/>
        <w:spacing w:line="360" w:lineRule="auto"/>
        <w:contextualSpacing/>
        <w:rPr>
          <w:rFonts w:ascii="Century Schoolbook" w:hAnsi="Century Schoolbook"/>
          <w:szCs w:val="22"/>
        </w:rPr>
      </w:pPr>
      <w:r w:rsidRPr="00FD616A">
        <w:rPr>
          <w:rFonts w:ascii="Century Schoolbook" w:hAnsi="Century Schoolbook"/>
          <w:spacing w:val="2"/>
          <w:szCs w:val="22"/>
        </w:rPr>
        <w:t>La quiete cessa a partire dal 2014, quando arrivano le nuove direttive in ma</w:t>
      </w:r>
      <w:r w:rsidRPr="00FD616A">
        <w:rPr>
          <w:rFonts w:ascii="Century Schoolbook" w:hAnsi="Century Schoolbook"/>
          <w:szCs w:val="22"/>
        </w:rPr>
        <w:t>teria di appalti (2014/24/UE), settori speciali (2014/25/UE) e concessioni (2014/23/UE), con le quali l’</w:t>
      </w:r>
      <w:r w:rsidRPr="00FD616A">
        <w:rPr>
          <w:rFonts w:ascii="Century Schoolbook" w:hAnsi="Century Schoolbook"/>
          <w:i/>
          <w:iCs/>
          <w:szCs w:val="22"/>
        </w:rPr>
        <w:t>in house</w:t>
      </w:r>
      <w:r w:rsidRPr="00FD616A">
        <w:rPr>
          <w:rFonts w:ascii="Century Schoolbook" w:hAnsi="Century Schoolbook"/>
          <w:szCs w:val="22"/>
        </w:rPr>
        <w:t xml:space="preserve"> conosce la sua prima regolazione di diritto positivo.</w:t>
      </w:r>
    </w:p>
    <w:p w14:paraId="65269C7F" w14:textId="77777777" w:rsidR="00F7397D" w:rsidRPr="00FD616A" w:rsidRDefault="00F7397D" w:rsidP="005479DA">
      <w:pPr>
        <w:pStyle w:val="Capoverso"/>
        <w:spacing w:line="360" w:lineRule="auto"/>
        <w:contextualSpacing/>
        <w:rPr>
          <w:rFonts w:ascii="Century Schoolbook" w:hAnsi="Century Schoolbook"/>
          <w:szCs w:val="22"/>
        </w:rPr>
      </w:pPr>
      <w:r w:rsidRPr="00FD616A">
        <w:rPr>
          <w:rFonts w:ascii="Century Schoolbook" w:hAnsi="Century Schoolbook"/>
          <w:szCs w:val="22"/>
        </w:rPr>
        <w:t>Tre norme parallele – rispettivamente gli artt. 12 (appalti), 28 (settori speciali) e 17 (concessioni) – attenuano, fra l’altro, il requisito della partecipazione totalitaria.</w:t>
      </w:r>
    </w:p>
    <w:p w14:paraId="154E9E63" w14:textId="77777777" w:rsidR="00F7397D" w:rsidRPr="00FD616A" w:rsidRDefault="00F7397D" w:rsidP="005479DA">
      <w:pPr>
        <w:pStyle w:val="Capoverso"/>
        <w:spacing w:line="360" w:lineRule="auto"/>
        <w:contextualSpacing/>
        <w:rPr>
          <w:rFonts w:ascii="Century Schoolbook" w:hAnsi="Century Schoolbook"/>
          <w:szCs w:val="22"/>
        </w:rPr>
      </w:pPr>
      <w:r w:rsidRPr="00FD616A">
        <w:rPr>
          <w:rFonts w:ascii="Century Schoolbook" w:hAnsi="Century Schoolbook"/>
          <w:szCs w:val="22"/>
        </w:rPr>
        <w:t>L’art. 12 cit., lett. c), consente infatti l’</w:t>
      </w:r>
      <w:r w:rsidRPr="00FD616A">
        <w:rPr>
          <w:rFonts w:ascii="Century Schoolbook" w:hAnsi="Century Schoolbook"/>
          <w:i/>
          <w:iCs/>
          <w:szCs w:val="22"/>
        </w:rPr>
        <w:t>in house</w:t>
      </w:r>
      <w:r w:rsidRPr="00FD616A">
        <w:rPr>
          <w:rFonts w:ascii="Century Schoolbook" w:hAnsi="Century Schoolbook"/>
          <w:szCs w:val="22"/>
        </w:rPr>
        <w:t xml:space="preserve"> pur in difetto della partecipazione pubblica totalitaria qualora vi siano «forme di partecipazione di capitali privati, che non comportano controllo o potere di veto, prescritte dalle disposizioni legislative nazionali, in conformità dei trattati, che non esercitano un’in</w:t>
      </w:r>
      <w:r w:rsidRPr="00FD616A">
        <w:rPr>
          <w:rFonts w:ascii="Century Schoolbook" w:hAnsi="Century Schoolbook"/>
          <w:szCs w:val="22"/>
        </w:rPr>
        <w:softHyphen/>
        <w:t>fluenza determinante sulla persona giuridica controllata».</w:t>
      </w:r>
    </w:p>
    <w:p w14:paraId="041F052C" w14:textId="77777777" w:rsidR="00F7397D" w:rsidRPr="00FD616A" w:rsidRDefault="00F7397D" w:rsidP="005479DA">
      <w:pPr>
        <w:pStyle w:val="Capoverso"/>
        <w:spacing w:line="360" w:lineRule="auto"/>
        <w:contextualSpacing/>
        <w:rPr>
          <w:rFonts w:ascii="Century Schoolbook" w:hAnsi="Century Schoolbook"/>
          <w:szCs w:val="22"/>
        </w:rPr>
      </w:pPr>
      <w:r w:rsidRPr="00FD616A">
        <w:rPr>
          <w:rFonts w:ascii="Century Schoolbook" w:hAnsi="Century Schoolbook"/>
          <w:szCs w:val="22"/>
        </w:rPr>
        <w:t>La direttiva 2014/24/UE apre quindi l’</w:t>
      </w:r>
      <w:r w:rsidRPr="00FD616A">
        <w:rPr>
          <w:rFonts w:ascii="Century Schoolbook" w:hAnsi="Century Schoolbook"/>
          <w:i/>
          <w:iCs/>
          <w:szCs w:val="22"/>
        </w:rPr>
        <w:t>in house</w:t>
      </w:r>
      <w:r w:rsidRPr="00FD616A">
        <w:rPr>
          <w:rFonts w:ascii="Century Schoolbook" w:hAnsi="Century Schoolbook"/>
          <w:szCs w:val="22"/>
        </w:rPr>
        <w:t xml:space="preserve"> al capitale privato</w:t>
      </w:r>
      <w:r w:rsidRPr="00FD616A">
        <w:rPr>
          <w:rStyle w:val="Rimandonotaapidipagina"/>
          <w:rFonts w:ascii="Century Schoolbook" w:hAnsi="Century Schoolbook"/>
          <w:szCs w:val="22"/>
        </w:rPr>
        <w:t> </w:t>
      </w:r>
      <w:r w:rsidRPr="00FD616A">
        <w:rPr>
          <w:rStyle w:val="Rimandonotaapidipagina"/>
          <w:rFonts w:ascii="Century Schoolbook" w:hAnsi="Century Schoolbook"/>
          <w:szCs w:val="22"/>
        </w:rPr>
        <w:footnoteReference w:id="18"/>
      </w:r>
      <w:r w:rsidRPr="00FD616A">
        <w:rPr>
          <w:rFonts w:ascii="Century Schoolbook" w:hAnsi="Century Schoolbook"/>
          <w:szCs w:val="22"/>
        </w:rPr>
        <w:t xml:space="preserve"> subordinandone tuttavia l’ingresso a tre condizioni cumulative: a) i titolari delle relative quote non abbiano un potere di controllo o di veto sull’attività dell’entità partecipata; b) l’ingresso del capitale privato sia </w:t>
      </w:r>
      <w:r w:rsidRPr="00FD616A">
        <w:rPr>
          <w:rFonts w:ascii="Century Schoolbook" w:hAnsi="Century Schoolbook"/>
          <w:i/>
          <w:iCs/>
          <w:szCs w:val="22"/>
        </w:rPr>
        <w:lastRenderedPageBreak/>
        <w:t>imposto</w:t>
      </w:r>
      <w:r w:rsidRPr="00FD616A">
        <w:rPr>
          <w:rStyle w:val="Rimandonotaapidipagina"/>
          <w:rFonts w:ascii="Century Schoolbook" w:hAnsi="Century Schoolbook"/>
          <w:szCs w:val="22"/>
        </w:rPr>
        <w:t> </w:t>
      </w:r>
      <w:r w:rsidRPr="00FD616A">
        <w:rPr>
          <w:rStyle w:val="Rimandonotaapidipagina"/>
          <w:rFonts w:ascii="Century Schoolbook" w:hAnsi="Century Schoolbook"/>
          <w:szCs w:val="22"/>
        </w:rPr>
        <w:footnoteReference w:id="19"/>
      </w:r>
      <w:r w:rsidRPr="00FD616A">
        <w:rPr>
          <w:rFonts w:ascii="Century Schoolbook" w:hAnsi="Century Schoolbook"/>
          <w:szCs w:val="22"/>
        </w:rPr>
        <w:t xml:space="preserve"> da leggi interne compatibili con i Trattati; c) quei titolari non vi esercitino un’influenza determinante.</w:t>
      </w:r>
    </w:p>
    <w:p w14:paraId="35162E38" w14:textId="77777777" w:rsidR="00F7397D" w:rsidRPr="00FD616A" w:rsidRDefault="00F7397D" w:rsidP="005479DA">
      <w:pPr>
        <w:pStyle w:val="Capoverso"/>
        <w:spacing w:line="360" w:lineRule="auto"/>
        <w:contextualSpacing/>
        <w:rPr>
          <w:rFonts w:ascii="Century Schoolbook" w:hAnsi="Century Schoolbook"/>
          <w:szCs w:val="22"/>
        </w:rPr>
      </w:pPr>
      <w:r w:rsidRPr="00FD616A">
        <w:rPr>
          <w:rFonts w:ascii="Century Schoolbook" w:hAnsi="Century Schoolbook"/>
          <w:szCs w:val="22"/>
        </w:rPr>
        <w:t>Questo il quadro regolativo – nel 2014 la recezione che porterà al codice degli appalti non è ancora avvenuta – quando inizia il conflitto giurisdizionale di cui dicevo in apertura.</w:t>
      </w:r>
    </w:p>
    <w:p w14:paraId="2EF7EDE4" w14:textId="77777777" w:rsidR="00F7397D" w:rsidRPr="00FD616A" w:rsidRDefault="00F7397D" w:rsidP="005479DA">
      <w:pPr>
        <w:pStyle w:val="Capoverso"/>
        <w:widowControl w:val="0"/>
        <w:spacing w:line="360" w:lineRule="auto"/>
        <w:contextualSpacing/>
        <w:rPr>
          <w:rFonts w:ascii="Century Schoolbook" w:hAnsi="Century Schoolbook"/>
          <w:szCs w:val="22"/>
        </w:rPr>
      </w:pPr>
      <w:r w:rsidRPr="00FD616A">
        <w:rPr>
          <w:rFonts w:ascii="Century Schoolbook" w:hAnsi="Century Schoolbook"/>
          <w:szCs w:val="22"/>
        </w:rPr>
        <w:t xml:space="preserve">Il primo fronte risulterebbe in Calabria, dove l’Università affida servizi informatici senza gara al Cineca, ritenendolo organismo </w:t>
      </w:r>
      <w:r w:rsidRPr="00FD616A">
        <w:rPr>
          <w:rFonts w:ascii="Century Schoolbook" w:hAnsi="Century Schoolbook"/>
          <w:i/>
          <w:iCs/>
          <w:szCs w:val="22"/>
        </w:rPr>
        <w:t>in house</w:t>
      </w:r>
      <w:r w:rsidRPr="00FD616A">
        <w:rPr>
          <w:rFonts w:ascii="Century Schoolbook" w:hAnsi="Century Schoolbook"/>
          <w:szCs w:val="22"/>
        </w:rPr>
        <w:t>. Accade una pri</w:t>
      </w:r>
      <w:r w:rsidRPr="00FD616A">
        <w:rPr>
          <w:rFonts w:ascii="Century Schoolbook" w:hAnsi="Century Schoolbook"/>
          <w:szCs w:val="22"/>
        </w:rPr>
        <w:softHyphen/>
        <w:t xml:space="preserve">ma volta nel 2013 (quindi prima delle direttive 2014). Ma il TAR territoriale annulla subito l’affidamento con sentenza in forma semplificata. Quel Giudice richiama l’allora fresco parere dell’AVCP 27 agosto 2013, n. AS1075, reso proprio su quesito del MIUR, «secondo cui «la nuova configurazione del consorzio CINECA – avendo incorporato, a </w:t>
      </w:r>
      <w:r w:rsidRPr="00FD616A">
        <w:rPr>
          <w:rFonts w:ascii="Century Schoolbook" w:hAnsi="Century Schoolbook"/>
          <w:szCs w:val="22"/>
        </w:rPr>
        <w:lastRenderedPageBreak/>
        <w:t>seguito della fusione dello scorso luglio, alcuni istituti universitari aventi natura giuridica privata (tra cui, ad esempio, l’Uni</w:t>
      </w:r>
      <w:r w:rsidRPr="00FD616A">
        <w:rPr>
          <w:rFonts w:ascii="Century Schoolbook" w:hAnsi="Century Schoolbook"/>
          <w:szCs w:val="22"/>
        </w:rPr>
        <w:softHyphen/>
        <w:t xml:space="preserve">versità commerciale Luigi Bocconi e lo IULM) – risulta … ostativo alla sussistenza del requisito della partecipazione pubblica totalitaria e pertanto alla legittimità di un affidamento diretto da parte del MIUR secondo il modello </w:t>
      </w:r>
      <w:proofErr w:type="spellStart"/>
      <w:r w:rsidRPr="00FD616A">
        <w:rPr>
          <w:rFonts w:ascii="Century Schoolbook" w:hAnsi="Century Schoolbook"/>
          <w:szCs w:val="22"/>
        </w:rPr>
        <w:t>dell’</w:t>
      </w:r>
      <w:r w:rsidRPr="00FD616A">
        <w:rPr>
          <w:rFonts w:ascii="Century Schoolbook" w:hAnsi="Century Schoolbook"/>
          <w:i/>
          <w:iCs/>
          <w:szCs w:val="22"/>
        </w:rPr>
        <w:t>in</w:t>
      </w:r>
      <w:proofErr w:type="spellEnd"/>
      <w:r w:rsidRPr="00FD616A">
        <w:rPr>
          <w:rFonts w:ascii="Century Schoolbook" w:hAnsi="Century Schoolbook"/>
          <w:i/>
          <w:iCs/>
          <w:szCs w:val="22"/>
        </w:rPr>
        <w:t xml:space="preserve"> </w:t>
      </w:r>
      <w:proofErr w:type="spellStart"/>
      <w:r w:rsidRPr="00FD616A">
        <w:rPr>
          <w:rFonts w:ascii="Century Schoolbook" w:hAnsi="Century Schoolbook"/>
          <w:i/>
          <w:iCs/>
          <w:szCs w:val="22"/>
        </w:rPr>
        <w:t>house</w:t>
      </w:r>
      <w:proofErr w:type="spellEnd"/>
      <w:r w:rsidRPr="00FD616A">
        <w:rPr>
          <w:rFonts w:ascii="Century Schoolbook" w:hAnsi="Century Schoolbook"/>
          <w:szCs w:val="22"/>
        </w:rPr>
        <w:t>», benché risulti rispettato il requisito dell’attività prevalente»</w:t>
      </w:r>
      <w:r w:rsidRPr="00FD616A">
        <w:rPr>
          <w:rStyle w:val="Rimandonotaapidipagina"/>
          <w:rFonts w:ascii="Century Schoolbook" w:hAnsi="Century Schoolbook"/>
          <w:szCs w:val="22"/>
        </w:rPr>
        <w:t> </w:t>
      </w:r>
      <w:r w:rsidRPr="00FD616A">
        <w:rPr>
          <w:rStyle w:val="Rimandonotaapidipagina"/>
          <w:rFonts w:ascii="Century Schoolbook" w:hAnsi="Century Schoolbook"/>
          <w:szCs w:val="22"/>
        </w:rPr>
        <w:footnoteReference w:id="20"/>
      </w:r>
      <w:r w:rsidRPr="00FD616A">
        <w:rPr>
          <w:rFonts w:ascii="Century Schoolbook" w:hAnsi="Century Schoolbook"/>
          <w:szCs w:val="22"/>
        </w:rPr>
        <w:t>.</w:t>
      </w:r>
    </w:p>
    <w:p w14:paraId="786E0B9B" w14:textId="77777777" w:rsidR="00F7397D" w:rsidRPr="00FD616A" w:rsidRDefault="00F7397D" w:rsidP="005479DA">
      <w:pPr>
        <w:pStyle w:val="Capoverso"/>
        <w:spacing w:line="360" w:lineRule="auto"/>
        <w:contextualSpacing/>
        <w:rPr>
          <w:rFonts w:ascii="Century Schoolbook" w:hAnsi="Century Schoolbook"/>
          <w:szCs w:val="22"/>
        </w:rPr>
      </w:pPr>
      <w:r w:rsidRPr="00FD616A">
        <w:rPr>
          <w:rFonts w:ascii="Century Schoolbook" w:hAnsi="Century Schoolbook"/>
          <w:szCs w:val="22"/>
        </w:rPr>
        <w:t>Motivo dell’annullamento è quindi la presenza nel Cineca di Università private, entrate a seguito dell’accorpamento di tre consorzi interuniversitari previsto dall’art. 7, comma 42-</w:t>
      </w:r>
      <w:r w:rsidRPr="00FD616A">
        <w:rPr>
          <w:rFonts w:ascii="Century Schoolbook" w:hAnsi="Century Schoolbook"/>
          <w:i/>
          <w:iCs/>
          <w:szCs w:val="22"/>
        </w:rPr>
        <w:t>bis</w:t>
      </w:r>
      <w:r w:rsidRPr="00FD616A">
        <w:rPr>
          <w:rFonts w:ascii="Century Schoolbook" w:hAnsi="Century Schoolbook"/>
          <w:szCs w:val="22"/>
        </w:rPr>
        <w:t>, d.l. n. 95/2012</w:t>
      </w:r>
      <w:r w:rsidRPr="00FD616A">
        <w:rPr>
          <w:rStyle w:val="Rimandonotaapidipagina"/>
          <w:rFonts w:ascii="Century Schoolbook" w:hAnsi="Century Schoolbook"/>
          <w:szCs w:val="22"/>
        </w:rPr>
        <w:t> </w:t>
      </w:r>
      <w:r w:rsidRPr="00FD616A">
        <w:rPr>
          <w:rStyle w:val="Rimandonotaapidipagina"/>
          <w:rFonts w:ascii="Century Schoolbook" w:hAnsi="Century Schoolbook"/>
          <w:szCs w:val="22"/>
        </w:rPr>
        <w:footnoteReference w:id="21"/>
      </w:r>
      <w:r w:rsidRPr="00FD616A">
        <w:rPr>
          <w:rFonts w:ascii="Century Schoolbook" w:hAnsi="Century Schoolbook"/>
          <w:szCs w:val="22"/>
        </w:rPr>
        <w:t>.</w:t>
      </w:r>
    </w:p>
    <w:p w14:paraId="30C039F6" w14:textId="77777777" w:rsidR="00F7397D" w:rsidRPr="00FD616A" w:rsidRDefault="00F7397D" w:rsidP="005479DA">
      <w:pPr>
        <w:pStyle w:val="Capoverso"/>
        <w:spacing w:line="360" w:lineRule="auto"/>
        <w:contextualSpacing/>
        <w:rPr>
          <w:rFonts w:ascii="Century Schoolbook" w:hAnsi="Century Schoolbook"/>
          <w:szCs w:val="22"/>
        </w:rPr>
      </w:pPr>
      <w:r w:rsidRPr="00FD616A">
        <w:rPr>
          <w:rFonts w:ascii="Century Schoolbook" w:hAnsi="Century Schoolbook"/>
          <w:szCs w:val="22"/>
        </w:rPr>
        <w:t>L’Università calabrese reitera però l’affidamento senza gara al Cineca. Ne segue un secondo annullamento, sempre con sentenza in forma semplificata</w:t>
      </w:r>
      <w:r w:rsidRPr="00FD616A">
        <w:rPr>
          <w:rStyle w:val="Rimandonotaapidipagina"/>
          <w:rFonts w:ascii="Century Schoolbook" w:hAnsi="Century Schoolbook"/>
          <w:szCs w:val="22"/>
        </w:rPr>
        <w:t> </w:t>
      </w:r>
      <w:r w:rsidRPr="00FD616A">
        <w:rPr>
          <w:rStyle w:val="Rimandonotaapidipagina"/>
          <w:rFonts w:ascii="Century Schoolbook" w:hAnsi="Century Schoolbook"/>
          <w:szCs w:val="22"/>
        </w:rPr>
        <w:footnoteReference w:id="22"/>
      </w:r>
      <w:r w:rsidRPr="00FD616A">
        <w:rPr>
          <w:rFonts w:ascii="Century Schoolbook" w:hAnsi="Century Schoolbook"/>
          <w:szCs w:val="22"/>
        </w:rPr>
        <w:t>.</w:t>
      </w:r>
    </w:p>
    <w:p w14:paraId="597C678F" w14:textId="77777777" w:rsidR="00F7397D" w:rsidRPr="00FD616A" w:rsidRDefault="00F7397D" w:rsidP="005479DA">
      <w:pPr>
        <w:pStyle w:val="Capoverso"/>
        <w:spacing w:line="360" w:lineRule="auto"/>
        <w:contextualSpacing/>
        <w:rPr>
          <w:rFonts w:ascii="Century Schoolbook" w:hAnsi="Century Schoolbook"/>
          <w:szCs w:val="22"/>
        </w:rPr>
      </w:pPr>
      <w:r w:rsidRPr="00FD616A">
        <w:rPr>
          <w:rFonts w:ascii="Century Schoolbook" w:hAnsi="Century Schoolbook"/>
          <w:szCs w:val="22"/>
        </w:rPr>
        <w:t>Questa volta il TAR territoriale evidenzia un duplice motivo impediente l’af</w:t>
      </w:r>
      <w:r w:rsidRPr="00FD616A">
        <w:rPr>
          <w:rFonts w:ascii="Century Schoolbook" w:hAnsi="Century Schoolbook"/>
          <w:szCs w:val="22"/>
        </w:rPr>
        <w:softHyphen/>
        <w:t xml:space="preserve">fidamento </w:t>
      </w:r>
      <w:r w:rsidRPr="00FD616A">
        <w:rPr>
          <w:rFonts w:ascii="Century Schoolbook" w:hAnsi="Century Schoolbook"/>
          <w:i/>
          <w:iCs/>
          <w:szCs w:val="22"/>
        </w:rPr>
        <w:t>intra moenia</w:t>
      </w:r>
      <w:r w:rsidRPr="00FD616A">
        <w:rPr>
          <w:rFonts w:ascii="Century Schoolbook" w:hAnsi="Century Schoolbook"/>
          <w:szCs w:val="22"/>
        </w:rPr>
        <w:t xml:space="preserve">. Oltre a quanto rilevato nella prima decisione, il Giudice sottolinea che «nella specie, non risulta che le Università consorziate abbiano particolari poteri di controllo sul Consorzio, come si desume dal fatto che lo Statuto riconosce unicamente il diritto a prender parte alle sedute del Consiglio consortile tramite un proprio rappresentante». Il principio di diritto è qui esposto in modo chiaro: «gli </w:t>
      </w:r>
      <w:r w:rsidRPr="00FD616A">
        <w:rPr>
          <w:rFonts w:ascii="Century Schoolbook" w:hAnsi="Century Schoolbook"/>
          <w:szCs w:val="22"/>
        </w:rPr>
        <w:lastRenderedPageBreak/>
        <w:t>enti collettivamente controllanti non devono configurarsi come meri beneficiari delle prestazioni dell’ente controllato, bensì devono tutti porsi nei confronti di quest’ultimo nello stesso modo in cui una amministrazione si pone nei riguardi dei propri plessi organizzatori interni».</w:t>
      </w:r>
    </w:p>
    <w:p w14:paraId="149DC6F2" w14:textId="77777777" w:rsidR="00F7397D" w:rsidRPr="00FD616A" w:rsidRDefault="00F7397D" w:rsidP="005479DA">
      <w:pPr>
        <w:pStyle w:val="Capoverso"/>
        <w:spacing w:line="360" w:lineRule="auto"/>
        <w:contextualSpacing/>
        <w:rPr>
          <w:rFonts w:ascii="Century Schoolbook" w:hAnsi="Century Schoolbook"/>
          <w:szCs w:val="22"/>
        </w:rPr>
      </w:pPr>
      <w:r w:rsidRPr="00FD616A">
        <w:rPr>
          <w:rFonts w:ascii="Century Schoolbook" w:hAnsi="Century Schoolbook"/>
          <w:szCs w:val="22"/>
        </w:rPr>
        <w:t>Mentre queste due pronunce denotano una certa asciuttezza anche argomentativa, il diritto giurisprudenziale successivo si aprirà invece a raggiera, affron</w:t>
      </w:r>
      <w:r w:rsidRPr="00FD616A">
        <w:rPr>
          <w:rFonts w:ascii="Century Schoolbook" w:hAnsi="Century Schoolbook"/>
          <w:spacing w:val="-2"/>
          <w:szCs w:val="22"/>
        </w:rPr>
        <w:t xml:space="preserve">tando una pluralità di tematiche che – nell’esaminare i profili generali </w:t>
      </w:r>
      <w:proofErr w:type="spellStart"/>
      <w:r w:rsidRPr="00FD616A">
        <w:rPr>
          <w:rFonts w:ascii="Century Schoolbook" w:hAnsi="Century Schoolbook"/>
          <w:spacing w:val="-2"/>
          <w:szCs w:val="22"/>
        </w:rPr>
        <w:t>dell’</w:t>
      </w:r>
      <w:r w:rsidRPr="00FD616A">
        <w:rPr>
          <w:rFonts w:ascii="Century Schoolbook" w:hAnsi="Century Schoolbook"/>
          <w:i/>
          <w:iCs/>
          <w:spacing w:val="-2"/>
          <w:szCs w:val="22"/>
        </w:rPr>
        <w:t>in</w:t>
      </w:r>
      <w:proofErr w:type="spellEnd"/>
      <w:r w:rsidRPr="00FD616A">
        <w:rPr>
          <w:rFonts w:ascii="Century Schoolbook" w:hAnsi="Century Schoolbook"/>
          <w:i/>
          <w:iCs/>
          <w:szCs w:val="22"/>
        </w:rPr>
        <w:t xml:space="preserve"> </w:t>
      </w:r>
      <w:proofErr w:type="spellStart"/>
      <w:r w:rsidRPr="00FD616A">
        <w:rPr>
          <w:rFonts w:ascii="Century Schoolbook" w:hAnsi="Century Schoolbook"/>
          <w:i/>
          <w:iCs/>
          <w:szCs w:val="22"/>
        </w:rPr>
        <w:t>house</w:t>
      </w:r>
      <w:proofErr w:type="spellEnd"/>
      <w:r w:rsidRPr="00FD616A">
        <w:rPr>
          <w:rFonts w:ascii="Century Schoolbook" w:hAnsi="Century Schoolbook"/>
          <w:szCs w:val="22"/>
        </w:rPr>
        <w:t xml:space="preserve"> – suscitano inevitabilmente l’attenzione della letteratura.</w:t>
      </w:r>
    </w:p>
    <w:p w14:paraId="03E5FE45" w14:textId="001753B3" w:rsidR="00F7397D" w:rsidRPr="00FD616A" w:rsidRDefault="00F7397D" w:rsidP="005479DA">
      <w:pPr>
        <w:pStyle w:val="Capoverso"/>
        <w:spacing w:line="360" w:lineRule="auto"/>
        <w:contextualSpacing/>
        <w:rPr>
          <w:rFonts w:ascii="Century Schoolbook" w:hAnsi="Century Schoolbook"/>
          <w:szCs w:val="22"/>
        </w:rPr>
      </w:pPr>
      <w:r w:rsidRPr="00FD616A">
        <w:rPr>
          <w:rFonts w:ascii="Century Schoolbook" w:hAnsi="Century Schoolbook"/>
          <w:szCs w:val="22"/>
        </w:rPr>
        <w:t xml:space="preserve">È il Consiglio di Stato a prendere adesso la parola. Subito dividendosi, però, fra l’orientamento della II sezione (reso quindi in sede consultiva) e quello </w:t>
      </w:r>
      <w:r w:rsidRPr="00FD616A">
        <w:rPr>
          <w:rFonts w:ascii="Century Schoolbook" w:hAnsi="Century Schoolbook"/>
          <w:i/>
          <w:iCs/>
          <w:szCs w:val="22"/>
        </w:rPr>
        <w:t>opposto</w:t>
      </w:r>
      <w:r w:rsidRPr="00FD616A">
        <w:rPr>
          <w:rFonts w:ascii="Century Schoolbook" w:hAnsi="Century Schoolbook"/>
          <w:szCs w:val="22"/>
        </w:rPr>
        <w:t xml:space="preserve"> – di pochi mesi successivo – della VI sezione.</w:t>
      </w:r>
    </w:p>
    <w:p w14:paraId="29585411" w14:textId="77777777" w:rsidR="00F7397D" w:rsidRPr="00FD616A" w:rsidRDefault="00F7397D" w:rsidP="005479DA">
      <w:pPr>
        <w:pStyle w:val="Capoverso"/>
        <w:spacing w:line="360" w:lineRule="auto"/>
        <w:contextualSpacing/>
        <w:rPr>
          <w:rFonts w:ascii="Century Schoolbook" w:hAnsi="Century Schoolbook"/>
          <w:szCs w:val="22"/>
        </w:rPr>
      </w:pPr>
      <w:r w:rsidRPr="00FD616A">
        <w:rPr>
          <w:rFonts w:ascii="Century Schoolbook" w:hAnsi="Century Schoolbook"/>
          <w:szCs w:val="22"/>
        </w:rPr>
        <w:t>Si tratta di precedenti assai noti, per cui è sufficiente richiamarne i punti salienti.</w:t>
      </w:r>
    </w:p>
    <w:p w14:paraId="3C9DD017" w14:textId="77777777" w:rsidR="00F7397D" w:rsidRPr="00FD616A" w:rsidRDefault="00F7397D" w:rsidP="005479DA">
      <w:pPr>
        <w:pStyle w:val="Capoverso"/>
        <w:spacing w:line="360" w:lineRule="auto"/>
        <w:contextualSpacing/>
        <w:rPr>
          <w:rFonts w:ascii="Century Schoolbook" w:hAnsi="Century Schoolbook"/>
          <w:szCs w:val="22"/>
        </w:rPr>
      </w:pPr>
      <w:r w:rsidRPr="00FD616A">
        <w:rPr>
          <w:rFonts w:ascii="Century Schoolbook" w:hAnsi="Century Schoolbook"/>
          <w:szCs w:val="22"/>
        </w:rPr>
        <w:t>Vediamo il primo</w:t>
      </w:r>
      <w:r w:rsidRPr="00FD616A">
        <w:rPr>
          <w:rStyle w:val="Rimandonotaapidipagina"/>
          <w:rFonts w:ascii="Century Schoolbook" w:hAnsi="Century Schoolbook"/>
          <w:szCs w:val="22"/>
        </w:rPr>
        <w:t> </w:t>
      </w:r>
      <w:r w:rsidRPr="00FD616A">
        <w:rPr>
          <w:rStyle w:val="Rimandonotaapidipagina"/>
          <w:rFonts w:ascii="Century Schoolbook" w:hAnsi="Century Schoolbook"/>
          <w:szCs w:val="22"/>
        </w:rPr>
        <w:footnoteReference w:id="23"/>
      </w:r>
      <w:r w:rsidRPr="00FD616A">
        <w:rPr>
          <w:rFonts w:ascii="Century Schoolbook" w:hAnsi="Century Schoolbook"/>
          <w:szCs w:val="22"/>
        </w:rPr>
        <w:t>.</w:t>
      </w:r>
    </w:p>
    <w:p w14:paraId="0D44D9E0" w14:textId="77777777" w:rsidR="00F7397D" w:rsidRPr="00FD616A" w:rsidRDefault="00F7397D" w:rsidP="005479DA">
      <w:pPr>
        <w:pStyle w:val="Capoverso"/>
        <w:spacing w:line="360" w:lineRule="auto"/>
        <w:contextualSpacing/>
        <w:rPr>
          <w:rFonts w:ascii="Century Schoolbook" w:hAnsi="Century Schoolbook"/>
          <w:szCs w:val="22"/>
        </w:rPr>
      </w:pPr>
      <w:r w:rsidRPr="00FD616A">
        <w:rPr>
          <w:rFonts w:ascii="Century Schoolbook" w:hAnsi="Century Schoolbook"/>
          <w:szCs w:val="22"/>
        </w:rPr>
        <w:t xml:space="preserve">Investita da un quesito del MIUR circa la riconducibilità del rapporto col </w:t>
      </w:r>
      <w:proofErr w:type="spellStart"/>
      <w:r w:rsidRPr="00FD616A">
        <w:rPr>
          <w:rFonts w:ascii="Century Schoolbook" w:hAnsi="Century Schoolbook"/>
          <w:szCs w:val="22"/>
        </w:rPr>
        <w:t>Cineca</w:t>
      </w:r>
      <w:proofErr w:type="spellEnd"/>
      <w:r w:rsidRPr="00FD616A">
        <w:rPr>
          <w:rFonts w:ascii="Century Schoolbook" w:hAnsi="Century Schoolbook"/>
          <w:szCs w:val="22"/>
        </w:rPr>
        <w:t xml:space="preserve"> allo schema </w:t>
      </w:r>
      <w:proofErr w:type="spellStart"/>
      <w:r w:rsidRPr="00FD616A">
        <w:rPr>
          <w:rFonts w:ascii="Century Schoolbook" w:hAnsi="Century Schoolbook"/>
          <w:szCs w:val="22"/>
        </w:rPr>
        <w:t>dell’</w:t>
      </w:r>
      <w:r w:rsidRPr="00FD616A">
        <w:rPr>
          <w:rFonts w:ascii="Century Schoolbook" w:hAnsi="Century Schoolbook"/>
          <w:i/>
          <w:iCs/>
          <w:szCs w:val="22"/>
        </w:rPr>
        <w:t>in</w:t>
      </w:r>
      <w:proofErr w:type="spellEnd"/>
      <w:r w:rsidRPr="00FD616A">
        <w:rPr>
          <w:rFonts w:ascii="Century Schoolbook" w:hAnsi="Century Schoolbook"/>
          <w:i/>
          <w:iCs/>
          <w:szCs w:val="22"/>
        </w:rPr>
        <w:t xml:space="preserve"> </w:t>
      </w:r>
      <w:proofErr w:type="spellStart"/>
      <w:r w:rsidRPr="00FD616A">
        <w:rPr>
          <w:rFonts w:ascii="Century Schoolbook" w:hAnsi="Century Schoolbook"/>
          <w:i/>
          <w:iCs/>
          <w:szCs w:val="22"/>
        </w:rPr>
        <w:t>house</w:t>
      </w:r>
      <w:proofErr w:type="spellEnd"/>
      <w:r w:rsidRPr="00FD616A">
        <w:rPr>
          <w:rFonts w:ascii="Century Schoolbook" w:hAnsi="Century Schoolbook"/>
          <w:szCs w:val="22"/>
        </w:rPr>
        <w:t xml:space="preserve">, la II sezione del Consiglio di Stato disattende gli avvisi contrari dell’AGCM e dell’AVCP e conclude favorevolmente in modo categorico, fondando sull’art. 12 della direttiva n. 24, </w:t>
      </w:r>
      <w:r w:rsidRPr="00FD616A">
        <w:rPr>
          <w:rFonts w:ascii="Century Schoolbook" w:hAnsi="Century Schoolbook"/>
          <w:i/>
          <w:iCs/>
          <w:szCs w:val="22"/>
        </w:rPr>
        <w:t>sebbene all’epoca non fosse stata ancora recepita</w:t>
      </w:r>
      <w:r w:rsidRPr="00FD616A">
        <w:rPr>
          <w:rStyle w:val="Rimandonotaapidipagina"/>
          <w:rFonts w:ascii="Century Schoolbook" w:hAnsi="Century Schoolbook"/>
          <w:szCs w:val="22"/>
        </w:rPr>
        <w:t> </w:t>
      </w:r>
      <w:r w:rsidRPr="00FD616A">
        <w:rPr>
          <w:rStyle w:val="Rimandonotaapidipagina"/>
          <w:rFonts w:ascii="Century Schoolbook" w:hAnsi="Century Schoolbook"/>
          <w:szCs w:val="22"/>
        </w:rPr>
        <w:footnoteReference w:id="24"/>
      </w:r>
      <w:r w:rsidRPr="00FD616A">
        <w:rPr>
          <w:rFonts w:ascii="Century Schoolbook" w:hAnsi="Century Schoolbook"/>
          <w:szCs w:val="22"/>
        </w:rPr>
        <w:t xml:space="preserve">: «la posizione del CINECA nei confronti del Ministero, delle Università e degli Enti pubblici </w:t>
      </w:r>
      <w:r w:rsidRPr="00FD616A">
        <w:rPr>
          <w:rFonts w:ascii="Century Schoolbook" w:hAnsi="Century Schoolbook"/>
          <w:szCs w:val="22"/>
        </w:rPr>
        <w:lastRenderedPageBreak/>
        <w:t>di ricerca suoi consorziati corrisponde perfettamente alla fattispecie cui la direttiva cit. ricollega l’esclusione dalla propria disciplina, anche per i profili di cui finora si era dubitato. Infatti, oltre a soddisfare i requisiti già visti del controllo analogo e dell’attività prevalente da svolgere a favore delle amministrazioni consorziate, nella specie non può ammettersi che il Consorzio possa mai risultare, per qualsiasi evenienza, controllato da capitale privato, tanto meno in posizione di influenza dominante ai sensi dell’art. 2359 cc., essendo ciò viceversa radicalmente escluso dallo stesso assetto consortile, che vede il Consorzio stabilmente partecipato al 98% da Pubbliche Amministrazioni, e soltanto in minima parte da persone giuridiche private, che oltretutto non hanno certamente potere di veto o di condizionamento alcuno, ma che svolgono a loro volta un pubblico servizio nel settore dell’istruzione superiore e/o della ricerca scientifica».</w:t>
      </w:r>
    </w:p>
    <w:p w14:paraId="25671FD9" w14:textId="77777777" w:rsidR="00F7397D" w:rsidRPr="00FD616A" w:rsidRDefault="00F7397D" w:rsidP="005479DA">
      <w:pPr>
        <w:pStyle w:val="Capoverso"/>
        <w:spacing w:line="360" w:lineRule="auto"/>
        <w:contextualSpacing/>
        <w:rPr>
          <w:rFonts w:ascii="Century Schoolbook" w:hAnsi="Century Schoolbook"/>
          <w:szCs w:val="22"/>
        </w:rPr>
      </w:pPr>
      <w:r w:rsidRPr="00FD616A">
        <w:rPr>
          <w:rFonts w:ascii="Century Schoolbook" w:hAnsi="Century Schoolbook"/>
          <w:szCs w:val="22"/>
        </w:rPr>
        <w:t>Seguiamone in sintesi i passaggi argomentativi attraverso la critica serrata che invece le muove la pronuncia di segno opposto cui accennavo sopra</w:t>
      </w:r>
      <w:r w:rsidRPr="00FD616A">
        <w:rPr>
          <w:rStyle w:val="Rimandonotaapidipagina"/>
          <w:rFonts w:ascii="Century Schoolbook" w:hAnsi="Century Schoolbook"/>
          <w:szCs w:val="22"/>
        </w:rPr>
        <w:t> </w:t>
      </w:r>
      <w:r w:rsidRPr="00FD616A">
        <w:rPr>
          <w:rStyle w:val="Rimandonotaapidipagina"/>
          <w:rFonts w:ascii="Century Schoolbook" w:hAnsi="Century Schoolbook"/>
          <w:szCs w:val="22"/>
        </w:rPr>
        <w:footnoteReference w:id="25"/>
      </w:r>
      <w:r w:rsidRPr="00FD616A">
        <w:rPr>
          <w:rFonts w:ascii="Century Schoolbook" w:hAnsi="Century Schoolbook"/>
          <w:szCs w:val="22"/>
        </w:rPr>
        <w:t xml:space="preserve">. La quale perviene a quel convincimento antipodale ricostruendo dapprima tutti «i tratti essenziali dell’istituto </w:t>
      </w:r>
      <w:proofErr w:type="spellStart"/>
      <w:r w:rsidRPr="00FD616A">
        <w:rPr>
          <w:rFonts w:ascii="Century Schoolbook" w:hAnsi="Century Schoolbook"/>
          <w:szCs w:val="22"/>
        </w:rPr>
        <w:t>dell’</w:t>
      </w:r>
      <w:r w:rsidRPr="00FD616A">
        <w:rPr>
          <w:rFonts w:ascii="Century Schoolbook" w:hAnsi="Century Schoolbook"/>
          <w:i/>
          <w:iCs/>
          <w:szCs w:val="22"/>
        </w:rPr>
        <w:t>in</w:t>
      </w:r>
      <w:proofErr w:type="spellEnd"/>
      <w:r w:rsidRPr="00FD616A">
        <w:rPr>
          <w:rFonts w:ascii="Century Schoolbook" w:hAnsi="Century Schoolbook"/>
          <w:i/>
          <w:iCs/>
          <w:szCs w:val="22"/>
        </w:rPr>
        <w:t xml:space="preserve"> </w:t>
      </w:r>
      <w:proofErr w:type="spellStart"/>
      <w:r w:rsidRPr="00FD616A">
        <w:rPr>
          <w:rFonts w:ascii="Century Schoolbook" w:hAnsi="Century Schoolbook"/>
          <w:i/>
          <w:iCs/>
          <w:szCs w:val="22"/>
        </w:rPr>
        <w:t>house</w:t>
      </w:r>
      <w:proofErr w:type="spellEnd"/>
      <w:r w:rsidRPr="00FD616A">
        <w:rPr>
          <w:rFonts w:ascii="Century Schoolbook" w:hAnsi="Century Schoolbook"/>
          <w:szCs w:val="22"/>
        </w:rPr>
        <w:t xml:space="preserve">, come risultanti dalla giurisprudenza comunitaria e nazionale» e affermando poi che nel caso Cineca non ricorre </w:t>
      </w:r>
      <w:r w:rsidRPr="00FD616A">
        <w:rPr>
          <w:rFonts w:ascii="Century Schoolbook" w:hAnsi="Century Schoolbook"/>
          <w:i/>
          <w:iCs/>
          <w:szCs w:val="22"/>
        </w:rPr>
        <w:t>nessuno</w:t>
      </w:r>
      <w:r w:rsidRPr="00FD616A">
        <w:rPr>
          <w:rFonts w:ascii="Century Schoolbook" w:hAnsi="Century Schoolbook"/>
          <w:szCs w:val="22"/>
        </w:rPr>
        <w:t xml:space="preserve"> dei tre requisiti: partecipazione totalitaria, controllo analogo, attività prevalente.</w:t>
      </w:r>
    </w:p>
    <w:p w14:paraId="003D8786" w14:textId="77777777" w:rsidR="00F7397D" w:rsidRPr="00FD616A" w:rsidRDefault="00F7397D" w:rsidP="005479DA">
      <w:pPr>
        <w:pStyle w:val="Capoverso"/>
        <w:spacing w:line="360" w:lineRule="auto"/>
        <w:contextualSpacing/>
        <w:rPr>
          <w:rFonts w:ascii="Century Schoolbook" w:hAnsi="Century Schoolbook"/>
          <w:szCs w:val="22"/>
        </w:rPr>
      </w:pPr>
      <w:r w:rsidRPr="00FD616A">
        <w:rPr>
          <w:rFonts w:ascii="Century Schoolbook" w:hAnsi="Century Schoolbook"/>
          <w:szCs w:val="22"/>
        </w:rPr>
        <w:lastRenderedPageBreak/>
        <w:t xml:space="preserve">Lo spazio maggiore è riservato all’analisi del primo requisito. È qui – nel rilevare in senso ostativo la presenza nella compagine consortile anche di Università </w:t>
      </w:r>
      <w:r w:rsidRPr="00FD616A">
        <w:rPr>
          <w:rFonts w:ascii="Century Schoolbook" w:hAnsi="Century Schoolbook"/>
          <w:i/>
          <w:iCs/>
          <w:szCs w:val="22"/>
        </w:rPr>
        <w:t>private</w:t>
      </w:r>
      <w:r w:rsidRPr="00FD616A">
        <w:rPr>
          <w:rFonts w:ascii="Century Schoolbook" w:hAnsi="Century Schoolbook"/>
          <w:szCs w:val="22"/>
        </w:rPr>
        <w:t xml:space="preserve"> – che s’incontra un’importante affermazione del Consiglio di Stato: «l’ordinamento si è ormai orientato verso una nozione funzionale e cangiante di ente pubblico. Si ammette ormai senza difficoltà che uno stesso soggetto possa avere la natura di ente pubblico a certi fini e rispetto a certi istituti, e possa, invece, non averla ad altri fini, conservando rispetto ad altri istituti regimi normativi di natura privatistica». Per cui – prosegue quel Giudice – «la circostanza che talvolta le Università private siano state ritenute enti pubblici dalla giurisprudenza (e trattate come tali ai fini della giurisdizione sulle controversie in materia di impiego o della giurisdizione della Corte dei conti) non è di per sé sufficiente per ritenere che lo siano sempre. Non è di per sé sufficiente per ritenere che lo siano, per quanto più interessa in questa sede, anche quando si tratta di verificare la condizione, rilevante per configurare un rapporto </w:t>
      </w:r>
      <w:r w:rsidRPr="00FD616A">
        <w:rPr>
          <w:rFonts w:ascii="Century Schoolbook" w:hAnsi="Century Schoolbook"/>
          <w:i/>
          <w:iCs/>
          <w:szCs w:val="22"/>
        </w:rPr>
        <w:t>in house</w:t>
      </w:r>
      <w:r w:rsidRPr="00FD616A">
        <w:rPr>
          <w:rFonts w:ascii="Century Schoolbook" w:hAnsi="Century Schoolbook"/>
          <w:szCs w:val="22"/>
        </w:rPr>
        <w:t>, della partecipazione pubblica totalitaria»</w:t>
      </w:r>
      <w:r w:rsidRPr="00FD616A">
        <w:rPr>
          <w:rStyle w:val="Rimandonotaapidipagina"/>
          <w:rFonts w:ascii="Century Schoolbook" w:hAnsi="Century Schoolbook"/>
          <w:szCs w:val="22"/>
        </w:rPr>
        <w:t> </w:t>
      </w:r>
      <w:r w:rsidRPr="00FD616A">
        <w:rPr>
          <w:rStyle w:val="Rimandonotaapidipagina"/>
          <w:rFonts w:ascii="Century Schoolbook" w:hAnsi="Century Schoolbook"/>
          <w:szCs w:val="22"/>
        </w:rPr>
        <w:footnoteReference w:id="26"/>
      </w:r>
      <w:r w:rsidRPr="00FD616A">
        <w:rPr>
          <w:rFonts w:ascii="Century Schoolbook" w:hAnsi="Century Schoolbook"/>
          <w:szCs w:val="22"/>
        </w:rPr>
        <w:t>.</w:t>
      </w:r>
    </w:p>
    <w:p w14:paraId="5384E24A" w14:textId="77777777" w:rsidR="00F7397D" w:rsidRPr="00FD616A" w:rsidRDefault="00F7397D" w:rsidP="005479DA">
      <w:pPr>
        <w:pStyle w:val="Capoverso"/>
        <w:spacing w:line="360" w:lineRule="auto"/>
        <w:contextualSpacing/>
        <w:rPr>
          <w:rFonts w:ascii="Century Schoolbook" w:hAnsi="Century Schoolbook"/>
          <w:szCs w:val="22"/>
        </w:rPr>
      </w:pPr>
      <w:r w:rsidRPr="00FD616A">
        <w:rPr>
          <w:rFonts w:ascii="Century Schoolbook" w:hAnsi="Century Schoolbook"/>
          <w:szCs w:val="22"/>
        </w:rPr>
        <w:lastRenderedPageBreak/>
        <w:t>Mi avvalgo delle parole di Margherita Ramajoli: «si assiste al superamento delle certezze derivanti dalle tranquillizzanti letture dicotomiche di pubblico e privato. Una volta […] la linea di demarcazione tra pubblico e privato era stata resa fluida da quella zona grigia costituita dal concetto di corpo morale, ora invece dalla nuova zona grigia rappresentata dalla nozione «cangiante» di ente pubblico»</w:t>
      </w:r>
      <w:r w:rsidRPr="00FD616A">
        <w:rPr>
          <w:rStyle w:val="Rimandonotaapidipagina"/>
          <w:rFonts w:ascii="Century Schoolbook" w:hAnsi="Century Schoolbook"/>
          <w:szCs w:val="22"/>
        </w:rPr>
        <w:t> </w:t>
      </w:r>
      <w:r w:rsidRPr="00FD616A">
        <w:rPr>
          <w:rStyle w:val="Rimandonotaapidipagina"/>
          <w:rFonts w:ascii="Century Schoolbook" w:hAnsi="Century Schoolbook"/>
          <w:szCs w:val="22"/>
        </w:rPr>
        <w:footnoteReference w:id="27"/>
      </w:r>
      <w:r w:rsidRPr="00FD616A">
        <w:rPr>
          <w:rFonts w:ascii="Century Schoolbook" w:hAnsi="Century Schoolbook"/>
          <w:szCs w:val="22"/>
        </w:rPr>
        <w:t>.</w:t>
      </w:r>
    </w:p>
    <w:p w14:paraId="2BEA1D15" w14:textId="77777777" w:rsidR="00F7397D" w:rsidRPr="00FD616A" w:rsidRDefault="00F7397D" w:rsidP="005479DA">
      <w:pPr>
        <w:pStyle w:val="Capoverso"/>
        <w:spacing w:line="360" w:lineRule="auto"/>
        <w:contextualSpacing/>
        <w:rPr>
          <w:rFonts w:ascii="Century Schoolbook" w:hAnsi="Century Schoolbook"/>
          <w:szCs w:val="22"/>
        </w:rPr>
      </w:pPr>
      <w:r w:rsidRPr="00FD616A">
        <w:rPr>
          <w:rFonts w:ascii="Century Schoolbook" w:hAnsi="Century Schoolbook"/>
          <w:szCs w:val="22"/>
        </w:rPr>
        <w:t xml:space="preserve">La critica al citato parere della II sezione s’incontra a questo punto, dove la sentenza esclude l’applicabilità diretta – cioè </w:t>
      </w:r>
      <w:r w:rsidRPr="00FD616A">
        <w:rPr>
          <w:rFonts w:ascii="Century Schoolbook" w:hAnsi="Century Schoolbook"/>
          <w:i/>
          <w:iCs/>
          <w:szCs w:val="22"/>
        </w:rPr>
        <w:t xml:space="preserve">ante </w:t>
      </w:r>
      <w:proofErr w:type="spellStart"/>
      <w:r w:rsidRPr="00FD616A">
        <w:rPr>
          <w:rFonts w:ascii="Century Schoolbook" w:hAnsi="Century Schoolbook"/>
          <w:i/>
          <w:iCs/>
          <w:szCs w:val="22"/>
        </w:rPr>
        <w:t>receptionem</w:t>
      </w:r>
      <w:proofErr w:type="spellEnd"/>
      <w:r w:rsidRPr="00FD616A">
        <w:rPr>
          <w:rFonts w:ascii="Century Schoolbook" w:hAnsi="Century Schoolbook"/>
          <w:szCs w:val="22"/>
        </w:rPr>
        <w:t xml:space="preserve"> – dell’art. 12, lett. c), direttiva n. 24: «le regole sull’</w:t>
      </w:r>
      <w:r w:rsidRPr="00FD616A">
        <w:rPr>
          <w:rFonts w:ascii="Century Schoolbook" w:hAnsi="Century Schoolbook"/>
          <w:i/>
          <w:iCs/>
          <w:szCs w:val="22"/>
        </w:rPr>
        <w:t>in house</w:t>
      </w:r>
      <w:r w:rsidRPr="00FD616A">
        <w:rPr>
          <w:rFonts w:ascii="Century Schoolbook" w:hAnsi="Century Schoolbook"/>
          <w:szCs w:val="22"/>
        </w:rPr>
        <w:t xml:space="preserve">, di cui si fa applicazione nel presente giudizio, che potenzialmente potrebbero contrastare con le previsioni della </w:t>
      </w:r>
      <w:r w:rsidRPr="00FD616A">
        <w:rPr>
          <w:rFonts w:ascii="Century Schoolbook" w:hAnsi="Century Schoolbook"/>
          <w:spacing w:val="-2"/>
          <w:szCs w:val="22"/>
        </w:rPr>
        <w:t>nuova direttiva, sono, infatti, regole già esistenti nell’ordinamento nazionale</w:t>
      </w:r>
      <w:r w:rsidRPr="00FD616A">
        <w:rPr>
          <w:rFonts w:ascii="Century Schoolbook" w:hAnsi="Century Schoolbook"/>
          <w:szCs w:val="22"/>
        </w:rPr>
        <w:t xml:space="preserve"> (non introdotte </w:t>
      </w:r>
      <w:r w:rsidRPr="00FD616A">
        <w:rPr>
          <w:rFonts w:ascii="Century Schoolbook" w:hAnsi="Century Schoolbook"/>
          <w:i/>
          <w:iCs/>
          <w:szCs w:val="22"/>
        </w:rPr>
        <w:t>ex novo</w:t>
      </w:r>
      <w:r w:rsidRPr="00FD616A">
        <w:rPr>
          <w:rFonts w:ascii="Century Schoolbook" w:hAnsi="Century Schoolbook"/>
          <w:szCs w:val="22"/>
        </w:rPr>
        <w:t xml:space="preserve"> dal legislatore nazionale in violazione del dovere di </w:t>
      </w:r>
      <w:r w:rsidRPr="00FD616A">
        <w:rPr>
          <w:rFonts w:ascii="Century Schoolbook" w:hAnsi="Century Schoolbook"/>
          <w:i/>
          <w:iCs/>
          <w:szCs w:val="22"/>
        </w:rPr>
        <w:t>standstill</w:t>
      </w:r>
      <w:r w:rsidRPr="00FD616A">
        <w:rPr>
          <w:rFonts w:ascii="Century Schoolbook" w:hAnsi="Century Schoolbook"/>
          <w:szCs w:val="22"/>
        </w:rPr>
        <w:t>) e sono, inoltre, regole che trovano la loro fonte proprio nell’ordinamento del</w:t>
      </w:r>
      <w:r w:rsidRPr="00FD616A">
        <w:rPr>
          <w:rFonts w:ascii="Century Schoolbook" w:hAnsi="Century Schoolbook"/>
          <w:szCs w:val="22"/>
        </w:rPr>
        <w:softHyphen/>
        <w:t xml:space="preserve">l’Unione Europea, avendo esse origine dalla sopra richiamata giurisprudenza della Corte di Giustizia che nel corso degli anni ha fissato rigorosi limiti alla operatività </w:t>
      </w:r>
      <w:proofErr w:type="spellStart"/>
      <w:r w:rsidRPr="00FD616A">
        <w:rPr>
          <w:rFonts w:ascii="Century Schoolbook" w:hAnsi="Century Schoolbook"/>
          <w:szCs w:val="22"/>
        </w:rPr>
        <w:t>dell’</w:t>
      </w:r>
      <w:r w:rsidRPr="00FD616A">
        <w:rPr>
          <w:rFonts w:ascii="Century Schoolbook" w:hAnsi="Century Schoolbook"/>
          <w:i/>
          <w:iCs/>
          <w:szCs w:val="22"/>
        </w:rPr>
        <w:t>in</w:t>
      </w:r>
      <w:proofErr w:type="spellEnd"/>
      <w:r w:rsidRPr="00FD616A">
        <w:rPr>
          <w:rFonts w:ascii="Century Schoolbook" w:hAnsi="Century Schoolbook"/>
          <w:i/>
          <w:iCs/>
          <w:szCs w:val="22"/>
        </w:rPr>
        <w:t xml:space="preserve"> </w:t>
      </w:r>
      <w:proofErr w:type="spellStart"/>
      <w:r w:rsidRPr="00FD616A">
        <w:rPr>
          <w:rFonts w:ascii="Century Schoolbook" w:hAnsi="Century Schoolbook"/>
          <w:i/>
          <w:iCs/>
          <w:szCs w:val="22"/>
        </w:rPr>
        <w:t>house</w:t>
      </w:r>
      <w:proofErr w:type="spellEnd"/>
      <w:r w:rsidRPr="00FD616A">
        <w:rPr>
          <w:rFonts w:ascii="Century Schoolbook" w:hAnsi="Century Schoolbook"/>
          <w:szCs w:val="22"/>
        </w:rPr>
        <w:t>. Non si può, quindi, ritenere che la mera pubblicazione della direttiva determini, prima che sia scaduto il termine per il suo recepimento, il superamento automatico e immediato di una disciplina preesistente di derivazione comunitaria»</w:t>
      </w:r>
      <w:r w:rsidRPr="00FD616A">
        <w:rPr>
          <w:rStyle w:val="Rimandonotaapidipagina"/>
          <w:rFonts w:ascii="Century Schoolbook" w:hAnsi="Century Schoolbook"/>
          <w:szCs w:val="22"/>
        </w:rPr>
        <w:t> </w:t>
      </w:r>
      <w:r w:rsidRPr="00FD616A">
        <w:rPr>
          <w:rStyle w:val="Rimandonotaapidipagina"/>
          <w:rFonts w:ascii="Century Schoolbook" w:hAnsi="Century Schoolbook"/>
          <w:szCs w:val="22"/>
        </w:rPr>
        <w:footnoteReference w:id="28"/>
      </w:r>
      <w:r w:rsidRPr="00FD616A">
        <w:rPr>
          <w:rFonts w:ascii="Century Schoolbook" w:hAnsi="Century Schoolbook"/>
          <w:szCs w:val="22"/>
        </w:rPr>
        <w:t>.</w:t>
      </w:r>
    </w:p>
    <w:p w14:paraId="4F6A7B94" w14:textId="77777777" w:rsidR="00F7397D" w:rsidRPr="00FD616A" w:rsidRDefault="00F7397D" w:rsidP="005479DA">
      <w:pPr>
        <w:pStyle w:val="Capoverso"/>
        <w:spacing w:line="360" w:lineRule="auto"/>
        <w:contextualSpacing/>
        <w:rPr>
          <w:rFonts w:ascii="Century Schoolbook" w:hAnsi="Century Schoolbook"/>
          <w:szCs w:val="22"/>
        </w:rPr>
      </w:pPr>
      <w:r w:rsidRPr="00FD616A">
        <w:rPr>
          <w:rFonts w:ascii="Century Schoolbook" w:hAnsi="Century Schoolbook"/>
          <w:szCs w:val="22"/>
        </w:rPr>
        <w:lastRenderedPageBreak/>
        <w:t xml:space="preserve">Ma secondo la VI sezione è anche (se non sopra tutto) l’ordinamento interno a precludere una relazione </w:t>
      </w:r>
      <w:r w:rsidRPr="00FD616A">
        <w:rPr>
          <w:rFonts w:ascii="Century Schoolbook" w:hAnsi="Century Schoolbook"/>
          <w:i/>
          <w:iCs/>
          <w:szCs w:val="22"/>
        </w:rPr>
        <w:t>intra moenia</w:t>
      </w:r>
      <w:r w:rsidRPr="00FD616A">
        <w:rPr>
          <w:rFonts w:ascii="Century Schoolbook" w:hAnsi="Century Schoolbook"/>
          <w:szCs w:val="22"/>
        </w:rPr>
        <w:t xml:space="preserve"> in caso di entità partecipata non totalitaria: «l’</w:t>
      </w:r>
      <w:r w:rsidRPr="00FD616A">
        <w:rPr>
          <w:rFonts w:ascii="Century Schoolbook" w:hAnsi="Century Schoolbook"/>
          <w:i/>
          <w:iCs/>
          <w:szCs w:val="22"/>
        </w:rPr>
        <w:t>in house</w:t>
      </w:r>
      <w:r w:rsidRPr="00FD616A">
        <w:rPr>
          <w:rFonts w:ascii="Century Schoolbook" w:hAnsi="Century Schoolbook"/>
          <w:szCs w:val="22"/>
        </w:rPr>
        <w:t xml:space="preserve"> di derivazione comunitaria rappresenta, comunque, una deroga alla regola della concorrenza. Trattandosi di istituto «eccezionale», di esso il legislatore nazionale può, ma non deve, avvalersi, risultando, pertanto, certamente legittima la scelta di configurare sul piano del diritto interno la possibilità di ricorrere all’istituto in termini più restrittivi rispetto a quelli consentiti (ma non imposti) dal diritto dell’Unione europea»</w:t>
      </w:r>
      <w:r w:rsidRPr="00FD616A">
        <w:rPr>
          <w:rStyle w:val="Rimandonotaapidipagina"/>
          <w:rFonts w:ascii="Century Schoolbook" w:hAnsi="Century Schoolbook"/>
          <w:szCs w:val="22"/>
        </w:rPr>
        <w:t> </w:t>
      </w:r>
      <w:r w:rsidRPr="00FD616A">
        <w:rPr>
          <w:rStyle w:val="Rimandonotaapidipagina"/>
          <w:rFonts w:ascii="Century Schoolbook" w:hAnsi="Century Schoolbook"/>
          <w:szCs w:val="22"/>
        </w:rPr>
        <w:footnoteReference w:id="29"/>
      </w:r>
      <w:r w:rsidRPr="00FD616A">
        <w:rPr>
          <w:rFonts w:ascii="Century Schoolbook" w:hAnsi="Century Schoolbook"/>
          <w:szCs w:val="22"/>
        </w:rPr>
        <w:t>.</w:t>
      </w:r>
    </w:p>
    <w:p w14:paraId="4313CB83" w14:textId="480FE491" w:rsidR="00F7397D" w:rsidRPr="00FD616A" w:rsidRDefault="00F7397D" w:rsidP="005479DA">
      <w:pPr>
        <w:pStyle w:val="Capoverso"/>
        <w:spacing w:line="360" w:lineRule="auto"/>
        <w:contextualSpacing/>
        <w:rPr>
          <w:rFonts w:ascii="Century Schoolbook" w:hAnsi="Century Schoolbook"/>
          <w:szCs w:val="22"/>
        </w:rPr>
      </w:pPr>
      <w:r w:rsidRPr="00FD616A">
        <w:rPr>
          <w:rFonts w:ascii="Century Schoolbook" w:hAnsi="Century Schoolbook"/>
          <w:szCs w:val="22"/>
        </w:rPr>
        <w:t>A chiudere completamente ogni spazio in punto di (deroga al requisito della) totalitarietà arriva l’ultima osservazione del Collegio. L’art. 12, lett. c), richiede, come visto, che la «forme di partecipazione di capitali privati» siano «prescritte dalle disposizioni legislative nazionali, in conformità dei trattati»</w:t>
      </w:r>
      <w:r w:rsidRPr="00FD616A">
        <w:rPr>
          <w:rStyle w:val="Rimandonotaapidipagina"/>
          <w:rFonts w:ascii="Century Schoolbook" w:hAnsi="Century Schoolbook"/>
          <w:szCs w:val="22"/>
        </w:rPr>
        <w:t> </w:t>
      </w:r>
      <w:r w:rsidRPr="00FD616A">
        <w:rPr>
          <w:rStyle w:val="Rimandonotaapidipagina"/>
          <w:rFonts w:ascii="Century Schoolbook" w:hAnsi="Century Schoolbook"/>
          <w:szCs w:val="22"/>
        </w:rPr>
        <w:footnoteReference w:id="30"/>
      </w:r>
      <w:r w:rsidRPr="00FD616A">
        <w:rPr>
          <w:rFonts w:ascii="Century Schoolbook" w:hAnsi="Century Schoolbook"/>
          <w:szCs w:val="22"/>
        </w:rPr>
        <w:t>: ma l’art. 7, comma 42-</w:t>
      </w:r>
      <w:r w:rsidRPr="00FD616A">
        <w:rPr>
          <w:rFonts w:ascii="Century Schoolbook" w:hAnsi="Century Schoolbook"/>
          <w:i/>
          <w:iCs/>
          <w:szCs w:val="22"/>
        </w:rPr>
        <w:t>bis</w:t>
      </w:r>
      <w:r w:rsidRPr="00FD616A">
        <w:rPr>
          <w:rFonts w:ascii="Century Schoolbook" w:hAnsi="Century Schoolbook"/>
          <w:szCs w:val="22"/>
        </w:rPr>
        <w:t xml:space="preserve">, d.l. n. 95/2012 cit. ha solo e semplicemente previsto un accorpamento di consorzi interuniversitari preesistenti, donde l’ingresso nel Cineca di alcune Università private (Milano-Bocconi, Milano-Cattolica del Sacro Cuore, Milano-IULM). </w:t>
      </w:r>
      <w:r w:rsidRPr="00FD616A">
        <w:rPr>
          <w:rFonts w:ascii="Century Schoolbook" w:hAnsi="Century Schoolbook"/>
          <w:szCs w:val="22"/>
        </w:rPr>
        <w:lastRenderedPageBreak/>
        <w:t>Ne deriva – conclude la VI sezione – che «la partecipazione al Cineca di soggetti privati non è, dunque, oggetto di esplicita prescrizione legislativa, ma è solo una conseguenza di fatto prodotta dalla fusione per incorporazione (questa sì oggetto di espressa previsione legislativa)».</w:t>
      </w:r>
    </w:p>
    <w:p w14:paraId="697325E5" w14:textId="77777777" w:rsidR="00F7397D" w:rsidRPr="00FD616A" w:rsidRDefault="00F7397D" w:rsidP="005479DA">
      <w:pPr>
        <w:pStyle w:val="Capoverso"/>
        <w:spacing w:line="360" w:lineRule="auto"/>
        <w:contextualSpacing/>
        <w:rPr>
          <w:rFonts w:ascii="Century Schoolbook" w:hAnsi="Century Schoolbook"/>
          <w:spacing w:val="-2"/>
          <w:szCs w:val="22"/>
        </w:rPr>
      </w:pPr>
      <w:r w:rsidRPr="00FD616A">
        <w:rPr>
          <w:rFonts w:ascii="Century Schoolbook" w:hAnsi="Century Schoolbook"/>
          <w:spacing w:val="-2"/>
          <w:szCs w:val="22"/>
        </w:rPr>
        <w:t xml:space="preserve">La mancanza di totalitarietà (o di legittime deroghe a quel requisito) sarebbe sufficiente per il </w:t>
      </w:r>
      <w:r w:rsidRPr="00FD616A">
        <w:rPr>
          <w:rFonts w:ascii="Century Schoolbook" w:hAnsi="Century Schoolbook"/>
          <w:i/>
          <w:iCs/>
          <w:spacing w:val="-2"/>
          <w:szCs w:val="22"/>
        </w:rPr>
        <w:t>de profundis</w:t>
      </w:r>
      <w:r w:rsidRPr="00FD616A">
        <w:rPr>
          <w:rFonts w:ascii="Century Schoolbook" w:hAnsi="Century Schoolbook"/>
          <w:spacing w:val="-2"/>
          <w:szCs w:val="22"/>
        </w:rPr>
        <w:t>. Tuttavia la sezione – lo abbiam pure detto – va ol</w:t>
      </w:r>
      <w:r w:rsidRPr="00FD616A">
        <w:rPr>
          <w:rFonts w:ascii="Century Schoolbook" w:hAnsi="Century Schoolbook"/>
          <w:spacing w:val="-3"/>
          <w:szCs w:val="22"/>
        </w:rPr>
        <w:t>tre, ed espone (sebbene in modo più succinto) le ragioni per cui difettano anche</w:t>
      </w:r>
      <w:r w:rsidRPr="00FD616A">
        <w:rPr>
          <w:rFonts w:ascii="Century Schoolbook" w:hAnsi="Century Schoolbook"/>
          <w:spacing w:val="-2"/>
          <w:szCs w:val="22"/>
        </w:rPr>
        <w:t xml:space="preserve"> </w:t>
      </w:r>
      <w:r w:rsidRPr="00FD616A">
        <w:rPr>
          <w:rFonts w:ascii="Century Schoolbook" w:hAnsi="Century Schoolbook"/>
          <w:spacing w:val="-3"/>
          <w:szCs w:val="22"/>
        </w:rPr>
        <w:t>gli altri due presupposti per il ricorso all’</w:t>
      </w:r>
      <w:r w:rsidRPr="00FD616A">
        <w:rPr>
          <w:rFonts w:ascii="Century Schoolbook" w:hAnsi="Century Schoolbook"/>
          <w:i/>
          <w:iCs/>
          <w:spacing w:val="-3"/>
          <w:szCs w:val="22"/>
        </w:rPr>
        <w:t>in house</w:t>
      </w:r>
      <w:r w:rsidRPr="00FD616A">
        <w:rPr>
          <w:rFonts w:ascii="Century Schoolbook" w:hAnsi="Century Schoolbook"/>
          <w:spacing w:val="-3"/>
          <w:szCs w:val="22"/>
        </w:rPr>
        <w:t xml:space="preserve"> da parte dell’Università calabre</w:t>
      </w:r>
      <w:r w:rsidRPr="00FD616A">
        <w:rPr>
          <w:rFonts w:ascii="Century Schoolbook" w:hAnsi="Century Schoolbook"/>
          <w:spacing w:val="-2"/>
          <w:szCs w:val="22"/>
        </w:rPr>
        <w:t>se.</w:t>
      </w:r>
    </w:p>
    <w:p w14:paraId="0181C312" w14:textId="77777777" w:rsidR="00F7397D" w:rsidRPr="00FD616A" w:rsidRDefault="00F7397D" w:rsidP="005479DA">
      <w:pPr>
        <w:pStyle w:val="Capoverso"/>
        <w:spacing w:line="360" w:lineRule="auto"/>
        <w:contextualSpacing/>
        <w:rPr>
          <w:rFonts w:ascii="Century Schoolbook" w:hAnsi="Century Schoolbook"/>
          <w:szCs w:val="22"/>
        </w:rPr>
      </w:pPr>
      <w:r w:rsidRPr="00FD616A">
        <w:rPr>
          <w:rFonts w:ascii="Century Schoolbook" w:hAnsi="Century Schoolbook"/>
          <w:szCs w:val="22"/>
        </w:rPr>
        <w:t xml:space="preserve">Manca il controllo analogo, poiché esso – se congiunto o frazionato – non è configurabile in caso di «mera partecipazione formale al capitale e agli organi </w:t>
      </w:r>
      <w:r w:rsidRPr="00FD616A">
        <w:rPr>
          <w:rFonts w:ascii="Century Schoolbook" w:hAnsi="Century Schoolbook"/>
          <w:spacing w:val="-2"/>
          <w:szCs w:val="22"/>
        </w:rPr>
        <w:t xml:space="preserve">direttivi dell’ente </w:t>
      </w:r>
      <w:r w:rsidRPr="00FD616A">
        <w:rPr>
          <w:rFonts w:ascii="Century Schoolbook" w:hAnsi="Century Schoolbook"/>
          <w:i/>
          <w:iCs/>
          <w:spacing w:val="-2"/>
          <w:szCs w:val="22"/>
        </w:rPr>
        <w:t>in house</w:t>
      </w:r>
      <w:r w:rsidRPr="00FD616A">
        <w:rPr>
          <w:rFonts w:ascii="Century Schoolbook" w:hAnsi="Century Schoolbook"/>
          <w:spacing w:val="-2"/>
          <w:szCs w:val="22"/>
        </w:rPr>
        <w:t>»</w:t>
      </w:r>
      <w:r w:rsidRPr="00FD616A">
        <w:rPr>
          <w:rStyle w:val="Rimandonotaapidipagina"/>
          <w:rFonts w:ascii="Century Schoolbook" w:hAnsi="Century Schoolbook"/>
          <w:spacing w:val="-2"/>
          <w:szCs w:val="22"/>
        </w:rPr>
        <w:t> </w:t>
      </w:r>
      <w:r w:rsidRPr="00FD616A">
        <w:rPr>
          <w:rStyle w:val="Rimandonotaapidipagina"/>
          <w:rFonts w:ascii="Century Schoolbook" w:hAnsi="Century Schoolbook"/>
          <w:spacing w:val="-2"/>
          <w:szCs w:val="22"/>
        </w:rPr>
        <w:footnoteReference w:id="31"/>
      </w:r>
      <w:r w:rsidRPr="00FD616A">
        <w:rPr>
          <w:rFonts w:ascii="Century Schoolbook" w:hAnsi="Century Schoolbook"/>
          <w:spacing w:val="-2"/>
          <w:szCs w:val="22"/>
        </w:rPr>
        <w:t>. E la configurabilità in concreto di un controllo</w:t>
      </w:r>
      <w:r w:rsidRPr="00FD616A">
        <w:rPr>
          <w:rFonts w:ascii="Century Schoolbook" w:hAnsi="Century Schoolbook"/>
          <w:szCs w:val="22"/>
        </w:rPr>
        <w:t xml:space="preserve"> siffatto da parte delle Università consorziate è preclusa – precisa la sentenza – anche dall’egemonia statutariamente riconosciuta al MIUR nell’organizzazione e nel funzionamento del Cineca</w:t>
      </w:r>
      <w:r w:rsidRPr="00FD616A">
        <w:rPr>
          <w:rStyle w:val="Rimandonotaapidipagina"/>
          <w:rFonts w:ascii="Century Schoolbook" w:hAnsi="Century Schoolbook"/>
          <w:szCs w:val="22"/>
        </w:rPr>
        <w:t> </w:t>
      </w:r>
      <w:r w:rsidRPr="00FD616A">
        <w:rPr>
          <w:rStyle w:val="Rimandonotaapidipagina"/>
          <w:rFonts w:ascii="Century Schoolbook" w:hAnsi="Century Schoolbook"/>
          <w:szCs w:val="22"/>
        </w:rPr>
        <w:footnoteReference w:id="32"/>
      </w:r>
      <w:r w:rsidRPr="00FD616A">
        <w:rPr>
          <w:rFonts w:ascii="Century Schoolbook" w:hAnsi="Century Schoolbook"/>
          <w:szCs w:val="22"/>
        </w:rPr>
        <w:t>.</w:t>
      </w:r>
    </w:p>
    <w:p w14:paraId="6A254D32" w14:textId="77777777" w:rsidR="00F7397D" w:rsidRPr="00FD616A" w:rsidRDefault="00F7397D" w:rsidP="005479DA">
      <w:pPr>
        <w:pStyle w:val="Capoverso"/>
        <w:spacing w:line="360" w:lineRule="auto"/>
        <w:contextualSpacing/>
        <w:rPr>
          <w:rFonts w:ascii="Century Schoolbook" w:hAnsi="Century Schoolbook"/>
          <w:szCs w:val="22"/>
        </w:rPr>
      </w:pPr>
      <w:r w:rsidRPr="00FD616A">
        <w:rPr>
          <w:rFonts w:ascii="Century Schoolbook" w:hAnsi="Century Schoolbook"/>
          <w:szCs w:val="22"/>
        </w:rPr>
        <w:lastRenderedPageBreak/>
        <w:t xml:space="preserve">Difetta, infine, l’attività prevalente. Torna qui il dialogo dissensuale col parere n. 298/2015 cit.: «lo svolgimento di attività imprenditoriale verso l’esterno attribuisce al Cineca una vocazione commerciale che impedisce di considerarlo alla stregua di un soggetto </w:t>
      </w:r>
      <w:r w:rsidRPr="00FD616A">
        <w:rPr>
          <w:rFonts w:ascii="Century Schoolbook" w:hAnsi="Century Schoolbook"/>
          <w:i/>
          <w:iCs/>
          <w:szCs w:val="22"/>
        </w:rPr>
        <w:t>in house</w:t>
      </w:r>
      <w:r w:rsidRPr="00FD616A">
        <w:rPr>
          <w:rFonts w:ascii="Century Schoolbook" w:hAnsi="Century Schoolbook"/>
          <w:szCs w:val="22"/>
        </w:rPr>
        <w:t xml:space="preserve">, ovvero di un mero organo delle Amministrazioni consorziate. Né in senso contrario è utile il richiamo ai principi recentemente affermati dalla Corte di Giustizia nella </w:t>
      </w:r>
      <w:proofErr w:type="spellStart"/>
      <w:r w:rsidRPr="00FD616A">
        <w:rPr>
          <w:rFonts w:ascii="Century Schoolbook" w:hAnsi="Century Schoolbook"/>
          <w:szCs w:val="22"/>
        </w:rPr>
        <w:t>sent</w:t>
      </w:r>
      <w:proofErr w:type="spellEnd"/>
      <w:r w:rsidRPr="00FD616A">
        <w:rPr>
          <w:rFonts w:ascii="Century Schoolbook" w:hAnsi="Century Schoolbook"/>
          <w:szCs w:val="22"/>
        </w:rPr>
        <w:t xml:space="preserve">. 18 dicembre 2014, causa C-568/13, (valorizzati, invece, nel già citato parere reso da Cons. Stato, sez. II, 30 gennaio 2015, cit.), che non si occupa specificamente </w:t>
      </w:r>
      <w:proofErr w:type="spellStart"/>
      <w:r w:rsidRPr="00FD616A">
        <w:rPr>
          <w:rFonts w:ascii="Century Schoolbook" w:hAnsi="Century Schoolbook"/>
          <w:szCs w:val="22"/>
        </w:rPr>
        <w:t>dell’</w:t>
      </w:r>
      <w:r w:rsidRPr="00FD616A">
        <w:rPr>
          <w:rFonts w:ascii="Century Schoolbook" w:hAnsi="Century Schoolbook"/>
          <w:i/>
          <w:iCs/>
          <w:szCs w:val="22"/>
        </w:rPr>
        <w:t>in</w:t>
      </w:r>
      <w:proofErr w:type="spellEnd"/>
      <w:r w:rsidRPr="00FD616A">
        <w:rPr>
          <w:rFonts w:ascii="Century Schoolbook" w:hAnsi="Century Schoolbook"/>
          <w:i/>
          <w:iCs/>
          <w:szCs w:val="22"/>
        </w:rPr>
        <w:t xml:space="preserve"> </w:t>
      </w:r>
      <w:proofErr w:type="spellStart"/>
      <w:r w:rsidRPr="00FD616A">
        <w:rPr>
          <w:rFonts w:ascii="Century Schoolbook" w:hAnsi="Century Schoolbook"/>
          <w:i/>
          <w:iCs/>
          <w:szCs w:val="22"/>
        </w:rPr>
        <w:t>house</w:t>
      </w:r>
      <w:proofErr w:type="spellEnd"/>
      <w:r w:rsidRPr="00FD616A">
        <w:rPr>
          <w:rFonts w:ascii="Century Schoolbook" w:hAnsi="Century Schoolbook"/>
          <w:szCs w:val="22"/>
        </w:rPr>
        <w:t>, limitandosi ad affermare il principio secondo cui la natura di ente pubblico economico non è di per sé una ragione ostativa alla partecipazione a procedura di evidenza pubblica».</w:t>
      </w:r>
    </w:p>
    <w:p w14:paraId="340F7831" w14:textId="77777777" w:rsidR="00F7397D" w:rsidRPr="00FD616A" w:rsidRDefault="00F7397D" w:rsidP="005479DA">
      <w:pPr>
        <w:pStyle w:val="Paragrafo"/>
        <w:spacing w:before="0" w:after="0" w:line="360" w:lineRule="auto"/>
        <w:contextualSpacing/>
        <w:rPr>
          <w:rFonts w:ascii="Century Schoolbook" w:hAnsi="Century Schoolbook"/>
        </w:rPr>
      </w:pPr>
      <w:r w:rsidRPr="00FD616A">
        <w:rPr>
          <w:rFonts w:ascii="Century Schoolbook" w:hAnsi="Century Schoolbook"/>
          <w:i w:val="0"/>
          <w:iCs/>
        </w:rPr>
        <w:t>4.</w:t>
      </w:r>
      <w:r w:rsidRPr="00FD616A">
        <w:rPr>
          <w:rFonts w:ascii="Century Schoolbook" w:hAnsi="Century Schoolbook"/>
        </w:rPr>
        <w:t xml:space="preserve"> Le norme c.d. salva-Cineca: un nulla di fatto?</w:t>
      </w:r>
    </w:p>
    <w:p w14:paraId="5082CCDC" w14:textId="77777777" w:rsidR="00F7397D" w:rsidRPr="00FD616A" w:rsidRDefault="00F7397D" w:rsidP="005479DA">
      <w:pPr>
        <w:pStyle w:val="Capoverso"/>
        <w:spacing w:line="360" w:lineRule="auto"/>
        <w:contextualSpacing/>
        <w:rPr>
          <w:rFonts w:ascii="Century Schoolbook" w:hAnsi="Century Schoolbook"/>
          <w:szCs w:val="22"/>
        </w:rPr>
      </w:pPr>
      <w:r w:rsidRPr="00FD616A">
        <w:rPr>
          <w:rFonts w:ascii="Century Schoolbook" w:hAnsi="Century Schoolbook"/>
          <w:szCs w:val="22"/>
        </w:rPr>
        <w:t xml:space="preserve">In virtù della sua completezza e puntualità di argomentazioni la </w:t>
      </w:r>
      <w:proofErr w:type="spellStart"/>
      <w:r w:rsidRPr="00FD616A">
        <w:rPr>
          <w:rFonts w:ascii="Century Schoolbook" w:hAnsi="Century Schoolbook"/>
          <w:szCs w:val="22"/>
        </w:rPr>
        <w:t>sent</w:t>
      </w:r>
      <w:proofErr w:type="spellEnd"/>
      <w:r w:rsidRPr="00FD616A">
        <w:rPr>
          <w:rFonts w:ascii="Century Schoolbook" w:hAnsi="Century Schoolbook"/>
          <w:szCs w:val="22"/>
        </w:rPr>
        <w:t>. n. 2660/2015 smantella il sistema Cineca</w:t>
      </w:r>
      <w:r w:rsidRPr="00FD616A">
        <w:rPr>
          <w:rStyle w:val="Rimandonotaapidipagina"/>
          <w:rFonts w:ascii="Century Schoolbook" w:hAnsi="Century Schoolbook"/>
          <w:szCs w:val="22"/>
        </w:rPr>
        <w:t> </w:t>
      </w:r>
      <w:r w:rsidRPr="00FD616A">
        <w:rPr>
          <w:rStyle w:val="Rimandonotaapidipagina"/>
          <w:rFonts w:ascii="Century Schoolbook" w:hAnsi="Century Schoolbook"/>
          <w:szCs w:val="22"/>
        </w:rPr>
        <w:footnoteReference w:id="33"/>
      </w:r>
      <w:r w:rsidRPr="00FD616A">
        <w:rPr>
          <w:rFonts w:ascii="Century Schoolbook" w:hAnsi="Century Schoolbook"/>
          <w:szCs w:val="22"/>
        </w:rPr>
        <w:t>. Ma lo salva un provvidenziale, quanto «immediato soccorso prestato dal legislatore»</w:t>
      </w:r>
      <w:r w:rsidRPr="00FD616A">
        <w:rPr>
          <w:rStyle w:val="Rimandonotaapidipagina"/>
          <w:rFonts w:ascii="Century Schoolbook" w:hAnsi="Century Schoolbook"/>
          <w:szCs w:val="22"/>
        </w:rPr>
        <w:t> </w:t>
      </w:r>
      <w:r w:rsidRPr="00FD616A">
        <w:rPr>
          <w:rStyle w:val="Rimandonotaapidipagina"/>
          <w:rFonts w:ascii="Century Schoolbook" w:hAnsi="Century Schoolbook"/>
          <w:szCs w:val="22"/>
        </w:rPr>
        <w:footnoteReference w:id="34"/>
      </w:r>
      <w:r w:rsidRPr="00FD616A">
        <w:rPr>
          <w:rFonts w:ascii="Century Schoolbook" w:hAnsi="Century Schoolbook"/>
          <w:szCs w:val="22"/>
        </w:rPr>
        <w:t>.</w:t>
      </w:r>
    </w:p>
    <w:p w14:paraId="44FA04B0" w14:textId="77777777" w:rsidR="00F7397D" w:rsidRPr="00FD616A" w:rsidRDefault="00F7397D" w:rsidP="005479DA">
      <w:pPr>
        <w:pStyle w:val="Capoverso"/>
        <w:spacing w:line="360" w:lineRule="auto"/>
        <w:contextualSpacing/>
        <w:rPr>
          <w:rFonts w:ascii="Century Schoolbook" w:hAnsi="Century Schoolbook"/>
          <w:szCs w:val="22"/>
        </w:rPr>
      </w:pPr>
      <w:r w:rsidRPr="00FD616A">
        <w:rPr>
          <w:rFonts w:ascii="Century Schoolbook" w:hAnsi="Century Schoolbook"/>
          <w:spacing w:val="-2"/>
          <w:szCs w:val="22"/>
        </w:rPr>
        <w:t>Avviene in Senato. Si tratta della proposta di modifica n. 9.31 al d.d.l. AS</w:t>
      </w:r>
      <w:r w:rsidRPr="00FD616A">
        <w:rPr>
          <w:rFonts w:ascii="Century Schoolbook" w:hAnsi="Century Schoolbook"/>
          <w:szCs w:val="22"/>
        </w:rPr>
        <w:t xml:space="preserve"> 1977 (sfociato nella legge 6 agosto 2015, n. 125 cit.) di conversione </w:t>
      </w:r>
      <w:r w:rsidRPr="00FD616A">
        <w:rPr>
          <w:rFonts w:ascii="Century Schoolbook" w:hAnsi="Century Schoolbook"/>
          <w:szCs w:val="22"/>
        </w:rPr>
        <w:lastRenderedPageBreak/>
        <w:t>del d.l. n. 78/2015, al cui art. 9 sono aggiunti i commi 11-</w:t>
      </w:r>
      <w:r w:rsidRPr="00FD616A">
        <w:rPr>
          <w:rFonts w:ascii="Century Schoolbook" w:hAnsi="Century Schoolbook"/>
          <w:i/>
          <w:iCs/>
          <w:szCs w:val="22"/>
        </w:rPr>
        <w:t>bis</w:t>
      </w:r>
      <w:r w:rsidRPr="00FD616A">
        <w:rPr>
          <w:rFonts w:ascii="Century Schoolbook" w:hAnsi="Century Schoolbook"/>
          <w:szCs w:val="22"/>
        </w:rPr>
        <w:t>, 11-</w:t>
      </w:r>
      <w:r w:rsidRPr="00FD616A">
        <w:rPr>
          <w:rFonts w:ascii="Century Schoolbook" w:hAnsi="Century Schoolbook"/>
          <w:i/>
          <w:iCs/>
          <w:szCs w:val="22"/>
        </w:rPr>
        <w:t>ter</w:t>
      </w:r>
      <w:r w:rsidRPr="00FD616A">
        <w:rPr>
          <w:rFonts w:ascii="Century Schoolbook" w:hAnsi="Century Schoolbook"/>
          <w:szCs w:val="22"/>
        </w:rPr>
        <w:t xml:space="preserve"> e 11-</w:t>
      </w:r>
      <w:r w:rsidRPr="00FD616A">
        <w:rPr>
          <w:rFonts w:ascii="Century Schoolbook" w:hAnsi="Century Schoolbook"/>
          <w:i/>
          <w:iCs/>
          <w:szCs w:val="22"/>
        </w:rPr>
        <w:t>quater</w:t>
      </w:r>
      <w:r w:rsidRPr="00FD616A">
        <w:rPr>
          <w:rStyle w:val="Rimandonotaapidipagina"/>
          <w:rFonts w:ascii="Century Schoolbook" w:hAnsi="Century Schoolbook"/>
          <w:szCs w:val="22"/>
        </w:rPr>
        <w:t> </w:t>
      </w:r>
      <w:r w:rsidRPr="00FD616A">
        <w:rPr>
          <w:rStyle w:val="Rimandonotaapidipagina"/>
          <w:rFonts w:ascii="Century Schoolbook" w:hAnsi="Century Schoolbook"/>
          <w:szCs w:val="22"/>
        </w:rPr>
        <w:footnoteReference w:id="35"/>
      </w:r>
      <w:r w:rsidRPr="00FD616A">
        <w:rPr>
          <w:rFonts w:ascii="Century Schoolbook" w:hAnsi="Century Schoolbook"/>
          <w:szCs w:val="22"/>
        </w:rPr>
        <w:t>. Ne ho accennato in apertura.</w:t>
      </w:r>
    </w:p>
    <w:p w14:paraId="4692BBF0" w14:textId="6451B76C" w:rsidR="00F7397D" w:rsidRPr="00FD616A" w:rsidRDefault="00F7397D" w:rsidP="005479DA">
      <w:pPr>
        <w:pStyle w:val="Capoverso"/>
        <w:spacing w:line="360" w:lineRule="auto"/>
        <w:contextualSpacing/>
        <w:rPr>
          <w:rFonts w:ascii="Century Schoolbook" w:hAnsi="Century Schoolbook"/>
          <w:szCs w:val="22"/>
        </w:rPr>
      </w:pPr>
      <w:r w:rsidRPr="00FD616A">
        <w:rPr>
          <w:rFonts w:ascii="Century Schoolbook" w:hAnsi="Century Schoolbook"/>
          <w:szCs w:val="22"/>
        </w:rPr>
        <w:t xml:space="preserve">In breve. In base al primo di questi tre commi possono far parte del Cineca «persone giuridiche pubbliche o </w:t>
      </w:r>
      <w:r w:rsidRPr="00FD616A">
        <w:rPr>
          <w:rFonts w:ascii="Century Schoolbook" w:hAnsi="Century Schoolbook"/>
          <w:i/>
          <w:iCs/>
          <w:szCs w:val="22"/>
        </w:rPr>
        <w:t>private</w:t>
      </w:r>
      <w:r w:rsidRPr="00FD616A">
        <w:rPr>
          <w:rFonts w:ascii="Century Schoolbook" w:hAnsi="Century Schoolbook"/>
          <w:szCs w:val="22"/>
        </w:rPr>
        <w:t xml:space="preserve"> che svolgono attività nel settore dell’i</w:t>
      </w:r>
      <w:r w:rsidRPr="00FD616A">
        <w:rPr>
          <w:rFonts w:ascii="Century Schoolbook" w:hAnsi="Century Schoolbook"/>
          <w:szCs w:val="22"/>
        </w:rPr>
        <w:softHyphen/>
        <w:t xml:space="preserve">struzione, dell’Università e della ricerca, secondo quanto previsto dallo statuto del Consorzio medesimo». La norma anticipa quindi </w:t>
      </w:r>
      <w:r w:rsidRPr="00FD616A">
        <w:rPr>
          <w:rFonts w:ascii="Century Schoolbook" w:hAnsi="Century Schoolbook"/>
          <w:i/>
          <w:iCs/>
          <w:szCs w:val="22"/>
        </w:rPr>
        <w:t>ad hoc</w:t>
      </w:r>
      <w:r w:rsidRPr="00FD616A">
        <w:rPr>
          <w:rFonts w:ascii="Century Schoolbook" w:hAnsi="Century Schoolbook"/>
          <w:szCs w:val="22"/>
        </w:rPr>
        <w:t xml:space="preserve"> il recepimento del</w:t>
      </w:r>
      <w:r w:rsidRPr="00FD616A">
        <w:rPr>
          <w:rFonts w:ascii="Century Schoolbook" w:hAnsi="Century Schoolbook"/>
          <w:szCs w:val="22"/>
        </w:rPr>
        <w:softHyphen/>
        <w:t>l’art. 12, lett. c), direttiva n. 24, cit. A sua volta, il comma 11-</w:t>
      </w:r>
      <w:r w:rsidRPr="00FD616A">
        <w:rPr>
          <w:rFonts w:ascii="Century Schoolbook" w:hAnsi="Century Schoolbook"/>
          <w:i/>
          <w:iCs/>
          <w:szCs w:val="22"/>
        </w:rPr>
        <w:t>quater</w:t>
      </w:r>
      <w:r w:rsidRPr="00FD616A">
        <w:rPr>
          <w:rFonts w:ascii="Century Schoolbook" w:hAnsi="Century Schoolbook"/>
          <w:szCs w:val="22"/>
        </w:rPr>
        <w:t xml:space="preserve"> offre un criterio un po’ meno incerto per identificare il requisito della prevalenza, ora e</w:t>
      </w:r>
      <w:r w:rsidRPr="00FD616A">
        <w:rPr>
          <w:rFonts w:ascii="Century Schoolbook" w:hAnsi="Century Schoolbook"/>
          <w:szCs w:val="22"/>
        </w:rPr>
        <w:softHyphen/>
        <w:t xml:space="preserve">spressamente rapportato a un parametro </w:t>
      </w:r>
      <w:r w:rsidRPr="00FD616A">
        <w:rPr>
          <w:rFonts w:ascii="Century Schoolbook" w:hAnsi="Century Schoolbook"/>
          <w:i/>
          <w:iCs/>
          <w:szCs w:val="22"/>
        </w:rPr>
        <w:t>quantitativo</w:t>
      </w:r>
      <w:r w:rsidRPr="00FD616A">
        <w:rPr>
          <w:rFonts w:ascii="Century Schoolbook" w:hAnsi="Century Schoolbook"/>
          <w:szCs w:val="22"/>
        </w:rPr>
        <w:t>: oltre l’80 per cento delle attività dell’ente dev’essere svolto per compiti a esso affidati dall’amministrazio</w:t>
      </w:r>
      <w:r w:rsidRPr="00FD616A">
        <w:rPr>
          <w:rFonts w:ascii="Century Schoolbook" w:hAnsi="Century Schoolbook"/>
          <w:szCs w:val="22"/>
        </w:rPr>
        <w:softHyphen/>
        <w:t>ne controllante o da altre persone giuridiche controllate dalla stessa. L’interven</w:t>
      </w:r>
      <w:r w:rsidRPr="00FD616A">
        <w:rPr>
          <w:rFonts w:ascii="Century Schoolbook" w:hAnsi="Century Schoolbook"/>
          <w:szCs w:val="22"/>
        </w:rPr>
        <w:softHyphen/>
        <w:t xml:space="preserve">to legislativo appare meno incisivo, infine, circa il controllo analogo: </w:t>
      </w:r>
      <w:r w:rsidRPr="00FD616A">
        <w:rPr>
          <w:rFonts w:ascii="Century Schoolbook" w:hAnsi="Century Schoolbook"/>
          <w:szCs w:val="22"/>
        </w:rPr>
        <w:lastRenderedPageBreak/>
        <w:t>il comma 11-</w:t>
      </w:r>
      <w:r w:rsidRPr="00FD616A">
        <w:rPr>
          <w:rFonts w:ascii="Century Schoolbook" w:hAnsi="Century Schoolbook"/>
          <w:i/>
          <w:iCs/>
          <w:szCs w:val="22"/>
        </w:rPr>
        <w:t>ter</w:t>
      </w:r>
      <w:r w:rsidRPr="00FD616A">
        <w:rPr>
          <w:rFonts w:ascii="Century Schoolbook" w:hAnsi="Century Schoolbook"/>
          <w:szCs w:val="22"/>
        </w:rPr>
        <w:t xml:space="preserve"> cit. rimandandone la strutturazione a un mutamento statutario, «ove necessario»: cioè – si è precisato in dottrina – «che doti gli enti consorziati di poteri non solo «idonei», ma altresì «proporzionati» all’esercizio di un controllo analogo»</w:t>
      </w:r>
      <w:r w:rsidRPr="00FD616A">
        <w:rPr>
          <w:rStyle w:val="Rimandonotaapidipagina"/>
          <w:rFonts w:ascii="Century Schoolbook" w:hAnsi="Century Schoolbook"/>
          <w:szCs w:val="22"/>
        </w:rPr>
        <w:t> </w:t>
      </w:r>
      <w:r w:rsidRPr="00FD616A">
        <w:rPr>
          <w:rStyle w:val="Rimandonotaapidipagina"/>
          <w:rFonts w:ascii="Century Schoolbook" w:hAnsi="Century Schoolbook"/>
          <w:szCs w:val="22"/>
        </w:rPr>
        <w:footnoteReference w:id="36"/>
      </w:r>
      <w:r w:rsidRPr="00FD616A">
        <w:rPr>
          <w:rFonts w:ascii="Century Schoolbook" w:hAnsi="Century Schoolbook"/>
          <w:szCs w:val="22"/>
        </w:rPr>
        <w:t>.</w:t>
      </w:r>
    </w:p>
    <w:p w14:paraId="0640C487" w14:textId="77777777" w:rsidR="00F7397D" w:rsidRPr="00FD616A" w:rsidRDefault="00F7397D" w:rsidP="005479DA">
      <w:pPr>
        <w:pStyle w:val="Capoverso"/>
        <w:spacing w:line="360" w:lineRule="auto"/>
        <w:contextualSpacing/>
        <w:rPr>
          <w:rFonts w:ascii="Century Schoolbook" w:hAnsi="Century Schoolbook"/>
          <w:szCs w:val="22"/>
        </w:rPr>
      </w:pPr>
      <w:r w:rsidRPr="00FD616A">
        <w:rPr>
          <w:rFonts w:ascii="Century Schoolbook" w:hAnsi="Century Schoolbook"/>
          <w:szCs w:val="22"/>
        </w:rPr>
        <w:t xml:space="preserve">In sintesi. La legge salva-Cineca non qualifica direttamente quel consorzio come </w:t>
      </w:r>
      <w:r w:rsidRPr="00FD616A">
        <w:rPr>
          <w:rFonts w:ascii="Century Schoolbook" w:hAnsi="Century Schoolbook"/>
          <w:i/>
          <w:iCs/>
          <w:szCs w:val="22"/>
        </w:rPr>
        <w:t>in house</w:t>
      </w:r>
      <w:r w:rsidRPr="00FD616A">
        <w:rPr>
          <w:rFonts w:ascii="Century Schoolbook" w:hAnsi="Century Schoolbook"/>
          <w:szCs w:val="22"/>
        </w:rPr>
        <w:t>. Supera forse il requisito della totalitarietà, ma lascia abbastanza irrisolti i problemi con riferimento agli altri due requisiti: l’attività prevalente e il controllo analogo.</w:t>
      </w:r>
    </w:p>
    <w:p w14:paraId="7DC01674" w14:textId="77777777" w:rsidR="00F7397D" w:rsidRPr="00FD616A" w:rsidRDefault="00F7397D" w:rsidP="005479DA">
      <w:pPr>
        <w:pStyle w:val="Capoverso"/>
        <w:spacing w:line="360" w:lineRule="auto"/>
        <w:contextualSpacing/>
        <w:rPr>
          <w:rFonts w:ascii="Century Schoolbook" w:hAnsi="Century Schoolbook"/>
          <w:szCs w:val="22"/>
        </w:rPr>
      </w:pPr>
      <w:r w:rsidRPr="00FD616A">
        <w:rPr>
          <w:rFonts w:ascii="Century Schoolbook" w:hAnsi="Century Schoolbook"/>
          <w:szCs w:val="22"/>
        </w:rPr>
        <w:t xml:space="preserve">I commi citati, quindi, lasciano inalterata la necessità di verificare l’esistenza nel nostro caso dei requisiti </w:t>
      </w:r>
      <w:r w:rsidRPr="00FD616A">
        <w:rPr>
          <w:rFonts w:ascii="Century Schoolbook" w:hAnsi="Century Schoolbook"/>
          <w:i/>
          <w:iCs/>
          <w:szCs w:val="22"/>
        </w:rPr>
        <w:t>in house</w:t>
      </w:r>
      <w:r w:rsidRPr="00FD616A">
        <w:rPr>
          <w:rStyle w:val="Rimandonotaapidipagina"/>
          <w:rFonts w:ascii="Century Schoolbook" w:hAnsi="Century Schoolbook"/>
          <w:szCs w:val="22"/>
        </w:rPr>
        <w:t> </w:t>
      </w:r>
      <w:r w:rsidRPr="00FD616A">
        <w:rPr>
          <w:rStyle w:val="Rimandonotaapidipagina"/>
          <w:rFonts w:ascii="Century Schoolbook" w:hAnsi="Century Schoolbook"/>
          <w:szCs w:val="22"/>
        </w:rPr>
        <w:footnoteReference w:id="37"/>
      </w:r>
      <w:r w:rsidRPr="00FD616A">
        <w:rPr>
          <w:rFonts w:ascii="Century Schoolbook" w:hAnsi="Century Schoolbook"/>
          <w:szCs w:val="22"/>
        </w:rPr>
        <w:t>.</w:t>
      </w:r>
    </w:p>
    <w:p w14:paraId="4D2A4ECF" w14:textId="77777777" w:rsidR="00F7397D" w:rsidRPr="00FD616A" w:rsidRDefault="00F7397D" w:rsidP="005479DA">
      <w:pPr>
        <w:pStyle w:val="Capoverso"/>
        <w:spacing w:line="360" w:lineRule="auto"/>
        <w:contextualSpacing/>
        <w:rPr>
          <w:rFonts w:ascii="Century Schoolbook" w:hAnsi="Century Schoolbook"/>
          <w:szCs w:val="22"/>
        </w:rPr>
      </w:pPr>
      <w:r w:rsidRPr="00FD616A">
        <w:rPr>
          <w:rFonts w:ascii="Century Schoolbook" w:hAnsi="Century Schoolbook"/>
          <w:szCs w:val="22"/>
        </w:rPr>
        <w:t>Che il requisito della totalitarietà non possa ritenersi accantonato pur dopo l’art. 9, comma 11-</w:t>
      </w:r>
      <w:r w:rsidRPr="00FD616A">
        <w:rPr>
          <w:rFonts w:ascii="Century Schoolbook" w:hAnsi="Century Schoolbook"/>
          <w:i/>
          <w:iCs/>
          <w:szCs w:val="22"/>
        </w:rPr>
        <w:t>bis</w:t>
      </w:r>
      <w:r w:rsidRPr="00FD616A">
        <w:rPr>
          <w:rFonts w:ascii="Century Schoolbook" w:hAnsi="Century Schoolbook"/>
          <w:szCs w:val="22"/>
        </w:rPr>
        <w:t>, legge n. 125/2015, lo dimostra l’orientamento giurisprudenziale successivo.</w:t>
      </w:r>
    </w:p>
    <w:p w14:paraId="6B1E3FFA" w14:textId="77777777" w:rsidR="00F7397D" w:rsidRPr="00FD616A" w:rsidRDefault="00F7397D" w:rsidP="005479DA">
      <w:pPr>
        <w:pStyle w:val="Capoverso"/>
        <w:spacing w:line="360" w:lineRule="auto"/>
        <w:contextualSpacing/>
        <w:rPr>
          <w:rFonts w:ascii="Century Schoolbook" w:hAnsi="Century Schoolbook"/>
          <w:szCs w:val="22"/>
        </w:rPr>
      </w:pPr>
      <w:r w:rsidRPr="00FD616A">
        <w:rPr>
          <w:rFonts w:ascii="Century Schoolbook" w:hAnsi="Century Schoolbook"/>
          <w:szCs w:val="22"/>
        </w:rPr>
        <w:lastRenderedPageBreak/>
        <w:t>Scende in campo questa volta l’AGCM, la quale impugna due delibere del 2016 con cui l’Università di Firenze aveva affidato al Cineca – senza gara – taluni servizi informatici.</w:t>
      </w:r>
    </w:p>
    <w:p w14:paraId="02893F6D" w14:textId="77777777" w:rsidR="00F7397D" w:rsidRPr="00FD616A" w:rsidRDefault="00F7397D" w:rsidP="005479DA">
      <w:pPr>
        <w:pStyle w:val="Capoverso"/>
        <w:widowControl w:val="0"/>
        <w:spacing w:line="360" w:lineRule="auto"/>
        <w:contextualSpacing/>
        <w:rPr>
          <w:rFonts w:ascii="Century Schoolbook" w:hAnsi="Century Schoolbook"/>
          <w:szCs w:val="22"/>
        </w:rPr>
      </w:pPr>
      <w:r w:rsidRPr="00FD616A">
        <w:rPr>
          <w:rFonts w:ascii="Century Schoolbook" w:hAnsi="Century Schoolbook"/>
          <w:szCs w:val="22"/>
        </w:rPr>
        <w:t>Il TAR Toscana accoglie il ricorso</w:t>
      </w:r>
      <w:r w:rsidRPr="00FD616A">
        <w:rPr>
          <w:rStyle w:val="Rimandonotaapidipagina"/>
          <w:rFonts w:ascii="Century Schoolbook" w:hAnsi="Century Schoolbook"/>
          <w:szCs w:val="22"/>
        </w:rPr>
        <w:t> </w:t>
      </w:r>
      <w:r w:rsidRPr="00FD616A">
        <w:rPr>
          <w:rStyle w:val="Rimandonotaapidipagina"/>
          <w:rFonts w:ascii="Century Schoolbook" w:hAnsi="Century Schoolbook"/>
          <w:szCs w:val="22"/>
        </w:rPr>
        <w:footnoteReference w:id="38"/>
      </w:r>
      <w:r w:rsidRPr="00FD616A">
        <w:rPr>
          <w:rFonts w:ascii="Century Schoolbook" w:hAnsi="Century Schoolbook"/>
          <w:szCs w:val="22"/>
        </w:rPr>
        <w:t>: ritenendo, anzi, che non sia applicabile</w:t>
      </w:r>
      <w:r w:rsidRPr="00FD616A">
        <w:rPr>
          <w:rFonts w:ascii="Century Schoolbook" w:hAnsi="Century Schoolbook"/>
          <w:i/>
          <w:iCs/>
          <w:szCs w:val="22"/>
        </w:rPr>
        <w:t xml:space="preserve"> nessuno</w:t>
      </w:r>
      <w:r w:rsidRPr="00FD616A">
        <w:rPr>
          <w:rFonts w:ascii="Century Schoolbook" w:hAnsi="Century Schoolbook"/>
          <w:szCs w:val="22"/>
        </w:rPr>
        <w:t xml:space="preserve"> dei tre commi in esame. Neppure il comma 11-</w:t>
      </w:r>
      <w:r w:rsidRPr="00FD616A">
        <w:rPr>
          <w:rFonts w:ascii="Century Schoolbook" w:hAnsi="Century Schoolbook"/>
          <w:i/>
          <w:iCs/>
          <w:szCs w:val="22"/>
        </w:rPr>
        <w:t>bis</w:t>
      </w:r>
      <w:r w:rsidRPr="00FD616A">
        <w:rPr>
          <w:rFonts w:ascii="Century Schoolbook" w:hAnsi="Century Schoolbook"/>
          <w:szCs w:val="22"/>
        </w:rPr>
        <w:t xml:space="preserve">, poiché la «disposizione va interpretata alla luce dell’art. 12 della direttiva 2014/24/UE (in questo senso anche l’art. 5, c. 1, lett. c), d.lgs. 50/2016), nella parte in cui circoscrive detta partecipazione alla condizione che ai privati non sia consentito un «controllo o potere di veto» e che «non esercitino un’influenza determinante sulla persona giuridica controllata». Dette condizioni non sono ottemperate nel caso di specie considerando che le Università private consorziate partecipano a </w:t>
      </w:r>
      <w:r w:rsidRPr="00FD616A">
        <w:rPr>
          <w:rFonts w:ascii="Century Schoolbook" w:hAnsi="Century Schoolbook"/>
          <w:spacing w:val="-2"/>
          <w:szCs w:val="22"/>
        </w:rPr>
        <w:t xml:space="preserve">CINECA in forma </w:t>
      </w:r>
      <w:r w:rsidRPr="00FD616A">
        <w:rPr>
          <w:rFonts w:ascii="Century Schoolbook" w:hAnsi="Century Schoolbook"/>
          <w:i/>
          <w:iCs/>
          <w:spacing w:val="-2"/>
          <w:szCs w:val="22"/>
        </w:rPr>
        <w:t>paritaria</w:t>
      </w:r>
      <w:r w:rsidRPr="00FD616A">
        <w:rPr>
          <w:rFonts w:ascii="Century Schoolbook" w:hAnsi="Century Schoolbook"/>
          <w:spacing w:val="-2"/>
          <w:szCs w:val="22"/>
        </w:rPr>
        <w:t xml:space="preserve"> con quelle pubbliche, circostanza quest’ultima che consente di escludere la possibilità che detto controllo analogo sia esercitato </w:t>
      </w:r>
      <w:r w:rsidRPr="00FD616A">
        <w:rPr>
          <w:rFonts w:ascii="Century Schoolbook" w:hAnsi="Century Schoolbook"/>
          <w:i/>
          <w:iCs/>
          <w:spacing w:val="-2"/>
          <w:szCs w:val="22"/>
        </w:rPr>
        <w:t>solo</w:t>
      </w:r>
      <w:r w:rsidRPr="00FD616A">
        <w:rPr>
          <w:rFonts w:ascii="Century Schoolbook" w:hAnsi="Century Schoolbook"/>
          <w:spacing w:val="-2"/>
          <w:szCs w:val="22"/>
        </w:rPr>
        <w:t xml:space="preserve"> dalle Università e dalle rimanenti Amministrazioni che partecipano al consorzio»</w:t>
      </w:r>
      <w:r w:rsidRPr="00FD616A">
        <w:rPr>
          <w:rStyle w:val="Rimandonotaapidipagina"/>
          <w:rFonts w:ascii="Century Schoolbook" w:hAnsi="Century Schoolbook"/>
          <w:spacing w:val="-2"/>
          <w:szCs w:val="22"/>
        </w:rPr>
        <w:t> </w:t>
      </w:r>
      <w:r w:rsidRPr="00FD616A">
        <w:rPr>
          <w:rStyle w:val="Rimandonotaapidipagina"/>
          <w:rFonts w:ascii="Century Schoolbook" w:hAnsi="Century Schoolbook"/>
          <w:spacing w:val="-2"/>
          <w:szCs w:val="22"/>
        </w:rPr>
        <w:footnoteReference w:id="39"/>
      </w:r>
      <w:r w:rsidRPr="00FD616A">
        <w:rPr>
          <w:rFonts w:ascii="Century Schoolbook" w:hAnsi="Century Schoolbook"/>
          <w:spacing w:val="-2"/>
          <w:szCs w:val="22"/>
        </w:rPr>
        <w:t>.</w:t>
      </w:r>
    </w:p>
    <w:p w14:paraId="6652F7C3" w14:textId="77777777" w:rsidR="00F7397D" w:rsidRPr="00FD616A" w:rsidRDefault="00F7397D" w:rsidP="005479DA">
      <w:pPr>
        <w:pStyle w:val="Capoverso"/>
        <w:spacing w:line="360" w:lineRule="auto"/>
        <w:contextualSpacing/>
        <w:rPr>
          <w:rFonts w:ascii="Century Schoolbook" w:hAnsi="Century Schoolbook"/>
          <w:szCs w:val="22"/>
        </w:rPr>
      </w:pPr>
      <w:r w:rsidRPr="00FD616A">
        <w:rPr>
          <w:rFonts w:ascii="Century Schoolbook" w:hAnsi="Century Schoolbook"/>
          <w:szCs w:val="22"/>
        </w:rPr>
        <w:t xml:space="preserve">Come si vede, il TAR Toscana si pone nella scia di Cons. Stato n. 2660/2015 cit., aggiungendo un elemento ulteriore per sostenere che </w:t>
      </w:r>
      <w:r w:rsidRPr="00FD616A">
        <w:rPr>
          <w:rFonts w:ascii="Century Schoolbook" w:hAnsi="Century Schoolbook"/>
          <w:szCs w:val="22"/>
        </w:rPr>
        <w:lastRenderedPageBreak/>
        <w:t xml:space="preserve">l’art. 12, direttiva n. 24, cit. è inapplicabile; il dissenso del diritto giurisdizionale rispetto alle conclusioni del parere n. 298/2015 cit. è divenuto profondo. Ed è anzi rimarcato dal Consiglio di Stato nella sentenza </w:t>
      </w:r>
      <w:proofErr w:type="spellStart"/>
      <w:r w:rsidRPr="00FD616A">
        <w:rPr>
          <w:rFonts w:ascii="Century Schoolbook" w:hAnsi="Century Schoolbook"/>
          <w:szCs w:val="22"/>
        </w:rPr>
        <w:t>reiettiva</w:t>
      </w:r>
      <w:proofErr w:type="spellEnd"/>
      <w:r w:rsidRPr="00FD616A">
        <w:rPr>
          <w:rFonts w:ascii="Century Schoolbook" w:hAnsi="Century Schoolbook"/>
          <w:szCs w:val="22"/>
        </w:rPr>
        <w:t xml:space="preserve"> dell’appello proposto dall’ateneo fiorentino</w:t>
      </w:r>
      <w:r w:rsidRPr="00FD616A">
        <w:rPr>
          <w:rStyle w:val="Rimandonotaapidipagina"/>
          <w:rFonts w:ascii="Century Schoolbook" w:hAnsi="Century Schoolbook"/>
          <w:szCs w:val="22"/>
        </w:rPr>
        <w:t> </w:t>
      </w:r>
      <w:r w:rsidRPr="00FD616A">
        <w:rPr>
          <w:rStyle w:val="Rimandonotaapidipagina"/>
          <w:rFonts w:ascii="Century Schoolbook" w:hAnsi="Century Schoolbook"/>
          <w:szCs w:val="22"/>
        </w:rPr>
        <w:footnoteReference w:id="40"/>
      </w:r>
      <w:r w:rsidRPr="00FD616A">
        <w:rPr>
          <w:rFonts w:ascii="Century Schoolbook" w:hAnsi="Century Schoolbook"/>
          <w:szCs w:val="22"/>
        </w:rPr>
        <w:t>: la quale, nel richiamare sempre – e adesivamente – il proprio precedente n. 2660/2015, non manca di sottolineare che esso si era posto «in consapevole dissenso» da quel parere 298/2015.</w:t>
      </w:r>
    </w:p>
    <w:p w14:paraId="17F7D268" w14:textId="77777777" w:rsidR="00F7397D" w:rsidRPr="00FD616A" w:rsidRDefault="00F7397D" w:rsidP="005479DA">
      <w:pPr>
        <w:pStyle w:val="Paragrafo"/>
        <w:spacing w:before="0" w:after="0" w:line="360" w:lineRule="auto"/>
        <w:contextualSpacing/>
        <w:rPr>
          <w:rFonts w:ascii="Century Schoolbook" w:hAnsi="Century Schoolbook"/>
          <w:i w:val="0"/>
          <w:iCs/>
        </w:rPr>
      </w:pPr>
      <w:r w:rsidRPr="00FD616A">
        <w:rPr>
          <w:rFonts w:ascii="Century Schoolbook" w:hAnsi="Century Schoolbook"/>
          <w:i w:val="0"/>
          <w:iCs/>
        </w:rPr>
        <w:t>5.</w:t>
      </w:r>
      <w:r w:rsidRPr="00FD616A">
        <w:rPr>
          <w:rFonts w:ascii="Century Schoolbook" w:hAnsi="Century Schoolbook"/>
        </w:rPr>
        <w:t xml:space="preserve"> Provvista di servizi universitari, aiuti di Stato, </w:t>
      </w:r>
      <w:r w:rsidRPr="00FD616A">
        <w:rPr>
          <w:rFonts w:ascii="Century Schoolbook" w:hAnsi="Century Schoolbook"/>
          <w:i w:val="0"/>
          <w:iCs/>
        </w:rPr>
        <w:t>in house</w:t>
      </w:r>
    </w:p>
    <w:p w14:paraId="194F8CBE" w14:textId="77777777" w:rsidR="00F7397D" w:rsidRPr="00FD616A" w:rsidRDefault="00F7397D" w:rsidP="005479DA">
      <w:pPr>
        <w:pStyle w:val="Capoverso"/>
        <w:spacing w:line="360" w:lineRule="auto"/>
        <w:contextualSpacing/>
        <w:rPr>
          <w:rFonts w:ascii="Century Schoolbook" w:hAnsi="Century Schoolbook"/>
          <w:szCs w:val="22"/>
        </w:rPr>
      </w:pPr>
      <w:r w:rsidRPr="00FD616A">
        <w:rPr>
          <w:rFonts w:ascii="Century Schoolbook" w:hAnsi="Century Schoolbook"/>
          <w:szCs w:val="22"/>
        </w:rPr>
        <w:t xml:space="preserve">Il fronte si allarga. Alla contesa sulla configurabilità del Cineca come figura </w:t>
      </w:r>
      <w:r w:rsidRPr="00FD616A">
        <w:rPr>
          <w:rFonts w:ascii="Century Schoolbook" w:hAnsi="Century Schoolbook"/>
          <w:i/>
          <w:iCs/>
          <w:szCs w:val="22"/>
        </w:rPr>
        <w:t>in house</w:t>
      </w:r>
      <w:r w:rsidRPr="00FD616A">
        <w:rPr>
          <w:rFonts w:ascii="Century Schoolbook" w:hAnsi="Century Schoolbook"/>
          <w:szCs w:val="22"/>
        </w:rPr>
        <w:t xml:space="preserve"> s’aggiunge – lo avevo detto in apertura – quella sulla natura dei contributi finanziari che il MIUR eroga al consorzio per il funzionamento dei servizi messi a disposizione del Ministero stesso e del sistema universitario. Sono aiuti di Stato adottati in violazione delle disposizioni del TFUE?</w:t>
      </w:r>
    </w:p>
    <w:p w14:paraId="1BD707E7" w14:textId="77777777" w:rsidR="00F7397D" w:rsidRPr="00FD616A" w:rsidRDefault="00F7397D" w:rsidP="005479DA">
      <w:pPr>
        <w:pStyle w:val="Capoverso"/>
        <w:spacing w:line="360" w:lineRule="auto"/>
        <w:contextualSpacing/>
        <w:rPr>
          <w:rFonts w:ascii="Century Schoolbook" w:hAnsi="Century Schoolbook"/>
          <w:szCs w:val="22"/>
        </w:rPr>
      </w:pPr>
      <w:r w:rsidRPr="00FD616A">
        <w:rPr>
          <w:rFonts w:ascii="Century Schoolbook" w:hAnsi="Century Schoolbook"/>
          <w:szCs w:val="22"/>
        </w:rPr>
        <w:t>La risposta del TAR Lazio – la sentenza scorre per decine di pagine – è affermativa</w:t>
      </w:r>
      <w:r w:rsidRPr="00FD616A">
        <w:rPr>
          <w:rStyle w:val="Rimandonotaapidipagina"/>
          <w:rFonts w:ascii="Century Schoolbook" w:hAnsi="Century Schoolbook"/>
          <w:szCs w:val="22"/>
        </w:rPr>
        <w:t> </w:t>
      </w:r>
      <w:r w:rsidRPr="00FD616A">
        <w:rPr>
          <w:rStyle w:val="Rimandonotaapidipagina"/>
          <w:rFonts w:ascii="Century Schoolbook" w:hAnsi="Century Schoolbook"/>
          <w:szCs w:val="22"/>
        </w:rPr>
        <w:footnoteReference w:id="41"/>
      </w:r>
      <w:r w:rsidRPr="00FD616A">
        <w:rPr>
          <w:rFonts w:ascii="Century Schoolbook" w:hAnsi="Century Schoolbook"/>
          <w:szCs w:val="22"/>
        </w:rPr>
        <w:t>.</w:t>
      </w:r>
    </w:p>
    <w:p w14:paraId="2356E935" w14:textId="169888DF" w:rsidR="00F7397D" w:rsidRPr="00FD616A" w:rsidRDefault="00F7397D" w:rsidP="005479DA">
      <w:pPr>
        <w:pStyle w:val="Capoverso"/>
        <w:widowControl w:val="0"/>
        <w:spacing w:line="360" w:lineRule="auto"/>
        <w:contextualSpacing/>
        <w:rPr>
          <w:rFonts w:ascii="Century Schoolbook" w:hAnsi="Century Schoolbook"/>
          <w:szCs w:val="22"/>
        </w:rPr>
      </w:pPr>
      <w:r w:rsidRPr="00FD616A">
        <w:rPr>
          <w:rFonts w:ascii="Century Schoolbook" w:hAnsi="Century Schoolbook"/>
          <w:szCs w:val="22"/>
        </w:rPr>
        <w:t xml:space="preserve">Ai nostri fini conta sopra tutto un’affermazione: «anche se fosse effettivamente comprovato che Cineca è un’entità </w:t>
      </w:r>
      <w:r w:rsidRPr="00FD616A">
        <w:rPr>
          <w:rFonts w:ascii="Century Schoolbook" w:hAnsi="Century Schoolbook"/>
          <w:i/>
          <w:iCs/>
          <w:szCs w:val="22"/>
        </w:rPr>
        <w:t>in house</w:t>
      </w:r>
      <w:r w:rsidRPr="00FD616A">
        <w:rPr>
          <w:rFonts w:ascii="Century Schoolbook" w:hAnsi="Century Schoolbook"/>
          <w:szCs w:val="22"/>
        </w:rPr>
        <w:t xml:space="preserve"> del MIUR – e al riguardo, non può se non richiamarsi quanto disposto con l’art. 9 del d.l. n. 78/2015, come modificato dalla legge di conversione 6 agosto 2015, n. 125 con l’introdu</w:t>
      </w:r>
      <w:r w:rsidRPr="00FD616A">
        <w:rPr>
          <w:rFonts w:ascii="Century Schoolbook" w:hAnsi="Century Schoolbook"/>
          <w:szCs w:val="22"/>
        </w:rPr>
        <w:softHyphen/>
        <w:t>zione dei commi 11-</w:t>
      </w:r>
      <w:r w:rsidRPr="00FD616A">
        <w:rPr>
          <w:rFonts w:ascii="Century Schoolbook" w:hAnsi="Century Schoolbook"/>
          <w:i/>
          <w:iCs/>
          <w:szCs w:val="22"/>
        </w:rPr>
        <w:t>bis</w:t>
      </w:r>
      <w:r w:rsidRPr="00FD616A">
        <w:rPr>
          <w:rFonts w:ascii="Century Schoolbook" w:hAnsi="Century Schoolbook"/>
          <w:szCs w:val="22"/>
        </w:rPr>
        <w:t>, 11-</w:t>
      </w:r>
      <w:r w:rsidRPr="00FD616A">
        <w:rPr>
          <w:rFonts w:ascii="Century Schoolbook" w:hAnsi="Century Schoolbook"/>
          <w:i/>
          <w:iCs/>
          <w:szCs w:val="22"/>
        </w:rPr>
        <w:t>ter</w:t>
      </w:r>
      <w:r w:rsidRPr="00FD616A">
        <w:rPr>
          <w:rFonts w:ascii="Century Schoolbook" w:hAnsi="Century Schoolbook"/>
          <w:szCs w:val="22"/>
        </w:rPr>
        <w:t xml:space="preserve"> e 11-</w:t>
      </w:r>
      <w:r w:rsidRPr="00FD616A">
        <w:rPr>
          <w:rFonts w:ascii="Century Schoolbook" w:hAnsi="Century Schoolbook"/>
          <w:i/>
          <w:iCs/>
          <w:szCs w:val="22"/>
        </w:rPr>
        <w:t>quater</w:t>
      </w:r>
      <w:r w:rsidRPr="00FD616A">
        <w:rPr>
          <w:rFonts w:ascii="Century Schoolbook" w:hAnsi="Century Schoolbook"/>
          <w:szCs w:val="22"/>
        </w:rPr>
        <w:t xml:space="preserve"> – tuttavia, la </w:t>
      </w:r>
      <w:r w:rsidRPr="00FD616A">
        <w:rPr>
          <w:rFonts w:ascii="Century Schoolbook" w:hAnsi="Century Schoolbook"/>
          <w:szCs w:val="22"/>
        </w:rPr>
        <w:lastRenderedPageBreak/>
        <w:t>predetta circostanza non escluderebbe in alcun modo che il Cineca possa essere, comunque, considerato beneficiario di aiuti di Stato, ai sensi dell’art. 107 TFUE, come, peraltro, dimostra la prassi europea e il relativo progetto di Comunicazione sulla nozione di aiuto».</w:t>
      </w:r>
    </w:p>
    <w:p w14:paraId="583D6A3F" w14:textId="77777777" w:rsidR="00F7397D" w:rsidRPr="00FD616A" w:rsidRDefault="00F7397D" w:rsidP="005479DA">
      <w:pPr>
        <w:pStyle w:val="Capoverso"/>
        <w:spacing w:line="360" w:lineRule="auto"/>
        <w:contextualSpacing/>
        <w:rPr>
          <w:rFonts w:ascii="Century Schoolbook" w:hAnsi="Century Schoolbook"/>
          <w:szCs w:val="22"/>
        </w:rPr>
      </w:pPr>
      <w:r w:rsidRPr="00FD616A">
        <w:rPr>
          <w:rFonts w:ascii="Century Schoolbook" w:hAnsi="Century Schoolbook"/>
          <w:szCs w:val="22"/>
        </w:rPr>
        <w:t>Molto più succinta, ma non meno netta è la sentenza</w:t>
      </w:r>
      <w:r w:rsidRPr="00FD616A">
        <w:rPr>
          <w:rStyle w:val="Rimandonotaapidipagina"/>
          <w:rFonts w:ascii="Century Schoolbook" w:hAnsi="Century Schoolbook"/>
          <w:szCs w:val="22"/>
        </w:rPr>
        <w:t> </w:t>
      </w:r>
      <w:r w:rsidRPr="00FD616A">
        <w:rPr>
          <w:rStyle w:val="Rimandonotaapidipagina"/>
          <w:rFonts w:ascii="Century Schoolbook" w:hAnsi="Century Schoolbook"/>
          <w:szCs w:val="22"/>
        </w:rPr>
        <w:footnoteReference w:id="42"/>
      </w:r>
      <w:r w:rsidRPr="00FD616A">
        <w:rPr>
          <w:rFonts w:ascii="Century Schoolbook" w:hAnsi="Century Schoolbook"/>
          <w:szCs w:val="22"/>
        </w:rPr>
        <w:t xml:space="preserve"> del Consiglio di Stato che respinge l’appello del Cineca.</w:t>
      </w:r>
    </w:p>
    <w:p w14:paraId="4721E47A" w14:textId="77777777" w:rsidR="00F7397D" w:rsidRPr="00FD616A" w:rsidRDefault="00F7397D" w:rsidP="005479DA">
      <w:pPr>
        <w:pStyle w:val="Capoverso"/>
        <w:spacing w:line="360" w:lineRule="auto"/>
        <w:contextualSpacing/>
        <w:rPr>
          <w:rFonts w:ascii="Century Schoolbook" w:hAnsi="Century Schoolbook"/>
          <w:szCs w:val="22"/>
        </w:rPr>
      </w:pPr>
      <w:r w:rsidRPr="00FD616A">
        <w:rPr>
          <w:rFonts w:ascii="Century Schoolbook" w:hAnsi="Century Schoolbook"/>
          <w:szCs w:val="22"/>
        </w:rPr>
        <w:t xml:space="preserve">Premesso che «anche alle società </w:t>
      </w:r>
      <w:r w:rsidRPr="00FD616A">
        <w:rPr>
          <w:rFonts w:ascii="Century Schoolbook" w:hAnsi="Century Schoolbook"/>
          <w:i/>
          <w:iCs/>
          <w:szCs w:val="22"/>
        </w:rPr>
        <w:t xml:space="preserve">in house </w:t>
      </w:r>
      <w:r w:rsidRPr="00FD616A">
        <w:rPr>
          <w:rFonts w:ascii="Century Schoolbook" w:hAnsi="Century Schoolbook"/>
          <w:szCs w:val="22"/>
        </w:rPr>
        <w:t xml:space="preserve">si applicano, nella misura in cui rientrano nella definizione di impresa, le regole </w:t>
      </w:r>
      <w:r w:rsidRPr="00FD616A">
        <w:rPr>
          <w:rFonts w:ascii="Century Schoolbook" w:hAnsi="Century Schoolbook"/>
          <w:i/>
          <w:iCs/>
          <w:szCs w:val="22"/>
        </w:rPr>
        <w:t>antitrust</w:t>
      </w:r>
      <w:r w:rsidRPr="00FD616A">
        <w:rPr>
          <w:rFonts w:ascii="Century Schoolbook" w:hAnsi="Century Schoolbook"/>
          <w:szCs w:val="22"/>
        </w:rPr>
        <w:t xml:space="preserve"> e sugli aiuti di Stato», il Giudice d’appello ritiene che il comma 11-</w:t>
      </w:r>
      <w:r w:rsidRPr="00FD616A">
        <w:rPr>
          <w:rFonts w:ascii="Century Schoolbook" w:hAnsi="Century Schoolbook"/>
          <w:i/>
          <w:iCs/>
          <w:szCs w:val="22"/>
        </w:rPr>
        <w:t>quater</w:t>
      </w:r>
      <w:r w:rsidRPr="00FD616A">
        <w:rPr>
          <w:rFonts w:ascii="Century Schoolbook" w:hAnsi="Century Schoolbook"/>
          <w:szCs w:val="22"/>
        </w:rPr>
        <w:t xml:space="preserve"> cit.</w:t>
      </w:r>
      <w:r w:rsidRPr="00FD616A">
        <w:rPr>
          <w:rStyle w:val="Rimandonotaapidipagina"/>
          <w:rFonts w:ascii="Century Schoolbook" w:hAnsi="Century Schoolbook"/>
          <w:szCs w:val="22"/>
        </w:rPr>
        <w:t> </w:t>
      </w:r>
      <w:r w:rsidRPr="00FD616A">
        <w:rPr>
          <w:rStyle w:val="Rimandonotaapidipagina"/>
          <w:rFonts w:ascii="Century Schoolbook" w:hAnsi="Century Schoolbook"/>
          <w:szCs w:val="22"/>
        </w:rPr>
        <w:footnoteReference w:id="43"/>
      </w:r>
      <w:r w:rsidRPr="00FD616A">
        <w:rPr>
          <w:rFonts w:ascii="Century Schoolbook" w:hAnsi="Century Schoolbook"/>
          <w:szCs w:val="22"/>
        </w:rPr>
        <w:t xml:space="preserve"> «consente, solo in astratto, ai soggetti facenti parte del sistema dell’istruzione, dell’università e della ricerca di acquistare i servizi informativi strumentali da organismi </w:t>
      </w:r>
      <w:r w:rsidRPr="00FD616A">
        <w:rPr>
          <w:rFonts w:ascii="Century Schoolbook" w:hAnsi="Century Schoolbook"/>
          <w:i/>
          <w:iCs/>
          <w:szCs w:val="22"/>
        </w:rPr>
        <w:t>in house providing</w:t>
      </w:r>
      <w:r w:rsidRPr="00FD616A">
        <w:rPr>
          <w:rFonts w:ascii="Century Schoolbook" w:hAnsi="Century Schoolbook"/>
          <w:szCs w:val="22"/>
        </w:rPr>
        <w:t xml:space="preserve">. Occorrerà, infatti, non solo verificare di volta in volta la sussistenza in concreto dei requisiti per l’affidamento diretto, ma anche osservare l’onere motivazionale previsto dall’art. 192, comma 2 […]». In ogni caso – precisa il Collegio – «il privilegio anticompetitivo non necessariamente si realizza introducendo limiti e condizioni alla partecipazione delle imprese concorrenti, ma anche garantendo all’impresa una partecipazione protetta al mercato cui appartiene, consentendogli l’acquisizione sicura di commesse il cui provento sia in grado di coprire, se non tutte, la maggior parte delle spese generali; la natura </w:t>
      </w:r>
      <w:r w:rsidRPr="00FD616A">
        <w:rPr>
          <w:rFonts w:ascii="Century Schoolbook" w:hAnsi="Century Schoolbook"/>
          <w:i/>
          <w:iCs/>
          <w:szCs w:val="22"/>
        </w:rPr>
        <w:t>in house</w:t>
      </w:r>
      <w:r w:rsidRPr="00FD616A">
        <w:rPr>
          <w:rFonts w:ascii="Century Schoolbook" w:hAnsi="Century Schoolbook"/>
          <w:szCs w:val="22"/>
        </w:rPr>
        <w:t xml:space="preserve"> di un soggetto non annulla, infatti, la possibilità di confronto concorrenziale dello stesso con altri operatori del settore, avendo quest’ultima la possibilità di prestare i propri servizi anche a terzi, sia pure per una percentuale residua della propria attività, inferiore al 20%». Infine, un dubbio molto importante per </w:t>
      </w:r>
      <w:r w:rsidRPr="00FD616A">
        <w:rPr>
          <w:rFonts w:ascii="Century Schoolbook" w:hAnsi="Century Schoolbook"/>
          <w:szCs w:val="22"/>
        </w:rPr>
        <w:lastRenderedPageBreak/>
        <w:t>noi: se cioè «l’intervento del legislatore abbia effettivamente risolto tutte le problematiche evidenziate dal Consiglio di Stato».</w:t>
      </w:r>
    </w:p>
    <w:p w14:paraId="7A47043E" w14:textId="77777777" w:rsidR="00F7397D" w:rsidRPr="00FD616A" w:rsidRDefault="00F7397D" w:rsidP="005479DA">
      <w:pPr>
        <w:pStyle w:val="Capoverso"/>
        <w:spacing w:line="360" w:lineRule="auto"/>
        <w:contextualSpacing/>
        <w:rPr>
          <w:rFonts w:ascii="Century Schoolbook" w:hAnsi="Century Schoolbook"/>
          <w:szCs w:val="22"/>
        </w:rPr>
      </w:pPr>
      <w:r w:rsidRPr="00FD616A">
        <w:rPr>
          <w:rFonts w:ascii="Century Schoolbook" w:hAnsi="Century Schoolbook"/>
          <w:spacing w:val="-3"/>
          <w:szCs w:val="22"/>
        </w:rPr>
        <w:t xml:space="preserve">Ma il Cineca – soggiunge ancora la sentenza – all’epoca del decreto gravato non era comunque un </w:t>
      </w:r>
      <w:r w:rsidRPr="00FD616A">
        <w:rPr>
          <w:rFonts w:ascii="Century Schoolbook" w:hAnsi="Century Schoolbook"/>
          <w:i/>
          <w:iCs/>
          <w:spacing w:val="-3"/>
          <w:szCs w:val="22"/>
        </w:rPr>
        <w:t>in house provider</w:t>
      </w:r>
      <w:r w:rsidRPr="00FD616A">
        <w:rPr>
          <w:rFonts w:ascii="Century Schoolbook" w:hAnsi="Century Schoolbook"/>
          <w:spacing w:val="-3"/>
          <w:szCs w:val="22"/>
        </w:rPr>
        <w:t>, come statuito dalle pronunce n. 2660/2015</w:t>
      </w:r>
      <w:r w:rsidRPr="00FD616A">
        <w:rPr>
          <w:rFonts w:ascii="Century Schoolbook" w:hAnsi="Century Schoolbook"/>
          <w:szCs w:val="22"/>
        </w:rPr>
        <w:t xml:space="preserve"> e 2583/2018 (ivi richiamate).</w:t>
      </w:r>
    </w:p>
    <w:p w14:paraId="117ABC42" w14:textId="77777777" w:rsidR="00F7397D" w:rsidRPr="00FD616A" w:rsidRDefault="00F7397D" w:rsidP="005479DA">
      <w:pPr>
        <w:pStyle w:val="Capoverso"/>
        <w:spacing w:line="360" w:lineRule="auto"/>
        <w:contextualSpacing/>
        <w:rPr>
          <w:rFonts w:ascii="Century Schoolbook" w:hAnsi="Century Schoolbook"/>
          <w:spacing w:val="-2"/>
          <w:szCs w:val="22"/>
        </w:rPr>
      </w:pPr>
      <w:r w:rsidRPr="00FD616A">
        <w:rPr>
          <w:rFonts w:ascii="Century Schoolbook" w:hAnsi="Century Schoolbook"/>
          <w:spacing w:val="-2"/>
          <w:szCs w:val="22"/>
        </w:rPr>
        <w:t xml:space="preserve">I due profili – configurabilità di un aiuto di stato illegale ed esistenza di una relazione </w:t>
      </w:r>
      <w:r w:rsidRPr="00FD616A">
        <w:rPr>
          <w:rFonts w:ascii="Century Schoolbook" w:hAnsi="Century Schoolbook"/>
          <w:i/>
          <w:iCs/>
          <w:spacing w:val="-2"/>
          <w:szCs w:val="22"/>
        </w:rPr>
        <w:t>in house</w:t>
      </w:r>
      <w:r w:rsidRPr="00FD616A">
        <w:rPr>
          <w:rFonts w:ascii="Century Schoolbook" w:hAnsi="Century Schoolbook"/>
          <w:spacing w:val="-2"/>
          <w:szCs w:val="22"/>
        </w:rPr>
        <w:t xml:space="preserve"> – tornano poi a intrecciarsi in occasione del nuovo episodio contenzioso, che concerne l’erogazione di fondi al Cineca prevista nel FFO 2018</w:t>
      </w:r>
      <w:r w:rsidRPr="00FD616A">
        <w:rPr>
          <w:rStyle w:val="Rimandonotaapidipagina"/>
          <w:rFonts w:ascii="Century Schoolbook" w:hAnsi="Century Schoolbook"/>
          <w:spacing w:val="-2"/>
          <w:szCs w:val="22"/>
        </w:rPr>
        <w:t> </w:t>
      </w:r>
      <w:r w:rsidRPr="00FD616A">
        <w:rPr>
          <w:rStyle w:val="Rimandonotaapidipagina"/>
          <w:rFonts w:ascii="Century Schoolbook" w:hAnsi="Century Schoolbook"/>
          <w:spacing w:val="-2"/>
          <w:szCs w:val="22"/>
        </w:rPr>
        <w:footnoteReference w:id="44"/>
      </w:r>
      <w:r w:rsidRPr="00FD616A">
        <w:rPr>
          <w:rFonts w:ascii="Century Schoolbook" w:hAnsi="Century Schoolbook"/>
          <w:spacing w:val="-2"/>
          <w:szCs w:val="22"/>
        </w:rPr>
        <w:t>.</w:t>
      </w:r>
    </w:p>
    <w:p w14:paraId="2C94DBA9" w14:textId="77777777" w:rsidR="00F7397D" w:rsidRPr="00FD616A" w:rsidRDefault="00F7397D" w:rsidP="005479DA">
      <w:pPr>
        <w:pStyle w:val="Capoverso"/>
        <w:widowControl w:val="0"/>
        <w:spacing w:line="360" w:lineRule="auto"/>
        <w:contextualSpacing/>
        <w:rPr>
          <w:rFonts w:ascii="Century Schoolbook" w:hAnsi="Century Schoolbook"/>
          <w:szCs w:val="22"/>
        </w:rPr>
      </w:pPr>
      <w:r w:rsidRPr="00FD616A">
        <w:rPr>
          <w:rFonts w:ascii="Century Schoolbook" w:hAnsi="Century Schoolbook"/>
          <w:szCs w:val="22"/>
        </w:rPr>
        <w:t>Questa volta però il TAR Lazio</w:t>
      </w:r>
      <w:r w:rsidRPr="00FD616A">
        <w:rPr>
          <w:rStyle w:val="Rimandonotaapidipagina"/>
          <w:rFonts w:ascii="Century Schoolbook" w:hAnsi="Century Schoolbook"/>
          <w:szCs w:val="22"/>
        </w:rPr>
        <w:t> </w:t>
      </w:r>
      <w:r w:rsidRPr="00FD616A">
        <w:rPr>
          <w:rStyle w:val="Rimandonotaapidipagina"/>
          <w:rFonts w:ascii="Century Schoolbook" w:hAnsi="Century Schoolbook"/>
          <w:szCs w:val="22"/>
        </w:rPr>
        <w:footnoteReference w:id="45"/>
      </w:r>
      <w:r w:rsidRPr="00FD616A">
        <w:rPr>
          <w:rFonts w:ascii="Century Schoolbook" w:hAnsi="Century Schoolbook"/>
          <w:szCs w:val="22"/>
        </w:rPr>
        <w:t xml:space="preserve"> esclude che vi sia un aiuto di Stato non solo per il supercalcolo</w:t>
      </w:r>
      <w:r w:rsidRPr="00FD616A">
        <w:rPr>
          <w:rStyle w:val="Rimandonotaapidipagina"/>
          <w:rFonts w:ascii="Century Schoolbook" w:hAnsi="Century Schoolbook"/>
          <w:szCs w:val="22"/>
        </w:rPr>
        <w:t> </w:t>
      </w:r>
      <w:r w:rsidRPr="00FD616A">
        <w:rPr>
          <w:rStyle w:val="Rimandonotaapidipagina"/>
          <w:rFonts w:ascii="Century Schoolbook" w:hAnsi="Century Schoolbook"/>
          <w:szCs w:val="22"/>
        </w:rPr>
        <w:footnoteReference w:id="46"/>
      </w:r>
      <w:r w:rsidRPr="00FD616A">
        <w:rPr>
          <w:rFonts w:ascii="Century Schoolbook" w:hAnsi="Century Schoolbook"/>
          <w:szCs w:val="22"/>
        </w:rPr>
        <w:t>, ma anche per la parte relativa agli importi appostati a titolo di servizi da rendere al Ministero.</w:t>
      </w:r>
    </w:p>
    <w:p w14:paraId="65BBB843" w14:textId="77777777" w:rsidR="00F7397D" w:rsidRPr="00FD616A" w:rsidRDefault="00F7397D" w:rsidP="005479DA">
      <w:pPr>
        <w:pStyle w:val="Capoverso"/>
        <w:spacing w:line="360" w:lineRule="auto"/>
        <w:contextualSpacing/>
        <w:rPr>
          <w:rFonts w:ascii="Century Schoolbook" w:hAnsi="Century Schoolbook"/>
          <w:szCs w:val="22"/>
        </w:rPr>
      </w:pPr>
      <w:r w:rsidRPr="00FD616A">
        <w:rPr>
          <w:rFonts w:ascii="Century Schoolbook" w:hAnsi="Century Schoolbook"/>
          <w:szCs w:val="22"/>
        </w:rPr>
        <w:t>La sentenza incrocia – sebbene in termini non pienamente esplicitati</w:t>
      </w:r>
      <w:r w:rsidRPr="00FD616A">
        <w:rPr>
          <w:rStyle w:val="Rimandonotaapidipagina"/>
          <w:rFonts w:ascii="Century Schoolbook" w:hAnsi="Century Schoolbook"/>
          <w:szCs w:val="22"/>
        </w:rPr>
        <w:t> </w:t>
      </w:r>
      <w:r w:rsidRPr="00FD616A">
        <w:rPr>
          <w:rStyle w:val="Rimandonotaapidipagina"/>
          <w:rFonts w:ascii="Century Schoolbook" w:hAnsi="Century Schoolbook"/>
          <w:szCs w:val="22"/>
        </w:rPr>
        <w:footnoteReference w:id="47"/>
      </w:r>
      <w:r w:rsidRPr="00FD616A">
        <w:rPr>
          <w:rFonts w:ascii="Century Schoolbook" w:hAnsi="Century Schoolbook"/>
          <w:szCs w:val="22"/>
        </w:rPr>
        <w:t xml:space="preserve"> – la questione che ci interessa: dopo aver ritenuto che nella nostra vicenda esiste una relazione </w:t>
      </w:r>
      <w:r w:rsidRPr="00FD616A">
        <w:rPr>
          <w:rFonts w:ascii="Century Schoolbook" w:hAnsi="Century Schoolbook"/>
          <w:i/>
          <w:iCs/>
          <w:szCs w:val="22"/>
        </w:rPr>
        <w:t>intra moenia</w:t>
      </w:r>
      <w:r w:rsidRPr="00FD616A">
        <w:rPr>
          <w:rFonts w:ascii="Century Schoolbook" w:hAnsi="Century Schoolbook"/>
          <w:szCs w:val="22"/>
        </w:rPr>
        <w:t>, il Tribunale sembra domandarsi se essa</w:t>
      </w:r>
      <w:r w:rsidRPr="00FD616A">
        <w:rPr>
          <w:rFonts w:ascii="Century Schoolbook" w:hAnsi="Century Schoolbook"/>
          <w:i/>
          <w:iCs/>
          <w:szCs w:val="22"/>
        </w:rPr>
        <w:t xml:space="preserve"> </w:t>
      </w:r>
      <w:r w:rsidRPr="00FD616A">
        <w:rPr>
          <w:rFonts w:ascii="Century Schoolbook" w:hAnsi="Century Schoolbook"/>
          <w:szCs w:val="22"/>
        </w:rPr>
        <w:t xml:space="preserve">precluda </w:t>
      </w:r>
      <w:r w:rsidRPr="00FD616A">
        <w:rPr>
          <w:rFonts w:ascii="Century Schoolbook" w:hAnsi="Century Schoolbook"/>
          <w:i/>
          <w:iCs/>
          <w:szCs w:val="22"/>
        </w:rPr>
        <w:t>ex se</w:t>
      </w:r>
      <w:r w:rsidRPr="00FD616A">
        <w:rPr>
          <w:rFonts w:ascii="Century Schoolbook" w:hAnsi="Century Schoolbook"/>
          <w:szCs w:val="22"/>
        </w:rPr>
        <w:t xml:space="preserve"> il delinearsi di un aiuto di Stato.</w:t>
      </w:r>
    </w:p>
    <w:p w14:paraId="6D98C252" w14:textId="77777777" w:rsidR="00F7397D" w:rsidRPr="00FD616A" w:rsidRDefault="00F7397D" w:rsidP="005479DA">
      <w:pPr>
        <w:pStyle w:val="Capoverso"/>
        <w:spacing w:line="360" w:lineRule="auto"/>
        <w:contextualSpacing/>
        <w:rPr>
          <w:rFonts w:ascii="Century Schoolbook" w:hAnsi="Century Schoolbook"/>
          <w:szCs w:val="22"/>
        </w:rPr>
      </w:pPr>
      <w:r w:rsidRPr="00FD616A">
        <w:rPr>
          <w:rFonts w:ascii="Century Schoolbook" w:hAnsi="Century Schoolbook"/>
          <w:szCs w:val="22"/>
        </w:rPr>
        <w:t xml:space="preserve">Tralascio quindi l’esame del </w:t>
      </w:r>
      <w:r w:rsidRPr="00FD616A">
        <w:rPr>
          <w:rFonts w:ascii="Century Schoolbook" w:hAnsi="Century Schoolbook"/>
          <w:i/>
          <w:iCs/>
          <w:szCs w:val="22"/>
        </w:rPr>
        <w:t>ductus</w:t>
      </w:r>
      <w:r w:rsidRPr="00FD616A">
        <w:rPr>
          <w:rFonts w:ascii="Century Schoolbook" w:hAnsi="Century Schoolbook"/>
          <w:szCs w:val="22"/>
        </w:rPr>
        <w:t xml:space="preserve"> motivazionale relativo agli aiuti di Stato.</w:t>
      </w:r>
    </w:p>
    <w:p w14:paraId="1863B7C8" w14:textId="64FD0E4E" w:rsidR="00F7397D" w:rsidRPr="00FD616A" w:rsidRDefault="00F7397D" w:rsidP="005479DA">
      <w:pPr>
        <w:pStyle w:val="Capoverso"/>
        <w:spacing w:line="360" w:lineRule="auto"/>
        <w:contextualSpacing/>
        <w:rPr>
          <w:rFonts w:ascii="Century Schoolbook" w:hAnsi="Century Schoolbook"/>
          <w:szCs w:val="22"/>
        </w:rPr>
      </w:pPr>
      <w:r w:rsidRPr="00FD616A">
        <w:rPr>
          <w:rFonts w:ascii="Century Schoolbook" w:hAnsi="Century Schoolbook"/>
          <w:szCs w:val="22"/>
        </w:rPr>
        <w:lastRenderedPageBreak/>
        <w:t>Quanto all’</w:t>
      </w:r>
      <w:r w:rsidRPr="00FD616A">
        <w:rPr>
          <w:rFonts w:ascii="Century Schoolbook" w:hAnsi="Century Schoolbook"/>
          <w:i/>
          <w:iCs/>
          <w:szCs w:val="22"/>
        </w:rPr>
        <w:t>in house</w:t>
      </w:r>
      <w:r w:rsidRPr="00FD616A">
        <w:rPr>
          <w:rFonts w:ascii="Century Schoolbook" w:hAnsi="Century Schoolbook"/>
          <w:szCs w:val="22"/>
        </w:rPr>
        <w:t xml:space="preserve">, la pronuncia si orienta – con qualche dubbio – in senso affermativo: «alla luce delle modifiche normative e statutarie </w:t>
      </w:r>
      <w:r w:rsidRPr="00FD616A">
        <w:rPr>
          <w:rFonts w:ascii="Century Schoolbook" w:hAnsi="Century Schoolbook"/>
          <w:i/>
          <w:iCs/>
          <w:szCs w:val="22"/>
        </w:rPr>
        <w:t>medio tempore</w:t>
      </w:r>
      <w:r w:rsidRPr="00FD616A">
        <w:rPr>
          <w:rFonts w:ascii="Century Schoolbook" w:hAnsi="Century Schoolbook"/>
          <w:szCs w:val="22"/>
        </w:rPr>
        <w:t xml:space="preserve"> intervenute appaiono sussistere adeguati elementi probatori, </w:t>
      </w:r>
      <w:r w:rsidRPr="00FD616A">
        <w:rPr>
          <w:rFonts w:ascii="Century Schoolbook" w:hAnsi="Century Schoolbook"/>
          <w:i/>
          <w:iCs/>
          <w:szCs w:val="22"/>
        </w:rPr>
        <w:t>in termini probabilistici</w:t>
      </w:r>
      <w:r w:rsidRPr="00FD616A">
        <w:rPr>
          <w:rFonts w:ascii="Century Schoolbook" w:hAnsi="Century Schoolbook"/>
          <w:szCs w:val="22"/>
        </w:rPr>
        <w:t xml:space="preserve">, per qualificare l’ente come </w:t>
      </w:r>
      <w:r w:rsidRPr="00FD616A">
        <w:rPr>
          <w:rFonts w:ascii="Century Schoolbook" w:hAnsi="Century Schoolbook"/>
          <w:i/>
          <w:iCs/>
          <w:szCs w:val="22"/>
        </w:rPr>
        <w:t>in house</w:t>
      </w:r>
      <w:r w:rsidRPr="00FD616A">
        <w:rPr>
          <w:rFonts w:ascii="Century Schoolbook" w:hAnsi="Century Schoolbook"/>
          <w:szCs w:val="22"/>
        </w:rPr>
        <w:t>, con riferimento ai requisiti del «controllo analogo congiunto», dell’«attività prevalente» e della «totale partecipazio</w:t>
      </w:r>
      <w:r w:rsidR="00E769A1" w:rsidRPr="00FD616A">
        <w:rPr>
          <w:rFonts w:ascii="Century Schoolbook" w:hAnsi="Century Schoolbook"/>
          <w:szCs w:val="22"/>
        </w:rPr>
        <w:softHyphen/>
      </w:r>
      <w:r w:rsidRPr="00FD616A">
        <w:rPr>
          <w:rFonts w:ascii="Century Schoolbook" w:hAnsi="Century Schoolbook"/>
          <w:szCs w:val="22"/>
        </w:rPr>
        <w:t>ne pubblica»»</w:t>
      </w:r>
      <w:r w:rsidRPr="00FD616A">
        <w:rPr>
          <w:rStyle w:val="Rimandonotaapidipagina"/>
          <w:rFonts w:ascii="Century Schoolbook" w:hAnsi="Century Schoolbook"/>
          <w:szCs w:val="22"/>
        </w:rPr>
        <w:t> </w:t>
      </w:r>
      <w:r w:rsidRPr="00FD616A">
        <w:rPr>
          <w:rStyle w:val="Rimandonotaapidipagina"/>
          <w:rFonts w:ascii="Century Schoolbook" w:hAnsi="Century Schoolbook"/>
          <w:szCs w:val="22"/>
        </w:rPr>
        <w:footnoteReference w:id="48"/>
      </w:r>
      <w:r w:rsidRPr="00FD616A">
        <w:rPr>
          <w:rFonts w:ascii="Century Schoolbook" w:hAnsi="Century Schoolbook"/>
          <w:szCs w:val="22"/>
        </w:rPr>
        <w:t>.</w:t>
      </w:r>
    </w:p>
    <w:p w14:paraId="448E2E07" w14:textId="77777777" w:rsidR="00F7397D" w:rsidRPr="00FD616A" w:rsidRDefault="00F7397D" w:rsidP="005479DA">
      <w:pPr>
        <w:pStyle w:val="Capoverso"/>
        <w:spacing w:line="360" w:lineRule="auto"/>
        <w:contextualSpacing/>
        <w:rPr>
          <w:rFonts w:ascii="Century Schoolbook" w:hAnsi="Century Schoolbook"/>
          <w:szCs w:val="22"/>
        </w:rPr>
      </w:pPr>
      <w:r w:rsidRPr="00FD616A">
        <w:rPr>
          <w:rFonts w:ascii="Century Schoolbook" w:hAnsi="Century Schoolbook"/>
          <w:szCs w:val="22"/>
        </w:rPr>
        <w:t>Proprio per la sua valenza ricostruttiva generale, è bene esaminare partitamente le ragioni addotte dal TAR per arrivare a questa conclusione.</w:t>
      </w:r>
    </w:p>
    <w:p w14:paraId="1D888921" w14:textId="77777777" w:rsidR="00F7397D" w:rsidRPr="00FD616A" w:rsidRDefault="00F7397D" w:rsidP="005479DA">
      <w:pPr>
        <w:pStyle w:val="Capoverso"/>
        <w:spacing w:line="360" w:lineRule="auto"/>
        <w:contextualSpacing/>
        <w:rPr>
          <w:rFonts w:ascii="Century Schoolbook" w:hAnsi="Century Schoolbook"/>
          <w:szCs w:val="22"/>
        </w:rPr>
      </w:pPr>
      <w:r w:rsidRPr="00FD616A">
        <w:rPr>
          <w:rFonts w:ascii="Century Schoolbook" w:hAnsi="Century Schoolbook"/>
          <w:szCs w:val="22"/>
        </w:rPr>
        <w:t xml:space="preserve">Liberiamoci subito del terzo requisito. Dalla sentenza si desume infatti che il Cineca non annovera più al suo interno Università private, quindi risulta </w:t>
      </w:r>
      <w:r w:rsidRPr="00FD616A">
        <w:rPr>
          <w:rFonts w:ascii="Century Schoolbook" w:hAnsi="Century Schoolbook"/>
          <w:i/>
          <w:iCs/>
          <w:szCs w:val="22"/>
        </w:rPr>
        <w:t>ratione temporis</w:t>
      </w:r>
      <w:r w:rsidRPr="00FD616A">
        <w:rPr>
          <w:rStyle w:val="Rimandonotaapidipagina"/>
          <w:rFonts w:ascii="Century Schoolbook" w:hAnsi="Century Schoolbook"/>
          <w:szCs w:val="22"/>
        </w:rPr>
        <w:t> </w:t>
      </w:r>
      <w:r w:rsidRPr="00FD616A">
        <w:rPr>
          <w:rStyle w:val="Rimandonotaapidipagina"/>
          <w:rFonts w:ascii="Century Schoolbook" w:hAnsi="Century Schoolbook"/>
          <w:szCs w:val="22"/>
        </w:rPr>
        <w:footnoteReference w:id="49"/>
      </w:r>
      <w:r w:rsidRPr="00FD616A">
        <w:rPr>
          <w:rFonts w:ascii="Century Schoolbook" w:hAnsi="Century Schoolbook"/>
          <w:szCs w:val="22"/>
        </w:rPr>
        <w:t xml:space="preserve"> partecipato solo da enti pubblici</w:t>
      </w:r>
      <w:r w:rsidRPr="00FD616A">
        <w:rPr>
          <w:rStyle w:val="Rimandonotaapidipagina"/>
          <w:rFonts w:ascii="Century Schoolbook" w:hAnsi="Century Schoolbook"/>
          <w:szCs w:val="22"/>
        </w:rPr>
        <w:t> </w:t>
      </w:r>
      <w:r w:rsidRPr="00FD616A">
        <w:rPr>
          <w:rStyle w:val="Rimandonotaapidipagina"/>
          <w:rFonts w:ascii="Century Schoolbook" w:hAnsi="Century Schoolbook"/>
          <w:szCs w:val="22"/>
        </w:rPr>
        <w:footnoteReference w:id="50"/>
      </w:r>
      <w:r w:rsidRPr="00FD616A">
        <w:rPr>
          <w:rFonts w:ascii="Century Schoolbook" w:hAnsi="Century Schoolbook"/>
          <w:szCs w:val="22"/>
        </w:rPr>
        <w:t>.</w:t>
      </w:r>
    </w:p>
    <w:p w14:paraId="1A016E83" w14:textId="77777777" w:rsidR="00F7397D" w:rsidRPr="00FD616A" w:rsidRDefault="00F7397D" w:rsidP="005479DA">
      <w:pPr>
        <w:pStyle w:val="Capoverso"/>
        <w:spacing w:line="360" w:lineRule="auto"/>
        <w:contextualSpacing/>
        <w:rPr>
          <w:rFonts w:ascii="Century Schoolbook" w:hAnsi="Century Schoolbook"/>
          <w:szCs w:val="22"/>
        </w:rPr>
      </w:pPr>
      <w:r w:rsidRPr="00FD616A">
        <w:rPr>
          <w:rFonts w:ascii="Century Schoolbook" w:hAnsi="Century Schoolbook"/>
          <w:szCs w:val="22"/>
        </w:rPr>
        <w:t>Vediamo il secondo, il controllo analogo.</w:t>
      </w:r>
    </w:p>
    <w:p w14:paraId="43F961EB" w14:textId="77777777" w:rsidR="00F7397D" w:rsidRPr="00FD616A" w:rsidRDefault="00F7397D" w:rsidP="005479DA">
      <w:pPr>
        <w:pStyle w:val="Capoverso"/>
        <w:spacing w:line="360" w:lineRule="auto"/>
        <w:contextualSpacing/>
        <w:rPr>
          <w:rFonts w:ascii="Century Schoolbook" w:hAnsi="Century Schoolbook"/>
          <w:szCs w:val="22"/>
        </w:rPr>
      </w:pPr>
      <w:r w:rsidRPr="00FD616A">
        <w:rPr>
          <w:rFonts w:ascii="Century Schoolbook" w:hAnsi="Century Schoolbook"/>
          <w:szCs w:val="22"/>
        </w:rPr>
        <w:t xml:space="preserve">Per il TAR «le modifiche statutarie sembrano aver consentito a tutti i consorziati di avere </w:t>
      </w:r>
      <w:r w:rsidRPr="00FD616A">
        <w:rPr>
          <w:rFonts w:ascii="Century Schoolbook" w:hAnsi="Century Schoolbook"/>
          <w:i/>
          <w:iCs/>
          <w:szCs w:val="22"/>
        </w:rPr>
        <w:t>pari influenza dominante</w:t>
      </w:r>
      <w:r w:rsidRPr="00FD616A">
        <w:rPr>
          <w:rFonts w:ascii="Century Schoolbook" w:hAnsi="Century Schoolbook"/>
          <w:szCs w:val="22"/>
        </w:rPr>
        <w:t xml:space="preserve"> sulla gestione del Consorzio </w:t>
      </w:r>
      <w:r w:rsidRPr="00FD616A">
        <w:rPr>
          <w:rFonts w:ascii="Century Schoolbook" w:hAnsi="Century Schoolbook"/>
          <w:i/>
          <w:iCs/>
          <w:szCs w:val="22"/>
        </w:rPr>
        <w:t>seppur in relazione alla relativa partecipazione</w:t>
      </w:r>
      <w:r w:rsidRPr="00FD616A">
        <w:rPr>
          <w:rStyle w:val="Rimandonotaapidipagina"/>
          <w:rFonts w:ascii="Century Schoolbook" w:hAnsi="Century Schoolbook"/>
          <w:szCs w:val="22"/>
        </w:rPr>
        <w:t> </w:t>
      </w:r>
      <w:r w:rsidRPr="00FD616A">
        <w:rPr>
          <w:rStyle w:val="Rimandonotaapidipagina"/>
          <w:rFonts w:ascii="Century Schoolbook" w:hAnsi="Century Schoolbook"/>
          <w:szCs w:val="22"/>
        </w:rPr>
        <w:footnoteReference w:id="51"/>
      </w:r>
      <w:r w:rsidRPr="00FD616A">
        <w:rPr>
          <w:rFonts w:ascii="Century Schoolbook" w:hAnsi="Century Schoolbook"/>
          <w:szCs w:val="22"/>
        </w:rPr>
        <w:t xml:space="preserve">»: il riferimento esplicito è all’assemblea consortile, ritenuta l’organo con «funzioni di indirizzo strategico e di controllo nei confronti degli altri organi consortili». </w:t>
      </w:r>
      <w:r w:rsidRPr="00FD616A">
        <w:rPr>
          <w:rFonts w:ascii="Century Schoolbook" w:hAnsi="Century Schoolbook"/>
          <w:szCs w:val="22"/>
        </w:rPr>
        <w:lastRenderedPageBreak/>
        <w:t>Né – prosegue quel Giudice – il controllo analogo frazionato sarebbe incompatibile con la «permanenza di alcuni poteri di incidenza del MIUR, quale quello relativo alla revoca dell’amministra</w:t>
      </w:r>
      <w:r w:rsidRPr="00FD616A">
        <w:rPr>
          <w:rFonts w:ascii="Century Schoolbook" w:hAnsi="Century Schoolbook"/>
          <w:szCs w:val="22"/>
        </w:rPr>
        <w:softHyphen/>
        <w:t>tore, esercitabile comunque sulla base dei presupposti descritti nello statuto e previa attivazione da parte dei soci».</w:t>
      </w:r>
    </w:p>
    <w:p w14:paraId="512E5567" w14:textId="158F105C" w:rsidR="00F7397D" w:rsidRPr="00FD616A" w:rsidRDefault="00F7397D" w:rsidP="005479DA">
      <w:pPr>
        <w:pStyle w:val="Capoverso"/>
        <w:spacing w:line="360" w:lineRule="auto"/>
        <w:contextualSpacing/>
        <w:rPr>
          <w:rFonts w:ascii="Century Schoolbook" w:hAnsi="Century Schoolbook"/>
          <w:szCs w:val="22"/>
        </w:rPr>
      </w:pPr>
      <w:r w:rsidRPr="00FD616A">
        <w:rPr>
          <w:rFonts w:ascii="Century Schoolbook" w:hAnsi="Century Schoolbook"/>
          <w:szCs w:val="22"/>
        </w:rPr>
        <w:t>Non nascondo alcune perplessità, che nascono anzitutto da quell’inciso che ho riportato più sopra: «seppur in relazione alla relativa partecipazione». In altre parole, il Tribunale desume l’esistenza di una «pari influenza dominante» in capo a ognuno dei consorziati dal dato per cui ognuno di essi partecipa all’as</w:t>
      </w:r>
      <w:r w:rsidRPr="00FD616A">
        <w:rPr>
          <w:rFonts w:ascii="Century Schoolbook" w:hAnsi="Century Schoolbook"/>
          <w:szCs w:val="22"/>
        </w:rPr>
        <w:softHyphen/>
        <w:t xml:space="preserve">semblea, </w:t>
      </w:r>
      <w:r w:rsidRPr="00FD616A">
        <w:rPr>
          <w:rFonts w:ascii="Century Schoolbook" w:hAnsi="Century Schoolbook"/>
          <w:i/>
          <w:iCs/>
          <w:szCs w:val="22"/>
        </w:rPr>
        <w:t>ancorché nei limiti frazionali della quota riconducibile a quella partecipazione</w:t>
      </w:r>
      <w:r w:rsidRPr="00FD616A">
        <w:rPr>
          <w:rFonts w:ascii="Century Schoolbook" w:hAnsi="Century Schoolbook"/>
          <w:szCs w:val="22"/>
        </w:rPr>
        <w:t>. Alle corte. Poiché i soggetti consorziati già all’epoca erano (verosimilmente) alcune decine, appare arduo ritenere che ognuno di essi – titolare di un frantume di capacità decisionale – potesse (e possa oggi)</w:t>
      </w:r>
      <w:r w:rsidRPr="00FD616A">
        <w:rPr>
          <w:rStyle w:val="Rimandonotaapidipagina"/>
          <w:rFonts w:ascii="Century Schoolbook" w:hAnsi="Century Schoolbook"/>
          <w:szCs w:val="22"/>
        </w:rPr>
        <w:t> </w:t>
      </w:r>
      <w:r w:rsidRPr="00FD616A">
        <w:rPr>
          <w:rStyle w:val="Rimandonotaapidipagina"/>
          <w:rFonts w:ascii="Century Schoolbook" w:hAnsi="Century Schoolbook"/>
          <w:szCs w:val="22"/>
        </w:rPr>
        <w:footnoteReference w:id="52"/>
      </w:r>
      <w:r w:rsidRPr="00FD616A">
        <w:rPr>
          <w:rFonts w:ascii="Century Schoolbook" w:hAnsi="Century Schoolbook"/>
          <w:szCs w:val="22"/>
        </w:rPr>
        <w:t xml:space="preserve"> far efficacemente valere la propria volontà in caso di dissenso rispetto alla deliberazione che l’assemblea intende adottare. Si tratta di un assetto che mi appare distante dal concetto di </w:t>
      </w:r>
      <w:r w:rsidRPr="00FD616A">
        <w:rPr>
          <w:rFonts w:ascii="Century Schoolbook" w:hAnsi="Century Schoolbook"/>
          <w:spacing w:val="-2"/>
          <w:szCs w:val="22"/>
        </w:rPr>
        <w:t>controllo analogo, il quale implica invece la possibilità di influenzare in modo</w:t>
      </w:r>
      <w:r w:rsidRPr="00FD616A">
        <w:rPr>
          <w:rFonts w:ascii="Century Schoolbook" w:hAnsi="Century Schoolbook"/>
          <w:szCs w:val="22"/>
        </w:rPr>
        <w:t xml:space="preserve"> determinante le scelte gestorie, così come può fare un’Amministrazione pubblica nei confronti dei propri plessi organizzativi interni. Un potere che è cioè più </w:t>
      </w:r>
      <w:r w:rsidRPr="00FD616A">
        <w:rPr>
          <w:rFonts w:ascii="Century Schoolbook" w:hAnsi="Century Schoolbook"/>
          <w:spacing w:val="-2"/>
          <w:szCs w:val="22"/>
        </w:rPr>
        <w:t>penetrante rispetto a quello inerente alle ordinarie facoltà del socio, per cui</w:t>
      </w:r>
      <w:r w:rsidRPr="00FD616A">
        <w:rPr>
          <w:rFonts w:ascii="Century Schoolbook" w:hAnsi="Century Schoolbook"/>
          <w:szCs w:val="22"/>
        </w:rPr>
        <w:t xml:space="preserve"> l’ente consorziato dovrebbe essere messo nella condizione di opporsi efficacemente all’assunzione di scelte collidenti con i suoi interessi</w:t>
      </w:r>
      <w:r w:rsidRPr="00FD616A">
        <w:rPr>
          <w:rStyle w:val="Rimandonotaapidipagina"/>
          <w:rFonts w:ascii="Century Schoolbook" w:hAnsi="Century Schoolbook"/>
          <w:szCs w:val="22"/>
        </w:rPr>
        <w:t> </w:t>
      </w:r>
      <w:r w:rsidRPr="00FD616A">
        <w:rPr>
          <w:rStyle w:val="Rimandonotaapidipagina"/>
          <w:rFonts w:ascii="Century Schoolbook" w:hAnsi="Century Schoolbook"/>
          <w:szCs w:val="22"/>
        </w:rPr>
        <w:footnoteReference w:id="53"/>
      </w:r>
      <w:r w:rsidRPr="00FD616A">
        <w:rPr>
          <w:rFonts w:ascii="Century Schoolbook" w:hAnsi="Century Schoolbook"/>
          <w:szCs w:val="22"/>
        </w:rPr>
        <w:t>.</w:t>
      </w:r>
    </w:p>
    <w:p w14:paraId="798F32DF" w14:textId="77777777" w:rsidR="00F7397D" w:rsidRPr="00FD616A" w:rsidRDefault="00F7397D" w:rsidP="005479DA">
      <w:pPr>
        <w:pStyle w:val="Capoverso"/>
        <w:spacing w:line="360" w:lineRule="auto"/>
        <w:contextualSpacing/>
        <w:rPr>
          <w:rFonts w:ascii="Century Schoolbook" w:hAnsi="Century Schoolbook"/>
          <w:szCs w:val="22"/>
        </w:rPr>
      </w:pPr>
      <w:r w:rsidRPr="00FD616A">
        <w:rPr>
          <w:rFonts w:ascii="Century Schoolbook" w:hAnsi="Century Schoolbook"/>
          <w:szCs w:val="22"/>
        </w:rPr>
        <w:lastRenderedPageBreak/>
        <w:t xml:space="preserve">Certo, in casi come il nostro diviene </w:t>
      </w:r>
      <w:r w:rsidRPr="00FD616A">
        <w:rPr>
          <w:rFonts w:ascii="Century Schoolbook" w:hAnsi="Century Schoolbook"/>
          <w:i/>
          <w:iCs/>
          <w:szCs w:val="22"/>
        </w:rPr>
        <w:t>prima facie</w:t>
      </w:r>
      <w:r w:rsidRPr="00FD616A">
        <w:rPr>
          <w:rFonts w:ascii="Century Schoolbook" w:hAnsi="Century Schoolbook"/>
          <w:szCs w:val="22"/>
        </w:rPr>
        <w:t xml:space="preserve"> difficile conseguire questo risultato, cioè disegnare un assetto in linea con gli obiettivi di controllo appena visti. Ma come ci ricorda Cons. Stato, 3 marzo 2020, n. 1564, «è pur vero che il Consiglio di Stato ha sottolineato come una partecipazione «pulviscolare» sia in principio inidonea a consentire ai singoli soggetti pubblici partecipanti di incidere effettivamente sulle decisioni strategiche della società, cioè di realizzare </w:t>
      </w:r>
      <w:r w:rsidRPr="00FD616A">
        <w:rPr>
          <w:rFonts w:ascii="Century Schoolbook" w:hAnsi="Century Schoolbook"/>
          <w:spacing w:val="-2"/>
          <w:szCs w:val="22"/>
        </w:rPr>
        <w:t>una reale interferenza sul conseguimento del c.d. fine pubblico di impresa in</w:t>
      </w:r>
      <w:r w:rsidRPr="00FD616A">
        <w:rPr>
          <w:rFonts w:ascii="Century Schoolbook" w:hAnsi="Century Schoolbook"/>
          <w:szCs w:val="22"/>
        </w:rPr>
        <w:t xml:space="preserve"> presenza di interessi potenzialmente contrastanti, e tuttavia ha al contempo chiarito che i soci pubblici ben possono sopperire a detta debolezza stipulando patti parasociali al fine di realizzare un coordinamento tra loro, in modo da assicurare il «</w:t>
      </w:r>
      <w:r w:rsidRPr="00FD616A">
        <w:rPr>
          <w:rFonts w:ascii="Century Schoolbook" w:hAnsi="Century Schoolbook"/>
          <w:i/>
          <w:iCs/>
          <w:szCs w:val="22"/>
        </w:rPr>
        <w:t>loro controllo sulle decisioni più rilevanti riguardanti la vita e l’attività della società partecipata</w:t>
      </w:r>
      <w:r w:rsidRPr="00FD616A">
        <w:rPr>
          <w:rFonts w:ascii="Century Schoolbook" w:hAnsi="Century Schoolbook"/>
          <w:szCs w:val="22"/>
        </w:rPr>
        <w:t>» (si veda Cons. Stato, sez. V, 23 gennaio 2019, n. 578)».</w:t>
      </w:r>
    </w:p>
    <w:p w14:paraId="059F88C8" w14:textId="1C672308" w:rsidR="00F7397D" w:rsidRPr="00FD616A" w:rsidRDefault="00F7397D" w:rsidP="005479DA">
      <w:pPr>
        <w:pStyle w:val="Capoverso"/>
        <w:spacing w:line="360" w:lineRule="auto"/>
        <w:contextualSpacing/>
        <w:rPr>
          <w:rFonts w:ascii="Century Schoolbook" w:hAnsi="Century Schoolbook"/>
          <w:spacing w:val="2"/>
          <w:szCs w:val="22"/>
        </w:rPr>
      </w:pPr>
      <w:r w:rsidRPr="00FD616A">
        <w:rPr>
          <w:rFonts w:ascii="Century Schoolbook" w:hAnsi="Century Schoolbook"/>
          <w:spacing w:val="2"/>
          <w:szCs w:val="22"/>
        </w:rPr>
        <w:lastRenderedPageBreak/>
        <w:t>Resta poco chiaro, inoltre, un altro aspetto: se cioè «le funzioni [assembleari] di indirizzo strategico e di controllo nei confronti degli organi consortili», valorizzate dal TAR Lazio per ritenere il controllo analogo congiunto, assicurino in concreto il governo del consorzio. Né dalla sentenza si desume se lo statuto garantisca forme anche indirette di presenza dei consorziati negli orga</w:t>
      </w:r>
      <w:r w:rsidRPr="00FD616A">
        <w:rPr>
          <w:rFonts w:ascii="Century Schoolbook" w:hAnsi="Century Schoolbook"/>
          <w:szCs w:val="22"/>
        </w:rPr>
        <w:t>ni collegiali di gestione diretta (per esempio mediante elezione dei relativi</w:t>
      </w:r>
      <w:r w:rsidRPr="00FD616A">
        <w:rPr>
          <w:rFonts w:ascii="Century Schoolbook" w:hAnsi="Century Schoolbook"/>
          <w:spacing w:val="2"/>
          <w:szCs w:val="22"/>
        </w:rPr>
        <w:t xml:space="preserve"> com</w:t>
      </w:r>
      <w:r w:rsidR="00E769A1" w:rsidRPr="00FD616A">
        <w:rPr>
          <w:rFonts w:ascii="Century Schoolbook" w:hAnsi="Century Schoolbook"/>
          <w:spacing w:val="2"/>
          <w:szCs w:val="22"/>
        </w:rPr>
        <w:softHyphen/>
      </w:r>
      <w:r w:rsidRPr="00FD616A">
        <w:rPr>
          <w:rFonts w:ascii="Century Schoolbook" w:hAnsi="Century Schoolbook"/>
          <w:spacing w:val="2"/>
          <w:szCs w:val="22"/>
        </w:rPr>
        <w:t>ponenti)</w:t>
      </w:r>
      <w:r w:rsidRPr="00FD616A">
        <w:rPr>
          <w:rStyle w:val="Rimandonotaapidipagina"/>
          <w:rFonts w:ascii="Century Schoolbook" w:hAnsi="Century Schoolbook"/>
          <w:spacing w:val="2"/>
          <w:szCs w:val="22"/>
        </w:rPr>
        <w:t> </w:t>
      </w:r>
      <w:r w:rsidRPr="00FD616A">
        <w:rPr>
          <w:rStyle w:val="Rimandonotaapidipagina"/>
          <w:rFonts w:ascii="Century Schoolbook" w:hAnsi="Century Schoolbook"/>
          <w:spacing w:val="2"/>
          <w:szCs w:val="22"/>
        </w:rPr>
        <w:footnoteReference w:id="54"/>
      </w:r>
      <w:r w:rsidRPr="00FD616A">
        <w:rPr>
          <w:rFonts w:ascii="Century Schoolbook" w:hAnsi="Century Schoolbook"/>
          <w:spacing w:val="2"/>
          <w:szCs w:val="22"/>
        </w:rPr>
        <w:t>.</w:t>
      </w:r>
    </w:p>
    <w:p w14:paraId="544F0632" w14:textId="77777777" w:rsidR="00F7397D" w:rsidRPr="00FD616A" w:rsidRDefault="00F7397D" w:rsidP="005479DA">
      <w:pPr>
        <w:pStyle w:val="Capoverso"/>
        <w:spacing w:line="360" w:lineRule="auto"/>
        <w:contextualSpacing/>
        <w:rPr>
          <w:rFonts w:ascii="Century Schoolbook" w:hAnsi="Century Schoolbook"/>
          <w:szCs w:val="22"/>
        </w:rPr>
      </w:pPr>
      <w:r w:rsidRPr="00FD616A">
        <w:rPr>
          <w:rFonts w:ascii="Century Schoolbook" w:hAnsi="Century Schoolbook"/>
          <w:szCs w:val="22"/>
        </w:rPr>
        <w:t>Secondo l’art. 5, comma 5, lett. a), cod. contr. – in recezione dell’art. 12, comma 3, della direttiva n. 24, cit. – v’è infatti controllo congiunto a condizione che gli organi decisionali della persona giuridica controllata siano composti da rappresentanti di tutte le amministrazioni aggiudicatrici o enti aggiudicatori partecipanti: singoli soggetti potendo rappresentare varie o tutte le amministrazioni aggiudicatrici o enti aggiudicatori partecipanti.</w:t>
      </w:r>
    </w:p>
    <w:p w14:paraId="76AD8613" w14:textId="77777777" w:rsidR="00F7397D" w:rsidRPr="00FD616A" w:rsidRDefault="00F7397D" w:rsidP="005479DA">
      <w:pPr>
        <w:pStyle w:val="Capoverso"/>
        <w:widowControl w:val="0"/>
        <w:spacing w:line="360" w:lineRule="auto"/>
        <w:contextualSpacing/>
        <w:rPr>
          <w:rFonts w:ascii="Century Schoolbook" w:hAnsi="Century Schoolbook"/>
          <w:szCs w:val="22"/>
        </w:rPr>
      </w:pPr>
      <w:r w:rsidRPr="00FD616A">
        <w:rPr>
          <w:rFonts w:ascii="Century Schoolbook" w:hAnsi="Century Schoolbook"/>
          <w:szCs w:val="22"/>
        </w:rPr>
        <w:lastRenderedPageBreak/>
        <w:t xml:space="preserve">Nell’organo decisionale, in somma, ogni consorziato dev’essere </w:t>
      </w:r>
      <w:r w:rsidRPr="00FD616A">
        <w:rPr>
          <w:rFonts w:ascii="Century Schoolbook" w:hAnsi="Century Schoolbook"/>
          <w:i/>
          <w:iCs/>
          <w:szCs w:val="22"/>
        </w:rPr>
        <w:t>rappresentato</w:t>
      </w:r>
      <w:r w:rsidRPr="00FD616A">
        <w:rPr>
          <w:rFonts w:ascii="Century Schoolbook" w:hAnsi="Century Schoolbook"/>
          <w:szCs w:val="22"/>
        </w:rPr>
        <w:t>; il che equivale a pretendere un sistema che ne assicuri la presenza mediata, prescindendo dalla sua posizione maggioritaria o meno in seno a quel collegio: v’è controllo congiunto solo se anche la minoranza vi ha voce.</w:t>
      </w:r>
    </w:p>
    <w:p w14:paraId="79FD85E7" w14:textId="77777777" w:rsidR="00F7397D" w:rsidRPr="00FD616A" w:rsidRDefault="00F7397D" w:rsidP="005479DA">
      <w:pPr>
        <w:pStyle w:val="Capoverso"/>
        <w:spacing w:line="360" w:lineRule="auto"/>
        <w:contextualSpacing/>
        <w:rPr>
          <w:rFonts w:ascii="Century Schoolbook" w:hAnsi="Century Schoolbook"/>
          <w:szCs w:val="22"/>
        </w:rPr>
      </w:pPr>
      <w:r w:rsidRPr="00FD616A">
        <w:rPr>
          <w:rFonts w:ascii="Century Schoolbook" w:hAnsi="Century Schoolbook"/>
          <w:szCs w:val="22"/>
        </w:rPr>
        <w:t>Circa il requisito dell’attività prevalente, poi, la sentenza non offre spunti di commento, sul punto limitandosi ad affermare che esso «appare adeguatamente dimostrato dal Cineca e dalla documentazione depositata, mentre parte ricorrente non ha fornito adeguati elementi istruttori per ritenere il superamento della percentuale prescritta dalla norma»</w:t>
      </w:r>
      <w:r w:rsidRPr="00FD616A">
        <w:rPr>
          <w:rStyle w:val="Rimandonotaapidipagina"/>
          <w:rFonts w:ascii="Century Schoolbook" w:hAnsi="Century Schoolbook"/>
          <w:szCs w:val="22"/>
        </w:rPr>
        <w:t> </w:t>
      </w:r>
      <w:r w:rsidRPr="00FD616A">
        <w:rPr>
          <w:rStyle w:val="Rimandonotaapidipagina"/>
          <w:rFonts w:ascii="Century Schoolbook" w:hAnsi="Century Schoolbook"/>
          <w:szCs w:val="22"/>
        </w:rPr>
        <w:footnoteReference w:id="55"/>
      </w:r>
      <w:r w:rsidRPr="00FD616A">
        <w:rPr>
          <w:rFonts w:ascii="Century Schoolbook" w:hAnsi="Century Schoolbook"/>
          <w:szCs w:val="22"/>
        </w:rPr>
        <w:t>.</w:t>
      </w:r>
    </w:p>
    <w:p w14:paraId="0E06EAA1" w14:textId="77777777" w:rsidR="00F7397D" w:rsidRPr="00FD616A" w:rsidRDefault="00F7397D" w:rsidP="005479DA">
      <w:pPr>
        <w:pStyle w:val="Capoverso"/>
        <w:spacing w:line="360" w:lineRule="auto"/>
        <w:contextualSpacing/>
        <w:rPr>
          <w:rFonts w:ascii="Century Schoolbook" w:hAnsi="Century Schoolbook"/>
          <w:szCs w:val="22"/>
        </w:rPr>
      </w:pPr>
      <w:r w:rsidRPr="00FD616A">
        <w:rPr>
          <w:rFonts w:ascii="Century Schoolbook" w:hAnsi="Century Schoolbook"/>
          <w:szCs w:val="22"/>
        </w:rPr>
        <w:t>Non resta che attendere la pronuncia del Consiglio di Stato</w:t>
      </w:r>
      <w:r w:rsidRPr="00FD616A">
        <w:rPr>
          <w:rStyle w:val="Rimandonotaapidipagina"/>
          <w:rFonts w:ascii="Century Schoolbook" w:hAnsi="Century Schoolbook"/>
          <w:szCs w:val="22"/>
        </w:rPr>
        <w:t> </w:t>
      </w:r>
      <w:r w:rsidRPr="00FD616A">
        <w:rPr>
          <w:rStyle w:val="Rimandonotaapidipagina"/>
          <w:rFonts w:ascii="Century Schoolbook" w:hAnsi="Century Schoolbook"/>
          <w:szCs w:val="22"/>
        </w:rPr>
        <w:footnoteReference w:id="56"/>
      </w:r>
      <w:r w:rsidRPr="00FD616A">
        <w:rPr>
          <w:rFonts w:ascii="Century Schoolbook" w:hAnsi="Century Schoolbook"/>
          <w:szCs w:val="22"/>
        </w:rPr>
        <w:t>.</w:t>
      </w:r>
    </w:p>
    <w:p w14:paraId="3A63D1C5" w14:textId="77777777" w:rsidR="00F7397D" w:rsidRPr="00FD616A" w:rsidRDefault="00F7397D" w:rsidP="005479DA">
      <w:pPr>
        <w:pStyle w:val="Paragrafo"/>
        <w:spacing w:before="0" w:after="0" w:line="360" w:lineRule="auto"/>
        <w:contextualSpacing/>
        <w:rPr>
          <w:rFonts w:ascii="Century Schoolbook" w:hAnsi="Century Schoolbook"/>
          <w:spacing w:val="-2"/>
        </w:rPr>
      </w:pPr>
      <w:r w:rsidRPr="00FD616A">
        <w:rPr>
          <w:rFonts w:ascii="Century Schoolbook" w:hAnsi="Century Schoolbook"/>
          <w:i w:val="0"/>
          <w:iCs/>
          <w:spacing w:val="-2"/>
        </w:rPr>
        <w:t>6.</w:t>
      </w:r>
      <w:r w:rsidRPr="00FD616A">
        <w:rPr>
          <w:rFonts w:ascii="Century Schoolbook" w:hAnsi="Century Schoolbook"/>
          <w:spacing w:val="-2"/>
        </w:rPr>
        <w:t xml:space="preserve"> </w:t>
      </w:r>
      <w:proofErr w:type="spellStart"/>
      <w:r w:rsidRPr="00FD616A">
        <w:rPr>
          <w:rFonts w:ascii="Century Schoolbook" w:hAnsi="Century Schoolbook"/>
          <w:spacing w:val="-2"/>
        </w:rPr>
        <w:t>L’</w:t>
      </w:r>
      <w:r w:rsidRPr="00FD616A">
        <w:rPr>
          <w:rFonts w:ascii="Century Schoolbook" w:hAnsi="Century Schoolbook"/>
          <w:i w:val="0"/>
          <w:iCs/>
          <w:spacing w:val="-2"/>
        </w:rPr>
        <w:t>intra</w:t>
      </w:r>
      <w:proofErr w:type="spellEnd"/>
      <w:r w:rsidRPr="00FD616A">
        <w:rPr>
          <w:rFonts w:ascii="Century Schoolbook" w:hAnsi="Century Schoolbook"/>
          <w:i w:val="0"/>
          <w:iCs/>
          <w:spacing w:val="-2"/>
        </w:rPr>
        <w:t xml:space="preserve"> </w:t>
      </w:r>
      <w:proofErr w:type="spellStart"/>
      <w:r w:rsidRPr="00FD616A">
        <w:rPr>
          <w:rFonts w:ascii="Century Schoolbook" w:hAnsi="Century Schoolbook"/>
          <w:i w:val="0"/>
          <w:iCs/>
          <w:spacing w:val="-2"/>
        </w:rPr>
        <w:t>moenia</w:t>
      </w:r>
      <w:proofErr w:type="spellEnd"/>
      <w:r w:rsidRPr="00FD616A">
        <w:rPr>
          <w:rFonts w:ascii="Century Schoolbook" w:hAnsi="Century Schoolbook"/>
          <w:spacing w:val="-2"/>
        </w:rPr>
        <w:t xml:space="preserve"> «all’italiana» come resistita finzione per diritto legislativo</w:t>
      </w:r>
    </w:p>
    <w:p w14:paraId="22733DA6" w14:textId="6BBE24DE" w:rsidR="00F7397D" w:rsidRPr="00FD616A" w:rsidRDefault="00F7397D" w:rsidP="005479DA">
      <w:pPr>
        <w:pStyle w:val="Capoverso"/>
        <w:spacing w:line="360" w:lineRule="auto"/>
        <w:contextualSpacing/>
        <w:rPr>
          <w:rFonts w:ascii="Century Schoolbook" w:hAnsi="Century Schoolbook"/>
        </w:rPr>
      </w:pPr>
      <w:r w:rsidRPr="00FD616A">
        <w:rPr>
          <w:rFonts w:ascii="Century Schoolbook" w:hAnsi="Century Schoolbook"/>
        </w:rPr>
        <w:t>La saga è arrivata sin qui.</w:t>
      </w:r>
    </w:p>
    <w:p w14:paraId="3A10BCEE" w14:textId="77777777" w:rsidR="00F7397D" w:rsidRPr="00FD616A" w:rsidRDefault="00F7397D" w:rsidP="005479DA">
      <w:pPr>
        <w:pStyle w:val="Capoverso"/>
        <w:spacing w:line="360" w:lineRule="auto"/>
        <w:contextualSpacing/>
        <w:rPr>
          <w:rFonts w:ascii="Century Schoolbook" w:hAnsi="Century Schoolbook"/>
        </w:rPr>
      </w:pPr>
      <w:r w:rsidRPr="00FD616A">
        <w:rPr>
          <w:rFonts w:ascii="Century Schoolbook" w:hAnsi="Century Schoolbook"/>
        </w:rPr>
        <w:t>C’è spazio per una considerazione generale di chiusura, ovviamente provvisoria.</w:t>
      </w:r>
    </w:p>
    <w:p w14:paraId="2F2CD612" w14:textId="77777777" w:rsidR="00F7397D" w:rsidRPr="00FD616A" w:rsidRDefault="00F7397D" w:rsidP="005479DA">
      <w:pPr>
        <w:pStyle w:val="Capoverso"/>
        <w:spacing w:line="360" w:lineRule="auto"/>
        <w:contextualSpacing/>
        <w:rPr>
          <w:rFonts w:ascii="Century Schoolbook" w:hAnsi="Century Schoolbook"/>
        </w:rPr>
      </w:pPr>
      <w:r w:rsidRPr="00FD616A">
        <w:rPr>
          <w:rFonts w:ascii="Century Schoolbook" w:hAnsi="Century Schoolbook"/>
        </w:rPr>
        <w:t xml:space="preserve">In punto di provvista dei servizi necessari, il diritto universitario vivente trae alimento principale dalle vicende che ho sin qui ricordato. Le quali mi sembrano emblematiche poiché riproducono in ambito settoriale una tensione ordinamentale – ma politica anzitutto – che resta irrisolta: la collocazione </w:t>
      </w:r>
      <w:proofErr w:type="spellStart"/>
      <w:r w:rsidRPr="00FD616A">
        <w:rPr>
          <w:rFonts w:ascii="Century Schoolbook" w:hAnsi="Century Schoolbook"/>
        </w:rPr>
        <w:t>dell’</w:t>
      </w:r>
      <w:r w:rsidRPr="00FD616A">
        <w:rPr>
          <w:rFonts w:ascii="Century Schoolbook" w:hAnsi="Century Schoolbook"/>
          <w:i/>
          <w:iCs/>
        </w:rPr>
        <w:t>in</w:t>
      </w:r>
      <w:proofErr w:type="spellEnd"/>
      <w:r w:rsidRPr="00FD616A">
        <w:rPr>
          <w:rFonts w:ascii="Century Schoolbook" w:hAnsi="Century Schoolbook"/>
          <w:i/>
          <w:iCs/>
        </w:rPr>
        <w:t xml:space="preserve"> </w:t>
      </w:r>
      <w:proofErr w:type="spellStart"/>
      <w:r w:rsidRPr="00FD616A">
        <w:rPr>
          <w:rFonts w:ascii="Century Schoolbook" w:hAnsi="Century Schoolbook"/>
          <w:i/>
          <w:iCs/>
        </w:rPr>
        <w:t>house</w:t>
      </w:r>
      <w:proofErr w:type="spellEnd"/>
      <w:r w:rsidRPr="00FD616A">
        <w:rPr>
          <w:rFonts w:ascii="Century Schoolbook" w:hAnsi="Century Schoolbook"/>
        </w:rPr>
        <w:t xml:space="preserve"> nello scenario europeo e interno.</w:t>
      </w:r>
    </w:p>
    <w:p w14:paraId="661D41AF" w14:textId="77777777" w:rsidR="00F7397D" w:rsidRPr="00FD616A" w:rsidRDefault="00F7397D" w:rsidP="005479DA">
      <w:pPr>
        <w:pStyle w:val="Capoverso"/>
        <w:spacing w:line="360" w:lineRule="auto"/>
        <w:contextualSpacing/>
        <w:rPr>
          <w:rFonts w:ascii="Century Schoolbook" w:hAnsi="Century Schoolbook"/>
        </w:rPr>
      </w:pPr>
      <w:r w:rsidRPr="00FD616A">
        <w:rPr>
          <w:rFonts w:ascii="Century Schoolbook" w:hAnsi="Century Schoolbook"/>
        </w:rPr>
        <w:lastRenderedPageBreak/>
        <w:t>La traiettoria è nota. Intriso di diffidenza più o meno dichiarata, l’atteggia</w:t>
      </w:r>
      <w:r w:rsidRPr="00FD616A">
        <w:rPr>
          <w:rFonts w:ascii="Century Schoolbook" w:hAnsi="Century Schoolbook"/>
        </w:rPr>
        <w:softHyphen/>
        <w:t>mento delle alte Corti è stato contrastato dal diritto positivo a partire dalle direttive del 2014.</w:t>
      </w:r>
    </w:p>
    <w:p w14:paraId="0B6DCBEA" w14:textId="77777777" w:rsidR="00F7397D" w:rsidRPr="00FD616A" w:rsidRDefault="00F7397D" w:rsidP="005479DA">
      <w:pPr>
        <w:pStyle w:val="Capoverso"/>
        <w:spacing w:line="360" w:lineRule="auto"/>
        <w:contextualSpacing/>
        <w:rPr>
          <w:rFonts w:ascii="Century Schoolbook" w:hAnsi="Century Schoolbook"/>
        </w:rPr>
      </w:pPr>
      <w:r w:rsidRPr="00FD616A">
        <w:rPr>
          <w:rFonts w:ascii="Century Schoolbook" w:hAnsi="Century Schoolbook"/>
        </w:rPr>
        <w:t xml:space="preserve">La «fiducia» che le norme unionali hanno accordato all’istituto sconta forse il solito problema del dover esse atterrare in paesi con diversità non solo di cultura giuridica, ma anche – e ancor prima – di senso diffuso della </w:t>
      </w:r>
      <w:r w:rsidRPr="00FD616A">
        <w:rPr>
          <w:rFonts w:ascii="Century Schoolbook" w:hAnsi="Century Schoolbook"/>
          <w:i/>
          <w:iCs/>
        </w:rPr>
        <w:t xml:space="preserve">res </w:t>
      </w:r>
      <w:proofErr w:type="spellStart"/>
      <w:r w:rsidRPr="00FD616A">
        <w:rPr>
          <w:rFonts w:ascii="Century Schoolbook" w:hAnsi="Century Schoolbook"/>
          <w:i/>
          <w:iCs/>
        </w:rPr>
        <w:t>publica</w:t>
      </w:r>
      <w:proofErr w:type="spellEnd"/>
      <w:r w:rsidRPr="00FD616A">
        <w:rPr>
          <w:rFonts w:ascii="Century Schoolbook" w:hAnsi="Century Schoolbook"/>
        </w:rPr>
        <w:t>.</w:t>
      </w:r>
    </w:p>
    <w:p w14:paraId="0E3494B8" w14:textId="77777777" w:rsidR="00F7397D" w:rsidRPr="00FD616A" w:rsidRDefault="00F7397D" w:rsidP="005479DA">
      <w:pPr>
        <w:pStyle w:val="Capoverso"/>
        <w:spacing w:line="360" w:lineRule="auto"/>
        <w:contextualSpacing/>
        <w:rPr>
          <w:rFonts w:ascii="Century Schoolbook" w:hAnsi="Century Schoolbook"/>
        </w:rPr>
      </w:pPr>
      <w:r w:rsidRPr="00FD616A">
        <w:rPr>
          <w:rFonts w:ascii="Century Schoolbook" w:hAnsi="Century Schoolbook"/>
        </w:rPr>
        <w:t>Non mi sembra infatti casuale che la giurisprudenza della Corte di Giustizia sul tema qui esaminato si sia formata con riferimento a molte questioni italiane: sintomo di una particolare pressione – la Consulta parla di abuso, come dirò</w:t>
      </w:r>
      <w:r w:rsidRPr="00FD616A">
        <w:rPr>
          <w:rStyle w:val="Rimandonotaapidipagina"/>
          <w:rFonts w:ascii="Century Schoolbook" w:hAnsi="Century Schoolbook"/>
        </w:rPr>
        <w:t> </w:t>
      </w:r>
      <w:r w:rsidRPr="00FD616A">
        <w:rPr>
          <w:rStyle w:val="Rimandonotaapidipagina"/>
          <w:rFonts w:ascii="Century Schoolbook" w:hAnsi="Century Schoolbook"/>
        </w:rPr>
        <w:footnoteReference w:id="57"/>
      </w:r>
      <w:r w:rsidRPr="00FD616A">
        <w:rPr>
          <w:rFonts w:ascii="Century Schoolbook" w:hAnsi="Century Schoolbook"/>
        </w:rPr>
        <w:t xml:space="preserve"> – cui </w:t>
      </w:r>
      <w:proofErr w:type="spellStart"/>
      <w:r w:rsidRPr="00FD616A">
        <w:rPr>
          <w:rFonts w:ascii="Century Schoolbook" w:hAnsi="Century Schoolbook"/>
        </w:rPr>
        <w:t>l</w:t>
      </w:r>
      <w:r w:rsidRPr="00FD616A">
        <w:rPr>
          <w:rFonts w:ascii="Century Schoolbook" w:hAnsi="Century Schoolbook"/>
          <w:i/>
          <w:iCs/>
        </w:rPr>
        <w:t>’intra</w:t>
      </w:r>
      <w:proofErr w:type="spellEnd"/>
      <w:r w:rsidRPr="00FD616A">
        <w:rPr>
          <w:rFonts w:ascii="Century Schoolbook" w:hAnsi="Century Schoolbook"/>
          <w:i/>
          <w:iCs/>
        </w:rPr>
        <w:t xml:space="preserve"> </w:t>
      </w:r>
      <w:proofErr w:type="spellStart"/>
      <w:r w:rsidRPr="00FD616A">
        <w:rPr>
          <w:rFonts w:ascii="Century Schoolbook" w:hAnsi="Century Schoolbook"/>
          <w:i/>
          <w:iCs/>
        </w:rPr>
        <w:t>moenia</w:t>
      </w:r>
      <w:proofErr w:type="spellEnd"/>
      <w:r w:rsidRPr="00FD616A">
        <w:rPr>
          <w:rFonts w:ascii="Century Schoolbook" w:hAnsi="Century Schoolbook"/>
        </w:rPr>
        <w:t xml:space="preserve"> è da noi assoggettato.</w:t>
      </w:r>
    </w:p>
    <w:p w14:paraId="123A1FFA" w14:textId="77777777" w:rsidR="00F7397D" w:rsidRPr="00FD616A" w:rsidRDefault="00F7397D" w:rsidP="005479DA">
      <w:pPr>
        <w:pStyle w:val="Capoverso"/>
        <w:widowControl w:val="0"/>
        <w:spacing w:line="360" w:lineRule="auto"/>
        <w:contextualSpacing/>
        <w:rPr>
          <w:rFonts w:ascii="Century Schoolbook" w:hAnsi="Century Schoolbook"/>
        </w:rPr>
      </w:pPr>
      <w:r w:rsidRPr="00FD616A">
        <w:rPr>
          <w:rFonts w:ascii="Century Schoolbook" w:hAnsi="Century Schoolbook"/>
        </w:rPr>
        <w:t xml:space="preserve">Il confronto con il disegno </w:t>
      </w:r>
      <w:proofErr w:type="spellStart"/>
      <w:r w:rsidRPr="00FD616A">
        <w:rPr>
          <w:rFonts w:ascii="Century Schoolbook" w:hAnsi="Century Schoolbook"/>
        </w:rPr>
        <w:t>dell’</w:t>
      </w:r>
      <w:r w:rsidRPr="00FD616A">
        <w:rPr>
          <w:rFonts w:ascii="Century Schoolbook" w:hAnsi="Century Schoolbook"/>
          <w:i/>
          <w:iCs/>
        </w:rPr>
        <w:t>in</w:t>
      </w:r>
      <w:proofErr w:type="spellEnd"/>
      <w:r w:rsidRPr="00FD616A">
        <w:rPr>
          <w:rFonts w:ascii="Century Schoolbook" w:hAnsi="Century Schoolbook"/>
          <w:i/>
          <w:iCs/>
        </w:rPr>
        <w:t xml:space="preserve"> </w:t>
      </w:r>
      <w:proofErr w:type="spellStart"/>
      <w:r w:rsidRPr="00FD616A">
        <w:rPr>
          <w:rFonts w:ascii="Century Schoolbook" w:hAnsi="Century Schoolbook"/>
          <w:i/>
          <w:iCs/>
        </w:rPr>
        <w:t>house</w:t>
      </w:r>
      <w:proofErr w:type="spellEnd"/>
      <w:r w:rsidRPr="00FD616A">
        <w:rPr>
          <w:rFonts w:ascii="Century Schoolbook" w:hAnsi="Century Schoolbook"/>
        </w:rPr>
        <w:t xml:space="preserve"> che emerge da quelle direttive, così come la recezione delle stesse, è connotata da una nostra tendenza a forzarne i limiti, ad allargarne le maglie sino a snaturarne la sostanza e la ragion d’essere.</w:t>
      </w:r>
    </w:p>
    <w:p w14:paraId="5AE97816" w14:textId="77777777" w:rsidR="00F7397D" w:rsidRPr="00FD616A" w:rsidRDefault="00F7397D" w:rsidP="005479DA">
      <w:pPr>
        <w:pStyle w:val="Capoverso"/>
        <w:spacing w:line="360" w:lineRule="auto"/>
        <w:contextualSpacing/>
        <w:rPr>
          <w:rFonts w:ascii="Century Schoolbook" w:hAnsi="Century Schoolbook"/>
        </w:rPr>
      </w:pPr>
      <w:r w:rsidRPr="00FD616A">
        <w:rPr>
          <w:rFonts w:ascii="Century Schoolbook" w:hAnsi="Century Schoolbook"/>
        </w:rPr>
        <w:t xml:space="preserve">Possiamo davvero riferirci oggi a questa figura definendola – senza peccare di ipocrisia – «delegazione interorganica»? O non dovremmo invece prendere </w:t>
      </w:r>
      <w:r w:rsidRPr="00FD616A">
        <w:rPr>
          <w:rFonts w:ascii="Century Schoolbook" w:hAnsi="Century Schoolbook"/>
          <w:spacing w:val="-3"/>
        </w:rPr>
        <w:t>atto di un progressivo allontanamento dallo schema originale, di cui si vanno</w:t>
      </w:r>
      <w:r w:rsidRPr="00FD616A">
        <w:rPr>
          <w:rFonts w:ascii="Century Schoolbook" w:hAnsi="Century Schoolbook"/>
        </w:rPr>
        <w:t xml:space="preserve"> sempre più perdendo i tratti strutturali?</w:t>
      </w:r>
    </w:p>
    <w:p w14:paraId="49B0BBA8" w14:textId="77777777" w:rsidR="00F7397D" w:rsidRPr="00FD616A" w:rsidRDefault="00F7397D" w:rsidP="005479DA">
      <w:pPr>
        <w:pStyle w:val="Capoverso"/>
        <w:spacing w:line="360" w:lineRule="auto"/>
        <w:contextualSpacing/>
        <w:rPr>
          <w:rFonts w:ascii="Century Schoolbook" w:hAnsi="Century Schoolbook"/>
          <w:spacing w:val="-3"/>
        </w:rPr>
      </w:pPr>
      <w:r w:rsidRPr="00FD616A">
        <w:rPr>
          <w:rFonts w:ascii="Century Schoolbook" w:hAnsi="Century Schoolbook"/>
          <w:spacing w:val="-3"/>
        </w:rPr>
        <w:t>Viene il dubbio (una prosa del malumore) che l’</w:t>
      </w:r>
      <w:r w:rsidRPr="00FD616A">
        <w:rPr>
          <w:rFonts w:ascii="Century Schoolbook" w:hAnsi="Century Schoolbook"/>
          <w:i/>
          <w:iCs/>
          <w:spacing w:val="-3"/>
        </w:rPr>
        <w:t>in house</w:t>
      </w:r>
      <w:r w:rsidRPr="00FD616A">
        <w:rPr>
          <w:rFonts w:ascii="Century Schoolbook" w:hAnsi="Century Schoolbook"/>
          <w:spacing w:val="-3"/>
        </w:rPr>
        <w:t xml:space="preserve"> delle direttive sia stato coniato guardando a culture, civiltà e moralità pubbliche diverse dalla nostra.</w:t>
      </w:r>
    </w:p>
    <w:p w14:paraId="1C1C09CE" w14:textId="77777777" w:rsidR="00F7397D" w:rsidRPr="00FD616A" w:rsidRDefault="00F7397D" w:rsidP="005479DA">
      <w:pPr>
        <w:pStyle w:val="Capoverso"/>
        <w:spacing w:line="360" w:lineRule="auto"/>
        <w:contextualSpacing/>
        <w:rPr>
          <w:rFonts w:ascii="Century Schoolbook" w:hAnsi="Century Schoolbook"/>
        </w:rPr>
      </w:pPr>
      <w:r w:rsidRPr="00FD616A">
        <w:rPr>
          <w:rFonts w:ascii="Century Schoolbook" w:hAnsi="Century Schoolbook"/>
        </w:rPr>
        <w:t>Lo slabbramento progressivo dei suoi confini a opera del nostro legislatore mi sembra confermarlo: non saprei come leggere diversamente, per esempio, il citato art. 16, comma 3-</w:t>
      </w:r>
      <w:r w:rsidRPr="00FD616A">
        <w:rPr>
          <w:rFonts w:ascii="Century Schoolbook" w:hAnsi="Century Schoolbook"/>
          <w:i/>
          <w:iCs/>
        </w:rPr>
        <w:t>bis</w:t>
      </w:r>
      <w:r w:rsidRPr="00FD616A">
        <w:rPr>
          <w:rFonts w:ascii="Century Schoolbook" w:hAnsi="Century Schoolbook"/>
        </w:rPr>
        <w:t xml:space="preserve">, T.U. in materia di società a </w:t>
      </w:r>
      <w:r w:rsidRPr="00FD616A">
        <w:rPr>
          <w:rFonts w:ascii="Century Schoolbook" w:hAnsi="Century Schoolbook"/>
        </w:rPr>
        <w:lastRenderedPageBreak/>
        <w:t>partecipazione pubblica. Legittimare il superamento del limite di fatturato al ricorrere di condizioni affatto evanescenti quali il conseguimento di economie di scala o di non meglio definiti «altri recuperi di efficienza sul complesso dell’attività principale della società», a mio avviso significa – lo ribadisco – recidere gli ultimi esili fili che collegano l’ente «controllante» al suo (presunto) organo domestico.</w:t>
      </w:r>
    </w:p>
    <w:p w14:paraId="7AB0DB48" w14:textId="77777777" w:rsidR="00F7397D" w:rsidRPr="00FD616A" w:rsidRDefault="00F7397D" w:rsidP="005479DA">
      <w:pPr>
        <w:pStyle w:val="Capoverso"/>
        <w:spacing w:line="360" w:lineRule="auto"/>
        <w:contextualSpacing/>
        <w:rPr>
          <w:rFonts w:ascii="Century Schoolbook" w:hAnsi="Century Schoolbook"/>
        </w:rPr>
      </w:pPr>
      <w:r w:rsidRPr="00FD616A">
        <w:rPr>
          <w:rFonts w:ascii="Century Schoolbook" w:hAnsi="Century Schoolbook"/>
        </w:rPr>
        <w:t xml:space="preserve">Ecco perché fatico a comprendere coloro che – </w:t>
      </w:r>
      <w:r w:rsidRPr="00FD616A">
        <w:rPr>
          <w:rFonts w:ascii="Century Schoolbook" w:hAnsi="Century Schoolbook"/>
          <w:i/>
          <w:iCs/>
        </w:rPr>
        <w:t>in Italia</w:t>
      </w:r>
      <w:r w:rsidRPr="00FD616A">
        <w:rPr>
          <w:rFonts w:ascii="Century Schoolbook" w:hAnsi="Century Schoolbook"/>
        </w:rPr>
        <w:t xml:space="preserve"> – continuano ad affermare l’</w:t>
      </w:r>
      <w:proofErr w:type="spellStart"/>
      <w:r w:rsidRPr="00FD616A">
        <w:rPr>
          <w:rFonts w:ascii="Century Schoolbook" w:hAnsi="Century Schoolbook"/>
        </w:rPr>
        <w:t>equiordinazione</w:t>
      </w:r>
      <w:proofErr w:type="spellEnd"/>
      <w:r w:rsidRPr="00FD616A">
        <w:rPr>
          <w:rFonts w:ascii="Century Schoolbook" w:hAnsi="Century Schoolbook"/>
        </w:rPr>
        <w:t xml:space="preserve"> </w:t>
      </w:r>
      <w:proofErr w:type="spellStart"/>
      <w:r w:rsidRPr="00FD616A">
        <w:rPr>
          <w:rFonts w:ascii="Century Schoolbook" w:hAnsi="Century Schoolbook"/>
        </w:rPr>
        <w:t>dell’</w:t>
      </w:r>
      <w:r w:rsidRPr="00FD616A">
        <w:rPr>
          <w:rFonts w:ascii="Century Schoolbook" w:hAnsi="Century Schoolbook"/>
          <w:i/>
          <w:iCs/>
        </w:rPr>
        <w:t>intra</w:t>
      </w:r>
      <w:proofErr w:type="spellEnd"/>
      <w:r w:rsidRPr="00FD616A">
        <w:rPr>
          <w:rFonts w:ascii="Century Schoolbook" w:hAnsi="Century Schoolbook"/>
          <w:i/>
          <w:iCs/>
        </w:rPr>
        <w:t xml:space="preserve"> </w:t>
      </w:r>
      <w:proofErr w:type="spellStart"/>
      <w:r w:rsidRPr="00FD616A">
        <w:rPr>
          <w:rFonts w:ascii="Century Schoolbook" w:hAnsi="Century Schoolbook"/>
          <w:i/>
          <w:iCs/>
        </w:rPr>
        <w:t>moenia</w:t>
      </w:r>
      <w:proofErr w:type="spellEnd"/>
      <w:r w:rsidRPr="00FD616A">
        <w:rPr>
          <w:rFonts w:ascii="Century Schoolbook" w:hAnsi="Century Schoolbook"/>
          <w:i/>
          <w:iCs/>
        </w:rPr>
        <w:t xml:space="preserve"> </w:t>
      </w:r>
      <w:r w:rsidRPr="00FD616A">
        <w:rPr>
          <w:rFonts w:ascii="Century Schoolbook" w:hAnsi="Century Schoolbook"/>
        </w:rPr>
        <w:t>rispetto all’</w:t>
      </w:r>
      <w:r w:rsidRPr="00FD616A">
        <w:rPr>
          <w:rFonts w:ascii="Century Schoolbook" w:hAnsi="Century Schoolbook"/>
          <w:i/>
          <w:iCs/>
        </w:rPr>
        <w:t>outsourcing</w:t>
      </w:r>
      <w:r w:rsidRPr="00FD616A">
        <w:rPr>
          <w:rFonts w:ascii="Century Schoolbook" w:hAnsi="Century Schoolbook"/>
        </w:rPr>
        <w:t>.</w:t>
      </w:r>
    </w:p>
    <w:p w14:paraId="6DD942E1" w14:textId="77777777" w:rsidR="00F7397D" w:rsidRPr="00FD616A" w:rsidRDefault="00F7397D" w:rsidP="005479DA">
      <w:pPr>
        <w:pStyle w:val="Capoverso"/>
        <w:spacing w:line="360" w:lineRule="auto"/>
        <w:contextualSpacing/>
        <w:rPr>
          <w:rFonts w:ascii="Century Schoolbook" w:hAnsi="Century Schoolbook" w:cs="Calibri"/>
        </w:rPr>
      </w:pPr>
      <w:r w:rsidRPr="00FD616A">
        <w:rPr>
          <w:rFonts w:ascii="Century Schoolbook" w:hAnsi="Century Schoolbook" w:cs="Calibri"/>
        </w:rPr>
        <w:t>Tesi contrastata per fortuna dalla Consulta, che ha letteralmente salvato l’ob</w:t>
      </w:r>
      <w:r w:rsidRPr="00FD616A">
        <w:rPr>
          <w:rFonts w:ascii="Century Schoolbook" w:hAnsi="Century Schoolbook" w:cs="Calibri"/>
        </w:rPr>
        <w:softHyphen/>
        <w:t>bligo aggravato di motivazione di cui all’art. 192, comma 2, cod. contr.</w:t>
      </w:r>
      <w:r w:rsidRPr="00FD616A">
        <w:rPr>
          <w:rStyle w:val="Rimandonotaapidipagina"/>
          <w:rFonts w:ascii="Century Schoolbook" w:hAnsi="Century Schoolbook" w:cs="Calibri"/>
        </w:rPr>
        <w:t> </w:t>
      </w:r>
      <w:r w:rsidRPr="00FD616A">
        <w:rPr>
          <w:rStyle w:val="Rimandonotaapidipagina"/>
          <w:rFonts w:ascii="Century Schoolbook" w:hAnsi="Century Schoolbook" w:cs="Calibri"/>
        </w:rPr>
        <w:footnoteReference w:id="58"/>
      </w:r>
      <w:r w:rsidRPr="00FD616A">
        <w:rPr>
          <w:rFonts w:ascii="Century Schoolbook" w:hAnsi="Century Schoolbook" w:cs="Calibri"/>
        </w:rPr>
        <w:t xml:space="preserve">: passato indenne anche dal vaglio di compatibilità unionale, allorché la Corte di Giustizia ha recentemente ribadito – pur tenendo </w:t>
      </w:r>
      <w:r w:rsidRPr="00FD616A">
        <w:rPr>
          <w:rFonts w:ascii="Century Schoolbook" w:hAnsi="Century Schoolbook" w:cs="Calibri"/>
        </w:rPr>
        <w:lastRenderedPageBreak/>
        <w:t xml:space="preserve">conto del principio di libera amministrazione – il carattere subordinato </w:t>
      </w:r>
      <w:proofErr w:type="spellStart"/>
      <w:r w:rsidRPr="00FD616A">
        <w:rPr>
          <w:rFonts w:ascii="Century Schoolbook" w:hAnsi="Century Schoolbook" w:cs="Calibri"/>
        </w:rPr>
        <w:t>dell’</w:t>
      </w:r>
      <w:r w:rsidRPr="00FD616A">
        <w:rPr>
          <w:rFonts w:ascii="Century Schoolbook" w:hAnsi="Century Schoolbook" w:cs="Calibri"/>
          <w:i/>
          <w:iCs/>
        </w:rPr>
        <w:t>in</w:t>
      </w:r>
      <w:proofErr w:type="spellEnd"/>
      <w:r w:rsidRPr="00FD616A">
        <w:rPr>
          <w:rFonts w:ascii="Century Schoolbook" w:hAnsi="Century Schoolbook" w:cs="Calibri"/>
          <w:i/>
          <w:iCs/>
        </w:rPr>
        <w:t xml:space="preserve"> </w:t>
      </w:r>
      <w:proofErr w:type="spellStart"/>
      <w:r w:rsidRPr="00FD616A">
        <w:rPr>
          <w:rFonts w:ascii="Century Schoolbook" w:hAnsi="Century Schoolbook" w:cs="Calibri"/>
          <w:i/>
          <w:iCs/>
        </w:rPr>
        <w:t>house</w:t>
      </w:r>
      <w:proofErr w:type="spellEnd"/>
      <w:r w:rsidRPr="00FD616A">
        <w:rPr>
          <w:rStyle w:val="Rimandonotaapidipagina"/>
          <w:rFonts w:ascii="Century Schoolbook" w:hAnsi="Century Schoolbook" w:cs="Calibri"/>
        </w:rPr>
        <w:t> </w:t>
      </w:r>
      <w:r w:rsidRPr="00FD616A">
        <w:rPr>
          <w:rStyle w:val="Rimandonotaapidipagina"/>
          <w:rFonts w:ascii="Century Schoolbook" w:hAnsi="Century Schoolbook" w:cs="Calibri"/>
        </w:rPr>
        <w:footnoteReference w:id="59"/>
      </w:r>
      <w:r w:rsidRPr="00FD616A">
        <w:rPr>
          <w:rFonts w:ascii="Century Schoolbook" w:hAnsi="Century Schoolbook" w:cs="Calibri"/>
        </w:rPr>
        <w:t>.</w:t>
      </w:r>
    </w:p>
    <w:p w14:paraId="03E27DC2" w14:textId="77777777" w:rsidR="00F955BE" w:rsidRDefault="00F7397D" w:rsidP="00F955BE">
      <w:pPr>
        <w:spacing w:after="0" w:line="360" w:lineRule="auto"/>
        <w:contextualSpacing/>
        <w:jc w:val="both"/>
        <w:rPr>
          <w:rFonts w:ascii="Century Schoolbook" w:hAnsi="Century Schoolbook"/>
        </w:rPr>
      </w:pPr>
      <w:r w:rsidRPr="00FD616A">
        <w:rPr>
          <w:rFonts w:ascii="Century Schoolbook" w:hAnsi="Century Schoolbook"/>
        </w:rPr>
        <w:t>Tesi, in somma, condivisibile solo se stessimo parlando di un rapporto assimilabile davvero a quello esistente fra una Pubblica Amministrazione e i «propri servizi»</w:t>
      </w:r>
      <w:r w:rsidRPr="00FD616A">
        <w:rPr>
          <w:rStyle w:val="Rimandonotaapidipagina"/>
          <w:rFonts w:ascii="Century Schoolbook" w:hAnsi="Century Schoolbook"/>
        </w:rPr>
        <w:t> </w:t>
      </w:r>
      <w:r w:rsidRPr="00FD616A">
        <w:rPr>
          <w:rStyle w:val="Rimandonotaapidipagina"/>
          <w:rFonts w:ascii="Century Schoolbook" w:hAnsi="Century Schoolbook"/>
        </w:rPr>
        <w:footnoteReference w:id="60"/>
      </w:r>
      <w:r w:rsidRPr="00FD616A">
        <w:rPr>
          <w:rFonts w:ascii="Century Schoolbook" w:hAnsi="Century Schoolbook"/>
        </w:rPr>
        <w:t xml:space="preserve">, come recita l’ingenuo o troppo ottimista art. 12 della direttiva n. 24. E non – come troppo spesso accade nella realtà </w:t>
      </w:r>
      <w:r w:rsidRPr="00FD616A">
        <w:rPr>
          <w:rFonts w:ascii="Century Schoolbook" w:hAnsi="Century Schoolbook"/>
        </w:rPr>
        <w:lastRenderedPageBreak/>
        <w:t>– di una bimba che vorrebbe tenere al guinzaglio un cagnone tante volte più grande di lei.</w:t>
      </w:r>
      <w:r w:rsidR="00F955BE">
        <w:rPr>
          <w:rFonts w:ascii="Century Schoolbook" w:hAnsi="Century Schoolbook"/>
        </w:rPr>
        <w:t xml:space="preserve"> </w:t>
      </w:r>
    </w:p>
    <w:p w14:paraId="615EF1E9" w14:textId="77777777" w:rsidR="00F955BE" w:rsidRDefault="00F955BE" w:rsidP="00F955BE">
      <w:pPr>
        <w:spacing w:after="0" w:line="360" w:lineRule="auto"/>
        <w:contextualSpacing/>
        <w:jc w:val="right"/>
        <w:rPr>
          <w:rFonts w:ascii="Century Schoolbook" w:hAnsi="Century Schoolbook"/>
        </w:rPr>
      </w:pPr>
    </w:p>
    <w:p w14:paraId="424CA79D" w14:textId="21EECDEE" w:rsidR="00F955BE" w:rsidRPr="00F955BE" w:rsidRDefault="00F955BE" w:rsidP="00F955BE">
      <w:pPr>
        <w:spacing w:after="0" w:line="360" w:lineRule="auto"/>
        <w:contextualSpacing/>
        <w:jc w:val="right"/>
        <w:rPr>
          <w:rFonts w:ascii="Century Schoolbook" w:hAnsi="Century Schoolbook"/>
          <w:b/>
          <w:sz w:val="32"/>
          <w:szCs w:val="32"/>
        </w:rPr>
      </w:pPr>
      <w:r w:rsidRPr="00F955BE">
        <w:rPr>
          <w:rFonts w:ascii="Century Schoolbook" w:hAnsi="Century Schoolbook"/>
          <w:b/>
          <w:sz w:val="32"/>
          <w:szCs w:val="32"/>
        </w:rPr>
        <w:t xml:space="preserve">Pier Luigi </w:t>
      </w:r>
      <w:proofErr w:type="spellStart"/>
      <w:r w:rsidRPr="00F955BE">
        <w:rPr>
          <w:rFonts w:ascii="Century Schoolbook" w:hAnsi="Century Schoolbook"/>
          <w:b/>
          <w:sz w:val="32"/>
          <w:szCs w:val="32"/>
        </w:rPr>
        <w:t>Portaluri</w:t>
      </w:r>
      <w:proofErr w:type="spellEnd"/>
    </w:p>
    <w:p w14:paraId="11C71BC3" w14:textId="77777777" w:rsidR="00F955BE" w:rsidRDefault="00F955BE" w:rsidP="00F955BE">
      <w:pPr>
        <w:spacing w:after="0" w:line="360" w:lineRule="auto"/>
        <w:contextualSpacing/>
        <w:jc w:val="right"/>
        <w:rPr>
          <w:rFonts w:ascii="Century Schoolbook" w:hAnsi="Century Schoolbook"/>
        </w:rPr>
      </w:pPr>
      <w:r w:rsidRPr="00BF1CAF">
        <w:rPr>
          <w:rFonts w:ascii="Century Schoolbook" w:hAnsi="Century Schoolbook"/>
        </w:rPr>
        <w:t xml:space="preserve">Ordinario di Diritto amministrativo </w:t>
      </w:r>
    </w:p>
    <w:p w14:paraId="1E80C6A2" w14:textId="77777777" w:rsidR="00F955BE" w:rsidRDefault="00F955BE" w:rsidP="00F955BE">
      <w:pPr>
        <w:spacing w:after="0" w:line="360" w:lineRule="auto"/>
        <w:contextualSpacing/>
        <w:jc w:val="right"/>
        <w:rPr>
          <w:rFonts w:ascii="Century Schoolbook" w:hAnsi="Century Schoolbook"/>
        </w:rPr>
      </w:pPr>
    </w:p>
    <w:p w14:paraId="4D50F092" w14:textId="77777777" w:rsidR="00F955BE" w:rsidRPr="00BF1CAF" w:rsidRDefault="00F955BE" w:rsidP="00F955BE">
      <w:pPr>
        <w:spacing w:after="0" w:line="360" w:lineRule="auto"/>
        <w:contextualSpacing/>
        <w:jc w:val="right"/>
        <w:rPr>
          <w:rFonts w:ascii="Century Schoolbook" w:hAnsi="Century Schoolbook"/>
        </w:rPr>
      </w:pPr>
      <w:r>
        <w:rPr>
          <w:rFonts w:ascii="Century Schoolbook" w:hAnsi="Century Schoolbook"/>
        </w:rPr>
        <w:t>Pubblico 1° marzo 2022</w:t>
      </w:r>
    </w:p>
    <w:p w14:paraId="68509E33" w14:textId="41E925F2" w:rsidR="00DF0E6C" w:rsidRPr="00FD616A" w:rsidRDefault="00DF0E6C" w:rsidP="005479DA">
      <w:pPr>
        <w:pStyle w:val="Capoverso"/>
        <w:spacing w:line="360" w:lineRule="auto"/>
        <w:contextualSpacing/>
        <w:rPr>
          <w:rFonts w:ascii="Century Schoolbook" w:hAnsi="Century Schoolbook"/>
        </w:rPr>
      </w:pPr>
    </w:p>
    <w:p w14:paraId="4D907166" w14:textId="035CCAB3" w:rsidR="00BF1CAF" w:rsidRPr="00BF1CAF" w:rsidRDefault="00DF0E6C" w:rsidP="00F955BE">
      <w:pPr>
        <w:spacing w:after="0" w:line="360" w:lineRule="auto"/>
        <w:contextualSpacing/>
        <w:jc w:val="right"/>
        <w:rPr>
          <w:rFonts w:ascii="Century Schoolbook" w:hAnsi="Century Schoolbook"/>
        </w:rPr>
      </w:pPr>
      <w:r w:rsidRPr="00FD616A">
        <w:rPr>
          <w:rFonts w:ascii="Century Schoolbook" w:hAnsi="Century Schoolbook"/>
        </w:rPr>
        <w:br w:type="page"/>
      </w:r>
      <w:r w:rsidR="00BF1CAF" w:rsidRPr="00F955BE">
        <w:rPr>
          <w:rFonts w:ascii="Century Schoolbook" w:hAnsi="Century Schoolbook"/>
          <w:b/>
          <w:sz w:val="32"/>
          <w:szCs w:val="32"/>
        </w:rPr>
        <w:lastRenderedPageBreak/>
        <w:t xml:space="preserve"> </w:t>
      </w:r>
    </w:p>
    <w:p w14:paraId="66E41139" w14:textId="77777777" w:rsidR="00BF1CAF" w:rsidRPr="00BF1CAF" w:rsidRDefault="00BF1CAF" w:rsidP="00BF1CAF">
      <w:pPr>
        <w:spacing w:after="0" w:line="360" w:lineRule="auto"/>
        <w:contextualSpacing/>
        <w:rPr>
          <w:rFonts w:ascii="Century Schoolbook" w:hAnsi="Century Schoolbook"/>
        </w:rPr>
      </w:pPr>
      <w:r w:rsidRPr="00BF1CAF">
        <w:rPr>
          <w:rFonts w:ascii="Century Schoolbook" w:hAnsi="Century Schoolbook"/>
        </w:rPr>
        <w:t xml:space="preserve">nel Dipartimento di Scienze Giuridiche - </w:t>
      </w:r>
    </w:p>
    <w:p w14:paraId="6E6EF00A" w14:textId="56759AFC" w:rsidR="00DF0E6C" w:rsidRPr="00FD616A" w:rsidRDefault="00BF1CAF" w:rsidP="00BF1CAF">
      <w:pPr>
        <w:spacing w:after="0" w:line="360" w:lineRule="auto"/>
        <w:contextualSpacing/>
        <w:rPr>
          <w:rFonts w:ascii="Century Schoolbook" w:eastAsia="SimSun" w:hAnsi="Century Schoolbook" w:cs="Times New Roman"/>
          <w:szCs w:val="24"/>
          <w:lang w:eastAsia="hi-IN" w:bidi="hi-IN"/>
        </w:rPr>
      </w:pPr>
      <w:r w:rsidRPr="00BF1CAF">
        <w:rPr>
          <w:rFonts w:ascii="Century Schoolbook" w:hAnsi="Century Schoolbook"/>
        </w:rPr>
        <w:t>Università del Salento</w:t>
      </w:r>
    </w:p>
    <w:p w14:paraId="50865A14" w14:textId="520FBE84" w:rsidR="00DF0E6C" w:rsidRPr="00FD616A" w:rsidRDefault="00DF0E6C" w:rsidP="005479DA">
      <w:pPr>
        <w:pStyle w:val="Testonotaapidipagina"/>
        <w:tabs>
          <w:tab w:val="right" w:pos="7088"/>
        </w:tabs>
        <w:spacing w:before="0" w:line="360" w:lineRule="auto"/>
        <w:ind w:right="567"/>
        <w:contextualSpacing/>
        <w:rPr>
          <w:rFonts w:ascii="Century Schoolbook" w:hAnsi="Century Schoolbook"/>
          <w:sz w:val="19"/>
          <w:szCs w:val="19"/>
        </w:rPr>
      </w:pPr>
      <w:r w:rsidRPr="00FD616A">
        <w:rPr>
          <w:rFonts w:ascii="Century Schoolbook" w:hAnsi="Century Schoolbook"/>
          <w:noProof/>
          <w:sz w:val="19"/>
          <w:szCs w:val="19"/>
          <w:lang w:eastAsia="it-IT" w:bidi="ar-SA"/>
        </w:rPr>
        <mc:AlternateContent>
          <mc:Choice Requires="wps">
            <w:drawing>
              <wp:anchor distT="0" distB="0" distL="114300" distR="114300" simplePos="0" relativeHeight="251659264" behindDoc="0" locked="0" layoutInCell="1" allowOverlap="1" wp14:anchorId="410CA911" wp14:editId="1BC00A33">
                <wp:simplePos x="0" y="0"/>
                <wp:positionH relativeFrom="column">
                  <wp:posOffset>-288452</wp:posOffset>
                </wp:positionH>
                <wp:positionV relativeFrom="paragraph">
                  <wp:posOffset>-540547</wp:posOffset>
                </wp:positionV>
                <wp:extent cx="5124893" cy="489097"/>
                <wp:effectExtent l="0" t="0" r="19050" b="25400"/>
                <wp:wrapNone/>
                <wp:docPr id="1" name="Rettangolo 1"/>
                <wp:cNvGraphicFramePr/>
                <a:graphic xmlns:a="http://schemas.openxmlformats.org/drawingml/2006/main">
                  <a:graphicData uri="http://schemas.microsoft.com/office/word/2010/wordprocessingShape">
                    <wps:wsp>
                      <wps:cNvSpPr/>
                      <wps:spPr>
                        <a:xfrm>
                          <a:off x="0" y="0"/>
                          <a:ext cx="5124893" cy="489097"/>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5DFB4A" id="Rettangolo 1" o:spid="_x0000_s1026" style="position:absolute;margin-left:-22.7pt;margin-top:-42.55pt;width:403.55pt;height:38.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" fillcolor="white [3212]" strokecolor="white [3212]" strokeweight="2pt"/>
            </w:pict>
          </mc:Fallback>
        </mc:AlternateContent>
      </w:r>
    </w:p>
    <w:p w14:paraId="4D3A89C1" w14:textId="77777777" w:rsidR="00DF0E6C" w:rsidRPr="00FD616A" w:rsidRDefault="00DF0E6C" w:rsidP="005479DA">
      <w:pPr>
        <w:pStyle w:val="Testonotaapidipagina"/>
        <w:tabs>
          <w:tab w:val="right" w:pos="7088"/>
        </w:tabs>
        <w:spacing w:before="0" w:line="360" w:lineRule="auto"/>
        <w:ind w:right="567"/>
        <w:contextualSpacing/>
        <w:rPr>
          <w:rFonts w:ascii="Century Schoolbook" w:hAnsi="Century Schoolbook"/>
          <w:sz w:val="19"/>
          <w:szCs w:val="19"/>
        </w:rPr>
      </w:pPr>
    </w:p>
    <w:p w14:paraId="59C39ECF" w14:textId="77777777" w:rsidR="00DF0E6C" w:rsidRPr="00FD616A" w:rsidRDefault="00DF0E6C" w:rsidP="005479DA">
      <w:pPr>
        <w:pStyle w:val="Testonotaapidipagina"/>
        <w:tabs>
          <w:tab w:val="right" w:pos="7088"/>
        </w:tabs>
        <w:spacing w:before="0" w:line="360" w:lineRule="auto"/>
        <w:ind w:right="567"/>
        <w:contextualSpacing/>
        <w:rPr>
          <w:rFonts w:ascii="Century Schoolbook" w:hAnsi="Century Schoolbook"/>
          <w:sz w:val="19"/>
          <w:szCs w:val="19"/>
        </w:rPr>
      </w:pPr>
    </w:p>
    <w:p w14:paraId="40B0420B" w14:textId="77777777" w:rsidR="00DF0E6C" w:rsidRPr="00FD616A" w:rsidRDefault="00DF0E6C" w:rsidP="005479DA">
      <w:pPr>
        <w:pStyle w:val="Testonotaapidipagina"/>
        <w:tabs>
          <w:tab w:val="right" w:pos="7088"/>
        </w:tabs>
        <w:spacing w:before="0" w:line="360" w:lineRule="auto"/>
        <w:ind w:right="567"/>
        <w:contextualSpacing/>
        <w:rPr>
          <w:rFonts w:ascii="Century Schoolbook" w:hAnsi="Century Schoolbook"/>
          <w:sz w:val="19"/>
          <w:szCs w:val="19"/>
        </w:rPr>
      </w:pPr>
    </w:p>
    <w:p w14:paraId="44E2677A" w14:textId="77777777" w:rsidR="00DF0E6C" w:rsidRPr="00FD616A" w:rsidRDefault="00DF0E6C" w:rsidP="005479DA">
      <w:pPr>
        <w:pStyle w:val="Testonotaapidipagina"/>
        <w:tabs>
          <w:tab w:val="right" w:pos="7088"/>
        </w:tabs>
        <w:spacing w:before="0" w:line="360" w:lineRule="auto"/>
        <w:ind w:right="567"/>
        <w:contextualSpacing/>
        <w:rPr>
          <w:rFonts w:ascii="Century Schoolbook" w:hAnsi="Century Schoolbook"/>
          <w:sz w:val="19"/>
          <w:szCs w:val="19"/>
        </w:rPr>
      </w:pPr>
    </w:p>
    <w:p w14:paraId="3CA89819" w14:textId="77777777" w:rsidR="00DF0E6C" w:rsidRPr="00FD616A" w:rsidRDefault="00DF0E6C" w:rsidP="005479DA">
      <w:pPr>
        <w:pStyle w:val="Testonotaapidipagina"/>
        <w:tabs>
          <w:tab w:val="right" w:pos="7088"/>
        </w:tabs>
        <w:spacing w:before="0" w:line="360" w:lineRule="auto"/>
        <w:ind w:right="567"/>
        <w:contextualSpacing/>
        <w:rPr>
          <w:rFonts w:ascii="Century Schoolbook" w:hAnsi="Century Schoolbook"/>
          <w:sz w:val="19"/>
          <w:szCs w:val="19"/>
        </w:rPr>
      </w:pPr>
    </w:p>
    <w:p w14:paraId="2ADFDCB0" w14:textId="77777777" w:rsidR="00DF0E6C" w:rsidRPr="00FD616A" w:rsidRDefault="00DF0E6C" w:rsidP="005479DA">
      <w:pPr>
        <w:pStyle w:val="Testonotaapidipagina"/>
        <w:tabs>
          <w:tab w:val="right" w:pos="7088"/>
        </w:tabs>
        <w:spacing w:before="0" w:line="360" w:lineRule="auto"/>
        <w:ind w:right="567"/>
        <w:contextualSpacing/>
        <w:rPr>
          <w:rFonts w:ascii="Century Schoolbook" w:hAnsi="Century Schoolbook"/>
          <w:sz w:val="19"/>
          <w:szCs w:val="19"/>
        </w:rPr>
      </w:pPr>
    </w:p>
    <w:p w14:paraId="69220B1A" w14:textId="77777777" w:rsidR="00DF0E6C" w:rsidRPr="00FD616A" w:rsidRDefault="00DF0E6C" w:rsidP="005479DA">
      <w:pPr>
        <w:pStyle w:val="Testonotaapidipagina"/>
        <w:tabs>
          <w:tab w:val="right" w:pos="7088"/>
        </w:tabs>
        <w:spacing w:before="0" w:line="360" w:lineRule="auto"/>
        <w:ind w:right="567"/>
        <w:contextualSpacing/>
        <w:rPr>
          <w:rFonts w:ascii="Century Schoolbook" w:hAnsi="Century Schoolbook"/>
          <w:sz w:val="19"/>
          <w:szCs w:val="19"/>
        </w:rPr>
      </w:pPr>
    </w:p>
    <w:p w14:paraId="5A10C301" w14:textId="77777777" w:rsidR="00DF0E6C" w:rsidRPr="00FD616A" w:rsidRDefault="00DF0E6C" w:rsidP="005479DA">
      <w:pPr>
        <w:pStyle w:val="Testonotaapidipagina"/>
        <w:tabs>
          <w:tab w:val="right" w:pos="7088"/>
        </w:tabs>
        <w:spacing w:before="0" w:line="360" w:lineRule="auto"/>
        <w:ind w:right="567"/>
        <w:contextualSpacing/>
        <w:rPr>
          <w:rFonts w:ascii="Century Schoolbook" w:hAnsi="Century Schoolbook"/>
          <w:sz w:val="19"/>
          <w:szCs w:val="19"/>
        </w:rPr>
      </w:pPr>
    </w:p>
    <w:p w14:paraId="5015E00B" w14:textId="77777777" w:rsidR="00DF0E6C" w:rsidRPr="00FD616A" w:rsidRDefault="00DF0E6C" w:rsidP="005479DA">
      <w:pPr>
        <w:pStyle w:val="Testonotaapidipagina"/>
        <w:tabs>
          <w:tab w:val="right" w:pos="7088"/>
        </w:tabs>
        <w:spacing w:before="0" w:line="360" w:lineRule="auto"/>
        <w:ind w:right="567"/>
        <w:contextualSpacing/>
        <w:rPr>
          <w:rFonts w:ascii="Century Schoolbook" w:hAnsi="Century Schoolbook"/>
          <w:sz w:val="19"/>
          <w:szCs w:val="19"/>
        </w:rPr>
      </w:pPr>
    </w:p>
    <w:p w14:paraId="7240E84D" w14:textId="77777777" w:rsidR="00DF0E6C" w:rsidRPr="00FD616A" w:rsidRDefault="00DF0E6C" w:rsidP="005479DA">
      <w:pPr>
        <w:pStyle w:val="Testonotaapidipagina"/>
        <w:tabs>
          <w:tab w:val="right" w:pos="7088"/>
        </w:tabs>
        <w:spacing w:before="0" w:line="360" w:lineRule="auto"/>
        <w:ind w:right="567"/>
        <w:contextualSpacing/>
        <w:rPr>
          <w:rFonts w:ascii="Century Schoolbook" w:hAnsi="Century Schoolbook"/>
          <w:sz w:val="19"/>
          <w:szCs w:val="19"/>
        </w:rPr>
      </w:pPr>
    </w:p>
    <w:p w14:paraId="3F1CB7CD" w14:textId="77777777" w:rsidR="00DF0E6C" w:rsidRPr="00FD616A" w:rsidRDefault="00DF0E6C" w:rsidP="005479DA">
      <w:pPr>
        <w:pStyle w:val="Testonotaapidipagina"/>
        <w:tabs>
          <w:tab w:val="right" w:pos="7088"/>
        </w:tabs>
        <w:spacing w:before="0" w:line="360" w:lineRule="auto"/>
        <w:ind w:right="567"/>
        <w:contextualSpacing/>
        <w:rPr>
          <w:rFonts w:ascii="Century Schoolbook" w:hAnsi="Century Schoolbook"/>
          <w:sz w:val="19"/>
          <w:szCs w:val="19"/>
        </w:rPr>
      </w:pPr>
    </w:p>
    <w:p w14:paraId="4BC4079E" w14:textId="77777777" w:rsidR="00DF0E6C" w:rsidRPr="00FD616A" w:rsidRDefault="00DF0E6C" w:rsidP="005479DA">
      <w:pPr>
        <w:pStyle w:val="Testonotaapidipagina"/>
        <w:tabs>
          <w:tab w:val="right" w:pos="7088"/>
        </w:tabs>
        <w:spacing w:before="0" w:line="360" w:lineRule="auto"/>
        <w:ind w:right="567"/>
        <w:contextualSpacing/>
        <w:rPr>
          <w:rFonts w:ascii="Century Schoolbook" w:hAnsi="Century Schoolbook"/>
          <w:sz w:val="19"/>
          <w:szCs w:val="19"/>
        </w:rPr>
      </w:pPr>
    </w:p>
    <w:p w14:paraId="3A651190" w14:textId="77777777" w:rsidR="00DF0E6C" w:rsidRPr="00FD616A" w:rsidRDefault="00DF0E6C" w:rsidP="005479DA">
      <w:pPr>
        <w:pStyle w:val="Testonotaapidipagina"/>
        <w:tabs>
          <w:tab w:val="right" w:pos="7088"/>
        </w:tabs>
        <w:spacing w:before="0" w:line="360" w:lineRule="auto"/>
        <w:ind w:right="567"/>
        <w:contextualSpacing/>
        <w:rPr>
          <w:rFonts w:ascii="Century Schoolbook" w:hAnsi="Century Schoolbook"/>
          <w:sz w:val="19"/>
          <w:szCs w:val="19"/>
        </w:rPr>
      </w:pPr>
    </w:p>
    <w:p w14:paraId="525FA0FF" w14:textId="77777777" w:rsidR="00DF0E6C" w:rsidRPr="00FD616A" w:rsidRDefault="00DF0E6C" w:rsidP="005479DA">
      <w:pPr>
        <w:pStyle w:val="Testonotaapidipagina"/>
        <w:tabs>
          <w:tab w:val="right" w:pos="7088"/>
        </w:tabs>
        <w:spacing w:before="0" w:line="360" w:lineRule="auto"/>
        <w:ind w:right="567"/>
        <w:contextualSpacing/>
        <w:rPr>
          <w:rFonts w:ascii="Century Schoolbook" w:hAnsi="Century Schoolbook"/>
          <w:sz w:val="19"/>
          <w:szCs w:val="19"/>
        </w:rPr>
      </w:pPr>
    </w:p>
    <w:p w14:paraId="39B02EC1" w14:textId="3348B1F5" w:rsidR="00DF0E6C" w:rsidRPr="00FD616A" w:rsidRDefault="00DF0E6C" w:rsidP="005479DA">
      <w:pPr>
        <w:pStyle w:val="Testonotaapidipagina"/>
        <w:widowControl w:val="0"/>
        <w:tabs>
          <w:tab w:val="right" w:pos="7088"/>
        </w:tabs>
        <w:spacing w:before="0" w:line="360" w:lineRule="auto"/>
        <w:ind w:firstLine="0"/>
        <w:contextualSpacing/>
        <w:jc w:val="center"/>
        <w:rPr>
          <w:rFonts w:ascii="Century Schoolbook" w:hAnsi="Century Schoolbook"/>
          <w:sz w:val="19"/>
          <w:szCs w:val="19"/>
        </w:rPr>
      </w:pPr>
      <w:r w:rsidRPr="00FD616A">
        <w:rPr>
          <w:rFonts w:ascii="Century Schoolbook" w:hAnsi="Century Schoolbook"/>
          <w:sz w:val="19"/>
          <w:szCs w:val="19"/>
        </w:rPr>
        <w:t>Finito di stampare nel mese di febbraio 2022</w:t>
      </w:r>
      <w:r w:rsidRPr="00FD616A">
        <w:rPr>
          <w:rFonts w:ascii="Century Schoolbook" w:hAnsi="Century Schoolbook"/>
          <w:sz w:val="19"/>
          <w:szCs w:val="19"/>
        </w:rPr>
        <w:cr/>
        <w:t xml:space="preserve">nella </w:t>
      </w:r>
      <w:proofErr w:type="spellStart"/>
      <w:r w:rsidRPr="00FD616A">
        <w:rPr>
          <w:rFonts w:ascii="Century Schoolbook" w:hAnsi="Century Schoolbook"/>
          <w:sz w:val="19"/>
          <w:szCs w:val="19"/>
        </w:rPr>
        <w:t>Stampatre</w:t>
      </w:r>
      <w:proofErr w:type="spellEnd"/>
      <w:r w:rsidRPr="00FD616A">
        <w:rPr>
          <w:rFonts w:ascii="Century Schoolbook" w:hAnsi="Century Schoolbook"/>
          <w:sz w:val="19"/>
          <w:szCs w:val="19"/>
        </w:rPr>
        <w:t xml:space="preserve"> s.r.l. di Torino</w:t>
      </w:r>
    </w:p>
    <w:p w14:paraId="36FE6CF8" w14:textId="77777777" w:rsidR="00DF0E6C" w:rsidRPr="00FD616A" w:rsidRDefault="00DF0E6C" w:rsidP="005479DA">
      <w:pPr>
        <w:pStyle w:val="Testonotaapidipagina"/>
        <w:widowControl w:val="0"/>
        <w:tabs>
          <w:tab w:val="right" w:pos="7088"/>
        </w:tabs>
        <w:spacing w:before="0" w:line="360" w:lineRule="auto"/>
        <w:ind w:firstLine="0"/>
        <w:contextualSpacing/>
        <w:jc w:val="center"/>
        <w:rPr>
          <w:rFonts w:ascii="Century Schoolbook" w:hAnsi="Century Schoolbook"/>
          <w:szCs w:val="18"/>
        </w:rPr>
      </w:pPr>
      <w:r w:rsidRPr="00FD616A">
        <w:rPr>
          <w:rFonts w:ascii="Century Schoolbook" w:hAnsi="Century Schoolbook"/>
          <w:sz w:val="19"/>
          <w:szCs w:val="19"/>
        </w:rPr>
        <w:t>Via Bologna, 220</w:t>
      </w:r>
    </w:p>
    <w:p w14:paraId="65D16440" w14:textId="40799ED0" w:rsidR="00DF0E6C" w:rsidRPr="00FD616A" w:rsidRDefault="00DF0E6C" w:rsidP="005479DA">
      <w:pPr>
        <w:spacing w:after="0" w:line="360" w:lineRule="auto"/>
        <w:contextualSpacing/>
        <w:rPr>
          <w:rFonts w:ascii="Century Schoolbook" w:eastAsia="SimSun" w:hAnsi="Century Schoolbook" w:cs="Times New Roman"/>
          <w:szCs w:val="24"/>
          <w:lang w:eastAsia="hi-IN" w:bidi="hi-IN"/>
        </w:rPr>
      </w:pPr>
      <w:r w:rsidRPr="00FD616A">
        <w:rPr>
          <w:rFonts w:ascii="Century Schoolbook" w:hAnsi="Century Schoolbook"/>
        </w:rPr>
        <w:br w:type="page"/>
      </w:r>
    </w:p>
    <w:p w14:paraId="14CE6B1B" w14:textId="48D46F2F" w:rsidR="00F7397D" w:rsidRPr="00FD616A" w:rsidRDefault="00DF0E6C" w:rsidP="005479DA">
      <w:pPr>
        <w:pStyle w:val="Capoverso"/>
        <w:spacing w:line="360" w:lineRule="auto"/>
        <w:contextualSpacing/>
        <w:rPr>
          <w:rFonts w:ascii="Century Schoolbook" w:hAnsi="Century Schoolbook"/>
        </w:rPr>
      </w:pPr>
      <w:r w:rsidRPr="00FD616A">
        <w:rPr>
          <w:rFonts w:ascii="Century Schoolbook" w:hAnsi="Century Schoolbook"/>
          <w:noProof/>
          <w:sz w:val="19"/>
          <w:szCs w:val="19"/>
          <w:lang w:eastAsia="it-IT" w:bidi="ar-SA"/>
        </w:rPr>
        <w:lastRenderedPageBreak/>
        <mc:AlternateContent>
          <mc:Choice Requires="wps">
            <w:drawing>
              <wp:anchor distT="0" distB="0" distL="114300" distR="114300" simplePos="0" relativeHeight="251661312" behindDoc="0" locked="0" layoutInCell="1" allowOverlap="1" wp14:anchorId="18BA306C" wp14:editId="6D0CE6A7">
                <wp:simplePos x="0" y="0"/>
                <wp:positionH relativeFrom="column">
                  <wp:posOffset>-265814</wp:posOffset>
                </wp:positionH>
                <wp:positionV relativeFrom="paragraph">
                  <wp:posOffset>-617324</wp:posOffset>
                </wp:positionV>
                <wp:extent cx="5124893" cy="489097"/>
                <wp:effectExtent l="0" t="0" r="19050" b="25400"/>
                <wp:wrapNone/>
                <wp:docPr id="2" name="Rettangolo 2"/>
                <wp:cNvGraphicFramePr/>
                <a:graphic xmlns:a="http://schemas.openxmlformats.org/drawingml/2006/main">
                  <a:graphicData uri="http://schemas.microsoft.com/office/word/2010/wordprocessingShape">
                    <wps:wsp>
                      <wps:cNvSpPr/>
                      <wps:spPr>
                        <a:xfrm>
                          <a:off x="0" y="0"/>
                          <a:ext cx="5124893" cy="489097"/>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97EAC0" id="Rettangolo 2" o:spid="_x0000_s1026" style="position:absolute;margin-left:-20.95pt;margin-top:-48.6pt;width:403.55pt;height:38.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" fillcolor="white [3212]" strokecolor="white [3212]" strokeweight="2pt"/>
            </w:pict>
          </mc:Fallback>
        </mc:AlternateContent>
      </w:r>
    </w:p>
    <w:sectPr w:rsidR="00F7397D" w:rsidRPr="00FD616A" w:rsidSect="007E1AB1">
      <w:headerReference w:type="even" r:id="rId7"/>
      <w:headerReference w:type="default" r:id="rId8"/>
      <w:footerReference w:type="even" r:id="rId9"/>
      <w:footerReference w:type="default" r:id="rId10"/>
      <w:footnotePr>
        <w:numRestart w:val="eachSect"/>
      </w:footnotePr>
      <w:pgSz w:w="9639" w:h="13608" w:code="152"/>
      <w:pgMar w:top="1588" w:right="1191" w:bottom="1134" w:left="1191" w:header="1021"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A55F8E" w14:textId="77777777" w:rsidR="0002581D" w:rsidRDefault="0002581D" w:rsidP="00E252A4">
      <w:pPr>
        <w:spacing w:after="0" w:line="240" w:lineRule="auto"/>
      </w:pPr>
      <w:r>
        <w:separator/>
      </w:r>
    </w:p>
    <w:p w14:paraId="5E4F8EC5" w14:textId="77777777" w:rsidR="0002581D" w:rsidRDefault="0002581D"/>
  </w:endnote>
  <w:endnote w:type="continuationSeparator" w:id="0">
    <w:p w14:paraId="7F96950D" w14:textId="77777777" w:rsidR="0002581D" w:rsidRDefault="0002581D" w:rsidP="00E252A4">
      <w:pPr>
        <w:spacing w:after="0" w:line="240" w:lineRule="auto"/>
      </w:pPr>
      <w:r>
        <w:continuationSeparator/>
      </w:r>
    </w:p>
    <w:p w14:paraId="4EE10F21" w14:textId="77777777" w:rsidR="0002581D" w:rsidRDefault="000258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Simoncini Garamond Std">
    <w:altName w:val="Cambria"/>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eropagina"/>
      </w:rPr>
      <w:id w:val="1492069090"/>
      <w:docPartObj>
        <w:docPartGallery w:val="Page Numbers (Bottom of Page)"/>
        <w:docPartUnique/>
      </w:docPartObj>
    </w:sdtPr>
    <w:sdtEndPr>
      <w:rPr>
        <w:rStyle w:val="Numeropagina"/>
      </w:rPr>
    </w:sdtEndPr>
    <w:sdtContent>
      <w:p w14:paraId="4A008B85" w14:textId="14FBADDB" w:rsidR="007E1AB1" w:rsidRDefault="007E1AB1" w:rsidP="00C52630">
        <w:pPr>
          <w:pStyle w:val="Pidipagina"/>
          <w:framePr w:wrap="none" w:vAnchor="text" w:hAnchor="margin" w:xAlign="center" w:y="1"/>
          <w:jc w:val="center"/>
          <w:rPr>
            <w:rStyle w:val="Numeropagina"/>
          </w:rPr>
        </w:pPr>
        <w:r>
          <w:rPr>
            <w:rStyle w:val="Numeropagina"/>
          </w:rPr>
          <w:fldChar w:fldCharType="begin"/>
        </w:r>
        <w:r>
          <w:rPr>
            <w:rStyle w:val="Numeropagina"/>
          </w:rPr>
          <w:instrText xml:space="preserve"> PAGE </w:instrText>
        </w:r>
        <w:r>
          <w:rPr>
            <w:rStyle w:val="Numeropagina"/>
          </w:rPr>
          <w:fldChar w:fldCharType="separate"/>
        </w:r>
        <w:r w:rsidR="00A1037C">
          <w:rPr>
            <w:rStyle w:val="Numeropagina"/>
            <w:noProof/>
          </w:rPr>
          <w:t>22</w:t>
        </w:r>
        <w:r>
          <w:rPr>
            <w:rStyle w:val="Numeropagina"/>
          </w:rPr>
          <w:fldChar w:fldCharType="end"/>
        </w:r>
      </w:p>
    </w:sdtContent>
  </w:sdt>
  <w:p w14:paraId="5BD6E30C" w14:textId="3D1994E9" w:rsidR="00FD616A" w:rsidRDefault="00FD616A" w:rsidP="00B105A3">
    <w:pPr>
      <w:pStyle w:val="Pidipagina"/>
      <w:framePr w:wrap="none" w:vAnchor="text" w:hAnchor="margin" w:xAlign="center" w:y="1"/>
      <w:rPr>
        <w:rStyle w:val="Numeropagina"/>
      </w:rPr>
    </w:pPr>
  </w:p>
  <w:p w14:paraId="294BCBD1" w14:textId="77777777" w:rsidR="00FD616A" w:rsidRDefault="00FD616A">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eropagina"/>
      </w:rPr>
      <w:id w:val="4488697"/>
      <w:docPartObj>
        <w:docPartGallery w:val="Page Numbers (Bottom of Page)"/>
        <w:docPartUnique/>
      </w:docPartObj>
    </w:sdtPr>
    <w:sdtEndPr>
      <w:rPr>
        <w:rStyle w:val="Numeropagina"/>
      </w:rPr>
    </w:sdtEndPr>
    <w:sdtContent>
      <w:p w14:paraId="313C4A23" w14:textId="618EF524" w:rsidR="007E1AB1" w:rsidRDefault="007E1AB1" w:rsidP="00C52630">
        <w:pPr>
          <w:pStyle w:val="Pidipagina"/>
          <w:framePr w:wrap="none" w:vAnchor="text" w:hAnchor="margin" w:xAlign="center" w:y="1"/>
          <w:jc w:val="center"/>
          <w:rPr>
            <w:rStyle w:val="Numeropagina"/>
          </w:rPr>
        </w:pPr>
        <w:r>
          <w:rPr>
            <w:rStyle w:val="Numeropagina"/>
          </w:rPr>
          <w:fldChar w:fldCharType="begin"/>
        </w:r>
        <w:r>
          <w:rPr>
            <w:rStyle w:val="Numeropagina"/>
          </w:rPr>
          <w:instrText xml:space="preserve"> PAGE </w:instrText>
        </w:r>
        <w:r>
          <w:rPr>
            <w:rStyle w:val="Numeropagina"/>
          </w:rPr>
          <w:fldChar w:fldCharType="separate"/>
        </w:r>
        <w:r w:rsidR="00A1037C">
          <w:rPr>
            <w:rStyle w:val="Numeropagina"/>
            <w:noProof/>
          </w:rPr>
          <w:t>21</w:t>
        </w:r>
        <w:r>
          <w:rPr>
            <w:rStyle w:val="Numeropagina"/>
          </w:rPr>
          <w:fldChar w:fldCharType="end"/>
        </w:r>
      </w:p>
    </w:sdtContent>
  </w:sdt>
  <w:p w14:paraId="47B56F7B" w14:textId="2FBCD72C" w:rsidR="00FD616A" w:rsidRDefault="00FD616A" w:rsidP="00B105A3">
    <w:pPr>
      <w:pStyle w:val="Pidipagina"/>
      <w:framePr w:wrap="none" w:vAnchor="text" w:hAnchor="margin" w:xAlign="center" w:y="1"/>
      <w:rPr>
        <w:rStyle w:val="Numeropagina"/>
      </w:rPr>
    </w:pPr>
  </w:p>
  <w:p w14:paraId="6509E57A" w14:textId="77777777" w:rsidR="00FD616A" w:rsidRDefault="00FD616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tbl>
      <w:tblPr>
        <w:tblW w:w="1134" w:type="dxa"/>
        <w:tblBorders>
          <w:bottom w:val="single" w:sz="4" w:space="0" w:color="auto"/>
        </w:tblBorders>
        <w:tblLayout w:type="fixed"/>
        <w:tblCellMar>
          <w:left w:w="0" w:type="dxa"/>
          <w:right w:w="0" w:type="dxa"/>
        </w:tblCellMar>
        <w:tblLook w:val="04A0" w:firstRow="1" w:lastRow="0" w:firstColumn="1" w:lastColumn="0" w:noHBand="0" w:noVBand="1"/>
      </w:tblPr>
      <w:tblGrid>
        <w:gridCol w:w="1134"/>
      </w:tblGrid>
      <w:tr w:rsidR="0002581D" w:rsidRPr="00F9275C" w14:paraId="2AEDA382" w14:textId="77777777" w:rsidTr="00AB7F60">
        <w:tc>
          <w:tcPr>
            <w:tcW w:w="7396" w:type="dxa"/>
            <w:shd w:val="clear" w:color="auto" w:fill="auto"/>
          </w:tcPr>
          <w:p w14:paraId="247EAE33" w14:textId="77777777" w:rsidR="0002581D" w:rsidRPr="00F9275C" w:rsidRDefault="0002581D" w:rsidP="007F67ED">
            <w:pPr>
              <w:widowControl w:val="0"/>
              <w:spacing w:after="0" w:line="180" w:lineRule="exact"/>
              <w:rPr>
                <w:rFonts w:ascii="Simoncini Garamond Std" w:hAnsi="Simoncini Garamond Std" w:cs="Arial"/>
                <w:sz w:val="18"/>
                <w:szCs w:val="18"/>
              </w:rPr>
            </w:pPr>
          </w:p>
        </w:tc>
      </w:tr>
    </w:tbl>
    <w:p w14:paraId="79A688EA" w14:textId="77777777" w:rsidR="0002581D" w:rsidRPr="00F9275C" w:rsidRDefault="0002581D" w:rsidP="000933DF">
      <w:pPr>
        <w:spacing w:after="0" w:line="120" w:lineRule="exact"/>
        <w:rPr>
          <w:rFonts w:ascii="Simoncini Garamond Std" w:hAnsi="Simoncini Garamond Std"/>
          <w:sz w:val="12"/>
          <w:szCs w:val="12"/>
        </w:rPr>
      </w:pPr>
    </w:p>
  </w:footnote>
  <w:footnote w:type="continuationSeparator" w:id="0">
    <w:tbl>
      <w:tblPr>
        <w:tblW w:w="1134" w:type="dxa"/>
        <w:tblBorders>
          <w:bottom w:val="single" w:sz="4" w:space="0" w:color="auto"/>
        </w:tblBorders>
        <w:tblLayout w:type="fixed"/>
        <w:tblCellMar>
          <w:left w:w="0" w:type="dxa"/>
          <w:right w:w="0" w:type="dxa"/>
        </w:tblCellMar>
        <w:tblLook w:val="04A0" w:firstRow="1" w:lastRow="0" w:firstColumn="1" w:lastColumn="0" w:noHBand="0" w:noVBand="1"/>
      </w:tblPr>
      <w:tblGrid>
        <w:gridCol w:w="1134"/>
      </w:tblGrid>
      <w:tr w:rsidR="0002581D" w:rsidRPr="004B3FF1" w14:paraId="0759176B" w14:textId="77777777" w:rsidTr="0095193D">
        <w:tc>
          <w:tcPr>
            <w:tcW w:w="7396" w:type="dxa"/>
            <w:shd w:val="clear" w:color="auto" w:fill="auto"/>
          </w:tcPr>
          <w:p w14:paraId="0D22B3D1" w14:textId="77777777" w:rsidR="0002581D" w:rsidRPr="004B3FF1" w:rsidRDefault="0002581D" w:rsidP="007A4605">
            <w:pPr>
              <w:widowControl w:val="0"/>
              <w:spacing w:after="0" w:line="180" w:lineRule="exact"/>
              <w:rPr>
                <w:rFonts w:ascii="Simoncini Garamond Std" w:hAnsi="Simoncini Garamond Std" w:cs="Arial"/>
                <w:sz w:val="18"/>
                <w:szCs w:val="18"/>
              </w:rPr>
            </w:pPr>
          </w:p>
        </w:tc>
      </w:tr>
    </w:tbl>
    <w:p w14:paraId="7FE42A13" w14:textId="77777777" w:rsidR="0002581D" w:rsidRPr="004B3FF1" w:rsidRDefault="0002581D" w:rsidP="007F67ED">
      <w:pPr>
        <w:spacing w:after="0" w:line="120" w:lineRule="exact"/>
        <w:rPr>
          <w:rFonts w:ascii="Simoncini Garamond Std" w:hAnsi="Simoncini Garamond Std"/>
          <w:sz w:val="12"/>
        </w:rPr>
      </w:pPr>
    </w:p>
  </w:footnote>
  <w:footnote w:type="continuationNotice" w:id="1">
    <w:p w14:paraId="7E51FF6A" w14:textId="77777777" w:rsidR="0002581D" w:rsidRPr="00E57774" w:rsidRDefault="0002581D" w:rsidP="007F67ED">
      <w:pPr>
        <w:spacing w:after="0" w:line="20" w:lineRule="exact"/>
        <w:rPr>
          <w:rFonts w:ascii="Simoncini Garamond Std" w:hAnsi="Simoncini Garamond Std"/>
          <w:sz w:val="2"/>
          <w:szCs w:val="2"/>
        </w:rPr>
      </w:pPr>
    </w:p>
  </w:footnote>
  <w:footnote w:id="2">
    <w:p w14:paraId="77D1FED0" w14:textId="5571323A" w:rsidR="00F7397D" w:rsidRPr="00FD616A" w:rsidRDefault="00F7397D">
      <w:pPr>
        <w:pStyle w:val="Testonotaapidipagina"/>
        <w:rPr>
          <w:rFonts w:ascii="Century Schoolbook" w:hAnsi="Century Schoolbook"/>
        </w:rPr>
      </w:pPr>
      <w:r w:rsidRPr="00FD616A">
        <w:rPr>
          <w:rStyle w:val="Rimandonotaapidipagina"/>
          <w:rFonts w:ascii="Century Schoolbook" w:hAnsi="Century Schoolbook"/>
          <w:vertAlign w:val="baseline"/>
        </w:rPr>
        <w:t>*</w:t>
      </w:r>
      <w:r w:rsidR="00E769A1" w:rsidRPr="00FD616A">
        <w:rPr>
          <w:rFonts w:ascii="Century Schoolbook" w:hAnsi="Century Schoolbook"/>
          <w:vertAlign w:val="superscript"/>
        </w:rPr>
        <w:t> </w:t>
      </w:r>
      <w:r w:rsidR="005B033F">
        <w:rPr>
          <w:rFonts w:ascii="Century Schoolbook" w:hAnsi="Century Schoolbook"/>
        </w:rPr>
        <w:t xml:space="preserve">Estratto da </w:t>
      </w:r>
      <w:r w:rsidR="00BF72BF">
        <w:rPr>
          <w:rFonts w:ascii="Century Schoolbook" w:hAnsi="Century Schoolbook"/>
        </w:rPr>
        <w:t xml:space="preserve">A. Marra e M. Ramajoli </w:t>
      </w:r>
      <w:r w:rsidR="005B033F">
        <w:rPr>
          <w:rFonts w:ascii="Century Schoolbook" w:hAnsi="Century Schoolbook"/>
        </w:rPr>
        <w:t xml:space="preserve">(a cura di), </w:t>
      </w:r>
      <w:r w:rsidR="00BF72BF" w:rsidRPr="00BF72BF">
        <w:rPr>
          <w:rFonts w:ascii="Century Schoolbook" w:hAnsi="Century Schoolbook"/>
          <w:i/>
          <w:iCs/>
        </w:rPr>
        <w:t>Università e anticorruzione</w:t>
      </w:r>
      <w:r w:rsidR="00BF72BF">
        <w:rPr>
          <w:rFonts w:ascii="Century Schoolbook" w:hAnsi="Century Schoolbook"/>
        </w:rPr>
        <w:t xml:space="preserve">, </w:t>
      </w:r>
      <w:r w:rsidR="005B033F">
        <w:rPr>
          <w:rFonts w:ascii="Century Schoolbook" w:hAnsi="Century Schoolbook"/>
        </w:rPr>
        <w:t>Torino, Giappichelli, 2022 e destinato a</w:t>
      </w:r>
      <w:r w:rsidRPr="00FD616A">
        <w:rPr>
          <w:rFonts w:ascii="Century Schoolbook" w:hAnsi="Century Schoolbook"/>
        </w:rPr>
        <w:t xml:space="preserve">gli </w:t>
      </w:r>
      <w:r w:rsidRPr="00FD616A">
        <w:rPr>
          <w:rFonts w:ascii="Century Schoolbook" w:hAnsi="Century Schoolbook"/>
          <w:i/>
          <w:iCs/>
        </w:rPr>
        <w:t>Scritti in onore di Giuseppe Franco Ferrari</w:t>
      </w:r>
      <w:r w:rsidRPr="00FD616A">
        <w:rPr>
          <w:rFonts w:ascii="Century Schoolbook" w:hAnsi="Century Schoolbook"/>
        </w:rPr>
        <w:t>.</w:t>
      </w:r>
      <w:r w:rsidR="00BF72BF">
        <w:rPr>
          <w:rFonts w:ascii="Century Schoolbook" w:hAnsi="Century Schoolbook"/>
        </w:rPr>
        <w:t xml:space="preserve"> Ringrazio molto i curatori e l’editore per averne consentito la pubblicazione </w:t>
      </w:r>
      <w:r w:rsidR="00086C7A">
        <w:rPr>
          <w:rFonts w:ascii="Century Schoolbook" w:hAnsi="Century Schoolbook"/>
        </w:rPr>
        <w:t>qui</w:t>
      </w:r>
      <w:r w:rsidR="00BF72BF">
        <w:rPr>
          <w:rFonts w:ascii="Century Schoolbook" w:hAnsi="Century Schoolbook"/>
        </w:rPr>
        <w:t>.</w:t>
      </w:r>
    </w:p>
  </w:footnote>
  <w:footnote w:id="3">
    <w:p w14:paraId="26744429" w14:textId="77777777" w:rsidR="00F7397D" w:rsidRPr="00FD616A" w:rsidRDefault="00F7397D" w:rsidP="00D22A38">
      <w:pPr>
        <w:pStyle w:val="Testonotaapidipagina"/>
        <w:rPr>
          <w:rFonts w:ascii="Century Schoolbook" w:hAnsi="Century Schoolbook"/>
        </w:rPr>
      </w:pPr>
      <w:r w:rsidRPr="00FD616A">
        <w:rPr>
          <w:rStyle w:val="Rimandonotaapidipagina"/>
          <w:rFonts w:ascii="Century Schoolbook" w:hAnsi="Century Schoolbook"/>
          <w:szCs w:val="18"/>
        </w:rPr>
        <w:footnoteRef/>
      </w:r>
      <w:r w:rsidRPr="00FD616A">
        <w:rPr>
          <w:rFonts w:ascii="Century Schoolbook" w:hAnsi="Century Schoolbook"/>
          <w:vertAlign w:val="superscript"/>
        </w:rPr>
        <w:t> </w:t>
      </w:r>
      <w:r w:rsidRPr="00FD616A">
        <w:rPr>
          <w:rFonts w:ascii="Century Schoolbook" w:hAnsi="Century Schoolbook"/>
        </w:rPr>
        <w:t xml:space="preserve">Sul quale la panoramica di G.F. </w:t>
      </w:r>
      <w:r w:rsidRPr="00FD616A">
        <w:rPr>
          <w:rFonts w:ascii="Century Schoolbook" w:hAnsi="Century Schoolbook"/>
          <w:smallCaps/>
        </w:rPr>
        <w:t>Ferrari</w:t>
      </w:r>
      <w:r w:rsidRPr="00FD616A">
        <w:rPr>
          <w:rFonts w:ascii="Century Schoolbook" w:hAnsi="Century Schoolbook"/>
        </w:rPr>
        <w:t xml:space="preserve">, </w:t>
      </w:r>
      <w:r w:rsidRPr="00FD616A">
        <w:rPr>
          <w:rFonts w:ascii="Century Schoolbook" w:hAnsi="Century Schoolbook"/>
          <w:i/>
          <w:iCs/>
        </w:rPr>
        <w:t xml:space="preserve">Le nuove direttive appalti e la disciplina </w:t>
      </w:r>
      <w:proofErr w:type="spellStart"/>
      <w:r w:rsidRPr="00FD616A">
        <w:rPr>
          <w:rFonts w:ascii="Century Schoolbook" w:hAnsi="Century Schoolbook"/>
          <w:i/>
          <w:iCs/>
        </w:rPr>
        <w:t>dell’</w:t>
      </w:r>
      <w:r w:rsidRPr="00FD616A">
        <w:rPr>
          <w:rFonts w:ascii="Century Schoolbook" w:hAnsi="Century Schoolbook"/>
        </w:rPr>
        <w:t>in</w:t>
      </w:r>
      <w:proofErr w:type="spellEnd"/>
      <w:r w:rsidRPr="00FD616A">
        <w:rPr>
          <w:rFonts w:ascii="Century Schoolbook" w:hAnsi="Century Schoolbook"/>
        </w:rPr>
        <w:t xml:space="preserve"> </w:t>
      </w:r>
      <w:proofErr w:type="spellStart"/>
      <w:r w:rsidRPr="00FD616A">
        <w:rPr>
          <w:rFonts w:ascii="Century Schoolbook" w:hAnsi="Century Schoolbook"/>
        </w:rPr>
        <w:t>house</w:t>
      </w:r>
      <w:proofErr w:type="spellEnd"/>
      <w:r w:rsidRPr="00FD616A">
        <w:rPr>
          <w:rFonts w:ascii="Century Schoolbook" w:hAnsi="Century Schoolbook"/>
        </w:rPr>
        <w:t xml:space="preserve"> </w:t>
      </w:r>
      <w:proofErr w:type="spellStart"/>
      <w:r w:rsidRPr="00FD616A">
        <w:rPr>
          <w:rFonts w:ascii="Century Schoolbook" w:hAnsi="Century Schoolbook"/>
        </w:rPr>
        <w:t>providing</w:t>
      </w:r>
      <w:proofErr w:type="spellEnd"/>
      <w:r w:rsidRPr="00FD616A">
        <w:rPr>
          <w:rFonts w:ascii="Century Schoolbook" w:hAnsi="Century Schoolbook"/>
        </w:rPr>
        <w:t xml:space="preserve">, relazione al convegno dell’università di Milano-Bocconi del 14 maggio 2015 su </w:t>
      </w:r>
      <w:r w:rsidRPr="00FD616A">
        <w:rPr>
          <w:rFonts w:ascii="Century Schoolbook" w:hAnsi="Century Schoolbook"/>
          <w:i/>
          <w:iCs/>
        </w:rPr>
        <w:t xml:space="preserve">Le </w:t>
      </w:r>
      <w:r w:rsidRPr="00FD616A">
        <w:rPr>
          <w:rFonts w:ascii="Century Schoolbook" w:hAnsi="Century Schoolbook"/>
          <w:i/>
          <w:iCs/>
          <w:spacing w:val="-2"/>
        </w:rPr>
        <w:t>nuove Direttive appalti e il loro recepimento</w:t>
      </w:r>
      <w:r w:rsidRPr="00FD616A">
        <w:rPr>
          <w:rFonts w:ascii="Century Schoolbook" w:hAnsi="Century Schoolbook"/>
          <w:spacing w:val="-2"/>
        </w:rPr>
        <w:t>, in http://www.osservatorioappalti.unitn.it/viewFile.do?</w:t>
      </w:r>
      <w:r w:rsidRPr="00FD616A">
        <w:rPr>
          <w:rFonts w:ascii="Century Schoolbook" w:hAnsi="Century Schoolbook"/>
          <w:spacing w:val="-2"/>
        </w:rPr>
        <w:br/>
      </w:r>
      <w:r w:rsidRPr="00FD616A">
        <w:rPr>
          <w:rFonts w:ascii="Century Schoolbook" w:hAnsi="Century Schoolbook"/>
        </w:rPr>
        <w:t>id=1434726164229&amp;dataId=8088&amp;filename=Testo.pdf.</w:t>
      </w:r>
    </w:p>
  </w:footnote>
  <w:footnote w:id="4">
    <w:p w14:paraId="556798E2" w14:textId="0858A085" w:rsidR="00F7397D" w:rsidRPr="00FD616A" w:rsidRDefault="00F7397D" w:rsidP="00D22A38">
      <w:pPr>
        <w:pStyle w:val="Testonotaapidipagina"/>
        <w:rPr>
          <w:rFonts w:ascii="Century Schoolbook" w:hAnsi="Century Schoolbook"/>
        </w:rPr>
      </w:pPr>
      <w:r w:rsidRPr="00FD616A">
        <w:rPr>
          <w:rStyle w:val="Rimandonotaapidipagina"/>
          <w:rFonts w:ascii="Century Schoolbook" w:hAnsi="Century Schoolbook"/>
          <w:szCs w:val="18"/>
        </w:rPr>
        <w:footnoteRef/>
      </w:r>
      <w:r w:rsidRPr="00FD616A">
        <w:rPr>
          <w:rFonts w:ascii="Century Schoolbook" w:hAnsi="Century Schoolbook"/>
          <w:vertAlign w:val="superscript"/>
        </w:rPr>
        <w:t> </w:t>
      </w:r>
      <w:r w:rsidRPr="00FD616A">
        <w:rPr>
          <w:rFonts w:ascii="Century Schoolbook" w:hAnsi="Century Schoolbook"/>
        </w:rPr>
        <w:t xml:space="preserve">A. </w:t>
      </w:r>
      <w:r w:rsidRPr="00FD616A">
        <w:rPr>
          <w:rFonts w:ascii="Century Schoolbook" w:hAnsi="Century Schoolbook"/>
          <w:smallCaps/>
        </w:rPr>
        <w:t>Marra</w:t>
      </w:r>
      <w:r w:rsidRPr="00FD616A">
        <w:rPr>
          <w:rFonts w:ascii="Century Schoolbook" w:hAnsi="Century Schoolbook"/>
        </w:rPr>
        <w:t xml:space="preserve">, </w:t>
      </w:r>
      <w:r w:rsidRPr="00FD616A">
        <w:rPr>
          <w:rFonts w:ascii="Century Schoolbook" w:hAnsi="Century Schoolbook"/>
          <w:i/>
          <w:iCs/>
        </w:rPr>
        <w:t>Introduzione</w:t>
      </w:r>
      <w:r w:rsidRPr="00FD616A">
        <w:rPr>
          <w:rFonts w:ascii="Century Schoolbook" w:hAnsi="Century Schoolbook"/>
        </w:rPr>
        <w:t xml:space="preserve">, in </w:t>
      </w:r>
      <w:r w:rsidRPr="00FD616A">
        <w:rPr>
          <w:rFonts w:ascii="Century Schoolbook" w:hAnsi="Century Schoolbook"/>
          <w:smallCaps/>
        </w:rPr>
        <w:t>Id</w:t>
      </w:r>
      <w:r w:rsidRPr="00FD616A">
        <w:rPr>
          <w:rFonts w:ascii="Century Schoolbook" w:hAnsi="Century Schoolbook"/>
        </w:rPr>
        <w:t xml:space="preserve">. (a cura di), </w:t>
      </w:r>
      <w:r w:rsidRPr="00FD616A">
        <w:rPr>
          <w:rFonts w:ascii="Century Schoolbook" w:hAnsi="Century Schoolbook"/>
          <w:i/>
          <w:iCs/>
        </w:rPr>
        <w:t>Il diritto delle università nella giurisprudenza a dieci anni dalla legge n. 240/2010</w:t>
      </w:r>
      <w:r w:rsidRPr="00FD616A">
        <w:rPr>
          <w:rFonts w:ascii="Century Schoolbook" w:hAnsi="Century Schoolbook"/>
        </w:rPr>
        <w:t>, Torino, 2020, p. 1 ss.: «non vi è profilo ormai, in ambito universitario, che non venga deciso, in ultima istanza, in sede giurisdizionale, segno inequivocabile che l’intero sistema si trova in una situazione patologica e di tensione permanente» (p. 2). E ancora: «il processo davanti al giudice è sempre il terminale di un conflitto che ha radici altrove e quindi occorre chiedersi quali siano le cause profonde di esso. […] il sistema universitario sta via via perdendo i caratteri di un sistema e sempre più assumendo i tratti di un «mercato» nel quale i soggetti che in esso operano si trovano in costante competizione tra loro sia per ciò che concerne l’attrattività degli studenti sia per l’ottenimento dei finanziamenti statali o derivanti dalle attività di ricerca su commissione» (p. 7 s.).</w:t>
      </w:r>
    </w:p>
  </w:footnote>
  <w:footnote w:id="5">
    <w:p w14:paraId="0260F497" w14:textId="77777777" w:rsidR="00F7397D" w:rsidRPr="00FD616A" w:rsidRDefault="00F7397D" w:rsidP="00D22A38">
      <w:pPr>
        <w:pStyle w:val="Testonotaapidipagina"/>
        <w:rPr>
          <w:rFonts w:ascii="Century Schoolbook" w:hAnsi="Century Schoolbook"/>
        </w:rPr>
      </w:pPr>
      <w:r w:rsidRPr="00FD616A">
        <w:rPr>
          <w:rStyle w:val="Rimandonotaapidipagina"/>
          <w:rFonts w:ascii="Century Schoolbook" w:hAnsi="Century Schoolbook"/>
          <w:szCs w:val="18"/>
        </w:rPr>
        <w:footnoteRef/>
      </w:r>
      <w:r w:rsidRPr="00FD616A">
        <w:rPr>
          <w:rFonts w:ascii="Century Schoolbook" w:hAnsi="Century Schoolbook"/>
          <w:vertAlign w:val="superscript"/>
        </w:rPr>
        <w:t> </w:t>
      </w:r>
      <w:r w:rsidRPr="00FD616A">
        <w:rPr>
          <w:rFonts w:ascii="Century Schoolbook" w:hAnsi="Century Schoolbook"/>
        </w:rPr>
        <w:t xml:space="preserve">Su cui è utile consultare M. </w:t>
      </w:r>
      <w:r w:rsidRPr="00FD616A">
        <w:rPr>
          <w:rFonts w:ascii="Century Schoolbook" w:hAnsi="Century Schoolbook"/>
          <w:smallCaps/>
        </w:rPr>
        <w:t>Lavatelli</w:t>
      </w:r>
      <w:r w:rsidRPr="00FD616A">
        <w:rPr>
          <w:rFonts w:ascii="Century Schoolbook" w:hAnsi="Century Schoolbook"/>
        </w:rPr>
        <w:t xml:space="preserve">, </w:t>
      </w:r>
      <w:r w:rsidRPr="00FD616A">
        <w:rPr>
          <w:rFonts w:ascii="Century Schoolbook" w:hAnsi="Century Schoolbook"/>
          <w:i/>
          <w:iCs/>
        </w:rPr>
        <w:t>L’università e il ricorso alle forme privatistiche</w:t>
      </w:r>
      <w:r w:rsidRPr="00FD616A">
        <w:rPr>
          <w:rFonts w:ascii="Century Schoolbook" w:hAnsi="Century Schoolbook"/>
        </w:rPr>
        <w:t xml:space="preserve">, in A. </w:t>
      </w:r>
      <w:r w:rsidRPr="00FD616A">
        <w:rPr>
          <w:rFonts w:ascii="Century Schoolbook" w:hAnsi="Century Schoolbook"/>
          <w:smallCaps/>
        </w:rPr>
        <w:t>Marra</w:t>
      </w:r>
      <w:r w:rsidRPr="00FD616A">
        <w:rPr>
          <w:rFonts w:ascii="Century Schoolbook" w:hAnsi="Century Schoolbook"/>
        </w:rPr>
        <w:t xml:space="preserve"> (a cura di), </w:t>
      </w:r>
      <w:r w:rsidRPr="00FD616A">
        <w:rPr>
          <w:rFonts w:ascii="Century Schoolbook" w:hAnsi="Century Schoolbook"/>
          <w:i/>
          <w:iCs/>
        </w:rPr>
        <w:t>Il diritto delle università nella giurisprudenza</w:t>
      </w:r>
      <w:r w:rsidRPr="00FD616A">
        <w:rPr>
          <w:rFonts w:ascii="Century Schoolbook" w:hAnsi="Century Schoolbook"/>
        </w:rPr>
        <w:t>, cit., p. 133 ss., spec. p. 147 ss.</w:t>
      </w:r>
    </w:p>
  </w:footnote>
  <w:footnote w:id="6">
    <w:p w14:paraId="5C93FA34" w14:textId="77777777" w:rsidR="00F7397D" w:rsidRPr="00FD616A" w:rsidRDefault="00F7397D" w:rsidP="00D22A38">
      <w:pPr>
        <w:pStyle w:val="Testonotaapidipagina"/>
        <w:rPr>
          <w:rFonts w:ascii="Century Schoolbook" w:hAnsi="Century Schoolbook"/>
        </w:rPr>
      </w:pPr>
      <w:r w:rsidRPr="00FD616A">
        <w:rPr>
          <w:rStyle w:val="Rimandonotaapidipagina"/>
          <w:rFonts w:ascii="Century Schoolbook" w:hAnsi="Century Schoolbook"/>
          <w:szCs w:val="18"/>
        </w:rPr>
        <w:footnoteRef/>
      </w:r>
      <w:r w:rsidRPr="00FD616A">
        <w:rPr>
          <w:rFonts w:ascii="Century Schoolbook" w:hAnsi="Century Schoolbook"/>
          <w:vertAlign w:val="superscript"/>
        </w:rPr>
        <w:t> </w:t>
      </w:r>
      <w:r w:rsidRPr="00FD616A">
        <w:rPr>
          <w:rFonts w:ascii="Century Schoolbook" w:hAnsi="Century Schoolbook"/>
        </w:rPr>
        <w:t>V. più avanti.</w:t>
      </w:r>
    </w:p>
  </w:footnote>
  <w:footnote w:id="7">
    <w:p w14:paraId="33F28352" w14:textId="77777777" w:rsidR="00F7397D" w:rsidRPr="00FD616A" w:rsidRDefault="00F7397D" w:rsidP="00D22A38">
      <w:pPr>
        <w:pStyle w:val="Testonotaapidipagina"/>
        <w:rPr>
          <w:rFonts w:ascii="Century Schoolbook" w:hAnsi="Century Schoolbook"/>
        </w:rPr>
      </w:pPr>
      <w:r w:rsidRPr="00FD616A">
        <w:rPr>
          <w:rStyle w:val="Rimandonotaapidipagina"/>
          <w:rFonts w:ascii="Century Schoolbook" w:hAnsi="Century Schoolbook"/>
          <w:szCs w:val="18"/>
        </w:rPr>
        <w:footnoteRef/>
      </w:r>
      <w:r w:rsidRPr="00FD616A">
        <w:rPr>
          <w:rFonts w:ascii="Century Schoolbook" w:hAnsi="Century Schoolbook"/>
          <w:vertAlign w:val="superscript"/>
        </w:rPr>
        <w:t> </w:t>
      </w:r>
      <w:r w:rsidRPr="00FD616A">
        <w:rPr>
          <w:rFonts w:ascii="Century Schoolbook" w:hAnsi="Century Schoolbook"/>
        </w:rPr>
        <w:t>Cfr. la vicenda decisa da Cons. Stato, sez. VI, 22 ottobre 2018, n. 6009, relativa al finanziamento per l’anno 2015.</w:t>
      </w:r>
    </w:p>
  </w:footnote>
  <w:footnote w:id="8">
    <w:p w14:paraId="79A4B6E1" w14:textId="77777777" w:rsidR="00F7397D" w:rsidRPr="00FD616A" w:rsidRDefault="00F7397D" w:rsidP="00D22A38">
      <w:pPr>
        <w:pStyle w:val="Testonotaapidipagina"/>
        <w:rPr>
          <w:rFonts w:ascii="Century Schoolbook" w:hAnsi="Century Schoolbook"/>
        </w:rPr>
      </w:pPr>
      <w:r w:rsidRPr="00FD616A">
        <w:rPr>
          <w:rStyle w:val="Rimandonotaapidipagina"/>
          <w:rFonts w:ascii="Century Schoolbook" w:hAnsi="Century Schoolbook"/>
          <w:szCs w:val="18"/>
        </w:rPr>
        <w:footnoteRef/>
      </w:r>
      <w:r w:rsidRPr="00FD616A">
        <w:rPr>
          <w:rFonts w:ascii="Century Schoolbook" w:hAnsi="Century Schoolbook"/>
          <w:vertAlign w:val="superscript"/>
        </w:rPr>
        <w:t> </w:t>
      </w:r>
      <w:r w:rsidRPr="00FD616A">
        <w:rPr>
          <w:rFonts w:ascii="Century Schoolbook" w:hAnsi="Century Schoolbook"/>
        </w:rPr>
        <w:t xml:space="preserve">Stipulata il 9 luglio 2020, è oggi leggibile all’indirizzo </w:t>
      </w:r>
      <w:r w:rsidRPr="00FD616A">
        <w:rPr>
          <w:rFonts w:ascii="Century Schoolbook" w:hAnsi="Century Schoolbook"/>
          <w:szCs w:val="18"/>
        </w:rPr>
        <w:t>https://www.miur.gov.it/documents/</w:t>
      </w:r>
      <w:r w:rsidRPr="00FD616A">
        <w:rPr>
          <w:rFonts w:ascii="Century Schoolbook" w:hAnsi="Century Schoolbook"/>
          <w:szCs w:val="18"/>
        </w:rPr>
        <w:br/>
        <w:t>20182/2432359/convenzione-signed.pdf/2d2f3bf1-93e9-4e4b-3b29-5fa3965d0c8b?version=1.0&amp;t</w:t>
      </w:r>
      <w:r w:rsidRPr="00FD616A">
        <w:rPr>
          <w:rFonts w:ascii="Century Schoolbook" w:hAnsi="Century Schoolbook"/>
          <w:szCs w:val="18"/>
        </w:rPr>
        <w:br/>
        <w:t>=1600161540023</w:t>
      </w:r>
      <w:r w:rsidRPr="00FD616A">
        <w:rPr>
          <w:rFonts w:ascii="Century Schoolbook" w:hAnsi="Century Schoolbook"/>
        </w:rPr>
        <w:t>. L’atto concerne il periodo 1° gennaio 2020 – 31 dicembre 2022 e prevede un importo massimo complessivo di circa 48 milioni di euro (inclusa l’Iva).</w:t>
      </w:r>
    </w:p>
  </w:footnote>
  <w:footnote w:id="9">
    <w:p w14:paraId="3F08CAA0" w14:textId="77777777" w:rsidR="00F7397D" w:rsidRPr="00FD616A" w:rsidRDefault="00F7397D" w:rsidP="00D22A38">
      <w:pPr>
        <w:pStyle w:val="Testonotaapidipagina"/>
        <w:rPr>
          <w:rFonts w:ascii="Century Schoolbook" w:hAnsi="Century Schoolbook"/>
        </w:rPr>
      </w:pPr>
      <w:r w:rsidRPr="00FD616A">
        <w:rPr>
          <w:rStyle w:val="Rimandonotaapidipagina"/>
          <w:rFonts w:ascii="Century Schoolbook" w:hAnsi="Century Schoolbook"/>
          <w:szCs w:val="18"/>
        </w:rPr>
        <w:footnoteRef/>
      </w:r>
      <w:r w:rsidRPr="00FD616A">
        <w:rPr>
          <w:rFonts w:ascii="Century Schoolbook" w:hAnsi="Century Schoolbook"/>
          <w:vertAlign w:val="superscript"/>
        </w:rPr>
        <w:t> </w:t>
      </w:r>
      <w:r w:rsidRPr="00FD616A">
        <w:rPr>
          <w:rFonts w:ascii="Century Schoolbook" w:hAnsi="Century Schoolbook"/>
        </w:rPr>
        <w:t>Il decreto approvativo della convenzione, datato 21 luglio 2020, si può adesso consultare integralmente all’indirizzo</w:t>
      </w:r>
      <w:r w:rsidRPr="00FD616A">
        <w:rPr>
          <w:rFonts w:ascii="Century Schoolbook" w:hAnsi="Century Schoolbook"/>
          <w:i/>
          <w:iCs/>
        </w:rPr>
        <w:t xml:space="preserve"> </w:t>
      </w:r>
      <w:r w:rsidRPr="00FD616A">
        <w:rPr>
          <w:rFonts w:ascii="Century Schoolbook" w:hAnsi="Century Schoolbook"/>
        </w:rPr>
        <w:t>https://www.miur.gov.it/documents/20182/2432359/m_pi.AOODPPR.</w:t>
      </w:r>
      <w:r w:rsidRPr="00FD616A">
        <w:rPr>
          <w:rFonts w:ascii="Century Schoolbook" w:hAnsi="Century Schoolbook"/>
        </w:rPr>
        <w:br/>
      </w:r>
      <w:r w:rsidRPr="00FD616A">
        <w:rPr>
          <w:rFonts w:ascii="Century Schoolbook" w:hAnsi="Century Schoolbook"/>
          <w:spacing w:val="-2"/>
        </w:rPr>
        <w:t>REGISTRO+DECRETI+DIPARTIMENTALI%28R%29.0000038.21-07-2020.pdf/33bef31f-</w:t>
      </w:r>
      <w:r w:rsidRPr="00FD616A">
        <w:rPr>
          <w:rFonts w:ascii="Century Schoolbook" w:hAnsi="Century Schoolbook"/>
        </w:rPr>
        <w:t>3720-</w:t>
      </w:r>
      <w:r w:rsidRPr="00FD616A">
        <w:rPr>
          <w:rFonts w:ascii="Century Schoolbook" w:hAnsi="Century Schoolbook"/>
        </w:rPr>
        <w:br/>
        <w:t>19c7-dc6c-03d9fcd5c04f?version=1.0&amp;t=1600161540549.</w:t>
      </w:r>
    </w:p>
  </w:footnote>
  <w:footnote w:id="10">
    <w:p w14:paraId="4F5243C0" w14:textId="77777777" w:rsidR="00F7397D" w:rsidRPr="00FD616A" w:rsidRDefault="00F7397D" w:rsidP="00D22A38">
      <w:pPr>
        <w:pStyle w:val="Testonotaapidipagina"/>
        <w:rPr>
          <w:rFonts w:ascii="Century Schoolbook" w:hAnsi="Century Schoolbook"/>
        </w:rPr>
      </w:pPr>
      <w:r w:rsidRPr="00FD616A">
        <w:rPr>
          <w:rStyle w:val="Rimandonotaapidipagina"/>
          <w:rFonts w:ascii="Century Schoolbook" w:hAnsi="Century Schoolbook"/>
          <w:szCs w:val="18"/>
        </w:rPr>
        <w:footnoteRef/>
      </w:r>
      <w:r w:rsidRPr="00FD616A">
        <w:rPr>
          <w:rFonts w:ascii="Century Schoolbook" w:hAnsi="Century Schoolbook"/>
          <w:vertAlign w:val="superscript"/>
        </w:rPr>
        <w:t> </w:t>
      </w:r>
      <w:r w:rsidRPr="00FD616A">
        <w:rPr>
          <w:rFonts w:ascii="Century Schoolbook" w:hAnsi="Century Schoolbook"/>
        </w:rPr>
        <w:t>Anche la letteratura ha offerto contributi di rilievo: strada facendo ne incontreremo alcuni.</w:t>
      </w:r>
    </w:p>
  </w:footnote>
  <w:footnote w:id="11">
    <w:p w14:paraId="21FDFE9C" w14:textId="77777777" w:rsidR="00F7397D" w:rsidRPr="00FD616A" w:rsidRDefault="00F7397D" w:rsidP="00D22A38">
      <w:pPr>
        <w:pStyle w:val="Testonotaapidipagina"/>
        <w:rPr>
          <w:rFonts w:ascii="Century Schoolbook" w:hAnsi="Century Schoolbook"/>
        </w:rPr>
      </w:pPr>
      <w:r w:rsidRPr="00FD616A">
        <w:rPr>
          <w:rStyle w:val="Rimandonotaapidipagina"/>
          <w:rFonts w:ascii="Century Schoolbook" w:hAnsi="Century Schoolbook"/>
          <w:szCs w:val="18"/>
        </w:rPr>
        <w:footnoteRef/>
      </w:r>
      <w:r w:rsidRPr="00FD616A">
        <w:rPr>
          <w:rFonts w:ascii="Century Schoolbook" w:hAnsi="Century Schoolbook"/>
          <w:vertAlign w:val="superscript"/>
        </w:rPr>
        <w:t> </w:t>
      </w:r>
      <w:r w:rsidRPr="00FD616A">
        <w:rPr>
          <w:rFonts w:ascii="Century Schoolbook" w:hAnsi="Century Schoolbook"/>
        </w:rPr>
        <w:t xml:space="preserve">Con nota </w:t>
      </w:r>
      <w:proofErr w:type="gramStart"/>
      <w:r w:rsidRPr="00FD616A">
        <w:rPr>
          <w:rFonts w:ascii="Century Schoolbook" w:hAnsi="Century Schoolbook"/>
        </w:rPr>
        <w:t>C(</w:t>
      </w:r>
      <w:proofErr w:type="gramEnd"/>
      <w:r w:rsidRPr="00FD616A">
        <w:rPr>
          <w:rFonts w:ascii="Century Schoolbook" w:hAnsi="Century Schoolbook"/>
        </w:rPr>
        <w:t>2021) 1270 del 1° marzo 2021 la Commissione europea ha informato il nostro paese della sua decisione di avviare il procedimento di cui all’art. 108, par. 2, TFUE, avendo essa ritenuto «in via provvisoria che le misure a favore del Cineca equivalgano a una concessione di aiuti di Stato da parte dell’Italia ai sensi dell’articolo 107, paragrafo 1, del TFUE. La Commissione nutre dubbi riguardo alla compatibilità dell’aiuto di Stato con il mercato interno».</w:t>
      </w:r>
    </w:p>
  </w:footnote>
  <w:footnote w:id="12">
    <w:p w14:paraId="281D62B1" w14:textId="77777777" w:rsidR="00F7397D" w:rsidRPr="00FD616A" w:rsidRDefault="00F7397D" w:rsidP="00D22A38">
      <w:pPr>
        <w:pStyle w:val="Testonotaapidipagina"/>
        <w:rPr>
          <w:rFonts w:ascii="Century Schoolbook" w:hAnsi="Century Schoolbook"/>
        </w:rPr>
      </w:pPr>
      <w:r w:rsidRPr="00FD616A">
        <w:rPr>
          <w:rStyle w:val="Rimandonotaapidipagina"/>
          <w:rFonts w:ascii="Century Schoolbook" w:hAnsi="Century Schoolbook"/>
          <w:szCs w:val="18"/>
        </w:rPr>
        <w:footnoteRef/>
      </w:r>
      <w:r w:rsidRPr="00FD616A">
        <w:rPr>
          <w:rFonts w:ascii="Century Schoolbook" w:hAnsi="Century Schoolbook"/>
          <w:vertAlign w:val="superscript"/>
        </w:rPr>
        <w:t> </w:t>
      </w:r>
      <w:r w:rsidRPr="00FD616A">
        <w:rPr>
          <w:rFonts w:ascii="Century Schoolbook" w:hAnsi="Century Schoolbook"/>
        </w:rPr>
        <w:t xml:space="preserve">Stabiliti dalla Corte di Giustizia nei casi </w:t>
      </w:r>
      <w:proofErr w:type="spellStart"/>
      <w:r w:rsidRPr="00FD616A">
        <w:rPr>
          <w:rFonts w:ascii="Century Schoolbook" w:hAnsi="Century Schoolbook"/>
          <w:i/>
          <w:iCs/>
        </w:rPr>
        <w:t>Teckal</w:t>
      </w:r>
      <w:proofErr w:type="spellEnd"/>
      <w:r w:rsidRPr="00FD616A">
        <w:rPr>
          <w:rFonts w:ascii="Century Schoolbook" w:hAnsi="Century Schoolbook"/>
        </w:rPr>
        <w:t xml:space="preserve">, </w:t>
      </w:r>
      <w:proofErr w:type="spellStart"/>
      <w:r w:rsidRPr="00FD616A">
        <w:rPr>
          <w:rFonts w:ascii="Century Schoolbook" w:hAnsi="Century Schoolbook"/>
          <w:i/>
          <w:iCs/>
        </w:rPr>
        <w:t>Stadt</w:t>
      </w:r>
      <w:proofErr w:type="spellEnd"/>
      <w:r w:rsidRPr="00FD616A">
        <w:rPr>
          <w:rFonts w:ascii="Century Schoolbook" w:hAnsi="Century Schoolbook"/>
        </w:rPr>
        <w:t xml:space="preserve"> </w:t>
      </w:r>
      <w:r w:rsidRPr="00FD616A">
        <w:rPr>
          <w:rFonts w:ascii="Century Schoolbook" w:hAnsi="Century Schoolbook"/>
          <w:i/>
          <w:iCs/>
        </w:rPr>
        <w:t>Halle</w:t>
      </w:r>
      <w:r w:rsidRPr="00FD616A">
        <w:rPr>
          <w:rFonts w:ascii="Century Schoolbook" w:hAnsi="Century Schoolbook"/>
        </w:rPr>
        <w:t xml:space="preserve"> ed </w:t>
      </w:r>
      <w:r w:rsidRPr="00FD616A">
        <w:rPr>
          <w:rFonts w:ascii="Century Schoolbook" w:hAnsi="Century Schoolbook"/>
          <w:i/>
          <w:iCs/>
        </w:rPr>
        <w:t>Econord</w:t>
      </w:r>
      <w:r w:rsidRPr="00FD616A">
        <w:rPr>
          <w:rFonts w:ascii="Century Schoolbook" w:hAnsi="Century Schoolbook"/>
        </w:rPr>
        <w:t>.</w:t>
      </w:r>
    </w:p>
  </w:footnote>
  <w:footnote w:id="13">
    <w:p w14:paraId="0A5FE6BD" w14:textId="77777777" w:rsidR="00F7397D" w:rsidRPr="00FD616A" w:rsidRDefault="00F7397D" w:rsidP="00D22A38">
      <w:pPr>
        <w:pStyle w:val="Testonotaapidipagina"/>
        <w:rPr>
          <w:rFonts w:ascii="Century Schoolbook" w:hAnsi="Century Schoolbook"/>
        </w:rPr>
      </w:pPr>
      <w:r w:rsidRPr="00FD616A">
        <w:rPr>
          <w:rStyle w:val="Rimandonotaapidipagina"/>
          <w:rFonts w:ascii="Century Schoolbook" w:hAnsi="Century Schoolbook"/>
          <w:szCs w:val="18"/>
        </w:rPr>
        <w:footnoteRef/>
      </w:r>
      <w:r w:rsidRPr="00FD616A">
        <w:rPr>
          <w:rFonts w:ascii="Century Schoolbook" w:hAnsi="Century Schoolbook"/>
          <w:vertAlign w:val="superscript"/>
        </w:rPr>
        <w:t> </w:t>
      </w:r>
      <w:r w:rsidRPr="00FD616A">
        <w:rPr>
          <w:rFonts w:ascii="Century Schoolbook" w:hAnsi="Century Schoolbook"/>
        </w:rPr>
        <w:t>Regolato oggi dall’art. 5, comma 1, lett. a), cod. contr. e dall’art. 2, comma 1, lett. c), T.U. in materia di società a partecipazione pubblica.</w:t>
      </w:r>
    </w:p>
    <w:p w14:paraId="1C238A3F" w14:textId="77777777" w:rsidR="00F7397D" w:rsidRPr="00FD616A" w:rsidRDefault="00F7397D" w:rsidP="00306832">
      <w:pPr>
        <w:pStyle w:val="Testonotaapidipagina"/>
        <w:spacing w:before="0"/>
        <w:rPr>
          <w:rFonts w:ascii="Century Schoolbook" w:hAnsi="Century Schoolbook"/>
        </w:rPr>
      </w:pPr>
      <w:r w:rsidRPr="00FD616A">
        <w:rPr>
          <w:rFonts w:ascii="Century Schoolbook" w:hAnsi="Century Schoolbook"/>
        </w:rPr>
        <w:t xml:space="preserve">Qui posso solo ricordare le Linee guida ANAC n. 7/2017 e – chiusasi nel marzo di quest’anno 2021 – la consultazione pubblica </w:t>
      </w:r>
      <w:r w:rsidRPr="00FD616A">
        <w:rPr>
          <w:rFonts w:ascii="Century Schoolbook" w:hAnsi="Century Schoolbook"/>
          <w:i/>
          <w:iCs/>
        </w:rPr>
        <w:t>online</w:t>
      </w:r>
      <w:r w:rsidRPr="00FD616A">
        <w:rPr>
          <w:rFonts w:ascii="Century Schoolbook" w:hAnsi="Century Schoolbook"/>
        </w:rPr>
        <w:t xml:space="preserve"> indetta sempre dall’Autorità anticorruzione sulle Linee guida recanti «Indicazioni in materia di affidamenti </w:t>
      </w:r>
      <w:r w:rsidRPr="00FD616A">
        <w:rPr>
          <w:rFonts w:ascii="Century Schoolbook" w:hAnsi="Century Schoolbook"/>
          <w:i/>
          <w:iCs/>
        </w:rPr>
        <w:t>in house</w:t>
      </w:r>
      <w:r w:rsidRPr="00FD616A">
        <w:rPr>
          <w:rFonts w:ascii="Century Schoolbook" w:hAnsi="Century Schoolbook"/>
        </w:rPr>
        <w:t xml:space="preserve"> di contratti aventi ad oggetto servizi disponibili sul mercato in regime di concorrenza ai sensi dell’articolo 192, comma 2, del decreto legislativo 18 aprile 2016 n. 50 e s.m.i.».</w:t>
      </w:r>
    </w:p>
  </w:footnote>
  <w:footnote w:id="14">
    <w:p w14:paraId="1A7B6576" w14:textId="77777777" w:rsidR="00F7397D" w:rsidRPr="00FD616A" w:rsidRDefault="00F7397D" w:rsidP="00D22A38">
      <w:pPr>
        <w:pStyle w:val="Testonotaapidipagina"/>
        <w:rPr>
          <w:rFonts w:ascii="Century Schoolbook" w:hAnsi="Century Schoolbook"/>
        </w:rPr>
      </w:pPr>
      <w:r w:rsidRPr="00FD616A">
        <w:rPr>
          <w:rStyle w:val="Rimandonotaapidipagina"/>
          <w:rFonts w:ascii="Century Schoolbook" w:hAnsi="Century Schoolbook"/>
          <w:spacing w:val="-2"/>
          <w:szCs w:val="18"/>
        </w:rPr>
        <w:footnoteRef/>
      </w:r>
      <w:r w:rsidRPr="00FD616A">
        <w:rPr>
          <w:rFonts w:ascii="Century Schoolbook" w:hAnsi="Century Schoolbook"/>
          <w:spacing w:val="-2"/>
          <w:vertAlign w:val="superscript"/>
        </w:rPr>
        <w:t> </w:t>
      </w:r>
      <w:r w:rsidRPr="00FD616A">
        <w:rPr>
          <w:rFonts w:ascii="Century Schoolbook" w:hAnsi="Century Schoolbook"/>
          <w:spacing w:val="-2"/>
        </w:rPr>
        <w:t xml:space="preserve">Di cui all’art. 2, comma 1, lett. d), T.U. in materia di società a partecipazione pubblica e all’art. 5, comma 5, cod. contr.; le modalità </w:t>
      </w:r>
      <w:proofErr w:type="spellStart"/>
      <w:r w:rsidRPr="00FD616A">
        <w:rPr>
          <w:rFonts w:ascii="Century Schoolbook" w:hAnsi="Century Schoolbook"/>
          <w:spacing w:val="-2"/>
        </w:rPr>
        <w:t>articolative</w:t>
      </w:r>
      <w:proofErr w:type="spellEnd"/>
      <w:r w:rsidRPr="00FD616A">
        <w:rPr>
          <w:rFonts w:ascii="Century Schoolbook" w:hAnsi="Century Schoolbook"/>
          <w:spacing w:val="-2"/>
        </w:rPr>
        <w:t xml:space="preserve"> del controllo frazionato sono indicate dal successivo</w:t>
      </w:r>
      <w:r w:rsidRPr="00FD616A">
        <w:rPr>
          <w:rFonts w:ascii="Century Schoolbook" w:hAnsi="Century Schoolbook"/>
        </w:rPr>
        <w:t xml:space="preserve"> art. 16, comma 2, il quale alla lett. c) prevede la possibilità di concludere patti parasociali.</w:t>
      </w:r>
    </w:p>
  </w:footnote>
  <w:footnote w:id="15">
    <w:p w14:paraId="0AF019CA" w14:textId="77777777" w:rsidR="00F7397D" w:rsidRPr="00FD616A" w:rsidRDefault="00F7397D" w:rsidP="00D22A38">
      <w:pPr>
        <w:pStyle w:val="Testonotaapidipagina"/>
        <w:rPr>
          <w:rFonts w:ascii="Century Schoolbook" w:hAnsi="Century Schoolbook"/>
        </w:rPr>
      </w:pPr>
      <w:r w:rsidRPr="00FD616A">
        <w:rPr>
          <w:rStyle w:val="Rimandonotaapidipagina"/>
          <w:rFonts w:ascii="Century Schoolbook" w:hAnsi="Century Schoolbook"/>
          <w:szCs w:val="18"/>
        </w:rPr>
        <w:footnoteRef/>
      </w:r>
      <w:r w:rsidRPr="00FD616A">
        <w:rPr>
          <w:rFonts w:ascii="Century Schoolbook" w:hAnsi="Century Schoolbook"/>
          <w:vertAlign w:val="superscript"/>
        </w:rPr>
        <w:t> </w:t>
      </w:r>
      <w:r w:rsidRPr="00FD616A">
        <w:rPr>
          <w:rFonts w:ascii="Century Schoolbook" w:hAnsi="Century Schoolbook"/>
        </w:rPr>
        <w:t>Art. 5, comma 1, lett. b), cod. contr. e art. 16, comma 3, T.U. in materia di società a partecipazione pubblica. Da ricordare, per la sua capacità potenzialmente eversiva, il successivo comma 3-</w:t>
      </w:r>
      <w:r w:rsidRPr="00FD616A">
        <w:rPr>
          <w:rFonts w:ascii="Century Schoolbook" w:hAnsi="Century Schoolbook"/>
          <w:i/>
          <w:iCs/>
        </w:rPr>
        <w:t>bis</w:t>
      </w:r>
      <w:r w:rsidRPr="00FD616A">
        <w:rPr>
          <w:rFonts w:ascii="Century Schoolbook" w:hAnsi="Century Schoolbook"/>
        </w:rPr>
        <w:t>, secondo cui «La produzione ulteriore rispetto al limite di fatturato di cui al comma 3, che può essere rivolta anche a finalità diverse, è consentita solo a condizione che la stessa permetta di conseguire economie di scala o altri recuperi di efficienza sul complesso dell’attività principale della società»: a me pare una porta spalancata per legittimare la vocazione commerciale dell’orga</w:t>
      </w:r>
      <w:r w:rsidRPr="00FD616A">
        <w:rPr>
          <w:rFonts w:ascii="Century Schoolbook" w:hAnsi="Century Schoolbook"/>
        </w:rPr>
        <w:softHyphen/>
        <w:t xml:space="preserve">nismo </w:t>
      </w:r>
      <w:r w:rsidRPr="00FD616A">
        <w:rPr>
          <w:rFonts w:ascii="Century Schoolbook" w:hAnsi="Century Schoolbook"/>
          <w:i/>
          <w:iCs/>
        </w:rPr>
        <w:t>intra moenia</w:t>
      </w:r>
      <w:r w:rsidRPr="00FD616A">
        <w:rPr>
          <w:rFonts w:ascii="Century Schoolbook" w:hAnsi="Century Schoolbook"/>
        </w:rPr>
        <w:t>. Poiché la norma non trova copertura nelle direttive del 2014, direi che si va sempre più configurando l’</w:t>
      </w:r>
      <w:r w:rsidRPr="00FD616A">
        <w:rPr>
          <w:rFonts w:ascii="Century Schoolbook" w:hAnsi="Century Schoolbook"/>
          <w:i/>
          <w:iCs/>
        </w:rPr>
        <w:t xml:space="preserve">in house </w:t>
      </w:r>
      <w:r w:rsidRPr="00FD616A">
        <w:rPr>
          <w:rFonts w:ascii="Century Schoolbook" w:hAnsi="Century Schoolbook"/>
        </w:rPr>
        <w:t xml:space="preserve">all’italiana, cioè fittizio. V. anche A. </w:t>
      </w:r>
      <w:r w:rsidRPr="00FD616A">
        <w:rPr>
          <w:rFonts w:ascii="Century Schoolbook" w:hAnsi="Century Schoolbook"/>
          <w:smallCaps/>
        </w:rPr>
        <w:t>Sinatra</w:t>
      </w:r>
      <w:r w:rsidRPr="00FD616A">
        <w:rPr>
          <w:rFonts w:ascii="Century Schoolbook" w:hAnsi="Century Schoolbook"/>
        </w:rPr>
        <w:t xml:space="preserve">, </w:t>
      </w:r>
      <w:r w:rsidRPr="00FD616A">
        <w:rPr>
          <w:rFonts w:ascii="Century Schoolbook" w:hAnsi="Century Schoolbook"/>
          <w:i/>
          <w:iCs/>
        </w:rPr>
        <w:t>Commento al</w:t>
      </w:r>
      <w:r w:rsidRPr="00FD616A">
        <w:rPr>
          <w:rFonts w:ascii="Century Schoolbook" w:hAnsi="Century Schoolbook"/>
          <w:i/>
          <w:iCs/>
        </w:rPr>
        <w:softHyphen/>
        <w:t>l’art. 5</w:t>
      </w:r>
      <w:r w:rsidRPr="00FD616A">
        <w:rPr>
          <w:rFonts w:ascii="Century Schoolbook" w:hAnsi="Century Schoolbook"/>
        </w:rPr>
        <w:t>,</w:t>
      </w:r>
      <w:r w:rsidRPr="00FD616A">
        <w:rPr>
          <w:rFonts w:ascii="Century Schoolbook" w:hAnsi="Century Schoolbook"/>
          <w:i/>
          <w:iCs/>
        </w:rPr>
        <w:t xml:space="preserve"> </w:t>
      </w:r>
      <w:r w:rsidRPr="00FD616A">
        <w:rPr>
          <w:rFonts w:ascii="Century Schoolbook" w:hAnsi="Century Schoolbook"/>
        </w:rPr>
        <w:t xml:space="preserve">in R. </w:t>
      </w:r>
      <w:r w:rsidRPr="00FD616A">
        <w:rPr>
          <w:rFonts w:ascii="Century Schoolbook" w:hAnsi="Century Schoolbook"/>
          <w:smallCaps/>
        </w:rPr>
        <w:t>Garofoli-</w:t>
      </w:r>
      <w:r w:rsidRPr="00FD616A">
        <w:rPr>
          <w:rFonts w:ascii="Century Schoolbook" w:hAnsi="Century Schoolbook"/>
        </w:rPr>
        <w:t xml:space="preserve">G. </w:t>
      </w:r>
      <w:r w:rsidRPr="00FD616A">
        <w:rPr>
          <w:rFonts w:ascii="Century Schoolbook" w:hAnsi="Century Schoolbook"/>
          <w:smallCaps/>
        </w:rPr>
        <w:t>Ferrari</w:t>
      </w:r>
      <w:r w:rsidRPr="00FD616A">
        <w:rPr>
          <w:rFonts w:ascii="Century Schoolbook" w:hAnsi="Century Schoolbook"/>
        </w:rPr>
        <w:t xml:space="preserve"> (a cura di), </w:t>
      </w:r>
      <w:r w:rsidRPr="00FD616A">
        <w:rPr>
          <w:rFonts w:ascii="Century Schoolbook" w:hAnsi="Century Schoolbook"/>
          <w:i/>
          <w:iCs/>
        </w:rPr>
        <w:t>Codice dei contratti pubblici</w:t>
      </w:r>
      <w:r w:rsidRPr="00FD616A">
        <w:rPr>
          <w:rFonts w:ascii="Century Schoolbook" w:hAnsi="Century Schoolbook"/>
        </w:rPr>
        <w:t>, Molfetta, 2017, p. 219 ss., spec. p. 229.</w:t>
      </w:r>
    </w:p>
  </w:footnote>
  <w:footnote w:id="16">
    <w:p w14:paraId="381A1D85" w14:textId="77777777" w:rsidR="00F7397D" w:rsidRPr="00FD616A" w:rsidRDefault="00F7397D" w:rsidP="00D22A38">
      <w:pPr>
        <w:pStyle w:val="Testonotaapidipagina"/>
        <w:rPr>
          <w:rFonts w:ascii="Century Schoolbook" w:hAnsi="Century Schoolbook"/>
        </w:rPr>
      </w:pPr>
      <w:r w:rsidRPr="00FD616A">
        <w:rPr>
          <w:rStyle w:val="Rimandonotaapidipagina"/>
          <w:rFonts w:ascii="Century Schoolbook" w:hAnsi="Century Schoolbook"/>
          <w:szCs w:val="18"/>
        </w:rPr>
        <w:footnoteRef/>
      </w:r>
      <w:r w:rsidRPr="00FD616A">
        <w:rPr>
          <w:rFonts w:ascii="Century Schoolbook" w:hAnsi="Century Schoolbook"/>
          <w:vertAlign w:val="superscript"/>
        </w:rPr>
        <w:t> </w:t>
      </w:r>
      <w:r w:rsidRPr="00FD616A">
        <w:rPr>
          <w:rFonts w:ascii="Century Schoolbook" w:hAnsi="Century Schoolbook"/>
        </w:rPr>
        <w:t>Eccezioni confermate dall’art. 5, comma 1, lett. c), cod. contr. nonché dall’art. 16, comma 1, T.U. in materia di società a partecipazione pubblica.</w:t>
      </w:r>
    </w:p>
  </w:footnote>
  <w:footnote w:id="17">
    <w:p w14:paraId="5CEB4790" w14:textId="77777777" w:rsidR="00F7397D" w:rsidRPr="00FD616A" w:rsidRDefault="00F7397D" w:rsidP="00D22A38">
      <w:pPr>
        <w:pStyle w:val="Testonotaapidipagina"/>
        <w:rPr>
          <w:rFonts w:ascii="Century Schoolbook" w:hAnsi="Century Schoolbook"/>
        </w:rPr>
      </w:pPr>
      <w:r w:rsidRPr="00FD616A">
        <w:rPr>
          <w:rStyle w:val="Rimandonotaapidipagina"/>
          <w:rFonts w:ascii="Century Schoolbook" w:hAnsi="Century Schoolbook"/>
          <w:szCs w:val="18"/>
        </w:rPr>
        <w:footnoteRef/>
      </w:r>
      <w:r w:rsidRPr="00FD616A">
        <w:rPr>
          <w:rFonts w:ascii="Century Schoolbook" w:hAnsi="Century Schoolbook"/>
          <w:vertAlign w:val="superscript"/>
        </w:rPr>
        <w:t> </w:t>
      </w:r>
      <w:r w:rsidRPr="00FD616A">
        <w:rPr>
          <w:rFonts w:ascii="Century Schoolbook" w:hAnsi="Century Schoolbook"/>
        </w:rPr>
        <w:t>Cons. Stato, sez. VI, 26 maggio 2015, n. 2660.</w:t>
      </w:r>
    </w:p>
  </w:footnote>
  <w:footnote w:id="18">
    <w:p w14:paraId="49254DC2" w14:textId="27513510" w:rsidR="00F7397D" w:rsidRPr="00FD616A" w:rsidRDefault="00F7397D" w:rsidP="00D22A38">
      <w:pPr>
        <w:pStyle w:val="Testonotaapidipagina"/>
        <w:rPr>
          <w:rFonts w:ascii="Century Schoolbook" w:hAnsi="Century Schoolbook"/>
        </w:rPr>
      </w:pPr>
      <w:r w:rsidRPr="00FD616A">
        <w:rPr>
          <w:rStyle w:val="Rimandonotaapidipagina"/>
          <w:rFonts w:ascii="Century Schoolbook" w:hAnsi="Century Schoolbook"/>
          <w:szCs w:val="18"/>
        </w:rPr>
        <w:footnoteRef/>
      </w:r>
      <w:r w:rsidRPr="00FD616A">
        <w:rPr>
          <w:rFonts w:ascii="Century Schoolbook" w:hAnsi="Century Schoolbook"/>
          <w:vertAlign w:val="superscript"/>
        </w:rPr>
        <w:t> </w:t>
      </w:r>
      <w:r w:rsidRPr="00FD616A">
        <w:rPr>
          <w:rFonts w:ascii="Century Schoolbook" w:hAnsi="Century Schoolbook"/>
        </w:rPr>
        <w:t xml:space="preserve">Ma come osserva G.F. </w:t>
      </w:r>
      <w:r w:rsidRPr="00FD616A">
        <w:rPr>
          <w:rFonts w:ascii="Century Schoolbook" w:hAnsi="Century Schoolbook"/>
          <w:smallCaps/>
        </w:rPr>
        <w:t>Ferrari</w:t>
      </w:r>
      <w:r w:rsidRPr="00FD616A">
        <w:rPr>
          <w:rFonts w:ascii="Century Schoolbook" w:hAnsi="Century Schoolbook"/>
        </w:rPr>
        <w:t xml:space="preserve">, </w:t>
      </w:r>
      <w:r w:rsidRPr="00FD616A">
        <w:rPr>
          <w:rFonts w:ascii="Century Schoolbook" w:hAnsi="Century Schoolbook"/>
          <w:i/>
          <w:iCs/>
        </w:rPr>
        <w:t>Le nuove direttive appalti</w:t>
      </w:r>
      <w:r w:rsidRPr="00FD616A">
        <w:rPr>
          <w:rFonts w:ascii="Century Schoolbook" w:hAnsi="Century Schoolbook"/>
        </w:rPr>
        <w:t xml:space="preserve">, cit., «la totale partecipazione pubblica costituisce la regola aurea </w:t>
      </w:r>
      <w:proofErr w:type="spellStart"/>
      <w:r w:rsidRPr="00FD616A">
        <w:rPr>
          <w:rFonts w:ascii="Century Schoolbook" w:hAnsi="Century Schoolbook"/>
        </w:rPr>
        <w:t>dell’</w:t>
      </w:r>
      <w:r w:rsidRPr="00FD616A">
        <w:rPr>
          <w:rFonts w:ascii="Century Schoolbook" w:hAnsi="Century Schoolbook"/>
          <w:i/>
          <w:iCs/>
        </w:rPr>
        <w:t>in</w:t>
      </w:r>
      <w:proofErr w:type="spellEnd"/>
      <w:r w:rsidRPr="00FD616A">
        <w:rPr>
          <w:rFonts w:ascii="Century Schoolbook" w:hAnsi="Century Schoolbook"/>
          <w:i/>
          <w:iCs/>
        </w:rPr>
        <w:t xml:space="preserve"> </w:t>
      </w:r>
      <w:proofErr w:type="spellStart"/>
      <w:r w:rsidRPr="00FD616A">
        <w:rPr>
          <w:rFonts w:ascii="Century Schoolbook" w:hAnsi="Century Schoolbook"/>
          <w:i/>
          <w:iCs/>
        </w:rPr>
        <w:t>house</w:t>
      </w:r>
      <w:proofErr w:type="spellEnd"/>
      <w:r w:rsidRPr="00FD616A">
        <w:rPr>
          <w:rFonts w:ascii="Century Schoolbook" w:hAnsi="Century Schoolbook"/>
        </w:rPr>
        <w:t xml:space="preserve">, anche se non più assistita dai connotati di imprescindibilità che le erano stati assegnati dalla giurisprudenza ormai consolidata». Non a caso C. </w:t>
      </w:r>
      <w:r w:rsidRPr="00FD616A">
        <w:rPr>
          <w:rFonts w:ascii="Century Schoolbook" w:hAnsi="Century Schoolbook"/>
          <w:smallCaps/>
        </w:rPr>
        <w:t>Contessa</w:t>
      </w:r>
      <w:r w:rsidRPr="00FD616A">
        <w:rPr>
          <w:rFonts w:ascii="Century Schoolbook" w:hAnsi="Century Schoolbook"/>
        </w:rPr>
        <w:t xml:space="preserve">, </w:t>
      </w:r>
      <w:r w:rsidRPr="00FD616A">
        <w:rPr>
          <w:rFonts w:ascii="Century Schoolbook" w:hAnsi="Century Schoolbook"/>
          <w:i/>
          <w:iCs/>
        </w:rPr>
        <w:t xml:space="preserve">Il nuovo </w:t>
      </w:r>
      <w:r w:rsidRPr="00FD616A">
        <w:rPr>
          <w:rFonts w:ascii="Century Schoolbook" w:hAnsi="Century Schoolbook"/>
        </w:rPr>
        <w:t xml:space="preserve">in house providing, in R. </w:t>
      </w:r>
      <w:r w:rsidRPr="00FD616A">
        <w:rPr>
          <w:rFonts w:ascii="Century Schoolbook" w:hAnsi="Century Schoolbook"/>
          <w:smallCaps/>
        </w:rPr>
        <w:t>Garofoli-</w:t>
      </w:r>
      <w:r w:rsidRPr="00FD616A">
        <w:rPr>
          <w:rFonts w:ascii="Century Schoolbook" w:hAnsi="Century Schoolbook"/>
        </w:rPr>
        <w:t xml:space="preserve">G. </w:t>
      </w:r>
      <w:r w:rsidRPr="00FD616A">
        <w:rPr>
          <w:rFonts w:ascii="Century Schoolbook" w:hAnsi="Century Schoolbook"/>
          <w:smallCaps/>
        </w:rPr>
        <w:t>Ferrari</w:t>
      </w:r>
      <w:r w:rsidRPr="00FD616A">
        <w:rPr>
          <w:rFonts w:ascii="Century Schoolbook" w:hAnsi="Century Schoolbook"/>
        </w:rPr>
        <w:t xml:space="preserve"> (a cura di), </w:t>
      </w:r>
      <w:r w:rsidRPr="00FD616A">
        <w:rPr>
          <w:rFonts w:ascii="Century Schoolbook" w:hAnsi="Century Schoolbook"/>
          <w:i/>
          <w:iCs/>
        </w:rPr>
        <w:t>La nuova disciplina dei contratti pubblici</w:t>
      </w:r>
      <w:r w:rsidRPr="00FD616A">
        <w:rPr>
          <w:rFonts w:ascii="Century Schoolbook" w:hAnsi="Century Schoolbook"/>
        </w:rPr>
        <w:t>, Molfetta, 2017, p. 1211 ss., spec. p. 1225, giunge a dubitare circa la conformità con i Trattati dello stesso art. 12, direttiva n. 24 cit. «per la parte in cui esclude dal</w:t>
      </w:r>
      <w:r w:rsidRPr="00FD616A">
        <w:rPr>
          <w:rFonts w:ascii="Century Schoolbook" w:hAnsi="Century Schoolbook"/>
        </w:rPr>
        <w:softHyphen/>
        <w:t>l’ambito di applicazione della normativa uniforme in materia di appalti e concessioni questo tipo di affidamenti diretti, disposto – in ultima analisi – in favore di società che non sembrano presentare i genuini requisiti di una delegazione interorganica».</w:t>
      </w:r>
    </w:p>
  </w:footnote>
  <w:footnote w:id="19">
    <w:p w14:paraId="3724DB47" w14:textId="77777777" w:rsidR="00F7397D" w:rsidRPr="00FD616A" w:rsidRDefault="00F7397D" w:rsidP="00D22A38">
      <w:pPr>
        <w:pStyle w:val="Testonotaapidipagina"/>
        <w:rPr>
          <w:rFonts w:ascii="Century Schoolbook" w:hAnsi="Century Schoolbook"/>
        </w:rPr>
      </w:pPr>
      <w:r w:rsidRPr="00FD616A">
        <w:rPr>
          <w:rStyle w:val="Rimandonotaapidipagina"/>
          <w:rFonts w:ascii="Century Schoolbook" w:hAnsi="Century Schoolbook"/>
          <w:szCs w:val="18"/>
        </w:rPr>
        <w:footnoteRef/>
      </w:r>
      <w:r w:rsidRPr="00FD616A">
        <w:rPr>
          <w:rFonts w:ascii="Century Schoolbook" w:hAnsi="Century Schoolbook"/>
          <w:vertAlign w:val="superscript"/>
        </w:rPr>
        <w:t> </w:t>
      </w:r>
      <w:r w:rsidRPr="00FD616A">
        <w:rPr>
          <w:rFonts w:ascii="Century Schoolbook" w:hAnsi="Century Schoolbook"/>
        </w:rPr>
        <w:t>Il «</w:t>
      </w:r>
      <w:r w:rsidRPr="00FD616A">
        <w:rPr>
          <w:rFonts w:ascii="Century Schoolbook" w:hAnsi="Century Schoolbook"/>
          <w:i/>
          <w:iCs/>
        </w:rPr>
        <w:t>prescritte</w:t>
      </w:r>
      <w:r w:rsidRPr="00FD616A">
        <w:rPr>
          <w:rFonts w:ascii="Century Schoolbook" w:hAnsi="Century Schoolbook"/>
        </w:rPr>
        <w:t xml:space="preserve"> dalle disposizioni legislative nazionali» della direttiva è stato frainteso dall’art. </w:t>
      </w:r>
      <w:r w:rsidRPr="00FD616A">
        <w:rPr>
          <w:rFonts w:ascii="Century Schoolbook" w:hAnsi="Century Schoolbook"/>
          <w:spacing w:val="-2"/>
        </w:rPr>
        <w:t>5, comma 1, lett. c) cod. contr., che usa invece la parola «previste», in tal modo tradendo il senso</w:t>
      </w:r>
      <w:r w:rsidRPr="00FD616A">
        <w:rPr>
          <w:rFonts w:ascii="Century Schoolbook" w:hAnsi="Century Schoolbook"/>
        </w:rPr>
        <w:t xml:space="preserve"> e la </w:t>
      </w:r>
      <w:r w:rsidRPr="00FD616A">
        <w:rPr>
          <w:rFonts w:ascii="Century Schoolbook" w:hAnsi="Century Schoolbook"/>
          <w:i/>
          <w:iCs/>
        </w:rPr>
        <w:t>ratio</w:t>
      </w:r>
      <w:r w:rsidRPr="00FD616A">
        <w:rPr>
          <w:rFonts w:ascii="Century Schoolbook" w:hAnsi="Century Schoolbook"/>
        </w:rPr>
        <w:t xml:space="preserve"> dell’art. 12 in esame: il quale apre l’</w:t>
      </w:r>
      <w:r w:rsidRPr="00FD616A">
        <w:rPr>
          <w:rFonts w:ascii="Century Schoolbook" w:hAnsi="Century Schoolbook"/>
          <w:i/>
          <w:iCs/>
        </w:rPr>
        <w:t xml:space="preserve">in house </w:t>
      </w:r>
      <w:r w:rsidRPr="00FD616A">
        <w:rPr>
          <w:rFonts w:ascii="Century Schoolbook" w:hAnsi="Century Schoolbook"/>
        </w:rPr>
        <w:t xml:space="preserve">ai privati solo quando vi sia una precisa norma di legge interna che ciò </w:t>
      </w:r>
      <w:r w:rsidRPr="00FD616A">
        <w:rPr>
          <w:rFonts w:ascii="Century Schoolbook" w:hAnsi="Century Schoolbook"/>
          <w:i/>
          <w:iCs/>
        </w:rPr>
        <w:t>costringa</w:t>
      </w:r>
      <w:r w:rsidRPr="00FD616A">
        <w:rPr>
          <w:rFonts w:ascii="Century Schoolbook" w:hAnsi="Century Schoolbook"/>
        </w:rPr>
        <w:t xml:space="preserve"> a fare. Esemplare invece per chiarezza precettiva il testo tedesco dell’art. 12: «</w:t>
      </w:r>
      <w:proofErr w:type="spellStart"/>
      <w:r w:rsidRPr="00FD616A">
        <w:rPr>
          <w:rFonts w:ascii="Century Schoolbook" w:hAnsi="Century Schoolbook"/>
        </w:rPr>
        <w:t>durch</w:t>
      </w:r>
      <w:proofErr w:type="spellEnd"/>
      <w:r w:rsidRPr="00FD616A">
        <w:rPr>
          <w:rFonts w:ascii="Century Schoolbook" w:hAnsi="Century Schoolbook"/>
        </w:rPr>
        <w:t xml:space="preserve"> </w:t>
      </w:r>
      <w:proofErr w:type="spellStart"/>
      <w:r w:rsidRPr="00FD616A">
        <w:rPr>
          <w:rFonts w:ascii="Century Schoolbook" w:hAnsi="Century Schoolbook"/>
        </w:rPr>
        <w:t>nationale</w:t>
      </w:r>
      <w:proofErr w:type="spellEnd"/>
      <w:r w:rsidRPr="00FD616A">
        <w:rPr>
          <w:rFonts w:ascii="Century Schoolbook" w:hAnsi="Century Schoolbook"/>
        </w:rPr>
        <w:t xml:space="preserve"> </w:t>
      </w:r>
      <w:proofErr w:type="spellStart"/>
      <w:r w:rsidRPr="00FD616A">
        <w:rPr>
          <w:rFonts w:ascii="Century Schoolbook" w:hAnsi="Century Schoolbook"/>
        </w:rPr>
        <w:t>gesetzliche</w:t>
      </w:r>
      <w:proofErr w:type="spellEnd"/>
      <w:r w:rsidRPr="00FD616A">
        <w:rPr>
          <w:rFonts w:ascii="Century Schoolbook" w:hAnsi="Century Schoolbook"/>
        </w:rPr>
        <w:t xml:space="preserve"> </w:t>
      </w:r>
      <w:proofErr w:type="spellStart"/>
      <w:r w:rsidRPr="00FD616A">
        <w:rPr>
          <w:rFonts w:ascii="Century Schoolbook" w:hAnsi="Century Schoolbook"/>
        </w:rPr>
        <w:t>Bestimmungen</w:t>
      </w:r>
      <w:proofErr w:type="spellEnd"/>
      <w:r w:rsidRPr="00FD616A">
        <w:rPr>
          <w:rFonts w:ascii="Century Schoolbook" w:hAnsi="Century Schoolbook"/>
        </w:rPr>
        <w:t xml:space="preserve"> </w:t>
      </w:r>
      <w:proofErr w:type="spellStart"/>
      <w:r w:rsidRPr="00FD616A">
        <w:rPr>
          <w:rFonts w:ascii="Century Schoolbook" w:hAnsi="Century Schoolbook"/>
          <w:i/>
          <w:iCs/>
        </w:rPr>
        <w:t>vorgeschrieben</w:t>
      </w:r>
      <w:proofErr w:type="spellEnd"/>
      <w:r w:rsidRPr="00FD616A">
        <w:rPr>
          <w:rFonts w:ascii="Century Schoolbook" w:hAnsi="Century Schoolbook"/>
        </w:rPr>
        <w:t xml:space="preserve"> </w:t>
      </w:r>
      <w:proofErr w:type="spellStart"/>
      <w:r w:rsidRPr="00FD616A">
        <w:rPr>
          <w:rFonts w:ascii="Century Schoolbook" w:hAnsi="Century Schoolbook"/>
        </w:rPr>
        <w:t>sind</w:t>
      </w:r>
      <w:proofErr w:type="spellEnd"/>
      <w:r w:rsidRPr="00FD616A">
        <w:rPr>
          <w:rFonts w:ascii="Century Schoolbook" w:hAnsi="Century Schoolbook"/>
        </w:rPr>
        <w:t>». L’art. 16, comma 1, T.U. in materia di società a partecipazione pubblica adopera infatti il più corretto lemma «prescritta».</w:t>
      </w:r>
    </w:p>
    <w:p w14:paraId="1BFCF76E" w14:textId="4ED99E24" w:rsidR="00F7397D" w:rsidRPr="00FD616A" w:rsidRDefault="00F7397D" w:rsidP="003E24B1">
      <w:pPr>
        <w:pStyle w:val="Testonotaapidipagina"/>
        <w:spacing w:before="0"/>
        <w:rPr>
          <w:rFonts w:ascii="Century Schoolbook" w:hAnsi="Century Schoolbook"/>
        </w:rPr>
      </w:pPr>
      <w:r w:rsidRPr="00FD616A">
        <w:rPr>
          <w:rFonts w:ascii="Century Schoolbook" w:hAnsi="Century Schoolbook"/>
        </w:rPr>
        <w:t xml:space="preserve">A. </w:t>
      </w:r>
      <w:r w:rsidRPr="00FD616A">
        <w:rPr>
          <w:rFonts w:ascii="Century Schoolbook" w:hAnsi="Century Schoolbook"/>
          <w:smallCaps/>
        </w:rPr>
        <w:t>Donato</w:t>
      </w:r>
      <w:r w:rsidRPr="00FD616A">
        <w:rPr>
          <w:rFonts w:ascii="Century Schoolbook" w:hAnsi="Century Schoolbook"/>
        </w:rPr>
        <w:t xml:space="preserve">, </w:t>
      </w:r>
      <w:r w:rsidRPr="00FD616A">
        <w:rPr>
          <w:rFonts w:ascii="Century Schoolbook" w:hAnsi="Century Schoolbook"/>
          <w:i/>
          <w:iCs/>
        </w:rPr>
        <w:t xml:space="preserve">Affidamenti </w:t>
      </w:r>
      <w:r w:rsidRPr="00FD616A">
        <w:rPr>
          <w:rFonts w:ascii="Century Schoolbook" w:hAnsi="Century Schoolbook"/>
        </w:rPr>
        <w:t>in house</w:t>
      </w:r>
      <w:r w:rsidRPr="00FD616A">
        <w:rPr>
          <w:rFonts w:ascii="Century Schoolbook" w:hAnsi="Century Schoolbook"/>
          <w:i/>
          <w:iCs/>
        </w:rPr>
        <w:t xml:space="preserve"> e partecipazione pubblica totalitaria: lo strano caso del CINECA</w:t>
      </w:r>
      <w:r w:rsidRPr="00FD616A">
        <w:rPr>
          <w:rFonts w:ascii="Century Schoolbook" w:hAnsi="Century Schoolbook"/>
        </w:rPr>
        <w:t xml:space="preserve">, in </w:t>
      </w:r>
      <w:r w:rsidRPr="00FD616A">
        <w:rPr>
          <w:rFonts w:ascii="Century Schoolbook" w:hAnsi="Century Schoolbook"/>
          <w:i/>
          <w:iCs/>
        </w:rPr>
        <w:t xml:space="preserve">Foro </w:t>
      </w:r>
      <w:proofErr w:type="spellStart"/>
      <w:r w:rsidRPr="00FD616A">
        <w:rPr>
          <w:rFonts w:ascii="Century Schoolbook" w:hAnsi="Century Schoolbook"/>
          <w:i/>
          <w:iCs/>
        </w:rPr>
        <w:t>amm</w:t>
      </w:r>
      <w:proofErr w:type="spellEnd"/>
      <w:r w:rsidRPr="00FD616A">
        <w:rPr>
          <w:rFonts w:ascii="Century Schoolbook" w:hAnsi="Century Schoolbook"/>
          <w:i/>
          <w:iCs/>
        </w:rPr>
        <w:t>.</w:t>
      </w:r>
      <w:r w:rsidRPr="00FD616A">
        <w:rPr>
          <w:rFonts w:ascii="Century Schoolbook" w:hAnsi="Century Schoolbook"/>
        </w:rPr>
        <w:t>, 2016, p. 503 ss., spec. p. 512, richiama esattamente il considerando</w:t>
      </w:r>
      <w:r w:rsidRPr="00FD616A">
        <w:rPr>
          <w:rFonts w:ascii="Century Schoolbook" w:hAnsi="Century Schoolbook"/>
          <w:i/>
          <w:iCs/>
        </w:rPr>
        <w:t xml:space="preserve"> </w:t>
      </w:r>
      <w:r w:rsidRPr="00FD616A">
        <w:rPr>
          <w:rFonts w:ascii="Century Schoolbook" w:hAnsi="Century Schoolbook"/>
        </w:rPr>
        <w:t>n. 32 della direttiva n. 24 cit. il quale, «dopo aver chiarito che, in generale, l’esenzione dall’applicazione delle procedure previste dalla direttiva per i soggetti in house degli enti affidanti non dovrebbe estendersi alle situazioni in cui vi sia partecipazione diretta di un soggetto privato al capitale della società controllata, per evitare di offrire a tale soggetto un indebito vantaggio rispetto ai suoi concorrenti, precisa che vi sono ipotesi – eccezionali, dunque – in cui tale restrizione non dovrebbe valere, e ne chiarisce la portata: «</w:t>
      </w:r>
      <w:r w:rsidRPr="00FD616A">
        <w:rPr>
          <w:rFonts w:ascii="Century Schoolbook" w:hAnsi="Century Schoolbook"/>
          <w:i/>
          <w:iCs/>
        </w:rPr>
        <w:t>tuttavia, date le particolari caratteristiche degli organismi pubblici con partecipazione obbligatoria, quali le organizzazioni responsabili della gestione o dell’esercizio di taluni servizi pubblici, ciò non dovrebbe valere nei casi in cui la partecipazione di determinati operatori economici privati al capitale della persona giuridica controllata è resa obbligatoria da una disposizione legislativa nazionale in conformità dei trattati</w:t>
      </w:r>
      <w:r w:rsidRPr="00FD616A">
        <w:rPr>
          <w:rFonts w:ascii="Century Schoolbook" w:hAnsi="Century Schoolbook"/>
        </w:rPr>
        <w:t>», sempre a condizione che si tratti di una partecipazione che non comporta controllo o potere di veto e che non conferisca un’influenza determinante sulle decisioni del soggetto affidatario. Pertanto, l’ipotesi derogatoria contemplata dalla direttiva riguarda solo ed esclusivamente i particolari casi in cui la partecipazione di determinati operatori economici privati al capitale del soggetto affidatario sia «</w:t>
      </w:r>
      <w:r w:rsidRPr="00FD616A">
        <w:rPr>
          <w:rFonts w:ascii="Century Schoolbook" w:hAnsi="Century Schoolbook"/>
          <w:i/>
          <w:iCs/>
        </w:rPr>
        <w:t>resa obbligatoria</w:t>
      </w:r>
      <w:r w:rsidRPr="00FD616A">
        <w:rPr>
          <w:rFonts w:ascii="Century Schoolbook" w:hAnsi="Century Schoolbook"/>
        </w:rPr>
        <w:t>» da una disposizione legislativa nazionale, ovviamente conforme ai Trattati».</w:t>
      </w:r>
    </w:p>
  </w:footnote>
  <w:footnote w:id="20">
    <w:p w14:paraId="52ACF91F" w14:textId="77777777" w:rsidR="00F7397D" w:rsidRPr="00FD616A" w:rsidRDefault="00F7397D" w:rsidP="00D22A38">
      <w:pPr>
        <w:pStyle w:val="Testonotaapidipagina"/>
        <w:rPr>
          <w:rFonts w:ascii="Century Schoolbook" w:hAnsi="Century Schoolbook"/>
        </w:rPr>
      </w:pPr>
      <w:r w:rsidRPr="00FD616A">
        <w:rPr>
          <w:rStyle w:val="Rimandonotaapidipagina"/>
          <w:rFonts w:ascii="Century Schoolbook" w:hAnsi="Century Schoolbook"/>
          <w:szCs w:val="18"/>
        </w:rPr>
        <w:footnoteRef/>
      </w:r>
      <w:r w:rsidRPr="00FD616A">
        <w:rPr>
          <w:rFonts w:ascii="Century Schoolbook" w:hAnsi="Century Schoolbook"/>
          <w:vertAlign w:val="superscript"/>
        </w:rPr>
        <w:t> </w:t>
      </w:r>
      <w:r w:rsidRPr="00FD616A">
        <w:rPr>
          <w:rFonts w:ascii="Century Schoolbook" w:hAnsi="Century Schoolbook"/>
        </w:rPr>
        <w:t>TAR Calabria, sez. II, 4 aprile 2014, n. 559 (non appellata).</w:t>
      </w:r>
    </w:p>
  </w:footnote>
  <w:footnote w:id="21">
    <w:p w14:paraId="50DE0303" w14:textId="716D5EC8" w:rsidR="00F7397D" w:rsidRPr="00FD616A" w:rsidRDefault="00F7397D" w:rsidP="00D22A38">
      <w:pPr>
        <w:pStyle w:val="Testonotaapidipagina"/>
        <w:rPr>
          <w:rFonts w:ascii="Century Schoolbook" w:hAnsi="Century Schoolbook"/>
        </w:rPr>
      </w:pPr>
      <w:r w:rsidRPr="00FD616A">
        <w:rPr>
          <w:rStyle w:val="Rimandonotaapidipagina"/>
          <w:rFonts w:ascii="Century Schoolbook" w:hAnsi="Century Schoolbook"/>
          <w:szCs w:val="18"/>
        </w:rPr>
        <w:footnoteRef/>
      </w:r>
      <w:r w:rsidRPr="00FD616A">
        <w:rPr>
          <w:rFonts w:ascii="Century Schoolbook" w:hAnsi="Century Schoolbook"/>
          <w:vertAlign w:val="superscript"/>
        </w:rPr>
        <w:t> </w:t>
      </w:r>
      <w:r w:rsidRPr="00FD616A">
        <w:rPr>
          <w:rFonts w:ascii="Century Schoolbook" w:hAnsi="Century Schoolbook"/>
        </w:rPr>
        <w:t>L’art. 7, comma 42-</w:t>
      </w:r>
      <w:r w:rsidRPr="00FD616A">
        <w:rPr>
          <w:rFonts w:ascii="Century Schoolbook" w:hAnsi="Century Schoolbook"/>
          <w:i/>
          <w:iCs/>
        </w:rPr>
        <w:t>bis</w:t>
      </w:r>
      <w:r w:rsidRPr="00FD616A">
        <w:rPr>
          <w:rFonts w:ascii="Century Schoolbook" w:hAnsi="Century Schoolbook"/>
        </w:rPr>
        <w:t>, d.l. n. 95/2012, prevede infatti che: «Il Ministro dell’istruzione, del</w:t>
      </w:r>
      <w:r w:rsidRPr="00FD616A">
        <w:rPr>
          <w:rFonts w:ascii="Century Schoolbook" w:hAnsi="Century Schoolbook"/>
        </w:rPr>
        <w:softHyphen/>
        <w:t xml:space="preserve">l’università e della ricerca promuove un processo di accorpamento dei consorzi interuniversitari </w:t>
      </w:r>
      <w:proofErr w:type="spellStart"/>
      <w:r w:rsidRPr="00FD616A">
        <w:rPr>
          <w:rFonts w:ascii="Century Schoolbook" w:hAnsi="Century Schoolbook"/>
        </w:rPr>
        <w:t>Cineca</w:t>
      </w:r>
      <w:proofErr w:type="spellEnd"/>
      <w:r w:rsidRPr="00FD616A">
        <w:rPr>
          <w:rFonts w:ascii="Century Schoolbook" w:hAnsi="Century Schoolbook"/>
        </w:rPr>
        <w:t xml:space="preserve">, </w:t>
      </w:r>
      <w:proofErr w:type="spellStart"/>
      <w:r w:rsidRPr="00FD616A">
        <w:rPr>
          <w:rFonts w:ascii="Century Schoolbook" w:hAnsi="Century Schoolbook"/>
        </w:rPr>
        <w:t>Cilea</w:t>
      </w:r>
      <w:proofErr w:type="spellEnd"/>
      <w:r w:rsidRPr="00FD616A">
        <w:rPr>
          <w:rFonts w:ascii="Century Schoolbook" w:hAnsi="Century Schoolbook"/>
        </w:rPr>
        <w:t xml:space="preserve"> e </w:t>
      </w:r>
      <w:proofErr w:type="spellStart"/>
      <w:r w:rsidRPr="00FD616A">
        <w:rPr>
          <w:rFonts w:ascii="Century Schoolbook" w:hAnsi="Century Schoolbook"/>
        </w:rPr>
        <w:t>Caspur</w:t>
      </w:r>
      <w:proofErr w:type="spellEnd"/>
      <w:r w:rsidRPr="00FD616A">
        <w:rPr>
          <w:rFonts w:ascii="Century Schoolbook" w:hAnsi="Century Schoolbook"/>
        </w:rPr>
        <w:t xml:space="preserve"> al fine di razionalizzare la spesa per il funzionamento degli stessi attraverso la costituzione di un unico soggetto a livello nazionale con il compito di assicurare l’adeguato sup</w:t>
      </w:r>
      <w:r w:rsidR="001C76C0" w:rsidRPr="00FD616A">
        <w:rPr>
          <w:rFonts w:ascii="Century Schoolbook" w:hAnsi="Century Schoolbook"/>
        </w:rPr>
        <w:softHyphen/>
      </w:r>
      <w:r w:rsidRPr="00FD616A">
        <w:rPr>
          <w:rFonts w:ascii="Century Schoolbook" w:hAnsi="Century Schoolbook"/>
        </w:rPr>
        <w:t>porto, in termini di innovazione e offerta di servizi, alle esigenze del Ministero, del sistema universitario, del settore ricerca e del settore istruzione. Dall’attuazione del presente comma non devono derivare nuovi o maggiori oneri per la finanza pubblica».</w:t>
      </w:r>
    </w:p>
  </w:footnote>
  <w:footnote w:id="22">
    <w:p w14:paraId="70266161" w14:textId="77777777" w:rsidR="00F7397D" w:rsidRPr="00FD616A" w:rsidRDefault="00F7397D" w:rsidP="00D22A38">
      <w:pPr>
        <w:pStyle w:val="Testonotaapidipagina"/>
        <w:rPr>
          <w:rFonts w:ascii="Century Schoolbook" w:hAnsi="Century Schoolbook"/>
        </w:rPr>
      </w:pPr>
      <w:r w:rsidRPr="00FD616A">
        <w:rPr>
          <w:rStyle w:val="Rimandonotaapidipagina"/>
          <w:rFonts w:ascii="Century Schoolbook" w:hAnsi="Century Schoolbook"/>
          <w:szCs w:val="18"/>
        </w:rPr>
        <w:footnoteRef/>
      </w:r>
      <w:r w:rsidRPr="00FD616A">
        <w:rPr>
          <w:rFonts w:ascii="Century Schoolbook" w:hAnsi="Century Schoolbook"/>
          <w:vertAlign w:val="superscript"/>
        </w:rPr>
        <w:t> </w:t>
      </w:r>
      <w:r w:rsidRPr="00FD616A">
        <w:rPr>
          <w:rFonts w:ascii="Century Schoolbook" w:hAnsi="Century Schoolbook"/>
        </w:rPr>
        <w:t>TAR Calabria, sez. II, 11 luglio 2014, n. 1186.</w:t>
      </w:r>
    </w:p>
  </w:footnote>
  <w:footnote w:id="23">
    <w:p w14:paraId="0B72B789" w14:textId="77777777" w:rsidR="00F7397D" w:rsidRPr="00FD616A" w:rsidRDefault="00F7397D" w:rsidP="00D22A38">
      <w:pPr>
        <w:pStyle w:val="Testonotaapidipagina"/>
        <w:rPr>
          <w:rFonts w:ascii="Century Schoolbook" w:hAnsi="Century Schoolbook"/>
        </w:rPr>
      </w:pPr>
      <w:r w:rsidRPr="00FD616A">
        <w:rPr>
          <w:rStyle w:val="Rimandonotaapidipagina"/>
          <w:rFonts w:ascii="Century Schoolbook" w:hAnsi="Century Schoolbook"/>
          <w:szCs w:val="18"/>
        </w:rPr>
        <w:footnoteRef/>
      </w:r>
      <w:r w:rsidRPr="00FD616A">
        <w:rPr>
          <w:rFonts w:ascii="Century Schoolbook" w:hAnsi="Century Schoolbook"/>
          <w:vertAlign w:val="superscript"/>
        </w:rPr>
        <w:t> </w:t>
      </w:r>
      <w:r w:rsidRPr="00FD616A">
        <w:rPr>
          <w:rFonts w:ascii="Century Schoolbook" w:hAnsi="Century Schoolbook"/>
        </w:rPr>
        <w:t xml:space="preserve">Cons. Stato, sez. II, 30 gennaio 2015, n. 298, su cui cfr. V. </w:t>
      </w:r>
      <w:r w:rsidRPr="00FD616A">
        <w:rPr>
          <w:rFonts w:ascii="Century Schoolbook" w:hAnsi="Century Schoolbook"/>
          <w:smallCaps/>
        </w:rPr>
        <w:t>Brigante</w:t>
      </w:r>
      <w:r w:rsidRPr="00FD616A">
        <w:rPr>
          <w:rFonts w:ascii="Century Schoolbook" w:hAnsi="Century Schoolbook"/>
        </w:rPr>
        <w:t xml:space="preserve">, </w:t>
      </w:r>
      <w:r w:rsidRPr="00FD616A">
        <w:rPr>
          <w:rFonts w:ascii="Century Schoolbook" w:hAnsi="Century Schoolbook"/>
          <w:i/>
          <w:iCs/>
        </w:rPr>
        <w:t>La crisi della soggettività nel diritto amministrativo: l’</w:t>
      </w:r>
      <w:r w:rsidRPr="00FD616A">
        <w:rPr>
          <w:rFonts w:ascii="Century Schoolbook" w:hAnsi="Century Schoolbook"/>
        </w:rPr>
        <w:t>in house providing</w:t>
      </w:r>
      <w:r w:rsidRPr="00FD616A">
        <w:rPr>
          <w:rFonts w:ascii="Century Schoolbook" w:hAnsi="Century Schoolbook"/>
          <w:i/>
          <w:iCs/>
        </w:rPr>
        <w:t xml:space="preserve"> alla luce del parere del Consiglio di Stato n. 298/2015</w:t>
      </w:r>
      <w:r w:rsidRPr="00FD616A">
        <w:rPr>
          <w:rFonts w:ascii="Century Schoolbook" w:hAnsi="Century Schoolbook"/>
        </w:rPr>
        <w:t>, in lexitalia.it, 2015.</w:t>
      </w:r>
    </w:p>
  </w:footnote>
  <w:footnote w:id="24">
    <w:p w14:paraId="4AF7A875" w14:textId="77777777" w:rsidR="00F7397D" w:rsidRPr="00FD616A" w:rsidRDefault="00F7397D" w:rsidP="00D22A38">
      <w:pPr>
        <w:pStyle w:val="Testonotaapidipagina"/>
        <w:rPr>
          <w:rFonts w:ascii="Century Schoolbook" w:hAnsi="Century Schoolbook"/>
        </w:rPr>
      </w:pPr>
      <w:r w:rsidRPr="00FD616A">
        <w:rPr>
          <w:rStyle w:val="Rimandonotaapidipagina"/>
          <w:rFonts w:ascii="Century Schoolbook" w:hAnsi="Century Schoolbook"/>
          <w:szCs w:val="18"/>
        </w:rPr>
        <w:footnoteRef/>
      </w:r>
      <w:r w:rsidRPr="00FD616A">
        <w:rPr>
          <w:rFonts w:ascii="Century Schoolbook" w:hAnsi="Century Schoolbook"/>
          <w:vertAlign w:val="superscript"/>
        </w:rPr>
        <w:t> </w:t>
      </w:r>
      <w:r w:rsidRPr="00FD616A">
        <w:rPr>
          <w:rFonts w:ascii="Century Schoolbook" w:hAnsi="Century Schoolbook"/>
        </w:rPr>
        <w:t xml:space="preserve">Orientamento condiviso in linea di principio da A. </w:t>
      </w:r>
      <w:r w:rsidRPr="00FD616A">
        <w:rPr>
          <w:rFonts w:ascii="Century Schoolbook" w:hAnsi="Century Schoolbook"/>
          <w:smallCaps/>
        </w:rPr>
        <w:t>Bartolini</w:t>
      </w:r>
      <w:r w:rsidRPr="00FD616A">
        <w:rPr>
          <w:rFonts w:ascii="Century Schoolbook" w:hAnsi="Century Schoolbook"/>
        </w:rPr>
        <w:t>,</w:t>
      </w:r>
      <w:r w:rsidRPr="00FD616A">
        <w:rPr>
          <w:rFonts w:ascii="Century Schoolbook" w:hAnsi="Century Schoolbook"/>
          <w:i/>
          <w:iCs/>
        </w:rPr>
        <w:t xml:space="preserve"> Prime pronunce giurisprudenziali sull’</w:t>
      </w:r>
      <w:r w:rsidRPr="00FD616A">
        <w:rPr>
          <w:rFonts w:ascii="Century Schoolbook" w:hAnsi="Century Schoolbook"/>
        </w:rPr>
        <w:t xml:space="preserve">in house </w:t>
      </w:r>
      <w:r w:rsidRPr="00FD616A">
        <w:rPr>
          <w:rFonts w:ascii="Century Schoolbook" w:hAnsi="Century Schoolbook"/>
          <w:i/>
          <w:iCs/>
        </w:rPr>
        <w:t>nella Dir. 2014/24/UE – il caso Cineca</w:t>
      </w:r>
      <w:r w:rsidRPr="00FD616A">
        <w:rPr>
          <w:rFonts w:ascii="Century Schoolbook" w:hAnsi="Century Schoolbook"/>
        </w:rPr>
        <w:t xml:space="preserve">, in </w:t>
      </w:r>
      <w:r w:rsidRPr="00FD616A">
        <w:rPr>
          <w:rFonts w:ascii="Century Schoolbook" w:hAnsi="Century Schoolbook"/>
          <w:i/>
          <w:iCs/>
        </w:rPr>
        <w:t>Giur.it.</w:t>
      </w:r>
      <w:r w:rsidRPr="00FD616A">
        <w:rPr>
          <w:rFonts w:ascii="Century Schoolbook" w:hAnsi="Century Schoolbook"/>
        </w:rPr>
        <w:t xml:space="preserve">, 2015, c. 1977 ss., spec. c. 1982: «il diritto scritto, in forza del principio di legalità e della </w:t>
      </w:r>
      <w:proofErr w:type="spellStart"/>
      <w:r w:rsidRPr="00FD616A">
        <w:rPr>
          <w:rFonts w:ascii="Century Schoolbook" w:hAnsi="Century Schoolbook"/>
          <w:i/>
          <w:iCs/>
        </w:rPr>
        <w:t>rule</w:t>
      </w:r>
      <w:proofErr w:type="spellEnd"/>
      <w:r w:rsidRPr="00FD616A">
        <w:rPr>
          <w:rFonts w:ascii="Century Schoolbook" w:hAnsi="Century Schoolbook"/>
          <w:i/>
          <w:iCs/>
        </w:rPr>
        <w:t xml:space="preserve"> of law</w:t>
      </w:r>
      <w:r w:rsidRPr="00FD616A">
        <w:rPr>
          <w:rFonts w:ascii="Century Schoolbook" w:hAnsi="Century Schoolbook"/>
        </w:rPr>
        <w:t xml:space="preserve"> che compenetra il diritto europeo, costituisce – sebbene non sia entrato ancora in vigore – una sicura base di riferimento, per la creazione del diritto pretorio e deve essere necessariamente tenuto in considerazione. Il diritto scritto, anche se non ancora entrato in vigore, costituisce un criterio ermeneutico imprescindibile per il giudice, essendo quest’ultimo tenuto ad applicare la «legge». Ecco perché correttamente si è sostenuto che la direttiva costituisce, nell’ambito che in questa sede ci occupa, una sorta di interpretazione autentica: il diritto scritto, laddove non ancora efficace, costituisce, difatti, un criterio ermeneutico imprescindibile, quando il giudice sia chiamato ad applicare il proprio diritto pretorio».</w:t>
      </w:r>
    </w:p>
  </w:footnote>
  <w:footnote w:id="25">
    <w:p w14:paraId="1A06785B" w14:textId="77777777" w:rsidR="00F7397D" w:rsidRPr="00FD616A" w:rsidRDefault="00F7397D" w:rsidP="00D22A38">
      <w:pPr>
        <w:pStyle w:val="Testonotaapidipagina"/>
        <w:rPr>
          <w:rFonts w:ascii="Century Schoolbook" w:hAnsi="Century Schoolbook"/>
        </w:rPr>
      </w:pPr>
      <w:r w:rsidRPr="00FD616A">
        <w:rPr>
          <w:rStyle w:val="Rimandonotaapidipagina"/>
          <w:rFonts w:ascii="Century Schoolbook" w:hAnsi="Century Schoolbook"/>
          <w:szCs w:val="18"/>
        </w:rPr>
        <w:footnoteRef/>
      </w:r>
      <w:r w:rsidRPr="00FD616A">
        <w:rPr>
          <w:rFonts w:ascii="Century Schoolbook" w:hAnsi="Century Schoolbook"/>
          <w:vertAlign w:val="superscript"/>
        </w:rPr>
        <w:t> </w:t>
      </w:r>
      <w:r w:rsidRPr="00FD616A">
        <w:rPr>
          <w:rFonts w:ascii="Century Schoolbook" w:hAnsi="Century Schoolbook"/>
        </w:rPr>
        <w:t>Cons. Stato, sez. VI, 26 maggio 2015, n. 2660. È la sentenza che rigetta l’appello proposto dal Cineca avverso TAR Calabria n. 1186/2014, cit.</w:t>
      </w:r>
    </w:p>
  </w:footnote>
  <w:footnote w:id="26">
    <w:p w14:paraId="05440B76" w14:textId="77777777" w:rsidR="00F7397D" w:rsidRPr="00FD616A" w:rsidRDefault="00F7397D" w:rsidP="00D22A38">
      <w:pPr>
        <w:pStyle w:val="Testonotaapidipagina"/>
        <w:rPr>
          <w:rFonts w:ascii="Century Schoolbook" w:hAnsi="Century Schoolbook"/>
        </w:rPr>
      </w:pPr>
      <w:r w:rsidRPr="00FD616A">
        <w:rPr>
          <w:rStyle w:val="Rimandonotaapidipagina"/>
          <w:rFonts w:ascii="Century Schoolbook" w:hAnsi="Century Schoolbook"/>
          <w:szCs w:val="18"/>
        </w:rPr>
        <w:footnoteRef/>
      </w:r>
      <w:r w:rsidRPr="00FD616A">
        <w:rPr>
          <w:rFonts w:ascii="Century Schoolbook" w:hAnsi="Century Schoolbook"/>
          <w:vertAlign w:val="superscript"/>
        </w:rPr>
        <w:t> </w:t>
      </w:r>
      <w:r w:rsidRPr="00FD616A">
        <w:rPr>
          <w:rFonts w:ascii="Century Schoolbook" w:hAnsi="Century Schoolbook"/>
        </w:rPr>
        <w:t>Coerente la conclusione sul punto: «In quest’ottica si spiega perché la giurisprudenza comunitaria abbia richiesto come condizione necessaria la partecipazione pubblica totalitaria. La Corte di giustizia ha motivato l’incompatibilità di qualsiasi partecipazione anche minoritaria di un’impresa privata sulla base di due considerazioni principali: a) qualsiasi investimento di capitale privato in un’impresa obbedisce a considerazioni proprie degli interessi privati e persegue obiettivi di natura differente rispetto a quelli di interesse pubblico; b) l’attribuzione diretta di un appalto pubblico ad un soggetto partecipato anche in minima parte da privati pregiudicherebbe l’obietti</w:t>
      </w:r>
      <w:r w:rsidRPr="00FD616A">
        <w:rPr>
          <w:rFonts w:ascii="Century Schoolbook" w:hAnsi="Century Schoolbook"/>
        </w:rPr>
        <w:softHyphen/>
        <w:t xml:space="preserve">vo di una concorrenza libera nella misura in cui offrirebbe ad un’impresa privata presente nel capitale dell’ente beneficiario dell’affidamento un vantaggio rispetto ai suoi concorrenti. […] Alla luce di queste considerazioni deve allora ritenersi che la nozione di ente pubblico che viene in rilievo ai fini della verifica del requisito del controllo analogo nell’ambito dell’istituto </w:t>
      </w:r>
      <w:proofErr w:type="spellStart"/>
      <w:r w:rsidRPr="00FD616A">
        <w:rPr>
          <w:rFonts w:ascii="Century Schoolbook" w:hAnsi="Century Schoolbook"/>
        </w:rPr>
        <w:t>dell’</w:t>
      </w:r>
      <w:r w:rsidRPr="00FD616A">
        <w:rPr>
          <w:rFonts w:ascii="Century Schoolbook" w:hAnsi="Century Schoolbook"/>
          <w:i/>
          <w:iCs/>
        </w:rPr>
        <w:t>in</w:t>
      </w:r>
      <w:proofErr w:type="spellEnd"/>
      <w:r w:rsidRPr="00FD616A">
        <w:rPr>
          <w:rFonts w:ascii="Century Schoolbook" w:hAnsi="Century Schoolbook"/>
          <w:i/>
          <w:iCs/>
        </w:rPr>
        <w:t xml:space="preserve"> </w:t>
      </w:r>
      <w:proofErr w:type="spellStart"/>
      <w:r w:rsidRPr="00FD616A">
        <w:rPr>
          <w:rFonts w:ascii="Century Schoolbook" w:hAnsi="Century Schoolbook"/>
          <w:i/>
          <w:iCs/>
        </w:rPr>
        <w:t>house</w:t>
      </w:r>
      <w:proofErr w:type="spellEnd"/>
      <w:r w:rsidRPr="00FD616A">
        <w:rPr>
          <w:rFonts w:ascii="Century Schoolbook" w:hAnsi="Century Schoolbook"/>
          <w:i/>
          <w:iCs/>
        </w:rPr>
        <w:t xml:space="preserve"> </w:t>
      </w:r>
      <w:r w:rsidRPr="00FD616A">
        <w:rPr>
          <w:rFonts w:ascii="Century Schoolbook" w:hAnsi="Century Schoolbook"/>
        </w:rPr>
        <w:t>sia particolarmente rigorosa e restrittiva, dovendosi escludere la possibilità di equiparare all’ente pubblico qualsiasi soggetto che, a prescindere dai poteri, dai fini e dalla struttura organizzativa, operi grazie a capitali privati. E questo è certamente il caso delle università private di cui si discorre in questa sede».</w:t>
      </w:r>
    </w:p>
  </w:footnote>
  <w:footnote w:id="27">
    <w:p w14:paraId="1E785D86" w14:textId="77777777" w:rsidR="00F7397D" w:rsidRPr="00FD616A" w:rsidRDefault="00F7397D" w:rsidP="00D22A38">
      <w:pPr>
        <w:pStyle w:val="Testonotaapidipagina"/>
        <w:rPr>
          <w:rFonts w:ascii="Century Schoolbook" w:hAnsi="Century Schoolbook"/>
        </w:rPr>
      </w:pPr>
      <w:r w:rsidRPr="00FD616A">
        <w:rPr>
          <w:rStyle w:val="Rimandonotaapidipagina"/>
          <w:rFonts w:ascii="Century Schoolbook" w:hAnsi="Century Schoolbook"/>
          <w:szCs w:val="18"/>
        </w:rPr>
        <w:footnoteRef/>
      </w:r>
      <w:r w:rsidRPr="00FD616A">
        <w:rPr>
          <w:rFonts w:ascii="Century Schoolbook" w:hAnsi="Century Schoolbook"/>
          <w:vertAlign w:val="superscript"/>
        </w:rPr>
        <w:t> </w:t>
      </w:r>
      <w:r w:rsidRPr="00FD616A">
        <w:rPr>
          <w:rFonts w:ascii="Century Schoolbook" w:hAnsi="Century Schoolbook"/>
        </w:rPr>
        <w:t xml:space="preserve">M. </w:t>
      </w:r>
      <w:r w:rsidRPr="00FD616A">
        <w:rPr>
          <w:rFonts w:ascii="Century Schoolbook" w:hAnsi="Century Schoolbook"/>
          <w:smallCaps/>
        </w:rPr>
        <w:t>Ramajoli</w:t>
      </w:r>
      <w:r w:rsidRPr="00FD616A">
        <w:rPr>
          <w:rFonts w:ascii="Century Schoolbook" w:hAnsi="Century Schoolbook"/>
        </w:rPr>
        <w:t xml:space="preserve">, </w:t>
      </w:r>
      <w:r w:rsidRPr="00FD616A">
        <w:rPr>
          <w:rFonts w:ascii="Century Schoolbook" w:hAnsi="Century Schoolbook"/>
          <w:i/>
          <w:iCs/>
        </w:rPr>
        <w:t>Sulla natura giuridica delle Università libere</w:t>
      </w:r>
      <w:r w:rsidRPr="00FD616A">
        <w:rPr>
          <w:rFonts w:ascii="Century Schoolbook" w:hAnsi="Century Schoolbook"/>
        </w:rPr>
        <w:t xml:space="preserve">, in A. </w:t>
      </w:r>
      <w:r w:rsidRPr="00FD616A">
        <w:rPr>
          <w:rFonts w:ascii="Century Schoolbook" w:hAnsi="Century Schoolbook"/>
          <w:smallCaps/>
        </w:rPr>
        <w:t>Marra</w:t>
      </w:r>
      <w:r w:rsidRPr="00FD616A">
        <w:rPr>
          <w:rFonts w:ascii="Century Schoolbook" w:hAnsi="Century Schoolbook"/>
        </w:rPr>
        <w:t xml:space="preserve"> (a cura di), </w:t>
      </w:r>
      <w:r w:rsidRPr="00FD616A">
        <w:rPr>
          <w:rFonts w:ascii="Century Schoolbook" w:hAnsi="Century Schoolbook"/>
          <w:i/>
          <w:iCs/>
        </w:rPr>
        <w:t>Il diritto delle università nella giurisprudenza</w:t>
      </w:r>
      <w:r w:rsidRPr="00FD616A">
        <w:rPr>
          <w:rFonts w:ascii="Century Schoolbook" w:hAnsi="Century Schoolbook"/>
        </w:rPr>
        <w:t>, cit., p. 111 ss., spec. p. 122.</w:t>
      </w:r>
    </w:p>
  </w:footnote>
  <w:footnote w:id="28">
    <w:p w14:paraId="0AA8A53D" w14:textId="77777777" w:rsidR="00F7397D" w:rsidRPr="00FD616A" w:rsidRDefault="00F7397D" w:rsidP="00D22A38">
      <w:pPr>
        <w:pStyle w:val="Testonotaapidipagina"/>
        <w:rPr>
          <w:rFonts w:ascii="Century Schoolbook" w:hAnsi="Century Schoolbook"/>
        </w:rPr>
      </w:pPr>
      <w:r w:rsidRPr="00FD616A">
        <w:rPr>
          <w:rStyle w:val="Rimandonotaapidipagina"/>
          <w:rFonts w:ascii="Century Schoolbook" w:hAnsi="Century Schoolbook"/>
          <w:szCs w:val="18"/>
        </w:rPr>
        <w:footnoteRef/>
      </w:r>
      <w:r w:rsidRPr="00FD616A">
        <w:rPr>
          <w:rFonts w:ascii="Century Schoolbook" w:hAnsi="Century Schoolbook"/>
          <w:vertAlign w:val="superscript"/>
        </w:rPr>
        <w:t> </w:t>
      </w:r>
      <w:r w:rsidRPr="00FD616A">
        <w:rPr>
          <w:rFonts w:ascii="Century Schoolbook" w:hAnsi="Century Schoolbook"/>
        </w:rPr>
        <w:t>E ancora: «Ritenere da subito possibili forme di partecipazione di capitali privati significherebbe, pertanto, disapplicare la fin qui consolidata giurisprudenza comunitaria sui limiti all’in house, dando prevalenza ad una nozione meno restrittiva prevista da una direttiva sopravvenuta ancora in corso di recepimento. Non si tratterebbe, quindi, di interpretare il diritto nazionale in maniera conforme al diritto eurounitario sopravvenuto, ma, al contrario, di disapplicare o correggere l’interpretazione fornita dalla giurisprudenza della Corte di giustizia, per assicurarne la conformità alla direttiva sopravvenuta, la quale, però, (non essendo scaduto il termine di recepimento) non è ancora cogente all’interno degli ordinamenti nazionali».</w:t>
      </w:r>
    </w:p>
  </w:footnote>
  <w:footnote w:id="29">
    <w:p w14:paraId="02D7DA8C" w14:textId="026E1909" w:rsidR="00F7397D" w:rsidRPr="00FD616A" w:rsidRDefault="00F7397D" w:rsidP="00D22A38">
      <w:pPr>
        <w:pStyle w:val="Testonotaapidipagina"/>
        <w:rPr>
          <w:rFonts w:ascii="Century Schoolbook" w:hAnsi="Century Schoolbook"/>
        </w:rPr>
      </w:pPr>
      <w:r w:rsidRPr="00FD616A">
        <w:rPr>
          <w:rStyle w:val="Rimandonotaapidipagina"/>
          <w:rFonts w:ascii="Century Schoolbook" w:hAnsi="Century Schoolbook"/>
          <w:szCs w:val="18"/>
        </w:rPr>
        <w:footnoteRef/>
      </w:r>
      <w:r w:rsidRPr="00FD616A">
        <w:rPr>
          <w:rFonts w:ascii="Century Schoolbook" w:hAnsi="Century Schoolbook"/>
          <w:vertAlign w:val="superscript"/>
        </w:rPr>
        <w:t> </w:t>
      </w:r>
      <w:r w:rsidRPr="00FD616A">
        <w:rPr>
          <w:rFonts w:ascii="Century Schoolbook" w:hAnsi="Century Schoolbook"/>
        </w:rPr>
        <w:t>La sentenza in esame richiama qui la Consulta: «La Corte costituzionale, infatti, nell’affer</w:t>
      </w:r>
      <w:r w:rsidRPr="00FD616A">
        <w:rPr>
          <w:rFonts w:ascii="Century Schoolbook" w:hAnsi="Century Schoolbook"/>
        </w:rPr>
        <w:softHyphen/>
        <w:t xml:space="preserve">mare la legittimità costituzionale della disciplina nazionale che in materia di servizi pubblici locali prevedeva limiti all’utilizzo </w:t>
      </w:r>
      <w:proofErr w:type="spellStart"/>
      <w:r w:rsidRPr="00FD616A">
        <w:rPr>
          <w:rFonts w:ascii="Century Schoolbook" w:hAnsi="Century Schoolbook"/>
        </w:rPr>
        <w:t>dell’</w:t>
      </w:r>
      <w:r w:rsidRPr="00FD616A">
        <w:rPr>
          <w:rFonts w:ascii="Century Schoolbook" w:hAnsi="Century Schoolbook"/>
          <w:i/>
          <w:iCs/>
        </w:rPr>
        <w:t>in</w:t>
      </w:r>
      <w:proofErr w:type="spellEnd"/>
      <w:r w:rsidRPr="00FD616A">
        <w:rPr>
          <w:rFonts w:ascii="Century Schoolbook" w:hAnsi="Century Schoolbook"/>
          <w:i/>
          <w:iCs/>
        </w:rPr>
        <w:t xml:space="preserve"> </w:t>
      </w:r>
      <w:proofErr w:type="spellStart"/>
      <w:r w:rsidRPr="00FD616A">
        <w:rPr>
          <w:rFonts w:ascii="Century Schoolbook" w:hAnsi="Century Schoolbook"/>
          <w:i/>
          <w:iCs/>
        </w:rPr>
        <w:t>house</w:t>
      </w:r>
      <w:proofErr w:type="spellEnd"/>
      <w:r w:rsidRPr="00FD616A">
        <w:rPr>
          <w:rFonts w:ascii="Century Schoolbook" w:hAnsi="Century Schoolbook"/>
        </w:rPr>
        <w:t xml:space="preserve"> ulteriori rispetto a quelli enucleati dalla giurisprudenza comunitaria, ha testualmente affermato che «è innegabile l’esistenza di un ‘margine di apprezzamento’ del legislatore nazionale rispetto a </w:t>
      </w:r>
      <w:proofErr w:type="spellStart"/>
      <w:r w:rsidRPr="00FD616A">
        <w:rPr>
          <w:rFonts w:ascii="Century Schoolbook" w:hAnsi="Century Schoolbook"/>
        </w:rPr>
        <w:t>princípi</w:t>
      </w:r>
      <w:proofErr w:type="spellEnd"/>
      <w:r w:rsidRPr="00FD616A">
        <w:rPr>
          <w:rFonts w:ascii="Century Schoolbook" w:hAnsi="Century Schoolbook"/>
        </w:rPr>
        <w:t xml:space="preserve"> di tutela, minimi ed indefettibili, stabiliti dal</w:t>
      </w:r>
      <w:r w:rsidRPr="00FD616A">
        <w:rPr>
          <w:rFonts w:ascii="Century Schoolbook" w:hAnsi="Century Schoolbook"/>
        </w:rPr>
        <w:softHyphen/>
        <w:t>l’ordinamento comunitario con riguardo ad un valore ritenuto meritevole di specifica protezione, quale la tutela della concorrenza ‘nel’ mercato e ‘per’ il mercato. Ne deriva, in particolare, che al legislatore italiano non è vietato adottare una disciplina che preveda regole concorrenziali di applicazione più ampia rispetto a quella richiesta dal diritto comunitario» (Corte cost. 17 novembre 2010, n. 325; in termini analoghi cfr. anche Corte cost. 20 marzo 2013, n. 46)».</w:t>
      </w:r>
    </w:p>
  </w:footnote>
  <w:footnote w:id="30">
    <w:p w14:paraId="2DE7E7FB" w14:textId="77777777" w:rsidR="00F7397D" w:rsidRPr="00FD616A" w:rsidRDefault="00F7397D" w:rsidP="00D22A38">
      <w:pPr>
        <w:pStyle w:val="Testonotaapidipagina"/>
        <w:rPr>
          <w:rFonts w:ascii="Century Schoolbook" w:hAnsi="Century Schoolbook"/>
        </w:rPr>
      </w:pPr>
      <w:r w:rsidRPr="00FD616A">
        <w:rPr>
          <w:rStyle w:val="Rimandonotaapidipagina"/>
          <w:rFonts w:ascii="Century Schoolbook" w:hAnsi="Century Schoolbook"/>
          <w:szCs w:val="18"/>
        </w:rPr>
        <w:footnoteRef/>
      </w:r>
      <w:r w:rsidRPr="00FD616A">
        <w:rPr>
          <w:rFonts w:ascii="Century Schoolbook" w:hAnsi="Century Schoolbook"/>
          <w:vertAlign w:val="superscript"/>
        </w:rPr>
        <w:t> </w:t>
      </w:r>
      <w:r w:rsidRPr="00FD616A">
        <w:rPr>
          <w:rFonts w:ascii="Century Schoolbook" w:hAnsi="Century Schoolbook"/>
        </w:rPr>
        <w:t>Questione, pur decisiva, non affrontata dal parere n. 298/2015 cit.</w:t>
      </w:r>
    </w:p>
    <w:p w14:paraId="34BB47BA" w14:textId="77777777" w:rsidR="00F7397D" w:rsidRPr="00FD616A" w:rsidRDefault="00F7397D" w:rsidP="003E24B1">
      <w:pPr>
        <w:pStyle w:val="Testonotaapidipagina"/>
        <w:spacing w:before="0"/>
        <w:rPr>
          <w:rFonts w:ascii="Century Schoolbook" w:hAnsi="Century Schoolbook"/>
        </w:rPr>
      </w:pPr>
      <w:r w:rsidRPr="00FD616A">
        <w:rPr>
          <w:rFonts w:ascii="Century Schoolbook" w:hAnsi="Century Schoolbook"/>
        </w:rPr>
        <w:t xml:space="preserve">Anche A. </w:t>
      </w:r>
      <w:r w:rsidRPr="00FD616A">
        <w:rPr>
          <w:rFonts w:ascii="Century Schoolbook" w:hAnsi="Century Schoolbook"/>
          <w:smallCaps/>
        </w:rPr>
        <w:t>Bartolini</w:t>
      </w:r>
      <w:r w:rsidRPr="00FD616A">
        <w:rPr>
          <w:rFonts w:ascii="Century Schoolbook" w:hAnsi="Century Schoolbook"/>
        </w:rPr>
        <w:t>,</w:t>
      </w:r>
      <w:r w:rsidRPr="00FD616A">
        <w:rPr>
          <w:rFonts w:ascii="Century Schoolbook" w:hAnsi="Century Schoolbook"/>
          <w:i/>
          <w:iCs/>
        </w:rPr>
        <w:t xml:space="preserve"> Prime pronunce giurisprudenziali</w:t>
      </w:r>
      <w:r w:rsidRPr="00FD616A">
        <w:rPr>
          <w:rFonts w:ascii="Century Schoolbook" w:hAnsi="Century Schoolbook"/>
        </w:rPr>
        <w:t>, cit., c. 1987 s., nota infatti «la mancanza di una espressa valutazione da parte del Consiglio di Stato sulla presenza o meno di una prescrizione legislativa che legittimi la presenza delle università private in CINECA», per cui «il parere in commento risulta carente sotto questo profilo di fondamentale importanza, non preoccupandosi di analizzare tale aspetto».</w:t>
      </w:r>
    </w:p>
  </w:footnote>
  <w:footnote w:id="31">
    <w:p w14:paraId="0FBB7640" w14:textId="77777777" w:rsidR="00F7397D" w:rsidRPr="00FD616A" w:rsidRDefault="00F7397D" w:rsidP="00D22A38">
      <w:pPr>
        <w:pStyle w:val="Testonotaapidipagina"/>
        <w:rPr>
          <w:rFonts w:ascii="Century Schoolbook" w:hAnsi="Century Schoolbook"/>
        </w:rPr>
      </w:pPr>
      <w:r w:rsidRPr="00FD616A">
        <w:rPr>
          <w:rStyle w:val="Rimandonotaapidipagina"/>
          <w:rFonts w:ascii="Century Schoolbook" w:hAnsi="Century Schoolbook"/>
          <w:szCs w:val="18"/>
        </w:rPr>
        <w:footnoteRef/>
      </w:r>
      <w:r w:rsidRPr="00FD616A">
        <w:rPr>
          <w:rFonts w:ascii="Century Schoolbook" w:hAnsi="Century Schoolbook"/>
          <w:vertAlign w:val="superscript"/>
        </w:rPr>
        <w:t> </w:t>
      </w:r>
      <w:r w:rsidRPr="00FD616A">
        <w:rPr>
          <w:rFonts w:ascii="Century Schoolbook" w:hAnsi="Century Schoolbook"/>
        </w:rPr>
        <w:t>«Infatti, l’eventualità – prosegue quel Giudice – che un’amministrazione aggiudicatrice abbia, nell’ambito di un’entità affidataria posseduta in comune, una posizione inidonea a garantirle la benché minima possibilità di partecipare al controllo di tale entità aprirebbe la strada ad un’e</w:t>
      </w:r>
      <w:r w:rsidRPr="00FD616A">
        <w:rPr>
          <w:rFonts w:ascii="Century Schoolbook" w:hAnsi="Century Schoolbook"/>
        </w:rPr>
        <w:softHyphen/>
        <w:t xml:space="preserve">lusione dell’applicazione delle norme del diritto dell’Unione in materia di appalti pubblici o di concessioni di servizi, dal momento che una presenza puramente formale nella compagine di tale </w:t>
      </w:r>
      <w:r w:rsidRPr="00FD616A">
        <w:rPr>
          <w:rFonts w:ascii="Century Schoolbook" w:hAnsi="Century Schoolbook"/>
          <w:spacing w:val="-2"/>
        </w:rPr>
        <w:t>entità o in un organo comune incaricato della direzione della stessa dispenserebbe detta amministrazione aggiudicatrice dall’obbligo di avviare una procedura di gara d’appalto secondo le norme del</w:t>
      </w:r>
      <w:r w:rsidRPr="00FD616A">
        <w:rPr>
          <w:rFonts w:ascii="Century Schoolbook" w:hAnsi="Century Schoolbook"/>
          <w:spacing w:val="-2"/>
        </w:rPr>
        <w:softHyphen/>
        <w:t>l’Unione, nonostante essa non prenda parte in alcun modo all’esercizio del «controllo analogo» sul</w:t>
      </w:r>
      <w:r w:rsidRPr="00FD616A">
        <w:rPr>
          <w:rFonts w:ascii="Century Schoolbook" w:hAnsi="Century Schoolbook"/>
          <w:spacing w:val="-2"/>
        </w:rPr>
        <w:softHyphen/>
        <w:t xml:space="preserve">l’entità in questione (v., in tal senso, sentenza del 21 luglio 2005, </w:t>
      </w:r>
      <w:proofErr w:type="spellStart"/>
      <w:r w:rsidRPr="00FD616A">
        <w:rPr>
          <w:rFonts w:ascii="Century Schoolbook" w:hAnsi="Century Schoolbook"/>
          <w:i/>
          <w:iCs/>
          <w:spacing w:val="-2"/>
        </w:rPr>
        <w:t>Coname</w:t>
      </w:r>
      <w:proofErr w:type="spellEnd"/>
      <w:r w:rsidRPr="00FD616A">
        <w:rPr>
          <w:rFonts w:ascii="Century Schoolbook" w:hAnsi="Century Schoolbook"/>
          <w:spacing w:val="-2"/>
        </w:rPr>
        <w:t>, C-231/03, punto 24)».</w:t>
      </w:r>
    </w:p>
  </w:footnote>
  <w:footnote w:id="32">
    <w:p w14:paraId="25B43A43" w14:textId="77777777" w:rsidR="00F7397D" w:rsidRPr="00FD616A" w:rsidRDefault="00F7397D" w:rsidP="00D22A38">
      <w:pPr>
        <w:pStyle w:val="Testonotaapidipagina"/>
        <w:rPr>
          <w:rFonts w:ascii="Century Schoolbook" w:hAnsi="Century Schoolbook"/>
        </w:rPr>
      </w:pPr>
      <w:r w:rsidRPr="00FD616A">
        <w:rPr>
          <w:rStyle w:val="Rimandonotaapidipagina"/>
          <w:rFonts w:ascii="Century Schoolbook" w:hAnsi="Century Schoolbook"/>
          <w:szCs w:val="18"/>
        </w:rPr>
        <w:footnoteRef/>
      </w:r>
      <w:r w:rsidRPr="00FD616A">
        <w:rPr>
          <w:rFonts w:ascii="Century Schoolbook" w:hAnsi="Century Schoolbook"/>
          <w:vertAlign w:val="superscript"/>
        </w:rPr>
        <w:t> </w:t>
      </w:r>
      <w:r w:rsidRPr="00FD616A">
        <w:rPr>
          <w:rFonts w:ascii="Century Schoolbook" w:hAnsi="Century Schoolbook"/>
        </w:rPr>
        <w:t>La sentenza: «tale posizione di primazia spettante al MIUR porta ad escludere che la partecipazione paritaria, ancorché con diritto di voto, da parte delle università consorziate al Consiglio consortile del Cineca sia sufficiente ad assicurare il controllo analogo in forma congiunta. Ciò anche in considerazione del fatto che, per un verso, partecipando in posizione paritaria, ciascuna università conta per una quota pari a circa 1/72 (e dunque per poco più dell’1%) e che, comunque, le delibere di maggiore importanza, non possono essere assunte, nell’ambito dello stesso Consiglio consortile, senza il consenso del MIUR».</w:t>
      </w:r>
    </w:p>
    <w:p w14:paraId="0E2BDAFC" w14:textId="77777777" w:rsidR="00F7397D" w:rsidRPr="00FD616A" w:rsidRDefault="00F7397D" w:rsidP="003E24B1">
      <w:pPr>
        <w:pStyle w:val="Testonotaapidipagina"/>
        <w:spacing w:before="0"/>
        <w:rPr>
          <w:rFonts w:ascii="Century Schoolbook" w:hAnsi="Century Schoolbook"/>
        </w:rPr>
      </w:pPr>
      <w:r w:rsidRPr="00FD616A">
        <w:rPr>
          <w:rFonts w:ascii="Century Schoolbook" w:hAnsi="Century Schoolbook"/>
        </w:rPr>
        <w:t xml:space="preserve">Una precisazione. Il parere n. 298/2015 cit. si occupa solo del controllo analogo esercitato dal MIUR sul Cineca, e lo considera esistente. Invece la </w:t>
      </w:r>
      <w:proofErr w:type="spellStart"/>
      <w:r w:rsidRPr="00FD616A">
        <w:rPr>
          <w:rFonts w:ascii="Century Schoolbook" w:hAnsi="Century Schoolbook"/>
        </w:rPr>
        <w:t>sent</w:t>
      </w:r>
      <w:proofErr w:type="spellEnd"/>
      <w:r w:rsidRPr="00FD616A">
        <w:rPr>
          <w:rFonts w:ascii="Century Schoolbook" w:hAnsi="Century Schoolbook"/>
        </w:rPr>
        <w:t xml:space="preserve">. n. 2660/2015 affronta la stessa questione, ma traguardata nel prisma del rapporto fra l’università della Calabria e il Cineca: pervenendo a esiti negativi in base sia alla inconsistenza di un potere di controllo riferibile all’ateneo calabrese, sia alla presenza dominante del MIUR. In altri termini, il parere </w:t>
      </w:r>
      <w:r w:rsidRPr="00FD616A">
        <w:rPr>
          <w:rFonts w:ascii="Century Schoolbook" w:hAnsi="Century Schoolbook"/>
          <w:i/>
          <w:iCs/>
        </w:rPr>
        <w:t>de quo</w:t>
      </w:r>
      <w:r w:rsidRPr="00FD616A">
        <w:rPr>
          <w:rFonts w:ascii="Century Schoolbook" w:hAnsi="Century Schoolbook"/>
        </w:rPr>
        <w:t>, nella misura in cui enfatizza lo spessore dei poteri del MIUR di ingerenza nella gestione del Cineca, esclude (implicita</w:t>
      </w:r>
      <w:r w:rsidRPr="00FD616A">
        <w:rPr>
          <w:rFonts w:ascii="Century Schoolbook" w:hAnsi="Century Schoolbook"/>
          <w:spacing w:val="-2"/>
        </w:rPr>
        <w:t xml:space="preserve">mente) la natura </w:t>
      </w:r>
      <w:r w:rsidRPr="00FD616A">
        <w:rPr>
          <w:rFonts w:ascii="Century Schoolbook" w:hAnsi="Century Schoolbook"/>
          <w:i/>
          <w:iCs/>
          <w:spacing w:val="-2"/>
        </w:rPr>
        <w:t>congiunta</w:t>
      </w:r>
      <w:r w:rsidRPr="00FD616A">
        <w:rPr>
          <w:rFonts w:ascii="Century Schoolbook" w:hAnsi="Century Schoolbook"/>
          <w:spacing w:val="-2"/>
        </w:rPr>
        <w:t xml:space="preserve"> del controllo con riferimento alle università consorziate. Ha quindi</w:t>
      </w:r>
      <w:r w:rsidRPr="00FD616A">
        <w:rPr>
          <w:rFonts w:ascii="Century Schoolbook" w:hAnsi="Century Schoolbook"/>
        </w:rPr>
        <w:t xml:space="preserve"> buon gioco la </w:t>
      </w:r>
      <w:proofErr w:type="spellStart"/>
      <w:r w:rsidRPr="00FD616A">
        <w:rPr>
          <w:rFonts w:ascii="Century Schoolbook" w:hAnsi="Century Schoolbook"/>
        </w:rPr>
        <w:t>sent</w:t>
      </w:r>
      <w:proofErr w:type="spellEnd"/>
      <w:r w:rsidRPr="00FD616A">
        <w:rPr>
          <w:rFonts w:ascii="Century Schoolbook" w:hAnsi="Century Schoolbook"/>
        </w:rPr>
        <w:t xml:space="preserve">. n. 2660/2015 nel fondare (anche) sull’egemonia del MIUR la conclusione negativa circa l’esistenza di un rapporto </w:t>
      </w:r>
      <w:r w:rsidRPr="00FD616A">
        <w:rPr>
          <w:rFonts w:ascii="Century Schoolbook" w:hAnsi="Century Schoolbook"/>
          <w:i/>
          <w:iCs/>
        </w:rPr>
        <w:t>in house</w:t>
      </w:r>
      <w:r w:rsidRPr="00FD616A">
        <w:rPr>
          <w:rFonts w:ascii="Century Schoolbook" w:hAnsi="Century Schoolbook"/>
        </w:rPr>
        <w:t xml:space="preserve"> fra il consorzio e l’università calabrese. Sul punto v. M. </w:t>
      </w:r>
      <w:r w:rsidRPr="00FD616A">
        <w:rPr>
          <w:rFonts w:ascii="Century Schoolbook" w:hAnsi="Century Schoolbook"/>
          <w:smallCaps/>
        </w:rPr>
        <w:t>Pizzi</w:t>
      </w:r>
      <w:r w:rsidRPr="00FD616A">
        <w:rPr>
          <w:rFonts w:ascii="Century Schoolbook" w:hAnsi="Century Schoolbook"/>
        </w:rPr>
        <w:t xml:space="preserve">, </w:t>
      </w:r>
      <w:r w:rsidRPr="00FD616A">
        <w:rPr>
          <w:rFonts w:ascii="Century Schoolbook" w:hAnsi="Century Schoolbook"/>
          <w:i/>
          <w:iCs/>
        </w:rPr>
        <w:t>Affidamenti</w:t>
      </w:r>
      <w:r w:rsidRPr="00FD616A">
        <w:rPr>
          <w:rFonts w:ascii="Century Schoolbook" w:hAnsi="Century Schoolbook"/>
        </w:rPr>
        <w:t xml:space="preserve"> in house, in A.M. </w:t>
      </w:r>
      <w:r w:rsidRPr="00FD616A">
        <w:rPr>
          <w:rFonts w:ascii="Century Schoolbook" w:hAnsi="Century Schoolbook"/>
          <w:smallCaps/>
        </w:rPr>
        <w:t>Sandulli-</w:t>
      </w:r>
      <w:r w:rsidRPr="00FD616A">
        <w:rPr>
          <w:rFonts w:ascii="Century Schoolbook" w:hAnsi="Century Schoolbook"/>
        </w:rPr>
        <w:t xml:space="preserve">R. </w:t>
      </w:r>
      <w:r w:rsidRPr="00FD616A">
        <w:rPr>
          <w:rFonts w:ascii="Century Schoolbook" w:hAnsi="Century Schoolbook"/>
          <w:smallCaps/>
        </w:rPr>
        <w:t>De</w:t>
      </w:r>
      <w:r w:rsidRPr="00FD616A">
        <w:rPr>
          <w:rFonts w:ascii="Century Schoolbook" w:hAnsi="Century Schoolbook"/>
        </w:rPr>
        <w:t xml:space="preserve"> </w:t>
      </w:r>
      <w:r w:rsidRPr="00FD616A">
        <w:rPr>
          <w:rFonts w:ascii="Century Schoolbook" w:hAnsi="Century Schoolbook"/>
          <w:smallCaps/>
        </w:rPr>
        <w:t>Nictolis</w:t>
      </w:r>
      <w:r w:rsidRPr="00FD616A">
        <w:rPr>
          <w:rFonts w:ascii="Century Schoolbook" w:hAnsi="Century Schoolbook"/>
        </w:rPr>
        <w:t xml:space="preserve"> (diretto da), </w:t>
      </w:r>
      <w:r w:rsidRPr="00FD616A">
        <w:rPr>
          <w:rFonts w:ascii="Century Schoolbook" w:hAnsi="Century Schoolbook"/>
          <w:i/>
          <w:iCs/>
        </w:rPr>
        <w:t>Trattato sui contratti pubblici</w:t>
      </w:r>
      <w:r w:rsidRPr="00FD616A">
        <w:rPr>
          <w:rFonts w:ascii="Century Schoolbook" w:hAnsi="Century Schoolbook"/>
        </w:rPr>
        <w:t>, vol. I, Milano, p. 743 ss., spec. p. 835.</w:t>
      </w:r>
    </w:p>
  </w:footnote>
  <w:footnote w:id="33">
    <w:p w14:paraId="437CA354" w14:textId="77777777" w:rsidR="00F7397D" w:rsidRPr="00FD616A" w:rsidRDefault="00F7397D" w:rsidP="00D22A38">
      <w:pPr>
        <w:pStyle w:val="Testonotaapidipagina"/>
        <w:rPr>
          <w:rFonts w:ascii="Century Schoolbook" w:hAnsi="Century Schoolbook"/>
        </w:rPr>
      </w:pPr>
      <w:r w:rsidRPr="00FD616A">
        <w:rPr>
          <w:rStyle w:val="Rimandonotaapidipagina"/>
          <w:rFonts w:ascii="Century Schoolbook" w:hAnsi="Century Schoolbook"/>
          <w:szCs w:val="18"/>
        </w:rPr>
        <w:footnoteRef/>
      </w:r>
      <w:r w:rsidRPr="00FD616A">
        <w:rPr>
          <w:rFonts w:ascii="Century Schoolbook" w:hAnsi="Century Schoolbook"/>
          <w:vertAlign w:val="superscript"/>
        </w:rPr>
        <w:t> </w:t>
      </w:r>
      <w:r w:rsidRPr="00FD616A">
        <w:rPr>
          <w:rFonts w:ascii="Century Schoolbook" w:hAnsi="Century Schoolbook"/>
        </w:rPr>
        <w:t xml:space="preserve">Dice più o meno così A. </w:t>
      </w:r>
      <w:r w:rsidRPr="00FD616A">
        <w:rPr>
          <w:rFonts w:ascii="Century Schoolbook" w:hAnsi="Century Schoolbook"/>
          <w:smallCaps/>
        </w:rPr>
        <w:t>Sau</w:t>
      </w:r>
      <w:r w:rsidRPr="00FD616A">
        <w:rPr>
          <w:rFonts w:ascii="Century Schoolbook" w:hAnsi="Century Schoolbook"/>
        </w:rPr>
        <w:t xml:space="preserve">, </w:t>
      </w:r>
      <w:r w:rsidRPr="00FD616A">
        <w:rPr>
          <w:rFonts w:ascii="Century Schoolbook" w:hAnsi="Century Schoolbook"/>
          <w:i/>
          <w:iCs/>
        </w:rPr>
        <w:t xml:space="preserve">Dubbi e certezze sulla natura </w:t>
      </w:r>
      <w:r w:rsidRPr="00FD616A">
        <w:rPr>
          <w:rFonts w:ascii="Century Schoolbook" w:hAnsi="Century Schoolbook"/>
        </w:rPr>
        <w:t xml:space="preserve">in </w:t>
      </w:r>
      <w:proofErr w:type="spellStart"/>
      <w:r w:rsidRPr="00FD616A">
        <w:rPr>
          <w:rFonts w:ascii="Century Schoolbook" w:hAnsi="Century Schoolbook"/>
        </w:rPr>
        <w:t>house</w:t>
      </w:r>
      <w:proofErr w:type="spellEnd"/>
      <w:r w:rsidRPr="00FD616A">
        <w:rPr>
          <w:rFonts w:ascii="Century Schoolbook" w:hAnsi="Century Schoolbook"/>
        </w:rPr>
        <w:t xml:space="preserve"> </w:t>
      </w:r>
      <w:proofErr w:type="spellStart"/>
      <w:r w:rsidRPr="00FD616A">
        <w:rPr>
          <w:rFonts w:ascii="Century Schoolbook" w:hAnsi="Century Schoolbook"/>
        </w:rPr>
        <w:t>providing</w:t>
      </w:r>
      <w:proofErr w:type="spellEnd"/>
      <w:r w:rsidRPr="00FD616A">
        <w:rPr>
          <w:rFonts w:ascii="Century Schoolbook" w:hAnsi="Century Schoolbook"/>
          <w:i/>
          <w:iCs/>
        </w:rPr>
        <w:t xml:space="preserve"> del </w:t>
      </w:r>
      <w:proofErr w:type="spellStart"/>
      <w:r w:rsidRPr="00FD616A">
        <w:rPr>
          <w:rFonts w:ascii="Century Schoolbook" w:hAnsi="Century Schoolbook"/>
          <w:i/>
          <w:iCs/>
        </w:rPr>
        <w:t>Cineca</w:t>
      </w:r>
      <w:proofErr w:type="spellEnd"/>
      <w:r w:rsidRPr="00FD616A">
        <w:rPr>
          <w:rFonts w:ascii="Century Schoolbook" w:hAnsi="Century Schoolbook"/>
        </w:rPr>
        <w:t xml:space="preserve">, in </w:t>
      </w:r>
      <w:proofErr w:type="spellStart"/>
      <w:r w:rsidRPr="00FD616A">
        <w:rPr>
          <w:rFonts w:ascii="Century Schoolbook" w:hAnsi="Century Schoolbook"/>
          <w:i/>
          <w:iCs/>
        </w:rPr>
        <w:t>Munus</w:t>
      </w:r>
      <w:proofErr w:type="spellEnd"/>
      <w:r w:rsidRPr="00FD616A">
        <w:rPr>
          <w:rFonts w:ascii="Century Schoolbook" w:hAnsi="Century Schoolbook"/>
        </w:rPr>
        <w:t>, 2015, p. 465 ss., spec. p. 469.</w:t>
      </w:r>
    </w:p>
  </w:footnote>
  <w:footnote w:id="34">
    <w:p w14:paraId="1F92A6AF" w14:textId="77777777" w:rsidR="00F7397D" w:rsidRPr="00FD616A" w:rsidRDefault="00F7397D" w:rsidP="00D22A38">
      <w:pPr>
        <w:pStyle w:val="Testonotaapidipagina"/>
        <w:rPr>
          <w:rFonts w:ascii="Century Schoolbook" w:hAnsi="Century Schoolbook"/>
        </w:rPr>
      </w:pPr>
      <w:r w:rsidRPr="00FD616A">
        <w:rPr>
          <w:rStyle w:val="Rimandonotaapidipagina"/>
          <w:rFonts w:ascii="Century Schoolbook" w:hAnsi="Century Schoolbook"/>
          <w:szCs w:val="18"/>
        </w:rPr>
        <w:footnoteRef/>
      </w:r>
      <w:r w:rsidRPr="00FD616A">
        <w:rPr>
          <w:rFonts w:ascii="Century Schoolbook" w:hAnsi="Century Schoolbook"/>
          <w:vertAlign w:val="superscript"/>
        </w:rPr>
        <w:t> </w:t>
      </w:r>
      <w:r w:rsidRPr="00FD616A">
        <w:rPr>
          <w:rFonts w:ascii="Century Schoolbook" w:hAnsi="Century Schoolbook"/>
        </w:rPr>
        <w:t xml:space="preserve">Sempre A. </w:t>
      </w:r>
      <w:r w:rsidRPr="00FD616A">
        <w:rPr>
          <w:rFonts w:ascii="Century Schoolbook" w:hAnsi="Century Schoolbook"/>
          <w:smallCaps/>
        </w:rPr>
        <w:t>Sau</w:t>
      </w:r>
      <w:r w:rsidRPr="00FD616A">
        <w:rPr>
          <w:rFonts w:ascii="Century Schoolbook" w:hAnsi="Century Schoolbook"/>
        </w:rPr>
        <w:t xml:space="preserve">, </w:t>
      </w:r>
      <w:r w:rsidRPr="00FD616A">
        <w:rPr>
          <w:rFonts w:ascii="Century Schoolbook" w:hAnsi="Century Schoolbook"/>
          <w:i/>
          <w:iCs/>
        </w:rPr>
        <w:t>ibidem.</w:t>
      </w:r>
    </w:p>
  </w:footnote>
  <w:footnote w:id="35">
    <w:p w14:paraId="581140E5" w14:textId="77777777" w:rsidR="00F7397D" w:rsidRPr="00FD616A" w:rsidRDefault="00F7397D" w:rsidP="00D22A38">
      <w:pPr>
        <w:pStyle w:val="Testonotaapidipagina"/>
        <w:rPr>
          <w:rFonts w:ascii="Century Schoolbook" w:hAnsi="Century Schoolbook"/>
        </w:rPr>
      </w:pPr>
      <w:r w:rsidRPr="00FD616A">
        <w:rPr>
          <w:rStyle w:val="Rimandonotaapidipagina"/>
          <w:rFonts w:ascii="Century Schoolbook" w:hAnsi="Century Schoolbook"/>
          <w:szCs w:val="18"/>
        </w:rPr>
        <w:footnoteRef/>
      </w:r>
      <w:r w:rsidRPr="00FD616A">
        <w:rPr>
          <w:rFonts w:ascii="Century Schoolbook" w:hAnsi="Century Schoolbook"/>
          <w:vertAlign w:val="superscript"/>
        </w:rPr>
        <w:t> </w:t>
      </w:r>
      <w:r w:rsidRPr="00FD616A">
        <w:rPr>
          <w:rFonts w:ascii="Century Schoolbook" w:hAnsi="Century Schoolbook"/>
        </w:rPr>
        <w:t>Eccoli:</w:t>
      </w:r>
    </w:p>
    <w:p w14:paraId="28F3694F" w14:textId="77777777" w:rsidR="00F7397D" w:rsidRPr="00FD616A" w:rsidRDefault="00F7397D" w:rsidP="003E24B1">
      <w:pPr>
        <w:pStyle w:val="Testonotaapidipagina"/>
        <w:spacing w:before="0"/>
        <w:rPr>
          <w:rFonts w:ascii="Century Schoolbook" w:hAnsi="Century Schoolbook"/>
        </w:rPr>
      </w:pPr>
      <w:r w:rsidRPr="00FD616A">
        <w:rPr>
          <w:rFonts w:ascii="Century Schoolbook" w:hAnsi="Century Schoolbook"/>
        </w:rPr>
        <w:t>«11-</w:t>
      </w:r>
      <w:r w:rsidRPr="00FD616A">
        <w:rPr>
          <w:rFonts w:ascii="Century Schoolbook" w:hAnsi="Century Schoolbook"/>
          <w:i/>
          <w:iCs/>
        </w:rPr>
        <w:t>bis</w:t>
      </w:r>
      <w:r w:rsidRPr="00FD616A">
        <w:rPr>
          <w:rFonts w:ascii="Century Schoolbook" w:hAnsi="Century Schoolbook"/>
        </w:rPr>
        <w:t>. Fanno parte del Consorzio interuniversitario CINECA, che opera senza scopo di lucro ed è sottoposto alla vigilanza del Ministero dell’istruzione, dell’università e della ricerca, persone giuridiche pubbliche o private che svolgono attività nel settore dell’istruzione, dell’università e della ricerca, secondo quanto previsto dallo statuto del Consorzio medesimo.</w:t>
      </w:r>
    </w:p>
    <w:p w14:paraId="1D1BC68E" w14:textId="77777777" w:rsidR="00F7397D" w:rsidRPr="00FD616A" w:rsidRDefault="00F7397D" w:rsidP="003E24B1">
      <w:pPr>
        <w:pStyle w:val="Testonotaapidipagina"/>
        <w:spacing w:before="0"/>
        <w:rPr>
          <w:rFonts w:ascii="Century Schoolbook" w:hAnsi="Century Schoolbook"/>
        </w:rPr>
      </w:pPr>
      <w:r w:rsidRPr="00FD616A">
        <w:rPr>
          <w:rFonts w:ascii="Century Schoolbook" w:hAnsi="Century Schoolbook"/>
          <w:spacing w:val="-2"/>
        </w:rPr>
        <w:t>11-</w:t>
      </w:r>
      <w:r w:rsidRPr="00FD616A">
        <w:rPr>
          <w:rFonts w:ascii="Century Schoolbook" w:hAnsi="Century Schoolbook"/>
          <w:i/>
          <w:iCs/>
          <w:spacing w:val="-2"/>
        </w:rPr>
        <w:t>ter</w:t>
      </w:r>
      <w:r w:rsidRPr="00FD616A">
        <w:rPr>
          <w:rFonts w:ascii="Century Schoolbook" w:hAnsi="Century Schoolbook"/>
          <w:spacing w:val="-2"/>
        </w:rPr>
        <w:t>. Il Ministero dell’istruzione, dell’università e della ricerca e le altre amministrazioni</w:t>
      </w:r>
      <w:r w:rsidRPr="00FD616A">
        <w:rPr>
          <w:rFonts w:ascii="Century Schoolbook" w:hAnsi="Century Schoolbook"/>
        </w:rPr>
        <w:t xml:space="preserve"> consorziate esercitano, congiuntamente, sul Consorzio interuniversitario CINECA un controllo analogo a quello esercitato sui propri servizi, previo adeguamento, ove necessario, dello statuto del Consorzio medesimo.</w:t>
      </w:r>
    </w:p>
    <w:p w14:paraId="4D9CFAAB" w14:textId="4665B1E9" w:rsidR="00F7397D" w:rsidRPr="00FD616A" w:rsidRDefault="00F7397D" w:rsidP="003E24B1">
      <w:pPr>
        <w:pStyle w:val="Testonotaapidipagina"/>
        <w:spacing w:before="0"/>
        <w:rPr>
          <w:rFonts w:ascii="Century Schoolbook" w:hAnsi="Century Schoolbook"/>
        </w:rPr>
      </w:pPr>
      <w:r w:rsidRPr="00FD616A">
        <w:rPr>
          <w:rFonts w:ascii="Century Schoolbook" w:hAnsi="Century Schoolbook"/>
        </w:rPr>
        <w:t>11-</w:t>
      </w:r>
      <w:r w:rsidRPr="00FD616A">
        <w:rPr>
          <w:rFonts w:ascii="Century Schoolbook" w:hAnsi="Century Schoolbook"/>
          <w:i/>
          <w:iCs/>
        </w:rPr>
        <w:t>quater</w:t>
      </w:r>
      <w:r w:rsidRPr="00FD616A">
        <w:rPr>
          <w:rFonts w:ascii="Century Schoolbook" w:hAnsi="Century Schoolbook"/>
        </w:rPr>
        <w:t>. I servizi informativi strumentali al funzionamento dei soggetti facenti parte del sistema dell’istruzione, dell’università e della ricerca possono essere svolti da detti soggetti direttamente o per il tramite di enti, anche con personalità giuridica di diritto privato, costituiti su iniziativa delle amministrazioni pubbliche di cui all’articolo 1, comma 2, del decreto legislativo 30 marzo 2001, n. 165, e successive modificazioni, e da queste partecipati, purché siano soddisfatte le se</w:t>
      </w:r>
      <w:r w:rsidR="00E769A1" w:rsidRPr="00FD616A">
        <w:rPr>
          <w:rFonts w:ascii="Century Schoolbook" w:hAnsi="Century Schoolbook"/>
        </w:rPr>
        <w:softHyphen/>
      </w:r>
      <w:r w:rsidRPr="00FD616A">
        <w:rPr>
          <w:rFonts w:ascii="Century Schoolbook" w:hAnsi="Century Schoolbook"/>
        </w:rPr>
        <w:t>guenti condizioni:</w:t>
      </w:r>
    </w:p>
    <w:p w14:paraId="1A495E18" w14:textId="77777777" w:rsidR="00F7397D" w:rsidRPr="00FD616A" w:rsidRDefault="00F7397D" w:rsidP="003E24B1">
      <w:pPr>
        <w:pStyle w:val="Testonotaapidipagina"/>
        <w:spacing w:before="0"/>
        <w:rPr>
          <w:rFonts w:ascii="Century Schoolbook" w:hAnsi="Century Schoolbook"/>
          <w:spacing w:val="2"/>
        </w:rPr>
      </w:pPr>
      <w:r w:rsidRPr="00FD616A">
        <w:rPr>
          <w:rFonts w:ascii="Century Schoolbook" w:hAnsi="Century Schoolbook"/>
        </w:rPr>
        <w:t xml:space="preserve">a) </w:t>
      </w:r>
      <w:r w:rsidRPr="00FD616A">
        <w:rPr>
          <w:rFonts w:ascii="Century Schoolbook" w:hAnsi="Century Schoolbook"/>
          <w:spacing w:val="2"/>
        </w:rPr>
        <w:t>oltre l’80 per cento delle attività dell’ente è effettuato nello svolgimento dei compiti ad esso affidati dall’amministrazione controllante o da altre persone giuridiche controllate dalla stessa;</w:t>
      </w:r>
    </w:p>
    <w:p w14:paraId="0BAB8EBF" w14:textId="77777777" w:rsidR="00F7397D" w:rsidRPr="00FD616A" w:rsidRDefault="00F7397D" w:rsidP="003E24B1">
      <w:pPr>
        <w:pStyle w:val="Testonotaapidipagina"/>
        <w:spacing w:before="0"/>
        <w:rPr>
          <w:rFonts w:ascii="Century Schoolbook" w:hAnsi="Century Schoolbook"/>
        </w:rPr>
      </w:pPr>
      <w:r w:rsidRPr="00FD616A">
        <w:rPr>
          <w:rFonts w:ascii="Century Schoolbook" w:hAnsi="Century Schoolbook"/>
        </w:rPr>
        <w:t>b) nella persona giuridica controllata non vi è alcuna partecipazione diretta di capitali privati, ad eccezione di forme di partecipazione di capitali privati che non comportano controllo o potere di veto e che non esercitano un’influenza determinante sulla persona giuridica controllata;</w:t>
      </w:r>
    </w:p>
    <w:p w14:paraId="4F8FE890" w14:textId="77777777" w:rsidR="00F7397D" w:rsidRPr="00FD616A" w:rsidRDefault="00F7397D" w:rsidP="003E24B1">
      <w:pPr>
        <w:pStyle w:val="Testonotaapidipagina"/>
        <w:spacing w:before="0"/>
        <w:rPr>
          <w:rFonts w:ascii="Century Schoolbook" w:hAnsi="Century Schoolbook"/>
        </w:rPr>
      </w:pPr>
      <w:r w:rsidRPr="00FD616A">
        <w:rPr>
          <w:rFonts w:ascii="Century Schoolbook" w:hAnsi="Century Schoolbook"/>
        </w:rPr>
        <w:t>c) le amministrazioni partecipanti esercitano su tali enti, anche in maniera congiunta, un controllo analogo a quello da esse esercitato sui propri servizi».</w:t>
      </w:r>
    </w:p>
  </w:footnote>
  <w:footnote w:id="36">
    <w:p w14:paraId="5ED9B879" w14:textId="77777777" w:rsidR="00F7397D" w:rsidRPr="00FD616A" w:rsidRDefault="00F7397D" w:rsidP="00D22A38">
      <w:pPr>
        <w:pStyle w:val="Testonotaapidipagina"/>
        <w:rPr>
          <w:rFonts w:ascii="Century Schoolbook" w:hAnsi="Century Schoolbook"/>
        </w:rPr>
      </w:pPr>
      <w:r w:rsidRPr="00FD616A">
        <w:rPr>
          <w:rStyle w:val="Rimandonotaapidipagina"/>
          <w:rFonts w:ascii="Century Schoolbook" w:hAnsi="Century Schoolbook"/>
          <w:szCs w:val="18"/>
        </w:rPr>
        <w:footnoteRef/>
      </w:r>
      <w:r w:rsidRPr="00FD616A">
        <w:rPr>
          <w:rFonts w:ascii="Century Schoolbook" w:hAnsi="Century Schoolbook"/>
          <w:vertAlign w:val="superscript"/>
        </w:rPr>
        <w:t> </w:t>
      </w:r>
      <w:r w:rsidRPr="00FD616A">
        <w:rPr>
          <w:rFonts w:ascii="Century Schoolbook" w:hAnsi="Century Schoolbook"/>
        </w:rPr>
        <w:t xml:space="preserve">A. </w:t>
      </w:r>
      <w:r w:rsidRPr="00FD616A">
        <w:rPr>
          <w:rFonts w:ascii="Century Schoolbook" w:hAnsi="Century Schoolbook"/>
          <w:smallCaps/>
        </w:rPr>
        <w:t>Sau</w:t>
      </w:r>
      <w:r w:rsidRPr="00FD616A">
        <w:rPr>
          <w:rFonts w:ascii="Century Schoolbook" w:hAnsi="Century Schoolbook"/>
        </w:rPr>
        <w:t xml:space="preserve">, </w:t>
      </w:r>
      <w:r w:rsidRPr="00FD616A">
        <w:rPr>
          <w:rFonts w:ascii="Century Schoolbook" w:hAnsi="Century Schoolbook"/>
          <w:i/>
          <w:iCs/>
        </w:rPr>
        <w:t>Dubbi e certezze</w:t>
      </w:r>
      <w:r w:rsidRPr="00FD616A">
        <w:rPr>
          <w:rFonts w:ascii="Century Schoolbook" w:hAnsi="Century Schoolbook"/>
        </w:rPr>
        <w:t>, cit., p. 482.</w:t>
      </w:r>
    </w:p>
  </w:footnote>
  <w:footnote w:id="37">
    <w:p w14:paraId="6186E3D4" w14:textId="77777777" w:rsidR="00F7397D" w:rsidRPr="00FD616A" w:rsidRDefault="00F7397D" w:rsidP="00D22A38">
      <w:pPr>
        <w:pStyle w:val="Testonotaapidipagina"/>
        <w:rPr>
          <w:rFonts w:ascii="Century Schoolbook" w:hAnsi="Century Schoolbook"/>
        </w:rPr>
      </w:pPr>
      <w:r w:rsidRPr="00FD616A">
        <w:rPr>
          <w:rStyle w:val="Rimandonotaapidipagina"/>
          <w:rFonts w:ascii="Century Schoolbook" w:hAnsi="Century Schoolbook"/>
          <w:szCs w:val="18"/>
        </w:rPr>
        <w:footnoteRef/>
      </w:r>
      <w:r w:rsidRPr="00FD616A">
        <w:rPr>
          <w:rFonts w:ascii="Century Schoolbook" w:hAnsi="Century Schoolbook"/>
          <w:vertAlign w:val="superscript"/>
        </w:rPr>
        <w:t> </w:t>
      </w:r>
      <w:r w:rsidRPr="00FD616A">
        <w:rPr>
          <w:rFonts w:ascii="Century Schoolbook" w:hAnsi="Century Schoolbook"/>
        </w:rPr>
        <w:t xml:space="preserve">V. </w:t>
      </w:r>
      <w:r w:rsidRPr="00FD616A">
        <w:rPr>
          <w:rFonts w:ascii="Century Schoolbook" w:hAnsi="Century Schoolbook"/>
          <w:smallCaps/>
        </w:rPr>
        <w:t>Zeno</w:t>
      </w:r>
      <w:r w:rsidRPr="00FD616A">
        <w:rPr>
          <w:rFonts w:ascii="Century Schoolbook" w:hAnsi="Century Schoolbook"/>
        </w:rPr>
        <w:t>-</w:t>
      </w:r>
      <w:proofErr w:type="spellStart"/>
      <w:r w:rsidRPr="00FD616A">
        <w:rPr>
          <w:rFonts w:ascii="Century Schoolbook" w:hAnsi="Century Schoolbook"/>
          <w:smallCaps/>
        </w:rPr>
        <w:t>Zencovich</w:t>
      </w:r>
      <w:proofErr w:type="spellEnd"/>
      <w:r w:rsidRPr="00FD616A">
        <w:rPr>
          <w:rFonts w:ascii="Century Schoolbook" w:hAnsi="Century Schoolbook"/>
        </w:rPr>
        <w:t xml:space="preserve">, </w:t>
      </w:r>
      <w:r w:rsidRPr="00FD616A">
        <w:rPr>
          <w:rFonts w:ascii="Century Schoolbook" w:hAnsi="Century Schoolbook"/>
          <w:i/>
          <w:iCs/>
        </w:rPr>
        <w:t xml:space="preserve">Università e disciplina degli appalti. Concorrenza, servizi </w:t>
      </w:r>
      <w:r w:rsidRPr="00FD616A">
        <w:rPr>
          <w:rFonts w:ascii="Century Schoolbook" w:hAnsi="Century Schoolbook"/>
        </w:rPr>
        <w:t>«in house»</w:t>
      </w:r>
      <w:r w:rsidRPr="00FD616A">
        <w:rPr>
          <w:rFonts w:ascii="Century Schoolbook" w:hAnsi="Century Schoolbook"/>
          <w:i/>
          <w:iCs/>
        </w:rPr>
        <w:t xml:space="preserve"> e prospettive evolutive</w:t>
      </w:r>
      <w:r w:rsidRPr="00FD616A">
        <w:rPr>
          <w:rFonts w:ascii="Century Schoolbook" w:hAnsi="Century Schoolbook"/>
        </w:rPr>
        <w:t xml:space="preserve">, in </w:t>
      </w:r>
      <w:proofErr w:type="spellStart"/>
      <w:r w:rsidRPr="00FD616A">
        <w:rPr>
          <w:rFonts w:ascii="Century Schoolbook" w:hAnsi="Century Schoolbook"/>
          <w:i/>
          <w:iCs/>
        </w:rPr>
        <w:t>Munus</w:t>
      </w:r>
      <w:proofErr w:type="spellEnd"/>
      <w:r w:rsidRPr="00FD616A">
        <w:rPr>
          <w:rFonts w:ascii="Century Schoolbook" w:hAnsi="Century Schoolbook"/>
        </w:rPr>
        <w:t>, 2015, p. 456 ss., spec. p. 464: «</w:t>
      </w:r>
      <w:proofErr w:type="spellStart"/>
      <w:r w:rsidRPr="00FD616A">
        <w:rPr>
          <w:rFonts w:ascii="Century Schoolbook" w:hAnsi="Century Schoolbook"/>
          <w:i/>
          <w:iCs/>
        </w:rPr>
        <w:t>ope</w:t>
      </w:r>
      <w:proofErr w:type="spellEnd"/>
      <w:r w:rsidRPr="00FD616A">
        <w:rPr>
          <w:rFonts w:ascii="Century Schoolbook" w:hAnsi="Century Schoolbook"/>
          <w:i/>
          <w:iCs/>
        </w:rPr>
        <w:t xml:space="preserve"> </w:t>
      </w:r>
      <w:proofErr w:type="spellStart"/>
      <w:r w:rsidRPr="00FD616A">
        <w:rPr>
          <w:rFonts w:ascii="Century Schoolbook" w:hAnsi="Century Schoolbook"/>
          <w:i/>
          <w:iCs/>
        </w:rPr>
        <w:t>legis</w:t>
      </w:r>
      <w:proofErr w:type="spellEnd"/>
      <w:r w:rsidRPr="00FD616A">
        <w:rPr>
          <w:rFonts w:ascii="Century Schoolbook" w:hAnsi="Century Schoolbook"/>
        </w:rPr>
        <w:t xml:space="preserve">, il </w:t>
      </w:r>
      <w:proofErr w:type="spellStart"/>
      <w:r w:rsidRPr="00FD616A">
        <w:rPr>
          <w:rFonts w:ascii="Century Schoolbook" w:hAnsi="Century Schoolbook"/>
        </w:rPr>
        <w:t>Cineca</w:t>
      </w:r>
      <w:proofErr w:type="spellEnd"/>
      <w:r w:rsidRPr="00FD616A">
        <w:rPr>
          <w:rFonts w:ascii="Century Schoolbook" w:hAnsi="Century Schoolbook"/>
        </w:rPr>
        <w:t xml:space="preserve"> è stato trasformato, nelle intenzioni del legislatore, in organismo </w:t>
      </w:r>
      <w:r w:rsidRPr="00FD616A">
        <w:rPr>
          <w:rFonts w:ascii="Century Schoolbook" w:hAnsi="Century Schoolbook"/>
          <w:i/>
          <w:iCs/>
        </w:rPr>
        <w:t>in-house</w:t>
      </w:r>
      <w:r w:rsidRPr="00FD616A">
        <w:rPr>
          <w:rFonts w:ascii="Century Schoolbook" w:hAnsi="Century Schoolbook"/>
        </w:rPr>
        <w:t xml:space="preserve">. Resta da vedere, in concreto, se, in </w:t>
      </w:r>
      <w:r w:rsidRPr="00FD616A">
        <w:rPr>
          <w:rFonts w:ascii="Century Schoolbook" w:hAnsi="Century Schoolbook"/>
          <w:spacing w:val="-2"/>
        </w:rPr>
        <w:t>questo modo, taluni servizi siano stati (legittimamente) sottratti al mercato e se la norma possa</w:t>
      </w:r>
      <w:r w:rsidRPr="00FD616A">
        <w:rPr>
          <w:rFonts w:ascii="Century Schoolbook" w:hAnsi="Century Schoolbook"/>
        </w:rPr>
        <w:t xml:space="preserve"> ritenersi attributiva di diritti speciali ed esclusivi compatibili con il diritto comunitario».</w:t>
      </w:r>
    </w:p>
    <w:p w14:paraId="0EDF2F1C" w14:textId="77777777" w:rsidR="00F7397D" w:rsidRPr="00FD616A" w:rsidRDefault="00F7397D" w:rsidP="003E24B1">
      <w:pPr>
        <w:pStyle w:val="Testonotaapidipagina"/>
        <w:spacing w:before="0"/>
        <w:rPr>
          <w:rFonts w:ascii="Century Schoolbook" w:hAnsi="Century Schoolbook"/>
        </w:rPr>
      </w:pPr>
      <w:r w:rsidRPr="00FD616A">
        <w:rPr>
          <w:rFonts w:ascii="Century Schoolbook" w:hAnsi="Century Schoolbook"/>
        </w:rPr>
        <w:t xml:space="preserve">M. </w:t>
      </w:r>
      <w:r w:rsidRPr="00FD616A">
        <w:rPr>
          <w:rFonts w:ascii="Century Schoolbook" w:hAnsi="Century Schoolbook"/>
          <w:smallCaps/>
        </w:rPr>
        <w:t>Nunziata</w:t>
      </w:r>
      <w:r w:rsidRPr="00FD616A">
        <w:rPr>
          <w:rFonts w:ascii="Century Schoolbook" w:hAnsi="Century Schoolbook"/>
        </w:rPr>
        <w:t xml:space="preserve">, </w:t>
      </w:r>
      <w:r w:rsidRPr="00FD616A">
        <w:rPr>
          <w:rFonts w:ascii="Century Schoolbook" w:hAnsi="Century Schoolbook"/>
          <w:i/>
          <w:iCs/>
        </w:rPr>
        <w:t xml:space="preserve">Gli affidamenti al CINECA tra concorrenza e </w:t>
      </w:r>
      <w:r w:rsidRPr="00FD616A">
        <w:rPr>
          <w:rFonts w:ascii="Century Schoolbook" w:hAnsi="Century Schoolbook"/>
        </w:rPr>
        <w:t>in</w:t>
      </w:r>
      <w:r w:rsidRPr="00FD616A">
        <w:rPr>
          <w:rFonts w:ascii="Century Schoolbook" w:hAnsi="Century Schoolbook"/>
          <w:i/>
          <w:iCs/>
        </w:rPr>
        <w:t xml:space="preserve"> </w:t>
      </w:r>
      <w:r w:rsidRPr="00FD616A">
        <w:rPr>
          <w:rFonts w:ascii="Century Schoolbook" w:hAnsi="Century Schoolbook"/>
        </w:rPr>
        <w:t>house-providing</w:t>
      </w:r>
      <w:r w:rsidRPr="00FD616A">
        <w:rPr>
          <w:rFonts w:ascii="Century Schoolbook" w:hAnsi="Century Schoolbook"/>
          <w:i/>
          <w:iCs/>
        </w:rPr>
        <w:t>: ulteriori sviluppi pro-concorrenziali dello scenario universitario</w:t>
      </w:r>
      <w:r w:rsidRPr="00FD616A">
        <w:rPr>
          <w:rFonts w:ascii="Century Schoolbook" w:hAnsi="Century Schoolbook"/>
        </w:rPr>
        <w:t xml:space="preserve">, in </w:t>
      </w:r>
      <w:r w:rsidRPr="00FD616A">
        <w:rPr>
          <w:rFonts w:ascii="Century Schoolbook" w:hAnsi="Century Schoolbook"/>
          <w:i/>
          <w:iCs/>
        </w:rPr>
        <w:t xml:space="preserve">Foro </w:t>
      </w:r>
      <w:proofErr w:type="spellStart"/>
      <w:r w:rsidRPr="00FD616A">
        <w:rPr>
          <w:rFonts w:ascii="Century Schoolbook" w:hAnsi="Century Schoolbook"/>
          <w:i/>
          <w:iCs/>
        </w:rPr>
        <w:t>amm</w:t>
      </w:r>
      <w:proofErr w:type="spellEnd"/>
      <w:r w:rsidRPr="00FD616A">
        <w:rPr>
          <w:rFonts w:ascii="Century Schoolbook" w:hAnsi="Century Schoolbook"/>
        </w:rPr>
        <w:t>., 2015, p. 2134, ritiene invece che l’«impasse interpretativo» generato dal contrasto fra questi due orientamenti del Consiglio di Stato «dovrebbe aver trovato componimento in sede legislativa».</w:t>
      </w:r>
    </w:p>
    <w:p w14:paraId="231EF8A6" w14:textId="77777777" w:rsidR="00F7397D" w:rsidRPr="00FD616A" w:rsidRDefault="00F7397D" w:rsidP="003E24B1">
      <w:pPr>
        <w:pStyle w:val="Testonotaapidipagina"/>
        <w:spacing w:before="0"/>
        <w:rPr>
          <w:rFonts w:ascii="Century Schoolbook" w:hAnsi="Century Schoolbook"/>
        </w:rPr>
      </w:pPr>
      <w:r w:rsidRPr="00FD616A">
        <w:rPr>
          <w:rFonts w:ascii="Century Schoolbook" w:hAnsi="Century Schoolbook"/>
        </w:rPr>
        <w:t xml:space="preserve">Più aperto G. </w:t>
      </w:r>
      <w:r w:rsidRPr="00FD616A">
        <w:rPr>
          <w:rFonts w:ascii="Century Schoolbook" w:hAnsi="Century Schoolbook"/>
          <w:smallCaps/>
        </w:rPr>
        <w:t>Zarro</w:t>
      </w:r>
      <w:r w:rsidRPr="00FD616A">
        <w:rPr>
          <w:rFonts w:ascii="Century Schoolbook" w:hAnsi="Century Schoolbook"/>
        </w:rPr>
        <w:t xml:space="preserve">, </w:t>
      </w:r>
      <w:r w:rsidRPr="00FD616A">
        <w:rPr>
          <w:rFonts w:ascii="Century Schoolbook" w:hAnsi="Century Schoolbook"/>
          <w:i/>
          <w:iCs/>
        </w:rPr>
        <w:t>Il Consiglio di Stato e le «mobili frontiere» dell’ente pubblico</w:t>
      </w:r>
      <w:r w:rsidRPr="00FD616A">
        <w:rPr>
          <w:rFonts w:ascii="Century Schoolbook" w:hAnsi="Century Schoolbook"/>
        </w:rPr>
        <w:t xml:space="preserve">, in </w:t>
      </w:r>
      <w:proofErr w:type="spellStart"/>
      <w:r w:rsidRPr="00FD616A">
        <w:rPr>
          <w:rFonts w:ascii="Century Schoolbook" w:hAnsi="Century Schoolbook"/>
          <w:i/>
          <w:iCs/>
        </w:rPr>
        <w:t>Munus</w:t>
      </w:r>
      <w:proofErr w:type="spellEnd"/>
      <w:r w:rsidRPr="00FD616A">
        <w:rPr>
          <w:rFonts w:ascii="Century Schoolbook" w:hAnsi="Century Schoolbook"/>
        </w:rPr>
        <w:t xml:space="preserve">, 2015, p. 489 ss., spec. p. 501, nt. 17: «oltre a sanare un’interpretazione eccessivamente restrittiva qual era quella offerta dalla </w:t>
      </w:r>
      <w:proofErr w:type="spellStart"/>
      <w:r w:rsidRPr="00FD616A">
        <w:rPr>
          <w:rFonts w:ascii="Century Schoolbook" w:hAnsi="Century Schoolbook"/>
        </w:rPr>
        <w:t>sent</w:t>
      </w:r>
      <w:proofErr w:type="spellEnd"/>
      <w:r w:rsidRPr="00FD616A">
        <w:rPr>
          <w:rFonts w:ascii="Century Schoolbook" w:hAnsi="Century Schoolbook"/>
        </w:rPr>
        <w:t>. n. 2660 del 25 maggio 2015, della VI sezione del CDS, si è volu</w:t>
      </w:r>
      <w:r w:rsidRPr="00FD616A">
        <w:rPr>
          <w:rFonts w:ascii="Century Schoolbook" w:hAnsi="Century Schoolbook"/>
          <w:spacing w:val="-2"/>
        </w:rPr>
        <w:t>to trasformare in una disposizione di legge dello Stato, il contenuto delle direttive comunitarie</w:t>
      </w:r>
      <w:r w:rsidRPr="00FD616A">
        <w:rPr>
          <w:rFonts w:ascii="Century Schoolbook" w:hAnsi="Century Schoolbook"/>
        </w:rPr>
        <w:t xml:space="preserve"> dianzi richiamate. Pertanto, la </w:t>
      </w:r>
      <w:r w:rsidRPr="00FD616A">
        <w:rPr>
          <w:rFonts w:ascii="Century Schoolbook" w:hAnsi="Century Schoolbook"/>
          <w:i/>
          <w:iCs/>
        </w:rPr>
        <w:t>ratio</w:t>
      </w:r>
      <w:r w:rsidRPr="00FD616A">
        <w:rPr>
          <w:rFonts w:ascii="Century Schoolbook" w:hAnsi="Century Schoolbook"/>
        </w:rPr>
        <w:t xml:space="preserve"> giustificativa di quello che appare un intervento, per così dire, </w:t>
      </w:r>
      <w:r w:rsidRPr="00FD616A">
        <w:rPr>
          <w:rFonts w:ascii="Century Schoolbook" w:hAnsi="Century Schoolbook"/>
          <w:i/>
          <w:iCs/>
        </w:rPr>
        <w:t>ad personam</w:t>
      </w:r>
      <w:r w:rsidRPr="00FD616A">
        <w:rPr>
          <w:rFonts w:ascii="Century Schoolbook" w:hAnsi="Century Schoolbook"/>
        </w:rPr>
        <w:t xml:space="preserve"> – si potrebbe parlare di una </w:t>
      </w:r>
      <w:proofErr w:type="spellStart"/>
      <w:r w:rsidRPr="00FD616A">
        <w:rPr>
          <w:rFonts w:ascii="Century Schoolbook" w:hAnsi="Century Schoolbook"/>
          <w:i/>
          <w:iCs/>
        </w:rPr>
        <w:t>lex</w:t>
      </w:r>
      <w:proofErr w:type="spellEnd"/>
      <w:r w:rsidRPr="00FD616A">
        <w:rPr>
          <w:rFonts w:ascii="Century Schoolbook" w:hAnsi="Century Schoolbook"/>
          <w:i/>
          <w:iCs/>
        </w:rPr>
        <w:t xml:space="preserve"> in </w:t>
      </w:r>
      <w:proofErr w:type="spellStart"/>
      <w:r w:rsidRPr="00FD616A">
        <w:rPr>
          <w:rFonts w:ascii="Century Schoolbook" w:hAnsi="Century Schoolbook"/>
          <w:i/>
          <w:iCs/>
        </w:rPr>
        <w:t>privatos</w:t>
      </w:r>
      <w:proofErr w:type="spellEnd"/>
      <w:r w:rsidRPr="00FD616A">
        <w:rPr>
          <w:rFonts w:ascii="Century Schoolbook" w:hAnsi="Century Schoolbook"/>
          <w:i/>
          <w:iCs/>
        </w:rPr>
        <w:t xml:space="preserve"> lata</w:t>
      </w:r>
      <w:r w:rsidRPr="00FD616A">
        <w:rPr>
          <w:rFonts w:ascii="Century Schoolbook" w:hAnsi="Century Schoolbook"/>
        </w:rPr>
        <w:t xml:space="preserve"> (in gergo, di disposizione di legge fotografia) – risulta riconducibile alla necessità di aderire all’impostazione della sezione consultiva del Cds, la quale a sua volta si era basata sull’art. 12 della Direttiva 2014/24/UE».</w:t>
      </w:r>
    </w:p>
  </w:footnote>
  <w:footnote w:id="38">
    <w:p w14:paraId="7635C9F9" w14:textId="77777777" w:rsidR="00F7397D" w:rsidRPr="00FD616A" w:rsidRDefault="00F7397D" w:rsidP="00D22A38">
      <w:pPr>
        <w:pStyle w:val="Testonotaapidipagina"/>
        <w:rPr>
          <w:rFonts w:ascii="Century Schoolbook" w:hAnsi="Century Schoolbook"/>
        </w:rPr>
      </w:pPr>
      <w:r w:rsidRPr="00FD616A">
        <w:rPr>
          <w:rStyle w:val="Rimandonotaapidipagina"/>
          <w:rFonts w:ascii="Century Schoolbook" w:hAnsi="Century Schoolbook"/>
          <w:szCs w:val="18"/>
        </w:rPr>
        <w:footnoteRef/>
      </w:r>
      <w:r w:rsidRPr="00FD616A">
        <w:rPr>
          <w:rFonts w:ascii="Century Schoolbook" w:hAnsi="Century Schoolbook"/>
          <w:vertAlign w:val="superscript"/>
        </w:rPr>
        <w:t> </w:t>
      </w:r>
      <w:r w:rsidRPr="00FD616A">
        <w:rPr>
          <w:rFonts w:ascii="Century Schoolbook" w:hAnsi="Century Schoolbook"/>
        </w:rPr>
        <w:t>TAR Toscana, sez. I, 7 dicembre 2017, n. 1521.</w:t>
      </w:r>
    </w:p>
  </w:footnote>
  <w:footnote w:id="39">
    <w:p w14:paraId="08925537" w14:textId="77777777" w:rsidR="00F7397D" w:rsidRPr="00FD616A" w:rsidRDefault="00F7397D" w:rsidP="00D22A38">
      <w:pPr>
        <w:pStyle w:val="Testonotaapidipagina"/>
        <w:rPr>
          <w:rFonts w:ascii="Century Schoolbook" w:hAnsi="Century Schoolbook"/>
        </w:rPr>
      </w:pPr>
      <w:r w:rsidRPr="00FD616A">
        <w:rPr>
          <w:rStyle w:val="Rimandonotaapidipagina"/>
          <w:rFonts w:ascii="Century Schoolbook" w:hAnsi="Century Schoolbook"/>
          <w:szCs w:val="18"/>
        </w:rPr>
        <w:footnoteRef/>
      </w:r>
      <w:r w:rsidRPr="00FD616A">
        <w:rPr>
          <w:rFonts w:ascii="Century Schoolbook" w:hAnsi="Century Schoolbook"/>
          <w:vertAlign w:val="superscript"/>
        </w:rPr>
        <w:t> </w:t>
      </w:r>
      <w:r w:rsidRPr="00FD616A">
        <w:rPr>
          <w:rFonts w:ascii="Century Schoolbook" w:hAnsi="Century Schoolbook"/>
        </w:rPr>
        <w:t>Ho aggiunto i corsivi. «Nemmeno è dirimente – continua la sentenza – il riferimento al d.lgs. [</w:t>
      </w:r>
      <w:r w:rsidRPr="00FD616A">
        <w:rPr>
          <w:rFonts w:ascii="Century Schoolbook" w:hAnsi="Century Schoolbook"/>
          <w:i/>
          <w:iCs/>
        </w:rPr>
        <w:t>sic</w:t>
      </w:r>
      <w:r w:rsidRPr="00FD616A">
        <w:rPr>
          <w:rFonts w:ascii="Century Schoolbook" w:hAnsi="Century Schoolbook"/>
        </w:rPr>
        <w:t>: n.d.r.] 125/2015 in considerazione del fatto che il comma 11-</w:t>
      </w:r>
      <w:r w:rsidRPr="00FD616A">
        <w:rPr>
          <w:rFonts w:ascii="Century Schoolbook" w:hAnsi="Century Schoolbook"/>
          <w:i/>
          <w:iCs/>
        </w:rPr>
        <w:t>ter</w:t>
      </w:r>
      <w:r w:rsidRPr="00FD616A">
        <w:rPr>
          <w:rFonts w:ascii="Century Schoolbook" w:hAnsi="Century Schoolbook"/>
        </w:rPr>
        <w:t xml:space="preserve"> del d.l. n. 78/2015 prevede la necessità di un’effettiva vigenza delle modifiche statutarie e, ciò, al fine di consentire al Ministero dell’istruzione, dell’università e della ricerca e le altre amministrazioni consorziate di esercitare un controllo analogo a quello esercitato sui propri servizi, circostanza che come si è evidenziato non sussiste nel caso di specie».</w:t>
      </w:r>
    </w:p>
    <w:p w14:paraId="70DBC6EA" w14:textId="77777777" w:rsidR="00F7397D" w:rsidRPr="00FD616A" w:rsidRDefault="00F7397D" w:rsidP="003E24B1">
      <w:pPr>
        <w:pStyle w:val="Testonotaapidipagina"/>
        <w:spacing w:before="0"/>
        <w:rPr>
          <w:rFonts w:ascii="Century Schoolbook" w:hAnsi="Century Schoolbook"/>
        </w:rPr>
      </w:pPr>
      <w:r w:rsidRPr="00FD616A">
        <w:rPr>
          <w:rFonts w:ascii="Century Schoolbook" w:hAnsi="Century Schoolbook"/>
        </w:rPr>
        <w:t>Quanto al comma 11-</w:t>
      </w:r>
      <w:r w:rsidRPr="00FD616A">
        <w:rPr>
          <w:rFonts w:ascii="Century Schoolbook" w:hAnsi="Century Schoolbook"/>
          <w:i/>
          <w:iCs/>
        </w:rPr>
        <w:t>quater</w:t>
      </w:r>
      <w:r w:rsidRPr="00FD616A">
        <w:rPr>
          <w:rFonts w:ascii="Century Schoolbook" w:hAnsi="Century Schoolbook"/>
        </w:rPr>
        <w:t>, ad avviso del TAR Toscana «non sussiste nemmeno il requisito dell’attività prevalentemente svolta a favore dei soggetti consorziati, in ragione del fatto che è accertato che CINECA svolge (o svolgeva), direttamente o tramite società controllate, un’attività imprenditoriale, quest’ultima peraltro oggetto di espressa abrogazione nell’ambito delle successive modifiche statutarie».</w:t>
      </w:r>
    </w:p>
  </w:footnote>
  <w:footnote w:id="40">
    <w:p w14:paraId="3A6AF818" w14:textId="77777777" w:rsidR="00F7397D" w:rsidRPr="00FD616A" w:rsidRDefault="00F7397D" w:rsidP="00D22A38">
      <w:pPr>
        <w:pStyle w:val="Testonotaapidipagina"/>
        <w:rPr>
          <w:rFonts w:ascii="Century Schoolbook" w:hAnsi="Century Schoolbook"/>
        </w:rPr>
      </w:pPr>
      <w:r w:rsidRPr="00FD616A">
        <w:rPr>
          <w:rStyle w:val="Rimandonotaapidipagina"/>
          <w:rFonts w:ascii="Century Schoolbook" w:hAnsi="Century Schoolbook"/>
          <w:szCs w:val="18"/>
        </w:rPr>
        <w:footnoteRef/>
      </w:r>
      <w:r w:rsidRPr="00FD616A">
        <w:rPr>
          <w:rFonts w:ascii="Century Schoolbook" w:hAnsi="Century Schoolbook"/>
          <w:vertAlign w:val="superscript"/>
        </w:rPr>
        <w:t> </w:t>
      </w:r>
      <w:r w:rsidRPr="00FD616A">
        <w:rPr>
          <w:rFonts w:ascii="Century Schoolbook" w:hAnsi="Century Schoolbook"/>
        </w:rPr>
        <w:t>Cons. Stato, sez. VI, 30 aprile 2018, n. 2583.</w:t>
      </w:r>
    </w:p>
  </w:footnote>
  <w:footnote w:id="41">
    <w:p w14:paraId="34BC7893" w14:textId="77777777" w:rsidR="00F7397D" w:rsidRPr="00FD616A" w:rsidRDefault="00F7397D" w:rsidP="00D22A38">
      <w:pPr>
        <w:pStyle w:val="Testonotaapidipagina"/>
        <w:rPr>
          <w:rFonts w:ascii="Century Schoolbook" w:hAnsi="Century Schoolbook"/>
        </w:rPr>
      </w:pPr>
      <w:r w:rsidRPr="00FD616A">
        <w:rPr>
          <w:rStyle w:val="Rimandonotaapidipagina"/>
          <w:rFonts w:ascii="Century Schoolbook" w:hAnsi="Century Schoolbook"/>
          <w:szCs w:val="18"/>
        </w:rPr>
        <w:footnoteRef/>
      </w:r>
      <w:r w:rsidRPr="00FD616A">
        <w:rPr>
          <w:rFonts w:ascii="Century Schoolbook" w:hAnsi="Century Schoolbook"/>
          <w:vertAlign w:val="superscript"/>
        </w:rPr>
        <w:t> </w:t>
      </w:r>
      <w:r w:rsidRPr="00FD616A">
        <w:rPr>
          <w:rFonts w:ascii="Century Schoolbook" w:hAnsi="Century Schoolbook"/>
        </w:rPr>
        <w:t>TAR Lazio, sez. III-</w:t>
      </w:r>
      <w:r w:rsidRPr="00FD616A">
        <w:rPr>
          <w:rFonts w:ascii="Century Schoolbook" w:hAnsi="Century Schoolbook"/>
          <w:i/>
          <w:iCs/>
        </w:rPr>
        <w:t>bis</w:t>
      </w:r>
      <w:r w:rsidRPr="00FD616A">
        <w:rPr>
          <w:rFonts w:ascii="Century Schoolbook" w:hAnsi="Century Schoolbook"/>
        </w:rPr>
        <w:t>, 27 febbraio 2017, n. 2922.</w:t>
      </w:r>
    </w:p>
    <w:p w14:paraId="3D6A80A9" w14:textId="1A4BA524" w:rsidR="00F7397D" w:rsidRPr="00FD616A" w:rsidRDefault="00F7397D" w:rsidP="003E24B1">
      <w:pPr>
        <w:pStyle w:val="Testonotaapidipagina"/>
        <w:spacing w:before="0"/>
        <w:rPr>
          <w:rFonts w:ascii="Century Schoolbook" w:hAnsi="Century Schoolbook"/>
        </w:rPr>
      </w:pPr>
      <w:r w:rsidRPr="00FD616A">
        <w:rPr>
          <w:rFonts w:ascii="Century Schoolbook" w:hAnsi="Century Schoolbook"/>
        </w:rPr>
        <w:t>Nel 2015 il MIUR aveva stanziato a favore dei consorzi interuniversitari, a valere sul FFO, un importo complessivo di € 36.600.000: assegnandone € 29.700.000 al Cineca, di cui € 11.000.000 per i servizi di c.d. supercalcolo (cioè di supporto, mediante il calcolo ad alte prestazioni, delle attività di ricerca della comunità scientifica) e € 18.700.000 – come detto nel testo – per i servizi al Ministero e al sistema universitario. Il primo contributo non è stato ritenuto dal TAR un aiuto illegale di Stato.</w:t>
      </w:r>
    </w:p>
  </w:footnote>
  <w:footnote w:id="42">
    <w:p w14:paraId="39D6A465" w14:textId="77777777" w:rsidR="00F7397D" w:rsidRPr="00FD616A" w:rsidRDefault="00F7397D" w:rsidP="00D22A38">
      <w:pPr>
        <w:pStyle w:val="Testonotaapidipagina"/>
        <w:rPr>
          <w:rFonts w:ascii="Century Schoolbook" w:hAnsi="Century Schoolbook"/>
        </w:rPr>
      </w:pPr>
      <w:r w:rsidRPr="00FD616A">
        <w:rPr>
          <w:rStyle w:val="Rimandonotaapidipagina"/>
          <w:rFonts w:ascii="Century Schoolbook" w:hAnsi="Century Schoolbook"/>
          <w:szCs w:val="18"/>
        </w:rPr>
        <w:footnoteRef/>
      </w:r>
      <w:r w:rsidRPr="00FD616A">
        <w:rPr>
          <w:rFonts w:ascii="Century Schoolbook" w:hAnsi="Century Schoolbook"/>
          <w:vertAlign w:val="superscript"/>
        </w:rPr>
        <w:t> </w:t>
      </w:r>
      <w:r w:rsidRPr="00FD616A">
        <w:rPr>
          <w:rFonts w:ascii="Century Schoolbook" w:hAnsi="Century Schoolbook"/>
        </w:rPr>
        <w:t>Cons. Stato, sez. VI, 22 ottobre 2018, n. 6009.</w:t>
      </w:r>
    </w:p>
  </w:footnote>
  <w:footnote w:id="43">
    <w:p w14:paraId="7A6D77BA" w14:textId="77777777" w:rsidR="00F7397D" w:rsidRPr="00FD616A" w:rsidRDefault="00F7397D" w:rsidP="00D22A38">
      <w:pPr>
        <w:pStyle w:val="Testonotaapidipagina"/>
        <w:rPr>
          <w:rFonts w:ascii="Century Schoolbook" w:hAnsi="Century Schoolbook"/>
        </w:rPr>
      </w:pPr>
      <w:r w:rsidRPr="00FD616A">
        <w:rPr>
          <w:rStyle w:val="Rimandonotaapidipagina"/>
          <w:rFonts w:ascii="Century Schoolbook" w:hAnsi="Century Schoolbook"/>
          <w:szCs w:val="18"/>
        </w:rPr>
        <w:footnoteRef/>
      </w:r>
      <w:r w:rsidRPr="00FD616A">
        <w:rPr>
          <w:rFonts w:ascii="Century Schoolbook" w:hAnsi="Century Schoolbook"/>
          <w:vertAlign w:val="superscript"/>
        </w:rPr>
        <w:t> </w:t>
      </w:r>
      <w:r w:rsidRPr="00FD616A">
        <w:rPr>
          <w:rFonts w:ascii="Century Schoolbook" w:hAnsi="Century Schoolbook"/>
        </w:rPr>
        <w:t xml:space="preserve">Peraltro non applicabile </w:t>
      </w:r>
      <w:r w:rsidRPr="00FD616A">
        <w:rPr>
          <w:rFonts w:ascii="Century Schoolbook" w:hAnsi="Century Schoolbook"/>
          <w:i/>
          <w:iCs/>
        </w:rPr>
        <w:t>ratione temporis</w:t>
      </w:r>
      <w:r w:rsidRPr="00FD616A">
        <w:rPr>
          <w:rFonts w:ascii="Century Schoolbook" w:hAnsi="Century Schoolbook"/>
        </w:rPr>
        <w:t>, precisa quel Giudice.</w:t>
      </w:r>
    </w:p>
  </w:footnote>
  <w:footnote w:id="44">
    <w:p w14:paraId="54970DE2" w14:textId="77777777" w:rsidR="00F7397D" w:rsidRPr="00FD616A" w:rsidRDefault="00F7397D" w:rsidP="00D22A38">
      <w:pPr>
        <w:pStyle w:val="Testonotaapidipagina"/>
        <w:rPr>
          <w:rFonts w:ascii="Century Schoolbook" w:hAnsi="Century Schoolbook"/>
        </w:rPr>
      </w:pPr>
      <w:r w:rsidRPr="00FD616A">
        <w:rPr>
          <w:rStyle w:val="Rimandonotaapidipagina"/>
          <w:rFonts w:ascii="Century Schoolbook" w:hAnsi="Century Schoolbook"/>
          <w:szCs w:val="18"/>
        </w:rPr>
        <w:footnoteRef/>
      </w:r>
      <w:r w:rsidRPr="00FD616A">
        <w:rPr>
          <w:rFonts w:ascii="Century Schoolbook" w:hAnsi="Century Schoolbook"/>
          <w:vertAlign w:val="superscript"/>
        </w:rPr>
        <w:t> </w:t>
      </w:r>
      <w:r w:rsidRPr="00FD616A">
        <w:rPr>
          <w:rFonts w:ascii="Century Schoolbook" w:hAnsi="Century Schoolbook"/>
        </w:rPr>
        <w:t>€ 13.000.000 per il supercalcolo e € 14.000.000 per servizi al MIUR.</w:t>
      </w:r>
    </w:p>
  </w:footnote>
  <w:footnote w:id="45">
    <w:p w14:paraId="41FC85EC" w14:textId="77777777" w:rsidR="00F7397D" w:rsidRPr="00FD616A" w:rsidRDefault="00F7397D" w:rsidP="00D22A38">
      <w:pPr>
        <w:pStyle w:val="Testonotaapidipagina"/>
        <w:rPr>
          <w:rFonts w:ascii="Century Schoolbook" w:hAnsi="Century Schoolbook"/>
          <w:lang w:val="es-ES"/>
        </w:rPr>
      </w:pPr>
      <w:r w:rsidRPr="00FD616A">
        <w:rPr>
          <w:rStyle w:val="Rimandonotaapidipagina"/>
          <w:rFonts w:ascii="Century Schoolbook" w:hAnsi="Century Schoolbook"/>
          <w:szCs w:val="18"/>
        </w:rPr>
        <w:footnoteRef/>
      </w:r>
      <w:r w:rsidRPr="00FD616A">
        <w:rPr>
          <w:rFonts w:ascii="Century Schoolbook" w:hAnsi="Century Schoolbook"/>
          <w:vertAlign w:val="superscript"/>
          <w:lang w:val="es-ES"/>
        </w:rPr>
        <w:t> </w:t>
      </w:r>
      <w:r w:rsidRPr="00FD616A">
        <w:rPr>
          <w:rFonts w:ascii="Century Schoolbook" w:hAnsi="Century Schoolbook"/>
          <w:lang w:val="es-ES"/>
        </w:rPr>
        <w:t>TAR Lazio, sez. III-</w:t>
      </w:r>
      <w:r w:rsidRPr="00FD616A">
        <w:rPr>
          <w:rFonts w:ascii="Century Schoolbook" w:hAnsi="Century Schoolbook"/>
          <w:i/>
          <w:iCs/>
          <w:lang w:val="es-ES"/>
        </w:rPr>
        <w:t>bis</w:t>
      </w:r>
      <w:r w:rsidRPr="00FD616A">
        <w:rPr>
          <w:rFonts w:ascii="Century Schoolbook" w:hAnsi="Century Schoolbook"/>
          <w:lang w:val="es-ES"/>
        </w:rPr>
        <w:t>, 13 agosto 2019, n. 10528.</w:t>
      </w:r>
    </w:p>
  </w:footnote>
  <w:footnote w:id="46">
    <w:p w14:paraId="0FAA7B04" w14:textId="77777777" w:rsidR="00F7397D" w:rsidRPr="00FD616A" w:rsidRDefault="00F7397D" w:rsidP="00D22A38">
      <w:pPr>
        <w:pStyle w:val="Testonotaapidipagina"/>
        <w:rPr>
          <w:rFonts w:ascii="Century Schoolbook" w:hAnsi="Century Schoolbook"/>
        </w:rPr>
      </w:pPr>
      <w:r w:rsidRPr="00FD616A">
        <w:rPr>
          <w:rStyle w:val="Rimandonotaapidipagina"/>
          <w:rFonts w:ascii="Century Schoolbook" w:hAnsi="Century Schoolbook"/>
          <w:szCs w:val="18"/>
        </w:rPr>
        <w:footnoteRef/>
      </w:r>
      <w:r w:rsidRPr="00FD616A">
        <w:rPr>
          <w:rFonts w:ascii="Century Schoolbook" w:hAnsi="Century Schoolbook"/>
          <w:vertAlign w:val="superscript"/>
        </w:rPr>
        <w:t> </w:t>
      </w:r>
      <w:r w:rsidRPr="00FD616A">
        <w:rPr>
          <w:rFonts w:ascii="Century Schoolbook" w:hAnsi="Century Schoolbook"/>
        </w:rPr>
        <w:t>Come già nella precedente sentenza TAR Lazio n. 2922/2017, cit.</w:t>
      </w:r>
    </w:p>
  </w:footnote>
  <w:footnote w:id="47">
    <w:p w14:paraId="1A3DF87C" w14:textId="2B7C221C" w:rsidR="00F7397D" w:rsidRPr="00FD616A" w:rsidRDefault="00F7397D" w:rsidP="00D22A38">
      <w:pPr>
        <w:pStyle w:val="Testonotaapidipagina"/>
        <w:rPr>
          <w:rFonts w:ascii="Century Schoolbook" w:hAnsi="Century Schoolbook"/>
        </w:rPr>
      </w:pPr>
      <w:r w:rsidRPr="00FD616A">
        <w:rPr>
          <w:rStyle w:val="Rimandonotaapidipagina"/>
          <w:rFonts w:ascii="Century Schoolbook" w:hAnsi="Century Schoolbook"/>
          <w:szCs w:val="18"/>
        </w:rPr>
        <w:footnoteRef/>
      </w:r>
      <w:r w:rsidRPr="00FD616A">
        <w:rPr>
          <w:rFonts w:ascii="Century Schoolbook" w:hAnsi="Century Schoolbook"/>
          <w:vertAlign w:val="superscript"/>
        </w:rPr>
        <w:t> </w:t>
      </w:r>
      <w:r w:rsidRPr="00FD616A">
        <w:rPr>
          <w:rFonts w:ascii="Century Schoolbook" w:hAnsi="Century Schoolbook"/>
        </w:rPr>
        <w:t xml:space="preserve">La sentenza non afferma infatti </w:t>
      </w:r>
      <w:r w:rsidRPr="00FD616A">
        <w:rPr>
          <w:rFonts w:ascii="Century Schoolbook" w:hAnsi="Century Schoolbook"/>
          <w:i/>
          <w:iCs/>
        </w:rPr>
        <w:t>chiaramente</w:t>
      </w:r>
      <w:r w:rsidRPr="00FD616A">
        <w:rPr>
          <w:rFonts w:ascii="Century Schoolbook" w:hAnsi="Century Schoolbook"/>
        </w:rPr>
        <w:t xml:space="preserve"> che se vi è un rapporto</w:t>
      </w:r>
      <w:r w:rsidRPr="00FD616A">
        <w:rPr>
          <w:rFonts w:ascii="Century Schoolbook" w:hAnsi="Century Schoolbook"/>
          <w:i/>
          <w:iCs/>
        </w:rPr>
        <w:t xml:space="preserve"> in house</w:t>
      </w:r>
      <w:r w:rsidRPr="00FD616A">
        <w:rPr>
          <w:rFonts w:ascii="Century Schoolbook" w:hAnsi="Century Schoolbook"/>
        </w:rPr>
        <w:t xml:space="preserve"> non può esserci </w:t>
      </w:r>
      <w:r w:rsidRPr="00FD616A">
        <w:rPr>
          <w:rFonts w:ascii="Century Schoolbook" w:hAnsi="Century Schoolbook"/>
          <w:spacing w:val="-2"/>
        </w:rPr>
        <w:t>aiuto di Stato, ma sembra solo adombrarlo. Dopo aver premesso che «l’eventuale violazione del</w:t>
      </w:r>
      <w:r w:rsidRPr="00FD616A">
        <w:rPr>
          <w:rFonts w:ascii="Century Schoolbook" w:hAnsi="Century Schoolbook"/>
        </w:rPr>
        <w:t xml:space="preserve"> procedimento ad evidenza pubblica [è] tema estraneo al presente giudizio», si sostiene che «l’eroga</w:t>
      </w:r>
      <w:r w:rsidRPr="00FD616A">
        <w:rPr>
          <w:rFonts w:ascii="Century Schoolbook" w:hAnsi="Century Schoolbook"/>
        </w:rPr>
        <w:softHyphen/>
        <w:t xml:space="preserve">zione, in quanto oggetto di </w:t>
      </w:r>
      <w:r w:rsidRPr="00FD616A">
        <w:rPr>
          <w:rFonts w:ascii="Century Schoolbook" w:hAnsi="Century Schoolbook"/>
          <w:i/>
          <w:iCs/>
        </w:rPr>
        <w:t>in house</w:t>
      </w:r>
      <w:r w:rsidRPr="00FD616A">
        <w:rPr>
          <w:rFonts w:ascii="Century Schoolbook" w:hAnsi="Century Schoolbook"/>
        </w:rPr>
        <w:t>, potrebbe essere considerata neutra ai fini del criterio di fi</w:t>
      </w:r>
      <w:r w:rsidRPr="00FD616A">
        <w:rPr>
          <w:rFonts w:ascii="Century Schoolbook" w:hAnsi="Century Schoolbook"/>
          <w:spacing w:val="-2"/>
        </w:rPr>
        <w:t>nanziamento per mezzo di risorse statali di cui all’art. 107, par. 1, TFUE e ai fini dell’alterità del</w:t>
      </w:r>
      <w:r w:rsidRPr="00FD616A">
        <w:rPr>
          <w:rFonts w:ascii="Century Schoolbook" w:hAnsi="Century Schoolbook"/>
        </w:rPr>
        <w:t xml:space="preserve"> suo </w:t>
      </w:r>
      <w:r w:rsidRPr="00FD616A">
        <w:rPr>
          <w:rFonts w:ascii="Century Schoolbook" w:hAnsi="Century Schoolbook"/>
          <w:spacing w:val="-2"/>
        </w:rPr>
        <w:t>beneficiario»; e ancora: «si ribadisce, in ogni caso e ai limitati fini del presente giudizio, che la</w:t>
      </w:r>
      <w:r w:rsidRPr="00FD616A">
        <w:rPr>
          <w:rFonts w:ascii="Century Schoolbook" w:hAnsi="Century Schoolbook"/>
        </w:rPr>
        <w:t xml:space="preserve"> questione della natura </w:t>
      </w:r>
      <w:r w:rsidRPr="00FD616A">
        <w:rPr>
          <w:rFonts w:ascii="Century Schoolbook" w:hAnsi="Century Schoolbook"/>
          <w:i/>
          <w:iCs/>
        </w:rPr>
        <w:t>in house</w:t>
      </w:r>
      <w:r w:rsidRPr="00FD616A">
        <w:rPr>
          <w:rFonts w:ascii="Century Schoolbook" w:hAnsi="Century Schoolbook"/>
        </w:rPr>
        <w:t xml:space="preserve"> o meno del Cineca non incide sulla configurabilità dell’aiuto, ma eventualmente sulla legittimità dell’affidamento diretto».</w:t>
      </w:r>
    </w:p>
  </w:footnote>
  <w:footnote w:id="48">
    <w:p w14:paraId="56727115" w14:textId="77777777" w:rsidR="00F7397D" w:rsidRPr="00FD616A" w:rsidRDefault="00F7397D" w:rsidP="00D22A38">
      <w:pPr>
        <w:pStyle w:val="Testonotaapidipagina"/>
        <w:rPr>
          <w:rFonts w:ascii="Century Schoolbook" w:hAnsi="Century Schoolbook"/>
        </w:rPr>
      </w:pPr>
      <w:r w:rsidRPr="00FD616A">
        <w:rPr>
          <w:rStyle w:val="Rimandonotaapidipagina"/>
          <w:rFonts w:ascii="Century Schoolbook" w:hAnsi="Century Schoolbook"/>
          <w:szCs w:val="18"/>
        </w:rPr>
        <w:footnoteRef/>
      </w:r>
      <w:r w:rsidRPr="00FD616A">
        <w:rPr>
          <w:rFonts w:ascii="Century Schoolbook" w:hAnsi="Century Schoolbook"/>
          <w:vertAlign w:val="superscript"/>
        </w:rPr>
        <w:t> </w:t>
      </w:r>
      <w:r w:rsidRPr="00FD616A">
        <w:rPr>
          <w:rFonts w:ascii="Century Schoolbook" w:hAnsi="Century Schoolbook"/>
        </w:rPr>
        <w:t>Ho aggiunto il corsivo.</w:t>
      </w:r>
    </w:p>
  </w:footnote>
  <w:footnote w:id="49">
    <w:p w14:paraId="7F6909C4" w14:textId="77777777" w:rsidR="00F7397D" w:rsidRPr="00FD616A" w:rsidRDefault="00F7397D" w:rsidP="00D22A38">
      <w:pPr>
        <w:pStyle w:val="Testonotaapidipagina"/>
        <w:rPr>
          <w:rFonts w:ascii="Century Schoolbook" w:hAnsi="Century Schoolbook"/>
        </w:rPr>
      </w:pPr>
      <w:r w:rsidRPr="00FD616A">
        <w:rPr>
          <w:rStyle w:val="Rimandonotaapidipagina"/>
          <w:rFonts w:ascii="Century Schoolbook" w:hAnsi="Century Schoolbook"/>
          <w:szCs w:val="18"/>
        </w:rPr>
        <w:footnoteRef/>
      </w:r>
      <w:r w:rsidRPr="00FD616A">
        <w:rPr>
          <w:rFonts w:ascii="Century Schoolbook" w:hAnsi="Century Schoolbook"/>
          <w:vertAlign w:val="superscript"/>
        </w:rPr>
        <w:t> </w:t>
      </w:r>
      <w:r w:rsidRPr="00FD616A">
        <w:rPr>
          <w:rFonts w:ascii="Century Schoolbook" w:hAnsi="Century Schoolbook"/>
        </w:rPr>
        <w:t xml:space="preserve">Anche oggi, mentre scrivo queste righe (luglio 2021), nel sito internet ufficiale del Cineca si legge (all’indirizzo </w:t>
      </w:r>
      <w:hyperlink r:id="rId1" w:anchor="elenco" w:history="1">
        <w:r w:rsidRPr="00FD616A">
          <w:rPr>
            <w:rFonts w:ascii="Century Schoolbook" w:hAnsi="Century Schoolbook"/>
            <w:szCs w:val="18"/>
          </w:rPr>
          <w:t>https://www.cineca.it/index.php/chi-siamo/il-consorzio#elenco</w:t>
        </w:r>
      </w:hyperlink>
      <w:r w:rsidRPr="00FD616A">
        <w:rPr>
          <w:rFonts w:ascii="Century Schoolbook" w:hAnsi="Century Schoolbook"/>
        </w:rPr>
        <w:t>) che esso è «formato da 98 Enti pubblici», di cui 69 sono università italiane: nell’elenco che è ivi riportato non compaiono Milano – Bocconi, Milano – Cattolica del Sacro Cuore, Milano – IULM. Vi compaiono poi – oltre ai due Ministeri sdoppiati: istruzione; università e ricerca – «27 istituzioni pubbliche nazionali [10 Enti di ricerca, 5 Aziende ospedaliere universitarie – IRRCS, 10 istituzioni AFAM, 1 Agenzia, 1 Parco archeologico]».</w:t>
      </w:r>
    </w:p>
  </w:footnote>
  <w:footnote w:id="50">
    <w:p w14:paraId="7BA8ADEB" w14:textId="77777777" w:rsidR="00F7397D" w:rsidRPr="00FD616A" w:rsidRDefault="00F7397D" w:rsidP="00D22A38">
      <w:pPr>
        <w:pStyle w:val="Testonotaapidipagina"/>
        <w:rPr>
          <w:rFonts w:ascii="Century Schoolbook" w:hAnsi="Century Schoolbook"/>
        </w:rPr>
      </w:pPr>
      <w:r w:rsidRPr="00FD616A">
        <w:rPr>
          <w:rStyle w:val="Rimandonotaapidipagina"/>
          <w:rFonts w:ascii="Century Schoolbook" w:hAnsi="Century Schoolbook"/>
          <w:szCs w:val="18"/>
        </w:rPr>
        <w:footnoteRef/>
      </w:r>
      <w:r w:rsidRPr="00FD616A">
        <w:rPr>
          <w:rFonts w:ascii="Century Schoolbook" w:hAnsi="Century Schoolbook"/>
          <w:vertAlign w:val="superscript"/>
        </w:rPr>
        <w:t> </w:t>
      </w:r>
      <w:r w:rsidRPr="00FD616A">
        <w:rPr>
          <w:rFonts w:ascii="Century Schoolbook" w:hAnsi="Century Schoolbook"/>
        </w:rPr>
        <w:t>Il TAR aggiunge – mi parrebbe un pleonasmo – che «le clausole statutarie non appaiono prevedere strumenti di agevole modifica della compagine statutaria finalizzati a introdurre soggetti di natura privata al suo interno».</w:t>
      </w:r>
    </w:p>
  </w:footnote>
  <w:footnote w:id="51">
    <w:p w14:paraId="11250B2F" w14:textId="77777777" w:rsidR="00F7397D" w:rsidRPr="00FD616A" w:rsidRDefault="00F7397D" w:rsidP="00D22A38">
      <w:pPr>
        <w:pStyle w:val="Testonotaapidipagina"/>
        <w:rPr>
          <w:rFonts w:ascii="Century Schoolbook" w:hAnsi="Century Schoolbook"/>
        </w:rPr>
      </w:pPr>
      <w:r w:rsidRPr="00FD616A">
        <w:rPr>
          <w:rStyle w:val="Rimandonotaapidipagina"/>
          <w:rFonts w:ascii="Century Schoolbook" w:hAnsi="Century Schoolbook"/>
          <w:szCs w:val="18"/>
        </w:rPr>
        <w:footnoteRef/>
      </w:r>
      <w:r w:rsidRPr="00FD616A">
        <w:rPr>
          <w:rFonts w:ascii="Century Schoolbook" w:hAnsi="Century Schoolbook"/>
          <w:vertAlign w:val="superscript"/>
        </w:rPr>
        <w:t> </w:t>
      </w:r>
      <w:r w:rsidRPr="00FD616A">
        <w:rPr>
          <w:rFonts w:ascii="Century Schoolbook" w:hAnsi="Century Schoolbook"/>
        </w:rPr>
        <w:t>Il corsivo è mio.</w:t>
      </w:r>
    </w:p>
  </w:footnote>
  <w:footnote w:id="52">
    <w:p w14:paraId="552AB276" w14:textId="6D51C989" w:rsidR="00F7397D" w:rsidRPr="00FD616A" w:rsidRDefault="00F7397D" w:rsidP="00D22A38">
      <w:pPr>
        <w:pStyle w:val="Testonotaapidipagina"/>
        <w:rPr>
          <w:rFonts w:ascii="Century Schoolbook" w:hAnsi="Century Schoolbook"/>
        </w:rPr>
      </w:pPr>
      <w:r w:rsidRPr="00FD616A">
        <w:rPr>
          <w:rStyle w:val="Rimandonotaapidipagina"/>
          <w:rFonts w:ascii="Century Schoolbook" w:hAnsi="Century Schoolbook"/>
          <w:szCs w:val="18"/>
        </w:rPr>
        <w:footnoteRef/>
      </w:r>
      <w:r w:rsidRPr="00FD616A">
        <w:rPr>
          <w:rFonts w:ascii="Century Schoolbook" w:hAnsi="Century Schoolbook"/>
          <w:vertAlign w:val="superscript"/>
        </w:rPr>
        <w:t> </w:t>
      </w:r>
      <w:r w:rsidRPr="00FD616A">
        <w:rPr>
          <w:rFonts w:ascii="Century Schoolbook" w:hAnsi="Century Schoolbook"/>
        </w:rPr>
        <w:t xml:space="preserve">Il sito ufficiale del </w:t>
      </w:r>
      <w:proofErr w:type="spellStart"/>
      <w:r w:rsidRPr="00FD616A">
        <w:rPr>
          <w:rFonts w:ascii="Century Schoolbook" w:hAnsi="Century Schoolbook"/>
        </w:rPr>
        <w:t>Cineca</w:t>
      </w:r>
      <w:proofErr w:type="spellEnd"/>
      <w:r w:rsidRPr="00FD616A">
        <w:rPr>
          <w:rFonts w:ascii="Century Schoolbook" w:hAnsi="Century Schoolbook"/>
        </w:rPr>
        <w:t xml:space="preserve"> indica a oggi 98 enti pubblici consorziati: di cui, oltre ai due Ministeri rivenienti dallo sdoppiamento del MIUR, 69 università italiane.</w:t>
      </w:r>
    </w:p>
  </w:footnote>
  <w:footnote w:id="53">
    <w:p w14:paraId="620D2F08" w14:textId="77777777" w:rsidR="00F7397D" w:rsidRPr="00FD616A" w:rsidRDefault="00F7397D" w:rsidP="00D22A38">
      <w:pPr>
        <w:pStyle w:val="Testonotaapidipagina"/>
        <w:rPr>
          <w:rFonts w:ascii="Century Schoolbook" w:hAnsi="Century Schoolbook"/>
        </w:rPr>
      </w:pPr>
      <w:r w:rsidRPr="00FD616A">
        <w:rPr>
          <w:rStyle w:val="Rimandonotaapidipagina"/>
          <w:rFonts w:ascii="Century Schoolbook" w:hAnsi="Century Schoolbook"/>
          <w:szCs w:val="18"/>
        </w:rPr>
        <w:footnoteRef/>
      </w:r>
      <w:r w:rsidRPr="00FD616A">
        <w:rPr>
          <w:rFonts w:ascii="Century Schoolbook" w:hAnsi="Century Schoolbook"/>
          <w:vertAlign w:val="superscript"/>
        </w:rPr>
        <w:t> </w:t>
      </w:r>
      <w:r w:rsidRPr="00FD616A">
        <w:rPr>
          <w:rFonts w:ascii="Century Schoolbook" w:hAnsi="Century Schoolbook"/>
        </w:rPr>
        <w:t xml:space="preserve">V. il punto 62 della Comunicazione consolidata 2008/C 95/01 della Commissione sui criteri di competenza giurisdizionale a norma del regolamento (CE) n. 139/2004 del Consiglio relativo al controllo delle concentrazioni tra imprese (in </w:t>
      </w:r>
      <w:r w:rsidRPr="00FD616A">
        <w:rPr>
          <w:rFonts w:ascii="Century Schoolbook" w:hAnsi="Century Schoolbook"/>
          <w:i/>
          <w:iCs/>
        </w:rPr>
        <w:t>GUUE</w:t>
      </w:r>
      <w:r w:rsidRPr="00FD616A">
        <w:rPr>
          <w:rFonts w:ascii="Century Schoolbook" w:hAnsi="Century Schoolbook"/>
        </w:rPr>
        <w:t xml:space="preserve"> C 95/1 del 16 aprile 2008): «Si ha controllo congiunto quando due o più imprese o persone hanno la possibilità di esercitare un’influenza determinante sull’attività di un’altra impresa. In questo contesto per influenza determinante si intende normalmente il potere di impedire decisioni che determinano l’indirizzo strategico degli affari dell’impresa. A differenza del controllo esclusivo, che conferisce ad un determinato azionista il potere di determinare le decisioni strategiche dell’impresa, il controllo congiunto è caratterizzato dalla possibilità che si verifichi una situazione di stallo per effetto del potere di due o più </w:t>
      </w:r>
      <w:r w:rsidRPr="00FD616A">
        <w:rPr>
          <w:rFonts w:ascii="Century Schoolbook" w:hAnsi="Century Schoolbook"/>
          <w:spacing w:val="-2"/>
        </w:rPr>
        <w:t>soggetti di respingere le decisioni strategiche proposte. Ne consegue che gli azionisti interessati</w:t>
      </w:r>
      <w:r w:rsidRPr="00FD616A">
        <w:rPr>
          <w:rFonts w:ascii="Century Schoolbook" w:hAnsi="Century Schoolbook"/>
        </w:rPr>
        <w:t xml:space="preserve"> devono concordare una linea d’azione comune per determinare l’indirizzo dell’attività dell’impresa comune e che sono costretti a cooperare».</w:t>
      </w:r>
    </w:p>
    <w:p w14:paraId="2ED241C4" w14:textId="5466B680" w:rsidR="00F7397D" w:rsidRPr="00FD616A" w:rsidRDefault="00F7397D" w:rsidP="00314ADB">
      <w:pPr>
        <w:pStyle w:val="Testonotaapidipagina"/>
        <w:spacing w:before="0"/>
        <w:rPr>
          <w:rFonts w:ascii="Century Schoolbook" w:hAnsi="Century Schoolbook"/>
        </w:rPr>
      </w:pPr>
      <w:r w:rsidRPr="00FD616A">
        <w:rPr>
          <w:rFonts w:ascii="Century Schoolbook" w:hAnsi="Century Schoolbook"/>
        </w:rPr>
        <w:t>Il problema è comunque strutturale, genetico: il controllo congiunto segna per definizione un allontanamento dallo schema rigidamente dominicale che connota il modello classico, dove il rapporto corre fra un soggetto controllante e uno controllato.</w:t>
      </w:r>
    </w:p>
    <w:p w14:paraId="5331B958" w14:textId="77777777" w:rsidR="00F7397D" w:rsidRPr="00FD616A" w:rsidRDefault="00F7397D" w:rsidP="00314ADB">
      <w:pPr>
        <w:pStyle w:val="Testonotaapidipagina"/>
        <w:spacing w:before="0"/>
        <w:rPr>
          <w:rFonts w:ascii="Century Schoolbook" w:hAnsi="Century Schoolbook"/>
        </w:rPr>
      </w:pPr>
      <w:r w:rsidRPr="00FD616A">
        <w:rPr>
          <w:rFonts w:ascii="Century Schoolbook" w:hAnsi="Century Schoolbook"/>
        </w:rPr>
        <w:t xml:space="preserve">Lo evidenzia bene V. </w:t>
      </w:r>
      <w:r w:rsidRPr="00FD616A">
        <w:rPr>
          <w:rFonts w:ascii="Century Schoolbook" w:hAnsi="Century Schoolbook"/>
          <w:smallCaps/>
        </w:rPr>
        <w:t>Brigante</w:t>
      </w:r>
      <w:r w:rsidRPr="00FD616A">
        <w:rPr>
          <w:rFonts w:ascii="Century Schoolbook" w:hAnsi="Century Schoolbook"/>
        </w:rPr>
        <w:t xml:space="preserve">, </w:t>
      </w:r>
      <w:r w:rsidRPr="00FD616A">
        <w:rPr>
          <w:rFonts w:ascii="Century Schoolbook" w:hAnsi="Century Schoolbook"/>
          <w:i/>
          <w:iCs/>
        </w:rPr>
        <w:t>La crisi della soggettività</w:t>
      </w:r>
      <w:r w:rsidRPr="00FD616A">
        <w:rPr>
          <w:rFonts w:ascii="Century Schoolbook" w:hAnsi="Century Schoolbook"/>
        </w:rPr>
        <w:t>, cit., p. 9: «il controllo analogo eser</w:t>
      </w:r>
      <w:r w:rsidRPr="00FD616A">
        <w:rPr>
          <w:rFonts w:ascii="Century Schoolbook" w:hAnsi="Century Schoolbook"/>
          <w:spacing w:val="-2"/>
        </w:rPr>
        <w:t>citato in maniera congiunta sembra smarrire le peculiarità del controllo analogo «tradizionale». Il</w:t>
      </w:r>
      <w:r w:rsidRPr="00FD616A">
        <w:rPr>
          <w:rFonts w:ascii="Century Schoolbook" w:hAnsi="Century Schoolbook"/>
        </w:rPr>
        <w:t xml:space="preserve"> </w:t>
      </w:r>
      <w:r w:rsidRPr="00FD616A">
        <w:rPr>
          <w:rFonts w:ascii="Century Schoolbook" w:hAnsi="Century Schoolbook"/>
          <w:spacing w:val="-2"/>
        </w:rPr>
        <w:t>controllo analogo viene configurato in termini più intensi rispetto ai consueti controlli societari,</w:t>
      </w:r>
      <w:r w:rsidRPr="00FD616A">
        <w:rPr>
          <w:rFonts w:ascii="Century Schoolbook" w:hAnsi="Century Schoolbook"/>
        </w:rPr>
        <w:t xml:space="preserve"> tra</w:t>
      </w:r>
      <w:r w:rsidRPr="00FD616A">
        <w:rPr>
          <w:rFonts w:ascii="Century Schoolbook" w:hAnsi="Century Schoolbook"/>
          <w:spacing w:val="-2"/>
        </w:rPr>
        <w:t>ducendosi in un potere assoluto di direzione, coordinamento e supervisione dell’attività, che mal</w:t>
      </w:r>
      <w:r w:rsidRPr="00FD616A">
        <w:rPr>
          <w:rFonts w:ascii="Century Schoolbook" w:hAnsi="Century Schoolbook"/>
        </w:rPr>
        <w:t xml:space="preserve"> si concilia con un controllo esercitato in maniera congiunta da diverse pubblica amministrazioni. La </w:t>
      </w:r>
      <w:r w:rsidRPr="00FD616A">
        <w:rPr>
          <w:rFonts w:ascii="Century Schoolbook" w:hAnsi="Century Schoolbook"/>
          <w:spacing w:val="-2"/>
        </w:rPr>
        <w:t>frammentazione soggettiva del potere di controllo, causata e legittimata ontologicamente dalla</w:t>
      </w:r>
      <w:r w:rsidRPr="00FD616A">
        <w:rPr>
          <w:rFonts w:ascii="Century Schoolbook" w:hAnsi="Century Schoolbook"/>
        </w:rPr>
        <w:t xml:space="preserve"> disgiunta titolarità delle quote partecipative, è suscettibile di far smarrire al controllo stesso il carattere di dominio e la assimilabilità dello stesso ai poteri che ogni amministrazione detiene nei confronti dei propri uffici».</w:t>
      </w:r>
    </w:p>
  </w:footnote>
  <w:footnote w:id="54">
    <w:p w14:paraId="35A04733" w14:textId="06686768" w:rsidR="00F7397D" w:rsidRPr="00FD616A" w:rsidRDefault="00F7397D" w:rsidP="00D22A38">
      <w:pPr>
        <w:pStyle w:val="Testonotaapidipagina"/>
        <w:rPr>
          <w:rFonts w:ascii="Century Schoolbook" w:hAnsi="Century Schoolbook"/>
        </w:rPr>
      </w:pPr>
      <w:r w:rsidRPr="00FD616A">
        <w:rPr>
          <w:rStyle w:val="Rimandonotaapidipagina"/>
          <w:rFonts w:ascii="Century Schoolbook" w:hAnsi="Century Schoolbook"/>
          <w:szCs w:val="18"/>
        </w:rPr>
        <w:footnoteRef/>
      </w:r>
      <w:r w:rsidRPr="00FD616A">
        <w:rPr>
          <w:rFonts w:ascii="Century Schoolbook" w:hAnsi="Century Schoolbook"/>
          <w:vertAlign w:val="superscript"/>
        </w:rPr>
        <w:t> </w:t>
      </w:r>
      <w:r w:rsidRPr="00FD616A">
        <w:rPr>
          <w:rFonts w:ascii="Century Schoolbook" w:hAnsi="Century Schoolbook"/>
        </w:rPr>
        <w:t xml:space="preserve">Il tema delle diverse modalità di governazione dell’entità </w:t>
      </w:r>
      <w:r w:rsidRPr="00FD616A">
        <w:rPr>
          <w:rFonts w:ascii="Century Schoolbook" w:hAnsi="Century Schoolbook"/>
          <w:i/>
          <w:iCs/>
        </w:rPr>
        <w:t>in house</w:t>
      </w:r>
      <w:r w:rsidRPr="00FD616A">
        <w:rPr>
          <w:rFonts w:ascii="Century Schoolbook" w:hAnsi="Century Schoolbook"/>
        </w:rPr>
        <w:t xml:space="preserve"> in caso di controllo frazionato è trattato da Cons. Stato, sez. III, 27 aprile 2015, n. 2154. Confermando la sentenza di prime cure, quel Giudice ha richiamato adesivamente la giurisprudenza comunitaria, secondo cui nel caso di pluripartecipazione è necessario «che il singolo socio possa vantare una posizione più che simbolica, idonea, per quanto minoritaria, a garantirgli una possibilità effettiva di partecipazione alla gestione dell’organismo del quale è parte; sicché, una presenza puramente formale nella compagine partecipata o in un organo comune incaricato della direzione della stessa, non risulterebbe sufficiente». Ancora – e sempre rifacendosi testualmente alla pronuncia appellata – ha affermato che «la prassi conosce svariati meccanismi, fondati ora sulla nomina diretta e concorrente di singoli rappresentanti (uno per ogni socio) in seno al consiglio di amministrazione della società; ora sulla partecipazione mediata agli organi direttivi attraverso la nomina da parte dell’assemblea di consiglieri riservati ai soci di minoranza. Valida alternativa è offerta dagli strumenti di carattere parasociale, che operano attraverso la predisposizione di organismi di controllo, costituiti dai rappresentanti di ciascun ente locale, muniti di penetranti poteri di verifica preventiva sulla gestione dell’attività». Ancora, Palazzo Spada ha precisato che «il controllo deve essere esercitato non solo in forma propulsiva ma anche attraverso l’esercizio – in chiave preventiva – di poteri inibitori»; e che «le decisioni strategiche e più importanti dovrebbero essere sottoposte all’approvazione della totalità degli enti pubblici soci; in caso contrario, neppure i soci pubblici di maggioranza hanno effettivo potere di orientare le scelte determinanti della società».</w:t>
      </w:r>
    </w:p>
  </w:footnote>
  <w:footnote w:id="55">
    <w:p w14:paraId="60D84E63" w14:textId="77777777" w:rsidR="00F7397D" w:rsidRPr="00FD616A" w:rsidRDefault="00F7397D" w:rsidP="00D22A38">
      <w:pPr>
        <w:pStyle w:val="Testonotaapidipagina"/>
        <w:rPr>
          <w:rFonts w:ascii="Century Schoolbook" w:hAnsi="Century Schoolbook"/>
        </w:rPr>
      </w:pPr>
      <w:r w:rsidRPr="00FD616A">
        <w:rPr>
          <w:rStyle w:val="Rimandonotaapidipagina"/>
          <w:rFonts w:ascii="Century Schoolbook" w:hAnsi="Century Schoolbook"/>
          <w:szCs w:val="18"/>
        </w:rPr>
        <w:footnoteRef/>
      </w:r>
      <w:r w:rsidRPr="00FD616A">
        <w:rPr>
          <w:rFonts w:ascii="Century Schoolbook" w:hAnsi="Century Schoolbook"/>
          <w:vertAlign w:val="superscript"/>
        </w:rPr>
        <w:t> </w:t>
      </w:r>
      <w:r w:rsidRPr="00FD616A">
        <w:rPr>
          <w:rFonts w:ascii="Century Schoolbook" w:hAnsi="Century Schoolbook"/>
        </w:rPr>
        <w:t xml:space="preserve">Trattandosi peraltro di fatti concernenti solo l’entità </w:t>
      </w:r>
      <w:r w:rsidRPr="00FD616A">
        <w:rPr>
          <w:rFonts w:ascii="Century Schoolbook" w:hAnsi="Century Schoolbook"/>
          <w:i/>
          <w:iCs/>
        </w:rPr>
        <w:t>in house</w:t>
      </w:r>
      <w:r w:rsidRPr="00FD616A">
        <w:rPr>
          <w:rFonts w:ascii="Century Schoolbook" w:hAnsi="Century Schoolbook"/>
        </w:rPr>
        <w:t>, c’è in generale da chiedersi quale sia in questi casi – in base al principio di vicinanza – l’ampiezza (ragionevolmente nulla, o comunque assai ridotta) dell’onere probatorio gravante su chi deduce il superamento di quella percentuale legale massima.</w:t>
      </w:r>
    </w:p>
  </w:footnote>
  <w:footnote w:id="56">
    <w:p w14:paraId="65440427" w14:textId="77777777" w:rsidR="00F7397D" w:rsidRPr="00FD616A" w:rsidRDefault="00F7397D" w:rsidP="00D22A38">
      <w:pPr>
        <w:pStyle w:val="Testonotaapidipagina"/>
        <w:rPr>
          <w:rFonts w:ascii="Century Schoolbook" w:hAnsi="Century Schoolbook"/>
        </w:rPr>
      </w:pPr>
      <w:r w:rsidRPr="00FD616A">
        <w:rPr>
          <w:rStyle w:val="Rimandonotaapidipagina"/>
          <w:rFonts w:ascii="Century Schoolbook" w:hAnsi="Century Schoolbook"/>
          <w:szCs w:val="18"/>
        </w:rPr>
        <w:footnoteRef/>
      </w:r>
      <w:r w:rsidRPr="00FD616A">
        <w:rPr>
          <w:rFonts w:ascii="Century Schoolbook" w:hAnsi="Century Schoolbook"/>
          <w:vertAlign w:val="superscript"/>
        </w:rPr>
        <w:t> </w:t>
      </w:r>
      <w:r w:rsidRPr="00FD616A">
        <w:rPr>
          <w:rFonts w:ascii="Century Schoolbook" w:hAnsi="Century Schoolbook"/>
        </w:rPr>
        <w:t>La sentenza è stata infatti appellata e il giudizio di secondo grado è a oggi pendente.</w:t>
      </w:r>
    </w:p>
  </w:footnote>
  <w:footnote w:id="57">
    <w:p w14:paraId="7D604459" w14:textId="77777777" w:rsidR="00F7397D" w:rsidRPr="00FD616A" w:rsidRDefault="00F7397D" w:rsidP="00D22A38">
      <w:pPr>
        <w:pStyle w:val="Testonotaapidipagina"/>
        <w:rPr>
          <w:rFonts w:ascii="Century Schoolbook" w:hAnsi="Century Schoolbook"/>
        </w:rPr>
      </w:pPr>
      <w:r w:rsidRPr="00FD616A">
        <w:rPr>
          <w:rStyle w:val="Rimandonotaapidipagina"/>
          <w:rFonts w:ascii="Century Schoolbook" w:hAnsi="Century Schoolbook"/>
          <w:szCs w:val="18"/>
        </w:rPr>
        <w:footnoteRef/>
      </w:r>
      <w:r w:rsidRPr="00FD616A">
        <w:rPr>
          <w:rFonts w:ascii="Century Schoolbook" w:hAnsi="Century Schoolbook"/>
          <w:vertAlign w:val="superscript"/>
        </w:rPr>
        <w:t> </w:t>
      </w:r>
      <w:r w:rsidRPr="00FD616A">
        <w:rPr>
          <w:rFonts w:ascii="Century Schoolbook" w:hAnsi="Century Schoolbook"/>
          <w:i/>
          <w:iCs/>
        </w:rPr>
        <w:t>Infra</w:t>
      </w:r>
      <w:r w:rsidRPr="00FD616A">
        <w:rPr>
          <w:rFonts w:ascii="Century Schoolbook" w:hAnsi="Century Schoolbook"/>
        </w:rPr>
        <w:t>, nt. 56.</w:t>
      </w:r>
    </w:p>
  </w:footnote>
  <w:footnote w:id="58">
    <w:p w14:paraId="712B1805" w14:textId="77777777" w:rsidR="00F7397D" w:rsidRPr="00FD616A" w:rsidRDefault="00F7397D" w:rsidP="00D22A38">
      <w:pPr>
        <w:pStyle w:val="Testonotaapidipagina"/>
        <w:rPr>
          <w:rFonts w:ascii="Century Schoolbook" w:hAnsi="Century Schoolbook"/>
        </w:rPr>
      </w:pPr>
      <w:r w:rsidRPr="00FD616A">
        <w:rPr>
          <w:rStyle w:val="Rimandonotaapidipagina"/>
          <w:rFonts w:ascii="Century Schoolbook" w:hAnsi="Century Schoolbook"/>
          <w:szCs w:val="18"/>
        </w:rPr>
        <w:footnoteRef/>
      </w:r>
      <w:r w:rsidRPr="00FD616A">
        <w:rPr>
          <w:rFonts w:ascii="Century Schoolbook" w:hAnsi="Century Schoolbook"/>
          <w:vertAlign w:val="superscript"/>
        </w:rPr>
        <w:t> </w:t>
      </w:r>
      <w:r w:rsidRPr="00FD616A">
        <w:rPr>
          <w:rFonts w:ascii="Century Schoolbook" w:hAnsi="Century Schoolbook"/>
        </w:rPr>
        <w:t>Corte cost., 27 maggio 2020, n. 100: «L’obbligo di motivazione sulle ragioni del mancato ricorso al mercato imposto dall’art. 192, comma 2, del codice dei contratti pubblici, che risponde agli interessi costituzionalmente tutelati della trasparenza amministrativa e della tutela della con</w:t>
      </w:r>
      <w:r w:rsidRPr="00FD616A">
        <w:rPr>
          <w:rFonts w:ascii="Century Schoolbook" w:hAnsi="Century Schoolbook"/>
          <w:spacing w:val="-2"/>
        </w:rPr>
        <w:t>correnza, non è dunque in contrasto con il criterio previsto dall’art. 1 comma 1, lettera a), della</w:t>
      </w:r>
      <w:r w:rsidRPr="00FD616A">
        <w:rPr>
          <w:rFonts w:ascii="Century Schoolbook" w:hAnsi="Century Schoolbook"/>
        </w:rPr>
        <w:t xml:space="preserve"> legge delega n. 11 del 2016. Nemmeno sussiste la violazione dell’art. 1, comma 1, lettera </w:t>
      </w:r>
      <w:proofErr w:type="spellStart"/>
      <w:r w:rsidRPr="00FD616A">
        <w:rPr>
          <w:rFonts w:ascii="Century Schoolbook" w:hAnsi="Century Schoolbook"/>
        </w:rPr>
        <w:t>eee</w:t>
      </w:r>
      <w:proofErr w:type="spellEnd"/>
      <w:r w:rsidRPr="00FD616A">
        <w:rPr>
          <w:rFonts w:ascii="Century Schoolbook" w:hAnsi="Century Schoolbook"/>
        </w:rPr>
        <w:t>), della medesima legge delega, che impone, per quanto qui rileva, di garantire «adeguati livelli di pubblicità e trasparenza delle procedure anche per gli appalti pubblici e i contratti di concessione tra enti nel</w:t>
      </w:r>
      <w:r w:rsidRPr="00FD616A">
        <w:rPr>
          <w:rFonts w:ascii="Century Schoolbook" w:hAnsi="Century Schoolbook"/>
        </w:rPr>
        <w:softHyphen/>
        <w:t xml:space="preserve">l’ambito del settore pubblico, cosiddetti affidamenti </w:t>
      </w:r>
      <w:r w:rsidRPr="00FD616A">
        <w:rPr>
          <w:rFonts w:ascii="Century Schoolbook" w:hAnsi="Century Schoolbook"/>
          <w:i/>
          <w:iCs/>
        </w:rPr>
        <w:t>in house</w:t>
      </w:r>
      <w:r w:rsidRPr="00FD616A">
        <w:rPr>
          <w:rFonts w:ascii="Century Schoolbook" w:hAnsi="Century Schoolbook"/>
        </w:rPr>
        <w:t>, prevedendo, anche per questi enti, l’obbligo di pubblicazione di tutti gli atti connessi all’affidamento, assicurando, anche nelle forme di aggiudicazione diretta, la valutazione sulla congruità economica delle offerte, avuto riguardo all’oggetto e al valore della prestazione». Va evidenziato anzitutto che il criterio direttivo trova il suo epicentro non tanto nel generico obbligo di adeguata pubblicità e trasparenza – che, in quanto principio fondamentale dell’azione amministrativa (art. 97 Cost. e art. 1 della legge 7 agosto 1990, n. 241, recante «Nuove norme in materia di procedimento amministrativo e di diritto di ac</w:t>
      </w:r>
      <w:r w:rsidRPr="00FD616A">
        <w:rPr>
          <w:rFonts w:ascii="Century Schoolbook" w:hAnsi="Century Schoolbook"/>
          <w:spacing w:val="-2"/>
        </w:rPr>
        <w:t>cesso ai documenti amministrativi»), non richiede una conferma nelle normative di settore –</w:t>
      </w:r>
      <w:r w:rsidRPr="00FD616A">
        <w:rPr>
          <w:rFonts w:ascii="Century Schoolbook" w:hAnsi="Century Schoolbook"/>
        </w:rPr>
        <w:t xml:space="preserve"> quanto nel suo essere riferito, in particolare, agli affidamenti diretti, segno di una specifica attenzione a questo istituto già da parte del legislatore delegante. È dunque alla stregua di questo dato che occorre valutare la scelta del legislatore delegato di imporre, per tali casi, un onere di motivazione circa il mancato ricorso al mercato. […] </w:t>
      </w:r>
      <w:r w:rsidRPr="00FD616A">
        <w:rPr>
          <w:rFonts w:ascii="Century Schoolbook" w:hAnsi="Century Schoolbook"/>
          <w:i/>
          <w:iCs/>
        </w:rPr>
        <w:t>La norma delegata, in effetti, è espressione di una linea restrittiva del ricorso all’affidamento diretto che è costante nel nostro ordinamento da oltre dieci anni, e che costituisce la risposta all’abuso di tale istituto da parte delle amministrazioni nazionali e locali</w:t>
      </w:r>
      <w:r w:rsidRPr="00FD616A">
        <w:rPr>
          <w:rFonts w:ascii="Century Schoolbook" w:hAnsi="Century Schoolbook"/>
        </w:rPr>
        <w:t xml:space="preserve"> […]» (ho aggiunto il corsivo).</w:t>
      </w:r>
    </w:p>
    <w:p w14:paraId="1D45643D" w14:textId="77777777" w:rsidR="00F7397D" w:rsidRPr="00FD616A" w:rsidRDefault="00F7397D" w:rsidP="00314ADB">
      <w:pPr>
        <w:pStyle w:val="Testonotaapidipagina"/>
        <w:spacing w:before="0"/>
        <w:rPr>
          <w:rFonts w:ascii="Century Schoolbook" w:hAnsi="Century Schoolbook"/>
        </w:rPr>
      </w:pPr>
      <w:r w:rsidRPr="00FD616A">
        <w:rPr>
          <w:rFonts w:ascii="Century Schoolbook" w:hAnsi="Century Schoolbook"/>
        </w:rPr>
        <w:t xml:space="preserve">G.F. </w:t>
      </w:r>
      <w:r w:rsidRPr="00FD616A">
        <w:rPr>
          <w:rFonts w:ascii="Century Schoolbook" w:hAnsi="Century Schoolbook"/>
          <w:smallCaps/>
        </w:rPr>
        <w:t>Ferrari</w:t>
      </w:r>
      <w:r w:rsidRPr="00FD616A">
        <w:rPr>
          <w:rFonts w:ascii="Century Schoolbook" w:hAnsi="Century Schoolbook"/>
        </w:rPr>
        <w:t xml:space="preserve">, </w:t>
      </w:r>
      <w:r w:rsidRPr="00FD616A">
        <w:rPr>
          <w:rFonts w:ascii="Century Schoolbook" w:hAnsi="Century Schoolbook"/>
          <w:i/>
          <w:iCs/>
        </w:rPr>
        <w:t>Commento all’art. 192</w:t>
      </w:r>
      <w:r w:rsidRPr="00FD616A">
        <w:rPr>
          <w:rFonts w:ascii="Century Schoolbook" w:hAnsi="Century Schoolbook"/>
        </w:rPr>
        <w:t xml:space="preserve">, in G.F. </w:t>
      </w:r>
      <w:r w:rsidRPr="00FD616A">
        <w:rPr>
          <w:rFonts w:ascii="Century Schoolbook" w:hAnsi="Century Schoolbook"/>
          <w:smallCaps/>
        </w:rPr>
        <w:t>Ferrari-</w:t>
      </w:r>
      <w:r w:rsidRPr="00FD616A">
        <w:rPr>
          <w:rFonts w:ascii="Century Schoolbook" w:hAnsi="Century Schoolbook"/>
        </w:rPr>
        <w:t xml:space="preserve">G. </w:t>
      </w:r>
      <w:r w:rsidRPr="00FD616A">
        <w:rPr>
          <w:rFonts w:ascii="Century Schoolbook" w:hAnsi="Century Schoolbook"/>
          <w:smallCaps/>
        </w:rPr>
        <w:t>Morbidelli</w:t>
      </w:r>
      <w:r w:rsidRPr="00FD616A">
        <w:rPr>
          <w:rFonts w:ascii="Century Schoolbook" w:hAnsi="Century Schoolbook"/>
        </w:rPr>
        <w:t xml:space="preserve"> (a cura di), </w:t>
      </w:r>
      <w:r w:rsidRPr="00FD616A">
        <w:rPr>
          <w:rFonts w:ascii="Century Schoolbook" w:hAnsi="Century Schoolbook"/>
          <w:i/>
          <w:iCs/>
        </w:rPr>
        <w:t>Codice dei contratti pubblici</w:t>
      </w:r>
      <w:r w:rsidRPr="00FD616A">
        <w:rPr>
          <w:rFonts w:ascii="Century Schoolbook" w:hAnsi="Century Schoolbook"/>
        </w:rPr>
        <w:t>, 2017, Milano, 2017, p. 192 ss., spec. p. 193, osservava infatti che «la disciplina introdotta dall’art. 192 non trova corrispondenza nelle direttive europee del 2014 e conferma la tendenziale linea restrittiva in materia di</w:t>
      </w:r>
      <w:r w:rsidRPr="00FD616A">
        <w:rPr>
          <w:rFonts w:ascii="Century Schoolbook" w:hAnsi="Century Schoolbook"/>
          <w:i/>
          <w:iCs/>
        </w:rPr>
        <w:t xml:space="preserve"> in house providing</w:t>
      </w:r>
      <w:r w:rsidRPr="00FD616A">
        <w:rPr>
          <w:rFonts w:ascii="Century Schoolbook" w:hAnsi="Century Schoolbook"/>
        </w:rPr>
        <w:t>, che ha caratterizzato la normativa nazionale nel corso degli ultimi dieci anni, sulla scia delle critiche per cui il ricorso all’autoprodu</w:t>
      </w:r>
      <w:r w:rsidRPr="00FD616A">
        <w:rPr>
          <w:rFonts w:ascii="Century Schoolbook" w:hAnsi="Century Schoolbook"/>
        </w:rPr>
        <w:softHyphen/>
        <w:t>zione avrebbe l’effetto di pregiudicare la concorrenza, sottraendo ad essa importanti settori di mercato».</w:t>
      </w:r>
    </w:p>
  </w:footnote>
  <w:footnote w:id="59">
    <w:p w14:paraId="0A234BB5" w14:textId="77777777" w:rsidR="00F7397D" w:rsidRPr="00FD616A" w:rsidRDefault="00F7397D" w:rsidP="00D22A38">
      <w:pPr>
        <w:pStyle w:val="Testonotaapidipagina"/>
        <w:rPr>
          <w:rFonts w:ascii="Century Schoolbook" w:hAnsi="Century Schoolbook"/>
        </w:rPr>
      </w:pPr>
      <w:r w:rsidRPr="00FD616A">
        <w:rPr>
          <w:rStyle w:val="Rimandonotaapidipagina"/>
          <w:rFonts w:ascii="Century Schoolbook" w:hAnsi="Century Schoolbook"/>
          <w:szCs w:val="18"/>
        </w:rPr>
        <w:footnoteRef/>
      </w:r>
      <w:r w:rsidRPr="00FD616A">
        <w:rPr>
          <w:rFonts w:ascii="Century Schoolbook" w:hAnsi="Century Schoolbook"/>
          <w:vertAlign w:val="superscript"/>
        </w:rPr>
        <w:t> </w:t>
      </w:r>
      <w:r w:rsidRPr="00FD616A">
        <w:rPr>
          <w:rFonts w:ascii="Century Schoolbook" w:hAnsi="Century Schoolbook"/>
        </w:rPr>
        <w:t xml:space="preserve">Corte </w:t>
      </w:r>
      <w:proofErr w:type="spellStart"/>
      <w:r w:rsidRPr="00FD616A">
        <w:rPr>
          <w:rFonts w:ascii="Century Schoolbook" w:hAnsi="Century Schoolbook"/>
        </w:rPr>
        <w:t>Giust</w:t>
      </w:r>
      <w:proofErr w:type="spellEnd"/>
      <w:r w:rsidRPr="00FD616A">
        <w:rPr>
          <w:rFonts w:ascii="Century Schoolbook" w:hAnsi="Century Schoolbook"/>
        </w:rPr>
        <w:t xml:space="preserve">., </w:t>
      </w:r>
      <w:proofErr w:type="spellStart"/>
      <w:r w:rsidRPr="00FD616A">
        <w:rPr>
          <w:rFonts w:ascii="Century Schoolbook" w:hAnsi="Century Schoolbook"/>
        </w:rPr>
        <w:t>ord</w:t>
      </w:r>
      <w:proofErr w:type="spellEnd"/>
      <w:r w:rsidRPr="00FD616A">
        <w:rPr>
          <w:rFonts w:ascii="Century Schoolbook" w:hAnsi="Century Schoolbook"/>
        </w:rPr>
        <w:t xml:space="preserve">. 6 febbraio 2020, C-89/19 a C-91/19: «[…] la libertà degli Stati membri di scegliere il modo di prestazione di servizi mediante il quale le amministrazioni aggiudicatrici </w:t>
      </w:r>
      <w:r w:rsidRPr="00FD616A">
        <w:rPr>
          <w:rFonts w:ascii="Century Schoolbook" w:hAnsi="Century Schoolbook"/>
          <w:spacing w:val="-2"/>
        </w:rPr>
        <w:t>provvederanno alle proprie esigenze li autorizza a subordinare la conclusione di un’operazione</w:t>
      </w:r>
      <w:r w:rsidRPr="00FD616A">
        <w:rPr>
          <w:rFonts w:ascii="Century Schoolbook" w:hAnsi="Century Schoolbook"/>
        </w:rPr>
        <w:t xml:space="preserve"> interna all’impossibilità di indire una gara d’appalto e, in ogni caso, alla dimostrazione, da parte dell’am</w:t>
      </w:r>
      <w:r w:rsidRPr="00FD616A">
        <w:rPr>
          <w:rFonts w:ascii="Century Schoolbook" w:hAnsi="Century Schoolbook"/>
        </w:rPr>
        <w:softHyphen/>
        <w:t xml:space="preserve">ministrazione aggiudicatrice, dei vantaggi per la collettività specificamente connessi al ricorso all’operazione interna. Occorre quindi rispondere alla prima questione dichiarando che l’articolo 12, paragrafo 3, della direttiva 2014/24 deve essere interpretato nel senso che non osta a una normativa nazionale che subordina la conclusione di un’operazione interna, denominata anche «contratto </w:t>
      </w:r>
      <w:r w:rsidRPr="00FD616A">
        <w:rPr>
          <w:rFonts w:ascii="Century Schoolbook" w:hAnsi="Century Schoolbook"/>
          <w:i/>
          <w:iCs/>
        </w:rPr>
        <w:t>in house</w:t>
      </w:r>
      <w:r w:rsidRPr="00FD616A">
        <w:rPr>
          <w:rFonts w:ascii="Century Schoolbook" w:hAnsi="Century Schoolbook"/>
        </w:rPr>
        <w:t xml:space="preserve">», all’impossibilità di procedere all’aggiudicazione di un appalto e, in ogni caso, alla dimostrazione, da parte dell’amministrazione aggiudicatrice, dei vantaggi per la collettività specificamente connessi al ricorso all’operazione interna». Si noti: la Corte si è qui pronunciata con </w:t>
      </w:r>
      <w:r w:rsidRPr="00FD616A">
        <w:rPr>
          <w:rFonts w:ascii="Century Schoolbook" w:hAnsi="Century Schoolbook"/>
          <w:spacing w:val="-2"/>
        </w:rPr>
        <w:t>ordinanza ai sensi dell’art. 99 reg. proc. Come quell’istanza ha infatti specificato, «quando la ri</w:t>
      </w:r>
      <w:r w:rsidRPr="00FD616A">
        <w:rPr>
          <w:rFonts w:ascii="Century Schoolbook" w:hAnsi="Century Schoolbook"/>
        </w:rPr>
        <w:t>sposta a una questione pregiudiziale può essere chiaramente desunta dalla giurisprudenza o quando la risposta a tale questione non dà adito a nessun ragionevole dubbio, la Corte, su proposta del giudice relatore, sentito l’avvocato generale, può statuire in qualsiasi momento con ordinanza motivata. Tale disposizione deve essere applicata nelle cause in esame».</w:t>
      </w:r>
    </w:p>
    <w:p w14:paraId="071C268A" w14:textId="77777777" w:rsidR="00F7397D" w:rsidRPr="00FD616A" w:rsidRDefault="00F7397D" w:rsidP="00314ADB">
      <w:pPr>
        <w:pStyle w:val="Testonotaapidipagina"/>
        <w:spacing w:before="0"/>
        <w:rPr>
          <w:rFonts w:ascii="Century Schoolbook" w:hAnsi="Century Schoolbook"/>
        </w:rPr>
      </w:pPr>
      <w:r w:rsidRPr="00FD616A">
        <w:rPr>
          <w:rFonts w:ascii="Century Schoolbook" w:hAnsi="Century Schoolbook"/>
        </w:rPr>
        <w:t xml:space="preserve">Anche Cons. Stato, sez. VI, 15 luglio 2021, n. 5351 ha affermato che </w:t>
      </w:r>
      <w:proofErr w:type="spellStart"/>
      <w:r w:rsidRPr="00FD616A">
        <w:rPr>
          <w:rFonts w:ascii="Century Schoolbook" w:hAnsi="Century Schoolbook"/>
        </w:rPr>
        <w:t>l’</w:t>
      </w:r>
      <w:r w:rsidRPr="00FD616A">
        <w:rPr>
          <w:rFonts w:ascii="Century Schoolbook" w:hAnsi="Century Schoolbook"/>
          <w:i/>
          <w:iCs/>
        </w:rPr>
        <w:t>intra</w:t>
      </w:r>
      <w:proofErr w:type="spellEnd"/>
      <w:r w:rsidRPr="00FD616A">
        <w:rPr>
          <w:rFonts w:ascii="Century Schoolbook" w:hAnsi="Century Schoolbook"/>
          <w:i/>
          <w:iCs/>
        </w:rPr>
        <w:t xml:space="preserve"> </w:t>
      </w:r>
      <w:proofErr w:type="spellStart"/>
      <w:r w:rsidRPr="00FD616A">
        <w:rPr>
          <w:rFonts w:ascii="Century Schoolbook" w:hAnsi="Century Schoolbook"/>
          <w:i/>
          <w:iCs/>
        </w:rPr>
        <w:t>moenia</w:t>
      </w:r>
      <w:proofErr w:type="spellEnd"/>
      <w:r w:rsidRPr="00FD616A">
        <w:rPr>
          <w:rFonts w:ascii="Century Schoolbook" w:hAnsi="Century Schoolbook"/>
        </w:rPr>
        <w:t xml:space="preserve"> occupa una «posizione subalterna rispetto allo svolgimento della gara»; e che «tale orientamento, invero, si pone in linea con le pronunce con cui la Corte costituzionale ha riconosciuto alla legge di poter prevedere «</w:t>
      </w:r>
      <w:r w:rsidRPr="00FD616A">
        <w:rPr>
          <w:rFonts w:ascii="Century Schoolbook" w:hAnsi="Century Schoolbook"/>
          <w:i/>
          <w:iCs/>
        </w:rPr>
        <w:t>limitazioni dell’affidamento diretto più estese di quelle comunitarie</w:t>
      </w:r>
      <w:r w:rsidRPr="00FD616A">
        <w:rPr>
          <w:rFonts w:ascii="Century Schoolbook" w:hAnsi="Century Schoolbook"/>
        </w:rPr>
        <w:t>» (</w:t>
      </w:r>
      <w:proofErr w:type="spellStart"/>
      <w:r w:rsidRPr="00FD616A">
        <w:rPr>
          <w:rFonts w:ascii="Century Schoolbook" w:hAnsi="Century Schoolbook"/>
        </w:rPr>
        <w:t>sent</w:t>
      </w:r>
      <w:proofErr w:type="spellEnd"/>
      <w:r w:rsidRPr="00FD616A">
        <w:rPr>
          <w:rFonts w:ascii="Century Schoolbook" w:hAnsi="Century Schoolbook"/>
        </w:rPr>
        <w:t>. 17 novembre 2010, n. 325), dal momento che l’affidamento in regime di delegazione interorganica costituisce «</w:t>
      </w:r>
      <w:r w:rsidRPr="00FD616A">
        <w:rPr>
          <w:rFonts w:ascii="Century Schoolbook" w:hAnsi="Century Schoolbook"/>
          <w:i/>
          <w:iCs/>
        </w:rPr>
        <w:t>un’eccezione rispetto alla regola generale dell’affidamento a terzi mediante gara ad evidenza pubblica</w:t>
      </w:r>
      <w:r w:rsidRPr="00FD616A">
        <w:rPr>
          <w:rFonts w:ascii="Century Schoolbook" w:hAnsi="Century Schoolbook"/>
        </w:rPr>
        <w:t>» (sentenza 20 marzo 2013, n. 46)».</w:t>
      </w:r>
    </w:p>
  </w:footnote>
  <w:footnote w:id="60">
    <w:p w14:paraId="5DFF300E" w14:textId="77777777" w:rsidR="00F7397D" w:rsidRPr="00FD616A" w:rsidRDefault="00F7397D" w:rsidP="00D22A38">
      <w:pPr>
        <w:pStyle w:val="Testonotaapidipagina"/>
        <w:rPr>
          <w:rFonts w:ascii="Century Schoolbook" w:hAnsi="Century Schoolbook"/>
        </w:rPr>
      </w:pPr>
      <w:r w:rsidRPr="00FD616A">
        <w:rPr>
          <w:rStyle w:val="Rimandonotaapidipagina"/>
          <w:rFonts w:ascii="Century Schoolbook" w:hAnsi="Century Schoolbook"/>
          <w:szCs w:val="18"/>
        </w:rPr>
        <w:footnoteRef/>
      </w:r>
      <w:r w:rsidRPr="00FD616A">
        <w:rPr>
          <w:rFonts w:ascii="Century Schoolbook" w:hAnsi="Century Schoolbook"/>
          <w:vertAlign w:val="superscript"/>
        </w:rPr>
        <w:t> </w:t>
      </w:r>
      <w:r w:rsidRPr="00FD616A">
        <w:rPr>
          <w:rFonts w:ascii="Century Schoolbook" w:hAnsi="Century Schoolbook"/>
        </w:rPr>
        <w:t>Riascoltiamo il testo tedesco per aver contezza di quanto forte e avvincente dovrebbe essere quel legame: «</w:t>
      </w:r>
      <w:proofErr w:type="spellStart"/>
      <w:r w:rsidRPr="00FD616A">
        <w:rPr>
          <w:rFonts w:ascii="Century Schoolbook" w:hAnsi="Century Schoolbook"/>
        </w:rPr>
        <w:t>wie</w:t>
      </w:r>
      <w:proofErr w:type="spellEnd"/>
      <w:r w:rsidRPr="00FD616A">
        <w:rPr>
          <w:rFonts w:ascii="Century Schoolbook" w:hAnsi="Century Schoolbook"/>
        </w:rPr>
        <w:t xml:space="preserve"> </w:t>
      </w:r>
      <w:proofErr w:type="spellStart"/>
      <w:r w:rsidRPr="00FD616A">
        <w:rPr>
          <w:rFonts w:ascii="Century Schoolbook" w:hAnsi="Century Schoolbook"/>
        </w:rPr>
        <w:t>über</w:t>
      </w:r>
      <w:proofErr w:type="spellEnd"/>
      <w:r w:rsidRPr="00FD616A">
        <w:rPr>
          <w:rFonts w:ascii="Century Schoolbook" w:hAnsi="Century Schoolbook"/>
        </w:rPr>
        <w:t xml:space="preserve"> </w:t>
      </w:r>
      <w:proofErr w:type="spellStart"/>
      <w:r w:rsidRPr="00FD616A">
        <w:rPr>
          <w:rFonts w:ascii="Century Schoolbook" w:hAnsi="Century Schoolbook"/>
        </w:rPr>
        <w:t>seine</w:t>
      </w:r>
      <w:proofErr w:type="spellEnd"/>
      <w:r w:rsidRPr="00FD616A">
        <w:rPr>
          <w:rFonts w:ascii="Century Schoolbook" w:hAnsi="Century Schoolbook"/>
        </w:rPr>
        <w:t xml:space="preserve"> </w:t>
      </w:r>
      <w:proofErr w:type="spellStart"/>
      <w:r w:rsidRPr="00FD616A">
        <w:rPr>
          <w:rFonts w:ascii="Century Schoolbook" w:hAnsi="Century Schoolbook"/>
        </w:rPr>
        <w:t>eigenen</w:t>
      </w:r>
      <w:proofErr w:type="spellEnd"/>
      <w:r w:rsidRPr="00FD616A">
        <w:rPr>
          <w:rFonts w:ascii="Century Schoolbook" w:hAnsi="Century Schoolbook"/>
        </w:rPr>
        <w:t xml:space="preserve"> </w:t>
      </w:r>
      <w:proofErr w:type="spellStart"/>
      <w:r w:rsidRPr="00FD616A">
        <w:rPr>
          <w:rFonts w:ascii="Century Schoolbook" w:hAnsi="Century Schoolbook"/>
        </w:rPr>
        <w:t>Dienststellen</w:t>
      </w:r>
      <w:proofErr w:type="spellEnd"/>
      <w:r w:rsidRPr="00FD616A">
        <w:rPr>
          <w:rFonts w:ascii="Century Schoolbook" w:hAnsi="Century Schoolbook"/>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FB425" w14:textId="61269DAE" w:rsidR="00586ED6" w:rsidRPr="003E0DEB" w:rsidRDefault="00586ED6" w:rsidP="00C82564">
    <w:pPr>
      <w:tabs>
        <w:tab w:val="center" w:pos="3629"/>
      </w:tabs>
      <w:spacing w:after="0" w:line="240" w:lineRule="exact"/>
      <w:rPr>
        <w:rStyle w:val="IntestazioneCarattere"/>
      </w:rPr>
    </w:pPr>
    <w:r w:rsidRPr="00CB205A">
      <w:rPr>
        <w:rFonts w:ascii="Simoncini Garamond Std" w:hAnsi="Simoncini Garamond Std"/>
        <w:sz w:val="18"/>
        <w:szCs w:val="18"/>
      </w:rPr>
      <w:ptab w:relativeTo="margin" w:alignment="center" w:leader="none"/>
    </w:r>
    <w:r w:rsidR="007479F1" w:rsidRPr="007479F1">
      <w:rPr>
        <w:rFonts w:ascii="Simoncini Garamond Std" w:hAnsi="Simoncini Garamond Std"/>
        <w:i/>
        <w:iCs/>
        <w:sz w:val="18"/>
        <w:szCs w:val="18"/>
      </w:rPr>
      <w:t>Pier Luigi Portaluri</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58849A" w14:textId="217C0171" w:rsidR="00586ED6" w:rsidRPr="003E0DEB" w:rsidRDefault="00586ED6" w:rsidP="003E0DEB">
    <w:pPr>
      <w:pStyle w:val="Intestazione"/>
      <w:rPr>
        <w:i w:val="0"/>
        <w:iCs/>
        <w:sz w:val="20"/>
        <w:szCs w:val="20"/>
      </w:rPr>
    </w:pPr>
    <w:r w:rsidRPr="006242B4">
      <w:tab/>
    </w:r>
    <w:r w:rsidR="007479F1" w:rsidRPr="0087010B">
      <w:t xml:space="preserve">Ricorso al mercato e affidamento </w:t>
    </w:r>
    <w:r w:rsidR="007479F1" w:rsidRPr="007479F1">
      <w:rPr>
        <w:i w:val="0"/>
      </w:rPr>
      <w:t>in</w:t>
    </w:r>
    <w:r w:rsidR="007479F1" w:rsidRPr="0087010B">
      <w:rPr>
        <w:iCs/>
      </w:rPr>
      <w:t xml:space="preserve"> </w:t>
    </w:r>
    <w:r w:rsidR="007479F1" w:rsidRPr="007479F1">
      <w:rPr>
        <w:i w:val="0"/>
      </w:rPr>
      <w:t>house</w:t>
    </w:r>
    <w:r w:rsidR="007479F1" w:rsidRPr="0087010B">
      <w:t xml:space="preserve"> nel diritto universitario</w:t>
    </w:r>
    <w:r w:rsidR="007479F1" w:rsidRPr="006242B4">
      <w:t xml:space="preserve"> </w:t>
    </w:r>
    <w:r w:rsidRPr="006242B4">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mirrorMargins/>
  <w:activeWritingStyle w:appName="MSWord" w:lang="it-IT" w:vendorID="64" w:dllVersion="6" w:nlCheck="1" w:checkStyle="0"/>
  <w:activeWritingStyle w:appName="MSWord" w:lang="en-US" w:vendorID="64" w:dllVersion="6" w:nlCheck="1" w:checkStyle="1"/>
  <w:activeWritingStyle w:appName="MSWord" w:lang="fr-FR" w:vendorID="64" w:dllVersion="6" w:nlCheck="1" w:checkStyle="1"/>
  <w:activeWritingStyle w:appName="MSWord" w:lang="en-GB" w:vendorID="64" w:dllVersion="6" w:nlCheck="1" w:checkStyle="1"/>
  <w:activeWritingStyle w:appName="MSWord" w:lang="it-IT" w:vendorID="64" w:dllVersion="4096" w:nlCheck="1" w:checkStyle="0"/>
  <w:activeWritingStyle w:appName="MSWord" w:lang="it-IT" w:vendorID="64" w:dllVersion="0" w:nlCheck="1" w:checkStyle="0"/>
  <w:activeWritingStyle w:appName="MSWord" w:lang="en-GB" w:vendorID="64" w:dllVersion="0" w:nlCheck="1" w:checkStyle="0"/>
  <w:activeWritingStyle w:appName="MSWord" w:lang="de-DE" w:vendorID="64" w:dllVersion="0" w:nlCheck="1" w:checkStyle="0"/>
  <w:activeWritingStyle w:appName="MSWord" w:lang="fr-FR" w:vendorID="64" w:dllVersion="0" w:nlCheck="1" w:checkStyle="0"/>
  <w:activeWritingStyle w:appName="MSWord" w:lang="de-DE"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en-US" w:vendorID="64" w:dllVersion="0" w:nlCheck="1" w:checkStyle="0"/>
  <w:activeWritingStyle w:appName="MSWord" w:lang="pt-PT" w:vendorID="64" w:dllVersion="0" w:nlCheck="1" w:checkStyle="0"/>
  <w:activeWritingStyle w:appName="MSWord" w:lang="en-US" w:vendorID="64" w:dllVersion="4096" w:nlCheck="1" w:checkStyle="0"/>
  <w:activeWritingStyle w:appName="MSWord" w:lang="es-ES" w:vendorID="64" w:dllVersion="4096" w:nlCheck="1" w:checkStyle="0"/>
  <w:activeWritingStyle w:appName="MSWord" w:lang="it-IT" w:vendorID="64" w:dllVersion="131078" w:nlCheck="1" w:checkStyle="0"/>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09"/>
  <w:autoHyphenation/>
  <w:hyphenationZone w:val="283"/>
  <w:evenAndOddHeaders/>
  <w:characterSpacingControl w:val="doNotCompress"/>
  <w:hdrShapeDefaults>
    <o:shapedefaults v:ext="edit" spidmax="2049"/>
  </w:hdrShapeDefaults>
  <w:footnotePr>
    <w:numRestart w:val="eachSect"/>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986"/>
    <w:rsid w:val="000022E5"/>
    <w:rsid w:val="00002C6E"/>
    <w:rsid w:val="00003001"/>
    <w:rsid w:val="000046DC"/>
    <w:rsid w:val="00006600"/>
    <w:rsid w:val="0000690F"/>
    <w:rsid w:val="0000713E"/>
    <w:rsid w:val="00007F99"/>
    <w:rsid w:val="00010429"/>
    <w:rsid w:val="0001042B"/>
    <w:rsid w:val="000108D7"/>
    <w:rsid w:val="00014446"/>
    <w:rsid w:val="00014B43"/>
    <w:rsid w:val="00014D33"/>
    <w:rsid w:val="00015753"/>
    <w:rsid w:val="0001591F"/>
    <w:rsid w:val="0002054F"/>
    <w:rsid w:val="00022455"/>
    <w:rsid w:val="00022BC5"/>
    <w:rsid w:val="0002581D"/>
    <w:rsid w:val="00025C56"/>
    <w:rsid w:val="000275BB"/>
    <w:rsid w:val="00032AB8"/>
    <w:rsid w:val="00035170"/>
    <w:rsid w:val="00041657"/>
    <w:rsid w:val="0004248E"/>
    <w:rsid w:val="00043A40"/>
    <w:rsid w:val="00044383"/>
    <w:rsid w:val="00045751"/>
    <w:rsid w:val="00050348"/>
    <w:rsid w:val="000512C5"/>
    <w:rsid w:val="000513A2"/>
    <w:rsid w:val="000519CD"/>
    <w:rsid w:val="00051E72"/>
    <w:rsid w:val="00052EBD"/>
    <w:rsid w:val="00057CC5"/>
    <w:rsid w:val="00061967"/>
    <w:rsid w:val="00062819"/>
    <w:rsid w:val="00063246"/>
    <w:rsid w:val="00067C67"/>
    <w:rsid w:val="00070A1C"/>
    <w:rsid w:val="000717A3"/>
    <w:rsid w:val="00072B5D"/>
    <w:rsid w:val="00072EA1"/>
    <w:rsid w:val="000740BE"/>
    <w:rsid w:val="0007611C"/>
    <w:rsid w:val="000811C5"/>
    <w:rsid w:val="00084FE2"/>
    <w:rsid w:val="00085C2B"/>
    <w:rsid w:val="00086C7A"/>
    <w:rsid w:val="000904C5"/>
    <w:rsid w:val="00091792"/>
    <w:rsid w:val="000933DF"/>
    <w:rsid w:val="000941DA"/>
    <w:rsid w:val="00095356"/>
    <w:rsid w:val="00095AFE"/>
    <w:rsid w:val="00096707"/>
    <w:rsid w:val="000A0188"/>
    <w:rsid w:val="000A2ADA"/>
    <w:rsid w:val="000A322F"/>
    <w:rsid w:val="000A4671"/>
    <w:rsid w:val="000A46C4"/>
    <w:rsid w:val="000A4B28"/>
    <w:rsid w:val="000A4BD4"/>
    <w:rsid w:val="000A7124"/>
    <w:rsid w:val="000B30EC"/>
    <w:rsid w:val="000B5C2F"/>
    <w:rsid w:val="000B5D41"/>
    <w:rsid w:val="000C2404"/>
    <w:rsid w:val="000C33B1"/>
    <w:rsid w:val="000C43EF"/>
    <w:rsid w:val="000C4836"/>
    <w:rsid w:val="000C4FE7"/>
    <w:rsid w:val="000C6065"/>
    <w:rsid w:val="000C65EF"/>
    <w:rsid w:val="000C6CCC"/>
    <w:rsid w:val="000C780E"/>
    <w:rsid w:val="000D0082"/>
    <w:rsid w:val="000D2AF0"/>
    <w:rsid w:val="000D6BB2"/>
    <w:rsid w:val="000E2277"/>
    <w:rsid w:val="000E3545"/>
    <w:rsid w:val="000E37C3"/>
    <w:rsid w:val="000E57A9"/>
    <w:rsid w:val="000E723D"/>
    <w:rsid w:val="000F0C6C"/>
    <w:rsid w:val="00100043"/>
    <w:rsid w:val="00100462"/>
    <w:rsid w:val="0010061A"/>
    <w:rsid w:val="001026C4"/>
    <w:rsid w:val="00103888"/>
    <w:rsid w:val="00104986"/>
    <w:rsid w:val="001065DA"/>
    <w:rsid w:val="00110D9B"/>
    <w:rsid w:val="0011263C"/>
    <w:rsid w:val="00116243"/>
    <w:rsid w:val="00117796"/>
    <w:rsid w:val="001210D0"/>
    <w:rsid w:val="0012138E"/>
    <w:rsid w:val="001219E0"/>
    <w:rsid w:val="00122A21"/>
    <w:rsid w:val="00123F14"/>
    <w:rsid w:val="0012412B"/>
    <w:rsid w:val="00130160"/>
    <w:rsid w:val="001307DE"/>
    <w:rsid w:val="001313B8"/>
    <w:rsid w:val="00132471"/>
    <w:rsid w:val="001365B9"/>
    <w:rsid w:val="00136B72"/>
    <w:rsid w:val="0013765F"/>
    <w:rsid w:val="001407E7"/>
    <w:rsid w:val="001409CD"/>
    <w:rsid w:val="0014160D"/>
    <w:rsid w:val="00142025"/>
    <w:rsid w:val="00143FF7"/>
    <w:rsid w:val="00150585"/>
    <w:rsid w:val="001514C3"/>
    <w:rsid w:val="00151515"/>
    <w:rsid w:val="00151679"/>
    <w:rsid w:val="0015266B"/>
    <w:rsid w:val="00153421"/>
    <w:rsid w:val="001563AD"/>
    <w:rsid w:val="00156795"/>
    <w:rsid w:val="00156925"/>
    <w:rsid w:val="00156DE2"/>
    <w:rsid w:val="00157180"/>
    <w:rsid w:val="001606C6"/>
    <w:rsid w:val="00162438"/>
    <w:rsid w:val="00162D4C"/>
    <w:rsid w:val="0016370B"/>
    <w:rsid w:val="00165E1D"/>
    <w:rsid w:val="00166103"/>
    <w:rsid w:val="00167289"/>
    <w:rsid w:val="001704BD"/>
    <w:rsid w:val="0017052C"/>
    <w:rsid w:val="001718CA"/>
    <w:rsid w:val="001719D4"/>
    <w:rsid w:val="00171E61"/>
    <w:rsid w:val="00173805"/>
    <w:rsid w:val="00175B20"/>
    <w:rsid w:val="001810B2"/>
    <w:rsid w:val="00181196"/>
    <w:rsid w:val="0018155E"/>
    <w:rsid w:val="00181882"/>
    <w:rsid w:val="00184074"/>
    <w:rsid w:val="001849B5"/>
    <w:rsid w:val="0018638D"/>
    <w:rsid w:val="001900F4"/>
    <w:rsid w:val="00190B82"/>
    <w:rsid w:val="0019185A"/>
    <w:rsid w:val="001922EC"/>
    <w:rsid w:val="001947D1"/>
    <w:rsid w:val="0019582C"/>
    <w:rsid w:val="001967D1"/>
    <w:rsid w:val="001A3014"/>
    <w:rsid w:val="001A6AC8"/>
    <w:rsid w:val="001A72BF"/>
    <w:rsid w:val="001A7986"/>
    <w:rsid w:val="001B0042"/>
    <w:rsid w:val="001B2F66"/>
    <w:rsid w:val="001B3C7A"/>
    <w:rsid w:val="001B441B"/>
    <w:rsid w:val="001C0843"/>
    <w:rsid w:val="001C3715"/>
    <w:rsid w:val="001C6DB7"/>
    <w:rsid w:val="001C76C0"/>
    <w:rsid w:val="001C776B"/>
    <w:rsid w:val="001C7824"/>
    <w:rsid w:val="001D09F7"/>
    <w:rsid w:val="001D1B15"/>
    <w:rsid w:val="001D4A4C"/>
    <w:rsid w:val="001D7D99"/>
    <w:rsid w:val="001E1A04"/>
    <w:rsid w:val="001E1C07"/>
    <w:rsid w:val="001E36CB"/>
    <w:rsid w:val="001E3778"/>
    <w:rsid w:val="001E7A0F"/>
    <w:rsid w:val="001E7DD5"/>
    <w:rsid w:val="001F1281"/>
    <w:rsid w:val="001F3261"/>
    <w:rsid w:val="001F32F4"/>
    <w:rsid w:val="001F4439"/>
    <w:rsid w:val="001F4B04"/>
    <w:rsid w:val="001F60D0"/>
    <w:rsid w:val="001F69BC"/>
    <w:rsid w:val="001F6AEB"/>
    <w:rsid w:val="00204433"/>
    <w:rsid w:val="00204E4F"/>
    <w:rsid w:val="00206899"/>
    <w:rsid w:val="002072BA"/>
    <w:rsid w:val="00210C7D"/>
    <w:rsid w:val="0021244D"/>
    <w:rsid w:val="00212E41"/>
    <w:rsid w:val="00213858"/>
    <w:rsid w:val="00213A7E"/>
    <w:rsid w:val="002151A3"/>
    <w:rsid w:val="00215592"/>
    <w:rsid w:val="00222537"/>
    <w:rsid w:val="00222B73"/>
    <w:rsid w:val="0022765F"/>
    <w:rsid w:val="00227A7A"/>
    <w:rsid w:val="00231BB9"/>
    <w:rsid w:val="002343A3"/>
    <w:rsid w:val="0023457C"/>
    <w:rsid w:val="0023577D"/>
    <w:rsid w:val="00236067"/>
    <w:rsid w:val="002363F5"/>
    <w:rsid w:val="00236AD6"/>
    <w:rsid w:val="002416D6"/>
    <w:rsid w:val="00242477"/>
    <w:rsid w:val="002430D2"/>
    <w:rsid w:val="00243744"/>
    <w:rsid w:val="0024398D"/>
    <w:rsid w:val="00244C23"/>
    <w:rsid w:val="002451B7"/>
    <w:rsid w:val="00250AA7"/>
    <w:rsid w:val="002510F5"/>
    <w:rsid w:val="00251B17"/>
    <w:rsid w:val="002521B0"/>
    <w:rsid w:val="00253600"/>
    <w:rsid w:val="0025382F"/>
    <w:rsid w:val="00253CB2"/>
    <w:rsid w:val="00254A4F"/>
    <w:rsid w:val="0026087A"/>
    <w:rsid w:val="002611C8"/>
    <w:rsid w:val="00270044"/>
    <w:rsid w:val="00270860"/>
    <w:rsid w:val="0027160C"/>
    <w:rsid w:val="00273E79"/>
    <w:rsid w:val="00274879"/>
    <w:rsid w:val="002759D5"/>
    <w:rsid w:val="002759F0"/>
    <w:rsid w:val="0027755B"/>
    <w:rsid w:val="00281475"/>
    <w:rsid w:val="0028180C"/>
    <w:rsid w:val="00285D7E"/>
    <w:rsid w:val="00287274"/>
    <w:rsid w:val="00291F27"/>
    <w:rsid w:val="00292828"/>
    <w:rsid w:val="002928B8"/>
    <w:rsid w:val="002A0533"/>
    <w:rsid w:val="002A1D63"/>
    <w:rsid w:val="002A2BA5"/>
    <w:rsid w:val="002A4334"/>
    <w:rsid w:val="002B23D6"/>
    <w:rsid w:val="002B432C"/>
    <w:rsid w:val="002B6BCA"/>
    <w:rsid w:val="002C3D8A"/>
    <w:rsid w:val="002C41B0"/>
    <w:rsid w:val="002C4437"/>
    <w:rsid w:val="002C61AF"/>
    <w:rsid w:val="002C740F"/>
    <w:rsid w:val="002C7790"/>
    <w:rsid w:val="002D2A47"/>
    <w:rsid w:val="002D326B"/>
    <w:rsid w:val="002D43DC"/>
    <w:rsid w:val="002D77DB"/>
    <w:rsid w:val="002E08B5"/>
    <w:rsid w:val="002E2939"/>
    <w:rsid w:val="002E4891"/>
    <w:rsid w:val="002E49D4"/>
    <w:rsid w:val="002E4DE9"/>
    <w:rsid w:val="002E7AE8"/>
    <w:rsid w:val="002F005E"/>
    <w:rsid w:val="002F3AA9"/>
    <w:rsid w:val="002F5BF8"/>
    <w:rsid w:val="002F6691"/>
    <w:rsid w:val="00301875"/>
    <w:rsid w:val="00306832"/>
    <w:rsid w:val="00306AFE"/>
    <w:rsid w:val="003070B3"/>
    <w:rsid w:val="00310E85"/>
    <w:rsid w:val="003135D1"/>
    <w:rsid w:val="00314ADB"/>
    <w:rsid w:val="0032193E"/>
    <w:rsid w:val="00323EEE"/>
    <w:rsid w:val="0033275E"/>
    <w:rsid w:val="00332FD3"/>
    <w:rsid w:val="00337586"/>
    <w:rsid w:val="00341E36"/>
    <w:rsid w:val="003428F0"/>
    <w:rsid w:val="0034356C"/>
    <w:rsid w:val="00346DE2"/>
    <w:rsid w:val="003476E3"/>
    <w:rsid w:val="00351984"/>
    <w:rsid w:val="003541B4"/>
    <w:rsid w:val="00354AED"/>
    <w:rsid w:val="003635E9"/>
    <w:rsid w:val="00364A25"/>
    <w:rsid w:val="00364F9A"/>
    <w:rsid w:val="00367AF0"/>
    <w:rsid w:val="00370490"/>
    <w:rsid w:val="00370E85"/>
    <w:rsid w:val="0037135C"/>
    <w:rsid w:val="003723EA"/>
    <w:rsid w:val="003800DF"/>
    <w:rsid w:val="003806B0"/>
    <w:rsid w:val="0038097F"/>
    <w:rsid w:val="003816F6"/>
    <w:rsid w:val="00381ED3"/>
    <w:rsid w:val="003828FA"/>
    <w:rsid w:val="00385309"/>
    <w:rsid w:val="00385B73"/>
    <w:rsid w:val="003914A4"/>
    <w:rsid w:val="00394089"/>
    <w:rsid w:val="003A0F21"/>
    <w:rsid w:val="003A1170"/>
    <w:rsid w:val="003A1234"/>
    <w:rsid w:val="003A12D9"/>
    <w:rsid w:val="003A3EAB"/>
    <w:rsid w:val="003A4EB3"/>
    <w:rsid w:val="003A5502"/>
    <w:rsid w:val="003A794B"/>
    <w:rsid w:val="003A7E07"/>
    <w:rsid w:val="003B0629"/>
    <w:rsid w:val="003B0E59"/>
    <w:rsid w:val="003B1963"/>
    <w:rsid w:val="003B1F00"/>
    <w:rsid w:val="003B3399"/>
    <w:rsid w:val="003C0404"/>
    <w:rsid w:val="003C1672"/>
    <w:rsid w:val="003C2DE3"/>
    <w:rsid w:val="003C4830"/>
    <w:rsid w:val="003C49EE"/>
    <w:rsid w:val="003C4D74"/>
    <w:rsid w:val="003C68AD"/>
    <w:rsid w:val="003C78E2"/>
    <w:rsid w:val="003D0944"/>
    <w:rsid w:val="003D13EE"/>
    <w:rsid w:val="003D1416"/>
    <w:rsid w:val="003D590D"/>
    <w:rsid w:val="003E0DEB"/>
    <w:rsid w:val="003E15D7"/>
    <w:rsid w:val="003E24B1"/>
    <w:rsid w:val="003E29C3"/>
    <w:rsid w:val="003E75D1"/>
    <w:rsid w:val="003E794B"/>
    <w:rsid w:val="003F02A6"/>
    <w:rsid w:val="003F1137"/>
    <w:rsid w:val="003F3E9C"/>
    <w:rsid w:val="003F5B00"/>
    <w:rsid w:val="004009AE"/>
    <w:rsid w:val="004013DC"/>
    <w:rsid w:val="00402B72"/>
    <w:rsid w:val="0040628A"/>
    <w:rsid w:val="00406D1C"/>
    <w:rsid w:val="00407B17"/>
    <w:rsid w:val="0041022F"/>
    <w:rsid w:val="00410F8C"/>
    <w:rsid w:val="004125FC"/>
    <w:rsid w:val="00413853"/>
    <w:rsid w:val="00415663"/>
    <w:rsid w:val="00415AF3"/>
    <w:rsid w:val="00415C8D"/>
    <w:rsid w:val="0041768C"/>
    <w:rsid w:val="004204D6"/>
    <w:rsid w:val="00423AD0"/>
    <w:rsid w:val="004250B2"/>
    <w:rsid w:val="00426F69"/>
    <w:rsid w:val="00427D00"/>
    <w:rsid w:val="0043119E"/>
    <w:rsid w:val="00433682"/>
    <w:rsid w:val="004367A5"/>
    <w:rsid w:val="004367E9"/>
    <w:rsid w:val="00437293"/>
    <w:rsid w:val="00440A08"/>
    <w:rsid w:val="004433E0"/>
    <w:rsid w:val="00443C62"/>
    <w:rsid w:val="0044472B"/>
    <w:rsid w:val="00444942"/>
    <w:rsid w:val="00445C86"/>
    <w:rsid w:val="00446996"/>
    <w:rsid w:val="004470E6"/>
    <w:rsid w:val="004479C1"/>
    <w:rsid w:val="00456828"/>
    <w:rsid w:val="00457286"/>
    <w:rsid w:val="004628E9"/>
    <w:rsid w:val="00465596"/>
    <w:rsid w:val="004665AF"/>
    <w:rsid w:val="00470130"/>
    <w:rsid w:val="0047132C"/>
    <w:rsid w:val="00471A7B"/>
    <w:rsid w:val="0047338B"/>
    <w:rsid w:val="00473EBD"/>
    <w:rsid w:val="00476AB8"/>
    <w:rsid w:val="00476AEE"/>
    <w:rsid w:val="00476C7F"/>
    <w:rsid w:val="00481B49"/>
    <w:rsid w:val="00482C47"/>
    <w:rsid w:val="00485850"/>
    <w:rsid w:val="00486462"/>
    <w:rsid w:val="00486D9A"/>
    <w:rsid w:val="0048757F"/>
    <w:rsid w:val="00493CD0"/>
    <w:rsid w:val="00493E06"/>
    <w:rsid w:val="00494FEE"/>
    <w:rsid w:val="0049719B"/>
    <w:rsid w:val="004A12EE"/>
    <w:rsid w:val="004A3B89"/>
    <w:rsid w:val="004A5223"/>
    <w:rsid w:val="004B183A"/>
    <w:rsid w:val="004B3FF1"/>
    <w:rsid w:val="004B403D"/>
    <w:rsid w:val="004B72DB"/>
    <w:rsid w:val="004C036A"/>
    <w:rsid w:val="004C03F7"/>
    <w:rsid w:val="004C10A5"/>
    <w:rsid w:val="004C11DD"/>
    <w:rsid w:val="004C29AC"/>
    <w:rsid w:val="004C2CB2"/>
    <w:rsid w:val="004C72B1"/>
    <w:rsid w:val="004C7C61"/>
    <w:rsid w:val="004D165B"/>
    <w:rsid w:val="004D1F37"/>
    <w:rsid w:val="004D517B"/>
    <w:rsid w:val="004D62D2"/>
    <w:rsid w:val="004D692C"/>
    <w:rsid w:val="004D6D19"/>
    <w:rsid w:val="004E0808"/>
    <w:rsid w:val="004E0955"/>
    <w:rsid w:val="004E27BC"/>
    <w:rsid w:val="004E3018"/>
    <w:rsid w:val="004E4DA0"/>
    <w:rsid w:val="004F1D8D"/>
    <w:rsid w:val="004F27EC"/>
    <w:rsid w:val="004F282E"/>
    <w:rsid w:val="004F3321"/>
    <w:rsid w:val="004F3C19"/>
    <w:rsid w:val="004F421B"/>
    <w:rsid w:val="004F7C26"/>
    <w:rsid w:val="00503328"/>
    <w:rsid w:val="00504767"/>
    <w:rsid w:val="005050FB"/>
    <w:rsid w:val="0050520F"/>
    <w:rsid w:val="00506F63"/>
    <w:rsid w:val="005079B9"/>
    <w:rsid w:val="005100B0"/>
    <w:rsid w:val="00510193"/>
    <w:rsid w:val="00512F2F"/>
    <w:rsid w:val="00516843"/>
    <w:rsid w:val="00521CD8"/>
    <w:rsid w:val="005221D3"/>
    <w:rsid w:val="0052306C"/>
    <w:rsid w:val="00530018"/>
    <w:rsid w:val="00530BEF"/>
    <w:rsid w:val="00531B80"/>
    <w:rsid w:val="005325E6"/>
    <w:rsid w:val="00532A0F"/>
    <w:rsid w:val="00535E26"/>
    <w:rsid w:val="00537D16"/>
    <w:rsid w:val="005406D7"/>
    <w:rsid w:val="005412E8"/>
    <w:rsid w:val="00541776"/>
    <w:rsid w:val="0054290E"/>
    <w:rsid w:val="00542D2D"/>
    <w:rsid w:val="00543745"/>
    <w:rsid w:val="00544238"/>
    <w:rsid w:val="0054464C"/>
    <w:rsid w:val="005479DA"/>
    <w:rsid w:val="00550237"/>
    <w:rsid w:val="00551F5B"/>
    <w:rsid w:val="0055377E"/>
    <w:rsid w:val="005556DD"/>
    <w:rsid w:val="00555891"/>
    <w:rsid w:val="0056057C"/>
    <w:rsid w:val="005609FE"/>
    <w:rsid w:val="00562BA3"/>
    <w:rsid w:val="005663AF"/>
    <w:rsid w:val="005663E2"/>
    <w:rsid w:val="00570CC7"/>
    <w:rsid w:val="00571618"/>
    <w:rsid w:val="00573766"/>
    <w:rsid w:val="00573FB3"/>
    <w:rsid w:val="005752A0"/>
    <w:rsid w:val="00581808"/>
    <w:rsid w:val="00584B0E"/>
    <w:rsid w:val="00585945"/>
    <w:rsid w:val="00585956"/>
    <w:rsid w:val="00586018"/>
    <w:rsid w:val="00586ED6"/>
    <w:rsid w:val="00587C88"/>
    <w:rsid w:val="005936F4"/>
    <w:rsid w:val="00595B42"/>
    <w:rsid w:val="005A0152"/>
    <w:rsid w:val="005A0856"/>
    <w:rsid w:val="005A13A3"/>
    <w:rsid w:val="005A1FAD"/>
    <w:rsid w:val="005A2DC9"/>
    <w:rsid w:val="005A3531"/>
    <w:rsid w:val="005A38DD"/>
    <w:rsid w:val="005A3962"/>
    <w:rsid w:val="005A39B4"/>
    <w:rsid w:val="005A73BE"/>
    <w:rsid w:val="005B033F"/>
    <w:rsid w:val="005B2743"/>
    <w:rsid w:val="005B36EF"/>
    <w:rsid w:val="005B41B4"/>
    <w:rsid w:val="005B4A07"/>
    <w:rsid w:val="005B7B49"/>
    <w:rsid w:val="005C0EF1"/>
    <w:rsid w:val="005C2B5B"/>
    <w:rsid w:val="005C413E"/>
    <w:rsid w:val="005C4552"/>
    <w:rsid w:val="005C5B1F"/>
    <w:rsid w:val="005C711E"/>
    <w:rsid w:val="005D1C95"/>
    <w:rsid w:val="005D228A"/>
    <w:rsid w:val="005D61BE"/>
    <w:rsid w:val="005D6878"/>
    <w:rsid w:val="005D68EB"/>
    <w:rsid w:val="005D6CD3"/>
    <w:rsid w:val="005D71A9"/>
    <w:rsid w:val="005E1DBC"/>
    <w:rsid w:val="005E2927"/>
    <w:rsid w:val="005E2FE1"/>
    <w:rsid w:val="005E436B"/>
    <w:rsid w:val="005E4599"/>
    <w:rsid w:val="005E4BE0"/>
    <w:rsid w:val="005E4CB7"/>
    <w:rsid w:val="005E6F2D"/>
    <w:rsid w:val="005E7B7F"/>
    <w:rsid w:val="005F441F"/>
    <w:rsid w:val="005F61D8"/>
    <w:rsid w:val="005F76CB"/>
    <w:rsid w:val="005F7FD0"/>
    <w:rsid w:val="006013B5"/>
    <w:rsid w:val="00602166"/>
    <w:rsid w:val="006037D7"/>
    <w:rsid w:val="006037DE"/>
    <w:rsid w:val="00605DBA"/>
    <w:rsid w:val="006060D1"/>
    <w:rsid w:val="00610B4F"/>
    <w:rsid w:val="006116D3"/>
    <w:rsid w:val="00611E77"/>
    <w:rsid w:val="00612589"/>
    <w:rsid w:val="006146F0"/>
    <w:rsid w:val="00614DDC"/>
    <w:rsid w:val="00616FDF"/>
    <w:rsid w:val="006173B4"/>
    <w:rsid w:val="006216DB"/>
    <w:rsid w:val="00621790"/>
    <w:rsid w:val="00621C8B"/>
    <w:rsid w:val="006238C2"/>
    <w:rsid w:val="006242B4"/>
    <w:rsid w:val="00624B88"/>
    <w:rsid w:val="00627E3B"/>
    <w:rsid w:val="00631206"/>
    <w:rsid w:val="006319F9"/>
    <w:rsid w:val="006322FF"/>
    <w:rsid w:val="00632782"/>
    <w:rsid w:val="006332D8"/>
    <w:rsid w:val="00634298"/>
    <w:rsid w:val="00635B19"/>
    <w:rsid w:val="0064110C"/>
    <w:rsid w:val="006417A2"/>
    <w:rsid w:val="006418DB"/>
    <w:rsid w:val="00642AA3"/>
    <w:rsid w:val="0064467B"/>
    <w:rsid w:val="00645619"/>
    <w:rsid w:val="006466A5"/>
    <w:rsid w:val="00646CB6"/>
    <w:rsid w:val="00647A7B"/>
    <w:rsid w:val="00647C8B"/>
    <w:rsid w:val="006522AD"/>
    <w:rsid w:val="00655A99"/>
    <w:rsid w:val="0065632F"/>
    <w:rsid w:val="0065728C"/>
    <w:rsid w:val="00657AF2"/>
    <w:rsid w:val="00657EE8"/>
    <w:rsid w:val="0066446F"/>
    <w:rsid w:val="00671EB9"/>
    <w:rsid w:val="00675B0C"/>
    <w:rsid w:val="0068100E"/>
    <w:rsid w:val="0068443D"/>
    <w:rsid w:val="00684660"/>
    <w:rsid w:val="0068473D"/>
    <w:rsid w:val="00686777"/>
    <w:rsid w:val="006868FD"/>
    <w:rsid w:val="00686B48"/>
    <w:rsid w:val="00686EBC"/>
    <w:rsid w:val="006902A6"/>
    <w:rsid w:val="00690C96"/>
    <w:rsid w:val="00693C8E"/>
    <w:rsid w:val="006965C7"/>
    <w:rsid w:val="00697A7B"/>
    <w:rsid w:val="006A4C06"/>
    <w:rsid w:val="006A6C42"/>
    <w:rsid w:val="006B0500"/>
    <w:rsid w:val="006B0558"/>
    <w:rsid w:val="006B0D9F"/>
    <w:rsid w:val="006B126C"/>
    <w:rsid w:val="006B1402"/>
    <w:rsid w:val="006B1514"/>
    <w:rsid w:val="006B246D"/>
    <w:rsid w:val="006B2C9F"/>
    <w:rsid w:val="006B3F54"/>
    <w:rsid w:val="006B442D"/>
    <w:rsid w:val="006B5400"/>
    <w:rsid w:val="006B5C96"/>
    <w:rsid w:val="006C0629"/>
    <w:rsid w:val="006C0C40"/>
    <w:rsid w:val="006C1D46"/>
    <w:rsid w:val="006C4B4F"/>
    <w:rsid w:val="006D00F8"/>
    <w:rsid w:val="006D3087"/>
    <w:rsid w:val="006D4D50"/>
    <w:rsid w:val="006D4E5A"/>
    <w:rsid w:val="006D5015"/>
    <w:rsid w:val="006D754D"/>
    <w:rsid w:val="006E230A"/>
    <w:rsid w:val="006E3754"/>
    <w:rsid w:val="006E6625"/>
    <w:rsid w:val="006E7BB4"/>
    <w:rsid w:val="006F001C"/>
    <w:rsid w:val="006F0976"/>
    <w:rsid w:val="006F09E0"/>
    <w:rsid w:val="006F15E3"/>
    <w:rsid w:val="006F1DA3"/>
    <w:rsid w:val="006F27B1"/>
    <w:rsid w:val="006F661F"/>
    <w:rsid w:val="006F6738"/>
    <w:rsid w:val="00700491"/>
    <w:rsid w:val="007039E6"/>
    <w:rsid w:val="00707750"/>
    <w:rsid w:val="00712274"/>
    <w:rsid w:val="00712D50"/>
    <w:rsid w:val="00712FFE"/>
    <w:rsid w:val="00713C99"/>
    <w:rsid w:val="00714DDE"/>
    <w:rsid w:val="007170F8"/>
    <w:rsid w:val="007241C0"/>
    <w:rsid w:val="00725DBF"/>
    <w:rsid w:val="00730DF8"/>
    <w:rsid w:val="00733B39"/>
    <w:rsid w:val="007362AE"/>
    <w:rsid w:val="00737282"/>
    <w:rsid w:val="00737F63"/>
    <w:rsid w:val="0074390A"/>
    <w:rsid w:val="00743CAF"/>
    <w:rsid w:val="0074542E"/>
    <w:rsid w:val="00747793"/>
    <w:rsid w:val="00747800"/>
    <w:rsid w:val="007479F1"/>
    <w:rsid w:val="0075443D"/>
    <w:rsid w:val="00760026"/>
    <w:rsid w:val="00760B6B"/>
    <w:rsid w:val="00762EC5"/>
    <w:rsid w:val="00764D8C"/>
    <w:rsid w:val="00770057"/>
    <w:rsid w:val="00770252"/>
    <w:rsid w:val="00770929"/>
    <w:rsid w:val="00771BD9"/>
    <w:rsid w:val="00772F5D"/>
    <w:rsid w:val="00773969"/>
    <w:rsid w:val="00773D78"/>
    <w:rsid w:val="00774B57"/>
    <w:rsid w:val="00775CC3"/>
    <w:rsid w:val="00776B06"/>
    <w:rsid w:val="00781F6B"/>
    <w:rsid w:val="007839A4"/>
    <w:rsid w:val="00785DAE"/>
    <w:rsid w:val="00786D55"/>
    <w:rsid w:val="00787261"/>
    <w:rsid w:val="00790BEF"/>
    <w:rsid w:val="00790C15"/>
    <w:rsid w:val="00791824"/>
    <w:rsid w:val="00794D60"/>
    <w:rsid w:val="00795D51"/>
    <w:rsid w:val="00796006"/>
    <w:rsid w:val="00796479"/>
    <w:rsid w:val="007972DC"/>
    <w:rsid w:val="007A3B48"/>
    <w:rsid w:val="007A4139"/>
    <w:rsid w:val="007A4605"/>
    <w:rsid w:val="007A4BE3"/>
    <w:rsid w:val="007A4E06"/>
    <w:rsid w:val="007A7FA3"/>
    <w:rsid w:val="007B0DCC"/>
    <w:rsid w:val="007B2EC7"/>
    <w:rsid w:val="007B3C31"/>
    <w:rsid w:val="007B5950"/>
    <w:rsid w:val="007B6F62"/>
    <w:rsid w:val="007C0B47"/>
    <w:rsid w:val="007C109E"/>
    <w:rsid w:val="007C2173"/>
    <w:rsid w:val="007C310F"/>
    <w:rsid w:val="007C329C"/>
    <w:rsid w:val="007C4655"/>
    <w:rsid w:val="007C49E5"/>
    <w:rsid w:val="007C6B44"/>
    <w:rsid w:val="007D04B3"/>
    <w:rsid w:val="007D25FC"/>
    <w:rsid w:val="007D3CE1"/>
    <w:rsid w:val="007D4A34"/>
    <w:rsid w:val="007D68F7"/>
    <w:rsid w:val="007D7C6E"/>
    <w:rsid w:val="007E05C1"/>
    <w:rsid w:val="007E1517"/>
    <w:rsid w:val="007E1AB1"/>
    <w:rsid w:val="007E1E1A"/>
    <w:rsid w:val="007E2A0A"/>
    <w:rsid w:val="007E4321"/>
    <w:rsid w:val="007E44D4"/>
    <w:rsid w:val="007E5277"/>
    <w:rsid w:val="007E5C11"/>
    <w:rsid w:val="007E7975"/>
    <w:rsid w:val="007E7BB7"/>
    <w:rsid w:val="007F047F"/>
    <w:rsid w:val="007F0D8D"/>
    <w:rsid w:val="007F1F06"/>
    <w:rsid w:val="007F2C64"/>
    <w:rsid w:val="007F3140"/>
    <w:rsid w:val="007F3F62"/>
    <w:rsid w:val="007F5D47"/>
    <w:rsid w:val="007F67ED"/>
    <w:rsid w:val="007F7BE7"/>
    <w:rsid w:val="0080166A"/>
    <w:rsid w:val="0080279B"/>
    <w:rsid w:val="00803358"/>
    <w:rsid w:val="008062FE"/>
    <w:rsid w:val="00806B87"/>
    <w:rsid w:val="00807111"/>
    <w:rsid w:val="00810331"/>
    <w:rsid w:val="00813CDC"/>
    <w:rsid w:val="00813EF0"/>
    <w:rsid w:val="008150DA"/>
    <w:rsid w:val="00820DF9"/>
    <w:rsid w:val="00821040"/>
    <w:rsid w:val="00825195"/>
    <w:rsid w:val="00826375"/>
    <w:rsid w:val="00826FCC"/>
    <w:rsid w:val="00827219"/>
    <w:rsid w:val="00831319"/>
    <w:rsid w:val="0083349B"/>
    <w:rsid w:val="00835521"/>
    <w:rsid w:val="00836E1B"/>
    <w:rsid w:val="008419D9"/>
    <w:rsid w:val="00845E98"/>
    <w:rsid w:val="008472E3"/>
    <w:rsid w:val="0085064F"/>
    <w:rsid w:val="00850A76"/>
    <w:rsid w:val="00850CBA"/>
    <w:rsid w:val="0085196E"/>
    <w:rsid w:val="00851AB5"/>
    <w:rsid w:val="00853C65"/>
    <w:rsid w:val="00854876"/>
    <w:rsid w:val="00855411"/>
    <w:rsid w:val="00857ADA"/>
    <w:rsid w:val="008610AF"/>
    <w:rsid w:val="00861CB8"/>
    <w:rsid w:val="00862468"/>
    <w:rsid w:val="00866048"/>
    <w:rsid w:val="00866F66"/>
    <w:rsid w:val="008670C0"/>
    <w:rsid w:val="00867119"/>
    <w:rsid w:val="0086762B"/>
    <w:rsid w:val="0087010B"/>
    <w:rsid w:val="0087164F"/>
    <w:rsid w:val="00872019"/>
    <w:rsid w:val="00873212"/>
    <w:rsid w:val="00874170"/>
    <w:rsid w:val="00874C94"/>
    <w:rsid w:val="00876E76"/>
    <w:rsid w:val="008779E6"/>
    <w:rsid w:val="00883CC3"/>
    <w:rsid w:val="00883EEC"/>
    <w:rsid w:val="00884FFE"/>
    <w:rsid w:val="00885548"/>
    <w:rsid w:val="00885BF7"/>
    <w:rsid w:val="0088644C"/>
    <w:rsid w:val="00886AF5"/>
    <w:rsid w:val="008935C6"/>
    <w:rsid w:val="00893925"/>
    <w:rsid w:val="0089644D"/>
    <w:rsid w:val="008A29AC"/>
    <w:rsid w:val="008A3F60"/>
    <w:rsid w:val="008A579F"/>
    <w:rsid w:val="008B00DC"/>
    <w:rsid w:val="008B1351"/>
    <w:rsid w:val="008B19E1"/>
    <w:rsid w:val="008B2A72"/>
    <w:rsid w:val="008B6A0D"/>
    <w:rsid w:val="008C09B1"/>
    <w:rsid w:val="008C14DB"/>
    <w:rsid w:val="008C17A6"/>
    <w:rsid w:val="008C1D19"/>
    <w:rsid w:val="008C2F8F"/>
    <w:rsid w:val="008C340C"/>
    <w:rsid w:val="008C6332"/>
    <w:rsid w:val="008C7487"/>
    <w:rsid w:val="008C77EE"/>
    <w:rsid w:val="008D58DF"/>
    <w:rsid w:val="008D6253"/>
    <w:rsid w:val="008D668B"/>
    <w:rsid w:val="008D71C4"/>
    <w:rsid w:val="008E067E"/>
    <w:rsid w:val="008E4CDF"/>
    <w:rsid w:val="008E74A2"/>
    <w:rsid w:val="008E7846"/>
    <w:rsid w:val="008E7F84"/>
    <w:rsid w:val="008F24EA"/>
    <w:rsid w:val="008F3489"/>
    <w:rsid w:val="008F5C86"/>
    <w:rsid w:val="008F748B"/>
    <w:rsid w:val="0090180E"/>
    <w:rsid w:val="009032D3"/>
    <w:rsid w:val="00905B78"/>
    <w:rsid w:val="00905F3B"/>
    <w:rsid w:val="00910507"/>
    <w:rsid w:val="00913F62"/>
    <w:rsid w:val="00915BA4"/>
    <w:rsid w:val="00917691"/>
    <w:rsid w:val="009215EA"/>
    <w:rsid w:val="00924E27"/>
    <w:rsid w:val="00926330"/>
    <w:rsid w:val="009279DC"/>
    <w:rsid w:val="009338A5"/>
    <w:rsid w:val="00933A27"/>
    <w:rsid w:val="009400AE"/>
    <w:rsid w:val="00940913"/>
    <w:rsid w:val="00941A0F"/>
    <w:rsid w:val="009424A5"/>
    <w:rsid w:val="00942E21"/>
    <w:rsid w:val="00943838"/>
    <w:rsid w:val="009455CF"/>
    <w:rsid w:val="00946A74"/>
    <w:rsid w:val="00946BAF"/>
    <w:rsid w:val="0095193D"/>
    <w:rsid w:val="009551A9"/>
    <w:rsid w:val="009571F3"/>
    <w:rsid w:val="00961303"/>
    <w:rsid w:val="00961DF4"/>
    <w:rsid w:val="0096284C"/>
    <w:rsid w:val="00965ECF"/>
    <w:rsid w:val="00965FC1"/>
    <w:rsid w:val="00966100"/>
    <w:rsid w:val="00966516"/>
    <w:rsid w:val="00967A6D"/>
    <w:rsid w:val="009704DF"/>
    <w:rsid w:val="00972624"/>
    <w:rsid w:val="009728CB"/>
    <w:rsid w:val="00974E8B"/>
    <w:rsid w:val="00975AA0"/>
    <w:rsid w:val="009806FE"/>
    <w:rsid w:val="009846A5"/>
    <w:rsid w:val="00986B27"/>
    <w:rsid w:val="009909C7"/>
    <w:rsid w:val="00990E7C"/>
    <w:rsid w:val="00991694"/>
    <w:rsid w:val="00993632"/>
    <w:rsid w:val="009950AD"/>
    <w:rsid w:val="00996363"/>
    <w:rsid w:val="009A4454"/>
    <w:rsid w:val="009A45E5"/>
    <w:rsid w:val="009A5AF4"/>
    <w:rsid w:val="009A5E89"/>
    <w:rsid w:val="009A7DB5"/>
    <w:rsid w:val="009B113B"/>
    <w:rsid w:val="009B2067"/>
    <w:rsid w:val="009B2743"/>
    <w:rsid w:val="009B3FB3"/>
    <w:rsid w:val="009B41A5"/>
    <w:rsid w:val="009B4356"/>
    <w:rsid w:val="009B4BC8"/>
    <w:rsid w:val="009C025A"/>
    <w:rsid w:val="009C2DC6"/>
    <w:rsid w:val="009C4262"/>
    <w:rsid w:val="009C7A3B"/>
    <w:rsid w:val="009D0668"/>
    <w:rsid w:val="009D3ACC"/>
    <w:rsid w:val="009D3B3D"/>
    <w:rsid w:val="009D5079"/>
    <w:rsid w:val="009D5F5B"/>
    <w:rsid w:val="009D7248"/>
    <w:rsid w:val="009E394B"/>
    <w:rsid w:val="009E457E"/>
    <w:rsid w:val="009E6F23"/>
    <w:rsid w:val="009F1971"/>
    <w:rsid w:val="009F1DF6"/>
    <w:rsid w:val="009F1E82"/>
    <w:rsid w:val="009F287D"/>
    <w:rsid w:val="009F4A16"/>
    <w:rsid w:val="009F72EF"/>
    <w:rsid w:val="009F7B6C"/>
    <w:rsid w:val="00A04C37"/>
    <w:rsid w:val="00A06AF9"/>
    <w:rsid w:val="00A1011E"/>
    <w:rsid w:val="00A1037C"/>
    <w:rsid w:val="00A11A7D"/>
    <w:rsid w:val="00A12DFF"/>
    <w:rsid w:val="00A131C1"/>
    <w:rsid w:val="00A14304"/>
    <w:rsid w:val="00A1442C"/>
    <w:rsid w:val="00A16242"/>
    <w:rsid w:val="00A17DA5"/>
    <w:rsid w:val="00A20374"/>
    <w:rsid w:val="00A20F17"/>
    <w:rsid w:val="00A20FDC"/>
    <w:rsid w:val="00A227FB"/>
    <w:rsid w:val="00A238F6"/>
    <w:rsid w:val="00A245DC"/>
    <w:rsid w:val="00A24EBD"/>
    <w:rsid w:val="00A24ED2"/>
    <w:rsid w:val="00A2517E"/>
    <w:rsid w:val="00A263A9"/>
    <w:rsid w:val="00A2700E"/>
    <w:rsid w:val="00A2716B"/>
    <w:rsid w:val="00A30CC6"/>
    <w:rsid w:val="00A30D17"/>
    <w:rsid w:val="00A31936"/>
    <w:rsid w:val="00A321CE"/>
    <w:rsid w:val="00A32B8E"/>
    <w:rsid w:val="00A33BE6"/>
    <w:rsid w:val="00A33FD8"/>
    <w:rsid w:val="00A3490D"/>
    <w:rsid w:val="00A4090B"/>
    <w:rsid w:val="00A41DEB"/>
    <w:rsid w:val="00A42207"/>
    <w:rsid w:val="00A42486"/>
    <w:rsid w:val="00A4252B"/>
    <w:rsid w:val="00A433DA"/>
    <w:rsid w:val="00A44D80"/>
    <w:rsid w:val="00A47058"/>
    <w:rsid w:val="00A47677"/>
    <w:rsid w:val="00A47837"/>
    <w:rsid w:val="00A50C66"/>
    <w:rsid w:val="00A50FF9"/>
    <w:rsid w:val="00A5526C"/>
    <w:rsid w:val="00A610D3"/>
    <w:rsid w:val="00A636EB"/>
    <w:rsid w:val="00A64E72"/>
    <w:rsid w:val="00A703C5"/>
    <w:rsid w:val="00A7064B"/>
    <w:rsid w:val="00A70FE8"/>
    <w:rsid w:val="00A74AC5"/>
    <w:rsid w:val="00A75B03"/>
    <w:rsid w:val="00A802D6"/>
    <w:rsid w:val="00A80FB5"/>
    <w:rsid w:val="00A81E6B"/>
    <w:rsid w:val="00A8332C"/>
    <w:rsid w:val="00A839CC"/>
    <w:rsid w:val="00A8618F"/>
    <w:rsid w:val="00A87491"/>
    <w:rsid w:val="00A875F2"/>
    <w:rsid w:val="00A91535"/>
    <w:rsid w:val="00A919C4"/>
    <w:rsid w:val="00A921CD"/>
    <w:rsid w:val="00A9241D"/>
    <w:rsid w:val="00A95A73"/>
    <w:rsid w:val="00AA0A84"/>
    <w:rsid w:val="00AA1BF4"/>
    <w:rsid w:val="00AA2F08"/>
    <w:rsid w:val="00AA3590"/>
    <w:rsid w:val="00AA3F53"/>
    <w:rsid w:val="00AA7247"/>
    <w:rsid w:val="00AB26B2"/>
    <w:rsid w:val="00AB36AA"/>
    <w:rsid w:val="00AB3EB3"/>
    <w:rsid w:val="00AB5EB1"/>
    <w:rsid w:val="00AB7A58"/>
    <w:rsid w:val="00AB7F60"/>
    <w:rsid w:val="00AC1AA2"/>
    <w:rsid w:val="00AC1F4C"/>
    <w:rsid w:val="00AC6190"/>
    <w:rsid w:val="00AC7187"/>
    <w:rsid w:val="00AD213F"/>
    <w:rsid w:val="00AD261D"/>
    <w:rsid w:val="00AD375E"/>
    <w:rsid w:val="00AD3760"/>
    <w:rsid w:val="00AD49CB"/>
    <w:rsid w:val="00AD7C92"/>
    <w:rsid w:val="00AE05D2"/>
    <w:rsid w:val="00AE08BC"/>
    <w:rsid w:val="00AE1852"/>
    <w:rsid w:val="00AE19E8"/>
    <w:rsid w:val="00AE3D35"/>
    <w:rsid w:val="00AE4EB5"/>
    <w:rsid w:val="00AE65E3"/>
    <w:rsid w:val="00AE669F"/>
    <w:rsid w:val="00AF168A"/>
    <w:rsid w:val="00AF1D99"/>
    <w:rsid w:val="00AF507A"/>
    <w:rsid w:val="00AF77D4"/>
    <w:rsid w:val="00B01323"/>
    <w:rsid w:val="00B01DAF"/>
    <w:rsid w:val="00B034BB"/>
    <w:rsid w:val="00B04F0C"/>
    <w:rsid w:val="00B052FD"/>
    <w:rsid w:val="00B07D8C"/>
    <w:rsid w:val="00B11824"/>
    <w:rsid w:val="00B12C68"/>
    <w:rsid w:val="00B13386"/>
    <w:rsid w:val="00B13857"/>
    <w:rsid w:val="00B17687"/>
    <w:rsid w:val="00B2017A"/>
    <w:rsid w:val="00B208DB"/>
    <w:rsid w:val="00B20EA7"/>
    <w:rsid w:val="00B21B43"/>
    <w:rsid w:val="00B24580"/>
    <w:rsid w:val="00B25950"/>
    <w:rsid w:val="00B30331"/>
    <w:rsid w:val="00B30C76"/>
    <w:rsid w:val="00B34B04"/>
    <w:rsid w:val="00B40B90"/>
    <w:rsid w:val="00B41869"/>
    <w:rsid w:val="00B435E5"/>
    <w:rsid w:val="00B43A1B"/>
    <w:rsid w:val="00B44AD2"/>
    <w:rsid w:val="00B44F2C"/>
    <w:rsid w:val="00B45DBA"/>
    <w:rsid w:val="00B46283"/>
    <w:rsid w:val="00B47380"/>
    <w:rsid w:val="00B47889"/>
    <w:rsid w:val="00B50996"/>
    <w:rsid w:val="00B51C80"/>
    <w:rsid w:val="00B5317A"/>
    <w:rsid w:val="00B551BF"/>
    <w:rsid w:val="00B61A64"/>
    <w:rsid w:val="00B6217A"/>
    <w:rsid w:val="00B62CD7"/>
    <w:rsid w:val="00B6755B"/>
    <w:rsid w:val="00B70264"/>
    <w:rsid w:val="00B70448"/>
    <w:rsid w:val="00B72F92"/>
    <w:rsid w:val="00B74891"/>
    <w:rsid w:val="00B80B46"/>
    <w:rsid w:val="00B81797"/>
    <w:rsid w:val="00B81B6E"/>
    <w:rsid w:val="00B85782"/>
    <w:rsid w:val="00B9184D"/>
    <w:rsid w:val="00B93C88"/>
    <w:rsid w:val="00B97095"/>
    <w:rsid w:val="00BB0C9B"/>
    <w:rsid w:val="00BB3602"/>
    <w:rsid w:val="00BB40BA"/>
    <w:rsid w:val="00BB64F7"/>
    <w:rsid w:val="00BC3640"/>
    <w:rsid w:val="00BC3657"/>
    <w:rsid w:val="00BC3BE5"/>
    <w:rsid w:val="00BC5226"/>
    <w:rsid w:val="00BD0C49"/>
    <w:rsid w:val="00BD1315"/>
    <w:rsid w:val="00BD2548"/>
    <w:rsid w:val="00BD6028"/>
    <w:rsid w:val="00BD6DF4"/>
    <w:rsid w:val="00BD70D3"/>
    <w:rsid w:val="00BE374D"/>
    <w:rsid w:val="00BE38AC"/>
    <w:rsid w:val="00BE416E"/>
    <w:rsid w:val="00BE4893"/>
    <w:rsid w:val="00BE5547"/>
    <w:rsid w:val="00BF0581"/>
    <w:rsid w:val="00BF1CAF"/>
    <w:rsid w:val="00BF3B85"/>
    <w:rsid w:val="00BF3CF1"/>
    <w:rsid w:val="00BF4352"/>
    <w:rsid w:val="00BF4991"/>
    <w:rsid w:val="00BF6209"/>
    <w:rsid w:val="00BF6AB9"/>
    <w:rsid w:val="00BF72BF"/>
    <w:rsid w:val="00BF74E4"/>
    <w:rsid w:val="00C00AB9"/>
    <w:rsid w:val="00C00FD9"/>
    <w:rsid w:val="00C01B83"/>
    <w:rsid w:val="00C02072"/>
    <w:rsid w:val="00C02A53"/>
    <w:rsid w:val="00C059C7"/>
    <w:rsid w:val="00C05F26"/>
    <w:rsid w:val="00C0678A"/>
    <w:rsid w:val="00C07C7D"/>
    <w:rsid w:val="00C1037D"/>
    <w:rsid w:val="00C11830"/>
    <w:rsid w:val="00C11CA9"/>
    <w:rsid w:val="00C12673"/>
    <w:rsid w:val="00C12B93"/>
    <w:rsid w:val="00C151FA"/>
    <w:rsid w:val="00C16614"/>
    <w:rsid w:val="00C16761"/>
    <w:rsid w:val="00C17730"/>
    <w:rsid w:val="00C17798"/>
    <w:rsid w:val="00C2035D"/>
    <w:rsid w:val="00C2085B"/>
    <w:rsid w:val="00C21C99"/>
    <w:rsid w:val="00C23CA9"/>
    <w:rsid w:val="00C244BB"/>
    <w:rsid w:val="00C254F6"/>
    <w:rsid w:val="00C255B8"/>
    <w:rsid w:val="00C26001"/>
    <w:rsid w:val="00C26C8C"/>
    <w:rsid w:val="00C30238"/>
    <w:rsid w:val="00C313E8"/>
    <w:rsid w:val="00C31FED"/>
    <w:rsid w:val="00C323C4"/>
    <w:rsid w:val="00C32606"/>
    <w:rsid w:val="00C34553"/>
    <w:rsid w:val="00C35C26"/>
    <w:rsid w:val="00C41C73"/>
    <w:rsid w:val="00C422C5"/>
    <w:rsid w:val="00C449FE"/>
    <w:rsid w:val="00C46FF6"/>
    <w:rsid w:val="00C502C5"/>
    <w:rsid w:val="00C507A8"/>
    <w:rsid w:val="00C50DE7"/>
    <w:rsid w:val="00C518D1"/>
    <w:rsid w:val="00C51D18"/>
    <w:rsid w:val="00C52630"/>
    <w:rsid w:val="00C52D7C"/>
    <w:rsid w:val="00C53228"/>
    <w:rsid w:val="00C54365"/>
    <w:rsid w:val="00C57071"/>
    <w:rsid w:val="00C5759D"/>
    <w:rsid w:val="00C60875"/>
    <w:rsid w:val="00C61DCE"/>
    <w:rsid w:val="00C66170"/>
    <w:rsid w:val="00C70E9A"/>
    <w:rsid w:val="00C74233"/>
    <w:rsid w:val="00C75445"/>
    <w:rsid w:val="00C75C90"/>
    <w:rsid w:val="00C75C9A"/>
    <w:rsid w:val="00C75CF1"/>
    <w:rsid w:val="00C76AC0"/>
    <w:rsid w:val="00C76BAE"/>
    <w:rsid w:val="00C76F43"/>
    <w:rsid w:val="00C81CEA"/>
    <w:rsid w:val="00C82060"/>
    <w:rsid w:val="00C82564"/>
    <w:rsid w:val="00C8272D"/>
    <w:rsid w:val="00C83905"/>
    <w:rsid w:val="00C84366"/>
    <w:rsid w:val="00C84C04"/>
    <w:rsid w:val="00C85296"/>
    <w:rsid w:val="00C85777"/>
    <w:rsid w:val="00C86E9E"/>
    <w:rsid w:val="00C93549"/>
    <w:rsid w:val="00C93CB8"/>
    <w:rsid w:val="00C96ACE"/>
    <w:rsid w:val="00CA231B"/>
    <w:rsid w:val="00CA2F0D"/>
    <w:rsid w:val="00CA3FF9"/>
    <w:rsid w:val="00CA488A"/>
    <w:rsid w:val="00CA4DC2"/>
    <w:rsid w:val="00CA6DB3"/>
    <w:rsid w:val="00CA7910"/>
    <w:rsid w:val="00CB05C9"/>
    <w:rsid w:val="00CB156C"/>
    <w:rsid w:val="00CB1947"/>
    <w:rsid w:val="00CB205A"/>
    <w:rsid w:val="00CB30C5"/>
    <w:rsid w:val="00CB5A09"/>
    <w:rsid w:val="00CB7918"/>
    <w:rsid w:val="00CB7E61"/>
    <w:rsid w:val="00CC1184"/>
    <w:rsid w:val="00CC5E2B"/>
    <w:rsid w:val="00CD22A8"/>
    <w:rsid w:val="00CD35EC"/>
    <w:rsid w:val="00CD53D4"/>
    <w:rsid w:val="00CE130F"/>
    <w:rsid w:val="00CE66A3"/>
    <w:rsid w:val="00CE6A80"/>
    <w:rsid w:val="00CE7D1B"/>
    <w:rsid w:val="00CF15BF"/>
    <w:rsid w:val="00CF3142"/>
    <w:rsid w:val="00CF36F6"/>
    <w:rsid w:val="00CF3CB4"/>
    <w:rsid w:val="00CF4CB5"/>
    <w:rsid w:val="00CF52F5"/>
    <w:rsid w:val="00CF57CE"/>
    <w:rsid w:val="00CF7619"/>
    <w:rsid w:val="00D009B4"/>
    <w:rsid w:val="00D00DB0"/>
    <w:rsid w:val="00D0330C"/>
    <w:rsid w:val="00D033D6"/>
    <w:rsid w:val="00D03694"/>
    <w:rsid w:val="00D055A7"/>
    <w:rsid w:val="00D06242"/>
    <w:rsid w:val="00D068EB"/>
    <w:rsid w:val="00D10D6B"/>
    <w:rsid w:val="00D1138E"/>
    <w:rsid w:val="00D138F1"/>
    <w:rsid w:val="00D15D9E"/>
    <w:rsid w:val="00D16422"/>
    <w:rsid w:val="00D16FC7"/>
    <w:rsid w:val="00D22A38"/>
    <w:rsid w:val="00D22FD4"/>
    <w:rsid w:val="00D242B7"/>
    <w:rsid w:val="00D27ED0"/>
    <w:rsid w:val="00D32BD3"/>
    <w:rsid w:val="00D32CE4"/>
    <w:rsid w:val="00D3334A"/>
    <w:rsid w:val="00D36776"/>
    <w:rsid w:val="00D36E67"/>
    <w:rsid w:val="00D3722C"/>
    <w:rsid w:val="00D45882"/>
    <w:rsid w:val="00D4682E"/>
    <w:rsid w:val="00D5345D"/>
    <w:rsid w:val="00D5362A"/>
    <w:rsid w:val="00D56B06"/>
    <w:rsid w:val="00D57393"/>
    <w:rsid w:val="00D57EF3"/>
    <w:rsid w:val="00D61243"/>
    <w:rsid w:val="00D65553"/>
    <w:rsid w:val="00D67884"/>
    <w:rsid w:val="00D72E50"/>
    <w:rsid w:val="00D733A1"/>
    <w:rsid w:val="00D8180F"/>
    <w:rsid w:val="00D8364D"/>
    <w:rsid w:val="00D84032"/>
    <w:rsid w:val="00D85D0A"/>
    <w:rsid w:val="00D87A9F"/>
    <w:rsid w:val="00D87C10"/>
    <w:rsid w:val="00D902FD"/>
    <w:rsid w:val="00D90841"/>
    <w:rsid w:val="00D912E4"/>
    <w:rsid w:val="00D9638A"/>
    <w:rsid w:val="00DA008F"/>
    <w:rsid w:val="00DA06A3"/>
    <w:rsid w:val="00DA0B8B"/>
    <w:rsid w:val="00DA0D6C"/>
    <w:rsid w:val="00DA273C"/>
    <w:rsid w:val="00DA27B6"/>
    <w:rsid w:val="00DA33F9"/>
    <w:rsid w:val="00DA49D3"/>
    <w:rsid w:val="00DA5FBE"/>
    <w:rsid w:val="00DA6224"/>
    <w:rsid w:val="00DA69B5"/>
    <w:rsid w:val="00DB13AD"/>
    <w:rsid w:val="00DB28D9"/>
    <w:rsid w:val="00DB3A0A"/>
    <w:rsid w:val="00DB4BEE"/>
    <w:rsid w:val="00DB58A3"/>
    <w:rsid w:val="00DB6856"/>
    <w:rsid w:val="00DB7DD9"/>
    <w:rsid w:val="00DC1AB6"/>
    <w:rsid w:val="00DC36F0"/>
    <w:rsid w:val="00DC620E"/>
    <w:rsid w:val="00DC7293"/>
    <w:rsid w:val="00DD6415"/>
    <w:rsid w:val="00DD768A"/>
    <w:rsid w:val="00DE03C1"/>
    <w:rsid w:val="00DE1D13"/>
    <w:rsid w:val="00DE2D9D"/>
    <w:rsid w:val="00DE5353"/>
    <w:rsid w:val="00DE5EBF"/>
    <w:rsid w:val="00DE6C25"/>
    <w:rsid w:val="00DE6D27"/>
    <w:rsid w:val="00DF0E6C"/>
    <w:rsid w:val="00DF379D"/>
    <w:rsid w:val="00DF3E69"/>
    <w:rsid w:val="00DF49F1"/>
    <w:rsid w:val="00DF5C6D"/>
    <w:rsid w:val="00DF67CA"/>
    <w:rsid w:val="00DF7308"/>
    <w:rsid w:val="00E00007"/>
    <w:rsid w:val="00E00F94"/>
    <w:rsid w:val="00E0217B"/>
    <w:rsid w:val="00E02CE7"/>
    <w:rsid w:val="00E03DE6"/>
    <w:rsid w:val="00E04C7B"/>
    <w:rsid w:val="00E06947"/>
    <w:rsid w:val="00E10F9A"/>
    <w:rsid w:val="00E128ED"/>
    <w:rsid w:val="00E13D7A"/>
    <w:rsid w:val="00E14226"/>
    <w:rsid w:val="00E14776"/>
    <w:rsid w:val="00E1588A"/>
    <w:rsid w:val="00E15A8C"/>
    <w:rsid w:val="00E16FCD"/>
    <w:rsid w:val="00E20B92"/>
    <w:rsid w:val="00E20D4A"/>
    <w:rsid w:val="00E23EF2"/>
    <w:rsid w:val="00E24E9C"/>
    <w:rsid w:val="00E251FD"/>
    <w:rsid w:val="00E252A4"/>
    <w:rsid w:val="00E2532B"/>
    <w:rsid w:val="00E25650"/>
    <w:rsid w:val="00E26F66"/>
    <w:rsid w:val="00E27734"/>
    <w:rsid w:val="00E27F33"/>
    <w:rsid w:val="00E301E9"/>
    <w:rsid w:val="00E302EF"/>
    <w:rsid w:val="00E31F9C"/>
    <w:rsid w:val="00E3541C"/>
    <w:rsid w:val="00E36BD2"/>
    <w:rsid w:val="00E36C1B"/>
    <w:rsid w:val="00E37C5E"/>
    <w:rsid w:val="00E37D4E"/>
    <w:rsid w:val="00E4279F"/>
    <w:rsid w:val="00E47A02"/>
    <w:rsid w:val="00E47D8A"/>
    <w:rsid w:val="00E52639"/>
    <w:rsid w:val="00E56ED7"/>
    <w:rsid w:val="00E57774"/>
    <w:rsid w:val="00E62DDC"/>
    <w:rsid w:val="00E6310E"/>
    <w:rsid w:val="00E641B4"/>
    <w:rsid w:val="00E6493B"/>
    <w:rsid w:val="00E65180"/>
    <w:rsid w:val="00E65839"/>
    <w:rsid w:val="00E67C2D"/>
    <w:rsid w:val="00E70212"/>
    <w:rsid w:val="00E710F6"/>
    <w:rsid w:val="00E728C3"/>
    <w:rsid w:val="00E7526D"/>
    <w:rsid w:val="00E75F28"/>
    <w:rsid w:val="00E769A1"/>
    <w:rsid w:val="00E81692"/>
    <w:rsid w:val="00E8253E"/>
    <w:rsid w:val="00E84391"/>
    <w:rsid w:val="00E84A23"/>
    <w:rsid w:val="00E86749"/>
    <w:rsid w:val="00E87B52"/>
    <w:rsid w:val="00E90139"/>
    <w:rsid w:val="00E93A8F"/>
    <w:rsid w:val="00E9460B"/>
    <w:rsid w:val="00E956AC"/>
    <w:rsid w:val="00E97927"/>
    <w:rsid w:val="00EA0CA1"/>
    <w:rsid w:val="00EA1110"/>
    <w:rsid w:val="00EA28F0"/>
    <w:rsid w:val="00EA2DAE"/>
    <w:rsid w:val="00EA529B"/>
    <w:rsid w:val="00EA7923"/>
    <w:rsid w:val="00EB1630"/>
    <w:rsid w:val="00EB20CE"/>
    <w:rsid w:val="00EB3805"/>
    <w:rsid w:val="00EB3EDC"/>
    <w:rsid w:val="00EB4EAA"/>
    <w:rsid w:val="00EC1A6A"/>
    <w:rsid w:val="00EC3638"/>
    <w:rsid w:val="00EC380A"/>
    <w:rsid w:val="00EC3FDD"/>
    <w:rsid w:val="00EC4156"/>
    <w:rsid w:val="00EC6082"/>
    <w:rsid w:val="00EC7B35"/>
    <w:rsid w:val="00ED1716"/>
    <w:rsid w:val="00ED2EAE"/>
    <w:rsid w:val="00ED345F"/>
    <w:rsid w:val="00EE008E"/>
    <w:rsid w:val="00EE0545"/>
    <w:rsid w:val="00EE0845"/>
    <w:rsid w:val="00EE13FC"/>
    <w:rsid w:val="00EE1572"/>
    <w:rsid w:val="00EE16A3"/>
    <w:rsid w:val="00EE1853"/>
    <w:rsid w:val="00EE4E00"/>
    <w:rsid w:val="00EE54B7"/>
    <w:rsid w:val="00EE5F63"/>
    <w:rsid w:val="00EE61AE"/>
    <w:rsid w:val="00EF45DD"/>
    <w:rsid w:val="00EF5402"/>
    <w:rsid w:val="00EF5F9F"/>
    <w:rsid w:val="00F02C6B"/>
    <w:rsid w:val="00F04441"/>
    <w:rsid w:val="00F04934"/>
    <w:rsid w:val="00F05027"/>
    <w:rsid w:val="00F05F9F"/>
    <w:rsid w:val="00F11BDD"/>
    <w:rsid w:val="00F13673"/>
    <w:rsid w:val="00F207FD"/>
    <w:rsid w:val="00F21B10"/>
    <w:rsid w:val="00F226D7"/>
    <w:rsid w:val="00F227D7"/>
    <w:rsid w:val="00F3093A"/>
    <w:rsid w:val="00F34CEB"/>
    <w:rsid w:val="00F36931"/>
    <w:rsid w:val="00F43354"/>
    <w:rsid w:val="00F50907"/>
    <w:rsid w:val="00F515E9"/>
    <w:rsid w:val="00F51AED"/>
    <w:rsid w:val="00F52F6E"/>
    <w:rsid w:val="00F575EE"/>
    <w:rsid w:val="00F64AF6"/>
    <w:rsid w:val="00F65FF5"/>
    <w:rsid w:val="00F707A2"/>
    <w:rsid w:val="00F71E85"/>
    <w:rsid w:val="00F72212"/>
    <w:rsid w:val="00F73036"/>
    <w:rsid w:val="00F7397D"/>
    <w:rsid w:val="00F752ED"/>
    <w:rsid w:val="00F756A9"/>
    <w:rsid w:val="00F75823"/>
    <w:rsid w:val="00F75FDE"/>
    <w:rsid w:val="00F768C6"/>
    <w:rsid w:val="00F81CD8"/>
    <w:rsid w:val="00F874DF"/>
    <w:rsid w:val="00F91696"/>
    <w:rsid w:val="00F9275C"/>
    <w:rsid w:val="00F93686"/>
    <w:rsid w:val="00F93F94"/>
    <w:rsid w:val="00F955BE"/>
    <w:rsid w:val="00F95842"/>
    <w:rsid w:val="00F96884"/>
    <w:rsid w:val="00FA0955"/>
    <w:rsid w:val="00FA23F2"/>
    <w:rsid w:val="00FA56FE"/>
    <w:rsid w:val="00FA575F"/>
    <w:rsid w:val="00FB0A7A"/>
    <w:rsid w:val="00FB1D2F"/>
    <w:rsid w:val="00FB48B3"/>
    <w:rsid w:val="00FB5A44"/>
    <w:rsid w:val="00FB7133"/>
    <w:rsid w:val="00FC01C1"/>
    <w:rsid w:val="00FC0808"/>
    <w:rsid w:val="00FC1683"/>
    <w:rsid w:val="00FC19CA"/>
    <w:rsid w:val="00FC3694"/>
    <w:rsid w:val="00FC537F"/>
    <w:rsid w:val="00FC558F"/>
    <w:rsid w:val="00FC6DC2"/>
    <w:rsid w:val="00FC6EDD"/>
    <w:rsid w:val="00FD338A"/>
    <w:rsid w:val="00FD4491"/>
    <w:rsid w:val="00FD4660"/>
    <w:rsid w:val="00FD616A"/>
    <w:rsid w:val="00FD6E3E"/>
    <w:rsid w:val="00FE014C"/>
    <w:rsid w:val="00FE2908"/>
    <w:rsid w:val="00FE521B"/>
    <w:rsid w:val="00FE6852"/>
    <w:rsid w:val="00FE7087"/>
    <w:rsid w:val="00FF0239"/>
    <w:rsid w:val="00FF1375"/>
    <w:rsid w:val="00FF2A1C"/>
    <w:rsid w:val="00FF4111"/>
    <w:rsid w:val="00FF41FE"/>
    <w:rsid w:val="00FF6457"/>
    <w:rsid w:val="00FF7736"/>
  </w:rsids>
  <m:mathPr>
    <m:mathFont m:val="Cambria Math"/>
    <m:brkBin m:val="before"/>
    <m:brkBinSub m:val="--"/>
    <m:smallFrac m:val="0"/>
    <m:dispDef/>
    <m:lMargin m:val="0"/>
    <m:rMargin m:val="0"/>
    <m:defJc m:val="centerGroup"/>
    <m:wrapIndent m:val="1440"/>
    <m:intLim m:val="subSup"/>
    <m:naryLim m:val="undOvr"/>
  </m:mathPr>
  <w:themeFontLang w:val="it-IT"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E7D5DF"/>
  <w15:chartTrackingRefBased/>
  <w15:docId w15:val="{3177A2A4-7E61-453F-90BB-A9EA28353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semiHidden="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qFormat="1"/>
    <w:lsdException w:name="Intense Reference" w:semiHidden="1" w:qFormat="1"/>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emiHidden/>
    <w:qFormat/>
    <w:rsid w:val="0087010B"/>
  </w:style>
  <w:style w:type="paragraph" w:styleId="Titolo1">
    <w:name w:val="heading 1"/>
    <w:basedOn w:val="Normale"/>
    <w:next w:val="Normale"/>
    <w:link w:val="Titolo1Carattere"/>
    <w:uiPriority w:val="9"/>
    <w:semiHidden/>
    <w:qFormat/>
    <w:rsid w:val="00EA2DAE"/>
    <w:pPr>
      <w:keepNext/>
      <w:keepLines/>
      <w:spacing w:before="240" w:after="0" w:line="240" w:lineRule="auto"/>
      <w:jc w:val="both"/>
      <w:outlineLvl w:val="0"/>
    </w:pPr>
    <w:rPr>
      <w:rFonts w:asciiTheme="majorHAnsi" w:eastAsiaTheme="majorEastAsia" w:hAnsiTheme="majorHAnsi" w:cstheme="majorBidi"/>
      <w:color w:val="365F91" w:themeColor="accent1" w:themeShade="BF"/>
      <w:sz w:val="32"/>
      <w:szCs w:val="32"/>
    </w:rPr>
  </w:style>
  <w:style w:type="paragraph" w:styleId="Titolo2">
    <w:name w:val="heading 2"/>
    <w:basedOn w:val="Normale"/>
    <w:next w:val="Normale"/>
    <w:link w:val="Titolo2Carattere"/>
    <w:semiHidden/>
    <w:qFormat/>
    <w:rsid w:val="001F32F4"/>
    <w:pPr>
      <w:keepNext/>
      <w:keepLines/>
      <w:spacing w:before="40" w:after="0" w:line="240" w:lineRule="auto"/>
      <w:jc w:val="both"/>
      <w:outlineLvl w:val="1"/>
    </w:pPr>
    <w:rPr>
      <w:rFonts w:asciiTheme="majorHAnsi" w:eastAsiaTheme="majorEastAsia" w:hAnsiTheme="majorHAnsi" w:cstheme="majorBidi"/>
      <w:color w:val="365F91" w:themeColor="accent1" w:themeShade="BF"/>
      <w:sz w:val="26"/>
      <w:szCs w:val="26"/>
    </w:rPr>
  </w:style>
  <w:style w:type="paragraph" w:styleId="Titolo3">
    <w:name w:val="heading 3"/>
    <w:basedOn w:val="Normale"/>
    <w:next w:val="Normale"/>
    <w:link w:val="Titolo3Carattere"/>
    <w:uiPriority w:val="9"/>
    <w:semiHidden/>
    <w:qFormat/>
    <w:rsid w:val="001F32F4"/>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Titolo4">
    <w:name w:val="heading 4"/>
    <w:basedOn w:val="Normale"/>
    <w:next w:val="Normale"/>
    <w:link w:val="Titolo4Carattere"/>
    <w:uiPriority w:val="9"/>
    <w:semiHidden/>
    <w:qFormat/>
    <w:rsid w:val="005B4A07"/>
    <w:pPr>
      <w:keepNext/>
      <w:spacing w:before="240" w:after="60"/>
      <w:ind w:firstLine="284"/>
      <w:outlineLvl w:val="3"/>
    </w:pPr>
    <w:rPr>
      <w:rFonts w:ascii="Times New Roman" w:eastAsia="Calibri" w:hAnsi="Times New Roman" w:cs="Times New Roman"/>
      <w:b/>
      <w:bCs/>
      <w:sz w:val="28"/>
      <w:szCs w:val="28"/>
    </w:rPr>
  </w:style>
  <w:style w:type="paragraph" w:styleId="Titolo5">
    <w:name w:val="heading 5"/>
    <w:basedOn w:val="Normale"/>
    <w:next w:val="Normale"/>
    <w:link w:val="Titolo5Carattere"/>
    <w:semiHidden/>
    <w:qFormat/>
    <w:rsid w:val="005B4A07"/>
    <w:pPr>
      <w:spacing w:before="240" w:after="60"/>
      <w:ind w:firstLine="284"/>
      <w:outlineLvl w:val="4"/>
    </w:pPr>
    <w:rPr>
      <w:rFonts w:ascii="Times New Roman" w:eastAsia="Calibri" w:hAnsi="Times New Roman" w:cs="Times New Roman"/>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semiHidden/>
    <w:rsid w:val="00883CC3"/>
    <w:rPr>
      <w:rFonts w:asciiTheme="majorHAnsi" w:eastAsiaTheme="majorEastAsia" w:hAnsiTheme="majorHAnsi" w:cstheme="majorBidi"/>
      <w:color w:val="365F91" w:themeColor="accent1" w:themeShade="BF"/>
      <w:sz w:val="32"/>
      <w:szCs w:val="32"/>
    </w:rPr>
  </w:style>
  <w:style w:type="character" w:customStyle="1" w:styleId="Titolo2Carattere">
    <w:name w:val="Titolo 2 Carattere"/>
    <w:basedOn w:val="Carpredefinitoparagrafo"/>
    <w:link w:val="Titolo2"/>
    <w:semiHidden/>
    <w:rsid w:val="00883CC3"/>
    <w:rPr>
      <w:rFonts w:asciiTheme="majorHAnsi" w:eastAsiaTheme="majorEastAsia" w:hAnsiTheme="majorHAnsi" w:cstheme="majorBidi"/>
      <w:color w:val="365F91" w:themeColor="accent1" w:themeShade="BF"/>
      <w:sz w:val="26"/>
      <w:szCs w:val="26"/>
    </w:rPr>
  </w:style>
  <w:style w:type="character" w:customStyle="1" w:styleId="Titolo3Carattere">
    <w:name w:val="Titolo 3 Carattere"/>
    <w:basedOn w:val="Carpredefinitoparagrafo"/>
    <w:link w:val="Titolo3"/>
    <w:uiPriority w:val="9"/>
    <w:semiHidden/>
    <w:rsid w:val="00883CC3"/>
    <w:rPr>
      <w:rFonts w:asciiTheme="majorHAnsi" w:eastAsiaTheme="majorEastAsia" w:hAnsiTheme="majorHAnsi" w:cstheme="majorBidi"/>
      <w:color w:val="243F60" w:themeColor="accent1" w:themeShade="7F"/>
      <w:sz w:val="24"/>
      <w:szCs w:val="24"/>
    </w:rPr>
  </w:style>
  <w:style w:type="character" w:customStyle="1" w:styleId="Titolo4Carattere">
    <w:name w:val="Titolo 4 Carattere"/>
    <w:basedOn w:val="Carpredefinitoparagrafo"/>
    <w:link w:val="Titolo4"/>
    <w:uiPriority w:val="9"/>
    <w:semiHidden/>
    <w:rsid w:val="00883CC3"/>
    <w:rPr>
      <w:rFonts w:ascii="Times New Roman" w:eastAsia="Calibri" w:hAnsi="Times New Roman" w:cs="Times New Roman"/>
      <w:b/>
      <w:bCs/>
      <w:sz w:val="28"/>
      <w:szCs w:val="28"/>
    </w:rPr>
  </w:style>
  <w:style w:type="character" w:customStyle="1" w:styleId="Titolo5Carattere">
    <w:name w:val="Titolo 5 Carattere"/>
    <w:basedOn w:val="Carpredefinitoparagrafo"/>
    <w:link w:val="Titolo5"/>
    <w:semiHidden/>
    <w:rsid w:val="00DA06A3"/>
    <w:rPr>
      <w:rFonts w:ascii="Times New Roman" w:eastAsia="Calibri" w:hAnsi="Times New Roman" w:cs="Times New Roman"/>
      <w:b/>
      <w:bCs/>
      <w:i/>
      <w:iCs/>
      <w:sz w:val="26"/>
      <w:szCs w:val="26"/>
    </w:rPr>
  </w:style>
  <w:style w:type="paragraph" w:customStyle="1" w:styleId="Sommario">
    <w:name w:val="Sommario"/>
    <w:qFormat/>
    <w:rsid w:val="003E0DEB"/>
    <w:pPr>
      <w:widowControl w:val="0"/>
      <w:spacing w:before="512" w:after="768" w:line="220" w:lineRule="exact"/>
      <w:ind w:left="284" w:hanging="284"/>
      <w:jc w:val="both"/>
    </w:pPr>
    <w:rPr>
      <w:rFonts w:ascii="Simoncini Garamond Std" w:hAnsi="Simoncini Garamond Std"/>
      <w:sz w:val="19"/>
      <w:szCs w:val="19"/>
    </w:rPr>
  </w:style>
  <w:style w:type="paragraph" w:customStyle="1" w:styleId="Paragrafo">
    <w:name w:val="Paragrafo"/>
    <w:qFormat/>
    <w:rsid w:val="003E0DEB"/>
    <w:pPr>
      <w:keepNext/>
      <w:spacing w:before="512" w:after="256" w:line="270" w:lineRule="exact"/>
      <w:ind w:left="284" w:hanging="284"/>
      <w:jc w:val="both"/>
    </w:pPr>
    <w:rPr>
      <w:rFonts w:ascii="Simoncini Garamond Std" w:hAnsi="Simoncini Garamond Std"/>
      <w:i/>
      <w:sz w:val="24"/>
      <w:szCs w:val="24"/>
    </w:rPr>
  </w:style>
  <w:style w:type="paragraph" w:customStyle="1" w:styleId="Titolodelcapitolo">
    <w:name w:val="Titolo del capitolo"/>
    <w:qFormat/>
    <w:rsid w:val="00E710F6"/>
    <w:pPr>
      <w:keepNext/>
      <w:spacing w:before="1300" w:after="120" w:line="360" w:lineRule="exact"/>
      <w:jc w:val="center"/>
    </w:pPr>
    <w:rPr>
      <w:rFonts w:ascii="Simoncini Garamond Std" w:eastAsia="SimSun" w:hAnsi="Simoncini Garamond Std" w:cs="Times New Roman"/>
      <w:caps/>
      <w:sz w:val="28"/>
      <w:szCs w:val="24"/>
      <w:lang w:eastAsia="hi-IN" w:bidi="hi-IN"/>
    </w:rPr>
  </w:style>
  <w:style w:type="paragraph" w:customStyle="1" w:styleId="Capoverso">
    <w:name w:val="Capoverso"/>
    <w:link w:val="CapoversoCarattere"/>
    <w:qFormat/>
    <w:rsid w:val="003E0DEB"/>
    <w:pPr>
      <w:spacing w:after="0" w:line="256" w:lineRule="exact"/>
      <w:ind w:firstLine="284"/>
      <w:jc w:val="both"/>
    </w:pPr>
    <w:rPr>
      <w:rFonts w:ascii="Simoncini Garamond Std" w:eastAsia="SimSun" w:hAnsi="Simoncini Garamond Std" w:cs="Times New Roman"/>
      <w:szCs w:val="24"/>
      <w:lang w:eastAsia="hi-IN" w:bidi="hi-IN"/>
    </w:rPr>
  </w:style>
  <w:style w:type="character" w:customStyle="1" w:styleId="CapoversoCarattere">
    <w:name w:val="Capoverso Carattere"/>
    <w:link w:val="Capoverso"/>
    <w:rsid w:val="003E0DEB"/>
    <w:rPr>
      <w:rFonts w:ascii="Simoncini Garamond Std" w:eastAsia="SimSun" w:hAnsi="Simoncini Garamond Std" w:cs="Times New Roman"/>
      <w:szCs w:val="24"/>
      <w:lang w:eastAsia="hi-IN" w:bidi="hi-IN"/>
    </w:rPr>
  </w:style>
  <w:style w:type="paragraph" w:customStyle="1" w:styleId="Autore">
    <w:name w:val="Autore"/>
    <w:qFormat/>
    <w:rsid w:val="003E0DEB"/>
    <w:pPr>
      <w:keepNext/>
      <w:spacing w:after="512" w:line="260" w:lineRule="exact"/>
      <w:jc w:val="center"/>
    </w:pPr>
    <w:rPr>
      <w:rFonts w:ascii="Simoncini Garamond Std" w:hAnsi="Simoncini Garamond Std" w:cs="Times New Roman"/>
      <w:i/>
      <w:sz w:val="23"/>
    </w:rPr>
  </w:style>
  <w:style w:type="paragraph" w:styleId="Testonotaapidipagina">
    <w:name w:val="footnote text"/>
    <w:link w:val="TestonotaapidipaginaCarattere"/>
    <w:qFormat/>
    <w:rsid w:val="003E0DEB"/>
    <w:pPr>
      <w:spacing w:before="60" w:after="0" w:line="210" w:lineRule="exact"/>
      <w:ind w:firstLine="284"/>
      <w:jc w:val="both"/>
    </w:pPr>
    <w:rPr>
      <w:rFonts w:ascii="Simoncini Garamond Std" w:eastAsia="SimSun" w:hAnsi="Simoncini Garamond Std" w:cs="Tahoma"/>
      <w:sz w:val="18"/>
      <w:szCs w:val="20"/>
      <w:lang w:eastAsia="hi-IN" w:bidi="hi-IN"/>
    </w:rPr>
  </w:style>
  <w:style w:type="character" w:customStyle="1" w:styleId="TestonotaapidipaginaCarattere">
    <w:name w:val="Testo nota a piè di pagina Carattere"/>
    <w:basedOn w:val="Carpredefinitoparagrafo"/>
    <w:link w:val="Testonotaapidipagina"/>
    <w:rsid w:val="003E0DEB"/>
    <w:rPr>
      <w:rFonts w:ascii="Simoncini Garamond Std" w:eastAsia="SimSun" w:hAnsi="Simoncini Garamond Std" w:cs="Tahoma"/>
      <w:sz w:val="18"/>
      <w:szCs w:val="20"/>
      <w:lang w:eastAsia="hi-IN" w:bidi="hi-IN"/>
    </w:rPr>
  </w:style>
  <w:style w:type="paragraph" w:customStyle="1" w:styleId="Sottoparagrafo">
    <w:name w:val="Sottoparagrafo"/>
    <w:qFormat/>
    <w:rsid w:val="003E0DEB"/>
    <w:pPr>
      <w:keepNext/>
      <w:spacing w:before="384" w:after="128" w:line="256" w:lineRule="exact"/>
      <w:ind w:left="284" w:hanging="284"/>
      <w:jc w:val="both"/>
    </w:pPr>
    <w:rPr>
      <w:rFonts w:ascii="Simoncini Garamond Std" w:hAnsi="Simoncini Garamond Std"/>
      <w:i/>
      <w:sz w:val="23"/>
      <w:szCs w:val="24"/>
    </w:rPr>
  </w:style>
  <w:style w:type="paragraph" w:customStyle="1" w:styleId="Sottosottoparagrafo">
    <w:name w:val="Sottosottoparagrafo"/>
    <w:qFormat/>
    <w:rsid w:val="00063246"/>
    <w:pPr>
      <w:spacing w:before="384" w:after="128" w:line="244" w:lineRule="exact"/>
      <w:ind w:left="284" w:hanging="284"/>
      <w:jc w:val="both"/>
    </w:pPr>
    <w:rPr>
      <w:rFonts w:ascii="Simoncini Garamond Std" w:hAnsi="Simoncini Garamond Std"/>
      <w:i/>
      <w:szCs w:val="24"/>
    </w:rPr>
  </w:style>
  <w:style w:type="paragraph" w:styleId="Revisione">
    <w:name w:val="Revision"/>
    <w:hidden/>
    <w:uiPriority w:val="99"/>
    <w:semiHidden/>
    <w:rsid w:val="007E7BB7"/>
    <w:pPr>
      <w:spacing w:after="0" w:line="240" w:lineRule="auto"/>
    </w:pPr>
  </w:style>
  <w:style w:type="paragraph" w:styleId="Intestazione">
    <w:name w:val="header"/>
    <w:basedOn w:val="Normale"/>
    <w:link w:val="IntestazioneCarattere"/>
    <w:uiPriority w:val="99"/>
    <w:semiHidden/>
    <w:rsid w:val="003E0DEB"/>
    <w:pPr>
      <w:tabs>
        <w:tab w:val="center" w:pos="3629"/>
        <w:tab w:val="right" w:pos="7258"/>
      </w:tabs>
      <w:spacing w:after="0" w:line="240" w:lineRule="exact"/>
      <w:jc w:val="right"/>
    </w:pPr>
    <w:rPr>
      <w:rFonts w:ascii="Simoncini Garamond Std" w:hAnsi="Simoncini Garamond Std"/>
      <w:i/>
      <w:sz w:val="18"/>
      <w:szCs w:val="18"/>
    </w:rPr>
  </w:style>
  <w:style w:type="character" w:customStyle="1" w:styleId="IntestazioneCarattere">
    <w:name w:val="Intestazione Carattere"/>
    <w:basedOn w:val="Carpredefinitoparagrafo"/>
    <w:link w:val="Intestazione"/>
    <w:uiPriority w:val="99"/>
    <w:semiHidden/>
    <w:rsid w:val="0087010B"/>
    <w:rPr>
      <w:rFonts w:ascii="Simoncini Garamond Std" w:hAnsi="Simoncini Garamond Std"/>
      <w:i/>
      <w:sz w:val="18"/>
      <w:szCs w:val="18"/>
    </w:rPr>
  </w:style>
  <w:style w:type="paragraph" w:customStyle="1" w:styleId="Dicituracapitolo">
    <w:name w:val="Dicitura capitolo"/>
    <w:qFormat/>
    <w:rsid w:val="003E0DEB"/>
    <w:pPr>
      <w:keepNext/>
      <w:spacing w:before="1300" w:after="120" w:line="280" w:lineRule="exact"/>
      <w:jc w:val="center"/>
    </w:pPr>
    <w:rPr>
      <w:rFonts w:ascii="Simoncini Garamond Std" w:eastAsia="SimSun" w:hAnsi="Simoncini Garamond Std" w:cs="Times New Roman"/>
      <w:smallCaps/>
      <w:sz w:val="24"/>
      <w:szCs w:val="24"/>
      <w:lang w:eastAsia="hi-IN" w:bidi="hi-IN"/>
    </w:rPr>
  </w:style>
  <w:style w:type="paragraph" w:customStyle="1" w:styleId="Intermedio">
    <w:name w:val="Intermedio"/>
    <w:qFormat/>
    <w:rsid w:val="003E0DEB"/>
    <w:pPr>
      <w:spacing w:before="240" w:after="240" w:line="236" w:lineRule="exact"/>
      <w:ind w:left="284" w:right="284" w:firstLine="284"/>
      <w:jc w:val="both"/>
    </w:pPr>
    <w:rPr>
      <w:rFonts w:ascii="Simoncini Garamond Std" w:eastAsia="SimSun" w:hAnsi="Simoncini Garamond Std" w:cs="Times New Roman"/>
      <w:sz w:val="20"/>
      <w:szCs w:val="24"/>
      <w:lang w:eastAsia="hi-IN" w:bidi="hi-IN"/>
    </w:rPr>
  </w:style>
  <w:style w:type="paragraph" w:customStyle="1" w:styleId="Capoversospaziosopra">
    <w:name w:val="Capoverso spazio sopra"/>
    <w:basedOn w:val="Capoverso"/>
    <w:qFormat/>
    <w:rsid w:val="005100B0"/>
    <w:pPr>
      <w:spacing w:before="128"/>
    </w:pPr>
  </w:style>
  <w:style w:type="paragraph" w:customStyle="1" w:styleId="Capoversospaziosotto">
    <w:name w:val="Capoverso spazio sotto"/>
    <w:basedOn w:val="Capoverso"/>
    <w:qFormat/>
    <w:rsid w:val="005100B0"/>
    <w:pPr>
      <w:spacing w:after="128"/>
    </w:pPr>
  </w:style>
  <w:style w:type="character" w:styleId="Rimandonotaapidipagina">
    <w:name w:val="footnote reference"/>
    <w:basedOn w:val="Carpredefinitoparagrafo"/>
    <w:uiPriority w:val="99"/>
    <w:semiHidden/>
    <w:rsid w:val="004470E6"/>
    <w:rPr>
      <w:vertAlign w:val="superscript"/>
    </w:rPr>
  </w:style>
  <w:style w:type="paragraph" w:styleId="Pidipagina">
    <w:name w:val="footer"/>
    <w:basedOn w:val="Normale"/>
    <w:link w:val="PidipaginaCarattere"/>
    <w:uiPriority w:val="99"/>
    <w:semiHidden/>
    <w:rsid w:val="00965EC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87010B"/>
  </w:style>
  <w:style w:type="paragraph" w:customStyle="1" w:styleId="Titolodellaparte">
    <w:name w:val="Titolo della parte"/>
    <w:qFormat/>
    <w:rsid w:val="0013765F"/>
    <w:pPr>
      <w:spacing w:after="0" w:line="360" w:lineRule="exact"/>
      <w:jc w:val="center"/>
    </w:pPr>
    <w:rPr>
      <w:rFonts w:ascii="Simoncini Garamond Std" w:eastAsia="SimSun" w:hAnsi="Simoncini Garamond Std" w:cs="Times New Roman"/>
      <w:caps/>
      <w:sz w:val="30"/>
      <w:szCs w:val="30"/>
      <w:lang w:eastAsia="hi-IN" w:bidi="hi-IN"/>
    </w:rPr>
  </w:style>
  <w:style w:type="paragraph" w:customStyle="1" w:styleId="Dicituraparte">
    <w:name w:val="Dicitura parte"/>
    <w:qFormat/>
    <w:rsid w:val="0013765F"/>
    <w:pPr>
      <w:spacing w:before="2320" w:line="300" w:lineRule="exact"/>
      <w:jc w:val="center"/>
    </w:pPr>
    <w:rPr>
      <w:rFonts w:ascii="Simoncini Garamond Std" w:eastAsia="SimSun" w:hAnsi="Simoncini Garamond Std" w:cs="Times New Roman"/>
      <w:smallCaps/>
      <w:sz w:val="26"/>
      <w:szCs w:val="26"/>
      <w:lang w:eastAsia="hi-IN" w:bidi="hi-IN"/>
    </w:rPr>
  </w:style>
  <w:style w:type="character" w:styleId="Collegamentoipertestuale">
    <w:name w:val="Hyperlink"/>
    <w:basedOn w:val="Carpredefinitoparagrafo"/>
    <w:uiPriority w:val="99"/>
    <w:unhideWhenUsed/>
    <w:rsid w:val="009215EA"/>
    <w:rPr>
      <w:color w:val="0000FF" w:themeColor="hyperlink"/>
      <w:u w:val="single"/>
    </w:rPr>
  </w:style>
  <w:style w:type="character" w:customStyle="1" w:styleId="UnresolvedMention">
    <w:name w:val="Unresolved Mention"/>
    <w:basedOn w:val="Carpredefinitoparagrafo"/>
    <w:uiPriority w:val="99"/>
    <w:semiHidden/>
    <w:unhideWhenUsed/>
    <w:rsid w:val="009215EA"/>
    <w:rPr>
      <w:color w:val="605E5C"/>
      <w:shd w:val="clear" w:color="auto" w:fill="E1DFDD"/>
    </w:rPr>
  </w:style>
  <w:style w:type="character" w:styleId="Numeropagina">
    <w:name w:val="page number"/>
    <w:basedOn w:val="Carpredefinitoparagrafo"/>
    <w:uiPriority w:val="99"/>
    <w:semiHidden/>
    <w:unhideWhenUsed/>
    <w:rsid w:val="00FD616A"/>
  </w:style>
  <w:style w:type="paragraph" w:styleId="Testofumetto">
    <w:name w:val="Balloon Text"/>
    <w:basedOn w:val="Normale"/>
    <w:link w:val="TestofumettoCarattere"/>
    <w:uiPriority w:val="99"/>
    <w:semiHidden/>
    <w:unhideWhenUsed/>
    <w:rsid w:val="00BF1CAF"/>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F1C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7777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cineca.it/index.php/chi-siamo/il-consorzio"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805D34-CBFC-4AA4-9BD4-7AA848073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5013</Words>
  <Characters>28577</Characters>
  <Application>Microsoft Office Word</Application>
  <DocSecurity>0</DocSecurity>
  <Lines>238</Lines>
  <Paragraphs>67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Mammola</dc:creator>
  <cp:keywords/>
  <dc:description/>
  <cp:lastModifiedBy>Santucci, Chiara Alberta</cp:lastModifiedBy>
  <cp:revision>5</cp:revision>
  <cp:lastPrinted>2022-02-04T14:18:00Z</cp:lastPrinted>
  <dcterms:created xsi:type="dcterms:W3CDTF">2022-03-01T14:47:00Z</dcterms:created>
  <dcterms:modified xsi:type="dcterms:W3CDTF">2022-03-01T16:45:00Z</dcterms:modified>
</cp:coreProperties>
</file>