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77F49" w14:textId="3424CE8D" w:rsidR="0032631A" w:rsidRPr="00036FE6" w:rsidRDefault="00054E54" w:rsidP="00036FE6">
      <w:pPr>
        <w:spacing w:before="100" w:beforeAutospacing="1" w:after="100" w:afterAutospacing="1"/>
        <w:jc w:val="center"/>
        <w:rPr>
          <w:rFonts w:ascii="Century Schoolbook" w:eastAsia="Times New Roman" w:hAnsi="Century Schoolbook" w:cs="Times New Roman"/>
          <w:b/>
          <w:sz w:val="32"/>
          <w:szCs w:val="32"/>
          <w:lang w:eastAsia="it-IT"/>
        </w:rPr>
      </w:pPr>
      <w:bookmarkStart w:id="0" w:name="_GoBack"/>
      <w:r w:rsidRPr="00036FE6">
        <w:rPr>
          <w:rFonts w:ascii="Century Schoolbook" w:eastAsia="Times New Roman" w:hAnsi="Century Schoolbook" w:cs="Times New Roman"/>
          <w:b/>
          <w:sz w:val="32"/>
          <w:szCs w:val="32"/>
          <w:lang w:eastAsia="it-IT"/>
        </w:rPr>
        <w:t>L</w:t>
      </w:r>
      <w:r w:rsidR="00036FE6" w:rsidRPr="00036FE6">
        <w:rPr>
          <w:rFonts w:ascii="Century Schoolbook" w:eastAsia="Times New Roman" w:hAnsi="Century Schoolbook" w:cs="Times New Roman"/>
          <w:b/>
          <w:sz w:val="32"/>
          <w:szCs w:val="32"/>
          <w:lang w:eastAsia="it-IT"/>
        </w:rPr>
        <w:t>’«incanto che non so dire»: unicità e unicismi procedimentali nel governo del territorio</w:t>
      </w:r>
    </w:p>
    <w:bookmarkEnd w:id="0"/>
    <w:p w14:paraId="420A5C2C" w14:textId="77777777" w:rsidR="006E4307" w:rsidRPr="00036FE6" w:rsidRDefault="006E4307" w:rsidP="00036FE6">
      <w:pPr>
        <w:spacing w:line="360" w:lineRule="auto"/>
        <w:contextualSpacing/>
        <w:jc w:val="center"/>
        <w:rPr>
          <w:rFonts w:ascii="Century Schoolbook" w:eastAsia="Times New Roman" w:hAnsi="Century Schoolbook" w:cs="Times New Roman"/>
          <w:b/>
          <w:smallCaps/>
          <w:sz w:val="32"/>
          <w:szCs w:val="32"/>
          <w:lang w:eastAsia="it-IT"/>
        </w:rPr>
      </w:pPr>
    </w:p>
    <w:p w14:paraId="46FEC987" w14:textId="0B44F294" w:rsidR="005E73B1" w:rsidRPr="005E73B1" w:rsidRDefault="00C56781" w:rsidP="0085773E">
      <w:pPr>
        <w:spacing w:before="100" w:beforeAutospacing="1" w:after="100" w:afterAutospacing="1"/>
        <w:jc w:val="both"/>
        <w:rPr>
          <w:rFonts w:ascii="Century Schoolbook" w:eastAsia="Times New Roman" w:hAnsi="Century Schoolbook" w:cs="Times New Roman"/>
          <w:sz w:val="18"/>
          <w:szCs w:val="18"/>
          <w:lang w:eastAsia="it-IT"/>
        </w:rPr>
      </w:pPr>
      <w:r>
        <w:rPr>
          <w:rFonts w:ascii="Century Schoolbook" w:eastAsia="Times New Roman" w:hAnsi="Century Schoolbook" w:cs="Times New Roman"/>
          <w:b/>
          <w:bCs/>
          <w:sz w:val="18"/>
          <w:szCs w:val="18"/>
          <w:lang w:eastAsia="it-IT"/>
        </w:rPr>
        <w:t>Sintesi</w:t>
      </w:r>
      <w:r w:rsidR="005E73B1" w:rsidRPr="005E73B1">
        <w:rPr>
          <w:rFonts w:ascii="Century Schoolbook" w:eastAsia="Times New Roman" w:hAnsi="Century Schoolbook" w:cs="Times New Roman"/>
          <w:sz w:val="18"/>
          <w:szCs w:val="18"/>
          <w:lang w:eastAsia="it-IT"/>
        </w:rPr>
        <w:t xml:space="preserve">: </w:t>
      </w:r>
      <w:r w:rsidR="00572C4D">
        <w:rPr>
          <w:rFonts w:ascii="Century Schoolbook" w:eastAsia="Times New Roman" w:hAnsi="Century Schoolbook" w:cs="Times New Roman"/>
          <w:sz w:val="18"/>
          <w:szCs w:val="18"/>
          <w:lang w:eastAsia="it-IT"/>
        </w:rPr>
        <w:t>Il nostro ordinamento insegue da tempo il sogno di un procedimento unico al cui interno si formi la decisione finale rilevante per il governo del territorio</w:t>
      </w:r>
      <w:r w:rsidR="001C3150">
        <w:rPr>
          <w:rFonts w:ascii="Century Schoolbook" w:eastAsia="Times New Roman" w:hAnsi="Century Schoolbook" w:cs="Times New Roman"/>
          <w:sz w:val="18"/>
          <w:szCs w:val="18"/>
          <w:lang w:eastAsia="it-IT"/>
        </w:rPr>
        <w:t>, sopra tutto con riguardo a interventi puntuali</w:t>
      </w:r>
      <w:r w:rsidR="00572C4D">
        <w:rPr>
          <w:rFonts w:ascii="Century Schoolbook" w:eastAsia="Times New Roman" w:hAnsi="Century Schoolbook" w:cs="Times New Roman"/>
          <w:sz w:val="18"/>
          <w:szCs w:val="18"/>
          <w:lang w:eastAsia="it-IT"/>
        </w:rPr>
        <w:t xml:space="preserve">. </w:t>
      </w:r>
      <w:r w:rsidR="00572C4D" w:rsidRPr="00572C4D">
        <w:rPr>
          <w:rFonts w:ascii="Century Schoolbook" w:eastAsia="Times New Roman" w:hAnsi="Century Schoolbook" w:cs="Times New Roman"/>
          <w:sz w:val="18"/>
          <w:szCs w:val="18"/>
          <w:lang w:eastAsia="it-IT"/>
        </w:rPr>
        <w:t xml:space="preserve">Tramontato – per l’intervento della Consulta – </w:t>
      </w:r>
      <w:r w:rsidR="00B87654">
        <w:rPr>
          <w:rFonts w:ascii="Century Schoolbook" w:eastAsia="Times New Roman" w:hAnsi="Century Schoolbook" w:cs="Times New Roman"/>
          <w:sz w:val="18"/>
          <w:szCs w:val="18"/>
          <w:lang w:eastAsia="it-IT"/>
        </w:rPr>
        <w:t>i</w:t>
      </w:r>
      <w:r w:rsidR="00572C4D" w:rsidRPr="00572C4D">
        <w:rPr>
          <w:rFonts w:ascii="Century Schoolbook" w:eastAsia="Times New Roman" w:hAnsi="Century Schoolbook" w:cs="Times New Roman"/>
          <w:sz w:val="18"/>
          <w:szCs w:val="18"/>
          <w:lang w:eastAsia="it-IT"/>
        </w:rPr>
        <w:t xml:space="preserve">l tentativo di costruire il modello </w:t>
      </w:r>
      <w:r w:rsidR="00B87654">
        <w:rPr>
          <w:rFonts w:ascii="Century Schoolbook" w:eastAsia="Times New Roman" w:hAnsi="Century Schoolbook" w:cs="Times New Roman"/>
          <w:sz w:val="18"/>
          <w:szCs w:val="18"/>
          <w:lang w:eastAsia="it-IT"/>
        </w:rPr>
        <w:t xml:space="preserve">affidandolo alla competenza comunale in </w:t>
      </w:r>
      <w:r w:rsidR="00DF43E9">
        <w:rPr>
          <w:rFonts w:ascii="Century Schoolbook" w:eastAsia="Times New Roman" w:hAnsi="Century Schoolbook" w:cs="Times New Roman"/>
          <w:sz w:val="18"/>
          <w:szCs w:val="18"/>
          <w:lang w:eastAsia="it-IT"/>
        </w:rPr>
        <w:t>senso</w:t>
      </w:r>
      <w:r w:rsidR="00B87654">
        <w:rPr>
          <w:rFonts w:ascii="Century Schoolbook" w:eastAsia="Times New Roman" w:hAnsi="Century Schoolbook" w:cs="Times New Roman"/>
          <w:sz w:val="18"/>
          <w:szCs w:val="18"/>
          <w:lang w:eastAsia="it-IT"/>
        </w:rPr>
        <w:t xml:space="preserve"> antiregionalista, </w:t>
      </w:r>
      <w:r w:rsidR="00DF43E9">
        <w:rPr>
          <w:rFonts w:ascii="Century Schoolbook" w:eastAsia="Times New Roman" w:hAnsi="Century Schoolbook" w:cs="Times New Roman"/>
          <w:sz w:val="18"/>
          <w:szCs w:val="18"/>
          <w:lang w:eastAsia="it-IT"/>
        </w:rPr>
        <w:t>il diritto legislativo si orienta ben presto in senso opposto</w:t>
      </w:r>
      <w:r w:rsidR="001C3150">
        <w:rPr>
          <w:rFonts w:ascii="Century Schoolbook" w:eastAsia="Times New Roman" w:hAnsi="Century Schoolbook" w:cs="Times New Roman"/>
          <w:sz w:val="18"/>
          <w:szCs w:val="18"/>
          <w:lang w:eastAsia="it-IT"/>
        </w:rPr>
        <w:t xml:space="preserve">, </w:t>
      </w:r>
      <w:r w:rsidR="00926795">
        <w:rPr>
          <w:rFonts w:ascii="Century Schoolbook" w:eastAsia="Times New Roman" w:hAnsi="Century Schoolbook" w:cs="Times New Roman"/>
          <w:sz w:val="18"/>
          <w:szCs w:val="18"/>
          <w:lang w:eastAsia="it-IT"/>
        </w:rPr>
        <w:t xml:space="preserve">nel senso cioè di </w:t>
      </w:r>
      <w:r w:rsidR="001C3150">
        <w:rPr>
          <w:rFonts w:ascii="Century Schoolbook" w:eastAsia="Times New Roman" w:hAnsi="Century Schoolbook" w:cs="Times New Roman"/>
          <w:sz w:val="18"/>
          <w:szCs w:val="18"/>
          <w:lang w:eastAsia="it-IT"/>
        </w:rPr>
        <w:t>comprime</w:t>
      </w:r>
      <w:r w:rsidR="00926795">
        <w:rPr>
          <w:rFonts w:ascii="Century Schoolbook" w:eastAsia="Times New Roman" w:hAnsi="Century Schoolbook" w:cs="Times New Roman"/>
          <w:sz w:val="18"/>
          <w:szCs w:val="18"/>
          <w:lang w:eastAsia="it-IT"/>
        </w:rPr>
        <w:t>re</w:t>
      </w:r>
      <w:r w:rsidR="001C3150">
        <w:rPr>
          <w:rFonts w:ascii="Century Schoolbook" w:eastAsia="Times New Roman" w:hAnsi="Century Schoolbook" w:cs="Times New Roman"/>
          <w:sz w:val="18"/>
          <w:szCs w:val="18"/>
          <w:lang w:eastAsia="it-IT"/>
        </w:rPr>
        <w:t xml:space="preserve"> l’autonomia dei municipi, il cui dissenso è più facilmente superabile in conferenza di servizi.</w:t>
      </w:r>
      <w:r w:rsidR="00182F02">
        <w:rPr>
          <w:rFonts w:ascii="Century Schoolbook" w:eastAsia="Times New Roman" w:hAnsi="Century Schoolbook" w:cs="Times New Roman"/>
          <w:sz w:val="18"/>
          <w:szCs w:val="18"/>
          <w:lang w:eastAsia="it-IT"/>
        </w:rPr>
        <w:t xml:space="preserve"> </w:t>
      </w:r>
      <w:r w:rsidR="00BD57E6">
        <w:rPr>
          <w:rFonts w:ascii="Century Schoolbook" w:eastAsia="Times New Roman" w:hAnsi="Century Schoolbook" w:cs="Times New Roman"/>
          <w:sz w:val="18"/>
          <w:szCs w:val="18"/>
          <w:lang w:eastAsia="it-IT"/>
        </w:rPr>
        <w:t>È di nuovo</w:t>
      </w:r>
      <w:r w:rsidR="00BD57E6" w:rsidRPr="00BD57E6">
        <w:rPr>
          <w:rFonts w:ascii="Century Schoolbook" w:eastAsia="Times New Roman" w:hAnsi="Century Schoolbook" w:cs="Times New Roman"/>
          <w:sz w:val="18"/>
          <w:szCs w:val="18"/>
          <w:lang w:eastAsia="it-IT"/>
        </w:rPr>
        <w:t xml:space="preserve"> la Corte costituzionale a </w:t>
      </w:r>
      <w:r w:rsidR="00BD57E6">
        <w:rPr>
          <w:rFonts w:ascii="Century Schoolbook" w:eastAsia="Times New Roman" w:hAnsi="Century Schoolbook" w:cs="Times New Roman"/>
          <w:sz w:val="18"/>
          <w:szCs w:val="18"/>
          <w:lang w:eastAsia="it-IT"/>
        </w:rPr>
        <w:t>stabilire</w:t>
      </w:r>
      <w:r w:rsidR="00BD57E6" w:rsidRPr="00BD57E6">
        <w:rPr>
          <w:rFonts w:ascii="Century Schoolbook" w:eastAsia="Times New Roman" w:hAnsi="Century Schoolbook" w:cs="Times New Roman"/>
          <w:sz w:val="18"/>
          <w:szCs w:val="18"/>
          <w:lang w:eastAsia="it-IT"/>
        </w:rPr>
        <w:t xml:space="preserve"> il punto di equilib</w:t>
      </w:r>
      <w:r w:rsidR="00BD57E6">
        <w:rPr>
          <w:rFonts w:ascii="Century Schoolbook" w:eastAsia="Times New Roman" w:hAnsi="Century Schoolbook" w:cs="Times New Roman"/>
          <w:sz w:val="18"/>
          <w:szCs w:val="18"/>
          <w:lang w:eastAsia="it-IT"/>
        </w:rPr>
        <w:t xml:space="preserve">rio, muovendosi nella logica del principio di proporzionalità. L’irruzione della normazione PNRR </w:t>
      </w:r>
      <w:r w:rsidR="00553FE6">
        <w:rPr>
          <w:rFonts w:ascii="Century Schoolbook" w:eastAsia="Times New Roman" w:hAnsi="Century Schoolbook" w:cs="Times New Roman"/>
          <w:sz w:val="18"/>
          <w:szCs w:val="18"/>
          <w:lang w:eastAsia="it-IT"/>
        </w:rPr>
        <w:t xml:space="preserve">sembra disegnare </w:t>
      </w:r>
      <w:r w:rsidR="00570156">
        <w:rPr>
          <w:rFonts w:ascii="Century Schoolbook" w:eastAsia="Times New Roman" w:hAnsi="Century Schoolbook" w:cs="Times New Roman"/>
          <w:sz w:val="18"/>
          <w:szCs w:val="18"/>
          <w:lang w:eastAsia="it-IT"/>
        </w:rPr>
        <w:t xml:space="preserve">oggi </w:t>
      </w:r>
      <w:r w:rsidR="00553FE6">
        <w:rPr>
          <w:rFonts w:ascii="Century Schoolbook" w:eastAsia="Times New Roman" w:hAnsi="Century Schoolbook" w:cs="Times New Roman"/>
          <w:sz w:val="18"/>
          <w:szCs w:val="18"/>
          <w:lang w:eastAsia="it-IT"/>
        </w:rPr>
        <w:t xml:space="preserve">un assetto </w:t>
      </w:r>
      <w:r>
        <w:rPr>
          <w:rFonts w:ascii="Century Schoolbook" w:eastAsia="Times New Roman" w:hAnsi="Century Schoolbook" w:cs="Times New Roman"/>
          <w:sz w:val="18"/>
          <w:szCs w:val="18"/>
          <w:lang w:eastAsia="it-IT"/>
        </w:rPr>
        <w:t xml:space="preserve">molto più </w:t>
      </w:r>
      <w:r w:rsidR="00B47A5B">
        <w:rPr>
          <w:rFonts w:ascii="Century Schoolbook" w:eastAsia="Times New Roman" w:hAnsi="Century Schoolbook" w:cs="Times New Roman"/>
          <w:sz w:val="18"/>
          <w:szCs w:val="18"/>
          <w:lang w:eastAsia="it-IT"/>
        </w:rPr>
        <w:t>improntato al principio di unicità</w:t>
      </w:r>
      <w:r w:rsidR="00C74992">
        <w:rPr>
          <w:rFonts w:ascii="Century Schoolbook" w:eastAsia="Times New Roman" w:hAnsi="Century Schoolbook" w:cs="Times New Roman"/>
          <w:sz w:val="18"/>
          <w:szCs w:val="18"/>
          <w:lang w:eastAsia="it-IT"/>
        </w:rPr>
        <w:t>, sia pure con i dubbi residui circa la nuova disciplina del PAUR.</w:t>
      </w:r>
      <w:r w:rsidR="00553FE6">
        <w:rPr>
          <w:rFonts w:ascii="Century Schoolbook" w:eastAsia="Times New Roman" w:hAnsi="Century Schoolbook" w:cs="Times New Roman"/>
          <w:sz w:val="18"/>
          <w:szCs w:val="18"/>
          <w:lang w:eastAsia="it-IT"/>
        </w:rPr>
        <w:t xml:space="preserve"> </w:t>
      </w:r>
      <w:r w:rsidR="00C74992">
        <w:rPr>
          <w:rFonts w:ascii="Century Schoolbook" w:eastAsia="Times New Roman" w:hAnsi="Century Schoolbook" w:cs="Times New Roman"/>
          <w:sz w:val="18"/>
          <w:szCs w:val="18"/>
          <w:lang w:eastAsia="it-IT"/>
        </w:rPr>
        <w:t xml:space="preserve">Il timore, adesso, è </w:t>
      </w:r>
      <w:r>
        <w:rPr>
          <w:rFonts w:ascii="Century Schoolbook" w:eastAsia="Times New Roman" w:hAnsi="Century Schoolbook" w:cs="Times New Roman"/>
          <w:sz w:val="18"/>
          <w:szCs w:val="18"/>
          <w:lang w:eastAsia="it-IT"/>
        </w:rPr>
        <w:t>che si affermi</w:t>
      </w:r>
      <w:r w:rsidR="00570156">
        <w:rPr>
          <w:rFonts w:ascii="Century Schoolbook" w:eastAsia="Times New Roman" w:hAnsi="Century Schoolbook" w:cs="Times New Roman"/>
          <w:sz w:val="18"/>
          <w:szCs w:val="18"/>
          <w:lang w:eastAsia="it-IT"/>
        </w:rPr>
        <w:t xml:space="preserve"> un </w:t>
      </w:r>
      <w:r>
        <w:rPr>
          <w:rFonts w:ascii="Century Schoolbook" w:eastAsia="Times New Roman" w:hAnsi="Century Schoolbook" w:cs="Times New Roman"/>
          <w:sz w:val="18"/>
          <w:szCs w:val="18"/>
          <w:lang w:eastAsia="it-IT"/>
        </w:rPr>
        <w:t>unicismo</w:t>
      </w:r>
      <w:r w:rsidR="00570156">
        <w:rPr>
          <w:rFonts w:ascii="Century Schoolbook" w:eastAsia="Times New Roman" w:hAnsi="Century Schoolbook" w:cs="Times New Roman"/>
          <w:sz w:val="18"/>
          <w:szCs w:val="18"/>
          <w:lang w:eastAsia="it-IT"/>
        </w:rPr>
        <w:t xml:space="preserve"> assiologico il quale – pur asserendo d’esser coerente con le istanze di tutela ambientale ed ecologica – persegua in realtà finalità di profitto.  </w:t>
      </w:r>
    </w:p>
    <w:p w14:paraId="37862DE4" w14:textId="5EA111F5" w:rsidR="005E73B1" w:rsidRPr="005E73B1" w:rsidRDefault="005E73B1" w:rsidP="00EA45B7">
      <w:pPr>
        <w:spacing w:before="100" w:beforeAutospacing="1" w:after="100" w:afterAutospacing="1"/>
        <w:jc w:val="both"/>
        <w:rPr>
          <w:rFonts w:ascii="Century Schoolbook" w:eastAsia="Times New Roman" w:hAnsi="Century Schoolbook" w:cs="Times New Roman"/>
          <w:sz w:val="18"/>
          <w:szCs w:val="18"/>
          <w:lang w:val="en-GB" w:eastAsia="it-IT"/>
        </w:rPr>
      </w:pPr>
      <w:r w:rsidRPr="005E73B1">
        <w:rPr>
          <w:rFonts w:ascii="Century Schoolbook" w:eastAsia="Times New Roman" w:hAnsi="Century Schoolbook" w:cs="Times New Roman"/>
          <w:b/>
          <w:bCs/>
          <w:sz w:val="18"/>
          <w:szCs w:val="18"/>
          <w:lang w:val="en-US" w:eastAsia="it-IT"/>
        </w:rPr>
        <w:t>Abstract</w:t>
      </w:r>
      <w:r w:rsidRPr="005E73B1">
        <w:rPr>
          <w:rFonts w:ascii="Century Schoolbook" w:eastAsia="Times New Roman" w:hAnsi="Century Schoolbook" w:cs="Times New Roman"/>
          <w:sz w:val="18"/>
          <w:szCs w:val="18"/>
          <w:lang w:val="en-US" w:eastAsia="it-IT"/>
        </w:rPr>
        <w:t>:</w:t>
      </w:r>
      <w:r w:rsidRPr="005E73B1">
        <w:rPr>
          <w:rFonts w:ascii="Century Schoolbook" w:eastAsia="Times New Roman" w:hAnsi="Century Schoolbook" w:cs="Times New Roman"/>
          <w:b/>
          <w:bCs/>
          <w:sz w:val="18"/>
          <w:szCs w:val="18"/>
          <w:lang w:val="en-US" w:eastAsia="it-IT"/>
        </w:rPr>
        <w:t xml:space="preserve"> </w:t>
      </w:r>
      <w:r w:rsidR="00EA45B7" w:rsidRPr="00DA1BE3">
        <w:rPr>
          <w:rFonts w:ascii="Century Schoolbook" w:eastAsia="Times New Roman" w:hAnsi="Century Schoolbook" w:cs="Times New Roman"/>
          <w:sz w:val="18"/>
          <w:szCs w:val="18"/>
          <w:lang w:val="en-GB" w:eastAsia="it-IT"/>
        </w:rPr>
        <w:t>For a long time now, the Italian legal system has been pursuing the dream of a single procedure within which the final decision relevant to territorial government is made, especially with regard to specific measures. After the Cons</w:t>
      </w:r>
      <w:r w:rsidR="002A09AD" w:rsidRPr="00DA1BE3">
        <w:rPr>
          <w:rFonts w:ascii="Century Schoolbook" w:eastAsia="Times New Roman" w:hAnsi="Century Schoolbook" w:cs="Times New Roman"/>
          <w:sz w:val="18"/>
          <w:szCs w:val="18"/>
          <w:lang w:val="en-GB" w:eastAsia="it-IT"/>
        </w:rPr>
        <w:t>titutional Court</w:t>
      </w:r>
      <w:r w:rsidR="00DA1BE3" w:rsidRPr="00DA1BE3">
        <w:rPr>
          <w:rFonts w:ascii="Century Schoolbook" w:eastAsia="Times New Roman" w:hAnsi="Century Schoolbook" w:cs="Times New Roman"/>
          <w:sz w:val="18"/>
          <w:szCs w:val="18"/>
          <w:lang w:val="en-GB" w:eastAsia="it-IT"/>
        </w:rPr>
        <w:t>’</w:t>
      </w:r>
      <w:r w:rsidR="00EA45B7" w:rsidRPr="00DA1BE3">
        <w:rPr>
          <w:rFonts w:ascii="Century Schoolbook" w:eastAsia="Times New Roman" w:hAnsi="Century Schoolbook" w:cs="Times New Roman"/>
          <w:sz w:val="18"/>
          <w:szCs w:val="18"/>
          <w:lang w:val="en-GB" w:eastAsia="it-IT"/>
        </w:rPr>
        <w:t>s intervention, the attempt to construct the model by entrusting it to the municipalities in an anti-regionalist sense was thwarted, and law soon moved in the opposite direction, restricting the autonomy of the municipalities, whose dissent is easier to overcome in the services conference. Once again, the Constitutional Court established the balance</w:t>
      </w:r>
      <w:r w:rsidR="002A09AD" w:rsidRPr="00DA1BE3">
        <w:rPr>
          <w:rFonts w:ascii="Century Schoolbook" w:eastAsia="Times New Roman" w:hAnsi="Century Schoolbook" w:cs="Times New Roman"/>
          <w:sz w:val="18"/>
          <w:szCs w:val="18"/>
          <w:lang w:val="en-GB" w:eastAsia="it-IT"/>
        </w:rPr>
        <w:t xml:space="preserve"> point</w:t>
      </w:r>
      <w:r w:rsidR="00EA45B7" w:rsidRPr="00DA1BE3">
        <w:rPr>
          <w:rFonts w:ascii="Century Schoolbook" w:eastAsia="Times New Roman" w:hAnsi="Century Schoolbook" w:cs="Times New Roman"/>
          <w:sz w:val="18"/>
          <w:szCs w:val="18"/>
          <w:lang w:val="en-GB" w:eastAsia="it-IT"/>
        </w:rPr>
        <w:t>, in line with the principle of proportionality. The irruption of the PNRR regulation now seems to draw a s</w:t>
      </w:r>
      <w:r w:rsidR="002A09AD" w:rsidRPr="00DA1BE3">
        <w:rPr>
          <w:rFonts w:ascii="Century Schoolbook" w:eastAsia="Times New Roman" w:hAnsi="Century Schoolbook" w:cs="Times New Roman"/>
          <w:sz w:val="18"/>
          <w:szCs w:val="18"/>
          <w:lang w:val="en-GB" w:eastAsia="it-IT"/>
        </w:rPr>
        <w:t>ystem</w:t>
      </w:r>
      <w:r w:rsidR="00EA45B7" w:rsidRPr="00DA1BE3">
        <w:rPr>
          <w:rFonts w:ascii="Century Schoolbook" w:eastAsia="Times New Roman" w:hAnsi="Century Schoolbook" w:cs="Times New Roman"/>
          <w:sz w:val="18"/>
          <w:szCs w:val="18"/>
          <w:lang w:val="en-GB" w:eastAsia="it-IT"/>
        </w:rPr>
        <w:t xml:space="preserve"> much more marked by the principle of uniqueness, albeit with the remaining doubts about the new discipline of the PAUR. The fear, now, is that an axiological unicism will be affirmed which </w:t>
      </w:r>
      <w:r w:rsidR="002A09AD" w:rsidRPr="00DA1BE3">
        <w:rPr>
          <w:rFonts w:ascii="Century Schoolbook" w:eastAsia="Times New Roman" w:hAnsi="Century Schoolbook" w:cs="Times New Roman"/>
          <w:sz w:val="18"/>
          <w:szCs w:val="18"/>
          <w:lang w:val="en-GB" w:eastAsia="it-IT"/>
        </w:rPr>
        <w:t>–</w:t>
      </w:r>
      <w:r w:rsidR="00EA45B7" w:rsidRPr="00DA1BE3">
        <w:rPr>
          <w:rFonts w:ascii="Century Schoolbook" w:eastAsia="Times New Roman" w:hAnsi="Century Schoolbook" w:cs="Times New Roman"/>
          <w:sz w:val="18"/>
          <w:szCs w:val="18"/>
          <w:lang w:val="en-GB" w:eastAsia="it-IT"/>
        </w:rPr>
        <w:t xml:space="preserve"> while claiming to be consistent with the demands of environmental and ecological protection </w:t>
      </w:r>
      <w:r w:rsidR="002A09AD" w:rsidRPr="00DA1BE3">
        <w:rPr>
          <w:rFonts w:ascii="Century Schoolbook" w:eastAsia="Times New Roman" w:hAnsi="Century Schoolbook" w:cs="Times New Roman"/>
          <w:sz w:val="18"/>
          <w:szCs w:val="18"/>
          <w:lang w:val="en-GB" w:eastAsia="it-IT"/>
        </w:rPr>
        <w:t>–</w:t>
      </w:r>
      <w:r w:rsidR="00EA45B7" w:rsidRPr="00DA1BE3">
        <w:rPr>
          <w:rFonts w:ascii="Century Schoolbook" w:eastAsia="Times New Roman" w:hAnsi="Century Schoolbook" w:cs="Times New Roman"/>
          <w:sz w:val="18"/>
          <w:szCs w:val="18"/>
          <w:lang w:val="en-GB" w:eastAsia="it-IT"/>
        </w:rPr>
        <w:t xml:space="preserve"> </w:t>
      </w:r>
      <w:r w:rsidR="002A09AD" w:rsidRPr="00DA1BE3">
        <w:rPr>
          <w:rFonts w:ascii="Century Schoolbook" w:eastAsia="Times New Roman" w:hAnsi="Century Schoolbook" w:cs="Times New Roman"/>
          <w:sz w:val="18"/>
          <w:szCs w:val="18"/>
          <w:lang w:val="en-GB" w:eastAsia="it-IT"/>
        </w:rPr>
        <w:t>re</w:t>
      </w:r>
      <w:r w:rsidR="00EA45B7" w:rsidRPr="00DA1BE3">
        <w:rPr>
          <w:rFonts w:ascii="Century Schoolbook" w:eastAsia="Times New Roman" w:hAnsi="Century Schoolbook" w:cs="Times New Roman"/>
          <w:sz w:val="18"/>
          <w:szCs w:val="18"/>
          <w:lang w:val="en-GB" w:eastAsia="it-IT"/>
        </w:rPr>
        <w:t xml:space="preserve">ally pursues the goal of profit.  </w:t>
      </w:r>
    </w:p>
    <w:p w14:paraId="3BC7AB40" w14:textId="0BB29594" w:rsidR="005E73B1" w:rsidRPr="003A5A9D" w:rsidRDefault="005E73B1" w:rsidP="0085773E">
      <w:pPr>
        <w:spacing w:before="100" w:beforeAutospacing="1" w:after="100" w:afterAutospacing="1"/>
        <w:jc w:val="both"/>
        <w:rPr>
          <w:rFonts w:ascii="Century Schoolbook" w:eastAsia="Times New Roman" w:hAnsi="Century Schoolbook" w:cs="Times New Roman"/>
          <w:sz w:val="18"/>
          <w:szCs w:val="18"/>
          <w:lang w:eastAsia="it-IT"/>
        </w:rPr>
      </w:pPr>
      <w:r w:rsidRPr="005E73B1">
        <w:rPr>
          <w:rFonts w:ascii="Century Schoolbook" w:eastAsia="Times New Roman" w:hAnsi="Century Schoolbook" w:cs="Times New Roman"/>
          <w:b/>
          <w:bCs/>
          <w:sz w:val="18"/>
          <w:szCs w:val="18"/>
          <w:lang w:eastAsia="it-IT"/>
        </w:rPr>
        <w:t>Parole chiave</w:t>
      </w:r>
      <w:r w:rsidRPr="005E73B1">
        <w:rPr>
          <w:rFonts w:ascii="Century Schoolbook" w:eastAsia="Times New Roman" w:hAnsi="Century Schoolbook" w:cs="Times New Roman"/>
          <w:sz w:val="18"/>
          <w:szCs w:val="18"/>
          <w:lang w:eastAsia="it-IT"/>
        </w:rPr>
        <w:t>:</w:t>
      </w:r>
      <w:r w:rsidRPr="005E73B1">
        <w:rPr>
          <w:rFonts w:ascii="Century Schoolbook" w:eastAsia="Times New Roman" w:hAnsi="Century Schoolbook" w:cs="Times New Roman"/>
          <w:b/>
          <w:bCs/>
          <w:sz w:val="18"/>
          <w:szCs w:val="18"/>
          <w:lang w:eastAsia="it-IT"/>
        </w:rPr>
        <w:t xml:space="preserve"> </w:t>
      </w:r>
      <w:r w:rsidR="00EA45B7" w:rsidRPr="00EA45B7">
        <w:rPr>
          <w:rFonts w:ascii="Century Schoolbook" w:eastAsia="Times New Roman" w:hAnsi="Century Schoolbook" w:cs="Times New Roman"/>
          <w:sz w:val="18"/>
          <w:szCs w:val="18"/>
          <w:lang w:eastAsia="it-IT"/>
        </w:rPr>
        <w:t xml:space="preserve">governo del territorio; </w:t>
      </w:r>
      <w:r w:rsidR="00EA45B7">
        <w:rPr>
          <w:rFonts w:ascii="Century Schoolbook" w:eastAsia="Times New Roman" w:hAnsi="Century Schoolbook" w:cs="Times New Roman"/>
          <w:sz w:val="18"/>
          <w:szCs w:val="18"/>
          <w:lang w:eastAsia="it-IT"/>
        </w:rPr>
        <w:t xml:space="preserve">principio di unicità procedimentale; </w:t>
      </w:r>
      <w:r w:rsidR="00DA1BE3">
        <w:rPr>
          <w:rFonts w:ascii="Century Schoolbook" w:eastAsia="Times New Roman" w:hAnsi="Century Schoolbook" w:cs="Times New Roman"/>
          <w:sz w:val="18"/>
          <w:szCs w:val="18"/>
          <w:lang w:eastAsia="it-IT"/>
        </w:rPr>
        <w:t>nucleo essenziale del potere pianificatorio comunale; normazione PNRR; pseudo-ambientalismo</w:t>
      </w:r>
      <w:r w:rsidR="00C56781">
        <w:rPr>
          <w:rFonts w:ascii="Century Schoolbook" w:eastAsia="Times New Roman" w:hAnsi="Century Schoolbook" w:cs="Times New Roman"/>
          <w:sz w:val="18"/>
          <w:szCs w:val="18"/>
          <w:lang w:eastAsia="it-IT"/>
        </w:rPr>
        <w:t>.</w:t>
      </w:r>
      <w:r w:rsidRPr="005E73B1">
        <w:rPr>
          <w:rFonts w:ascii="Century Schoolbook" w:eastAsia="Times New Roman" w:hAnsi="Century Schoolbook" w:cs="Times New Roman"/>
          <w:sz w:val="18"/>
          <w:szCs w:val="18"/>
          <w:lang w:eastAsia="it-IT"/>
        </w:rPr>
        <w:t xml:space="preserve"> </w:t>
      </w:r>
    </w:p>
    <w:p w14:paraId="319B423F" w14:textId="223FFBFB" w:rsidR="005E73B1" w:rsidRPr="005E73B1" w:rsidRDefault="005E73B1" w:rsidP="0085773E">
      <w:pPr>
        <w:spacing w:before="100" w:beforeAutospacing="1" w:after="100" w:afterAutospacing="1"/>
        <w:jc w:val="both"/>
        <w:rPr>
          <w:rFonts w:ascii="Century Schoolbook" w:eastAsia="Times New Roman" w:hAnsi="Century Schoolbook" w:cs="Times New Roman"/>
          <w:sz w:val="18"/>
          <w:szCs w:val="18"/>
          <w:lang w:val="en-GB" w:eastAsia="it-IT"/>
        </w:rPr>
      </w:pPr>
      <w:r w:rsidRPr="005E73B1">
        <w:rPr>
          <w:rFonts w:ascii="Century Schoolbook" w:eastAsia="Times New Roman" w:hAnsi="Century Schoolbook" w:cs="Times New Roman"/>
          <w:b/>
          <w:bCs/>
          <w:sz w:val="18"/>
          <w:szCs w:val="18"/>
          <w:lang w:val="en-US" w:eastAsia="it-IT"/>
        </w:rPr>
        <w:t>Keywords</w:t>
      </w:r>
      <w:r w:rsidRPr="005E73B1">
        <w:rPr>
          <w:rFonts w:ascii="Century Schoolbook" w:eastAsia="Times New Roman" w:hAnsi="Century Schoolbook" w:cs="Times New Roman"/>
          <w:sz w:val="18"/>
          <w:szCs w:val="18"/>
          <w:lang w:val="en-US" w:eastAsia="it-IT"/>
        </w:rPr>
        <w:t>:</w:t>
      </w:r>
      <w:r w:rsidRPr="005E73B1">
        <w:rPr>
          <w:rFonts w:ascii="Century Schoolbook" w:eastAsia="Times New Roman" w:hAnsi="Century Schoolbook" w:cs="Times New Roman"/>
          <w:b/>
          <w:bCs/>
          <w:sz w:val="18"/>
          <w:szCs w:val="18"/>
          <w:lang w:val="en-US" w:eastAsia="it-IT"/>
        </w:rPr>
        <w:t xml:space="preserve"> </w:t>
      </w:r>
      <w:r w:rsidR="00DA1BE3" w:rsidRPr="00DA1BE3">
        <w:rPr>
          <w:rFonts w:ascii="Century Schoolbook" w:eastAsia="Times New Roman" w:hAnsi="Century Schoolbook" w:cs="Times New Roman"/>
          <w:sz w:val="18"/>
          <w:szCs w:val="18"/>
          <w:lang w:val="en-GB" w:eastAsia="it-IT"/>
        </w:rPr>
        <w:t>territorial government; principle of procedural uniqueness; essential core of municipal planning power; PNRR regulation; pseudo-environmentalism.</w:t>
      </w:r>
    </w:p>
    <w:p w14:paraId="7AAEF665" w14:textId="77777777" w:rsidR="00497293" w:rsidRPr="005E73B1" w:rsidRDefault="00497293" w:rsidP="002B4988">
      <w:pPr>
        <w:spacing w:line="360" w:lineRule="auto"/>
        <w:ind w:firstLine="709"/>
        <w:contextualSpacing/>
        <w:jc w:val="both"/>
        <w:rPr>
          <w:rFonts w:ascii="Century Schoolbook" w:eastAsia="Times New Roman" w:hAnsi="Century Schoolbook" w:cs="Times New Roman"/>
          <w:smallCaps/>
          <w:sz w:val="22"/>
          <w:szCs w:val="22"/>
          <w:lang w:val="en-US" w:eastAsia="it-IT"/>
        </w:rPr>
      </w:pPr>
    </w:p>
    <w:p w14:paraId="3C6C7AD3" w14:textId="77777777" w:rsidR="00DD1F82" w:rsidRDefault="00DD1F82" w:rsidP="00DD1F82">
      <w:pPr>
        <w:spacing w:line="360" w:lineRule="auto"/>
        <w:ind w:left="709" w:hanging="709"/>
        <w:contextualSpacing/>
        <w:jc w:val="both"/>
        <w:rPr>
          <w:rFonts w:ascii="Century Schoolbook" w:eastAsia="Times New Roman" w:hAnsi="Century Schoolbook" w:cs="Times New Roman"/>
          <w:smallCaps/>
          <w:sz w:val="18"/>
          <w:szCs w:val="18"/>
          <w:lang w:eastAsia="it-IT"/>
        </w:rPr>
      </w:pPr>
    </w:p>
    <w:p w14:paraId="2ADC7E32" w14:textId="643ABCDE" w:rsidR="00455056" w:rsidRPr="00DD1F82" w:rsidRDefault="0032631A" w:rsidP="00DD1F82">
      <w:pPr>
        <w:spacing w:line="360" w:lineRule="auto"/>
        <w:ind w:left="709" w:hanging="709"/>
        <w:contextualSpacing/>
        <w:jc w:val="both"/>
        <w:rPr>
          <w:rFonts w:ascii="Century Schoolbook" w:eastAsia="Times New Roman" w:hAnsi="Century Schoolbook" w:cs="Times New Roman"/>
          <w:sz w:val="18"/>
          <w:szCs w:val="18"/>
          <w:lang w:eastAsia="it-IT"/>
        </w:rPr>
      </w:pPr>
      <w:r w:rsidRPr="00DD1F82">
        <w:rPr>
          <w:rFonts w:ascii="Century Schoolbook" w:eastAsia="Times New Roman" w:hAnsi="Century Schoolbook" w:cs="Times New Roman"/>
          <w:smallCaps/>
          <w:sz w:val="18"/>
          <w:szCs w:val="18"/>
          <w:lang w:eastAsia="it-IT"/>
        </w:rPr>
        <w:t>Sommario</w:t>
      </w:r>
      <w:r w:rsidRPr="00DD1F82">
        <w:rPr>
          <w:rFonts w:ascii="Century Schoolbook" w:eastAsia="Times New Roman" w:hAnsi="Century Schoolbook" w:cs="Times New Roman"/>
          <w:sz w:val="18"/>
          <w:szCs w:val="18"/>
          <w:lang w:eastAsia="it-IT"/>
        </w:rPr>
        <w:t xml:space="preserve">: 1. Gli esordi: ascesa e tramonto dell’unicismo antiregionalista. – 2. </w:t>
      </w:r>
      <w:r w:rsidR="00B562DF" w:rsidRPr="00DD1F82">
        <w:rPr>
          <w:rFonts w:ascii="Century Schoolbook" w:eastAsia="Times New Roman" w:hAnsi="Century Schoolbook" w:cs="Times New Roman"/>
          <w:sz w:val="18"/>
          <w:szCs w:val="18"/>
          <w:lang w:eastAsia="it-IT"/>
        </w:rPr>
        <w:t>Modelli successivi e riserva comunale nel governo del territorio. – 3.</w:t>
      </w:r>
      <w:r w:rsidR="006E4307" w:rsidRPr="00DD1F82">
        <w:rPr>
          <w:rFonts w:ascii="Century Schoolbook" w:eastAsia="Times New Roman" w:hAnsi="Century Schoolbook" w:cs="Times New Roman"/>
          <w:sz w:val="18"/>
          <w:szCs w:val="18"/>
          <w:lang w:eastAsia="it-IT"/>
        </w:rPr>
        <w:t xml:space="preserve"> </w:t>
      </w:r>
      <w:r w:rsidR="006E4307" w:rsidRPr="00DD1F82">
        <w:rPr>
          <w:rFonts w:ascii="Century Schoolbook" w:hAnsi="Century Schoolbook"/>
          <w:sz w:val="18"/>
          <w:szCs w:val="18"/>
        </w:rPr>
        <w:t xml:space="preserve">Il principio di unicità nella normazione PNRR: l’occasione perduta del procedimento PAUR. – 4. </w:t>
      </w:r>
      <w:r w:rsidR="009E268A" w:rsidRPr="00DD1F82">
        <w:rPr>
          <w:rFonts w:ascii="Century Schoolbook" w:hAnsi="Century Schoolbook"/>
          <w:sz w:val="18"/>
          <w:szCs w:val="18"/>
        </w:rPr>
        <w:t>Qualcosa ancora dalla frontiera del PNRR. – 5. Tempo di chiudere</w:t>
      </w:r>
      <w:r w:rsidR="00124E83" w:rsidRPr="00DD1F82">
        <w:rPr>
          <w:rFonts w:ascii="Century Schoolbook" w:hAnsi="Century Schoolbook"/>
          <w:sz w:val="18"/>
          <w:szCs w:val="18"/>
        </w:rPr>
        <w:t>:</w:t>
      </w:r>
      <w:r w:rsidR="009E268A" w:rsidRPr="00DD1F82">
        <w:rPr>
          <w:rFonts w:ascii="Century Schoolbook" w:hAnsi="Century Schoolbook"/>
          <w:sz w:val="18"/>
          <w:szCs w:val="18"/>
        </w:rPr>
        <w:t xml:space="preserve"> </w:t>
      </w:r>
      <w:r w:rsidR="00124E83" w:rsidRPr="00DD1F82">
        <w:rPr>
          <w:rFonts w:ascii="Century Schoolbook" w:hAnsi="Century Schoolbook"/>
          <w:sz w:val="18"/>
          <w:szCs w:val="18"/>
        </w:rPr>
        <w:t>n</w:t>
      </w:r>
      <w:r w:rsidR="009E268A" w:rsidRPr="00DD1F82">
        <w:rPr>
          <w:rFonts w:ascii="Century Schoolbook" w:hAnsi="Century Schoolbook"/>
          <w:sz w:val="18"/>
          <w:szCs w:val="18"/>
        </w:rPr>
        <w:t>uovi unicismi per nuove primazie.</w:t>
      </w:r>
    </w:p>
    <w:p w14:paraId="78AA55C5" w14:textId="77777777" w:rsidR="00AC32ED" w:rsidRPr="003E01A4" w:rsidRDefault="00AC32ED" w:rsidP="002B4988">
      <w:pPr>
        <w:spacing w:line="360" w:lineRule="auto"/>
        <w:contextualSpacing/>
        <w:rPr>
          <w:rFonts w:ascii="Century Schoolbook" w:eastAsia="Times New Roman" w:hAnsi="Century Schoolbook" w:cs="Times New Roman"/>
          <w:sz w:val="22"/>
          <w:szCs w:val="22"/>
          <w:lang w:eastAsia="it-IT"/>
        </w:rPr>
      </w:pPr>
    </w:p>
    <w:p w14:paraId="48DAD8CD" w14:textId="77777777" w:rsidR="0032631A" w:rsidRPr="003E01A4" w:rsidRDefault="0032631A" w:rsidP="002B4988">
      <w:pPr>
        <w:spacing w:line="360" w:lineRule="auto"/>
        <w:ind w:firstLine="709"/>
        <w:contextualSpacing/>
        <w:jc w:val="both"/>
        <w:rPr>
          <w:rFonts w:ascii="Century Schoolbook" w:eastAsia="Times New Roman" w:hAnsi="Century Schoolbook" w:cs="Times New Roman"/>
          <w:sz w:val="22"/>
          <w:szCs w:val="22"/>
          <w:lang w:eastAsia="it-IT"/>
        </w:rPr>
      </w:pPr>
    </w:p>
    <w:p w14:paraId="4F118B0F" w14:textId="5CA4F26E" w:rsidR="00455056" w:rsidRPr="003E01A4" w:rsidRDefault="00BE4510"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1. </w:t>
      </w:r>
      <w:r w:rsidR="0032631A" w:rsidRPr="003E01A4">
        <w:rPr>
          <w:rFonts w:ascii="Century Schoolbook" w:eastAsia="Times New Roman" w:hAnsi="Century Schoolbook" w:cs="Times New Roman"/>
          <w:i/>
          <w:iCs/>
          <w:sz w:val="22"/>
          <w:szCs w:val="22"/>
          <w:lang w:eastAsia="it-IT"/>
        </w:rPr>
        <w:t>Gli esordi: ascesa e tramonto dell’unicismo antiregionalista.</w:t>
      </w:r>
      <w:r w:rsidR="0032631A" w:rsidRPr="003E01A4">
        <w:rPr>
          <w:rFonts w:ascii="Century Schoolbook" w:eastAsia="Times New Roman" w:hAnsi="Century Schoolbook" w:cs="Times New Roman"/>
          <w:sz w:val="22"/>
          <w:szCs w:val="22"/>
          <w:lang w:eastAsia="it-IT"/>
        </w:rPr>
        <w:t xml:space="preserve"> – </w:t>
      </w:r>
      <w:r w:rsidR="00273F23" w:rsidRPr="003E01A4">
        <w:rPr>
          <w:rFonts w:ascii="Century Schoolbook" w:eastAsia="Times New Roman" w:hAnsi="Century Schoolbook" w:cs="Times New Roman"/>
          <w:sz w:val="22"/>
          <w:szCs w:val="22"/>
          <w:lang w:eastAsia="it-IT"/>
        </w:rPr>
        <w:t>Era</w:t>
      </w:r>
      <w:r w:rsidR="00543AEB" w:rsidRPr="003E01A4">
        <w:rPr>
          <w:rFonts w:ascii="Century Schoolbook" w:eastAsia="Times New Roman" w:hAnsi="Century Schoolbook" w:cs="Times New Roman"/>
          <w:sz w:val="22"/>
          <w:szCs w:val="22"/>
          <w:lang w:eastAsia="it-IT"/>
        </w:rPr>
        <w:t xml:space="preserve"> l</w:t>
      </w:r>
      <w:r w:rsidR="00D41A8B" w:rsidRPr="003E01A4">
        <w:rPr>
          <w:rFonts w:ascii="Century Schoolbook" w:eastAsia="Times New Roman" w:hAnsi="Century Schoolbook" w:cs="Times New Roman"/>
          <w:sz w:val="22"/>
          <w:szCs w:val="22"/>
          <w:lang w:eastAsia="it-IT"/>
        </w:rPr>
        <w:t>a meta sognata</w:t>
      </w:r>
      <w:r w:rsidR="00543AEB" w:rsidRPr="003E01A4">
        <w:rPr>
          <w:rFonts w:ascii="Century Schoolbook" w:eastAsia="Times New Roman" w:hAnsi="Century Schoolbook" w:cs="Times New Roman"/>
          <w:sz w:val="22"/>
          <w:szCs w:val="22"/>
          <w:lang w:eastAsia="it-IT"/>
        </w:rPr>
        <w:t>,</w:t>
      </w:r>
      <w:r w:rsidR="00D41A8B" w:rsidRPr="003E01A4">
        <w:rPr>
          <w:rFonts w:ascii="Century Schoolbook" w:eastAsia="Times New Roman" w:hAnsi="Century Schoolbook" w:cs="Times New Roman"/>
          <w:sz w:val="22"/>
          <w:szCs w:val="22"/>
          <w:lang w:eastAsia="it-IT"/>
        </w:rPr>
        <w:t xml:space="preserve"> forse inattingibile</w:t>
      </w:r>
      <w:r w:rsidR="00054E54" w:rsidRPr="003E01A4">
        <w:rPr>
          <w:rFonts w:ascii="Century Schoolbook" w:eastAsia="Times New Roman" w:hAnsi="Century Schoolbook" w:cs="Times New Roman"/>
          <w:sz w:val="22"/>
          <w:szCs w:val="22"/>
          <w:lang w:eastAsia="it-IT"/>
        </w:rPr>
        <w:t>: «molto di là da venire»</w:t>
      </w:r>
      <w:r w:rsidR="00455056" w:rsidRPr="003E01A4">
        <w:rPr>
          <w:rFonts w:ascii="Century Schoolbook" w:eastAsia="Times New Roman" w:hAnsi="Century Schoolbook" w:cs="Times New Roman"/>
          <w:sz w:val="22"/>
          <w:szCs w:val="22"/>
          <w:lang w:eastAsia="it-IT"/>
        </w:rPr>
        <w:t>, per riprendere il Gozzano del titolo.</w:t>
      </w:r>
    </w:p>
    <w:p w14:paraId="1E197987" w14:textId="3EF54A97" w:rsidR="00543AEB" w:rsidRPr="003E01A4" w:rsidRDefault="00054E54"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Quella parola – </w:t>
      </w:r>
      <w:r w:rsidR="00162818"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unicità</w:t>
      </w:r>
      <w:r w:rsidR="00162818"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 xml:space="preserve"> –</w:t>
      </w:r>
      <w:r w:rsidR="00D41A8B" w:rsidRPr="003E01A4">
        <w:rPr>
          <w:rFonts w:ascii="Century Schoolbook" w:eastAsia="Times New Roman" w:hAnsi="Century Schoolbook" w:cs="Times New Roman"/>
          <w:sz w:val="22"/>
          <w:szCs w:val="22"/>
          <w:lang w:eastAsia="it-IT"/>
        </w:rPr>
        <w:t xml:space="preserve"> continua a</w:t>
      </w:r>
      <w:r w:rsidR="00543AEB" w:rsidRPr="003E01A4">
        <w:rPr>
          <w:rFonts w:ascii="Century Schoolbook" w:eastAsia="Times New Roman" w:hAnsi="Century Schoolbook" w:cs="Times New Roman"/>
          <w:sz w:val="22"/>
          <w:szCs w:val="22"/>
          <w:lang w:eastAsia="it-IT"/>
        </w:rPr>
        <w:t xml:space="preserve"> innamorare</w:t>
      </w:r>
      <w:r w:rsidR="00D41A8B" w:rsidRPr="003E01A4">
        <w:rPr>
          <w:rFonts w:ascii="Century Schoolbook" w:eastAsia="Times New Roman" w:hAnsi="Century Schoolbook" w:cs="Times New Roman"/>
          <w:sz w:val="22"/>
          <w:szCs w:val="22"/>
          <w:lang w:eastAsia="it-IT"/>
        </w:rPr>
        <w:t xml:space="preserve"> i giuristi, sopra tutto </w:t>
      </w:r>
      <w:r w:rsidR="00AA2C31" w:rsidRPr="003E01A4">
        <w:rPr>
          <w:rFonts w:ascii="Century Schoolbook" w:eastAsia="Times New Roman" w:hAnsi="Century Schoolbook" w:cs="Times New Roman"/>
          <w:sz w:val="22"/>
          <w:szCs w:val="22"/>
          <w:lang w:eastAsia="it-IT"/>
        </w:rPr>
        <w:t>se</w:t>
      </w:r>
      <w:r w:rsidR="00D41A8B" w:rsidRPr="003E01A4">
        <w:rPr>
          <w:rFonts w:ascii="Century Schoolbook" w:eastAsia="Times New Roman" w:hAnsi="Century Schoolbook" w:cs="Times New Roman"/>
          <w:sz w:val="22"/>
          <w:szCs w:val="22"/>
          <w:lang w:eastAsia="it-IT"/>
        </w:rPr>
        <w:t xml:space="preserve"> prossimi ai mutevoli detentori del potere. </w:t>
      </w:r>
    </w:p>
    <w:p w14:paraId="5257F041" w14:textId="05D20533" w:rsidR="00543AEB" w:rsidRPr="003E01A4" w:rsidRDefault="00543AE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lastRenderedPageBreak/>
        <w:t xml:space="preserve">Sorvoliamo qui sui suoi ascendenti, animati dalla stessa ragion d’essere: </w:t>
      </w:r>
      <w:r w:rsidR="00273F23" w:rsidRPr="003E01A4">
        <w:rPr>
          <w:rFonts w:ascii="Century Schoolbook" w:eastAsia="Times New Roman" w:hAnsi="Century Schoolbook" w:cs="Times New Roman"/>
          <w:sz w:val="22"/>
          <w:szCs w:val="22"/>
          <w:lang w:eastAsia="it-IT"/>
        </w:rPr>
        <w:t xml:space="preserve">i </w:t>
      </w:r>
      <w:r w:rsidRPr="003E01A4">
        <w:rPr>
          <w:rFonts w:ascii="Century Schoolbook" w:eastAsia="Times New Roman" w:hAnsi="Century Schoolbook" w:cs="Times New Roman"/>
          <w:sz w:val="22"/>
          <w:szCs w:val="22"/>
          <w:lang w:eastAsia="it-IT"/>
        </w:rPr>
        <w:t>tormentatissimi procedimenti conferenziali di cui alla l. n. 241/’90.</w:t>
      </w:r>
    </w:p>
    <w:p w14:paraId="7B696183" w14:textId="6782277F" w:rsidR="004E64B3" w:rsidRPr="003E01A4" w:rsidRDefault="00543AE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La storia di questa fascinazione italiana facciamola allora </w:t>
      </w:r>
      <w:r w:rsidR="000C63B3" w:rsidRPr="003E01A4">
        <w:rPr>
          <w:rFonts w:ascii="Century Schoolbook" w:eastAsia="Times New Roman" w:hAnsi="Century Schoolbook" w:cs="Times New Roman"/>
          <w:sz w:val="22"/>
          <w:szCs w:val="22"/>
          <w:lang w:eastAsia="it-IT"/>
        </w:rPr>
        <w:t>principiare</w:t>
      </w:r>
      <w:r w:rsidRPr="003E01A4">
        <w:rPr>
          <w:rFonts w:ascii="Century Schoolbook" w:eastAsia="Times New Roman" w:hAnsi="Century Schoolbook" w:cs="Times New Roman"/>
          <w:sz w:val="22"/>
          <w:szCs w:val="22"/>
          <w:lang w:eastAsia="it-IT"/>
        </w:rPr>
        <w:t xml:space="preserve"> più o meno </w:t>
      </w:r>
      <w:r w:rsidR="00927859" w:rsidRPr="003E01A4">
        <w:rPr>
          <w:rFonts w:ascii="Century Schoolbook" w:eastAsia="Times New Roman" w:hAnsi="Century Schoolbook" w:cs="Times New Roman"/>
          <w:sz w:val="22"/>
          <w:szCs w:val="22"/>
          <w:lang w:eastAsia="it-IT"/>
        </w:rPr>
        <w:t>ne</w:t>
      </w:r>
      <w:r w:rsidRPr="003E01A4">
        <w:rPr>
          <w:rFonts w:ascii="Century Schoolbook" w:eastAsia="Times New Roman" w:hAnsi="Century Schoolbook" w:cs="Times New Roman"/>
          <w:sz w:val="22"/>
          <w:szCs w:val="22"/>
          <w:lang w:eastAsia="it-IT"/>
        </w:rPr>
        <w:t xml:space="preserve">gli </w:t>
      </w:r>
      <w:r w:rsidR="000C63B3" w:rsidRPr="003E01A4">
        <w:rPr>
          <w:rFonts w:ascii="Century Schoolbook" w:eastAsia="Times New Roman" w:hAnsi="Century Schoolbook" w:cs="Times New Roman"/>
          <w:sz w:val="22"/>
          <w:szCs w:val="22"/>
          <w:lang w:eastAsia="it-IT"/>
        </w:rPr>
        <w:t xml:space="preserve">ultimi </w:t>
      </w:r>
      <w:r w:rsidRPr="003E01A4">
        <w:rPr>
          <w:rFonts w:ascii="Century Schoolbook" w:eastAsia="Times New Roman" w:hAnsi="Century Schoolbook" w:cs="Times New Roman"/>
          <w:sz w:val="22"/>
          <w:szCs w:val="22"/>
          <w:lang w:eastAsia="it-IT"/>
        </w:rPr>
        <w:t>anni ’90</w:t>
      </w:r>
      <w:r w:rsidR="00927859" w:rsidRPr="003E01A4">
        <w:rPr>
          <w:rFonts w:ascii="Century Schoolbook" w:eastAsia="Times New Roman" w:hAnsi="Century Schoolbook" w:cs="Times New Roman"/>
          <w:sz w:val="22"/>
          <w:szCs w:val="22"/>
          <w:lang w:eastAsia="it-IT"/>
        </w:rPr>
        <w:t xml:space="preserve">, con la </w:t>
      </w:r>
      <w:r w:rsidR="004E64B3" w:rsidRPr="003E01A4">
        <w:rPr>
          <w:rFonts w:ascii="Century Schoolbook" w:eastAsia="Times New Roman" w:hAnsi="Century Schoolbook" w:cs="Times New Roman"/>
          <w:sz w:val="22"/>
          <w:szCs w:val="22"/>
          <w:lang w:eastAsia="it-IT"/>
        </w:rPr>
        <w:t xml:space="preserve">celebre </w:t>
      </w:r>
      <w:r w:rsidR="00927859" w:rsidRPr="003E01A4">
        <w:rPr>
          <w:rFonts w:ascii="Century Schoolbook" w:eastAsia="Times New Roman" w:hAnsi="Century Schoolbook" w:cs="Times New Roman"/>
          <w:sz w:val="22"/>
          <w:szCs w:val="22"/>
          <w:lang w:eastAsia="it-IT"/>
        </w:rPr>
        <w:t xml:space="preserve">l. </w:t>
      </w:r>
      <w:r w:rsidR="00273F23" w:rsidRPr="003E01A4">
        <w:rPr>
          <w:rFonts w:ascii="Century Schoolbook" w:eastAsia="Times New Roman" w:hAnsi="Century Schoolbook" w:cs="Times New Roman"/>
          <w:sz w:val="22"/>
          <w:szCs w:val="22"/>
          <w:lang w:eastAsia="it-IT"/>
        </w:rPr>
        <w:t xml:space="preserve">15 marzo 1997, </w:t>
      </w:r>
      <w:r w:rsidR="00927859" w:rsidRPr="003E01A4">
        <w:rPr>
          <w:rFonts w:ascii="Century Schoolbook" w:eastAsia="Times New Roman" w:hAnsi="Century Schoolbook" w:cs="Times New Roman"/>
          <w:sz w:val="22"/>
          <w:szCs w:val="22"/>
          <w:lang w:eastAsia="it-IT"/>
        </w:rPr>
        <w:t>n. 59</w:t>
      </w:r>
      <w:r w:rsidR="00ED6A15" w:rsidRPr="003E01A4">
        <w:rPr>
          <w:rFonts w:ascii="Century Schoolbook" w:eastAsia="Times New Roman" w:hAnsi="Century Schoolbook" w:cs="Times New Roman"/>
          <w:sz w:val="22"/>
          <w:szCs w:val="22"/>
          <w:lang w:eastAsia="it-IT"/>
        </w:rPr>
        <w:t xml:space="preserve"> (la così detta Bassanini 1)</w:t>
      </w:r>
      <w:r w:rsidR="004E64B3" w:rsidRPr="003E01A4">
        <w:rPr>
          <w:rFonts w:ascii="Century Schoolbook" w:eastAsia="Times New Roman" w:hAnsi="Century Schoolbook" w:cs="Times New Roman"/>
          <w:sz w:val="22"/>
          <w:szCs w:val="22"/>
          <w:lang w:eastAsia="it-IT"/>
        </w:rPr>
        <w:t>.</w:t>
      </w:r>
    </w:p>
    <w:p w14:paraId="25AED170" w14:textId="5451D33A" w:rsidR="003F375B" w:rsidRPr="003E01A4" w:rsidRDefault="003F375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L’art. 4</w:t>
      </w:r>
      <w:r w:rsidR="004C48C6" w:rsidRPr="003E01A4">
        <w:rPr>
          <w:rFonts w:ascii="Century Schoolbook" w:eastAsia="Times New Roman" w:hAnsi="Century Schoolbook" w:cs="Times New Roman"/>
          <w:sz w:val="22"/>
          <w:szCs w:val="22"/>
          <w:lang w:eastAsia="it-IT"/>
        </w:rPr>
        <w:t xml:space="preserve">, comma 3, lett. e), stabilisce che i conferimenti di funzioni agli enti territoriali </w:t>
      </w:r>
      <w:r w:rsidR="00273F23" w:rsidRPr="003E01A4">
        <w:rPr>
          <w:rFonts w:ascii="Century Schoolbook" w:eastAsia="Times New Roman" w:hAnsi="Century Schoolbook" w:cs="Times New Roman"/>
          <w:sz w:val="22"/>
          <w:szCs w:val="22"/>
          <w:lang w:eastAsia="it-IT"/>
        </w:rPr>
        <w:t>devono conformarsi ad</w:t>
      </w:r>
      <w:r w:rsidR="004C48C6" w:rsidRPr="003E01A4">
        <w:rPr>
          <w:rFonts w:ascii="Century Schoolbook" w:eastAsia="Times New Roman" w:hAnsi="Century Schoolbook" w:cs="Times New Roman"/>
          <w:sz w:val="22"/>
          <w:szCs w:val="22"/>
          <w:lang w:eastAsia="it-IT"/>
        </w:rPr>
        <w:t xml:space="preserve"> alcuni principi fondamentali, fra cui </w:t>
      </w:r>
      <w:r w:rsidR="00273F23" w:rsidRPr="003E01A4">
        <w:rPr>
          <w:rFonts w:ascii="Century Schoolbook" w:eastAsia="Times New Roman" w:hAnsi="Century Schoolbook" w:cs="Times New Roman"/>
          <w:sz w:val="22"/>
          <w:szCs w:val="22"/>
          <w:lang w:eastAsia="it-IT"/>
        </w:rPr>
        <w:t>l’</w:t>
      </w:r>
      <w:r w:rsidR="004C48C6" w:rsidRPr="003E01A4">
        <w:rPr>
          <w:rFonts w:ascii="Century Schoolbook" w:eastAsia="Times New Roman" w:hAnsi="Century Schoolbook" w:cs="Times New Roman"/>
          <w:sz w:val="22"/>
          <w:szCs w:val="22"/>
          <w:lang w:eastAsia="it-IT"/>
        </w:rPr>
        <w:t>«unicit</w:t>
      </w:r>
      <w:r w:rsidR="000C63B3" w:rsidRPr="003E01A4">
        <w:rPr>
          <w:rFonts w:ascii="Century Schoolbook" w:eastAsia="Times New Roman" w:hAnsi="Century Schoolbook" w:cs="Times New Roman"/>
          <w:sz w:val="22"/>
          <w:szCs w:val="22"/>
          <w:lang w:eastAsia="it-IT"/>
        </w:rPr>
        <w:t>à</w:t>
      </w:r>
      <w:r w:rsidR="004C48C6" w:rsidRPr="003E01A4">
        <w:rPr>
          <w:rFonts w:ascii="Century Schoolbook" w:eastAsia="Times New Roman" w:hAnsi="Century Schoolbook" w:cs="Times New Roman"/>
          <w:sz w:val="22"/>
          <w:szCs w:val="22"/>
          <w:lang w:eastAsia="it-IT"/>
        </w:rPr>
        <w:t xml:space="preserve"> dell</w:t>
      </w:r>
      <w:r w:rsidR="00D17324" w:rsidRPr="003E01A4">
        <w:rPr>
          <w:rFonts w:ascii="Century Schoolbook" w:eastAsia="Times New Roman" w:hAnsi="Century Schoolbook" w:cs="Times New Roman"/>
          <w:sz w:val="22"/>
          <w:szCs w:val="22"/>
          <w:lang w:eastAsia="it-IT"/>
        </w:rPr>
        <w:t>’</w:t>
      </w:r>
      <w:r w:rsidR="004C48C6" w:rsidRPr="003E01A4">
        <w:rPr>
          <w:rFonts w:ascii="Century Schoolbook" w:eastAsia="Times New Roman" w:hAnsi="Century Schoolbook" w:cs="Times New Roman"/>
          <w:sz w:val="22"/>
          <w:szCs w:val="22"/>
          <w:lang w:eastAsia="it-IT"/>
        </w:rPr>
        <w:t>amministrazione, con la conseguente attribuzione ad un unico soggetto delle funzioni e dei compiti connessi, strumentali e complementari».</w:t>
      </w:r>
    </w:p>
    <w:p w14:paraId="782BB351" w14:textId="2F6B6226" w:rsidR="00927859" w:rsidRPr="003E01A4" w:rsidRDefault="003F375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Secondo l</w:t>
      </w:r>
      <w:r w:rsidR="004E64B3" w:rsidRPr="003E01A4">
        <w:rPr>
          <w:rFonts w:ascii="Century Schoolbook" w:eastAsia="Times New Roman" w:hAnsi="Century Schoolbook" w:cs="Times New Roman"/>
          <w:sz w:val="22"/>
          <w:szCs w:val="22"/>
          <w:lang w:eastAsia="it-IT"/>
        </w:rPr>
        <w:t>’art. 20</w:t>
      </w:r>
      <w:r w:rsidR="00DA7FAC" w:rsidRPr="003E01A4">
        <w:rPr>
          <w:rFonts w:ascii="Century Schoolbook" w:eastAsia="Times New Roman" w:hAnsi="Century Schoolbook" w:cs="Times New Roman"/>
          <w:sz w:val="22"/>
          <w:szCs w:val="22"/>
          <w:lang w:eastAsia="it-IT"/>
        </w:rPr>
        <w:t xml:space="preserve"> successivo</w:t>
      </w:r>
      <w:r w:rsidRPr="003E01A4">
        <w:rPr>
          <w:rFonts w:ascii="Century Schoolbook" w:eastAsia="Times New Roman" w:hAnsi="Century Schoolbook" w:cs="Times New Roman"/>
          <w:sz w:val="22"/>
          <w:szCs w:val="22"/>
          <w:lang w:eastAsia="it-IT"/>
        </w:rPr>
        <w:t>,</w:t>
      </w:r>
      <w:r w:rsidR="004E64B3" w:rsidRPr="003E01A4">
        <w:rPr>
          <w:rFonts w:ascii="Century Schoolbook" w:eastAsia="Times New Roman" w:hAnsi="Century Schoolbook" w:cs="Times New Roman"/>
          <w:sz w:val="22"/>
          <w:szCs w:val="22"/>
          <w:lang w:eastAsia="it-IT"/>
        </w:rPr>
        <w:t xml:space="preserve"> il governo present</w:t>
      </w:r>
      <w:r w:rsidRPr="003E01A4">
        <w:rPr>
          <w:rFonts w:ascii="Century Schoolbook" w:eastAsia="Times New Roman" w:hAnsi="Century Schoolbook" w:cs="Times New Roman"/>
          <w:sz w:val="22"/>
          <w:szCs w:val="22"/>
          <w:lang w:eastAsia="it-IT"/>
        </w:rPr>
        <w:t>a</w:t>
      </w:r>
      <w:r w:rsidR="004E64B3" w:rsidRPr="003E01A4">
        <w:rPr>
          <w:rFonts w:ascii="Century Schoolbook" w:eastAsia="Times New Roman" w:hAnsi="Century Schoolbook" w:cs="Times New Roman"/>
          <w:sz w:val="22"/>
          <w:szCs w:val="22"/>
          <w:lang w:eastAsia="it-IT"/>
        </w:rPr>
        <w:t xml:space="preserve"> ogni anno un disegno di legge di semplificazione, il quale deve prevedere l</w:t>
      </w:r>
      <w:r w:rsidR="00273F23" w:rsidRPr="003E01A4">
        <w:rPr>
          <w:rFonts w:ascii="Century Schoolbook" w:eastAsia="Times New Roman" w:hAnsi="Century Schoolbook" w:cs="Times New Roman"/>
          <w:sz w:val="22"/>
          <w:szCs w:val="22"/>
          <w:lang w:eastAsia="it-IT"/>
        </w:rPr>
        <w:t>’</w:t>
      </w:r>
      <w:r w:rsidR="004E64B3" w:rsidRPr="003E01A4">
        <w:rPr>
          <w:rFonts w:ascii="Century Schoolbook" w:eastAsia="Times New Roman" w:hAnsi="Century Schoolbook" w:cs="Times New Roman"/>
          <w:sz w:val="22"/>
          <w:szCs w:val="22"/>
          <w:lang w:eastAsia="it-IT"/>
        </w:rPr>
        <w:t>emanazione di «decreti legislativi, relativamente alle norme legislative sostanziali e procedimentali». A loro volta, questi decreti si attengono ad alcuni principi, fra cui la «riduzione del numero di procedimenti amministrativi» e l’«accorpamento dei procedimenti che si riferiscono alla medesima attività» (art. 20, comma 4, lett. d), l. n. 59/’97 cit.).</w:t>
      </w:r>
    </w:p>
    <w:p w14:paraId="3F96CF52" w14:textId="4218E390" w:rsidR="009C6726" w:rsidRPr="003E01A4" w:rsidRDefault="004C48C6"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Ne discende il d.lgs</w:t>
      </w:r>
      <w:r w:rsidR="000C63B3"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 xml:space="preserve"> </w:t>
      </w:r>
      <w:r w:rsidR="00273F23" w:rsidRPr="003E01A4">
        <w:rPr>
          <w:rFonts w:ascii="Century Schoolbook" w:eastAsia="Times New Roman" w:hAnsi="Century Schoolbook" w:cs="Times New Roman"/>
          <w:sz w:val="22"/>
          <w:szCs w:val="22"/>
          <w:lang w:eastAsia="it-IT"/>
        </w:rPr>
        <w:t xml:space="preserve">31 marzo 1998, </w:t>
      </w:r>
      <w:r w:rsidRPr="003E01A4">
        <w:rPr>
          <w:rFonts w:ascii="Century Schoolbook" w:eastAsia="Times New Roman" w:hAnsi="Century Schoolbook" w:cs="Times New Roman"/>
          <w:sz w:val="22"/>
          <w:szCs w:val="22"/>
          <w:lang w:eastAsia="it-IT"/>
        </w:rPr>
        <w:t xml:space="preserve">n. 112. </w:t>
      </w:r>
    </w:p>
    <w:p w14:paraId="348F2286" w14:textId="300605DA" w:rsidR="00753376" w:rsidRPr="003E01A4" w:rsidRDefault="009C6726"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Già l’</w:t>
      </w:r>
      <w:r w:rsidRPr="003E01A4">
        <w:rPr>
          <w:rFonts w:ascii="Century Schoolbook" w:eastAsia="Times New Roman" w:hAnsi="Century Schoolbook" w:cs="Times New Roman"/>
          <w:i/>
          <w:iCs/>
          <w:sz w:val="22"/>
          <w:szCs w:val="22"/>
          <w:lang w:eastAsia="it-IT"/>
        </w:rPr>
        <w:t>incipit</w:t>
      </w:r>
      <w:r w:rsidRPr="003E01A4">
        <w:rPr>
          <w:rFonts w:ascii="Century Schoolbook" w:eastAsia="Times New Roman" w:hAnsi="Century Schoolbook" w:cs="Times New Roman"/>
          <w:sz w:val="22"/>
          <w:szCs w:val="22"/>
          <w:lang w:eastAsia="it-IT"/>
        </w:rPr>
        <w:t xml:space="preserve"> del suo art. 25 – la disposizione per noi più rilevante – fa capire che il sogno unitario si è </w:t>
      </w:r>
      <w:r w:rsidR="003B7F26" w:rsidRPr="003E01A4">
        <w:rPr>
          <w:rFonts w:ascii="Century Schoolbook" w:eastAsia="Times New Roman" w:hAnsi="Century Schoolbook" w:cs="Times New Roman"/>
          <w:sz w:val="22"/>
          <w:szCs w:val="22"/>
          <w:lang w:eastAsia="it-IT"/>
        </w:rPr>
        <w:t>come</w:t>
      </w:r>
      <w:r w:rsidR="000C63B3" w:rsidRPr="003E01A4">
        <w:rPr>
          <w:rFonts w:ascii="Century Schoolbook" w:eastAsia="Times New Roman" w:hAnsi="Century Schoolbook" w:cs="Times New Roman"/>
          <w:sz w:val="22"/>
          <w:szCs w:val="22"/>
          <w:lang w:eastAsia="it-IT"/>
        </w:rPr>
        <w:t xml:space="preserve"> </w:t>
      </w:r>
      <w:r w:rsidRPr="003E01A4">
        <w:rPr>
          <w:rFonts w:ascii="Century Schoolbook" w:eastAsia="Times New Roman" w:hAnsi="Century Schoolbook" w:cs="Times New Roman"/>
          <w:sz w:val="22"/>
          <w:szCs w:val="22"/>
          <w:lang w:eastAsia="it-IT"/>
        </w:rPr>
        <w:t xml:space="preserve">rattrappito. È vero, </w:t>
      </w:r>
      <w:r w:rsidR="009D442B" w:rsidRPr="003E01A4">
        <w:rPr>
          <w:rFonts w:ascii="Century Schoolbook" w:eastAsia="Times New Roman" w:hAnsi="Century Schoolbook" w:cs="Times New Roman"/>
          <w:sz w:val="22"/>
          <w:szCs w:val="22"/>
          <w:lang w:eastAsia="it-IT"/>
        </w:rPr>
        <w:t xml:space="preserve">vi </w:t>
      </w:r>
      <w:r w:rsidRPr="003E01A4">
        <w:rPr>
          <w:rFonts w:ascii="Century Schoolbook" w:eastAsia="Times New Roman" w:hAnsi="Century Schoolbook" w:cs="Times New Roman"/>
          <w:sz w:val="22"/>
          <w:szCs w:val="22"/>
          <w:lang w:eastAsia="it-IT"/>
        </w:rPr>
        <w:t xml:space="preserve">si </w:t>
      </w:r>
      <w:r w:rsidR="009D442B" w:rsidRPr="003E01A4">
        <w:rPr>
          <w:rFonts w:ascii="Century Schoolbook" w:eastAsia="Times New Roman" w:hAnsi="Century Schoolbook" w:cs="Times New Roman"/>
          <w:sz w:val="22"/>
          <w:szCs w:val="22"/>
          <w:lang w:eastAsia="it-IT"/>
        </w:rPr>
        <w:t>legge</w:t>
      </w:r>
      <w:r w:rsidRPr="003E01A4">
        <w:rPr>
          <w:rFonts w:ascii="Century Schoolbook" w:eastAsia="Times New Roman" w:hAnsi="Century Schoolbook" w:cs="Times New Roman"/>
          <w:sz w:val="22"/>
          <w:szCs w:val="22"/>
          <w:lang w:eastAsia="it-IT"/>
        </w:rPr>
        <w:t xml:space="preserve"> una solenne dichiarazione che ha il tono </w:t>
      </w:r>
      <w:r w:rsidR="000C63B3" w:rsidRPr="003E01A4">
        <w:rPr>
          <w:rFonts w:ascii="Century Schoolbook" w:eastAsia="Times New Roman" w:hAnsi="Century Schoolbook" w:cs="Times New Roman"/>
          <w:sz w:val="22"/>
          <w:szCs w:val="22"/>
          <w:lang w:eastAsia="it-IT"/>
        </w:rPr>
        <w:t xml:space="preserve">aulico </w:t>
      </w:r>
      <w:r w:rsidRPr="003E01A4">
        <w:rPr>
          <w:rFonts w:ascii="Century Schoolbook" w:eastAsia="Times New Roman" w:hAnsi="Century Schoolbook" w:cs="Times New Roman"/>
          <w:sz w:val="22"/>
          <w:szCs w:val="22"/>
          <w:lang w:eastAsia="it-IT"/>
        </w:rPr>
        <w:t xml:space="preserve">del manifesto: «Il procedimento amministrativo in materia di autorizzazione all'insediamento di attività produttive è unico». Ma questa unicità è solo enunciata, se il periodo successivo dello stesso primo comma </w:t>
      </w:r>
      <w:r w:rsidR="00DA7FAC" w:rsidRPr="003E01A4">
        <w:rPr>
          <w:rFonts w:ascii="Century Schoolbook" w:eastAsia="Times New Roman" w:hAnsi="Century Schoolbook" w:cs="Times New Roman"/>
          <w:sz w:val="22"/>
          <w:szCs w:val="22"/>
          <w:lang w:eastAsia="it-IT"/>
        </w:rPr>
        <w:t xml:space="preserve">già </w:t>
      </w:r>
      <w:r w:rsidRPr="003E01A4">
        <w:rPr>
          <w:rFonts w:ascii="Century Schoolbook" w:eastAsia="Times New Roman" w:hAnsi="Century Schoolbook" w:cs="Times New Roman"/>
          <w:sz w:val="22"/>
          <w:szCs w:val="22"/>
          <w:lang w:eastAsia="it-IT"/>
        </w:rPr>
        <w:t>si affretta a precisare che «L</w:t>
      </w:r>
      <w:r w:rsidR="00ED6A15"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istruttoria ha per oggetto in particolare i profili urbanistici, sanitari, della tutela ambientale e della sicurezza».</w:t>
      </w:r>
      <w:r w:rsidR="00753376" w:rsidRPr="003E01A4">
        <w:rPr>
          <w:rFonts w:ascii="Century Schoolbook" w:eastAsia="Times New Roman" w:hAnsi="Century Schoolbook" w:cs="Times New Roman"/>
          <w:sz w:val="22"/>
          <w:szCs w:val="22"/>
          <w:lang w:eastAsia="it-IT"/>
        </w:rPr>
        <w:t xml:space="preserve"> Non è poco, certo. Ma ha un effetto di senso che orienta verso la parzialità, verso cioè l’esistenza di aree </w:t>
      </w:r>
      <w:r w:rsidR="00A9395E" w:rsidRPr="003E01A4">
        <w:rPr>
          <w:rFonts w:ascii="Century Schoolbook" w:eastAsia="Times New Roman" w:hAnsi="Century Schoolbook" w:cs="Times New Roman"/>
          <w:sz w:val="22"/>
          <w:szCs w:val="22"/>
          <w:lang w:eastAsia="it-IT"/>
        </w:rPr>
        <w:t>scoperte, esposte alla tradizionale frammentazione procedimentale.</w:t>
      </w:r>
      <w:r w:rsidR="00ED6A15" w:rsidRPr="003E01A4">
        <w:rPr>
          <w:rFonts w:ascii="Century Schoolbook" w:eastAsia="Times New Roman" w:hAnsi="Century Schoolbook" w:cs="Times New Roman"/>
          <w:sz w:val="22"/>
          <w:szCs w:val="22"/>
          <w:lang w:eastAsia="it-IT"/>
        </w:rPr>
        <w:t xml:space="preserve"> Ci tornerò fra poco.</w:t>
      </w:r>
    </w:p>
    <w:p w14:paraId="5DDC0377" w14:textId="0720B77D" w:rsidR="00927859" w:rsidRPr="003E01A4" w:rsidRDefault="00A9395E"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Ai nostri fini </w:t>
      </w:r>
      <w:r w:rsidR="00524B6B" w:rsidRPr="003E01A4">
        <w:rPr>
          <w:rFonts w:ascii="Century Schoolbook" w:eastAsia="Times New Roman" w:hAnsi="Century Schoolbook" w:cs="Times New Roman"/>
          <w:sz w:val="22"/>
          <w:szCs w:val="22"/>
          <w:lang w:eastAsia="it-IT"/>
        </w:rPr>
        <w:t>è poi importante</w:t>
      </w:r>
      <w:r w:rsidRPr="003E01A4">
        <w:rPr>
          <w:rFonts w:ascii="Century Schoolbook" w:eastAsia="Times New Roman" w:hAnsi="Century Schoolbook" w:cs="Times New Roman"/>
          <w:sz w:val="22"/>
          <w:szCs w:val="22"/>
          <w:lang w:eastAsia="it-IT"/>
        </w:rPr>
        <w:t xml:space="preserve"> la lett. g) del comma</w:t>
      </w:r>
      <w:r w:rsidR="009D442B" w:rsidRPr="003E01A4">
        <w:rPr>
          <w:rFonts w:ascii="Century Schoolbook" w:eastAsia="Times New Roman" w:hAnsi="Century Schoolbook" w:cs="Times New Roman"/>
          <w:sz w:val="22"/>
          <w:szCs w:val="22"/>
          <w:lang w:eastAsia="it-IT"/>
        </w:rPr>
        <w:t xml:space="preserve"> 2</w:t>
      </w:r>
      <w:r w:rsidRPr="003E01A4">
        <w:rPr>
          <w:rFonts w:ascii="Century Schoolbook" w:eastAsia="Times New Roman" w:hAnsi="Century Schoolbook" w:cs="Times New Roman"/>
          <w:sz w:val="22"/>
          <w:szCs w:val="22"/>
          <w:lang w:eastAsia="it-IT"/>
        </w:rPr>
        <w:t xml:space="preserve">, </w:t>
      </w:r>
      <w:r w:rsidR="009D442B" w:rsidRPr="003E01A4">
        <w:rPr>
          <w:rFonts w:ascii="Century Schoolbook" w:eastAsia="Times New Roman" w:hAnsi="Century Schoolbook" w:cs="Times New Roman"/>
          <w:sz w:val="22"/>
          <w:szCs w:val="22"/>
          <w:lang w:eastAsia="it-IT"/>
        </w:rPr>
        <w:t xml:space="preserve">per </w:t>
      </w:r>
      <w:r w:rsidR="00524B6B" w:rsidRPr="003E01A4">
        <w:rPr>
          <w:rFonts w:ascii="Century Schoolbook" w:eastAsia="Times New Roman" w:hAnsi="Century Schoolbook" w:cs="Times New Roman"/>
          <w:sz w:val="22"/>
          <w:szCs w:val="22"/>
          <w:lang w:eastAsia="it-IT"/>
        </w:rPr>
        <w:t>la</w:t>
      </w:r>
      <w:r w:rsidRPr="003E01A4">
        <w:rPr>
          <w:rFonts w:ascii="Century Schoolbook" w:eastAsia="Times New Roman" w:hAnsi="Century Schoolbook" w:cs="Times New Roman"/>
          <w:sz w:val="22"/>
          <w:szCs w:val="22"/>
          <w:lang w:eastAsia="it-IT"/>
        </w:rPr>
        <w:t xml:space="preserve"> quale il regolamento </w:t>
      </w:r>
      <w:r w:rsidR="00ED6A15" w:rsidRPr="003E01A4">
        <w:rPr>
          <w:rFonts w:ascii="Century Schoolbook" w:eastAsia="Times New Roman" w:hAnsi="Century Schoolbook" w:cs="Times New Roman"/>
          <w:sz w:val="22"/>
          <w:szCs w:val="22"/>
          <w:lang w:eastAsia="it-IT"/>
        </w:rPr>
        <w:t xml:space="preserve">chiamato a </w:t>
      </w:r>
      <w:r w:rsidRPr="003E01A4">
        <w:rPr>
          <w:rFonts w:ascii="Century Schoolbook" w:eastAsia="Times New Roman" w:hAnsi="Century Schoolbook" w:cs="Times New Roman"/>
          <w:sz w:val="22"/>
          <w:szCs w:val="22"/>
          <w:lang w:eastAsia="it-IT"/>
        </w:rPr>
        <w:t>disciplina</w:t>
      </w:r>
      <w:r w:rsidR="00ED6A15" w:rsidRPr="003E01A4">
        <w:rPr>
          <w:rFonts w:ascii="Century Schoolbook" w:eastAsia="Times New Roman" w:hAnsi="Century Schoolbook" w:cs="Times New Roman"/>
          <w:sz w:val="22"/>
          <w:szCs w:val="22"/>
          <w:lang w:eastAsia="it-IT"/>
        </w:rPr>
        <w:t>re</w:t>
      </w:r>
      <w:r w:rsidRPr="003E01A4">
        <w:rPr>
          <w:rFonts w:ascii="Century Schoolbook" w:eastAsia="Times New Roman" w:hAnsi="Century Schoolbook" w:cs="Times New Roman"/>
          <w:sz w:val="22"/>
          <w:szCs w:val="22"/>
          <w:lang w:eastAsia="it-IT"/>
        </w:rPr>
        <w:t xml:space="preserve"> il procedimento in esame deve </w:t>
      </w:r>
      <w:r w:rsidR="00DA3051" w:rsidRPr="003E01A4">
        <w:rPr>
          <w:rFonts w:ascii="Century Schoolbook" w:eastAsia="Times New Roman" w:hAnsi="Century Schoolbook" w:cs="Times New Roman"/>
          <w:sz w:val="22"/>
          <w:szCs w:val="22"/>
          <w:lang w:eastAsia="it-IT"/>
        </w:rPr>
        <w:t>prevedere la</w:t>
      </w:r>
      <w:r w:rsidR="00927859" w:rsidRPr="003E01A4">
        <w:rPr>
          <w:rFonts w:ascii="Century Schoolbook" w:eastAsia="Times New Roman" w:hAnsi="Century Schoolbook" w:cs="Times New Roman"/>
          <w:sz w:val="22"/>
          <w:szCs w:val="22"/>
          <w:lang w:eastAsia="it-IT"/>
        </w:rPr>
        <w:t xml:space="preserve"> </w:t>
      </w:r>
      <w:r w:rsidR="00DA3051" w:rsidRPr="003E01A4">
        <w:rPr>
          <w:rFonts w:ascii="Century Schoolbook" w:eastAsia="Times New Roman" w:hAnsi="Century Schoolbook" w:cs="Times New Roman"/>
          <w:sz w:val="22"/>
          <w:szCs w:val="22"/>
          <w:lang w:eastAsia="it-IT"/>
        </w:rPr>
        <w:t>«</w:t>
      </w:r>
      <w:r w:rsidR="00927859" w:rsidRPr="003E01A4">
        <w:rPr>
          <w:rFonts w:ascii="Century Schoolbook" w:eastAsia="Times New Roman" w:hAnsi="Century Schoolbook" w:cs="Times New Roman"/>
          <w:sz w:val="22"/>
          <w:szCs w:val="22"/>
          <w:lang w:eastAsia="it-IT"/>
        </w:rPr>
        <w:t>possibilit</w:t>
      </w:r>
      <w:r w:rsidR="00DA3051" w:rsidRPr="003E01A4">
        <w:rPr>
          <w:rFonts w:ascii="Century Schoolbook" w:eastAsia="Times New Roman" w:hAnsi="Century Schoolbook" w:cs="Times New Roman"/>
          <w:sz w:val="22"/>
          <w:szCs w:val="22"/>
          <w:lang w:eastAsia="it-IT"/>
        </w:rPr>
        <w:t>à</w:t>
      </w:r>
      <w:r w:rsidR="00927859" w:rsidRPr="003E01A4">
        <w:rPr>
          <w:rFonts w:ascii="Century Schoolbook" w:eastAsia="Times New Roman" w:hAnsi="Century Schoolbook" w:cs="Times New Roman"/>
          <w:sz w:val="22"/>
          <w:szCs w:val="22"/>
          <w:lang w:eastAsia="it-IT"/>
        </w:rPr>
        <w:t xml:space="preserve"> del ricorso alla conferenza di servizi quando il</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progetto contrasti con le previsioni di uno strumento urbanistico; in</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tal caso, ove la conferenza di servizi registri un accordo sulla</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variazione dello strumento urbanistico, la determinazione costituisce</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proposta di variante sulla quale si pronuncia definitivamente il</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consiglio comunale, tenuto conto delle osservazioni, proposte e</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opposizioni avanzate in conferenza di servizi nonch</w:t>
      </w:r>
      <w:r w:rsidR="00DA3051" w:rsidRPr="003E01A4">
        <w:rPr>
          <w:rFonts w:ascii="Century Schoolbook" w:eastAsia="Times New Roman" w:hAnsi="Century Schoolbook" w:cs="Times New Roman"/>
          <w:sz w:val="22"/>
          <w:szCs w:val="22"/>
          <w:lang w:eastAsia="it-IT"/>
        </w:rPr>
        <w:t>é</w:t>
      </w:r>
      <w:r w:rsidR="00927859" w:rsidRPr="003E01A4">
        <w:rPr>
          <w:rFonts w:ascii="Century Schoolbook" w:eastAsia="Times New Roman" w:hAnsi="Century Schoolbook" w:cs="Times New Roman"/>
          <w:sz w:val="22"/>
          <w:szCs w:val="22"/>
          <w:lang w:eastAsia="it-IT"/>
        </w:rPr>
        <w:t xml:space="preserve"> delle</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osservazioni e opposizioni formulate dagli aventi titolo ai sensi</w:t>
      </w:r>
      <w:r w:rsidR="00DA3051"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della legge 17 agosto 1942, n. 1150</w:t>
      </w:r>
      <w:r w:rsidR="00DA3051" w:rsidRPr="003E01A4">
        <w:rPr>
          <w:rFonts w:ascii="Century Schoolbook" w:eastAsia="Times New Roman" w:hAnsi="Century Schoolbook" w:cs="Times New Roman"/>
          <w:sz w:val="22"/>
          <w:szCs w:val="22"/>
          <w:lang w:eastAsia="it-IT"/>
        </w:rPr>
        <w:t>»</w:t>
      </w:r>
      <w:r w:rsidR="00927859" w:rsidRPr="003E01A4">
        <w:rPr>
          <w:rFonts w:ascii="Century Schoolbook" w:eastAsia="Times New Roman" w:hAnsi="Century Schoolbook" w:cs="Times New Roman"/>
          <w:sz w:val="22"/>
          <w:szCs w:val="22"/>
          <w:lang w:eastAsia="it-IT"/>
        </w:rPr>
        <w:t>.</w:t>
      </w:r>
    </w:p>
    <w:p w14:paraId="6600EF2C" w14:textId="42D1C721" w:rsidR="00FA7B45" w:rsidRPr="003E01A4" w:rsidRDefault="00DA3051"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È evidente: non ha nulla di “unico” un procedimento </w:t>
      </w:r>
      <w:r w:rsidR="009D442B" w:rsidRPr="003E01A4">
        <w:rPr>
          <w:rFonts w:ascii="Century Schoolbook" w:eastAsia="Times New Roman" w:hAnsi="Century Schoolbook" w:cs="Times New Roman"/>
          <w:sz w:val="22"/>
          <w:szCs w:val="22"/>
          <w:lang w:eastAsia="it-IT"/>
        </w:rPr>
        <w:t xml:space="preserve">col </w:t>
      </w:r>
      <w:r w:rsidRPr="003E01A4">
        <w:rPr>
          <w:rFonts w:ascii="Century Schoolbook" w:eastAsia="Times New Roman" w:hAnsi="Century Schoolbook" w:cs="Times New Roman"/>
          <w:sz w:val="22"/>
          <w:szCs w:val="22"/>
          <w:lang w:eastAsia="it-IT"/>
        </w:rPr>
        <w:t>baricentro decisionale pericolosamente spostato al suo esterno</w:t>
      </w:r>
      <w:r w:rsidR="00ED6A15"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 xml:space="preserve"> cioè – nonostante </w:t>
      </w:r>
      <w:r w:rsidR="00ED6A15" w:rsidRPr="003E01A4">
        <w:rPr>
          <w:rFonts w:ascii="Century Schoolbook" w:eastAsia="Times New Roman" w:hAnsi="Century Schoolbook" w:cs="Times New Roman"/>
          <w:sz w:val="22"/>
          <w:szCs w:val="22"/>
          <w:lang w:eastAsia="it-IT"/>
        </w:rPr>
        <w:t xml:space="preserve">il già raggiunto </w:t>
      </w:r>
      <w:r w:rsidRPr="003E01A4">
        <w:rPr>
          <w:rFonts w:ascii="Century Schoolbook" w:eastAsia="Times New Roman" w:hAnsi="Century Schoolbook" w:cs="Times New Roman"/>
          <w:sz w:val="22"/>
          <w:szCs w:val="22"/>
          <w:lang w:eastAsia="it-IT"/>
        </w:rPr>
        <w:t xml:space="preserve">accordo sulla variante – sulle determinazioni “politiche” che il consiglio comunale assumerà in merito. Anzi, la norma chiarisce che l’organo rappresentativo comunale non è </w:t>
      </w:r>
      <w:r w:rsidR="00764B8E" w:rsidRPr="003E01A4">
        <w:rPr>
          <w:rFonts w:ascii="Century Schoolbook" w:eastAsia="Times New Roman" w:hAnsi="Century Schoolbook" w:cs="Times New Roman"/>
          <w:sz w:val="22"/>
          <w:szCs w:val="22"/>
          <w:lang w:eastAsia="it-IT"/>
        </w:rPr>
        <w:t xml:space="preserve">affatto </w:t>
      </w:r>
      <w:r w:rsidRPr="003E01A4">
        <w:rPr>
          <w:rFonts w:ascii="Century Schoolbook" w:eastAsia="Times New Roman" w:hAnsi="Century Schoolbook" w:cs="Times New Roman"/>
          <w:sz w:val="22"/>
          <w:szCs w:val="22"/>
          <w:lang w:eastAsia="it-IT"/>
        </w:rPr>
        <w:t>vincolato dall’accordo conferenziale</w:t>
      </w:r>
      <w:r w:rsidR="00764B8E" w:rsidRPr="003E01A4">
        <w:rPr>
          <w:rFonts w:ascii="Century Schoolbook" w:eastAsia="Times New Roman" w:hAnsi="Century Schoolbook" w:cs="Times New Roman"/>
          <w:sz w:val="22"/>
          <w:szCs w:val="22"/>
          <w:lang w:eastAsia="it-IT"/>
        </w:rPr>
        <w:t xml:space="preserve">: è rimessa alla sua </w:t>
      </w:r>
      <w:r w:rsidR="00FA7B45" w:rsidRPr="003E01A4">
        <w:rPr>
          <w:rFonts w:ascii="Century Schoolbook" w:eastAsia="Times New Roman" w:hAnsi="Century Schoolbook" w:cs="Times New Roman"/>
          <w:sz w:val="22"/>
          <w:szCs w:val="22"/>
          <w:lang w:eastAsia="it-IT"/>
        </w:rPr>
        <w:t xml:space="preserve">discrezionalità la chiusura in senso positivo o meno della sequenza. </w:t>
      </w:r>
    </w:p>
    <w:p w14:paraId="00ED048C" w14:textId="77777777" w:rsidR="00FA7B45" w:rsidRPr="003E01A4" w:rsidRDefault="00FA7B45"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lastRenderedPageBreak/>
        <w:t xml:space="preserve">Ancora peggio. </w:t>
      </w:r>
    </w:p>
    <w:p w14:paraId="53C5A290" w14:textId="3021085C" w:rsidR="00DA3051" w:rsidRPr="003E01A4" w:rsidRDefault="00FA7B45"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Secondo la norma in esame, la delibera consiliare deve essere preceduta da una fase partecipativa (onde acquisire le «osservazioni e opposizioni formulate dagli aventi titolo ai sensi della legge 17 agosto 1942, n. 1150») e deve confrontarsi con </w:t>
      </w:r>
      <w:r w:rsidRPr="003E01A4">
        <w:rPr>
          <w:rFonts w:ascii="Century Schoolbook" w:eastAsia="Times New Roman" w:hAnsi="Century Schoolbook" w:cs="Times New Roman"/>
          <w:i/>
          <w:iCs/>
          <w:sz w:val="22"/>
          <w:szCs w:val="22"/>
          <w:lang w:eastAsia="it-IT"/>
        </w:rPr>
        <w:t>tutti</w:t>
      </w:r>
      <w:r w:rsidRPr="003E01A4">
        <w:rPr>
          <w:rFonts w:ascii="Century Schoolbook" w:eastAsia="Times New Roman" w:hAnsi="Century Schoolbook" w:cs="Times New Roman"/>
          <w:sz w:val="22"/>
          <w:szCs w:val="22"/>
          <w:lang w:eastAsia="it-IT"/>
        </w:rPr>
        <w:t xml:space="preserve"> gli interessi manifestati nella singola vicenda: anche cioè con quelli emersi nel segmento conferenziale («tenuto conto delle osservazioni, proposte e opposizioni avanzate in conferenza di servizi»). </w:t>
      </w:r>
      <w:r w:rsidR="00826AA1" w:rsidRPr="003E01A4">
        <w:rPr>
          <w:rFonts w:ascii="Century Schoolbook" w:eastAsia="Times New Roman" w:hAnsi="Century Schoolbook" w:cs="Times New Roman"/>
          <w:sz w:val="22"/>
          <w:szCs w:val="22"/>
          <w:lang w:eastAsia="it-IT"/>
        </w:rPr>
        <w:t xml:space="preserve">Inutile sottolineare il livello di </w:t>
      </w:r>
      <w:r w:rsidR="00ED6A15" w:rsidRPr="003E01A4">
        <w:rPr>
          <w:rFonts w:ascii="Century Schoolbook" w:eastAsia="Times New Roman" w:hAnsi="Century Schoolbook" w:cs="Times New Roman"/>
          <w:sz w:val="22"/>
          <w:szCs w:val="22"/>
          <w:lang w:eastAsia="it-IT"/>
        </w:rPr>
        <w:t xml:space="preserve">dispersione, </w:t>
      </w:r>
      <w:r w:rsidR="00826AA1" w:rsidRPr="003E01A4">
        <w:rPr>
          <w:rFonts w:ascii="Century Schoolbook" w:eastAsia="Times New Roman" w:hAnsi="Century Schoolbook" w:cs="Times New Roman"/>
          <w:sz w:val="22"/>
          <w:szCs w:val="22"/>
          <w:lang w:eastAsia="it-IT"/>
        </w:rPr>
        <w:t>incertezza e di lentezza che un tale assetto inevitabilmente genera.</w:t>
      </w:r>
    </w:p>
    <w:p w14:paraId="5631B2D8" w14:textId="38EEC375" w:rsidR="00826AA1" w:rsidRPr="003E01A4" w:rsidRDefault="00826AA1"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Non è finita qui.</w:t>
      </w:r>
    </w:p>
    <w:p w14:paraId="168BD1B1" w14:textId="1BA6E121" w:rsidR="00927859" w:rsidRPr="003E01A4" w:rsidRDefault="00826AA1"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Quella lettera g), com’è noto, è stata dichiara</w:t>
      </w:r>
      <w:r w:rsidR="004364F5" w:rsidRPr="003E01A4">
        <w:rPr>
          <w:rFonts w:ascii="Century Schoolbook" w:eastAsia="Times New Roman" w:hAnsi="Century Schoolbook" w:cs="Times New Roman"/>
          <w:sz w:val="22"/>
          <w:szCs w:val="22"/>
          <w:lang w:eastAsia="it-IT"/>
        </w:rPr>
        <w:t>ta</w:t>
      </w:r>
      <w:r w:rsidRPr="003E01A4">
        <w:rPr>
          <w:rFonts w:ascii="Century Schoolbook" w:eastAsia="Times New Roman" w:hAnsi="Century Schoolbook" w:cs="Times New Roman"/>
          <w:sz w:val="22"/>
          <w:szCs w:val="22"/>
          <w:lang w:eastAsia="it-IT"/>
        </w:rPr>
        <w:t xml:space="preserve"> illegittima dalla</w:t>
      </w:r>
      <w:r w:rsidR="00927859" w:rsidRPr="003E01A4">
        <w:rPr>
          <w:rFonts w:ascii="Century Schoolbook" w:eastAsia="Times New Roman" w:hAnsi="Century Schoolbook" w:cs="Times New Roman"/>
          <w:sz w:val="22"/>
          <w:szCs w:val="22"/>
          <w:lang w:eastAsia="it-IT"/>
        </w:rPr>
        <w:t xml:space="preserve"> Corte </w:t>
      </w:r>
      <w:r w:rsidRPr="003E01A4">
        <w:rPr>
          <w:rFonts w:ascii="Century Schoolbook" w:eastAsia="Times New Roman" w:hAnsi="Century Schoolbook" w:cs="Times New Roman"/>
          <w:sz w:val="22"/>
          <w:szCs w:val="22"/>
          <w:lang w:eastAsia="it-IT"/>
        </w:rPr>
        <w:t>c</w:t>
      </w:r>
      <w:r w:rsidR="00927859" w:rsidRPr="003E01A4">
        <w:rPr>
          <w:rFonts w:ascii="Century Schoolbook" w:eastAsia="Times New Roman" w:hAnsi="Century Schoolbook" w:cs="Times New Roman"/>
          <w:sz w:val="22"/>
          <w:szCs w:val="22"/>
          <w:lang w:eastAsia="it-IT"/>
        </w:rPr>
        <w:t xml:space="preserve">ostituzionale con sentenza 26 giugno 2001, n. 206 </w:t>
      </w:r>
      <w:r w:rsidRPr="003E01A4">
        <w:rPr>
          <w:rFonts w:ascii="Century Schoolbook" w:eastAsia="Times New Roman" w:hAnsi="Century Schoolbook" w:cs="Times New Roman"/>
          <w:sz w:val="22"/>
          <w:szCs w:val="22"/>
          <w:lang w:eastAsia="it-IT"/>
        </w:rPr>
        <w:t>«</w:t>
      </w:r>
      <w:r w:rsidR="00927859" w:rsidRPr="003E01A4">
        <w:rPr>
          <w:rFonts w:ascii="Century Schoolbook" w:eastAsia="Times New Roman" w:hAnsi="Century Schoolbook" w:cs="Times New Roman"/>
          <w:sz w:val="22"/>
          <w:szCs w:val="22"/>
          <w:lang w:eastAsia="it-IT"/>
        </w:rPr>
        <w:t>nella parte in cui prevede che, ove la conferenza di servizi</w:t>
      </w:r>
      <w:r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registri un accordo sulla variazione dello strumento urbanistico, la</w:t>
      </w:r>
      <w:r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determinazione costituisce proposta di variante sulla quale si</w:t>
      </w:r>
      <w:r w:rsidRPr="003E01A4">
        <w:rPr>
          <w:rFonts w:ascii="Century Schoolbook" w:eastAsia="Times New Roman" w:hAnsi="Century Schoolbook" w:cs="Times New Roman"/>
          <w:sz w:val="22"/>
          <w:szCs w:val="22"/>
          <w:lang w:eastAsia="it-IT"/>
        </w:rPr>
        <w:t xml:space="preserve"> </w:t>
      </w:r>
      <w:r w:rsidR="00927859" w:rsidRPr="003E01A4">
        <w:rPr>
          <w:rFonts w:ascii="Century Schoolbook" w:eastAsia="Times New Roman" w:hAnsi="Century Schoolbook" w:cs="Times New Roman"/>
          <w:sz w:val="22"/>
          <w:szCs w:val="22"/>
          <w:lang w:eastAsia="it-IT"/>
        </w:rPr>
        <w:t xml:space="preserve">pronuncia definitivamente il consiglio comunale, </w:t>
      </w:r>
      <w:r w:rsidR="00927859" w:rsidRPr="003E01A4">
        <w:rPr>
          <w:rFonts w:ascii="Century Schoolbook" w:eastAsia="Times New Roman" w:hAnsi="Century Schoolbook" w:cs="Times New Roman"/>
          <w:i/>
          <w:iCs/>
          <w:sz w:val="22"/>
          <w:szCs w:val="22"/>
          <w:lang w:eastAsia="it-IT"/>
        </w:rPr>
        <w:t>anche quando vi sia</w:t>
      </w:r>
      <w:r w:rsidRPr="003E01A4">
        <w:rPr>
          <w:rFonts w:ascii="Century Schoolbook" w:eastAsia="Times New Roman" w:hAnsi="Century Schoolbook" w:cs="Times New Roman"/>
          <w:i/>
          <w:iCs/>
          <w:sz w:val="22"/>
          <w:szCs w:val="22"/>
          <w:lang w:eastAsia="it-IT"/>
        </w:rPr>
        <w:t xml:space="preserve"> </w:t>
      </w:r>
      <w:r w:rsidR="00927859" w:rsidRPr="003E01A4">
        <w:rPr>
          <w:rFonts w:ascii="Century Schoolbook" w:eastAsia="Times New Roman" w:hAnsi="Century Schoolbook" w:cs="Times New Roman"/>
          <w:i/>
          <w:iCs/>
          <w:sz w:val="22"/>
          <w:szCs w:val="22"/>
          <w:lang w:eastAsia="it-IT"/>
        </w:rPr>
        <w:t>il dissenso della regione</w:t>
      </w:r>
      <w:r w:rsidRPr="003E01A4">
        <w:rPr>
          <w:rFonts w:ascii="Century Schoolbook" w:eastAsia="Times New Roman" w:hAnsi="Century Schoolbook" w:cs="Times New Roman"/>
          <w:sz w:val="22"/>
          <w:szCs w:val="22"/>
          <w:lang w:eastAsia="it-IT"/>
        </w:rPr>
        <w:t>»</w:t>
      </w:r>
      <w:r w:rsidR="00927859" w:rsidRPr="003E01A4">
        <w:rPr>
          <w:rFonts w:ascii="Century Schoolbook" w:eastAsia="Times New Roman" w:hAnsi="Century Schoolbook" w:cs="Times New Roman"/>
          <w:sz w:val="22"/>
          <w:szCs w:val="22"/>
          <w:lang w:eastAsia="it-IT"/>
        </w:rPr>
        <w:t>.</w:t>
      </w:r>
    </w:p>
    <w:p w14:paraId="4DB25AA0" w14:textId="05F91653" w:rsidR="00826AA1" w:rsidRPr="003E01A4" w:rsidRDefault="009D442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Come si vede, l</w:t>
      </w:r>
      <w:r w:rsidR="00700EE7" w:rsidRPr="003E01A4">
        <w:rPr>
          <w:rFonts w:ascii="Century Schoolbook" w:eastAsia="Times New Roman" w:hAnsi="Century Schoolbook" w:cs="Times New Roman"/>
          <w:sz w:val="22"/>
          <w:szCs w:val="22"/>
          <w:lang w:eastAsia="it-IT"/>
        </w:rPr>
        <w:t xml:space="preserve">a Consulta </w:t>
      </w:r>
      <w:r w:rsidR="004364F5" w:rsidRPr="003E01A4">
        <w:rPr>
          <w:rFonts w:ascii="Century Schoolbook" w:eastAsia="Times New Roman" w:hAnsi="Century Schoolbook" w:cs="Times New Roman"/>
          <w:sz w:val="22"/>
          <w:szCs w:val="22"/>
          <w:lang w:eastAsia="it-IT"/>
        </w:rPr>
        <w:t xml:space="preserve">ha dato </w:t>
      </w:r>
      <w:r w:rsidR="00A908E2" w:rsidRPr="003E01A4">
        <w:rPr>
          <w:rFonts w:ascii="Century Schoolbook" w:eastAsia="Times New Roman" w:hAnsi="Century Schoolbook" w:cs="Times New Roman"/>
          <w:sz w:val="22"/>
          <w:szCs w:val="22"/>
          <w:lang w:eastAsia="it-IT"/>
        </w:rPr>
        <w:t xml:space="preserve">grande </w:t>
      </w:r>
      <w:r w:rsidR="00826AA1" w:rsidRPr="003E01A4">
        <w:rPr>
          <w:rFonts w:ascii="Century Schoolbook" w:eastAsia="Times New Roman" w:hAnsi="Century Schoolbook" w:cs="Times New Roman"/>
          <w:sz w:val="22"/>
          <w:szCs w:val="22"/>
          <w:lang w:eastAsia="it-IT"/>
        </w:rPr>
        <w:t xml:space="preserve">rilevanza al ruolo </w:t>
      </w:r>
      <w:r w:rsidR="00700EE7" w:rsidRPr="003E01A4">
        <w:rPr>
          <w:rFonts w:ascii="Century Schoolbook" w:eastAsia="Times New Roman" w:hAnsi="Century Schoolbook" w:cs="Times New Roman"/>
          <w:sz w:val="22"/>
          <w:szCs w:val="22"/>
          <w:lang w:eastAsia="it-IT"/>
        </w:rPr>
        <w:t>r</w:t>
      </w:r>
      <w:r w:rsidR="00826AA1" w:rsidRPr="003E01A4">
        <w:rPr>
          <w:rFonts w:ascii="Century Schoolbook" w:eastAsia="Times New Roman" w:hAnsi="Century Schoolbook" w:cs="Times New Roman"/>
          <w:sz w:val="22"/>
          <w:szCs w:val="22"/>
          <w:lang w:eastAsia="it-IT"/>
        </w:rPr>
        <w:t>egion</w:t>
      </w:r>
      <w:r w:rsidR="00700EE7" w:rsidRPr="003E01A4">
        <w:rPr>
          <w:rFonts w:ascii="Century Schoolbook" w:eastAsia="Times New Roman" w:hAnsi="Century Schoolbook" w:cs="Times New Roman"/>
          <w:sz w:val="22"/>
          <w:szCs w:val="22"/>
          <w:lang w:eastAsia="it-IT"/>
        </w:rPr>
        <w:t>al</w:t>
      </w:r>
      <w:r w:rsidR="00826AA1" w:rsidRPr="003E01A4">
        <w:rPr>
          <w:rFonts w:ascii="Century Schoolbook" w:eastAsia="Times New Roman" w:hAnsi="Century Schoolbook" w:cs="Times New Roman"/>
          <w:sz w:val="22"/>
          <w:szCs w:val="22"/>
          <w:lang w:eastAsia="it-IT"/>
        </w:rPr>
        <w:t>e</w:t>
      </w:r>
      <w:r w:rsidRPr="003E01A4">
        <w:rPr>
          <w:rFonts w:ascii="Century Schoolbook" w:eastAsia="Times New Roman" w:hAnsi="Century Schoolbook" w:cs="Times New Roman"/>
          <w:sz w:val="22"/>
          <w:szCs w:val="22"/>
          <w:lang w:eastAsia="it-IT"/>
        </w:rPr>
        <w:t xml:space="preserve"> in questi procedimenti, </w:t>
      </w:r>
      <w:r w:rsidR="00700EE7" w:rsidRPr="003E01A4">
        <w:rPr>
          <w:rFonts w:ascii="Century Schoolbook" w:eastAsia="Times New Roman" w:hAnsi="Century Schoolbook" w:cs="Times New Roman"/>
          <w:sz w:val="22"/>
          <w:szCs w:val="22"/>
          <w:lang w:eastAsia="it-IT"/>
        </w:rPr>
        <w:t xml:space="preserve">in cui </w:t>
      </w:r>
      <w:r w:rsidR="00A908E2" w:rsidRPr="003E01A4">
        <w:rPr>
          <w:rFonts w:ascii="Century Schoolbook" w:eastAsia="Times New Roman" w:hAnsi="Century Schoolbook" w:cs="Times New Roman"/>
          <w:sz w:val="22"/>
          <w:szCs w:val="22"/>
          <w:lang w:eastAsia="it-IT"/>
        </w:rPr>
        <w:t xml:space="preserve">la norma </w:t>
      </w:r>
      <w:r w:rsidR="00700EE7" w:rsidRPr="003E01A4">
        <w:rPr>
          <w:rFonts w:ascii="Century Schoolbook" w:eastAsia="Times New Roman" w:hAnsi="Century Schoolbook" w:cs="Times New Roman"/>
          <w:sz w:val="22"/>
          <w:szCs w:val="22"/>
          <w:lang w:eastAsia="it-IT"/>
        </w:rPr>
        <w:t xml:space="preserve">non </w:t>
      </w:r>
      <w:r w:rsidR="00A908E2" w:rsidRPr="003E01A4">
        <w:rPr>
          <w:rFonts w:ascii="Century Schoolbook" w:eastAsia="Times New Roman" w:hAnsi="Century Schoolbook" w:cs="Times New Roman"/>
          <w:sz w:val="22"/>
          <w:szCs w:val="22"/>
          <w:lang w:eastAsia="it-IT"/>
        </w:rPr>
        <w:t>concede</w:t>
      </w:r>
      <w:r w:rsidR="00700EE7" w:rsidRPr="003E01A4">
        <w:rPr>
          <w:rFonts w:ascii="Century Schoolbook" w:eastAsia="Times New Roman" w:hAnsi="Century Schoolbook" w:cs="Times New Roman"/>
          <w:sz w:val="22"/>
          <w:szCs w:val="22"/>
          <w:lang w:eastAsia="it-IT"/>
        </w:rPr>
        <w:t xml:space="preserve"> </w:t>
      </w:r>
      <w:r w:rsidR="00826AA1" w:rsidRPr="003E01A4">
        <w:rPr>
          <w:rFonts w:ascii="Century Schoolbook" w:eastAsia="Times New Roman" w:hAnsi="Century Schoolbook" w:cs="Times New Roman"/>
          <w:sz w:val="22"/>
          <w:szCs w:val="22"/>
          <w:lang w:eastAsia="it-IT"/>
        </w:rPr>
        <w:t xml:space="preserve">spazio per un ulteriore segmento approvativo di competenza </w:t>
      </w:r>
      <w:r w:rsidR="00700EE7" w:rsidRPr="003E01A4">
        <w:rPr>
          <w:rFonts w:ascii="Century Schoolbook" w:eastAsia="Times New Roman" w:hAnsi="Century Schoolbook" w:cs="Times New Roman"/>
          <w:sz w:val="22"/>
          <w:szCs w:val="22"/>
          <w:lang w:eastAsia="it-IT"/>
        </w:rPr>
        <w:t>appunto della Regione:</w:t>
      </w:r>
      <w:r w:rsidR="00826AA1" w:rsidRPr="003E01A4">
        <w:rPr>
          <w:rFonts w:ascii="Century Schoolbook" w:eastAsia="Times New Roman" w:hAnsi="Century Schoolbook" w:cs="Times New Roman"/>
          <w:sz w:val="22"/>
          <w:szCs w:val="22"/>
          <w:lang w:eastAsia="it-IT"/>
        </w:rPr>
        <w:t xml:space="preserve"> la quale </w:t>
      </w:r>
      <w:r w:rsidR="00700EE7" w:rsidRPr="003E01A4">
        <w:rPr>
          <w:rFonts w:ascii="Century Schoolbook" w:eastAsia="Times New Roman" w:hAnsi="Century Schoolbook" w:cs="Times New Roman"/>
          <w:sz w:val="22"/>
          <w:szCs w:val="22"/>
          <w:lang w:eastAsia="it-IT"/>
        </w:rPr>
        <w:t xml:space="preserve">avrebbe </w:t>
      </w:r>
      <w:r w:rsidR="00826AA1" w:rsidRPr="003E01A4">
        <w:rPr>
          <w:rFonts w:ascii="Century Schoolbook" w:eastAsia="Times New Roman" w:hAnsi="Century Schoolbook" w:cs="Times New Roman"/>
          <w:sz w:val="22"/>
          <w:szCs w:val="22"/>
          <w:lang w:eastAsia="it-IT"/>
        </w:rPr>
        <w:t>pot</w:t>
      </w:r>
      <w:r w:rsidR="00700EE7" w:rsidRPr="003E01A4">
        <w:rPr>
          <w:rFonts w:ascii="Century Schoolbook" w:eastAsia="Times New Roman" w:hAnsi="Century Schoolbook" w:cs="Times New Roman"/>
          <w:sz w:val="22"/>
          <w:szCs w:val="22"/>
          <w:lang w:eastAsia="it-IT"/>
        </w:rPr>
        <w:t>uto</w:t>
      </w:r>
      <w:r w:rsidR="00826AA1" w:rsidRPr="003E01A4">
        <w:rPr>
          <w:rFonts w:ascii="Century Schoolbook" w:eastAsia="Times New Roman" w:hAnsi="Century Schoolbook" w:cs="Times New Roman"/>
          <w:sz w:val="22"/>
          <w:szCs w:val="22"/>
          <w:lang w:eastAsia="it-IT"/>
        </w:rPr>
        <w:t xml:space="preserve"> </w:t>
      </w:r>
      <w:r w:rsidR="00A908E2" w:rsidRPr="003E01A4">
        <w:rPr>
          <w:rFonts w:ascii="Century Schoolbook" w:eastAsia="Times New Roman" w:hAnsi="Century Schoolbook" w:cs="Times New Roman"/>
          <w:sz w:val="22"/>
          <w:szCs w:val="22"/>
          <w:lang w:eastAsia="it-IT"/>
        </w:rPr>
        <w:t xml:space="preserve">quindi </w:t>
      </w:r>
      <w:r w:rsidR="00826AA1" w:rsidRPr="003E01A4">
        <w:rPr>
          <w:rFonts w:ascii="Century Schoolbook" w:eastAsia="Times New Roman" w:hAnsi="Century Schoolbook" w:cs="Times New Roman"/>
          <w:sz w:val="22"/>
          <w:szCs w:val="22"/>
          <w:lang w:eastAsia="it-IT"/>
        </w:rPr>
        <w:t xml:space="preserve">rappresentare il proprio </w:t>
      </w:r>
      <w:r w:rsidR="004872A9" w:rsidRPr="003E01A4">
        <w:rPr>
          <w:rFonts w:ascii="Century Schoolbook" w:eastAsia="Times New Roman" w:hAnsi="Century Schoolbook" w:cs="Times New Roman"/>
          <w:sz w:val="22"/>
          <w:szCs w:val="22"/>
          <w:lang w:eastAsia="it-IT"/>
        </w:rPr>
        <w:t>intendimento</w:t>
      </w:r>
      <w:r w:rsidR="00826AA1" w:rsidRPr="003E01A4">
        <w:rPr>
          <w:rFonts w:ascii="Century Schoolbook" w:eastAsia="Times New Roman" w:hAnsi="Century Schoolbook" w:cs="Times New Roman"/>
          <w:sz w:val="22"/>
          <w:szCs w:val="22"/>
          <w:lang w:eastAsia="it-IT"/>
        </w:rPr>
        <w:t xml:space="preserve"> unicamente in seno alla riunione, ivi esprimendo il proprio assenso o il proprio motivato dissenso: quest’ultimo, peraltro, non esplicitamente assistito da effetti di blocco della decisione conferenziale.</w:t>
      </w:r>
    </w:p>
    <w:p w14:paraId="402A810C" w14:textId="77777777" w:rsidR="009D442B" w:rsidRPr="003E01A4" w:rsidRDefault="00700EE7"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S</w:t>
      </w:r>
      <w:r w:rsidR="00826AA1" w:rsidRPr="003E01A4">
        <w:rPr>
          <w:rFonts w:ascii="Century Schoolbook" w:eastAsia="Times New Roman" w:hAnsi="Century Schoolbook" w:cs="Times New Roman"/>
          <w:sz w:val="22"/>
          <w:szCs w:val="22"/>
          <w:lang w:eastAsia="it-IT"/>
        </w:rPr>
        <w:t xml:space="preserve">econdo la Corte, </w:t>
      </w:r>
      <w:r w:rsidR="00A908E2" w:rsidRPr="003E01A4">
        <w:rPr>
          <w:rFonts w:ascii="Century Schoolbook" w:eastAsia="Times New Roman" w:hAnsi="Century Schoolbook" w:cs="Times New Roman"/>
          <w:sz w:val="22"/>
          <w:szCs w:val="22"/>
          <w:lang w:eastAsia="it-IT"/>
        </w:rPr>
        <w:t xml:space="preserve">però, </w:t>
      </w:r>
      <w:r w:rsidR="00826AA1" w:rsidRPr="003E01A4">
        <w:rPr>
          <w:rFonts w:ascii="Century Schoolbook" w:eastAsia="Times New Roman" w:hAnsi="Century Schoolbook" w:cs="Times New Roman"/>
          <w:sz w:val="22"/>
          <w:szCs w:val="22"/>
          <w:lang w:eastAsia="it-IT"/>
        </w:rPr>
        <w:t>ciò «equivale a consentire che lo strumento urbanistico sia modificato senza il consenso della Regione, con conseguente lesione della competenza regionale in materia urbanistica»</w:t>
      </w:r>
      <w:r w:rsidR="009D442B" w:rsidRPr="003E01A4">
        <w:rPr>
          <w:rFonts w:ascii="Century Schoolbook" w:eastAsia="Times New Roman" w:hAnsi="Century Schoolbook" w:cs="Times New Roman"/>
          <w:sz w:val="22"/>
          <w:szCs w:val="22"/>
          <w:lang w:eastAsia="it-IT"/>
        </w:rPr>
        <w:t>.</w:t>
      </w:r>
    </w:p>
    <w:p w14:paraId="2D6DFCAA" w14:textId="3F916C43" w:rsidR="00700EE7" w:rsidRPr="003E01A4" w:rsidRDefault="009D442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 Effetto </w:t>
      </w:r>
      <w:r w:rsidRPr="003E01A4">
        <w:rPr>
          <w:rFonts w:ascii="Century Schoolbook" w:eastAsia="Times New Roman" w:hAnsi="Century Schoolbook" w:cs="Times New Roman"/>
          <w:i/>
          <w:iCs/>
          <w:sz w:val="22"/>
          <w:szCs w:val="22"/>
          <w:lang w:eastAsia="it-IT"/>
        </w:rPr>
        <w:t>oggettivo</w:t>
      </w:r>
      <w:r w:rsidRPr="003E01A4">
        <w:rPr>
          <w:rFonts w:ascii="Century Schoolbook" w:eastAsia="Times New Roman" w:hAnsi="Century Schoolbook" w:cs="Times New Roman"/>
          <w:sz w:val="22"/>
          <w:szCs w:val="22"/>
          <w:lang w:eastAsia="it-IT"/>
        </w:rPr>
        <w:t xml:space="preserve"> della pronuncia è </w:t>
      </w:r>
      <w:r w:rsidR="00700EE7" w:rsidRPr="003E01A4">
        <w:rPr>
          <w:rFonts w:ascii="Century Schoolbook" w:eastAsia="Times New Roman" w:hAnsi="Century Schoolbook" w:cs="Times New Roman"/>
          <w:sz w:val="22"/>
          <w:szCs w:val="22"/>
          <w:lang w:eastAsia="it-IT"/>
        </w:rPr>
        <w:t xml:space="preserve">un ulteriore allungamento </w:t>
      </w:r>
      <w:r w:rsidR="004364F5" w:rsidRPr="003E01A4">
        <w:rPr>
          <w:rFonts w:ascii="Century Schoolbook" w:eastAsia="Times New Roman" w:hAnsi="Century Schoolbook" w:cs="Times New Roman"/>
          <w:sz w:val="22"/>
          <w:szCs w:val="22"/>
          <w:lang w:eastAsia="it-IT"/>
        </w:rPr>
        <w:t xml:space="preserve">dei tempi della decisione e un ulteriore </w:t>
      </w:r>
      <w:r w:rsidR="004364F5" w:rsidRPr="003E01A4">
        <w:rPr>
          <w:rFonts w:ascii="Century Schoolbook" w:eastAsia="Times New Roman" w:hAnsi="Century Schoolbook" w:cs="Times New Roman"/>
          <w:i/>
          <w:iCs/>
          <w:sz w:val="22"/>
          <w:szCs w:val="22"/>
          <w:lang w:eastAsia="it-IT"/>
        </w:rPr>
        <w:t>vulnus</w:t>
      </w:r>
      <w:r w:rsidR="004364F5" w:rsidRPr="003E01A4">
        <w:rPr>
          <w:rFonts w:ascii="Century Schoolbook" w:eastAsia="Times New Roman" w:hAnsi="Century Schoolbook" w:cs="Times New Roman"/>
          <w:sz w:val="22"/>
          <w:szCs w:val="22"/>
          <w:lang w:eastAsia="it-IT"/>
        </w:rPr>
        <w:t xml:space="preserve"> al principio di unicità.</w:t>
      </w:r>
      <w:r w:rsidRPr="003E01A4">
        <w:rPr>
          <w:rFonts w:ascii="Century Schoolbook" w:eastAsia="Times New Roman" w:hAnsi="Century Schoolbook" w:cs="Times New Roman"/>
          <w:sz w:val="22"/>
          <w:szCs w:val="22"/>
          <w:lang w:eastAsia="it-IT"/>
        </w:rPr>
        <w:t xml:space="preserve"> </w:t>
      </w:r>
      <w:r w:rsidR="00700EE7" w:rsidRPr="003E01A4">
        <w:rPr>
          <w:rFonts w:ascii="Century Schoolbook" w:eastAsia="Times New Roman" w:hAnsi="Century Schoolbook" w:cs="Times New Roman"/>
          <w:sz w:val="22"/>
          <w:szCs w:val="22"/>
          <w:lang w:eastAsia="it-IT"/>
        </w:rPr>
        <w:t>Eppure la sentenza n. 206/’01 non si è rivelata un argine davvero insormontabile all</w:t>
      </w:r>
      <w:r w:rsidR="004364F5" w:rsidRPr="003E01A4">
        <w:rPr>
          <w:rFonts w:ascii="Century Schoolbook" w:eastAsia="Times New Roman" w:hAnsi="Century Schoolbook" w:cs="Times New Roman"/>
          <w:sz w:val="22"/>
          <w:szCs w:val="22"/>
          <w:lang w:eastAsia="it-IT"/>
        </w:rPr>
        <w:t xml:space="preserve">a concentrazione del </w:t>
      </w:r>
      <w:r w:rsidR="004364F5" w:rsidRPr="003E01A4">
        <w:rPr>
          <w:rFonts w:ascii="Century Schoolbook" w:eastAsia="Times New Roman" w:hAnsi="Century Schoolbook" w:cs="Times New Roman"/>
          <w:i/>
          <w:iCs/>
          <w:sz w:val="22"/>
          <w:szCs w:val="22"/>
          <w:lang w:eastAsia="it-IT"/>
        </w:rPr>
        <w:t>decision making</w:t>
      </w:r>
      <w:r w:rsidR="004364F5" w:rsidRPr="003E01A4">
        <w:rPr>
          <w:rFonts w:ascii="Century Schoolbook" w:eastAsia="Times New Roman" w:hAnsi="Century Schoolbook" w:cs="Times New Roman"/>
          <w:sz w:val="22"/>
          <w:szCs w:val="22"/>
          <w:lang w:eastAsia="it-IT"/>
        </w:rPr>
        <w:t xml:space="preserve"> n</w:t>
      </w:r>
      <w:r w:rsidR="00A908E2" w:rsidRPr="003E01A4">
        <w:rPr>
          <w:rFonts w:ascii="Century Schoolbook" w:eastAsia="Times New Roman" w:hAnsi="Century Schoolbook" w:cs="Times New Roman"/>
          <w:sz w:val="22"/>
          <w:szCs w:val="22"/>
          <w:lang w:eastAsia="it-IT"/>
        </w:rPr>
        <w:t>ella</w:t>
      </w:r>
      <w:r w:rsidR="004364F5" w:rsidRPr="003E01A4">
        <w:rPr>
          <w:rFonts w:ascii="Century Schoolbook" w:eastAsia="Times New Roman" w:hAnsi="Century Schoolbook" w:cs="Times New Roman"/>
          <w:sz w:val="22"/>
          <w:szCs w:val="22"/>
          <w:lang w:eastAsia="it-IT"/>
        </w:rPr>
        <w:t xml:space="preserve"> sede </w:t>
      </w:r>
      <w:r w:rsidR="00A908E2" w:rsidRPr="003E01A4">
        <w:rPr>
          <w:rFonts w:ascii="Century Schoolbook" w:eastAsia="Times New Roman" w:hAnsi="Century Schoolbook" w:cs="Times New Roman"/>
          <w:sz w:val="22"/>
          <w:szCs w:val="22"/>
          <w:lang w:eastAsia="it-IT"/>
        </w:rPr>
        <w:t xml:space="preserve">unica </w:t>
      </w:r>
      <w:r w:rsidR="004364F5" w:rsidRPr="003E01A4">
        <w:rPr>
          <w:rFonts w:ascii="Century Schoolbook" w:eastAsia="Times New Roman" w:hAnsi="Century Schoolbook" w:cs="Times New Roman"/>
          <w:sz w:val="22"/>
          <w:szCs w:val="22"/>
          <w:lang w:eastAsia="it-IT"/>
        </w:rPr>
        <w:t>conferenziale</w:t>
      </w:r>
      <w:r w:rsidR="00700EE7" w:rsidRPr="003E01A4">
        <w:rPr>
          <w:rFonts w:ascii="Century Schoolbook" w:eastAsia="Times New Roman" w:hAnsi="Century Schoolbook" w:cs="Times New Roman"/>
          <w:sz w:val="22"/>
          <w:szCs w:val="22"/>
          <w:lang w:eastAsia="it-IT"/>
        </w:rPr>
        <w:t xml:space="preserve">, se poi la giurisprudenza </w:t>
      </w:r>
      <w:r w:rsidR="004364F5" w:rsidRPr="003E01A4">
        <w:rPr>
          <w:rFonts w:ascii="Century Schoolbook" w:eastAsia="Times New Roman" w:hAnsi="Century Schoolbook" w:cs="Times New Roman"/>
          <w:sz w:val="22"/>
          <w:szCs w:val="22"/>
          <w:lang w:eastAsia="it-IT"/>
        </w:rPr>
        <w:t xml:space="preserve">amministrativa </w:t>
      </w:r>
      <w:r w:rsidR="00700EE7" w:rsidRPr="003E01A4">
        <w:rPr>
          <w:rFonts w:ascii="Century Schoolbook" w:eastAsia="Times New Roman" w:hAnsi="Century Schoolbook" w:cs="Times New Roman"/>
          <w:sz w:val="22"/>
          <w:szCs w:val="22"/>
          <w:lang w:eastAsia="it-IT"/>
        </w:rPr>
        <w:t xml:space="preserve">ha comunque potuto </w:t>
      </w:r>
      <w:r w:rsidR="004364F5" w:rsidRPr="003E01A4">
        <w:rPr>
          <w:rFonts w:ascii="Century Schoolbook" w:eastAsia="Times New Roman" w:hAnsi="Century Schoolbook" w:cs="Times New Roman"/>
          <w:sz w:val="22"/>
          <w:szCs w:val="22"/>
          <w:lang w:eastAsia="it-IT"/>
        </w:rPr>
        <w:t xml:space="preserve">sostanzialmente eluderla </w:t>
      </w:r>
      <w:r w:rsidR="00700EE7" w:rsidRPr="003E01A4">
        <w:rPr>
          <w:rFonts w:ascii="Century Schoolbook" w:eastAsia="Times New Roman" w:hAnsi="Century Schoolbook" w:cs="Times New Roman"/>
          <w:sz w:val="22"/>
          <w:szCs w:val="22"/>
          <w:lang w:eastAsia="it-IT"/>
        </w:rPr>
        <w:t>muovendosi sul piano meramente</w:t>
      </w:r>
      <w:r w:rsidR="00ED6A15" w:rsidRPr="003E01A4">
        <w:rPr>
          <w:rFonts w:ascii="Century Schoolbook" w:eastAsia="Times New Roman" w:hAnsi="Century Schoolbook" w:cs="Times New Roman"/>
          <w:sz w:val="22"/>
          <w:szCs w:val="22"/>
          <w:lang w:eastAsia="it-IT"/>
        </w:rPr>
        <w:t xml:space="preserve"> interpretativo</w:t>
      </w:r>
      <w:r w:rsidR="00700EE7" w:rsidRPr="003E01A4">
        <w:rPr>
          <w:rFonts w:ascii="Century Schoolbook" w:eastAsia="Times New Roman" w:hAnsi="Century Schoolbook" w:cs="Times New Roman"/>
          <w:sz w:val="22"/>
          <w:szCs w:val="22"/>
          <w:lang w:eastAsia="it-IT"/>
        </w:rPr>
        <w:t>.</w:t>
      </w:r>
      <w:r w:rsidR="000E50E5" w:rsidRPr="003E01A4">
        <w:rPr>
          <w:rFonts w:ascii="Century Schoolbook" w:eastAsia="Times New Roman" w:hAnsi="Century Schoolbook" w:cs="Times New Roman"/>
          <w:sz w:val="22"/>
          <w:szCs w:val="22"/>
          <w:lang w:eastAsia="it-IT"/>
        </w:rPr>
        <w:t xml:space="preserve"> </w:t>
      </w:r>
      <w:r w:rsidR="004364F5" w:rsidRPr="003E01A4">
        <w:rPr>
          <w:rFonts w:ascii="Century Schoolbook" w:eastAsia="Times New Roman" w:hAnsi="Century Schoolbook" w:cs="Times New Roman"/>
          <w:sz w:val="22"/>
          <w:szCs w:val="22"/>
          <w:lang w:eastAsia="it-IT"/>
        </w:rPr>
        <w:t>I</w:t>
      </w:r>
      <w:r w:rsidR="00700EE7" w:rsidRPr="003E01A4">
        <w:rPr>
          <w:rFonts w:ascii="Century Schoolbook" w:eastAsia="Times New Roman" w:hAnsi="Century Schoolbook" w:cs="Times New Roman"/>
          <w:sz w:val="22"/>
          <w:szCs w:val="22"/>
          <w:lang w:eastAsia="it-IT"/>
        </w:rPr>
        <w:t>l giudice territoriale</w:t>
      </w:r>
      <w:r w:rsidR="00671965" w:rsidRPr="003E01A4">
        <w:rPr>
          <w:rStyle w:val="Rimandonotaapidipagina"/>
          <w:rFonts w:ascii="Century Schoolbook" w:eastAsia="Times New Roman" w:hAnsi="Century Schoolbook" w:cs="Times New Roman"/>
          <w:sz w:val="22"/>
          <w:szCs w:val="22"/>
          <w:lang w:eastAsia="it-IT"/>
        </w:rPr>
        <w:footnoteReference w:id="1"/>
      </w:r>
      <w:r w:rsidR="004364F5" w:rsidRPr="003E01A4">
        <w:rPr>
          <w:rFonts w:ascii="Century Schoolbook" w:eastAsia="Times New Roman" w:hAnsi="Century Schoolbook" w:cs="Times New Roman"/>
          <w:sz w:val="22"/>
          <w:szCs w:val="22"/>
          <w:lang w:eastAsia="it-IT"/>
        </w:rPr>
        <w:t xml:space="preserve"> </w:t>
      </w:r>
      <w:r w:rsidR="00700EE7" w:rsidRPr="003E01A4">
        <w:rPr>
          <w:rFonts w:ascii="Century Schoolbook" w:eastAsia="Times New Roman" w:hAnsi="Century Schoolbook" w:cs="Times New Roman"/>
          <w:sz w:val="22"/>
          <w:szCs w:val="22"/>
          <w:lang w:eastAsia="it-IT"/>
        </w:rPr>
        <w:t xml:space="preserve">ha </w:t>
      </w:r>
      <w:r w:rsidR="004364F5" w:rsidRPr="003E01A4">
        <w:rPr>
          <w:rFonts w:ascii="Century Schoolbook" w:eastAsia="Times New Roman" w:hAnsi="Century Schoolbook" w:cs="Times New Roman"/>
          <w:sz w:val="22"/>
          <w:szCs w:val="22"/>
          <w:lang w:eastAsia="it-IT"/>
        </w:rPr>
        <w:t xml:space="preserve">infatti </w:t>
      </w:r>
      <w:r w:rsidR="00700EE7" w:rsidRPr="003E01A4">
        <w:rPr>
          <w:rFonts w:ascii="Century Schoolbook" w:eastAsia="Times New Roman" w:hAnsi="Century Schoolbook" w:cs="Times New Roman"/>
          <w:sz w:val="22"/>
          <w:szCs w:val="22"/>
          <w:lang w:eastAsia="it-IT"/>
        </w:rPr>
        <w:t xml:space="preserve">affermato – richiamando proprio C. cost. n. 206/’01 cit. – il carattere </w:t>
      </w:r>
      <w:r w:rsidR="004364F5" w:rsidRPr="003E01A4">
        <w:rPr>
          <w:rFonts w:ascii="Century Schoolbook" w:eastAsia="Times New Roman" w:hAnsi="Century Schoolbook" w:cs="Times New Roman"/>
          <w:sz w:val="22"/>
          <w:szCs w:val="22"/>
          <w:lang w:eastAsia="it-IT"/>
        </w:rPr>
        <w:t xml:space="preserve">solo </w:t>
      </w:r>
      <w:r w:rsidR="00700EE7" w:rsidRPr="003E01A4">
        <w:rPr>
          <w:rFonts w:ascii="Century Schoolbook" w:eastAsia="Times New Roman" w:hAnsi="Century Schoolbook" w:cs="Times New Roman"/>
          <w:i/>
          <w:iCs/>
          <w:sz w:val="22"/>
          <w:szCs w:val="22"/>
          <w:lang w:eastAsia="it-IT"/>
        </w:rPr>
        <w:t>endoprocedimentale</w:t>
      </w:r>
      <w:r w:rsidR="00700EE7" w:rsidRPr="003E01A4">
        <w:rPr>
          <w:rFonts w:ascii="Century Schoolbook" w:eastAsia="Times New Roman" w:hAnsi="Century Schoolbook" w:cs="Times New Roman"/>
          <w:sz w:val="22"/>
          <w:szCs w:val="22"/>
          <w:lang w:eastAsia="it-IT"/>
        </w:rPr>
        <w:t xml:space="preserve"> dell’apporto regionale alla conferenza di servizi</w:t>
      </w:r>
      <w:r w:rsidR="00C52CA8" w:rsidRPr="003E01A4">
        <w:rPr>
          <w:rFonts w:ascii="Century Schoolbook" w:eastAsia="Times New Roman" w:hAnsi="Century Schoolbook" w:cs="Times New Roman"/>
          <w:sz w:val="22"/>
          <w:szCs w:val="22"/>
          <w:lang w:eastAsia="it-IT"/>
        </w:rPr>
        <w:t>: i</w:t>
      </w:r>
      <w:r w:rsidR="00700EE7" w:rsidRPr="003E01A4">
        <w:rPr>
          <w:rFonts w:ascii="Century Schoolbook" w:eastAsia="Times New Roman" w:hAnsi="Century Schoolbook" w:cs="Times New Roman"/>
          <w:sz w:val="22"/>
          <w:szCs w:val="22"/>
          <w:lang w:eastAsia="it-IT"/>
        </w:rPr>
        <w:t>n altre parole, la Regione «non può considerarsi autrice» dell’atto conclusivo, «ma, al più, della sola proposta che viene approvata in conferenza e sulla quale si esprime definitivamente il solo Consiglio comunale. Pertanto, fatto salvo un espresso intervento dissenziente della Regione, la variante può perfezionarsi indipendentemente da un consapevole apporto di quest’ultima. La disposizione costituisce una evidente attenuazione del principio dello strumento urbanistico generale quale atto complesso in quanto il concorso della Regione non è più richiesto ai fini del perfezionamento dell’atto, ma al più quale parere obbligatorio e vincolante, da ritenersi positivamente acquisito anche nelle ipotesi di silenzio».</w:t>
      </w:r>
    </w:p>
    <w:p w14:paraId="383E24E6" w14:textId="6FEF5E66" w:rsidR="000C63B3" w:rsidRPr="003E01A4" w:rsidRDefault="000C63B3"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Siamo così arrivati </w:t>
      </w:r>
      <w:r w:rsidR="00543AEB" w:rsidRPr="003E01A4">
        <w:rPr>
          <w:rFonts w:ascii="Century Schoolbook" w:eastAsia="Times New Roman" w:hAnsi="Century Schoolbook" w:cs="Times New Roman"/>
          <w:sz w:val="22"/>
          <w:szCs w:val="22"/>
          <w:lang w:eastAsia="it-IT"/>
        </w:rPr>
        <w:t>all</w:t>
      </w:r>
      <w:r w:rsidR="00862BF1" w:rsidRPr="003E01A4">
        <w:rPr>
          <w:rFonts w:ascii="Century Schoolbook" w:eastAsia="Times New Roman" w:hAnsi="Century Schoolbook" w:cs="Times New Roman"/>
          <w:sz w:val="22"/>
          <w:szCs w:val="22"/>
          <w:lang w:eastAsia="it-IT"/>
        </w:rPr>
        <w:t>a procedura in variante</w:t>
      </w:r>
      <w:r w:rsidR="00543AEB" w:rsidRPr="003E01A4">
        <w:rPr>
          <w:rFonts w:ascii="Century Schoolbook" w:eastAsia="Times New Roman" w:hAnsi="Century Schoolbook" w:cs="Times New Roman"/>
          <w:sz w:val="22"/>
          <w:szCs w:val="22"/>
          <w:lang w:eastAsia="it-IT"/>
        </w:rPr>
        <w:t xml:space="preserve"> </w:t>
      </w:r>
      <w:r w:rsidR="00862BF1" w:rsidRPr="003E01A4">
        <w:rPr>
          <w:rFonts w:ascii="Century Schoolbook" w:eastAsia="Times New Roman" w:hAnsi="Century Schoolbook" w:cs="Times New Roman"/>
          <w:sz w:val="22"/>
          <w:szCs w:val="22"/>
          <w:lang w:eastAsia="it-IT"/>
        </w:rPr>
        <w:t xml:space="preserve">prevista dallo </w:t>
      </w:r>
      <w:r w:rsidR="00543AEB" w:rsidRPr="003E01A4">
        <w:rPr>
          <w:rFonts w:ascii="Century Schoolbook" w:eastAsia="Times New Roman" w:hAnsi="Century Schoolbook" w:cs="Times New Roman"/>
          <w:sz w:val="22"/>
          <w:szCs w:val="22"/>
          <w:lang w:eastAsia="it-IT"/>
        </w:rPr>
        <w:t>sportello</w:t>
      </w:r>
      <w:r w:rsidR="00054E54" w:rsidRPr="003E01A4">
        <w:rPr>
          <w:rFonts w:ascii="Century Schoolbook" w:eastAsia="Times New Roman" w:hAnsi="Century Schoolbook" w:cs="Times New Roman"/>
          <w:sz w:val="22"/>
          <w:szCs w:val="22"/>
          <w:lang w:eastAsia="it-IT"/>
        </w:rPr>
        <w:t xml:space="preserve"> </w:t>
      </w:r>
      <w:r w:rsidR="00B9749A" w:rsidRPr="003E01A4">
        <w:rPr>
          <w:rFonts w:ascii="Century Schoolbook" w:eastAsia="Times New Roman" w:hAnsi="Century Schoolbook" w:cs="Times New Roman"/>
          <w:sz w:val="22"/>
          <w:szCs w:val="22"/>
          <w:lang w:eastAsia="it-IT"/>
        </w:rPr>
        <w:t xml:space="preserve">delle imprese: previsto dall’art. 5, d.P.R. 20 ottobre 1998, n. 447 e almeno </w:t>
      </w:r>
      <w:r w:rsidR="000478E3" w:rsidRPr="003E01A4">
        <w:rPr>
          <w:rFonts w:ascii="Century Schoolbook" w:eastAsia="Times New Roman" w:hAnsi="Century Schoolbook" w:cs="Times New Roman"/>
          <w:i/>
          <w:iCs/>
          <w:sz w:val="22"/>
          <w:szCs w:val="22"/>
          <w:lang w:eastAsia="it-IT"/>
        </w:rPr>
        <w:t>in votis</w:t>
      </w:r>
      <w:r w:rsidR="000478E3" w:rsidRPr="003E01A4">
        <w:rPr>
          <w:rFonts w:ascii="Century Schoolbook" w:eastAsia="Times New Roman" w:hAnsi="Century Schoolbook" w:cs="Times New Roman"/>
          <w:sz w:val="22"/>
          <w:szCs w:val="22"/>
          <w:lang w:eastAsia="it-IT"/>
        </w:rPr>
        <w:t xml:space="preserve"> </w:t>
      </w:r>
      <w:r w:rsidR="00B9749A" w:rsidRPr="003E01A4">
        <w:rPr>
          <w:rFonts w:ascii="Century Schoolbook" w:eastAsia="Times New Roman" w:hAnsi="Century Schoolbook" w:cs="Times New Roman"/>
          <w:sz w:val="22"/>
          <w:szCs w:val="22"/>
          <w:lang w:eastAsia="it-IT"/>
        </w:rPr>
        <w:t xml:space="preserve">– </w:t>
      </w:r>
      <w:r w:rsidR="00054E54" w:rsidRPr="003E01A4">
        <w:rPr>
          <w:rFonts w:ascii="Century Schoolbook" w:eastAsia="Times New Roman" w:hAnsi="Century Schoolbook" w:cs="Times New Roman"/>
          <w:sz w:val="22"/>
          <w:szCs w:val="22"/>
          <w:lang w:eastAsia="it-IT"/>
        </w:rPr>
        <w:t>ovviamente</w:t>
      </w:r>
      <w:r w:rsidR="00543AEB" w:rsidRPr="003E01A4">
        <w:rPr>
          <w:rFonts w:ascii="Century Schoolbook" w:eastAsia="Times New Roman" w:hAnsi="Century Schoolbook" w:cs="Times New Roman"/>
          <w:sz w:val="22"/>
          <w:szCs w:val="22"/>
          <w:lang w:eastAsia="it-IT"/>
        </w:rPr>
        <w:t xml:space="preserve"> </w:t>
      </w:r>
      <w:r w:rsidR="00B9749A" w:rsidRPr="003E01A4">
        <w:rPr>
          <w:rFonts w:ascii="Century Schoolbook" w:eastAsia="Times New Roman" w:hAnsi="Century Schoolbook" w:cs="Times New Roman"/>
          <w:sz w:val="22"/>
          <w:szCs w:val="22"/>
          <w:lang w:eastAsia="it-IT"/>
        </w:rPr>
        <w:t xml:space="preserve">– </w:t>
      </w:r>
      <w:r w:rsidR="00543AEB" w:rsidRPr="003E01A4">
        <w:rPr>
          <w:rFonts w:ascii="Century Schoolbook" w:eastAsia="Times New Roman" w:hAnsi="Century Schoolbook" w:cs="Times New Roman"/>
          <w:iCs/>
          <w:sz w:val="22"/>
          <w:szCs w:val="22"/>
          <w:lang w:eastAsia="it-IT"/>
        </w:rPr>
        <w:t>unico</w:t>
      </w:r>
      <w:r w:rsidR="00543AEB" w:rsidRPr="003E01A4">
        <w:rPr>
          <w:rFonts w:ascii="Century Schoolbook" w:eastAsia="Times New Roman" w:hAnsi="Century Schoolbook" w:cs="Times New Roman"/>
          <w:sz w:val="22"/>
          <w:szCs w:val="22"/>
          <w:lang w:eastAsia="it-IT"/>
        </w:rPr>
        <w:t>.</w:t>
      </w:r>
      <w:r w:rsidR="00AA2C31" w:rsidRPr="003E01A4">
        <w:rPr>
          <w:rFonts w:ascii="Century Schoolbook" w:eastAsia="Times New Roman" w:hAnsi="Century Schoolbook" w:cs="Times New Roman"/>
          <w:sz w:val="22"/>
          <w:szCs w:val="22"/>
          <w:lang w:eastAsia="it-IT"/>
        </w:rPr>
        <w:t xml:space="preserve"> </w:t>
      </w:r>
    </w:p>
    <w:p w14:paraId="37C04BAE" w14:textId="088D1B01" w:rsidR="00862BF1" w:rsidRPr="003E01A4" w:rsidRDefault="00054E54"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Q</w:t>
      </w:r>
      <w:r w:rsidR="009F57B6" w:rsidRPr="003E01A4">
        <w:rPr>
          <w:rFonts w:ascii="Century Schoolbook" w:eastAsia="Times New Roman" w:hAnsi="Century Schoolbook" w:cs="Times New Roman"/>
          <w:sz w:val="22"/>
          <w:szCs w:val="22"/>
          <w:lang w:eastAsia="it-IT"/>
        </w:rPr>
        <w:t>uest</w:t>
      </w:r>
      <w:r w:rsidR="000E50E5" w:rsidRPr="003E01A4">
        <w:rPr>
          <w:rFonts w:ascii="Century Schoolbook" w:eastAsia="Times New Roman" w:hAnsi="Century Schoolbook" w:cs="Times New Roman"/>
          <w:sz w:val="22"/>
          <w:szCs w:val="22"/>
          <w:lang w:eastAsia="it-IT"/>
        </w:rPr>
        <w:t>a</w:t>
      </w:r>
      <w:r w:rsidR="009F57B6" w:rsidRPr="003E01A4">
        <w:rPr>
          <w:rFonts w:ascii="Century Schoolbook" w:eastAsia="Times New Roman" w:hAnsi="Century Schoolbook" w:cs="Times New Roman"/>
          <w:sz w:val="22"/>
          <w:szCs w:val="22"/>
          <w:lang w:eastAsia="it-IT"/>
        </w:rPr>
        <w:t xml:space="preserve"> norma </w:t>
      </w:r>
      <w:r w:rsidR="00862BF1" w:rsidRPr="003E01A4">
        <w:rPr>
          <w:rFonts w:ascii="Century Schoolbook" w:eastAsia="Times New Roman" w:hAnsi="Century Schoolbook" w:cs="Times New Roman"/>
          <w:sz w:val="22"/>
          <w:szCs w:val="22"/>
          <w:lang w:eastAsia="it-IT"/>
        </w:rPr>
        <w:t>riprende</w:t>
      </w:r>
      <w:r w:rsidR="009F57B6" w:rsidRPr="003E01A4">
        <w:rPr>
          <w:rFonts w:ascii="Century Schoolbook" w:eastAsia="Times New Roman" w:hAnsi="Century Schoolbook" w:cs="Times New Roman"/>
          <w:sz w:val="22"/>
          <w:szCs w:val="22"/>
          <w:lang w:eastAsia="it-IT"/>
        </w:rPr>
        <w:t xml:space="preserve"> </w:t>
      </w:r>
      <w:r w:rsidR="00862BF1" w:rsidRPr="003E01A4">
        <w:rPr>
          <w:rFonts w:ascii="Century Schoolbook" w:eastAsia="Times New Roman" w:hAnsi="Century Schoolbook" w:cs="Times New Roman"/>
          <w:sz w:val="22"/>
          <w:szCs w:val="22"/>
          <w:lang w:eastAsia="it-IT"/>
        </w:rPr>
        <w:t>l’</w:t>
      </w:r>
      <w:r w:rsidR="009F57B6" w:rsidRPr="003E01A4">
        <w:rPr>
          <w:rFonts w:ascii="Century Schoolbook" w:eastAsia="Times New Roman" w:hAnsi="Century Schoolbook" w:cs="Times New Roman"/>
          <w:sz w:val="22"/>
          <w:szCs w:val="22"/>
          <w:lang w:eastAsia="it-IT"/>
        </w:rPr>
        <w:t xml:space="preserve">ottimismo futurista, </w:t>
      </w:r>
      <w:r w:rsidR="00862BF1" w:rsidRPr="003E01A4">
        <w:rPr>
          <w:rFonts w:ascii="Century Schoolbook" w:eastAsia="Times New Roman" w:hAnsi="Century Schoolbook" w:cs="Times New Roman"/>
          <w:sz w:val="22"/>
          <w:szCs w:val="22"/>
          <w:lang w:eastAsia="it-IT"/>
        </w:rPr>
        <w:t xml:space="preserve">le </w:t>
      </w:r>
      <w:r w:rsidR="009F57B6" w:rsidRPr="003E01A4">
        <w:rPr>
          <w:rFonts w:ascii="Century Schoolbook" w:eastAsia="Times New Roman" w:hAnsi="Century Schoolbook" w:cs="Times New Roman"/>
          <w:sz w:val="22"/>
          <w:szCs w:val="22"/>
          <w:lang w:eastAsia="it-IT"/>
        </w:rPr>
        <w:t>ambizioni di concentrazione e uni</w:t>
      </w:r>
      <w:r w:rsidRPr="003E01A4">
        <w:rPr>
          <w:rFonts w:ascii="Century Schoolbook" w:eastAsia="Times New Roman" w:hAnsi="Century Schoolbook" w:cs="Times New Roman"/>
          <w:sz w:val="22"/>
          <w:szCs w:val="22"/>
          <w:lang w:eastAsia="it-IT"/>
        </w:rPr>
        <w:t>ci</w:t>
      </w:r>
      <w:r w:rsidR="009F57B6" w:rsidRPr="003E01A4">
        <w:rPr>
          <w:rFonts w:ascii="Century Schoolbook" w:eastAsia="Times New Roman" w:hAnsi="Century Schoolbook" w:cs="Times New Roman"/>
          <w:sz w:val="22"/>
          <w:szCs w:val="22"/>
          <w:lang w:eastAsia="it-IT"/>
        </w:rPr>
        <w:t>tà</w:t>
      </w:r>
      <w:r w:rsidR="00862BF1" w:rsidRPr="003E01A4">
        <w:rPr>
          <w:rFonts w:ascii="Century Schoolbook" w:eastAsia="Times New Roman" w:hAnsi="Century Schoolbook" w:cs="Times New Roman"/>
          <w:sz w:val="22"/>
          <w:szCs w:val="22"/>
          <w:lang w:eastAsia="it-IT"/>
        </w:rPr>
        <w:t xml:space="preserve"> del suo dante causa, cioè dell’art. 25, comma secondo, lett. g), d.lgs. n. 112/’98, cit.:</w:t>
      </w:r>
      <w:r w:rsidR="009F57B6" w:rsidRPr="003E01A4">
        <w:rPr>
          <w:rFonts w:ascii="Century Schoolbook" w:eastAsia="Times New Roman" w:hAnsi="Century Schoolbook" w:cs="Times New Roman"/>
          <w:sz w:val="22"/>
          <w:szCs w:val="22"/>
          <w:lang w:eastAsia="it-IT"/>
        </w:rPr>
        <w:t xml:space="preserve"> </w:t>
      </w:r>
      <w:r w:rsidR="00862BF1" w:rsidRPr="003E01A4">
        <w:rPr>
          <w:rFonts w:ascii="Century Schoolbook" w:eastAsia="Times New Roman" w:hAnsi="Century Schoolbook" w:cs="Times New Roman"/>
          <w:sz w:val="22"/>
          <w:szCs w:val="22"/>
          <w:lang w:eastAsia="it-IT"/>
        </w:rPr>
        <w:t>s</w:t>
      </w:r>
      <w:r w:rsidR="009F57B6" w:rsidRPr="003E01A4">
        <w:rPr>
          <w:rFonts w:ascii="Century Schoolbook" w:eastAsia="Times New Roman" w:hAnsi="Century Schoolbook" w:cs="Times New Roman"/>
          <w:sz w:val="22"/>
          <w:szCs w:val="22"/>
          <w:lang w:eastAsia="it-IT"/>
        </w:rPr>
        <w:t>uscitando così speranze altrettali per una velocizzazione dei procedimenti localizzativi concernenti insediamenti produttivi</w:t>
      </w:r>
      <w:r w:rsidR="00862BF1" w:rsidRPr="003E01A4">
        <w:rPr>
          <w:rFonts w:ascii="Century Schoolbook" w:eastAsia="Times New Roman" w:hAnsi="Century Schoolbook" w:cs="Times New Roman"/>
          <w:sz w:val="22"/>
          <w:szCs w:val="22"/>
          <w:lang w:eastAsia="it-IT"/>
        </w:rPr>
        <w:t>.</w:t>
      </w:r>
    </w:p>
    <w:p w14:paraId="3A073111" w14:textId="4D0574E0" w:rsidR="00862BF1" w:rsidRPr="003E01A4" w:rsidRDefault="00862BF1"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Il comma </w:t>
      </w:r>
      <w:r w:rsidR="000E50E5" w:rsidRPr="003E01A4">
        <w:rPr>
          <w:rFonts w:ascii="Century Schoolbook" w:eastAsia="Times New Roman" w:hAnsi="Century Schoolbook" w:cs="Times New Roman"/>
          <w:sz w:val="22"/>
          <w:szCs w:val="22"/>
          <w:lang w:eastAsia="it-IT"/>
        </w:rPr>
        <w:t>2</w:t>
      </w:r>
      <w:r w:rsidRPr="003E01A4">
        <w:rPr>
          <w:rFonts w:ascii="Century Schoolbook" w:eastAsia="Times New Roman" w:hAnsi="Century Schoolbook" w:cs="Times New Roman"/>
          <w:sz w:val="22"/>
          <w:szCs w:val="22"/>
          <w:lang w:eastAsia="it-IT"/>
        </w:rPr>
        <w:t xml:space="preserve"> d</w:t>
      </w:r>
      <w:r w:rsidR="009B4A92" w:rsidRPr="003E01A4">
        <w:rPr>
          <w:rFonts w:ascii="Century Schoolbook" w:eastAsia="Times New Roman" w:hAnsi="Century Schoolbook" w:cs="Times New Roman"/>
          <w:sz w:val="22"/>
          <w:szCs w:val="22"/>
          <w:lang w:eastAsia="it-IT"/>
        </w:rPr>
        <w:t>i qu</w:t>
      </w:r>
      <w:r w:rsidRPr="003E01A4">
        <w:rPr>
          <w:rFonts w:ascii="Century Schoolbook" w:eastAsia="Times New Roman" w:hAnsi="Century Schoolbook" w:cs="Times New Roman"/>
          <w:sz w:val="22"/>
          <w:szCs w:val="22"/>
          <w:lang w:eastAsia="it-IT"/>
        </w:rPr>
        <w:t>ell’art. 5 riprende lo schema del</w:t>
      </w:r>
      <w:r w:rsidR="000B4475" w:rsidRPr="003E01A4">
        <w:rPr>
          <w:rFonts w:ascii="Century Schoolbook" w:eastAsia="Times New Roman" w:hAnsi="Century Schoolbook" w:cs="Times New Roman"/>
          <w:sz w:val="22"/>
          <w:szCs w:val="22"/>
          <w:lang w:eastAsia="it-IT"/>
        </w:rPr>
        <w:t>l’art. 25 cit.</w:t>
      </w:r>
      <w:r w:rsidRPr="003E01A4">
        <w:rPr>
          <w:rFonts w:ascii="Century Schoolbook" w:eastAsia="Times New Roman" w:hAnsi="Century Schoolbook" w:cs="Times New Roman"/>
          <w:sz w:val="22"/>
          <w:szCs w:val="22"/>
          <w:lang w:eastAsia="it-IT"/>
        </w:rPr>
        <w:t xml:space="preserve">: «Qualora l’esito della conferenza di servizi comporti la variazione dello strumento urbanistico, la determinazione costituisce proposta di variante sulla quale, tenuto conto delle osservazioni, proposte e opposizioni formulate dagli aventi titolo ai sensi della legge 17 agosto 1942, n. 1150, si pronuncia definitivamente entro sessanta giorni il consiglio comunale». </w:t>
      </w:r>
    </w:p>
    <w:p w14:paraId="5B173418" w14:textId="519780C0" w:rsidR="000B4475" w:rsidRPr="003E01A4" w:rsidRDefault="000B4475"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Si noti. L’art. 5 cit. non chiarisce se questo procedimento di localizzazione straordinaria si concluda con la deliberazione consiliare recante pronuncia definitiva sulla proposta di variante, ovvero se esso prosegua – secondo lo schema della legge urbanistica – con la fase regionale di approvazione.</w:t>
      </w:r>
    </w:p>
    <w:p w14:paraId="3C332176" w14:textId="62186C84" w:rsidR="000B4475" w:rsidRPr="003E01A4" w:rsidRDefault="000B4475"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Sulle prime il fervore </w:t>
      </w:r>
      <w:r w:rsidR="00B9749A" w:rsidRPr="003E01A4">
        <w:rPr>
          <w:rFonts w:ascii="Century Schoolbook" w:eastAsia="Times New Roman" w:hAnsi="Century Schoolbook" w:cs="Times New Roman"/>
          <w:sz w:val="22"/>
          <w:szCs w:val="22"/>
          <w:lang w:eastAsia="it-IT"/>
        </w:rPr>
        <w:t xml:space="preserve">da </w:t>
      </w:r>
      <w:r w:rsidRPr="003E01A4">
        <w:rPr>
          <w:rFonts w:ascii="Century Schoolbook" w:eastAsia="Times New Roman" w:hAnsi="Century Schoolbook" w:cs="Times New Roman"/>
          <w:sz w:val="22"/>
          <w:szCs w:val="22"/>
          <w:lang w:eastAsia="it-IT"/>
        </w:rPr>
        <w:t>unici</w:t>
      </w:r>
      <w:r w:rsidR="00B9749A" w:rsidRPr="003E01A4">
        <w:rPr>
          <w:rFonts w:ascii="Century Schoolbook" w:eastAsia="Times New Roman" w:hAnsi="Century Schoolbook" w:cs="Times New Roman"/>
          <w:sz w:val="22"/>
          <w:szCs w:val="22"/>
          <w:lang w:eastAsia="it-IT"/>
        </w:rPr>
        <w:t>tà</w:t>
      </w:r>
      <w:r w:rsidRPr="003E01A4">
        <w:rPr>
          <w:rFonts w:ascii="Century Schoolbook" w:eastAsia="Times New Roman" w:hAnsi="Century Schoolbook" w:cs="Times New Roman"/>
          <w:sz w:val="22"/>
          <w:szCs w:val="22"/>
          <w:lang w:eastAsia="it-IT"/>
        </w:rPr>
        <w:t xml:space="preserve"> sembrò prevalere, sia pur con diverse modulazioni.</w:t>
      </w:r>
    </w:p>
    <w:p w14:paraId="1C575731" w14:textId="7122A34C" w:rsidR="00282ADE" w:rsidRPr="003E01A4" w:rsidRDefault="00282ADE"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Per esempio, una nota interpretativa ANCI del 26 maggio 1999</w:t>
      </w:r>
      <w:r w:rsidR="00671965" w:rsidRPr="003E01A4">
        <w:rPr>
          <w:rStyle w:val="Rimandonotaapidipagina"/>
          <w:rFonts w:ascii="Century Schoolbook" w:eastAsia="Times New Roman" w:hAnsi="Century Schoolbook" w:cs="Times New Roman"/>
          <w:sz w:val="22"/>
          <w:szCs w:val="22"/>
          <w:lang w:eastAsia="it-IT"/>
        </w:rPr>
        <w:footnoteReference w:id="2"/>
      </w:r>
      <w:r w:rsidRPr="003E01A4">
        <w:rPr>
          <w:rFonts w:ascii="Century Schoolbook" w:eastAsia="Times New Roman" w:hAnsi="Century Schoolbook" w:cs="Times New Roman"/>
          <w:sz w:val="22"/>
          <w:szCs w:val="22"/>
          <w:lang w:eastAsia="it-IT"/>
        </w:rPr>
        <w:t xml:space="preserve"> riconobbe sì l’indefettibilità della fase regionale, ritenendo che l’art. 5 non potrebbe «togliere alla regione – o alla provincia – il ruolo e la funzione che le è attribuito dalla legge urbanistica»; ma tentò di limitare la funzione della seconda fase, affermando che «la regione, secondo quanto stabilito dalle proprie leggi, avrà il compito di verificare che quanto deliberato dal consiglio comunale coincida con quanto approvato in conferenza di servizi, senza entrare nel merito e nei contenuti della modifica urbanistica già oggetto di valutazione positiva in conferenza» (</w:t>
      </w:r>
      <w:r w:rsidRPr="003E01A4">
        <w:rPr>
          <w:rFonts w:ascii="Century Schoolbook" w:eastAsia="Times New Roman" w:hAnsi="Century Schoolbook" w:cs="Times New Roman"/>
          <w:i/>
          <w:iCs/>
          <w:sz w:val="22"/>
          <w:szCs w:val="22"/>
          <w:lang w:eastAsia="it-IT"/>
        </w:rPr>
        <w:t>ibidem</w:t>
      </w:r>
      <w:r w:rsidRPr="003E01A4">
        <w:rPr>
          <w:rFonts w:ascii="Century Schoolbook" w:eastAsia="Times New Roman" w:hAnsi="Century Schoolbook" w:cs="Times New Roman"/>
          <w:sz w:val="22"/>
          <w:szCs w:val="22"/>
          <w:lang w:eastAsia="it-IT"/>
        </w:rPr>
        <w:t xml:space="preserve">). Né mancò chi ritenne che la seconda battuta regionale non fosse proprio necessaria, «in conformità alla </w:t>
      </w:r>
      <w:r w:rsidRPr="003E01A4">
        <w:rPr>
          <w:rFonts w:ascii="Century Schoolbook" w:eastAsia="Times New Roman" w:hAnsi="Century Schoolbook" w:cs="Times New Roman"/>
          <w:i/>
          <w:iCs/>
          <w:sz w:val="22"/>
          <w:szCs w:val="22"/>
          <w:lang w:eastAsia="it-IT"/>
        </w:rPr>
        <w:t xml:space="preserve">ratio </w:t>
      </w:r>
      <w:r w:rsidRPr="003E01A4">
        <w:rPr>
          <w:rFonts w:ascii="Century Schoolbook" w:eastAsia="Times New Roman" w:hAnsi="Century Schoolbook" w:cs="Times New Roman"/>
          <w:sz w:val="22"/>
          <w:szCs w:val="22"/>
          <w:lang w:eastAsia="it-IT"/>
        </w:rPr>
        <w:t>della massima incentivazione dello sviluppo economico»</w:t>
      </w:r>
      <w:r w:rsidR="00671965" w:rsidRPr="003E01A4">
        <w:rPr>
          <w:rStyle w:val="Rimandonotaapidipagina"/>
          <w:rFonts w:ascii="Century Schoolbook" w:eastAsia="Times New Roman" w:hAnsi="Century Schoolbook" w:cs="Times New Roman"/>
          <w:sz w:val="22"/>
          <w:szCs w:val="22"/>
          <w:lang w:eastAsia="it-IT"/>
        </w:rPr>
        <w:footnoteReference w:id="3"/>
      </w:r>
      <w:r w:rsidRPr="003E01A4">
        <w:rPr>
          <w:rFonts w:ascii="Century Schoolbook" w:eastAsia="Times New Roman" w:hAnsi="Century Schoolbook" w:cs="Times New Roman"/>
          <w:sz w:val="22"/>
          <w:szCs w:val="22"/>
          <w:lang w:eastAsia="it-IT"/>
        </w:rPr>
        <w:t>.</w:t>
      </w:r>
    </w:p>
    <w:p w14:paraId="07F1DF70" w14:textId="7624C7AE" w:rsidR="00241236" w:rsidRPr="003E01A4" w:rsidRDefault="00404CFC"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L</w:t>
      </w:r>
      <w:r w:rsidR="00B9749A" w:rsidRPr="003E01A4">
        <w:rPr>
          <w:rFonts w:ascii="Century Schoolbook" w:eastAsia="Times New Roman" w:hAnsi="Century Schoolbook" w:cs="Times New Roman"/>
          <w:sz w:val="22"/>
          <w:szCs w:val="22"/>
          <w:lang w:eastAsia="it-IT"/>
        </w:rPr>
        <w:t>a tesi</w:t>
      </w:r>
      <w:r w:rsidR="00DA7FAC" w:rsidRPr="003E01A4">
        <w:rPr>
          <w:rFonts w:ascii="Century Schoolbook" w:eastAsia="Times New Roman" w:hAnsi="Century Schoolbook" w:cs="Times New Roman"/>
          <w:sz w:val="22"/>
          <w:szCs w:val="22"/>
          <w:lang w:eastAsia="it-IT"/>
        </w:rPr>
        <w:t xml:space="preserve"> aveva </w:t>
      </w:r>
      <w:r w:rsidRPr="003E01A4">
        <w:rPr>
          <w:rFonts w:ascii="Century Schoolbook" w:eastAsia="Times New Roman" w:hAnsi="Century Schoolbook" w:cs="Times New Roman"/>
          <w:sz w:val="22"/>
          <w:szCs w:val="22"/>
          <w:lang w:eastAsia="it-IT"/>
        </w:rPr>
        <w:t>buoni argomenti</w:t>
      </w:r>
      <w:r w:rsidR="00DA7FAC"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 xml:space="preserve"> anche formali</w:t>
      </w:r>
      <w:r w:rsidR="00241236" w:rsidRPr="003E01A4">
        <w:rPr>
          <w:rFonts w:ascii="Century Schoolbook" w:eastAsia="Times New Roman" w:hAnsi="Century Schoolbook" w:cs="Times New Roman"/>
          <w:sz w:val="22"/>
          <w:szCs w:val="22"/>
          <w:lang w:eastAsia="it-IT"/>
        </w:rPr>
        <w:t>.</w:t>
      </w:r>
    </w:p>
    <w:p w14:paraId="78D0B6C6" w14:textId="2B15F621" w:rsidR="00241236" w:rsidRPr="003E01A4" w:rsidRDefault="00241236"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Non solo la </w:t>
      </w:r>
      <w:r w:rsidRPr="003E01A4">
        <w:rPr>
          <w:rFonts w:ascii="Century Schoolbook" w:eastAsia="Times New Roman" w:hAnsi="Century Schoolbook" w:cs="Times New Roman"/>
          <w:i/>
          <w:iCs/>
          <w:sz w:val="22"/>
          <w:szCs w:val="22"/>
          <w:lang w:eastAsia="it-IT"/>
        </w:rPr>
        <w:t>ratio</w:t>
      </w:r>
      <w:r w:rsidRPr="003E01A4">
        <w:rPr>
          <w:rFonts w:ascii="Century Schoolbook" w:eastAsia="Times New Roman" w:hAnsi="Century Schoolbook" w:cs="Times New Roman"/>
          <w:sz w:val="22"/>
          <w:szCs w:val="22"/>
          <w:lang w:eastAsia="it-IT"/>
        </w:rPr>
        <w:t>, ma anche la lettera dell’art. 5 cit. lasciavano</w:t>
      </w:r>
      <w:r w:rsidR="00436CA9" w:rsidRPr="003E01A4">
        <w:rPr>
          <w:rFonts w:ascii="Century Schoolbook" w:eastAsia="Times New Roman" w:hAnsi="Century Schoolbook" w:cs="Times New Roman"/>
          <w:sz w:val="22"/>
          <w:szCs w:val="22"/>
          <w:lang w:eastAsia="it-IT"/>
        </w:rPr>
        <w:t xml:space="preserve"> infatti intendere una scelta positiva in questa direzione: la norma qualifica la determinazione conclusiva della conferenza come «</w:t>
      </w:r>
      <w:r w:rsidR="00436CA9" w:rsidRPr="003E01A4">
        <w:rPr>
          <w:rFonts w:ascii="Century Schoolbook" w:eastAsia="Times New Roman" w:hAnsi="Century Schoolbook" w:cs="Times New Roman"/>
          <w:i/>
          <w:iCs/>
          <w:sz w:val="22"/>
          <w:szCs w:val="22"/>
          <w:lang w:eastAsia="it-IT"/>
        </w:rPr>
        <w:t>proposta</w:t>
      </w:r>
      <w:r w:rsidR="00436CA9" w:rsidRPr="003E01A4">
        <w:rPr>
          <w:rFonts w:ascii="Century Schoolbook" w:eastAsia="Times New Roman" w:hAnsi="Century Schoolbook" w:cs="Times New Roman"/>
          <w:sz w:val="22"/>
          <w:szCs w:val="22"/>
          <w:lang w:eastAsia="it-IT"/>
        </w:rPr>
        <w:t xml:space="preserve"> di variante», su cui si pronuncia «definitivamente» il Consiglio comunale. Terminologia che riecheggia chiaramente il diritto giurisprudenziale</w:t>
      </w:r>
      <w:r w:rsidR="00404CFC" w:rsidRPr="003E01A4">
        <w:rPr>
          <w:rFonts w:ascii="Century Schoolbook" w:eastAsia="Times New Roman" w:hAnsi="Century Schoolbook" w:cs="Times New Roman"/>
          <w:sz w:val="22"/>
          <w:szCs w:val="22"/>
          <w:lang w:eastAsia="it-IT"/>
        </w:rPr>
        <w:t xml:space="preserve">, secondo cui la fase comunale di formazione del p.r.g. si conclude con la delibera di adozione, la quale </w:t>
      </w:r>
      <w:r w:rsidR="00B9749A" w:rsidRPr="003E01A4">
        <w:rPr>
          <w:rFonts w:ascii="Century Schoolbook" w:eastAsia="Times New Roman" w:hAnsi="Century Schoolbook" w:cs="Times New Roman"/>
          <w:sz w:val="22"/>
          <w:szCs w:val="22"/>
          <w:lang w:eastAsia="it-IT"/>
        </w:rPr>
        <w:t>ha</w:t>
      </w:r>
      <w:r w:rsidR="00404CFC" w:rsidRPr="003E01A4">
        <w:rPr>
          <w:rFonts w:ascii="Century Schoolbook" w:eastAsia="Times New Roman" w:hAnsi="Century Schoolbook" w:cs="Times New Roman"/>
          <w:sz w:val="22"/>
          <w:szCs w:val="22"/>
          <w:lang w:eastAsia="it-IT"/>
        </w:rPr>
        <w:t xml:space="preserve"> appunto natura di proposta di approvazione formulata dall’A.c. alla Regione. Peraltro, sempre secondo il diritto vivente il subprocedimento di acquisizione delle osservazioni, nonché di controdeduzion</w:t>
      </w:r>
      <w:r w:rsidR="00DA7FAC" w:rsidRPr="003E01A4">
        <w:rPr>
          <w:rFonts w:ascii="Century Schoolbook" w:eastAsia="Times New Roman" w:hAnsi="Century Schoolbook" w:cs="Times New Roman"/>
          <w:sz w:val="22"/>
          <w:szCs w:val="22"/>
          <w:lang w:eastAsia="it-IT"/>
        </w:rPr>
        <w:t>i</w:t>
      </w:r>
      <w:r w:rsidR="00404CFC" w:rsidRPr="003E01A4">
        <w:rPr>
          <w:rFonts w:ascii="Century Schoolbook" w:eastAsia="Times New Roman" w:hAnsi="Century Schoolbook" w:cs="Times New Roman"/>
          <w:sz w:val="22"/>
          <w:szCs w:val="22"/>
          <w:lang w:eastAsia="it-IT"/>
        </w:rPr>
        <w:t xml:space="preserve"> comunal</w:t>
      </w:r>
      <w:r w:rsidR="00DA7FAC" w:rsidRPr="003E01A4">
        <w:rPr>
          <w:rFonts w:ascii="Century Schoolbook" w:eastAsia="Times New Roman" w:hAnsi="Century Schoolbook" w:cs="Times New Roman"/>
          <w:sz w:val="22"/>
          <w:szCs w:val="22"/>
          <w:lang w:eastAsia="it-IT"/>
        </w:rPr>
        <w:t>i</w:t>
      </w:r>
      <w:r w:rsidR="00404CFC" w:rsidRPr="003E01A4">
        <w:rPr>
          <w:rFonts w:ascii="Century Schoolbook" w:eastAsia="Times New Roman" w:hAnsi="Century Schoolbook" w:cs="Times New Roman"/>
          <w:sz w:val="22"/>
          <w:szCs w:val="22"/>
          <w:lang w:eastAsia="it-IT"/>
        </w:rPr>
        <w:t xml:space="preserve"> alle stesse, appartiene alla seconda battuta. Applicando questi principi al modello disegnato dall’art. 5 </w:t>
      </w:r>
      <w:r w:rsidR="00DA7FAC" w:rsidRPr="003E01A4">
        <w:rPr>
          <w:rFonts w:ascii="Century Schoolbook" w:eastAsia="Times New Roman" w:hAnsi="Century Schoolbook" w:cs="Times New Roman"/>
          <w:sz w:val="22"/>
          <w:szCs w:val="22"/>
          <w:lang w:eastAsia="it-IT"/>
        </w:rPr>
        <w:t xml:space="preserve">si avrebbe </w:t>
      </w:r>
      <w:r w:rsidR="00404CFC" w:rsidRPr="003E01A4">
        <w:rPr>
          <w:rFonts w:ascii="Century Schoolbook" w:eastAsia="Times New Roman" w:hAnsi="Century Schoolbook" w:cs="Times New Roman"/>
          <w:sz w:val="22"/>
          <w:szCs w:val="22"/>
          <w:lang w:eastAsia="it-IT"/>
        </w:rPr>
        <w:t>che con la conferenza si conclu</w:t>
      </w:r>
      <w:r w:rsidR="005D29F2" w:rsidRPr="003E01A4">
        <w:rPr>
          <w:rFonts w:ascii="Century Schoolbook" w:eastAsia="Times New Roman" w:hAnsi="Century Schoolbook" w:cs="Times New Roman"/>
          <w:sz w:val="22"/>
          <w:szCs w:val="22"/>
          <w:lang w:eastAsia="it-IT"/>
        </w:rPr>
        <w:t>de</w:t>
      </w:r>
      <w:r w:rsidR="00404CFC" w:rsidRPr="003E01A4">
        <w:rPr>
          <w:rFonts w:ascii="Century Schoolbook" w:eastAsia="Times New Roman" w:hAnsi="Century Schoolbook" w:cs="Times New Roman"/>
          <w:sz w:val="22"/>
          <w:szCs w:val="22"/>
          <w:lang w:eastAsia="it-IT"/>
        </w:rPr>
        <w:t xml:space="preserve"> la fase di </w:t>
      </w:r>
      <w:r w:rsidR="00404CFC" w:rsidRPr="003E01A4">
        <w:rPr>
          <w:rFonts w:ascii="Century Schoolbook" w:eastAsia="Times New Roman" w:hAnsi="Century Schoolbook" w:cs="Times New Roman"/>
          <w:i/>
          <w:iCs/>
          <w:sz w:val="22"/>
          <w:szCs w:val="22"/>
          <w:lang w:eastAsia="it-IT"/>
        </w:rPr>
        <w:t>adozione</w:t>
      </w:r>
      <w:r w:rsidR="00404CFC" w:rsidRPr="003E01A4">
        <w:rPr>
          <w:rFonts w:ascii="Century Schoolbook" w:eastAsia="Times New Roman" w:hAnsi="Century Schoolbook" w:cs="Times New Roman"/>
          <w:sz w:val="22"/>
          <w:szCs w:val="22"/>
          <w:lang w:eastAsia="it-IT"/>
        </w:rPr>
        <w:t xml:space="preserve"> della variante, pronu</w:t>
      </w:r>
      <w:r w:rsidR="00432B4D" w:rsidRPr="003E01A4">
        <w:rPr>
          <w:rFonts w:ascii="Century Schoolbook" w:eastAsia="Times New Roman" w:hAnsi="Century Schoolbook" w:cs="Times New Roman"/>
          <w:sz w:val="22"/>
          <w:szCs w:val="22"/>
          <w:lang w:eastAsia="it-IT"/>
        </w:rPr>
        <w:t>n</w:t>
      </w:r>
      <w:r w:rsidR="00404CFC" w:rsidRPr="003E01A4">
        <w:rPr>
          <w:rFonts w:ascii="Century Schoolbook" w:eastAsia="Times New Roman" w:hAnsi="Century Schoolbook" w:cs="Times New Roman"/>
          <w:sz w:val="22"/>
          <w:szCs w:val="22"/>
          <w:lang w:eastAsia="it-IT"/>
        </w:rPr>
        <w:t xml:space="preserve">ciandosi sulla quale </w:t>
      </w:r>
      <w:r w:rsidR="00432B4D" w:rsidRPr="003E01A4">
        <w:rPr>
          <w:rFonts w:ascii="Century Schoolbook" w:eastAsia="Times New Roman" w:hAnsi="Century Schoolbook" w:cs="Times New Roman"/>
          <w:sz w:val="22"/>
          <w:szCs w:val="22"/>
          <w:lang w:eastAsia="it-IT"/>
        </w:rPr>
        <w:t xml:space="preserve">la delibera consiliare </w:t>
      </w:r>
      <w:r w:rsidR="00432B4D" w:rsidRPr="003E01A4">
        <w:rPr>
          <w:rFonts w:ascii="Century Schoolbook" w:eastAsia="Times New Roman" w:hAnsi="Century Schoolbook" w:cs="Times New Roman"/>
          <w:i/>
          <w:iCs/>
          <w:sz w:val="22"/>
          <w:szCs w:val="22"/>
          <w:lang w:eastAsia="it-IT"/>
        </w:rPr>
        <w:t>definisce</w:t>
      </w:r>
      <w:r w:rsidR="00432B4D" w:rsidRPr="003E01A4">
        <w:rPr>
          <w:rFonts w:ascii="Century Schoolbook" w:eastAsia="Times New Roman" w:hAnsi="Century Schoolbook" w:cs="Times New Roman"/>
          <w:sz w:val="22"/>
          <w:szCs w:val="22"/>
          <w:lang w:eastAsia="it-IT"/>
        </w:rPr>
        <w:t xml:space="preserve"> la successiva fase approvativa: senza ulteriore spazio per un altro segmento procedimentale di competenza della Regione, la quale avrà già rappresentato il proprio </w:t>
      </w:r>
      <w:r w:rsidR="004872A9" w:rsidRPr="003E01A4">
        <w:rPr>
          <w:rFonts w:ascii="Century Schoolbook" w:eastAsia="Times New Roman" w:hAnsi="Century Schoolbook" w:cs="Times New Roman"/>
          <w:sz w:val="22"/>
          <w:szCs w:val="22"/>
          <w:lang w:eastAsia="it-IT"/>
        </w:rPr>
        <w:t>intendimento</w:t>
      </w:r>
      <w:r w:rsidR="00432B4D" w:rsidRPr="003E01A4">
        <w:rPr>
          <w:rFonts w:ascii="Century Schoolbook" w:eastAsia="Times New Roman" w:hAnsi="Century Schoolbook" w:cs="Times New Roman"/>
          <w:sz w:val="22"/>
          <w:szCs w:val="22"/>
          <w:lang w:eastAsia="it-IT"/>
        </w:rPr>
        <w:t xml:space="preserve"> (ed espresso il proprio assenso o il proprio motivato dissenso) in seno alla riunione conferenziale.</w:t>
      </w:r>
    </w:p>
    <w:p w14:paraId="03F79394" w14:textId="3284B0CE" w:rsidR="00436CA9" w:rsidRPr="003E01A4" w:rsidRDefault="00B52F47"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In breve. Né l’art. 25, comma </w:t>
      </w:r>
      <w:r w:rsidR="00B9749A" w:rsidRPr="003E01A4">
        <w:rPr>
          <w:rFonts w:ascii="Century Schoolbook" w:eastAsia="Times New Roman" w:hAnsi="Century Schoolbook" w:cs="Times New Roman"/>
          <w:sz w:val="22"/>
          <w:szCs w:val="22"/>
          <w:lang w:eastAsia="it-IT"/>
        </w:rPr>
        <w:t>2</w:t>
      </w:r>
      <w:r w:rsidRPr="003E01A4">
        <w:rPr>
          <w:rFonts w:ascii="Century Schoolbook" w:eastAsia="Times New Roman" w:hAnsi="Century Schoolbook" w:cs="Times New Roman"/>
          <w:sz w:val="22"/>
          <w:szCs w:val="22"/>
          <w:lang w:eastAsia="it-IT"/>
        </w:rPr>
        <w:t xml:space="preserve">, lett. g), d.lgs. n. 112/’98, né l’art. 5, comma </w:t>
      </w:r>
      <w:r w:rsidR="00B9749A" w:rsidRPr="003E01A4">
        <w:rPr>
          <w:rFonts w:ascii="Century Schoolbook" w:eastAsia="Times New Roman" w:hAnsi="Century Schoolbook" w:cs="Times New Roman"/>
          <w:sz w:val="22"/>
          <w:szCs w:val="22"/>
          <w:lang w:eastAsia="it-IT"/>
        </w:rPr>
        <w:t>2</w:t>
      </w:r>
      <w:r w:rsidRPr="003E01A4">
        <w:rPr>
          <w:rFonts w:ascii="Century Schoolbook" w:eastAsia="Times New Roman" w:hAnsi="Century Schoolbook" w:cs="Times New Roman"/>
          <w:sz w:val="22"/>
          <w:szCs w:val="22"/>
          <w:lang w:eastAsia="it-IT"/>
        </w:rPr>
        <w:t xml:space="preserve">, d.P.R. n. 447/’98 prevedevano una fase regionale successiva alla pronuncia definitiva del Consiglio comunale, donde </w:t>
      </w:r>
      <w:r w:rsidRPr="003E01A4">
        <w:rPr>
          <w:rFonts w:ascii="Century Schoolbook" w:eastAsia="Times New Roman" w:hAnsi="Century Schoolbook" w:cs="Times New Roman"/>
          <w:i/>
          <w:iCs/>
          <w:sz w:val="22"/>
          <w:szCs w:val="22"/>
          <w:lang w:eastAsia="it-IT"/>
        </w:rPr>
        <w:t>almeno la possibilità</w:t>
      </w:r>
      <w:r w:rsidRPr="003E01A4">
        <w:rPr>
          <w:rFonts w:ascii="Century Schoolbook" w:eastAsia="Times New Roman" w:hAnsi="Century Schoolbook" w:cs="Times New Roman"/>
          <w:sz w:val="22"/>
          <w:szCs w:val="22"/>
          <w:lang w:eastAsia="it-IT"/>
        </w:rPr>
        <w:t xml:space="preserve"> d’interpretare il silenzio serbato sul punto dalle due norme come una conferma che la seconda (meglio: terza…) battuta </w:t>
      </w:r>
      <w:r w:rsidR="00B9749A" w:rsidRPr="003E01A4">
        <w:rPr>
          <w:rFonts w:ascii="Century Schoolbook" w:eastAsia="Times New Roman" w:hAnsi="Century Schoolbook" w:cs="Times New Roman"/>
          <w:sz w:val="22"/>
          <w:szCs w:val="22"/>
          <w:lang w:eastAsia="it-IT"/>
        </w:rPr>
        <w:t>fosse</w:t>
      </w:r>
      <w:r w:rsidRPr="003E01A4">
        <w:rPr>
          <w:rFonts w:ascii="Century Schoolbook" w:eastAsia="Times New Roman" w:hAnsi="Century Schoolbook" w:cs="Times New Roman"/>
          <w:sz w:val="22"/>
          <w:szCs w:val="22"/>
          <w:lang w:eastAsia="it-IT"/>
        </w:rPr>
        <w:t xml:space="preserve"> estranea allo schema normativo.</w:t>
      </w:r>
    </w:p>
    <w:p w14:paraId="12A8E102" w14:textId="29077E50" w:rsidR="00543AEB" w:rsidRPr="003E01A4" w:rsidRDefault="006B062A"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Sì, l</w:t>
      </w:r>
      <w:r w:rsidR="00862BF1" w:rsidRPr="003E01A4">
        <w:rPr>
          <w:rFonts w:ascii="Century Schoolbook" w:eastAsia="Times New Roman" w:hAnsi="Century Schoolbook" w:cs="Times New Roman"/>
          <w:sz w:val="22"/>
          <w:szCs w:val="22"/>
          <w:lang w:eastAsia="it-IT"/>
        </w:rPr>
        <w:t>’ottimismo cre</w:t>
      </w:r>
      <w:r w:rsidR="00241236" w:rsidRPr="003E01A4">
        <w:rPr>
          <w:rFonts w:ascii="Century Schoolbook" w:eastAsia="Times New Roman" w:hAnsi="Century Schoolbook" w:cs="Times New Roman"/>
          <w:sz w:val="22"/>
          <w:szCs w:val="22"/>
          <w:lang w:eastAsia="it-IT"/>
        </w:rPr>
        <w:t>bb</w:t>
      </w:r>
      <w:r w:rsidR="00862BF1" w:rsidRPr="003E01A4">
        <w:rPr>
          <w:rFonts w:ascii="Century Schoolbook" w:eastAsia="Times New Roman" w:hAnsi="Century Schoolbook" w:cs="Times New Roman"/>
          <w:sz w:val="22"/>
          <w:szCs w:val="22"/>
          <w:lang w:eastAsia="it-IT"/>
        </w:rPr>
        <w:t xml:space="preserve">e </w:t>
      </w:r>
      <w:r w:rsidRPr="003E01A4">
        <w:rPr>
          <w:rFonts w:ascii="Century Schoolbook" w:eastAsia="Times New Roman" w:hAnsi="Century Schoolbook" w:cs="Times New Roman"/>
          <w:sz w:val="22"/>
          <w:szCs w:val="22"/>
          <w:lang w:eastAsia="it-IT"/>
        </w:rPr>
        <w:t>r</w:t>
      </w:r>
      <w:r w:rsidR="00B664E6" w:rsidRPr="003E01A4">
        <w:rPr>
          <w:rFonts w:ascii="Century Schoolbook" w:eastAsia="Times New Roman" w:hAnsi="Century Schoolbook" w:cs="Times New Roman"/>
          <w:sz w:val="22"/>
          <w:szCs w:val="22"/>
          <w:lang w:eastAsia="it-IT"/>
        </w:rPr>
        <w:t>apidamente</w:t>
      </w:r>
      <w:r w:rsidR="00241236" w:rsidRPr="003E01A4">
        <w:rPr>
          <w:rFonts w:ascii="Century Schoolbook" w:eastAsia="Times New Roman" w:hAnsi="Century Schoolbook" w:cs="Times New Roman"/>
          <w:sz w:val="22"/>
          <w:szCs w:val="22"/>
          <w:lang w:eastAsia="it-IT"/>
        </w:rPr>
        <w:t xml:space="preserve">, </w:t>
      </w:r>
      <w:r w:rsidRPr="003E01A4">
        <w:rPr>
          <w:rFonts w:ascii="Century Schoolbook" w:eastAsia="Times New Roman" w:hAnsi="Century Schoolbook" w:cs="Times New Roman"/>
          <w:sz w:val="22"/>
          <w:szCs w:val="22"/>
          <w:lang w:eastAsia="it-IT"/>
        </w:rPr>
        <w:t>supp</w:t>
      </w:r>
      <w:r w:rsidR="00241236" w:rsidRPr="003E01A4">
        <w:rPr>
          <w:rFonts w:ascii="Century Schoolbook" w:eastAsia="Times New Roman" w:hAnsi="Century Schoolbook" w:cs="Times New Roman"/>
          <w:sz w:val="22"/>
          <w:szCs w:val="22"/>
          <w:lang w:eastAsia="it-IT"/>
        </w:rPr>
        <w:t>ortato dal diritto legislativo</w:t>
      </w:r>
      <w:r w:rsidR="00B664E6" w:rsidRPr="003E01A4">
        <w:rPr>
          <w:rFonts w:ascii="Century Schoolbook" w:eastAsia="Times New Roman" w:hAnsi="Century Schoolbook" w:cs="Times New Roman"/>
          <w:sz w:val="22"/>
          <w:szCs w:val="22"/>
          <w:lang w:eastAsia="it-IT"/>
        </w:rPr>
        <w:t xml:space="preserve">. L’art. 1, comma 1, lett. k), d.P.R. 7 dicembre 2000, n. 440, </w:t>
      </w:r>
      <w:r w:rsidR="00B52F47" w:rsidRPr="003E01A4">
        <w:rPr>
          <w:rFonts w:ascii="Century Schoolbook" w:eastAsia="Times New Roman" w:hAnsi="Century Schoolbook" w:cs="Times New Roman"/>
          <w:sz w:val="22"/>
          <w:szCs w:val="22"/>
          <w:lang w:eastAsia="it-IT"/>
        </w:rPr>
        <w:t xml:space="preserve">intervenne proprio su questo </w:t>
      </w:r>
      <w:r w:rsidR="00FA7731" w:rsidRPr="003E01A4">
        <w:rPr>
          <w:rFonts w:ascii="Century Schoolbook" w:eastAsia="Times New Roman" w:hAnsi="Century Schoolbook" w:cs="Times New Roman"/>
          <w:sz w:val="22"/>
          <w:szCs w:val="22"/>
          <w:lang w:eastAsia="it-IT"/>
        </w:rPr>
        <w:t>aspetto</w:t>
      </w:r>
      <w:r w:rsidR="00B52F47" w:rsidRPr="003E01A4">
        <w:rPr>
          <w:rFonts w:ascii="Century Schoolbook" w:eastAsia="Times New Roman" w:hAnsi="Century Schoolbook" w:cs="Times New Roman"/>
          <w:sz w:val="22"/>
          <w:szCs w:val="22"/>
          <w:lang w:eastAsia="it-IT"/>
        </w:rPr>
        <w:t>. I</w:t>
      </w:r>
      <w:r w:rsidR="00B664E6" w:rsidRPr="003E01A4">
        <w:rPr>
          <w:rFonts w:ascii="Century Schoolbook" w:eastAsia="Times New Roman" w:hAnsi="Century Schoolbook" w:cs="Times New Roman"/>
          <w:sz w:val="22"/>
          <w:szCs w:val="22"/>
          <w:lang w:eastAsia="it-IT"/>
        </w:rPr>
        <w:t>ntegr</w:t>
      </w:r>
      <w:r w:rsidR="00B52F47" w:rsidRPr="003E01A4">
        <w:rPr>
          <w:rFonts w:ascii="Century Schoolbook" w:eastAsia="Times New Roman" w:hAnsi="Century Schoolbook" w:cs="Times New Roman"/>
          <w:sz w:val="22"/>
          <w:szCs w:val="22"/>
          <w:lang w:eastAsia="it-IT"/>
        </w:rPr>
        <w:t>ò</w:t>
      </w:r>
      <w:r w:rsidR="00B664E6" w:rsidRPr="003E01A4">
        <w:rPr>
          <w:rFonts w:ascii="Century Schoolbook" w:eastAsia="Times New Roman" w:hAnsi="Century Schoolbook" w:cs="Times New Roman"/>
          <w:sz w:val="22"/>
          <w:szCs w:val="22"/>
          <w:lang w:eastAsia="it-IT"/>
        </w:rPr>
        <w:t xml:space="preserve"> </w:t>
      </w:r>
      <w:r w:rsidR="00241236" w:rsidRPr="003E01A4">
        <w:rPr>
          <w:rFonts w:ascii="Century Schoolbook" w:eastAsia="Times New Roman" w:hAnsi="Century Schoolbook" w:cs="Times New Roman"/>
          <w:sz w:val="22"/>
          <w:szCs w:val="22"/>
          <w:lang w:eastAsia="it-IT"/>
        </w:rPr>
        <w:t xml:space="preserve">infatti </w:t>
      </w:r>
      <w:r w:rsidR="00B664E6" w:rsidRPr="003E01A4">
        <w:rPr>
          <w:rFonts w:ascii="Century Schoolbook" w:eastAsia="Times New Roman" w:hAnsi="Century Schoolbook" w:cs="Times New Roman"/>
          <w:sz w:val="22"/>
          <w:szCs w:val="22"/>
          <w:lang w:eastAsia="it-IT"/>
        </w:rPr>
        <w:t>l’art. 5, comma 2, cit., cui aggiun</w:t>
      </w:r>
      <w:r w:rsidR="00B52F47" w:rsidRPr="003E01A4">
        <w:rPr>
          <w:rFonts w:ascii="Century Schoolbook" w:eastAsia="Times New Roman" w:hAnsi="Century Schoolbook" w:cs="Times New Roman"/>
          <w:sz w:val="22"/>
          <w:szCs w:val="22"/>
          <w:lang w:eastAsia="it-IT"/>
        </w:rPr>
        <w:t>s</w:t>
      </w:r>
      <w:r w:rsidR="00B664E6" w:rsidRPr="003E01A4">
        <w:rPr>
          <w:rFonts w:ascii="Century Schoolbook" w:eastAsia="Times New Roman" w:hAnsi="Century Schoolbook" w:cs="Times New Roman"/>
          <w:sz w:val="22"/>
          <w:szCs w:val="22"/>
          <w:lang w:eastAsia="it-IT"/>
        </w:rPr>
        <w:t xml:space="preserve">e un periodo: </w:t>
      </w:r>
      <w:r w:rsidR="00862BF1" w:rsidRPr="003E01A4">
        <w:rPr>
          <w:rFonts w:ascii="Century Schoolbook" w:eastAsia="Times New Roman" w:hAnsi="Century Schoolbook" w:cs="Times New Roman"/>
          <w:sz w:val="22"/>
          <w:szCs w:val="22"/>
          <w:lang w:eastAsia="it-IT"/>
        </w:rPr>
        <w:t>«Non è richiesta l</w:t>
      </w:r>
      <w:r w:rsidR="00B664E6" w:rsidRPr="003E01A4">
        <w:rPr>
          <w:rFonts w:ascii="Century Schoolbook" w:eastAsia="Times New Roman" w:hAnsi="Century Schoolbook" w:cs="Times New Roman"/>
          <w:sz w:val="22"/>
          <w:szCs w:val="22"/>
          <w:lang w:eastAsia="it-IT"/>
        </w:rPr>
        <w:t>’</w:t>
      </w:r>
      <w:r w:rsidR="00862BF1" w:rsidRPr="003E01A4">
        <w:rPr>
          <w:rFonts w:ascii="Century Schoolbook" w:eastAsia="Times New Roman" w:hAnsi="Century Schoolbook" w:cs="Times New Roman"/>
          <w:sz w:val="22"/>
          <w:szCs w:val="22"/>
          <w:lang w:eastAsia="it-IT"/>
        </w:rPr>
        <w:t>approvazione della regione, le cui attribuzioni sono fatte salve dall</w:t>
      </w:r>
      <w:r w:rsidR="00B664E6" w:rsidRPr="003E01A4">
        <w:rPr>
          <w:rFonts w:ascii="Century Schoolbook" w:eastAsia="Times New Roman" w:hAnsi="Century Schoolbook" w:cs="Times New Roman"/>
          <w:sz w:val="22"/>
          <w:szCs w:val="22"/>
          <w:lang w:eastAsia="it-IT"/>
        </w:rPr>
        <w:t>’</w:t>
      </w:r>
      <w:r w:rsidR="00862BF1" w:rsidRPr="003E01A4">
        <w:rPr>
          <w:rFonts w:ascii="Century Schoolbook" w:eastAsia="Times New Roman" w:hAnsi="Century Schoolbook" w:cs="Times New Roman"/>
          <w:sz w:val="22"/>
          <w:szCs w:val="22"/>
          <w:lang w:eastAsia="it-IT"/>
        </w:rPr>
        <w:t>articolo 14, comma 3-</w:t>
      </w:r>
      <w:r w:rsidR="00862BF1" w:rsidRPr="003E01A4">
        <w:rPr>
          <w:rFonts w:ascii="Century Schoolbook" w:eastAsia="Times New Roman" w:hAnsi="Century Schoolbook" w:cs="Times New Roman"/>
          <w:i/>
          <w:iCs/>
          <w:sz w:val="22"/>
          <w:szCs w:val="22"/>
          <w:lang w:eastAsia="it-IT"/>
        </w:rPr>
        <w:t>bis</w:t>
      </w:r>
      <w:r w:rsidR="00862BF1" w:rsidRPr="003E01A4">
        <w:rPr>
          <w:rFonts w:ascii="Century Schoolbook" w:eastAsia="Times New Roman" w:hAnsi="Century Schoolbook" w:cs="Times New Roman"/>
          <w:sz w:val="22"/>
          <w:szCs w:val="22"/>
          <w:lang w:eastAsia="it-IT"/>
        </w:rPr>
        <w:t xml:space="preserve"> della legge 7 agosto 1990, n. 241».</w:t>
      </w:r>
      <w:r w:rsidR="00B664E6" w:rsidRPr="003E01A4">
        <w:rPr>
          <w:rFonts w:ascii="Century Schoolbook" w:eastAsia="Times New Roman" w:hAnsi="Century Schoolbook" w:cs="Times New Roman"/>
          <w:sz w:val="22"/>
          <w:szCs w:val="22"/>
          <w:lang w:eastAsia="it-IT"/>
        </w:rPr>
        <w:t xml:space="preserve"> Ma si sgonfi</w:t>
      </w:r>
      <w:r w:rsidR="009B4A92" w:rsidRPr="003E01A4">
        <w:rPr>
          <w:rFonts w:ascii="Century Schoolbook" w:eastAsia="Times New Roman" w:hAnsi="Century Schoolbook" w:cs="Times New Roman"/>
          <w:sz w:val="22"/>
          <w:szCs w:val="22"/>
          <w:lang w:eastAsia="it-IT"/>
        </w:rPr>
        <w:t>ò</w:t>
      </w:r>
      <w:r w:rsidR="00A0693A" w:rsidRPr="003E01A4">
        <w:rPr>
          <w:rFonts w:ascii="Century Schoolbook" w:eastAsia="Times New Roman" w:hAnsi="Century Schoolbook" w:cs="Times New Roman"/>
          <w:sz w:val="22"/>
          <w:szCs w:val="22"/>
          <w:lang w:eastAsia="it-IT"/>
        </w:rPr>
        <w:t xml:space="preserve"> ancor più rapidamente</w:t>
      </w:r>
      <w:r w:rsidR="00B664E6" w:rsidRPr="003E01A4">
        <w:rPr>
          <w:rFonts w:ascii="Century Schoolbook" w:eastAsia="Times New Roman" w:hAnsi="Century Schoolbook" w:cs="Times New Roman"/>
          <w:sz w:val="22"/>
          <w:szCs w:val="22"/>
          <w:lang w:eastAsia="it-IT"/>
        </w:rPr>
        <w:t xml:space="preserve">: </w:t>
      </w:r>
      <w:r w:rsidRPr="003E01A4">
        <w:rPr>
          <w:rFonts w:ascii="Century Schoolbook" w:eastAsia="Times New Roman" w:hAnsi="Century Schoolbook" w:cs="Times New Roman"/>
          <w:sz w:val="22"/>
          <w:szCs w:val="22"/>
          <w:lang w:eastAsia="it-IT"/>
        </w:rPr>
        <w:t>e si trattò</w:t>
      </w:r>
      <w:r w:rsidR="009B4A92" w:rsidRPr="003E01A4">
        <w:rPr>
          <w:rFonts w:ascii="Century Schoolbook" w:eastAsia="Times New Roman" w:hAnsi="Century Schoolbook" w:cs="Times New Roman"/>
          <w:sz w:val="22"/>
          <w:szCs w:val="22"/>
          <w:lang w:eastAsia="it-IT"/>
        </w:rPr>
        <w:t xml:space="preserve"> </w:t>
      </w:r>
      <w:r w:rsidR="00BE4510" w:rsidRPr="003E01A4">
        <w:rPr>
          <w:rFonts w:ascii="Century Schoolbook" w:eastAsia="Times New Roman" w:hAnsi="Century Schoolbook" w:cs="Times New Roman"/>
          <w:sz w:val="22"/>
          <w:szCs w:val="22"/>
          <w:lang w:eastAsia="it-IT"/>
        </w:rPr>
        <w:t xml:space="preserve">proprio </w:t>
      </w:r>
      <w:r w:rsidRPr="003E01A4">
        <w:rPr>
          <w:rFonts w:ascii="Century Schoolbook" w:eastAsia="Times New Roman" w:hAnsi="Century Schoolbook" w:cs="Times New Roman"/>
          <w:sz w:val="22"/>
          <w:szCs w:val="22"/>
          <w:lang w:eastAsia="it-IT"/>
        </w:rPr>
        <w:t>d’</w:t>
      </w:r>
      <w:r w:rsidR="00BE4510" w:rsidRPr="003E01A4">
        <w:rPr>
          <w:rFonts w:ascii="Century Schoolbook" w:eastAsia="Times New Roman" w:hAnsi="Century Schoolbook" w:cs="Times New Roman"/>
          <w:sz w:val="22"/>
          <w:szCs w:val="22"/>
          <w:lang w:eastAsia="it-IT"/>
        </w:rPr>
        <w:t xml:space="preserve">un </w:t>
      </w:r>
      <w:r w:rsidR="00B664E6" w:rsidRPr="003E01A4">
        <w:rPr>
          <w:rFonts w:ascii="Century Schoolbook" w:eastAsia="Times New Roman" w:hAnsi="Century Schoolbook" w:cs="Times New Roman"/>
          <w:sz w:val="22"/>
          <w:szCs w:val="22"/>
          <w:lang w:eastAsia="it-IT"/>
        </w:rPr>
        <w:t>pasticcio normativo.</w:t>
      </w:r>
      <w:r w:rsidR="00BE4510" w:rsidRPr="003E01A4">
        <w:rPr>
          <w:rFonts w:ascii="Century Schoolbook" w:eastAsia="Times New Roman" w:hAnsi="Century Schoolbook" w:cs="Times New Roman"/>
          <w:sz w:val="22"/>
          <w:szCs w:val="22"/>
          <w:lang w:eastAsia="it-IT"/>
        </w:rPr>
        <w:t xml:space="preserve"> Vediamolo.</w:t>
      </w:r>
    </w:p>
    <w:p w14:paraId="56F85EFD" w14:textId="5C014D0A" w:rsidR="009B4A92" w:rsidRPr="003E01A4" w:rsidRDefault="00B664E6"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Ho ricordato più sopra Corte cost. 206/’01</w:t>
      </w:r>
      <w:r w:rsidR="00A0693A" w:rsidRPr="003E01A4">
        <w:rPr>
          <w:rFonts w:ascii="Century Schoolbook" w:eastAsia="Times New Roman" w:hAnsi="Century Schoolbook" w:cs="Times New Roman"/>
          <w:sz w:val="22"/>
          <w:szCs w:val="22"/>
          <w:lang w:eastAsia="it-IT"/>
        </w:rPr>
        <w:t xml:space="preserve">, </w:t>
      </w:r>
      <w:r w:rsidR="009B4A92" w:rsidRPr="003E01A4">
        <w:rPr>
          <w:rFonts w:ascii="Century Schoolbook" w:eastAsia="Times New Roman" w:hAnsi="Century Schoolbook" w:cs="Times New Roman"/>
          <w:sz w:val="22"/>
          <w:szCs w:val="22"/>
          <w:lang w:eastAsia="it-IT"/>
        </w:rPr>
        <w:t xml:space="preserve">secondo cui </w:t>
      </w:r>
      <w:r w:rsidR="007A15BF" w:rsidRPr="003E01A4">
        <w:rPr>
          <w:rFonts w:ascii="Century Schoolbook" w:eastAsia="Times New Roman" w:hAnsi="Century Schoolbook" w:cs="Times New Roman"/>
          <w:sz w:val="22"/>
          <w:szCs w:val="22"/>
          <w:lang w:eastAsia="it-IT"/>
        </w:rPr>
        <w:t xml:space="preserve">la seconda battuta approvativa regionale </w:t>
      </w:r>
      <w:r w:rsidR="009B4A92" w:rsidRPr="003E01A4">
        <w:rPr>
          <w:rFonts w:ascii="Century Schoolbook" w:eastAsia="Times New Roman" w:hAnsi="Century Schoolbook" w:cs="Times New Roman"/>
          <w:sz w:val="22"/>
          <w:szCs w:val="22"/>
          <w:lang w:eastAsia="it-IT"/>
        </w:rPr>
        <w:t xml:space="preserve">è ineludibile: </w:t>
      </w:r>
      <w:r w:rsidR="007A15BF" w:rsidRPr="003E01A4">
        <w:rPr>
          <w:rFonts w:ascii="Century Schoolbook" w:eastAsia="Times New Roman" w:hAnsi="Century Schoolbook" w:cs="Times New Roman"/>
          <w:sz w:val="22"/>
          <w:szCs w:val="22"/>
          <w:lang w:eastAsia="it-IT"/>
        </w:rPr>
        <w:t>donde l’incostituzionalità dell’art. 25, comma 2, lett. g), d.lgs. n. 112/’98 cit. In quella pronuncia la Consulta</w:t>
      </w:r>
      <w:r w:rsidR="00B52F47" w:rsidRPr="003E01A4">
        <w:rPr>
          <w:rFonts w:ascii="Century Schoolbook" w:eastAsia="Times New Roman" w:hAnsi="Century Schoolbook" w:cs="Times New Roman"/>
          <w:sz w:val="22"/>
          <w:szCs w:val="22"/>
          <w:lang w:eastAsia="it-IT"/>
        </w:rPr>
        <w:t xml:space="preserve"> prosegue</w:t>
      </w:r>
      <w:r w:rsidR="007A15BF" w:rsidRPr="003E01A4">
        <w:rPr>
          <w:rFonts w:ascii="Century Schoolbook" w:eastAsia="Times New Roman" w:hAnsi="Century Schoolbook" w:cs="Times New Roman"/>
          <w:sz w:val="22"/>
          <w:szCs w:val="22"/>
          <w:lang w:eastAsia="it-IT"/>
        </w:rPr>
        <w:t xml:space="preserve">, </w:t>
      </w:r>
      <w:r w:rsidR="009B4A92" w:rsidRPr="003E01A4">
        <w:rPr>
          <w:rFonts w:ascii="Century Schoolbook" w:eastAsia="Times New Roman" w:hAnsi="Century Schoolbook" w:cs="Times New Roman"/>
          <w:sz w:val="22"/>
          <w:szCs w:val="22"/>
          <w:lang w:eastAsia="it-IT"/>
        </w:rPr>
        <w:t xml:space="preserve">concedendo al legislatore </w:t>
      </w:r>
      <w:r w:rsidR="007A15BF" w:rsidRPr="003E01A4">
        <w:rPr>
          <w:rFonts w:ascii="Century Schoolbook" w:eastAsia="Times New Roman" w:hAnsi="Century Schoolbook" w:cs="Times New Roman"/>
          <w:sz w:val="22"/>
          <w:szCs w:val="22"/>
          <w:lang w:eastAsia="it-IT"/>
        </w:rPr>
        <w:t xml:space="preserve">un </w:t>
      </w:r>
      <w:r w:rsidR="009B4A92" w:rsidRPr="003E01A4">
        <w:rPr>
          <w:rFonts w:ascii="Century Schoolbook" w:eastAsia="Times New Roman" w:hAnsi="Century Schoolbook" w:cs="Times New Roman"/>
          <w:sz w:val="22"/>
          <w:szCs w:val="22"/>
          <w:lang w:eastAsia="it-IT"/>
        </w:rPr>
        <w:t xml:space="preserve">benevolo, </w:t>
      </w:r>
      <w:r w:rsidR="007A15BF" w:rsidRPr="003E01A4">
        <w:rPr>
          <w:rFonts w:ascii="Century Schoolbook" w:eastAsia="Times New Roman" w:hAnsi="Century Schoolbook" w:cs="Times New Roman"/>
          <w:sz w:val="22"/>
          <w:szCs w:val="22"/>
          <w:lang w:eastAsia="it-IT"/>
        </w:rPr>
        <w:t>trattenuto eufemismo</w:t>
      </w:r>
      <w:r w:rsidR="00110887" w:rsidRPr="003E01A4">
        <w:rPr>
          <w:rFonts w:ascii="Century Schoolbook" w:eastAsia="Times New Roman" w:hAnsi="Century Schoolbook" w:cs="Times New Roman"/>
          <w:sz w:val="22"/>
          <w:szCs w:val="22"/>
          <w:lang w:eastAsia="it-IT"/>
        </w:rPr>
        <w:t>.</w:t>
      </w:r>
      <w:r w:rsidR="007A15BF" w:rsidRPr="003E01A4">
        <w:rPr>
          <w:rFonts w:ascii="Century Schoolbook" w:eastAsia="Times New Roman" w:hAnsi="Century Schoolbook" w:cs="Times New Roman"/>
          <w:sz w:val="22"/>
          <w:szCs w:val="22"/>
          <w:lang w:eastAsia="it-IT"/>
        </w:rPr>
        <w:t xml:space="preserve"> </w:t>
      </w:r>
      <w:r w:rsidR="00110887" w:rsidRPr="003E01A4">
        <w:rPr>
          <w:rFonts w:ascii="Century Schoolbook" w:eastAsia="Times New Roman" w:hAnsi="Century Schoolbook" w:cs="Times New Roman"/>
          <w:sz w:val="22"/>
          <w:szCs w:val="22"/>
          <w:lang w:eastAsia="it-IT"/>
        </w:rPr>
        <w:t>E</w:t>
      </w:r>
      <w:r w:rsidR="007A15BF" w:rsidRPr="003E01A4">
        <w:rPr>
          <w:rFonts w:ascii="Century Schoolbook" w:eastAsia="Times New Roman" w:hAnsi="Century Schoolbook" w:cs="Times New Roman"/>
          <w:sz w:val="22"/>
          <w:szCs w:val="22"/>
          <w:lang w:eastAsia="it-IT"/>
        </w:rPr>
        <w:t xml:space="preserve">stende </w:t>
      </w:r>
      <w:r w:rsidR="00110887" w:rsidRPr="003E01A4">
        <w:rPr>
          <w:rFonts w:ascii="Century Schoolbook" w:eastAsia="Times New Roman" w:hAnsi="Century Schoolbook" w:cs="Times New Roman"/>
          <w:sz w:val="22"/>
          <w:szCs w:val="22"/>
          <w:lang w:eastAsia="it-IT"/>
        </w:rPr>
        <w:t xml:space="preserve">infatti </w:t>
      </w:r>
      <w:r w:rsidR="007A15BF" w:rsidRPr="003E01A4">
        <w:rPr>
          <w:rFonts w:ascii="Century Schoolbook" w:eastAsia="Times New Roman" w:hAnsi="Century Schoolbook" w:cs="Times New Roman"/>
          <w:sz w:val="22"/>
          <w:szCs w:val="22"/>
          <w:lang w:eastAsia="it-IT"/>
        </w:rPr>
        <w:t xml:space="preserve">il suo esame proprio alla novella </w:t>
      </w:r>
      <w:r w:rsidR="00110887" w:rsidRPr="003E01A4">
        <w:rPr>
          <w:rFonts w:ascii="Century Schoolbook" w:eastAsia="Times New Roman" w:hAnsi="Century Schoolbook" w:cs="Times New Roman"/>
          <w:sz w:val="22"/>
          <w:szCs w:val="22"/>
          <w:lang w:eastAsia="it-IT"/>
        </w:rPr>
        <w:t xml:space="preserve">regolamentare recata </w:t>
      </w:r>
      <w:r w:rsidR="007A15BF" w:rsidRPr="003E01A4">
        <w:rPr>
          <w:rFonts w:ascii="Century Schoolbook" w:eastAsia="Times New Roman" w:hAnsi="Century Schoolbook" w:cs="Times New Roman"/>
          <w:sz w:val="22"/>
          <w:szCs w:val="22"/>
          <w:lang w:eastAsia="it-IT"/>
        </w:rPr>
        <w:t>d</w:t>
      </w:r>
      <w:r w:rsidR="00110887" w:rsidRPr="003E01A4">
        <w:rPr>
          <w:rFonts w:ascii="Century Schoolbook" w:eastAsia="Times New Roman" w:hAnsi="Century Schoolbook" w:cs="Times New Roman"/>
          <w:sz w:val="22"/>
          <w:szCs w:val="22"/>
          <w:lang w:eastAsia="it-IT"/>
        </w:rPr>
        <w:t>a</w:t>
      </w:r>
      <w:r w:rsidR="007A15BF" w:rsidRPr="003E01A4">
        <w:rPr>
          <w:rFonts w:ascii="Century Schoolbook" w:eastAsia="Times New Roman" w:hAnsi="Century Schoolbook" w:cs="Times New Roman"/>
          <w:sz w:val="22"/>
          <w:szCs w:val="22"/>
          <w:lang w:eastAsia="it-IT"/>
        </w:rPr>
        <w:t xml:space="preserve">l </w:t>
      </w:r>
      <w:r w:rsidR="00110887" w:rsidRPr="003E01A4">
        <w:rPr>
          <w:rFonts w:ascii="Century Schoolbook" w:eastAsia="Times New Roman" w:hAnsi="Century Schoolbook" w:cs="Times New Roman"/>
          <w:sz w:val="22"/>
          <w:szCs w:val="22"/>
          <w:lang w:eastAsia="it-IT"/>
        </w:rPr>
        <w:t>d.P.R. n. 440/’0</w:t>
      </w:r>
      <w:r w:rsidR="007A15BF" w:rsidRPr="003E01A4">
        <w:rPr>
          <w:rFonts w:ascii="Century Schoolbook" w:eastAsia="Times New Roman" w:hAnsi="Century Schoolbook" w:cs="Times New Roman"/>
          <w:sz w:val="22"/>
          <w:szCs w:val="22"/>
          <w:lang w:eastAsia="it-IT"/>
        </w:rPr>
        <w:t>0: «</w:t>
      </w:r>
      <w:r w:rsidR="00A0693A" w:rsidRPr="003E01A4">
        <w:rPr>
          <w:rFonts w:ascii="Century Schoolbook" w:eastAsia="Times New Roman" w:hAnsi="Century Schoolbook" w:cs="Times New Roman"/>
          <w:sz w:val="22"/>
          <w:szCs w:val="22"/>
          <w:lang w:eastAsia="it-IT"/>
        </w:rPr>
        <w:t>Né può valere, a far ritenere salvaguardata tale competenza, il richiamo al disposto dell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articolo 14, comma 3-</w:t>
      </w:r>
      <w:r w:rsidR="00A0693A" w:rsidRPr="003E01A4">
        <w:rPr>
          <w:rFonts w:ascii="Century Schoolbook" w:eastAsia="Times New Roman" w:hAnsi="Century Schoolbook" w:cs="Times New Roman"/>
          <w:i/>
          <w:iCs/>
          <w:sz w:val="22"/>
          <w:szCs w:val="22"/>
          <w:lang w:eastAsia="it-IT"/>
        </w:rPr>
        <w:t>bis</w:t>
      </w:r>
      <w:r w:rsidR="00A0693A" w:rsidRPr="003E01A4">
        <w:rPr>
          <w:rFonts w:ascii="Century Schoolbook" w:eastAsia="Times New Roman" w:hAnsi="Century Schoolbook" w:cs="Times New Roman"/>
          <w:sz w:val="22"/>
          <w:szCs w:val="22"/>
          <w:lang w:eastAsia="it-IT"/>
        </w:rPr>
        <w:t xml:space="preserve"> della legge n. 241 del 1990, introdotto dall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art. 17 della legge n. 127 del 1997, che attribuiva fra 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 xml:space="preserve">altro al Presidente della </w:t>
      </w:r>
      <w:r w:rsidR="005D29F2" w:rsidRPr="003E01A4">
        <w:rPr>
          <w:rFonts w:ascii="Century Schoolbook" w:eastAsia="Times New Roman" w:hAnsi="Century Schoolbook" w:cs="Times New Roman"/>
          <w:sz w:val="22"/>
          <w:szCs w:val="22"/>
          <w:lang w:eastAsia="it-IT"/>
        </w:rPr>
        <w:t>R</w:t>
      </w:r>
      <w:r w:rsidR="00A0693A" w:rsidRPr="003E01A4">
        <w:rPr>
          <w:rFonts w:ascii="Century Schoolbook" w:eastAsia="Times New Roman" w:hAnsi="Century Schoolbook" w:cs="Times New Roman"/>
          <w:sz w:val="22"/>
          <w:szCs w:val="22"/>
          <w:lang w:eastAsia="it-IT"/>
        </w:rPr>
        <w:t xml:space="preserve">egione, previa delibera del consiglio regionale, il potere di disporre la sospensione della determinazione di conclusione positiva del procedimento, adottata dall'amministrazione procedente a seguito della conferenza di servizi. A parte ogni altra considerazione, infatti, </w:t>
      </w:r>
      <w:r w:rsidR="00A0693A" w:rsidRPr="003E01A4">
        <w:rPr>
          <w:rFonts w:ascii="Century Schoolbook" w:eastAsia="Times New Roman" w:hAnsi="Century Schoolbook" w:cs="Times New Roman"/>
          <w:i/>
          <w:iCs/>
          <w:sz w:val="22"/>
          <w:szCs w:val="22"/>
          <w:lang w:eastAsia="it-IT"/>
        </w:rPr>
        <w:t>detta disposizione non è più in vigore</w:t>
      </w:r>
      <w:r w:rsidR="00A0693A" w:rsidRPr="003E01A4">
        <w:rPr>
          <w:rFonts w:ascii="Century Schoolbook" w:eastAsia="Times New Roman" w:hAnsi="Century Schoolbook" w:cs="Times New Roman"/>
          <w:sz w:val="22"/>
          <w:szCs w:val="22"/>
          <w:lang w:eastAsia="it-IT"/>
        </w:rPr>
        <w:t>, a seguito della riformulazione degli articoli da 14 a 14-</w:t>
      </w:r>
      <w:r w:rsidR="00A0693A" w:rsidRPr="003E01A4">
        <w:rPr>
          <w:rFonts w:ascii="Century Schoolbook" w:eastAsia="Times New Roman" w:hAnsi="Century Schoolbook" w:cs="Times New Roman"/>
          <w:i/>
          <w:iCs/>
          <w:sz w:val="22"/>
          <w:szCs w:val="22"/>
          <w:lang w:eastAsia="it-IT"/>
        </w:rPr>
        <w:t>quater</w:t>
      </w:r>
      <w:r w:rsidR="00A0693A" w:rsidRPr="003E01A4">
        <w:rPr>
          <w:rFonts w:ascii="Century Schoolbook" w:eastAsia="Times New Roman" w:hAnsi="Century Schoolbook" w:cs="Times New Roman"/>
          <w:sz w:val="22"/>
          <w:szCs w:val="22"/>
          <w:lang w:eastAsia="it-IT"/>
        </w:rPr>
        <w:t xml:space="preserve"> della legge n. 241 del 1990, operata dalla legge n. 340 del 2000: oggi 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art. 14-</w:t>
      </w:r>
      <w:r w:rsidR="00A0693A" w:rsidRPr="003E01A4">
        <w:rPr>
          <w:rFonts w:ascii="Century Schoolbook" w:eastAsia="Times New Roman" w:hAnsi="Century Schoolbook" w:cs="Times New Roman"/>
          <w:i/>
          <w:iCs/>
          <w:sz w:val="22"/>
          <w:szCs w:val="22"/>
          <w:lang w:eastAsia="it-IT"/>
        </w:rPr>
        <w:t>quater</w:t>
      </w:r>
      <w:r w:rsidR="00A0693A" w:rsidRPr="003E01A4">
        <w:rPr>
          <w:rFonts w:ascii="Century Schoolbook" w:eastAsia="Times New Roman" w:hAnsi="Century Schoolbook" w:cs="Times New Roman"/>
          <w:sz w:val="22"/>
          <w:szCs w:val="22"/>
          <w:lang w:eastAsia="it-IT"/>
        </w:rPr>
        <w:t xml:space="preserve"> si limita a prevedere che se una o più amministrazioni hanno espresso nell'ambito della conferenza il proprio dissenso sulla proposta dell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amministrazione procedente, quest'ultima assuma comunque la determinazione di conclusione del procedimento sulla base della maggioranza delle posizioni espresse, e che solo qualora il motivato dissenso sia espresso da un</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 xml:space="preserve">amministrazione </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preposta alla tutela ambientale, paesaggistico-territoriale, del patrimonio storico-artistico o alla tutela della salute</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 la decisione sia rimessa al Consiglio dei ministri (con 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intervento del presidente della regione quando il dissenso è espresso da una regione) ove l</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amministrazione</w:t>
      </w:r>
      <w:r w:rsidR="007A15BF" w:rsidRPr="003E01A4">
        <w:rPr>
          <w:rFonts w:ascii="Century Schoolbook" w:eastAsia="Times New Roman" w:hAnsi="Century Schoolbook" w:cs="Times New Roman"/>
          <w:sz w:val="22"/>
          <w:szCs w:val="22"/>
          <w:lang w:eastAsia="it-IT"/>
        </w:rPr>
        <w:t xml:space="preserve"> </w:t>
      </w:r>
      <w:r w:rsidR="00A0693A" w:rsidRPr="003E01A4">
        <w:rPr>
          <w:rFonts w:ascii="Century Schoolbook" w:eastAsia="Times New Roman" w:hAnsi="Century Schoolbook" w:cs="Times New Roman"/>
          <w:sz w:val="22"/>
          <w:szCs w:val="22"/>
          <w:lang w:eastAsia="it-IT"/>
        </w:rPr>
        <w:t>dissenziente o quella procedente sia un</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 xml:space="preserve">amministrazione statale, ovvero </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ai competenti organi collegiali esecutivi degli enti territoriali</w:t>
      </w:r>
      <w:r w:rsidR="007A15BF" w:rsidRPr="003E01A4">
        <w:rPr>
          <w:rFonts w:ascii="Century Schoolbook" w:eastAsia="Times New Roman" w:hAnsi="Century Schoolbook" w:cs="Times New Roman"/>
          <w:sz w:val="22"/>
          <w:szCs w:val="22"/>
          <w:lang w:eastAsia="it-IT"/>
        </w:rPr>
        <w:t>”</w:t>
      </w:r>
      <w:r w:rsidR="00A0693A" w:rsidRPr="003E01A4">
        <w:rPr>
          <w:rFonts w:ascii="Century Schoolbook" w:eastAsia="Times New Roman" w:hAnsi="Century Schoolbook" w:cs="Times New Roman"/>
          <w:sz w:val="22"/>
          <w:szCs w:val="22"/>
          <w:lang w:eastAsia="it-IT"/>
        </w:rPr>
        <w:t xml:space="preserve"> nelle altre ipotesi (art. 14-</w:t>
      </w:r>
      <w:r w:rsidR="00A0693A" w:rsidRPr="003E01A4">
        <w:rPr>
          <w:rFonts w:ascii="Century Schoolbook" w:eastAsia="Times New Roman" w:hAnsi="Century Schoolbook" w:cs="Times New Roman"/>
          <w:i/>
          <w:iCs/>
          <w:sz w:val="22"/>
          <w:szCs w:val="22"/>
          <w:lang w:eastAsia="it-IT"/>
        </w:rPr>
        <w:t>quater</w:t>
      </w:r>
      <w:r w:rsidR="00A0693A" w:rsidRPr="003E01A4">
        <w:rPr>
          <w:rFonts w:ascii="Century Schoolbook" w:eastAsia="Times New Roman" w:hAnsi="Century Schoolbook" w:cs="Times New Roman"/>
          <w:sz w:val="22"/>
          <w:szCs w:val="22"/>
          <w:lang w:eastAsia="it-IT"/>
        </w:rPr>
        <w:t xml:space="preserve"> commi 3 e 4). </w:t>
      </w:r>
      <w:r w:rsidR="00A0693A" w:rsidRPr="003E01A4">
        <w:rPr>
          <w:rFonts w:ascii="Century Schoolbook" w:eastAsia="Times New Roman" w:hAnsi="Century Schoolbook" w:cs="Times New Roman"/>
          <w:i/>
          <w:iCs/>
          <w:sz w:val="22"/>
          <w:szCs w:val="22"/>
          <w:lang w:eastAsia="it-IT"/>
        </w:rPr>
        <w:t>Non è dunque appropriata l</w:t>
      </w:r>
      <w:r w:rsidR="007A15BF" w:rsidRPr="003E01A4">
        <w:rPr>
          <w:rFonts w:ascii="Century Schoolbook" w:eastAsia="Times New Roman" w:hAnsi="Century Schoolbook" w:cs="Times New Roman"/>
          <w:i/>
          <w:iCs/>
          <w:sz w:val="22"/>
          <w:szCs w:val="22"/>
          <w:lang w:eastAsia="it-IT"/>
        </w:rPr>
        <w:t>’</w:t>
      </w:r>
      <w:r w:rsidR="00A0693A" w:rsidRPr="003E01A4">
        <w:rPr>
          <w:rFonts w:ascii="Century Schoolbook" w:eastAsia="Times New Roman" w:hAnsi="Century Schoolbook" w:cs="Times New Roman"/>
          <w:i/>
          <w:iCs/>
          <w:sz w:val="22"/>
          <w:szCs w:val="22"/>
          <w:lang w:eastAsia="it-IT"/>
        </w:rPr>
        <w:t>integrazione apportata di recente al regolamento in materia di sportelli unici per gli impianti produttivi dall</w:t>
      </w:r>
      <w:r w:rsidR="007A15BF" w:rsidRPr="003E01A4">
        <w:rPr>
          <w:rFonts w:ascii="Century Schoolbook" w:eastAsia="Times New Roman" w:hAnsi="Century Schoolbook" w:cs="Times New Roman"/>
          <w:i/>
          <w:iCs/>
          <w:sz w:val="22"/>
          <w:szCs w:val="22"/>
          <w:lang w:eastAsia="it-IT"/>
        </w:rPr>
        <w:t>’</w:t>
      </w:r>
      <w:r w:rsidR="00A0693A" w:rsidRPr="003E01A4">
        <w:rPr>
          <w:rFonts w:ascii="Century Schoolbook" w:eastAsia="Times New Roman" w:hAnsi="Century Schoolbook" w:cs="Times New Roman"/>
          <w:i/>
          <w:iCs/>
          <w:sz w:val="22"/>
          <w:szCs w:val="22"/>
          <w:lang w:eastAsia="it-IT"/>
        </w:rPr>
        <w:t>art. 1 del regolamento approvato con d.P.R. 7 dicembre 2000, n. 440, l</w:t>
      </w:r>
      <w:r w:rsidR="007A15BF" w:rsidRPr="003E01A4">
        <w:rPr>
          <w:rFonts w:ascii="Century Schoolbook" w:eastAsia="Times New Roman" w:hAnsi="Century Schoolbook" w:cs="Times New Roman"/>
          <w:i/>
          <w:iCs/>
          <w:sz w:val="22"/>
          <w:szCs w:val="22"/>
          <w:lang w:eastAsia="it-IT"/>
        </w:rPr>
        <w:t>à</w:t>
      </w:r>
      <w:r w:rsidR="00A0693A" w:rsidRPr="003E01A4">
        <w:rPr>
          <w:rFonts w:ascii="Century Schoolbook" w:eastAsia="Times New Roman" w:hAnsi="Century Schoolbook" w:cs="Times New Roman"/>
          <w:i/>
          <w:iCs/>
          <w:sz w:val="22"/>
          <w:szCs w:val="22"/>
          <w:lang w:eastAsia="it-IT"/>
        </w:rPr>
        <w:t xml:space="preserve"> dove dispone, per l</w:t>
      </w:r>
      <w:r w:rsidR="007A15BF" w:rsidRPr="003E01A4">
        <w:rPr>
          <w:rFonts w:ascii="Century Schoolbook" w:eastAsia="Times New Roman" w:hAnsi="Century Schoolbook" w:cs="Times New Roman"/>
          <w:i/>
          <w:iCs/>
          <w:sz w:val="22"/>
          <w:szCs w:val="22"/>
          <w:lang w:eastAsia="it-IT"/>
        </w:rPr>
        <w:t>’</w:t>
      </w:r>
      <w:r w:rsidR="00A0693A" w:rsidRPr="003E01A4">
        <w:rPr>
          <w:rFonts w:ascii="Century Schoolbook" w:eastAsia="Times New Roman" w:hAnsi="Century Schoolbook" w:cs="Times New Roman"/>
          <w:i/>
          <w:iCs/>
          <w:sz w:val="22"/>
          <w:szCs w:val="22"/>
          <w:lang w:eastAsia="it-IT"/>
        </w:rPr>
        <w:t xml:space="preserve">ipotesi di pronuncia definitiva del consiglio comunale sulla proposta di variante dello strumento urbanistico, che </w:t>
      </w:r>
      <w:r w:rsidR="007A15BF" w:rsidRPr="003E01A4">
        <w:rPr>
          <w:rFonts w:ascii="Century Schoolbook" w:eastAsia="Times New Roman" w:hAnsi="Century Schoolbook" w:cs="Times New Roman"/>
          <w:i/>
          <w:iCs/>
          <w:sz w:val="22"/>
          <w:szCs w:val="22"/>
          <w:lang w:eastAsia="it-IT"/>
        </w:rPr>
        <w:t>“</w:t>
      </w:r>
      <w:r w:rsidR="00A0693A" w:rsidRPr="003E01A4">
        <w:rPr>
          <w:rFonts w:ascii="Century Schoolbook" w:eastAsia="Times New Roman" w:hAnsi="Century Schoolbook" w:cs="Times New Roman"/>
          <w:i/>
          <w:iCs/>
          <w:sz w:val="22"/>
          <w:szCs w:val="22"/>
          <w:lang w:eastAsia="it-IT"/>
        </w:rPr>
        <w:t>non è richiesta l</w:t>
      </w:r>
      <w:r w:rsidR="007A15BF" w:rsidRPr="003E01A4">
        <w:rPr>
          <w:rFonts w:ascii="Century Schoolbook" w:eastAsia="Times New Roman" w:hAnsi="Century Schoolbook" w:cs="Times New Roman"/>
          <w:i/>
          <w:iCs/>
          <w:sz w:val="22"/>
          <w:szCs w:val="22"/>
          <w:lang w:eastAsia="it-IT"/>
        </w:rPr>
        <w:t>’</w:t>
      </w:r>
      <w:r w:rsidR="00A0693A" w:rsidRPr="003E01A4">
        <w:rPr>
          <w:rFonts w:ascii="Century Schoolbook" w:eastAsia="Times New Roman" w:hAnsi="Century Schoolbook" w:cs="Times New Roman"/>
          <w:i/>
          <w:iCs/>
          <w:sz w:val="22"/>
          <w:szCs w:val="22"/>
          <w:lang w:eastAsia="it-IT"/>
        </w:rPr>
        <w:t>approvazione della regione, le cui attribuzioni sono fatte salve dall</w:t>
      </w:r>
      <w:r w:rsidR="007A15BF" w:rsidRPr="003E01A4">
        <w:rPr>
          <w:rFonts w:ascii="Century Schoolbook" w:eastAsia="Times New Roman" w:hAnsi="Century Schoolbook" w:cs="Times New Roman"/>
          <w:i/>
          <w:iCs/>
          <w:sz w:val="22"/>
          <w:szCs w:val="22"/>
          <w:lang w:eastAsia="it-IT"/>
        </w:rPr>
        <w:t>’</w:t>
      </w:r>
      <w:r w:rsidR="00A0693A" w:rsidRPr="003E01A4">
        <w:rPr>
          <w:rFonts w:ascii="Century Schoolbook" w:eastAsia="Times New Roman" w:hAnsi="Century Schoolbook" w:cs="Times New Roman"/>
          <w:i/>
          <w:iCs/>
          <w:sz w:val="22"/>
          <w:szCs w:val="22"/>
          <w:lang w:eastAsia="it-IT"/>
        </w:rPr>
        <w:t>art. 14, comma 3-</w:t>
      </w:r>
      <w:r w:rsidR="00A0693A" w:rsidRPr="003E01A4">
        <w:rPr>
          <w:rFonts w:ascii="Century Schoolbook" w:eastAsia="Times New Roman" w:hAnsi="Century Schoolbook" w:cs="Times New Roman"/>
          <w:sz w:val="22"/>
          <w:szCs w:val="22"/>
          <w:lang w:eastAsia="it-IT"/>
        </w:rPr>
        <w:t>bis</w:t>
      </w:r>
      <w:r w:rsidR="00A0693A" w:rsidRPr="003E01A4">
        <w:rPr>
          <w:rFonts w:ascii="Century Schoolbook" w:eastAsia="Times New Roman" w:hAnsi="Century Schoolbook" w:cs="Times New Roman"/>
          <w:i/>
          <w:iCs/>
          <w:sz w:val="22"/>
          <w:szCs w:val="22"/>
          <w:lang w:eastAsia="it-IT"/>
        </w:rPr>
        <w:t xml:space="preserve"> della legge 7 agosto 1990, n. 241</w:t>
      </w:r>
      <w:r w:rsidR="007A15BF" w:rsidRPr="003E01A4">
        <w:rPr>
          <w:rFonts w:ascii="Century Schoolbook" w:eastAsia="Times New Roman" w:hAnsi="Century Schoolbook" w:cs="Times New Roman"/>
          <w:i/>
          <w:iCs/>
          <w:sz w:val="22"/>
          <w:szCs w:val="22"/>
          <w:lang w:eastAsia="it-IT"/>
        </w:rPr>
        <w:t>”</w:t>
      </w:r>
      <w:r w:rsidR="007A15BF" w:rsidRPr="003E01A4">
        <w:rPr>
          <w:rFonts w:ascii="Century Schoolbook" w:eastAsia="Times New Roman" w:hAnsi="Century Schoolbook" w:cs="Times New Roman"/>
          <w:sz w:val="22"/>
          <w:szCs w:val="22"/>
          <w:lang w:eastAsia="it-IT"/>
        </w:rPr>
        <w:t>»</w:t>
      </w:r>
      <w:r w:rsidR="005D29F2" w:rsidRPr="003E01A4">
        <w:rPr>
          <w:rStyle w:val="Rimandonotaapidipagina"/>
          <w:rFonts w:ascii="Century Schoolbook" w:eastAsia="Times New Roman" w:hAnsi="Century Schoolbook" w:cs="Times New Roman"/>
          <w:sz w:val="22"/>
          <w:szCs w:val="22"/>
          <w:lang w:eastAsia="it-IT"/>
        </w:rPr>
        <w:footnoteReference w:id="4"/>
      </w:r>
      <w:r w:rsidR="007A15BF" w:rsidRPr="003E01A4">
        <w:rPr>
          <w:rFonts w:ascii="Century Schoolbook" w:eastAsia="Times New Roman" w:hAnsi="Century Schoolbook" w:cs="Times New Roman"/>
          <w:sz w:val="22"/>
          <w:szCs w:val="22"/>
          <w:lang w:eastAsia="it-IT"/>
        </w:rPr>
        <w:t xml:space="preserve">. </w:t>
      </w:r>
    </w:p>
    <w:p w14:paraId="009A99F7" w14:textId="6197AA8D" w:rsidR="00B664E6" w:rsidRPr="003E01A4" w:rsidRDefault="007A15BF"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In </w:t>
      </w:r>
      <w:r w:rsidR="009B4A92" w:rsidRPr="003E01A4">
        <w:rPr>
          <w:rFonts w:ascii="Century Schoolbook" w:eastAsia="Times New Roman" w:hAnsi="Century Schoolbook" w:cs="Times New Roman"/>
          <w:sz w:val="22"/>
          <w:szCs w:val="22"/>
          <w:lang w:eastAsia="it-IT"/>
        </w:rPr>
        <w:t>breve</w:t>
      </w:r>
      <w:r w:rsidRPr="003E01A4">
        <w:rPr>
          <w:rFonts w:ascii="Century Schoolbook" w:eastAsia="Times New Roman" w:hAnsi="Century Schoolbook" w:cs="Times New Roman"/>
          <w:sz w:val="22"/>
          <w:szCs w:val="22"/>
          <w:lang w:eastAsia="it-IT"/>
        </w:rPr>
        <w:t xml:space="preserve">, </w:t>
      </w:r>
      <w:r w:rsidR="00B52F47" w:rsidRPr="003E01A4">
        <w:rPr>
          <w:rFonts w:ascii="Century Schoolbook" w:eastAsia="Times New Roman" w:hAnsi="Century Schoolbook" w:cs="Times New Roman"/>
          <w:sz w:val="22"/>
          <w:szCs w:val="22"/>
          <w:lang w:eastAsia="it-IT"/>
        </w:rPr>
        <w:t>la Corte m</w:t>
      </w:r>
      <w:r w:rsidR="006B062A" w:rsidRPr="003E01A4">
        <w:rPr>
          <w:rFonts w:ascii="Century Schoolbook" w:eastAsia="Times New Roman" w:hAnsi="Century Schoolbook" w:cs="Times New Roman"/>
          <w:sz w:val="22"/>
          <w:szCs w:val="22"/>
          <w:lang w:eastAsia="it-IT"/>
        </w:rPr>
        <w:t>ette</w:t>
      </w:r>
      <w:r w:rsidR="00B52F47" w:rsidRPr="003E01A4">
        <w:rPr>
          <w:rFonts w:ascii="Century Schoolbook" w:eastAsia="Times New Roman" w:hAnsi="Century Schoolbook" w:cs="Times New Roman"/>
          <w:sz w:val="22"/>
          <w:szCs w:val="22"/>
          <w:lang w:eastAsia="it-IT"/>
        </w:rPr>
        <w:t xml:space="preserve"> in evidenza che </w:t>
      </w:r>
      <w:r w:rsidRPr="003E01A4">
        <w:rPr>
          <w:rFonts w:ascii="Century Schoolbook" w:eastAsia="Times New Roman" w:hAnsi="Century Schoolbook" w:cs="Times New Roman"/>
          <w:sz w:val="22"/>
          <w:szCs w:val="22"/>
          <w:lang w:eastAsia="it-IT"/>
        </w:rPr>
        <w:t xml:space="preserve">per </w:t>
      </w:r>
      <w:r w:rsidR="005537D8" w:rsidRPr="003E01A4">
        <w:rPr>
          <w:rFonts w:ascii="Century Schoolbook" w:eastAsia="Times New Roman" w:hAnsi="Century Schoolbook" w:cs="Times New Roman"/>
          <w:sz w:val="22"/>
          <w:szCs w:val="22"/>
          <w:lang w:eastAsia="it-IT"/>
        </w:rPr>
        <w:t xml:space="preserve">costringere le competenze regionali all’interno del perimetro conferenziale </w:t>
      </w:r>
      <w:r w:rsidR="005537D8" w:rsidRPr="003E01A4">
        <w:rPr>
          <w:rFonts w:ascii="Century Schoolbook" w:eastAsia="Times New Roman" w:hAnsi="Century Schoolbook" w:cs="Times New Roman"/>
          <w:i/>
          <w:iCs/>
          <w:sz w:val="22"/>
          <w:szCs w:val="22"/>
          <w:lang w:eastAsia="it-IT"/>
        </w:rPr>
        <w:t>ex</w:t>
      </w:r>
      <w:r w:rsidR="005537D8" w:rsidRPr="003E01A4">
        <w:rPr>
          <w:rFonts w:ascii="Century Schoolbook" w:eastAsia="Times New Roman" w:hAnsi="Century Schoolbook" w:cs="Times New Roman"/>
          <w:sz w:val="22"/>
          <w:szCs w:val="22"/>
          <w:lang w:eastAsia="it-IT"/>
        </w:rPr>
        <w:t xml:space="preserve"> art. 5 cit. la novella non </w:t>
      </w:r>
      <w:r w:rsidR="00B52F47" w:rsidRPr="003E01A4">
        <w:rPr>
          <w:rFonts w:ascii="Century Schoolbook" w:eastAsia="Times New Roman" w:hAnsi="Century Schoolbook" w:cs="Times New Roman"/>
          <w:sz w:val="22"/>
          <w:szCs w:val="22"/>
          <w:lang w:eastAsia="it-IT"/>
        </w:rPr>
        <w:t xml:space="preserve">aveva </w:t>
      </w:r>
      <w:r w:rsidR="005537D8" w:rsidRPr="003E01A4">
        <w:rPr>
          <w:rFonts w:ascii="Century Schoolbook" w:eastAsia="Times New Roman" w:hAnsi="Century Schoolbook" w:cs="Times New Roman"/>
          <w:sz w:val="22"/>
          <w:szCs w:val="22"/>
          <w:lang w:eastAsia="it-IT"/>
        </w:rPr>
        <w:t>trova</w:t>
      </w:r>
      <w:r w:rsidR="00B52F47" w:rsidRPr="003E01A4">
        <w:rPr>
          <w:rFonts w:ascii="Century Schoolbook" w:eastAsia="Times New Roman" w:hAnsi="Century Schoolbook" w:cs="Times New Roman"/>
          <w:sz w:val="22"/>
          <w:szCs w:val="22"/>
          <w:lang w:eastAsia="it-IT"/>
        </w:rPr>
        <w:t>to</w:t>
      </w:r>
      <w:r w:rsidR="005537D8" w:rsidRPr="003E01A4">
        <w:rPr>
          <w:rFonts w:ascii="Century Schoolbook" w:eastAsia="Times New Roman" w:hAnsi="Century Schoolbook" w:cs="Times New Roman"/>
          <w:sz w:val="22"/>
          <w:szCs w:val="22"/>
          <w:lang w:eastAsia="it-IT"/>
        </w:rPr>
        <w:t xml:space="preserve"> di meglio che rinviare a una norma che non esiste</w:t>
      </w:r>
      <w:r w:rsidR="00476C8F" w:rsidRPr="003E01A4">
        <w:rPr>
          <w:rFonts w:ascii="Century Schoolbook" w:eastAsia="Times New Roman" w:hAnsi="Century Schoolbook" w:cs="Times New Roman"/>
          <w:sz w:val="22"/>
          <w:szCs w:val="22"/>
          <w:lang w:eastAsia="it-IT"/>
        </w:rPr>
        <w:t>va</w:t>
      </w:r>
      <w:r w:rsidR="005537D8" w:rsidRPr="003E01A4">
        <w:rPr>
          <w:rFonts w:ascii="Century Schoolbook" w:eastAsia="Times New Roman" w:hAnsi="Century Schoolbook" w:cs="Times New Roman"/>
          <w:sz w:val="22"/>
          <w:szCs w:val="22"/>
          <w:lang w:eastAsia="it-IT"/>
        </w:rPr>
        <w:t xml:space="preserve"> più, cioè all’art. 14, comma 3-</w:t>
      </w:r>
      <w:r w:rsidR="005537D8" w:rsidRPr="003E01A4">
        <w:rPr>
          <w:rFonts w:ascii="Century Schoolbook" w:eastAsia="Times New Roman" w:hAnsi="Century Schoolbook" w:cs="Times New Roman"/>
          <w:i/>
          <w:iCs/>
          <w:sz w:val="22"/>
          <w:szCs w:val="22"/>
          <w:lang w:eastAsia="it-IT"/>
        </w:rPr>
        <w:t>bis</w:t>
      </w:r>
      <w:r w:rsidR="005537D8" w:rsidRPr="003E01A4">
        <w:rPr>
          <w:rFonts w:ascii="Century Schoolbook" w:eastAsia="Times New Roman" w:hAnsi="Century Schoolbook" w:cs="Times New Roman"/>
          <w:sz w:val="22"/>
          <w:szCs w:val="22"/>
          <w:lang w:eastAsia="it-IT"/>
        </w:rPr>
        <w:t>, l. n. 241/’90</w:t>
      </w:r>
      <w:r w:rsidR="00156561" w:rsidRPr="003E01A4">
        <w:rPr>
          <w:rFonts w:ascii="Century Schoolbook" w:eastAsia="Times New Roman" w:hAnsi="Century Schoolbook" w:cs="Times New Roman"/>
          <w:sz w:val="22"/>
          <w:szCs w:val="22"/>
          <w:lang w:eastAsia="it-IT"/>
        </w:rPr>
        <w:t>.</w:t>
      </w:r>
    </w:p>
    <w:p w14:paraId="652527D4" w14:textId="18B5BAB1" w:rsidR="00431685" w:rsidRPr="003E01A4" w:rsidRDefault="00476C8F"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La fase dell’unicismo “antiregionalista” </w:t>
      </w:r>
      <w:r w:rsidR="00061ED8" w:rsidRPr="003E01A4">
        <w:rPr>
          <w:rFonts w:ascii="Century Schoolbook" w:eastAsia="Times New Roman" w:hAnsi="Century Schoolbook" w:cs="Times New Roman"/>
          <w:sz w:val="22"/>
          <w:szCs w:val="22"/>
          <w:lang w:eastAsia="it-IT"/>
        </w:rPr>
        <w:t>finisce così, con poca gloria</w:t>
      </w:r>
      <w:r w:rsidR="00477786" w:rsidRPr="003E01A4">
        <w:rPr>
          <w:rFonts w:ascii="Century Schoolbook" w:eastAsia="Times New Roman" w:hAnsi="Century Schoolbook" w:cs="Times New Roman"/>
          <w:sz w:val="22"/>
          <w:szCs w:val="22"/>
          <w:lang w:eastAsia="it-IT"/>
        </w:rPr>
        <w:t>. Se qualche merito possiamo ascriver</w:t>
      </w:r>
      <w:r w:rsidR="00415291" w:rsidRPr="003E01A4">
        <w:rPr>
          <w:rFonts w:ascii="Century Schoolbook" w:eastAsia="Times New Roman" w:hAnsi="Century Schoolbook" w:cs="Times New Roman"/>
          <w:sz w:val="22"/>
          <w:szCs w:val="22"/>
          <w:lang w:eastAsia="it-IT"/>
        </w:rPr>
        <w:t>le</w:t>
      </w:r>
      <w:r w:rsidR="00477786" w:rsidRPr="003E01A4">
        <w:rPr>
          <w:rFonts w:ascii="Century Schoolbook" w:eastAsia="Times New Roman" w:hAnsi="Century Schoolbook" w:cs="Times New Roman"/>
          <w:sz w:val="22"/>
          <w:szCs w:val="22"/>
          <w:lang w:eastAsia="it-IT"/>
        </w:rPr>
        <w:t xml:space="preserve">, v’è quello di aver </w:t>
      </w:r>
      <w:r w:rsidR="00BE4510" w:rsidRPr="003E01A4">
        <w:rPr>
          <w:rFonts w:ascii="Century Schoolbook" w:eastAsia="Times New Roman" w:hAnsi="Century Schoolbook" w:cs="Times New Roman"/>
          <w:sz w:val="22"/>
          <w:szCs w:val="22"/>
          <w:lang w:eastAsia="it-IT"/>
        </w:rPr>
        <w:t>almeno segnato l’inizio delle esperienze di normazione</w:t>
      </w:r>
      <w:r w:rsidR="00AF0F12" w:rsidRPr="003E01A4">
        <w:rPr>
          <w:rFonts w:ascii="Century Schoolbook" w:eastAsia="Times New Roman" w:hAnsi="Century Schoolbook" w:cs="Times New Roman"/>
          <w:sz w:val="22"/>
          <w:szCs w:val="22"/>
          <w:lang w:eastAsia="it-IT"/>
        </w:rPr>
        <w:t xml:space="preserve"> volte alla concentrazione procedimentale.</w:t>
      </w:r>
    </w:p>
    <w:p w14:paraId="7AFCA827" w14:textId="49CBD92D" w:rsidR="0032631A" w:rsidRPr="003E01A4" w:rsidRDefault="0032631A" w:rsidP="002B4988">
      <w:pPr>
        <w:spacing w:line="360" w:lineRule="auto"/>
        <w:ind w:firstLine="709"/>
        <w:contextualSpacing/>
        <w:jc w:val="both"/>
        <w:rPr>
          <w:rFonts w:ascii="Century Schoolbook" w:eastAsia="Times New Roman" w:hAnsi="Century Schoolbook" w:cs="Times New Roman"/>
          <w:sz w:val="22"/>
          <w:szCs w:val="22"/>
          <w:lang w:eastAsia="it-IT"/>
        </w:rPr>
      </w:pPr>
    </w:p>
    <w:p w14:paraId="4490696C" w14:textId="41B5F5EC" w:rsidR="00935CE3" w:rsidRPr="003E01A4" w:rsidRDefault="0032631A"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2. </w:t>
      </w:r>
      <w:r w:rsidR="00E624CC" w:rsidRPr="003E01A4">
        <w:rPr>
          <w:rFonts w:ascii="Century Schoolbook" w:eastAsia="Times New Roman" w:hAnsi="Century Schoolbook" w:cs="Times New Roman"/>
          <w:i/>
          <w:iCs/>
          <w:sz w:val="22"/>
          <w:szCs w:val="22"/>
          <w:lang w:eastAsia="it-IT"/>
        </w:rPr>
        <w:t xml:space="preserve">Modelli </w:t>
      </w:r>
      <w:r w:rsidR="00B562DF" w:rsidRPr="003E01A4">
        <w:rPr>
          <w:rFonts w:ascii="Century Schoolbook" w:eastAsia="Times New Roman" w:hAnsi="Century Schoolbook" w:cs="Times New Roman"/>
          <w:i/>
          <w:iCs/>
          <w:sz w:val="22"/>
          <w:szCs w:val="22"/>
          <w:lang w:eastAsia="it-IT"/>
        </w:rPr>
        <w:t>successivi</w:t>
      </w:r>
      <w:r w:rsidR="00E624CC" w:rsidRPr="003E01A4">
        <w:rPr>
          <w:rFonts w:ascii="Century Schoolbook" w:eastAsia="Times New Roman" w:hAnsi="Century Schoolbook" w:cs="Times New Roman"/>
          <w:i/>
          <w:iCs/>
          <w:sz w:val="22"/>
          <w:szCs w:val="22"/>
          <w:lang w:eastAsia="it-IT"/>
        </w:rPr>
        <w:t xml:space="preserve"> di unicità e</w:t>
      </w:r>
      <w:r w:rsidR="00B562DF" w:rsidRPr="003E01A4">
        <w:rPr>
          <w:rFonts w:ascii="Century Schoolbook" w:eastAsia="Times New Roman" w:hAnsi="Century Schoolbook" w:cs="Times New Roman"/>
          <w:i/>
          <w:iCs/>
          <w:sz w:val="22"/>
          <w:szCs w:val="22"/>
          <w:lang w:eastAsia="it-IT"/>
        </w:rPr>
        <w:t xml:space="preserve"> riserva comunale nel governo del territorio.</w:t>
      </w:r>
      <w:r w:rsidR="00B562DF" w:rsidRPr="003E01A4">
        <w:rPr>
          <w:rFonts w:ascii="Century Schoolbook" w:eastAsia="Times New Roman" w:hAnsi="Century Schoolbook" w:cs="Times New Roman"/>
          <w:sz w:val="22"/>
          <w:szCs w:val="22"/>
          <w:lang w:eastAsia="it-IT"/>
        </w:rPr>
        <w:t xml:space="preserve"> – </w:t>
      </w:r>
      <w:r w:rsidR="00671965" w:rsidRPr="003E01A4">
        <w:rPr>
          <w:rFonts w:ascii="Century Schoolbook" w:eastAsia="Times New Roman" w:hAnsi="Century Schoolbook" w:cs="Times New Roman"/>
          <w:sz w:val="22"/>
          <w:szCs w:val="22"/>
          <w:lang w:eastAsia="it-IT"/>
        </w:rPr>
        <w:t>I</w:t>
      </w:r>
      <w:r w:rsidR="00935CE3" w:rsidRPr="003E01A4">
        <w:rPr>
          <w:rFonts w:ascii="Century Schoolbook" w:eastAsia="Times New Roman" w:hAnsi="Century Schoolbook" w:cs="Times New Roman"/>
          <w:sz w:val="22"/>
          <w:szCs w:val="22"/>
          <w:lang w:eastAsia="it-IT"/>
        </w:rPr>
        <w:t xml:space="preserve">l </w:t>
      </w:r>
      <w:r w:rsidR="00027D33" w:rsidRPr="003E01A4">
        <w:rPr>
          <w:rFonts w:ascii="Century Schoolbook" w:eastAsia="Times New Roman" w:hAnsi="Century Schoolbook" w:cs="Times New Roman"/>
          <w:sz w:val="22"/>
          <w:szCs w:val="22"/>
          <w:lang w:eastAsia="it-IT"/>
        </w:rPr>
        <w:t>tema</w:t>
      </w:r>
      <w:r w:rsidR="00935CE3" w:rsidRPr="003E01A4">
        <w:rPr>
          <w:rFonts w:ascii="Century Schoolbook" w:eastAsia="Times New Roman" w:hAnsi="Century Schoolbook" w:cs="Times New Roman"/>
          <w:sz w:val="22"/>
          <w:szCs w:val="22"/>
          <w:lang w:eastAsia="it-IT"/>
        </w:rPr>
        <w:t xml:space="preserve"> resta</w:t>
      </w:r>
      <w:r w:rsidR="00C52CA8" w:rsidRPr="003E01A4">
        <w:rPr>
          <w:rFonts w:ascii="Century Schoolbook" w:eastAsia="Times New Roman" w:hAnsi="Century Schoolbook" w:cs="Times New Roman"/>
          <w:sz w:val="22"/>
          <w:szCs w:val="22"/>
          <w:lang w:eastAsia="it-IT"/>
        </w:rPr>
        <w:t>, però</w:t>
      </w:r>
      <w:r w:rsidR="00935CE3" w:rsidRPr="003E01A4">
        <w:rPr>
          <w:rFonts w:ascii="Century Schoolbook" w:eastAsia="Times New Roman" w:hAnsi="Century Schoolbook" w:cs="Times New Roman"/>
          <w:sz w:val="22"/>
          <w:szCs w:val="22"/>
          <w:lang w:eastAsia="it-IT"/>
        </w:rPr>
        <w:t xml:space="preserve">. Al di là dell’uso, in questa o quella disposizione, della nostra parola </w:t>
      </w:r>
      <w:r w:rsidR="00027D33" w:rsidRPr="003E01A4">
        <w:rPr>
          <w:rFonts w:ascii="Century Schoolbook" w:eastAsia="Times New Roman" w:hAnsi="Century Schoolbook" w:cs="Times New Roman"/>
          <w:sz w:val="22"/>
          <w:szCs w:val="22"/>
          <w:lang w:eastAsia="it-IT"/>
        </w:rPr>
        <w:t>così fascinosa</w:t>
      </w:r>
      <w:r w:rsidR="00935CE3" w:rsidRPr="003E01A4">
        <w:rPr>
          <w:rFonts w:ascii="Century Schoolbook" w:eastAsia="Times New Roman" w:hAnsi="Century Schoolbook" w:cs="Times New Roman"/>
          <w:sz w:val="22"/>
          <w:szCs w:val="22"/>
          <w:lang w:eastAsia="it-IT"/>
        </w:rPr>
        <w:t xml:space="preserve">. </w:t>
      </w:r>
    </w:p>
    <w:p w14:paraId="2C577AAD" w14:textId="378FC70B" w:rsidR="0032631A" w:rsidRPr="003E01A4" w:rsidRDefault="00935CE3"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È il caso </w:t>
      </w:r>
      <w:r w:rsidR="00027D33" w:rsidRPr="003E01A4">
        <w:rPr>
          <w:rFonts w:ascii="Century Schoolbook" w:eastAsia="Times New Roman" w:hAnsi="Century Schoolbook" w:cs="Times New Roman"/>
          <w:sz w:val="22"/>
          <w:szCs w:val="22"/>
          <w:lang w:eastAsia="it-IT"/>
        </w:rPr>
        <w:t xml:space="preserve">notissimo </w:t>
      </w:r>
      <w:r w:rsidRPr="003E01A4">
        <w:rPr>
          <w:rFonts w:ascii="Century Schoolbook" w:eastAsia="Times New Roman" w:hAnsi="Century Schoolbook" w:cs="Times New Roman"/>
          <w:sz w:val="22"/>
          <w:szCs w:val="22"/>
          <w:lang w:eastAsia="it-IT"/>
        </w:rPr>
        <w:t xml:space="preserve">dell’art. 12, d.lgs. </w:t>
      </w:r>
      <w:r w:rsidR="00041974" w:rsidRPr="003E01A4">
        <w:rPr>
          <w:rFonts w:ascii="Century Schoolbook" w:eastAsia="Times New Roman" w:hAnsi="Century Schoolbook" w:cs="Times New Roman"/>
          <w:sz w:val="22"/>
          <w:szCs w:val="22"/>
          <w:lang w:eastAsia="it-IT"/>
        </w:rPr>
        <w:t xml:space="preserve">n. 387/’03, che intende </w:t>
      </w:r>
      <w:r w:rsidRPr="003E01A4">
        <w:rPr>
          <w:rFonts w:ascii="Century Schoolbook" w:eastAsia="Times New Roman" w:hAnsi="Century Schoolbook" w:cs="Times New Roman"/>
          <w:sz w:val="22"/>
          <w:szCs w:val="22"/>
          <w:lang w:eastAsia="it-IT"/>
        </w:rPr>
        <w:t>razionalizza</w:t>
      </w:r>
      <w:r w:rsidR="00041974" w:rsidRPr="003E01A4">
        <w:rPr>
          <w:rFonts w:ascii="Century Schoolbook" w:eastAsia="Times New Roman" w:hAnsi="Century Schoolbook" w:cs="Times New Roman"/>
          <w:sz w:val="22"/>
          <w:szCs w:val="22"/>
          <w:lang w:eastAsia="it-IT"/>
        </w:rPr>
        <w:t>r</w:t>
      </w:r>
      <w:r w:rsidRPr="003E01A4">
        <w:rPr>
          <w:rFonts w:ascii="Century Schoolbook" w:eastAsia="Times New Roman" w:hAnsi="Century Schoolbook" w:cs="Times New Roman"/>
          <w:sz w:val="22"/>
          <w:szCs w:val="22"/>
          <w:lang w:eastAsia="it-IT"/>
        </w:rPr>
        <w:t>e e semplifica</w:t>
      </w:r>
      <w:r w:rsidR="00041974" w:rsidRPr="003E01A4">
        <w:rPr>
          <w:rFonts w:ascii="Century Schoolbook" w:eastAsia="Times New Roman" w:hAnsi="Century Schoolbook" w:cs="Times New Roman"/>
          <w:sz w:val="22"/>
          <w:szCs w:val="22"/>
          <w:lang w:eastAsia="it-IT"/>
        </w:rPr>
        <w:t>r</w:t>
      </w:r>
      <w:r w:rsidRPr="003E01A4">
        <w:rPr>
          <w:rFonts w:ascii="Century Schoolbook" w:eastAsia="Times New Roman" w:hAnsi="Century Schoolbook" w:cs="Times New Roman"/>
          <w:sz w:val="22"/>
          <w:szCs w:val="22"/>
          <w:lang w:eastAsia="it-IT"/>
        </w:rPr>
        <w:t xml:space="preserve">e le </w:t>
      </w:r>
      <w:r w:rsidR="00AE0259"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procedure</w:t>
      </w:r>
      <w:r w:rsidR="00AE0259" w:rsidRPr="003E01A4">
        <w:rPr>
          <w:rFonts w:ascii="Century Schoolbook" w:eastAsia="Times New Roman" w:hAnsi="Century Schoolbook" w:cs="Times New Roman"/>
          <w:sz w:val="22"/>
          <w:szCs w:val="22"/>
          <w:lang w:eastAsia="it-IT"/>
        </w:rPr>
        <w:t>» (</w:t>
      </w:r>
      <w:r w:rsidR="00027D33" w:rsidRPr="003E01A4">
        <w:rPr>
          <w:rFonts w:ascii="Century Schoolbook" w:eastAsia="Times New Roman" w:hAnsi="Century Schoolbook" w:cs="Times New Roman"/>
          <w:sz w:val="22"/>
          <w:szCs w:val="22"/>
          <w:lang w:eastAsia="it-IT"/>
        </w:rPr>
        <w:t xml:space="preserve">al plurale </w:t>
      </w:r>
      <w:r w:rsidR="00AE0259" w:rsidRPr="003E01A4">
        <w:rPr>
          <w:rFonts w:ascii="Century Schoolbook" w:eastAsia="Times New Roman" w:hAnsi="Century Schoolbook" w:cs="Times New Roman"/>
          <w:sz w:val="22"/>
          <w:szCs w:val="22"/>
          <w:lang w:eastAsia="it-IT"/>
        </w:rPr>
        <w:t>nella rubrica</w:t>
      </w:r>
      <w:r w:rsidR="00027D33" w:rsidRPr="003E01A4">
        <w:rPr>
          <w:rFonts w:ascii="Century Schoolbook" w:eastAsia="Times New Roman" w:hAnsi="Century Schoolbook" w:cs="Times New Roman"/>
          <w:sz w:val="22"/>
          <w:szCs w:val="22"/>
          <w:lang w:eastAsia="it-IT"/>
        </w:rPr>
        <w:t xml:space="preserve">, </w:t>
      </w:r>
      <w:r w:rsidR="00AE0259" w:rsidRPr="003E01A4">
        <w:rPr>
          <w:rFonts w:ascii="Century Schoolbook" w:eastAsia="Times New Roman" w:hAnsi="Century Schoolbook" w:cs="Times New Roman"/>
          <w:sz w:val="22"/>
          <w:szCs w:val="22"/>
          <w:lang w:eastAsia="it-IT"/>
        </w:rPr>
        <w:t>si noti)</w:t>
      </w:r>
      <w:r w:rsidRPr="003E01A4">
        <w:rPr>
          <w:rFonts w:ascii="Century Schoolbook" w:eastAsia="Times New Roman" w:hAnsi="Century Schoolbook" w:cs="Times New Roman"/>
          <w:sz w:val="22"/>
          <w:szCs w:val="22"/>
          <w:lang w:eastAsia="it-IT"/>
        </w:rPr>
        <w:t xml:space="preserve"> </w:t>
      </w:r>
      <w:r w:rsidR="00041974" w:rsidRPr="003E01A4">
        <w:rPr>
          <w:rFonts w:ascii="Century Schoolbook" w:eastAsia="Times New Roman" w:hAnsi="Century Schoolbook" w:cs="Times New Roman"/>
          <w:sz w:val="22"/>
          <w:szCs w:val="22"/>
          <w:lang w:eastAsia="it-IT"/>
        </w:rPr>
        <w:t>abilitative</w:t>
      </w:r>
      <w:r w:rsidRPr="003E01A4">
        <w:rPr>
          <w:rFonts w:ascii="Century Schoolbook" w:eastAsia="Times New Roman" w:hAnsi="Century Schoolbook" w:cs="Times New Roman"/>
          <w:sz w:val="22"/>
          <w:szCs w:val="22"/>
          <w:lang w:eastAsia="it-IT"/>
        </w:rPr>
        <w:t xml:space="preserve"> </w:t>
      </w:r>
      <w:r w:rsidR="00041974" w:rsidRPr="003E01A4">
        <w:rPr>
          <w:rFonts w:ascii="Century Schoolbook" w:eastAsia="Times New Roman" w:hAnsi="Century Schoolbook" w:cs="Times New Roman"/>
          <w:sz w:val="22"/>
          <w:szCs w:val="22"/>
          <w:lang w:eastAsia="it-IT"/>
        </w:rPr>
        <w:t xml:space="preserve">per «la costruzione e l’esercizio degli impianti di produzione di energia elettrica alimentati da fonti rinnovabili»: così il comma </w:t>
      </w:r>
      <w:r w:rsidR="00851462" w:rsidRPr="003E01A4">
        <w:rPr>
          <w:rFonts w:ascii="Century Schoolbook" w:eastAsia="Times New Roman" w:hAnsi="Century Schoolbook" w:cs="Times New Roman"/>
          <w:sz w:val="22"/>
          <w:szCs w:val="22"/>
          <w:lang w:eastAsia="it-IT"/>
        </w:rPr>
        <w:t xml:space="preserve">3 </w:t>
      </w:r>
      <w:r w:rsidR="00041974" w:rsidRPr="003E01A4">
        <w:rPr>
          <w:rFonts w:ascii="Century Schoolbook" w:eastAsia="Times New Roman" w:hAnsi="Century Schoolbook" w:cs="Times New Roman"/>
          <w:sz w:val="22"/>
          <w:szCs w:val="22"/>
          <w:lang w:eastAsia="it-IT"/>
        </w:rPr>
        <w:t xml:space="preserve">della disposizione, secondo </w:t>
      </w:r>
      <w:r w:rsidR="00663F17" w:rsidRPr="003E01A4">
        <w:rPr>
          <w:rFonts w:ascii="Century Schoolbook" w:eastAsia="Times New Roman" w:hAnsi="Century Schoolbook" w:cs="Times New Roman"/>
          <w:sz w:val="22"/>
          <w:szCs w:val="22"/>
          <w:lang w:eastAsia="it-IT"/>
        </w:rPr>
        <w:t>il quale</w:t>
      </w:r>
      <w:r w:rsidR="00041974" w:rsidRPr="003E01A4">
        <w:rPr>
          <w:rFonts w:ascii="Century Schoolbook" w:eastAsia="Times New Roman" w:hAnsi="Century Schoolbook" w:cs="Times New Roman"/>
          <w:sz w:val="22"/>
          <w:szCs w:val="22"/>
          <w:lang w:eastAsia="it-IT"/>
        </w:rPr>
        <w:t xml:space="preserve"> queste procedure sfociano </w:t>
      </w:r>
      <w:r w:rsidR="00663F17" w:rsidRPr="003E01A4">
        <w:rPr>
          <w:rFonts w:ascii="Century Schoolbook" w:eastAsia="Times New Roman" w:hAnsi="Century Schoolbook" w:cs="Times New Roman"/>
          <w:sz w:val="22"/>
          <w:szCs w:val="22"/>
          <w:lang w:eastAsia="it-IT"/>
        </w:rPr>
        <w:t>in una «autorizzazione unica […] che costituisce, ove occorra, variante allo strumento urbanistico»</w:t>
      </w:r>
      <w:r w:rsidR="00851462" w:rsidRPr="003E01A4">
        <w:rPr>
          <w:rStyle w:val="Rimandonotaapidipagina"/>
          <w:rFonts w:ascii="Century Schoolbook" w:eastAsia="Times New Roman" w:hAnsi="Century Schoolbook" w:cs="Times New Roman"/>
          <w:sz w:val="22"/>
          <w:szCs w:val="22"/>
          <w:lang w:eastAsia="it-IT"/>
        </w:rPr>
        <w:footnoteReference w:id="5"/>
      </w:r>
      <w:r w:rsidR="00663F17" w:rsidRPr="003E01A4">
        <w:rPr>
          <w:rFonts w:ascii="Century Schoolbook" w:eastAsia="Times New Roman" w:hAnsi="Century Schoolbook" w:cs="Times New Roman"/>
          <w:sz w:val="22"/>
          <w:szCs w:val="22"/>
          <w:lang w:eastAsia="it-IT"/>
        </w:rPr>
        <w:t>.</w:t>
      </w:r>
      <w:r w:rsidR="00041974" w:rsidRPr="003E01A4">
        <w:rPr>
          <w:rFonts w:ascii="Century Schoolbook" w:eastAsia="Times New Roman" w:hAnsi="Century Schoolbook" w:cs="Times New Roman"/>
          <w:sz w:val="22"/>
          <w:szCs w:val="22"/>
          <w:lang w:eastAsia="it-IT"/>
        </w:rPr>
        <w:t xml:space="preserve"> </w:t>
      </w:r>
      <w:r w:rsidR="00663F17" w:rsidRPr="003E01A4">
        <w:rPr>
          <w:rFonts w:ascii="Century Schoolbook" w:eastAsia="Times New Roman" w:hAnsi="Century Schoolbook" w:cs="Times New Roman"/>
          <w:sz w:val="22"/>
          <w:szCs w:val="22"/>
          <w:lang w:eastAsia="it-IT"/>
        </w:rPr>
        <w:t>Per cui</w:t>
      </w:r>
      <w:r w:rsidR="00041974" w:rsidRPr="003E01A4">
        <w:rPr>
          <w:rFonts w:ascii="Century Schoolbook" w:eastAsia="Times New Roman" w:hAnsi="Century Schoolbook" w:cs="Times New Roman"/>
          <w:sz w:val="22"/>
          <w:szCs w:val="22"/>
          <w:lang w:eastAsia="it-IT"/>
        </w:rPr>
        <w:t xml:space="preserve"> </w:t>
      </w:r>
      <w:r w:rsidR="00663F17" w:rsidRPr="003E01A4">
        <w:rPr>
          <w:rFonts w:ascii="Century Schoolbook" w:eastAsia="Times New Roman" w:hAnsi="Century Schoolbook" w:cs="Times New Roman"/>
          <w:sz w:val="22"/>
          <w:szCs w:val="22"/>
          <w:lang w:eastAsia="it-IT"/>
        </w:rPr>
        <w:t xml:space="preserve">– prosegue </w:t>
      </w:r>
      <w:r w:rsidR="00663F17" w:rsidRPr="003E01A4">
        <w:rPr>
          <w:rFonts w:ascii="Century Schoolbook" w:eastAsia="Times New Roman" w:hAnsi="Century Schoolbook" w:cs="Times New Roman"/>
          <w:i/>
          <w:iCs/>
          <w:sz w:val="22"/>
          <w:szCs w:val="22"/>
          <w:lang w:eastAsia="it-IT"/>
        </w:rPr>
        <w:t>ex abrupto</w:t>
      </w:r>
      <w:r w:rsidR="00663F17" w:rsidRPr="003E01A4">
        <w:rPr>
          <w:rFonts w:ascii="Century Schoolbook" w:eastAsia="Times New Roman" w:hAnsi="Century Schoolbook" w:cs="Times New Roman"/>
          <w:sz w:val="22"/>
          <w:szCs w:val="22"/>
          <w:lang w:eastAsia="it-IT"/>
        </w:rPr>
        <w:t xml:space="preserve"> il comma – «la Conferenza dei servizi è convocata […] entro trenta giorni dal ricevimento della domanda di autorizzazione».</w:t>
      </w:r>
    </w:p>
    <w:p w14:paraId="69FA746F" w14:textId="174AF5EE" w:rsidR="00663F17" w:rsidRPr="003E01A4" w:rsidRDefault="00A5102B"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I</w:t>
      </w:r>
      <w:r w:rsidR="00AE0259" w:rsidRPr="003E01A4">
        <w:rPr>
          <w:rFonts w:ascii="Century Schoolbook" w:eastAsia="Times New Roman" w:hAnsi="Century Schoolbook" w:cs="Times New Roman"/>
          <w:sz w:val="22"/>
          <w:szCs w:val="22"/>
          <w:lang w:eastAsia="it-IT"/>
        </w:rPr>
        <w:t xml:space="preserve">l legislatore delegato </w:t>
      </w:r>
      <w:r w:rsidR="00851462" w:rsidRPr="003E01A4">
        <w:rPr>
          <w:rFonts w:ascii="Century Schoolbook" w:eastAsia="Times New Roman" w:hAnsi="Century Schoolbook" w:cs="Times New Roman"/>
          <w:sz w:val="22"/>
          <w:szCs w:val="22"/>
          <w:lang w:eastAsia="it-IT"/>
        </w:rPr>
        <w:t>sembra</w:t>
      </w:r>
      <w:r w:rsidR="00AE0259" w:rsidRPr="003E01A4">
        <w:rPr>
          <w:rFonts w:ascii="Century Schoolbook" w:eastAsia="Times New Roman" w:hAnsi="Century Schoolbook" w:cs="Times New Roman"/>
          <w:sz w:val="22"/>
          <w:szCs w:val="22"/>
          <w:lang w:eastAsia="it-IT"/>
        </w:rPr>
        <w:t xml:space="preserve"> </w:t>
      </w:r>
      <w:r w:rsidR="00851462" w:rsidRPr="003E01A4">
        <w:rPr>
          <w:rFonts w:ascii="Century Schoolbook" w:eastAsia="Times New Roman" w:hAnsi="Century Schoolbook" w:cs="Times New Roman"/>
          <w:sz w:val="22"/>
          <w:szCs w:val="22"/>
          <w:lang w:eastAsia="it-IT"/>
        </w:rPr>
        <w:t>voler subito ovviare a</w:t>
      </w:r>
      <w:r w:rsidR="00AE0259" w:rsidRPr="003E01A4">
        <w:rPr>
          <w:rFonts w:ascii="Century Schoolbook" w:eastAsia="Times New Roman" w:hAnsi="Century Schoolbook" w:cs="Times New Roman"/>
          <w:sz w:val="22"/>
          <w:szCs w:val="22"/>
          <w:lang w:eastAsia="it-IT"/>
        </w:rPr>
        <w:t>ll</w:t>
      </w:r>
      <w:r w:rsidR="00D20401" w:rsidRPr="003E01A4">
        <w:rPr>
          <w:rFonts w:ascii="Century Schoolbook" w:eastAsia="Times New Roman" w:hAnsi="Century Schoolbook" w:cs="Times New Roman"/>
          <w:sz w:val="22"/>
          <w:szCs w:val="22"/>
          <w:lang w:eastAsia="it-IT"/>
        </w:rPr>
        <w:t>a</w:t>
      </w:r>
      <w:r w:rsidR="00AE0259" w:rsidRPr="003E01A4">
        <w:rPr>
          <w:rFonts w:ascii="Century Schoolbook" w:eastAsia="Times New Roman" w:hAnsi="Century Schoolbook" w:cs="Times New Roman"/>
          <w:sz w:val="22"/>
          <w:szCs w:val="22"/>
          <w:lang w:eastAsia="it-IT"/>
        </w:rPr>
        <w:t xml:space="preserve"> </w:t>
      </w:r>
      <w:r w:rsidR="00AE0259" w:rsidRPr="003E01A4">
        <w:rPr>
          <w:rFonts w:ascii="Century Schoolbook" w:eastAsia="Times New Roman" w:hAnsi="Century Schoolbook" w:cs="Times New Roman"/>
          <w:i/>
          <w:iCs/>
          <w:sz w:val="22"/>
          <w:szCs w:val="22"/>
          <w:lang w:eastAsia="it-IT"/>
        </w:rPr>
        <w:t>gaffe</w:t>
      </w:r>
      <w:r w:rsidR="00AE0259" w:rsidRPr="003E01A4">
        <w:rPr>
          <w:rFonts w:ascii="Century Schoolbook" w:eastAsia="Times New Roman" w:hAnsi="Century Schoolbook" w:cs="Times New Roman"/>
          <w:sz w:val="22"/>
          <w:szCs w:val="22"/>
          <w:lang w:eastAsia="it-IT"/>
        </w:rPr>
        <w:t xml:space="preserve"> </w:t>
      </w:r>
      <w:r w:rsidR="006149BD" w:rsidRPr="003E01A4">
        <w:rPr>
          <w:rFonts w:ascii="Century Schoolbook" w:eastAsia="Times New Roman" w:hAnsi="Century Schoolbook" w:cs="Times New Roman"/>
          <w:sz w:val="22"/>
          <w:szCs w:val="22"/>
          <w:lang w:eastAsia="it-IT"/>
        </w:rPr>
        <w:t>“</w:t>
      </w:r>
      <w:r w:rsidR="00AE0259" w:rsidRPr="003E01A4">
        <w:rPr>
          <w:rFonts w:ascii="Century Schoolbook" w:eastAsia="Times New Roman" w:hAnsi="Century Schoolbook" w:cs="Times New Roman"/>
          <w:sz w:val="22"/>
          <w:szCs w:val="22"/>
          <w:lang w:eastAsia="it-IT"/>
        </w:rPr>
        <w:t>pluralista</w:t>
      </w:r>
      <w:r w:rsidR="006149BD" w:rsidRPr="003E01A4">
        <w:rPr>
          <w:rFonts w:ascii="Century Schoolbook" w:eastAsia="Times New Roman" w:hAnsi="Century Schoolbook" w:cs="Times New Roman"/>
          <w:sz w:val="22"/>
          <w:szCs w:val="22"/>
          <w:lang w:eastAsia="it-IT"/>
        </w:rPr>
        <w:t>”</w:t>
      </w:r>
      <w:r w:rsidR="00AE0259" w:rsidRPr="003E01A4">
        <w:rPr>
          <w:rFonts w:ascii="Century Schoolbook" w:eastAsia="Times New Roman" w:hAnsi="Century Schoolbook" w:cs="Times New Roman"/>
          <w:sz w:val="22"/>
          <w:szCs w:val="22"/>
          <w:lang w:eastAsia="it-IT"/>
        </w:rPr>
        <w:t>, quando nella rubrica ha parlato di «procedure»</w:t>
      </w:r>
      <w:r w:rsidR="006D7F43" w:rsidRPr="003E01A4">
        <w:rPr>
          <w:rFonts w:ascii="Century Schoolbook" w:eastAsia="Times New Roman" w:hAnsi="Century Schoolbook" w:cs="Times New Roman"/>
          <w:sz w:val="22"/>
          <w:szCs w:val="22"/>
          <w:lang w:eastAsia="it-IT"/>
        </w:rPr>
        <w:t xml:space="preserve">. Nel comma </w:t>
      </w:r>
      <w:r w:rsidR="00851462" w:rsidRPr="003E01A4">
        <w:rPr>
          <w:rFonts w:ascii="Century Schoolbook" w:eastAsia="Times New Roman" w:hAnsi="Century Schoolbook" w:cs="Times New Roman"/>
          <w:sz w:val="22"/>
          <w:szCs w:val="22"/>
          <w:lang w:eastAsia="it-IT"/>
        </w:rPr>
        <w:t xml:space="preserve">4 si </w:t>
      </w:r>
      <w:r w:rsidR="006D7F43" w:rsidRPr="003E01A4">
        <w:rPr>
          <w:rFonts w:ascii="Century Schoolbook" w:eastAsia="Times New Roman" w:hAnsi="Century Schoolbook" w:cs="Times New Roman"/>
          <w:sz w:val="22"/>
          <w:szCs w:val="22"/>
          <w:lang w:eastAsia="it-IT"/>
        </w:rPr>
        <w:t>precisa infatti</w:t>
      </w:r>
      <w:r w:rsidR="006149BD" w:rsidRPr="003E01A4">
        <w:rPr>
          <w:rFonts w:ascii="Century Schoolbook" w:eastAsia="Times New Roman" w:hAnsi="Century Schoolbook" w:cs="Times New Roman"/>
          <w:sz w:val="22"/>
          <w:szCs w:val="22"/>
          <w:lang w:eastAsia="it-IT"/>
        </w:rPr>
        <w:t xml:space="preserve"> che</w:t>
      </w:r>
      <w:r w:rsidR="006D7F43" w:rsidRPr="003E01A4">
        <w:rPr>
          <w:rFonts w:ascii="Century Schoolbook" w:eastAsia="Times New Roman" w:hAnsi="Century Schoolbook" w:cs="Times New Roman"/>
          <w:sz w:val="22"/>
          <w:szCs w:val="22"/>
          <w:lang w:eastAsia="it-IT"/>
        </w:rPr>
        <w:t xml:space="preserve"> «l’autorizzazione di cui al comma 3 è rilasciata a seguito di un procedimento </w:t>
      </w:r>
      <w:r w:rsidR="006D7F43" w:rsidRPr="003E01A4">
        <w:rPr>
          <w:rFonts w:ascii="Century Schoolbook" w:eastAsia="Times New Roman" w:hAnsi="Century Schoolbook" w:cs="Times New Roman"/>
          <w:i/>
          <w:iCs/>
          <w:sz w:val="22"/>
          <w:szCs w:val="22"/>
          <w:lang w:eastAsia="it-IT"/>
        </w:rPr>
        <w:t>unico</w:t>
      </w:r>
      <w:r w:rsidR="006D7F43" w:rsidRPr="003E01A4">
        <w:rPr>
          <w:rFonts w:ascii="Century Schoolbook" w:eastAsia="Times New Roman" w:hAnsi="Century Schoolbook" w:cs="Times New Roman"/>
          <w:sz w:val="22"/>
          <w:szCs w:val="22"/>
          <w:lang w:eastAsia="it-IT"/>
        </w:rPr>
        <w:t xml:space="preserve">, al quale partecipano tutte le Amministrazioni interessate»; </w:t>
      </w:r>
      <w:r w:rsidR="006149BD" w:rsidRPr="003E01A4">
        <w:rPr>
          <w:rFonts w:ascii="Century Schoolbook" w:eastAsia="Times New Roman" w:hAnsi="Century Schoolbook" w:cs="Times New Roman"/>
          <w:sz w:val="22"/>
          <w:szCs w:val="22"/>
          <w:lang w:eastAsia="it-IT"/>
        </w:rPr>
        <w:t>che</w:t>
      </w:r>
      <w:r w:rsidR="00F70556" w:rsidRPr="003E01A4">
        <w:rPr>
          <w:rFonts w:ascii="Century Schoolbook" w:eastAsia="Times New Roman" w:hAnsi="Century Schoolbook" w:cs="Times New Roman"/>
          <w:sz w:val="22"/>
          <w:szCs w:val="22"/>
          <w:lang w:eastAsia="it-IT"/>
        </w:rPr>
        <w:t xml:space="preserve"> «il termine massimo per la conclusione del procedimento </w:t>
      </w:r>
      <w:r w:rsidR="00F70556" w:rsidRPr="003E01A4">
        <w:rPr>
          <w:rFonts w:ascii="Century Schoolbook" w:eastAsia="Times New Roman" w:hAnsi="Century Schoolbook" w:cs="Times New Roman"/>
          <w:i/>
          <w:iCs/>
          <w:sz w:val="22"/>
          <w:szCs w:val="22"/>
          <w:lang w:eastAsia="it-IT"/>
        </w:rPr>
        <w:t>unico</w:t>
      </w:r>
      <w:r w:rsidR="00F70556" w:rsidRPr="003E01A4">
        <w:rPr>
          <w:rFonts w:ascii="Century Schoolbook" w:eastAsia="Times New Roman" w:hAnsi="Century Schoolbook" w:cs="Times New Roman"/>
          <w:sz w:val="22"/>
          <w:szCs w:val="22"/>
          <w:lang w:eastAsia="it-IT"/>
        </w:rPr>
        <w:t xml:space="preserve"> [</w:t>
      </w:r>
      <w:r w:rsidR="00F70556" w:rsidRPr="003E01A4">
        <w:rPr>
          <w:rFonts w:ascii="Century Schoolbook" w:eastAsia="Times New Roman" w:hAnsi="Century Schoolbook" w:cs="Times New Roman"/>
          <w:i/>
          <w:iCs/>
          <w:sz w:val="22"/>
          <w:szCs w:val="22"/>
          <w:lang w:eastAsia="it-IT"/>
        </w:rPr>
        <w:t>repetita iuvant</w:t>
      </w:r>
      <w:r w:rsidR="00F70556" w:rsidRPr="003E01A4">
        <w:rPr>
          <w:rFonts w:ascii="Century Schoolbook" w:eastAsia="Times New Roman" w:hAnsi="Century Schoolbook" w:cs="Times New Roman"/>
          <w:sz w:val="22"/>
          <w:szCs w:val="22"/>
          <w:lang w:eastAsia="it-IT"/>
        </w:rPr>
        <w:t>: n.d.r.] non può essere superiore a novanta giorni»</w:t>
      </w:r>
      <w:r w:rsidR="006D7F43" w:rsidRPr="003E01A4">
        <w:rPr>
          <w:rFonts w:ascii="Century Schoolbook" w:eastAsia="Times New Roman" w:hAnsi="Century Schoolbook" w:cs="Times New Roman"/>
          <w:sz w:val="22"/>
          <w:szCs w:val="22"/>
          <w:lang w:eastAsia="it-IT"/>
        </w:rPr>
        <w:t xml:space="preserve">; </w:t>
      </w:r>
      <w:r w:rsidR="00F70556" w:rsidRPr="003E01A4">
        <w:rPr>
          <w:rFonts w:ascii="Century Schoolbook" w:eastAsia="Times New Roman" w:hAnsi="Century Schoolbook" w:cs="Times New Roman"/>
          <w:sz w:val="22"/>
          <w:szCs w:val="22"/>
          <w:lang w:eastAsia="it-IT"/>
        </w:rPr>
        <w:t xml:space="preserve">e </w:t>
      </w:r>
      <w:r w:rsidR="006149BD" w:rsidRPr="003E01A4">
        <w:rPr>
          <w:rFonts w:ascii="Century Schoolbook" w:eastAsia="Times New Roman" w:hAnsi="Century Schoolbook" w:cs="Times New Roman"/>
          <w:sz w:val="22"/>
          <w:szCs w:val="22"/>
          <w:lang w:eastAsia="it-IT"/>
        </w:rPr>
        <w:t>che</w:t>
      </w:r>
      <w:r w:rsidR="00F70556" w:rsidRPr="003E01A4">
        <w:rPr>
          <w:rFonts w:ascii="Century Schoolbook" w:eastAsia="Times New Roman" w:hAnsi="Century Schoolbook" w:cs="Times New Roman"/>
          <w:sz w:val="22"/>
          <w:szCs w:val="22"/>
          <w:lang w:eastAsia="it-IT"/>
        </w:rPr>
        <w:t xml:space="preserve"> «il rilascio dell’autorizzazione costituisce titolo a costruire ed esercire l’impianto».</w:t>
      </w:r>
    </w:p>
    <w:p w14:paraId="0F57F6FD" w14:textId="575FC869" w:rsidR="00F70556" w:rsidRPr="003E01A4" w:rsidRDefault="00F70556"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Il diritto giurisprudenziale ha correttamente riconosciuto il carattere </w:t>
      </w:r>
      <w:r w:rsidRPr="003E01A4">
        <w:rPr>
          <w:rFonts w:ascii="Century Schoolbook" w:eastAsia="Times New Roman" w:hAnsi="Century Schoolbook" w:cs="Times New Roman"/>
          <w:i/>
          <w:iCs/>
          <w:sz w:val="22"/>
          <w:szCs w:val="22"/>
          <w:lang w:eastAsia="it-IT"/>
        </w:rPr>
        <w:t>automatico</w:t>
      </w:r>
      <w:r w:rsidRPr="003E01A4">
        <w:rPr>
          <w:rFonts w:ascii="Century Schoolbook" w:eastAsia="Times New Roman" w:hAnsi="Century Schoolbook" w:cs="Times New Roman"/>
          <w:sz w:val="22"/>
          <w:szCs w:val="22"/>
          <w:lang w:eastAsia="it-IT"/>
        </w:rPr>
        <w:t xml:space="preserve"> della variante eventualmente prevista dall’autorizzazione unica, che dunque compr</w:t>
      </w:r>
      <w:r w:rsidR="00415291" w:rsidRPr="003E01A4">
        <w:rPr>
          <w:rFonts w:ascii="Century Schoolbook" w:eastAsia="Times New Roman" w:hAnsi="Century Schoolbook" w:cs="Times New Roman"/>
          <w:sz w:val="22"/>
          <w:szCs w:val="22"/>
          <w:lang w:eastAsia="it-IT"/>
        </w:rPr>
        <w:t>im</w:t>
      </w:r>
      <w:r w:rsidRPr="003E01A4">
        <w:rPr>
          <w:rFonts w:ascii="Century Schoolbook" w:eastAsia="Times New Roman" w:hAnsi="Century Schoolbook" w:cs="Times New Roman"/>
          <w:sz w:val="22"/>
          <w:szCs w:val="22"/>
          <w:lang w:eastAsia="it-IT"/>
        </w:rPr>
        <w:t>e la competenza pianificatoria dei Comuni</w:t>
      </w:r>
      <w:r w:rsidRPr="003E01A4">
        <w:rPr>
          <w:rStyle w:val="Rimandonotaapidipagina"/>
          <w:rFonts w:ascii="Century Schoolbook" w:eastAsia="Times New Roman" w:hAnsi="Century Schoolbook" w:cs="Times New Roman"/>
          <w:sz w:val="22"/>
          <w:szCs w:val="22"/>
          <w:lang w:eastAsia="it-IT"/>
        </w:rPr>
        <w:footnoteReference w:id="6"/>
      </w:r>
      <w:r w:rsidRPr="003E01A4">
        <w:rPr>
          <w:rFonts w:ascii="Century Schoolbook" w:eastAsia="Times New Roman" w:hAnsi="Century Schoolbook" w:cs="Times New Roman"/>
          <w:sz w:val="22"/>
          <w:szCs w:val="22"/>
          <w:lang w:eastAsia="it-IT"/>
        </w:rPr>
        <w:t>.</w:t>
      </w:r>
    </w:p>
    <w:p w14:paraId="5F4DC891" w14:textId="77777777" w:rsidR="00F70556" w:rsidRPr="003E01A4" w:rsidRDefault="00F70556" w:rsidP="002B4988">
      <w:pPr>
        <w:spacing w:line="360" w:lineRule="auto"/>
        <w:ind w:firstLine="709"/>
        <w:contextualSpacing/>
        <w:jc w:val="both"/>
        <w:rPr>
          <w:rFonts w:ascii="Century Schoolbook" w:eastAsia="Times New Roman" w:hAnsi="Century Schoolbook" w:cs="Times New Roman"/>
          <w:sz w:val="22"/>
          <w:szCs w:val="22"/>
          <w:lang w:eastAsia="it-IT"/>
        </w:rPr>
      </w:pPr>
    </w:p>
    <w:p w14:paraId="0DAE1452" w14:textId="6A191529" w:rsidR="00810D04" w:rsidRPr="003E01A4" w:rsidRDefault="006D7F43"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In</w:t>
      </w:r>
      <w:r w:rsidR="00B262CB" w:rsidRPr="003E01A4">
        <w:rPr>
          <w:rFonts w:ascii="Century Schoolbook" w:eastAsia="Times New Roman" w:hAnsi="Century Schoolbook" w:cs="Times New Roman"/>
          <w:sz w:val="22"/>
          <w:szCs w:val="22"/>
          <w:lang w:eastAsia="it-IT"/>
        </w:rPr>
        <w:t xml:space="preserve"> </w:t>
      </w:r>
      <w:r w:rsidRPr="003E01A4">
        <w:rPr>
          <w:rFonts w:ascii="Century Schoolbook" w:eastAsia="Times New Roman" w:hAnsi="Century Schoolbook" w:cs="Times New Roman"/>
          <w:sz w:val="22"/>
          <w:szCs w:val="22"/>
          <w:lang w:eastAsia="it-IT"/>
        </w:rPr>
        <w:t>somma, si fa sul serio.</w:t>
      </w:r>
      <w:r w:rsidR="00810D04" w:rsidRPr="003E01A4">
        <w:rPr>
          <w:rFonts w:ascii="Century Schoolbook" w:eastAsia="Times New Roman" w:hAnsi="Century Schoolbook" w:cs="Times New Roman"/>
          <w:sz w:val="22"/>
          <w:szCs w:val="22"/>
          <w:lang w:eastAsia="it-IT"/>
        </w:rPr>
        <w:t xml:space="preserve"> </w:t>
      </w:r>
    </w:p>
    <w:p w14:paraId="6E0CCC14" w14:textId="5E3FD60C" w:rsidR="006D7F43" w:rsidRPr="003E01A4" w:rsidRDefault="00810D04"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Come pure nei successivi esperimenti normativi, racchiusi nel codice dell’ambiente:</w:t>
      </w:r>
      <w:r w:rsidR="00A30DE1" w:rsidRPr="003E01A4">
        <w:rPr>
          <w:rFonts w:ascii="Century Schoolbook" w:eastAsia="Times New Roman" w:hAnsi="Century Schoolbook" w:cs="Times New Roman"/>
          <w:sz w:val="22"/>
          <w:szCs w:val="22"/>
          <w:lang w:eastAsia="it-IT"/>
        </w:rPr>
        <w:t xml:space="preserve"> </w:t>
      </w:r>
      <w:r w:rsidR="006A3BC4" w:rsidRPr="003E01A4">
        <w:rPr>
          <w:rFonts w:ascii="Century Schoolbook" w:eastAsia="Times New Roman" w:hAnsi="Century Schoolbook" w:cs="Times New Roman"/>
          <w:sz w:val="22"/>
          <w:szCs w:val="22"/>
          <w:lang w:eastAsia="it-IT"/>
        </w:rPr>
        <w:t>li troviamo ne</w:t>
      </w:r>
      <w:r w:rsidR="00A30DE1" w:rsidRPr="003E01A4">
        <w:rPr>
          <w:rFonts w:ascii="Century Schoolbook" w:eastAsia="Times New Roman" w:hAnsi="Century Schoolbook" w:cs="Times New Roman"/>
          <w:sz w:val="22"/>
          <w:szCs w:val="22"/>
          <w:lang w:eastAsia="it-IT"/>
        </w:rPr>
        <w:t>gli artt. 27-</w:t>
      </w:r>
      <w:r w:rsidR="00A30DE1" w:rsidRPr="003E01A4">
        <w:rPr>
          <w:rFonts w:ascii="Century Schoolbook" w:eastAsia="Times New Roman" w:hAnsi="Century Schoolbook" w:cs="Times New Roman"/>
          <w:i/>
          <w:iCs/>
          <w:sz w:val="22"/>
          <w:szCs w:val="22"/>
          <w:lang w:eastAsia="it-IT"/>
        </w:rPr>
        <w:t>bis</w:t>
      </w:r>
      <w:r w:rsidR="00A30DE1" w:rsidRPr="003E01A4">
        <w:rPr>
          <w:rFonts w:ascii="Century Schoolbook" w:eastAsia="Times New Roman" w:hAnsi="Century Schoolbook" w:cs="Times New Roman"/>
          <w:sz w:val="22"/>
          <w:szCs w:val="22"/>
          <w:lang w:eastAsia="it-IT"/>
        </w:rPr>
        <w:t xml:space="preserve"> e </w:t>
      </w:r>
      <w:r w:rsidRPr="003E01A4">
        <w:rPr>
          <w:rFonts w:ascii="Century Schoolbook" w:eastAsia="Times New Roman" w:hAnsi="Century Schoolbook" w:cs="Times New Roman"/>
          <w:sz w:val="22"/>
          <w:szCs w:val="22"/>
          <w:lang w:eastAsia="it-IT"/>
        </w:rPr>
        <w:t>208.</w:t>
      </w:r>
    </w:p>
    <w:p w14:paraId="4E26145B" w14:textId="17FCEEAE" w:rsidR="00A30DE1" w:rsidRPr="003E01A4" w:rsidRDefault="00A30DE1"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Parto da quest’ultimo, che regola l’autorizzazione unica per i nuovi impianti di smaltimento</w:t>
      </w:r>
      <w:r w:rsidR="00CC74CC" w:rsidRPr="003E01A4">
        <w:rPr>
          <w:rFonts w:ascii="Century Schoolbook" w:eastAsia="Times New Roman" w:hAnsi="Century Schoolbook" w:cs="Times New Roman"/>
          <w:sz w:val="22"/>
          <w:szCs w:val="22"/>
          <w:lang w:eastAsia="it-IT"/>
        </w:rPr>
        <w:t xml:space="preserve"> </w:t>
      </w:r>
      <w:r w:rsidRPr="003E01A4">
        <w:rPr>
          <w:rFonts w:ascii="Century Schoolbook" w:eastAsia="Times New Roman" w:hAnsi="Century Schoolbook" w:cs="Times New Roman"/>
          <w:sz w:val="22"/>
          <w:szCs w:val="22"/>
          <w:lang w:eastAsia="it-IT"/>
        </w:rPr>
        <w:t>e recupero dei rifiuti.</w:t>
      </w:r>
      <w:r w:rsidR="0096113E" w:rsidRPr="003E01A4">
        <w:rPr>
          <w:rFonts w:ascii="Century Schoolbook" w:eastAsia="Times New Roman" w:hAnsi="Century Schoolbook" w:cs="Times New Roman"/>
          <w:sz w:val="22"/>
          <w:szCs w:val="22"/>
          <w:lang w:eastAsia="it-IT"/>
        </w:rPr>
        <w:t xml:space="preserve"> Sull’art. 27-</w:t>
      </w:r>
      <w:r w:rsidR="0096113E" w:rsidRPr="003E01A4">
        <w:rPr>
          <w:rFonts w:ascii="Century Schoolbook" w:eastAsia="Times New Roman" w:hAnsi="Century Schoolbook" w:cs="Times New Roman"/>
          <w:i/>
          <w:iCs/>
          <w:sz w:val="22"/>
          <w:szCs w:val="22"/>
          <w:lang w:eastAsia="it-IT"/>
        </w:rPr>
        <w:t>bis</w:t>
      </w:r>
      <w:r w:rsidR="0096113E" w:rsidRPr="003E01A4">
        <w:rPr>
          <w:rFonts w:ascii="Century Schoolbook" w:eastAsia="Times New Roman" w:hAnsi="Century Schoolbook" w:cs="Times New Roman"/>
          <w:sz w:val="22"/>
          <w:szCs w:val="22"/>
          <w:lang w:eastAsia="it-IT"/>
        </w:rPr>
        <w:t xml:space="preserve"> tornerò più avanti.</w:t>
      </w:r>
    </w:p>
    <w:p w14:paraId="73175046" w14:textId="2B47383E" w:rsidR="00A30DE1" w:rsidRPr="003E01A4" w:rsidRDefault="00A30DE1"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 xml:space="preserve">Ricevuta l’istanza del soggetto interessato alla realizzazione e gestione dell’impianto, la Regione – dice il comma </w:t>
      </w:r>
      <w:r w:rsidR="00C33CC7" w:rsidRPr="003E01A4">
        <w:rPr>
          <w:rFonts w:ascii="Century Schoolbook" w:eastAsia="Times New Roman" w:hAnsi="Century Schoolbook" w:cs="Times New Roman"/>
          <w:sz w:val="22"/>
          <w:szCs w:val="22"/>
          <w:lang w:eastAsia="it-IT"/>
        </w:rPr>
        <w:t xml:space="preserve">3 </w:t>
      </w:r>
      <w:r w:rsidRPr="003E01A4">
        <w:rPr>
          <w:rFonts w:ascii="Century Schoolbook" w:eastAsia="Times New Roman" w:hAnsi="Century Schoolbook" w:cs="Times New Roman"/>
          <w:sz w:val="22"/>
          <w:szCs w:val="22"/>
          <w:lang w:eastAsia="it-IT"/>
        </w:rPr>
        <w:t xml:space="preserve">dell’art. 208 cit. – deve convocare una conferenza di servizi, cui </w:t>
      </w:r>
      <w:r w:rsidR="006A3BC4" w:rsidRPr="003E01A4">
        <w:rPr>
          <w:rFonts w:ascii="Century Schoolbook" w:eastAsia="Times New Roman" w:hAnsi="Century Schoolbook" w:cs="Times New Roman"/>
          <w:sz w:val="22"/>
          <w:szCs w:val="22"/>
          <w:lang w:eastAsia="it-IT"/>
        </w:rPr>
        <w:t xml:space="preserve">fra gli altri </w:t>
      </w:r>
      <w:r w:rsidRPr="003E01A4">
        <w:rPr>
          <w:rFonts w:ascii="Century Schoolbook" w:eastAsia="Times New Roman" w:hAnsi="Century Schoolbook" w:cs="Times New Roman"/>
          <w:sz w:val="22"/>
          <w:szCs w:val="22"/>
          <w:lang w:eastAsia="it-IT"/>
        </w:rPr>
        <w:t>partecipano</w:t>
      </w:r>
      <w:r w:rsidR="006A3BC4" w:rsidRPr="003E01A4">
        <w:rPr>
          <w:rFonts w:ascii="Century Schoolbook" w:eastAsia="Times New Roman" w:hAnsi="Century Schoolbook" w:cs="Times New Roman"/>
          <w:sz w:val="22"/>
          <w:szCs w:val="22"/>
          <w:lang w:eastAsia="it-IT"/>
        </w:rPr>
        <w:t xml:space="preserve"> </w:t>
      </w:r>
      <w:r w:rsidRPr="003E01A4">
        <w:rPr>
          <w:rFonts w:ascii="Century Schoolbook" w:eastAsia="Times New Roman" w:hAnsi="Century Schoolbook" w:cs="Times New Roman"/>
          <w:sz w:val="22"/>
          <w:szCs w:val="22"/>
          <w:lang w:eastAsia="it-IT"/>
        </w:rPr>
        <w:t>i rappresentanti degli enti locali territorialmente coinvolti</w:t>
      </w:r>
      <w:r w:rsidR="006A3BC4"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 xml:space="preserve"> la decisione conferenziale – prosegue il comma – «è assunta a maggioranza e le relative determinazioni devono fornire una adeguata motivazione rispetto alle opinioni dissenzienti espresse»</w:t>
      </w:r>
      <w:r w:rsidR="006A3BC4" w:rsidRPr="003E01A4">
        <w:rPr>
          <w:rFonts w:ascii="Century Schoolbook" w:eastAsia="Times New Roman" w:hAnsi="Century Schoolbook" w:cs="Times New Roman"/>
          <w:sz w:val="22"/>
          <w:szCs w:val="22"/>
          <w:lang w:eastAsia="it-IT"/>
        </w:rPr>
        <w:t xml:space="preserve"> in quella sede</w:t>
      </w:r>
      <w:r w:rsidRPr="003E01A4">
        <w:rPr>
          <w:rFonts w:ascii="Century Schoolbook" w:eastAsia="Times New Roman" w:hAnsi="Century Schoolbook" w:cs="Times New Roman"/>
          <w:sz w:val="22"/>
          <w:szCs w:val="22"/>
          <w:lang w:eastAsia="it-IT"/>
        </w:rPr>
        <w:t>.</w:t>
      </w:r>
    </w:p>
    <w:p w14:paraId="0E293891" w14:textId="3C59AA10" w:rsidR="00431685" w:rsidRPr="003E01A4" w:rsidRDefault="006A3BC4"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La disposizione centrale è contenuta nel comma</w:t>
      </w:r>
      <w:r w:rsidR="00C33CC7" w:rsidRPr="003E01A4">
        <w:rPr>
          <w:rFonts w:ascii="Century Schoolbook" w:eastAsia="Times New Roman" w:hAnsi="Century Schoolbook" w:cs="Times New Roman"/>
          <w:sz w:val="22"/>
          <w:szCs w:val="22"/>
          <w:lang w:eastAsia="it-IT"/>
        </w:rPr>
        <w:t xml:space="preserve"> 6</w:t>
      </w:r>
      <w:r w:rsidRPr="003E01A4">
        <w:rPr>
          <w:rFonts w:ascii="Century Schoolbook" w:eastAsia="Times New Roman" w:hAnsi="Century Schoolbook" w:cs="Times New Roman"/>
          <w:sz w:val="22"/>
          <w:szCs w:val="22"/>
          <w:lang w:eastAsia="it-IT"/>
        </w:rPr>
        <w:t xml:space="preserve">: «entro 30 giorni dal ricevimento delle conclusioni della conferenza dei servizi, valutando le risultanze della stessa, la Regione, in caso di valutazione positiva del progetto, autorizza la realizzazione e la gestione dell’impianto. </w:t>
      </w:r>
      <w:r w:rsidRPr="003E01A4">
        <w:rPr>
          <w:rFonts w:ascii="Century Schoolbook" w:eastAsia="Times New Roman" w:hAnsi="Century Schoolbook" w:cs="Times New Roman"/>
          <w:i/>
          <w:iCs/>
          <w:sz w:val="22"/>
          <w:szCs w:val="22"/>
          <w:lang w:eastAsia="it-IT"/>
        </w:rPr>
        <w:t>L’approvazione</w:t>
      </w:r>
      <w:r w:rsidRPr="003E01A4">
        <w:rPr>
          <w:rFonts w:ascii="Century Schoolbook" w:eastAsia="Times New Roman" w:hAnsi="Century Schoolbook" w:cs="Times New Roman"/>
          <w:sz w:val="22"/>
          <w:szCs w:val="22"/>
          <w:lang w:eastAsia="it-IT"/>
        </w:rPr>
        <w:t xml:space="preserve"> sostituisce ad ogni effetto visti, pareri, autorizzazioni e concessioni di organi regionali, provinciali e comunali,</w:t>
      </w:r>
      <w:r w:rsidRPr="003E01A4">
        <w:rPr>
          <w:rFonts w:ascii="Century Schoolbook" w:eastAsia="Times New Roman" w:hAnsi="Century Schoolbook" w:cs="Times New Roman"/>
          <w:i/>
          <w:iCs/>
          <w:sz w:val="22"/>
          <w:szCs w:val="22"/>
          <w:lang w:eastAsia="it-IT"/>
        </w:rPr>
        <w:t xml:space="preserve"> costituisce, ove occorra, variante allo strumento urbanistico</w:t>
      </w:r>
      <w:r w:rsidRPr="003E01A4">
        <w:rPr>
          <w:rFonts w:ascii="Century Schoolbook" w:eastAsia="Times New Roman" w:hAnsi="Century Schoolbook" w:cs="Times New Roman"/>
          <w:sz w:val="22"/>
          <w:szCs w:val="22"/>
          <w:lang w:eastAsia="it-IT"/>
        </w:rPr>
        <w:t xml:space="preserve"> […]»</w:t>
      </w:r>
      <w:r w:rsidR="00415291" w:rsidRPr="003E01A4">
        <w:rPr>
          <w:rStyle w:val="Rimandonotaapidipagina"/>
          <w:rFonts w:ascii="Century Schoolbook" w:eastAsia="Times New Roman" w:hAnsi="Century Schoolbook" w:cs="Times New Roman"/>
          <w:sz w:val="22"/>
          <w:szCs w:val="22"/>
          <w:lang w:eastAsia="it-IT"/>
        </w:rPr>
        <w:footnoteReference w:id="7"/>
      </w:r>
      <w:r w:rsidR="00415291" w:rsidRPr="003E01A4">
        <w:rPr>
          <w:rFonts w:ascii="Century Schoolbook" w:eastAsia="Times New Roman" w:hAnsi="Century Schoolbook" w:cs="Times New Roman"/>
          <w:sz w:val="22"/>
          <w:szCs w:val="22"/>
          <w:lang w:eastAsia="it-IT"/>
        </w:rPr>
        <w:t>.</w:t>
      </w:r>
    </w:p>
    <w:p w14:paraId="2D008D8D" w14:textId="063D3A08" w:rsidR="006C4BBA" w:rsidRPr="003E01A4" w:rsidRDefault="006A3BC4"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Questa volta il nostro legislatore delegato dà prova di</w:t>
      </w:r>
      <w:r w:rsidR="00197DCE" w:rsidRPr="003E01A4">
        <w:rPr>
          <w:rFonts w:ascii="Century Schoolbook" w:eastAsia="Times New Roman" w:hAnsi="Century Schoolbook" w:cs="Times New Roman"/>
          <w:sz w:val="22"/>
          <w:szCs w:val="22"/>
          <w:lang w:eastAsia="it-IT"/>
        </w:rPr>
        <w:t xml:space="preserve"> </w:t>
      </w:r>
      <w:r w:rsidR="00B262CB" w:rsidRPr="003E01A4">
        <w:rPr>
          <w:rFonts w:ascii="Century Schoolbook" w:eastAsia="Times New Roman" w:hAnsi="Century Schoolbook" w:cs="Times New Roman"/>
          <w:sz w:val="22"/>
          <w:szCs w:val="22"/>
          <w:lang w:eastAsia="it-IT"/>
        </w:rPr>
        <w:t>continenza</w:t>
      </w:r>
      <w:r w:rsidR="00C52CA8" w:rsidRPr="003E01A4">
        <w:rPr>
          <w:rFonts w:ascii="Century Schoolbook" w:eastAsia="Times New Roman" w:hAnsi="Century Schoolbook" w:cs="Times New Roman"/>
          <w:sz w:val="22"/>
          <w:szCs w:val="22"/>
          <w:lang w:eastAsia="it-IT"/>
        </w:rPr>
        <w:t>:</w:t>
      </w:r>
      <w:r w:rsidR="006C4BBA" w:rsidRPr="003E01A4">
        <w:rPr>
          <w:rFonts w:ascii="Century Schoolbook" w:eastAsia="Times New Roman" w:hAnsi="Century Schoolbook" w:cs="Times New Roman"/>
          <w:sz w:val="22"/>
          <w:szCs w:val="22"/>
          <w:lang w:eastAsia="it-IT"/>
        </w:rPr>
        <w:t xml:space="preserve"> di </w:t>
      </w:r>
      <w:r w:rsidR="00197DCE" w:rsidRPr="003E01A4">
        <w:rPr>
          <w:rFonts w:ascii="Century Schoolbook" w:eastAsia="Times New Roman" w:hAnsi="Century Schoolbook" w:cs="Times New Roman"/>
          <w:sz w:val="22"/>
          <w:szCs w:val="22"/>
          <w:lang w:eastAsia="it-IT"/>
        </w:rPr>
        <w:t xml:space="preserve">sapersi </w:t>
      </w:r>
      <w:r w:rsidR="00CC74CC" w:rsidRPr="003E01A4">
        <w:rPr>
          <w:rFonts w:ascii="Century Schoolbook" w:eastAsia="Times New Roman" w:hAnsi="Century Schoolbook" w:cs="Times New Roman"/>
          <w:sz w:val="22"/>
          <w:szCs w:val="22"/>
          <w:lang w:eastAsia="it-IT"/>
        </w:rPr>
        <w:t xml:space="preserve">cioè </w:t>
      </w:r>
      <w:r w:rsidR="00B262CB" w:rsidRPr="003E01A4">
        <w:rPr>
          <w:rFonts w:ascii="Century Schoolbook" w:eastAsia="Times New Roman" w:hAnsi="Century Schoolbook" w:cs="Times New Roman"/>
          <w:sz w:val="22"/>
          <w:szCs w:val="22"/>
          <w:lang w:eastAsia="it-IT"/>
        </w:rPr>
        <w:t>moderare</w:t>
      </w:r>
      <w:r w:rsidR="00197DCE" w:rsidRPr="003E01A4">
        <w:rPr>
          <w:rFonts w:ascii="Century Schoolbook" w:eastAsia="Times New Roman" w:hAnsi="Century Schoolbook" w:cs="Times New Roman"/>
          <w:sz w:val="22"/>
          <w:szCs w:val="22"/>
          <w:lang w:eastAsia="it-IT"/>
        </w:rPr>
        <w:t xml:space="preserve"> almeno sul piano lessicale</w:t>
      </w:r>
      <w:r w:rsidRPr="003E01A4">
        <w:rPr>
          <w:rFonts w:ascii="Century Schoolbook" w:eastAsia="Times New Roman" w:hAnsi="Century Schoolbook" w:cs="Times New Roman"/>
          <w:sz w:val="22"/>
          <w:szCs w:val="22"/>
          <w:lang w:eastAsia="it-IT"/>
        </w:rPr>
        <w:t xml:space="preserve">, evitando </w:t>
      </w:r>
      <w:r w:rsidR="00197DCE" w:rsidRPr="003E01A4">
        <w:rPr>
          <w:rFonts w:ascii="Century Schoolbook" w:eastAsia="Times New Roman" w:hAnsi="Century Schoolbook" w:cs="Times New Roman"/>
          <w:sz w:val="22"/>
          <w:szCs w:val="22"/>
          <w:lang w:eastAsia="it-IT"/>
        </w:rPr>
        <w:t xml:space="preserve">di proclamare </w:t>
      </w:r>
      <w:r w:rsidR="006C4BBA" w:rsidRPr="003E01A4">
        <w:rPr>
          <w:rFonts w:ascii="Century Schoolbook" w:eastAsia="Times New Roman" w:hAnsi="Century Schoolbook" w:cs="Times New Roman"/>
          <w:i/>
          <w:iCs/>
          <w:sz w:val="22"/>
          <w:szCs w:val="22"/>
          <w:lang w:eastAsia="it-IT"/>
        </w:rPr>
        <w:t>espressamente</w:t>
      </w:r>
      <w:r w:rsidR="006C4BBA" w:rsidRPr="003E01A4">
        <w:rPr>
          <w:rFonts w:ascii="Century Schoolbook" w:eastAsia="Times New Roman" w:hAnsi="Century Schoolbook" w:cs="Times New Roman"/>
          <w:sz w:val="22"/>
          <w:szCs w:val="22"/>
          <w:lang w:eastAsia="it-IT"/>
        </w:rPr>
        <w:t xml:space="preserve"> </w:t>
      </w:r>
      <w:r w:rsidR="00197DCE" w:rsidRPr="003E01A4">
        <w:rPr>
          <w:rFonts w:ascii="Century Schoolbook" w:eastAsia="Times New Roman" w:hAnsi="Century Schoolbook" w:cs="Times New Roman"/>
          <w:sz w:val="22"/>
          <w:szCs w:val="22"/>
          <w:lang w:eastAsia="it-IT"/>
        </w:rPr>
        <w:t>unici</w:t>
      </w:r>
      <w:r w:rsidR="00B262CB" w:rsidRPr="003E01A4">
        <w:rPr>
          <w:rFonts w:ascii="Century Schoolbook" w:eastAsia="Times New Roman" w:hAnsi="Century Schoolbook" w:cs="Times New Roman"/>
          <w:sz w:val="22"/>
          <w:szCs w:val="22"/>
          <w:lang w:eastAsia="it-IT"/>
        </w:rPr>
        <w:t>tà</w:t>
      </w:r>
      <w:r w:rsidR="00197DCE" w:rsidRPr="003E01A4">
        <w:rPr>
          <w:rFonts w:ascii="Century Schoolbook" w:eastAsia="Times New Roman" w:hAnsi="Century Schoolbook" w:cs="Times New Roman"/>
          <w:sz w:val="22"/>
          <w:szCs w:val="22"/>
          <w:lang w:eastAsia="it-IT"/>
        </w:rPr>
        <w:t xml:space="preserve"> procedimentali. Rispetto all’art. 12, d.lgs. n. 387/’03</w:t>
      </w:r>
      <w:r w:rsidR="00B262CB" w:rsidRPr="003E01A4">
        <w:rPr>
          <w:rFonts w:ascii="Century Schoolbook" w:eastAsia="Times New Roman" w:hAnsi="Century Schoolbook" w:cs="Times New Roman"/>
          <w:sz w:val="22"/>
          <w:szCs w:val="22"/>
          <w:lang w:eastAsia="it-IT"/>
        </w:rPr>
        <w:t xml:space="preserve"> cit.,</w:t>
      </w:r>
      <w:r w:rsidR="00197DCE" w:rsidRPr="003E01A4">
        <w:rPr>
          <w:rFonts w:ascii="Century Schoolbook" w:eastAsia="Times New Roman" w:hAnsi="Century Schoolbook" w:cs="Times New Roman"/>
          <w:sz w:val="22"/>
          <w:szCs w:val="22"/>
          <w:lang w:eastAsia="it-IT"/>
        </w:rPr>
        <w:t xml:space="preserve"> la sostanza però non cambia</w:t>
      </w:r>
      <w:r w:rsidR="006C4BBA" w:rsidRPr="003E01A4">
        <w:rPr>
          <w:rFonts w:ascii="Century Schoolbook" w:eastAsia="Times New Roman" w:hAnsi="Century Schoolbook" w:cs="Times New Roman"/>
          <w:sz w:val="22"/>
          <w:szCs w:val="22"/>
          <w:lang w:eastAsia="it-IT"/>
        </w:rPr>
        <w:t xml:space="preserve">. Conclusa la conferenza, la Regione decide: e se approva il progetto, </w:t>
      </w:r>
      <w:r w:rsidR="00E0330D" w:rsidRPr="003E01A4">
        <w:rPr>
          <w:rFonts w:ascii="Century Schoolbook" w:eastAsia="Times New Roman" w:hAnsi="Century Schoolbook" w:cs="Times New Roman"/>
          <w:sz w:val="22"/>
          <w:szCs w:val="22"/>
          <w:lang w:eastAsia="it-IT"/>
        </w:rPr>
        <w:t xml:space="preserve">il provvedimento regionale </w:t>
      </w:r>
      <w:r w:rsidR="006C4BBA" w:rsidRPr="003E01A4">
        <w:rPr>
          <w:rFonts w:ascii="Century Schoolbook" w:eastAsia="Times New Roman" w:hAnsi="Century Schoolbook" w:cs="Times New Roman"/>
          <w:sz w:val="22"/>
          <w:szCs w:val="22"/>
          <w:lang w:eastAsia="it-IT"/>
        </w:rPr>
        <w:t>imprime all’area di localizzazione dell’intervento una destinazione in variante.</w:t>
      </w:r>
    </w:p>
    <w:p w14:paraId="1BE24FD2" w14:textId="1006696F" w:rsidR="000F03B0" w:rsidRPr="003E01A4" w:rsidRDefault="00E0330D" w:rsidP="002B4988">
      <w:pPr>
        <w:spacing w:line="360" w:lineRule="auto"/>
        <w:ind w:firstLine="709"/>
        <w:contextualSpacing/>
        <w:jc w:val="both"/>
        <w:rPr>
          <w:rFonts w:ascii="Century Schoolbook" w:eastAsia="Times New Roman" w:hAnsi="Century Schoolbook" w:cs="Times New Roman"/>
          <w:sz w:val="22"/>
          <w:szCs w:val="22"/>
          <w:lang w:eastAsia="it-IT"/>
        </w:rPr>
      </w:pPr>
      <w:r w:rsidRPr="003E01A4">
        <w:rPr>
          <w:rFonts w:ascii="Century Schoolbook" w:eastAsia="Times New Roman" w:hAnsi="Century Schoolbook" w:cs="Times New Roman"/>
          <w:sz w:val="22"/>
          <w:szCs w:val="22"/>
          <w:lang w:eastAsia="it-IT"/>
        </w:rPr>
        <w:t>Tutto molto semplice e lineare: nel segno dell’unici</w:t>
      </w:r>
      <w:r w:rsidR="00B262CB" w:rsidRPr="003E01A4">
        <w:rPr>
          <w:rFonts w:ascii="Century Schoolbook" w:eastAsia="Times New Roman" w:hAnsi="Century Schoolbook" w:cs="Times New Roman"/>
          <w:sz w:val="22"/>
          <w:szCs w:val="22"/>
          <w:lang w:eastAsia="it-IT"/>
        </w:rPr>
        <w:t>tà</w:t>
      </w:r>
      <w:r w:rsidRPr="003E01A4">
        <w:rPr>
          <w:rFonts w:ascii="Century Schoolbook" w:eastAsia="Times New Roman" w:hAnsi="Century Schoolbook" w:cs="Times New Roman"/>
          <w:sz w:val="22"/>
          <w:szCs w:val="22"/>
          <w:lang w:eastAsia="it-IT"/>
        </w:rPr>
        <w:t xml:space="preserve">, appunto. </w:t>
      </w:r>
    </w:p>
    <w:p w14:paraId="011AC05C" w14:textId="4A23D6A1" w:rsidR="00B71128" w:rsidRPr="003E01A4" w:rsidRDefault="000B0CDF" w:rsidP="002B4988">
      <w:pPr>
        <w:spacing w:line="360" w:lineRule="auto"/>
        <w:ind w:firstLine="709"/>
        <w:contextualSpacing/>
        <w:jc w:val="both"/>
        <w:rPr>
          <w:rFonts w:ascii="Century Schoolbook" w:hAnsi="Century Schoolbook"/>
          <w:sz w:val="22"/>
          <w:szCs w:val="22"/>
        </w:rPr>
      </w:pPr>
      <w:r w:rsidRPr="003E01A4">
        <w:rPr>
          <w:rFonts w:ascii="Century Schoolbook" w:eastAsia="Times New Roman" w:hAnsi="Century Schoolbook" w:cs="Times New Roman"/>
          <w:sz w:val="22"/>
          <w:szCs w:val="22"/>
          <w:lang w:eastAsia="it-IT"/>
        </w:rPr>
        <w:t xml:space="preserve">Ma non basta ignorare </w:t>
      </w:r>
      <w:r w:rsidR="00BA0EF3" w:rsidRPr="003E01A4">
        <w:rPr>
          <w:rFonts w:ascii="Century Schoolbook" w:eastAsia="Times New Roman" w:hAnsi="Century Schoolbook" w:cs="Times New Roman"/>
          <w:sz w:val="22"/>
          <w:szCs w:val="22"/>
          <w:lang w:eastAsia="it-IT"/>
        </w:rPr>
        <w:t>un</w:t>
      </w:r>
      <w:r w:rsidRPr="003E01A4">
        <w:rPr>
          <w:rFonts w:ascii="Century Schoolbook" w:eastAsia="Times New Roman" w:hAnsi="Century Schoolbook" w:cs="Times New Roman"/>
          <w:sz w:val="22"/>
          <w:szCs w:val="22"/>
          <w:lang w:eastAsia="it-IT"/>
        </w:rPr>
        <w:t xml:space="preserve"> problema per ri</w:t>
      </w:r>
      <w:r w:rsidR="00BA0EF3" w:rsidRPr="003E01A4">
        <w:rPr>
          <w:rFonts w:ascii="Century Schoolbook" w:eastAsia="Times New Roman" w:hAnsi="Century Schoolbook" w:cs="Times New Roman"/>
          <w:sz w:val="22"/>
          <w:szCs w:val="22"/>
          <w:lang w:eastAsia="it-IT"/>
        </w:rPr>
        <w:t>tener</w:t>
      </w:r>
      <w:r w:rsidRPr="003E01A4">
        <w:rPr>
          <w:rFonts w:ascii="Century Schoolbook" w:eastAsia="Times New Roman" w:hAnsi="Century Schoolbook" w:cs="Times New Roman"/>
          <w:sz w:val="22"/>
          <w:szCs w:val="22"/>
          <w:lang w:eastAsia="it-IT"/>
        </w:rPr>
        <w:t>lo</w:t>
      </w:r>
      <w:r w:rsidR="00BA0EF3" w:rsidRPr="003E01A4">
        <w:rPr>
          <w:rFonts w:ascii="Century Schoolbook" w:eastAsia="Times New Roman" w:hAnsi="Century Schoolbook" w:cs="Times New Roman"/>
          <w:sz w:val="22"/>
          <w:szCs w:val="22"/>
          <w:lang w:eastAsia="it-IT"/>
        </w:rPr>
        <w:t xml:space="preserve"> </w:t>
      </w:r>
      <w:r w:rsidR="00BA0EF3" w:rsidRPr="003E01A4">
        <w:rPr>
          <w:rFonts w:ascii="Century Schoolbook" w:eastAsia="Times New Roman" w:hAnsi="Century Schoolbook" w:cs="Times New Roman"/>
          <w:i/>
          <w:iCs/>
          <w:sz w:val="22"/>
          <w:szCs w:val="22"/>
          <w:lang w:eastAsia="it-IT"/>
        </w:rPr>
        <w:t>de iure</w:t>
      </w:r>
      <w:r w:rsidR="00BA0EF3" w:rsidRPr="003E01A4">
        <w:rPr>
          <w:rFonts w:ascii="Century Schoolbook" w:eastAsia="Times New Roman" w:hAnsi="Century Schoolbook" w:cs="Times New Roman"/>
          <w:sz w:val="22"/>
          <w:szCs w:val="22"/>
          <w:lang w:eastAsia="it-IT"/>
        </w:rPr>
        <w:t xml:space="preserve"> risolto</w:t>
      </w:r>
      <w:r w:rsidRPr="003E01A4">
        <w:rPr>
          <w:rFonts w:ascii="Century Schoolbook" w:eastAsia="Times New Roman" w:hAnsi="Century Schoolbook" w:cs="Times New Roman"/>
          <w:sz w:val="22"/>
          <w:szCs w:val="22"/>
          <w:lang w:eastAsia="it-IT"/>
        </w:rPr>
        <w:t xml:space="preserve">: </w:t>
      </w:r>
      <w:r w:rsidR="00BA0EF3" w:rsidRPr="003E01A4">
        <w:rPr>
          <w:rFonts w:ascii="Century Schoolbook" w:eastAsia="Times New Roman" w:hAnsi="Century Schoolbook" w:cs="Times New Roman"/>
          <w:sz w:val="22"/>
          <w:szCs w:val="22"/>
          <w:lang w:eastAsia="it-IT"/>
        </w:rPr>
        <w:t xml:space="preserve">qual è, infatti, il ruolo del Comune in un procedimento che comunque interseca una delle competenze più gelosamente custodite dai municipi, cioè la pianificazione urbanistica di base? La disposizione in esame non lo </w:t>
      </w:r>
      <w:r w:rsidR="00B71128" w:rsidRPr="003E01A4">
        <w:rPr>
          <w:rFonts w:ascii="Century Schoolbook" w:eastAsia="Times New Roman" w:hAnsi="Century Schoolbook" w:cs="Times New Roman"/>
          <w:sz w:val="22"/>
          <w:szCs w:val="22"/>
          <w:lang w:eastAsia="it-IT"/>
        </w:rPr>
        <w:t>chiarisce</w:t>
      </w:r>
      <w:r w:rsidR="00BA0EF3" w:rsidRPr="003E01A4">
        <w:rPr>
          <w:rFonts w:ascii="Century Schoolbook" w:eastAsia="Times New Roman" w:hAnsi="Century Schoolbook" w:cs="Times New Roman"/>
          <w:sz w:val="22"/>
          <w:szCs w:val="22"/>
          <w:lang w:eastAsia="it-IT"/>
        </w:rPr>
        <w:t>, trasferendo sul diritto (dottrinale e) giurisprudenziale</w:t>
      </w:r>
      <w:r w:rsidR="00116CB5" w:rsidRPr="003E01A4">
        <w:rPr>
          <w:rStyle w:val="Rimandonotaapidipagina"/>
          <w:rFonts w:ascii="Century Schoolbook" w:eastAsia="Times New Roman" w:hAnsi="Century Schoolbook" w:cs="Times New Roman"/>
          <w:sz w:val="22"/>
          <w:szCs w:val="22"/>
          <w:lang w:eastAsia="it-IT"/>
        </w:rPr>
        <w:footnoteReference w:id="8"/>
      </w:r>
      <w:r w:rsidR="00BA0EF3" w:rsidRPr="003E01A4">
        <w:rPr>
          <w:rFonts w:ascii="Century Schoolbook" w:eastAsia="Times New Roman" w:hAnsi="Century Schoolbook" w:cs="Times New Roman"/>
          <w:sz w:val="22"/>
          <w:szCs w:val="22"/>
          <w:lang w:eastAsia="it-IT"/>
        </w:rPr>
        <w:t xml:space="preserve"> l’onere di fronteggiare</w:t>
      </w:r>
      <w:r w:rsidR="00B262CB" w:rsidRPr="003E01A4">
        <w:rPr>
          <w:rFonts w:ascii="Century Schoolbook" w:eastAsia="Times New Roman" w:hAnsi="Century Schoolbook" w:cs="Times New Roman"/>
          <w:sz w:val="22"/>
          <w:szCs w:val="22"/>
          <w:lang w:eastAsia="it-IT"/>
        </w:rPr>
        <w:t xml:space="preserve"> un</w:t>
      </w:r>
      <w:r w:rsidR="00BA0EF3" w:rsidRPr="003E01A4">
        <w:rPr>
          <w:rFonts w:ascii="Century Schoolbook" w:eastAsia="Times New Roman" w:hAnsi="Century Schoolbook" w:cs="Times New Roman"/>
          <w:sz w:val="22"/>
          <w:szCs w:val="22"/>
          <w:lang w:eastAsia="it-IT"/>
        </w:rPr>
        <w:t xml:space="preserve"> </w:t>
      </w:r>
      <w:r w:rsidR="00C52CA8" w:rsidRPr="003E01A4">
        <w:rPr>
          <w:rFonts w:ascii="Century Schoolbook" w:eastAsia="Times New Roman" w:hAnsi="Century Schoolbook" w:cs="Times New Roman"/>
          <w:sz w:val="22"/>
          <w:szCs w:val="22"/>
          <w:lang w:eastAsia="it-IT"/>
        </w:rPr>
        <w:t>tema</w:t>
      </w:r>
      <w:r w:rsidR="00BA0EF3" w:rsidRPr="003E01A4">
        <w:rPr>
          <w:rFonts w:ascii="Century Schoolbook" w:eastAsia="Times New Roman" w:hAnsi="Century Schoolbook" w:cs="Times New Roman"/>
          <w:sz w:val="22"/>
          <w:szCs w:val="22"/>
          <w:lang w:eastAsia="it-IT"/>
        </w:rPr>
        <w:t xml:space="preserve"> non meno classico che spinoso: </w:t>
      </w:r>
      <w:r w:rsidR="00116CB5" w:rsidRPr="003E01A4">
        <w:rPr>
          <w:rFonts w:ascii="Century Schoolbook" w:eastAsia="Times New Roman" w:hAnsi="Century Schoolbook" w:cs="Times New Roman"/>
          <w:sz w:val="22"/>
          <w:szCs w:val="22"/>
          <w:lang w:eastAsia="it-IT"/>
        </w:rPr>
        <w:t>i limiti del</w:t>
      </w:r>
      <w:r w:rsidR="00BA0EF3" w:rsidRPr="003E01A4">
        <w:rPr>
          <w:rFonts w:ascii="Century Schoolbook" w:eastAsia="Times New Roman" w:hAnsi="Century Schoolbook" w:cs="Times New Roman"/>
          <w:sz w:val="22"/>
          <w:szCs w:val="22"/>
          <w:lang w:eastAsia="it-IT"/>
        </w:rPr>
        <w:t>la riserva comunale in materia.</w:t>
      </w:r>
      <w:r w:rsidR="00624E98" w:rsidRPr="003E01A4">
        <w:rPr>
          <w:rFonts w:ascii="Century Schoolbook" w:eastAsia="Times New Roman" w:hAnsi="Century Schoolbook" w:cs="Times New Roman"/>
          <w:sz w:val="22"/>
          <w:szCs w:val="22"/>
          <w:lang w:eastAsia="it-IT"/>
        </w:rPr>
        <w:t xml:space="preserve"> </w:t>
      </w:r>
      <w:r w:rsidR="00624E98" w:rsidRPr="003E01A4">
        <w:rPr>
          <w:rFonts w:ascii="Century Schoolbook" w:hAnsi="Century Schoolbook"/>
          <w:sz w:val="22"/>
          <w:szCs w:val="22"/>
        </w:rPr>
        <w:t>La «questione annosa»</w:t>
      </w:r>
      <w:r w:rsidR="00624E98" w:rsidRPr="003E01A4">
        <w:rPr>
          <w:rStyle w:val="Rimandonotaapidipagina"/>
          <w:rFonts w:ascii="Century Schoolbook" w:hAnsi="Century Schoolbook"/>
          <w:sz w:val="22"/>
          <w:szCs w:val="22"/>
        </w:rPr>
        <w:footnoteReference w:id="9"/>
      </w:r>
      <w:r w:rsidR="00624E98" w:rsidRPr="003E01A4">
        <w:rPr>
          <w:rFonts w:ascii="Century Schoolbook" w:hAnsi="Century Schoolbook"/>
          <w:sz w:val="22"/>
          <w:szCs w:val="22"/>
        </w:rPr>
        <w:t>, cioè, del ruolo che enti locali e Regione sono chiamati a svolgere nel processo di gestione del territorio, in modo da individuarne – e circoscriverne – il rispettivo raggio d’azione.</w:t>
      </w:r>
      <w:r w:rsidR="00B71128" w:rsidRPr="003E01A4">
        <w:rPr>
          <w:rFonts w:ascii="Century Schoolbook" w:hAnsi="Century Schoolbook"/>
          <w:sz w:val="22"/>
          <w:szCs w:val="22"/>
        </w:rPr>
        <w:t xml:space="preserve"> </w:t>
      </w:r>
      <w:r w:rsidR="00CC74CC" w:rsidRPr="003E01A4">
        <w:rPr>
          <w:rFonts w:ascii="Century Schoolbook" w:hAnsi="Century Schoolbook"/>
          <w:sz w:val="22"/>
          <w:szCs w:val="22"/>
        </w:rPr>
        <w:tab/>
      </w:r>
      <w:r w:rsidR="00B71128" w:rsidRPr="003E01A4">
        <w:rPr>
          <w:rFonts w:ascii="Century Schoolbook" w:hAnsi="Century Schoolbook"/>
          <w:sz w:val="22"/>
          <w:szCs w:val="22"/>
        </w:rPr>
        <w:t>Resta</w:t>
      </w:r>
      <w:r w:rsidR="00EC11C6" w:rsidRPr="003E01A4">
        <w:rPr>
          <w:rFonts w:ascii="Century Schoolbook" w:hAnsi="Century Schoolbook"/>
          <w:sz w:val="22"/>
          <w:szCs w:val="22"/>
        </w:rPr>
        <w:t>va</w:t>
      </w:r>
      <w:r w:rsidR="00B71128" w:rsidRPr="003E01A4">
        <w:rPr>
          <w:rFonts w:ascii="Century Schoolbook" w:hAnsi="Century Schoolbook"/>
          <w:sz w:val="22"/>
          <w:szCs w:val="22"/>
        </w:rPr>
        <w:t>no da precisare, in particolare, garanzie e limiti della competenza comunale a</w:t>
      </w:r>
      <w:r w:rsidR="00CC74CC" w:rsidRPr="003E01A4">
        <w:rPr>
          <w:rFonts w:ascii="Century Schoolbook" w:hAnsi="Century Schoolbook"/>
          <w:sz w:val="22"/>
          <w:szCs w:val="22"/>
        </w:rPr>
        <w:t xml:space="preserve"> </w:t>
      </w:r>
      <w:r w:rsidR="00B562DF" w:rsidRPr="003E01A4">
        <w:rPr>
          <w:rFonts w:ascii="Century Schoolbook" w:hAnsi="Century Schoolbook"/>
          <w:sz w:val="22"/>
          <w:szCs w:val="22"/>
        </w:rPr>
        <w:t xml:space="preserve">fronte di </w:t>
      </w:r>
      <w:r w:rsidR="00CC74CC" w:rsidRPr="003E01A4">
        <w:rPr>
          <w:rFonts w:ascii="Century Schoolbook" w:hAnsi="Century Schoolbook"/>
          <w:sz w:val="22"/>
          <w:szCs w:val="22"/>
        </w:rPr>
        <w:t>decisioni</w:t>
      </w:r>
      <w:r w:rsidR="00B71128" w:rsidRPr="003E01A4">
        <w:rPr>
          <w:rFonts w:ascii="Century Schoolbook" w:hAnsi="Century Schoolbook"/>
          <w:sz w:val="22"/>
          <w:szCs w:val="22"/>
        </w:rPr>
        <w:t xml:space="preserve"> </w:t>
      </w:r>
      <w:r w:rsidR="00CC74CC" w:rsidRPr="003E01A4">
        <w:rPr>
          <w:rFonts w:ascii="Century Schoolbook" w:hAnsi="Century Schoolbook"/>
          <w:sz w:val="22"/>
          <w:szCs w:val="22"/>
        </w:rPr>
        <w:t xml:space="preserve">esterne, </w:t>
      </w:r>
      <w:r w:rsidR="00B71128" w:rsidRPr="003E01A4">
        <w:rPr>
          <w:rFonts w:ascii="Century Schoolbook" w:hAnsi="Century Schoolbook"/>
          <w:sz w:val="22"/>
          <w:szCs w:val="22"/>
        </w:rPr>
        <w:t>regional</w:t>
      </w:r>
      <w:r w:rsidR="00CC74CC" w:rsidRPr="003E01A4">
        <w:rPr>
          <w:rFonts w:ascii="Century Schoolbook" w:hAnsi="Century Schoolbook"/>
          <w:sz w:val="22"/>
          <w:szCs w:val="22"/>
        </w:rPr>
        <w:t>i o statali</w:t>
      </w:r>
      <w:r w:rsidR="00B71128" w:rsidRPr="003E01A4">
        <w:rPr>
          <w:rFonts w:ascii="Century Schoolbook" w:hAnsi="Century Schoolbook"/>
          <w:sz w:val="22"/>
          <w:szCs w:val="22"/>
        </w:rPr>
        <w:t xml:space="preserve">: in altre parole, </w:t>
      </w:r>
      <w:r w:rsidR="00415291" w:rsidRPr="003E01A4">
        <w:rPr>
          <w:rFonts w:ascii="Century Schoolbook" w:hAnsi="Century Schoolbook"/>
          <w:sz w:val="22"/>
          <w:szCs w:val="22"/>
        </w:rPr>
        <w:t>della</w:t>
      </w:r>
      <w:r w:rsidR="00B71128" w:rsidRPr="003E01A4">
        <w:rPr>
          <w:rFonts w:ascii="Century Schoolbook" w:hAnsi="Century Schoolbook"/>
          <w:sz w:val="22"/>
          <w:szCs w:val="22"/>
        </w:rPr>
        <w:t xml:space="preserve"> misura </w:t>
      </w:r>
      <w:r w:rsidR="00415291" w:rsidRPr="003E01A4">
        <w:rPr>
          <w:rFonts w:ascii="Century Schoolbook" w:hAnsi="Century Schoolbook"/>
          <w:sz w:val="22"/>
          <w:szCs w:val="22"/>
        </w:rPr>
        <w:t xml:space="preserve">in cui </w:t>
      </w:r>
      <w:r w:rsidR="00B71128" w:rsidRPr="003E01A4">
        <w:rPr>
          <w:rFonts w:ascii="Century Schoolbook" w:hAnsi="Century Schoolbook"/>
          <w:sz w:val="22"/>
          <w:szCs w:val="22"/>
        </w:rPr>
        <w:t>l</w:t>
      </w:r>
      <w:r w:rsidR="00CC74CC" w:rsidRPr="003E01A4">
        <w:rPr>
          <w:rFonts w:ascii="Century Schoolbook" w:hAnsi="Century Schoolbook"/>
          <w:sz w:val="22"/>
          <w:szCs w:val="22"/>
        </w:rPr>
        <w:t>o Stato o l</w:t>
      </w:r>
      <w:r w:rsidR="00B71128" w:rsidRPr="003E01A4">
        <w:rPr>
          <w:rFonts w:ascii="Century Schoolbook" w:hAnsi="Century Schoolbook"/>
          <w:sz w:val="22"/>
          <w:szCs w:val="22"/>
        </w:rPr>
        <w:t>a Regione possa</w:t>
      </w:r>
      <w:r w:rsidR="00CC74CC" w:rsidRPr="003E01A4">
        <w:rPr>
          <w:rFonts w:ascii="Century Schoolbook" w:hAnsi="Century Schoolbook"/>
          <w:sz w:val="22"/>
          <w:szCs w:val="22"/>
        </w:rPr>
        <w:t>no</w:t>
      </w:r>
      <w:r w:rsidR="00B71128" w:rsidRPr="003E01A4">
        <w:rPr>
          <w:rFonts w:ascii="Century Schoolbook" w:hAnsi="Century Schoolbook"/>
          <w:sz w:val="22"/>
          <w:szCs w:val="22"/>
        </w:rPr>
        <w:t xml:space="preserve"> ingerirsi nelle scelte urbanistiche degli enti “minori”, e </w:t>
      </w:r>
      <w:r w:rsidR="00415291" w:rsidRPr="003E01A4">
        <w:rPr>
          <w:rFonts w:ascii="Century Schoolbook" w:hAnsi="Century Schoolbook"/>
          <w:sz w:val="22"/>
          <w:szCs w:val="22"/>
        </w:rPr>
        <w:t xml:space="preserve">di </w:t>
      </w:r>
      <w:r w:rsidR="00B71128" w:rsidRPr="003E01A4">
        <w:rPr>
          <w:rFonts w:ascii="Century Schoolbook" w:hAnsi="Century Schoolbook"/>
          <w:sz w:val="22"/>
          <w:szCs w:val="22"/>
        </w:rPr>
        <w:t xml:space="preserve">come identificare adeguati meccanismi di reciproco </w:t>
      </w:r>
      <w:r w:rsidR="00B71128" w:rsidRPr="003E01A4">
        <w:rPr>
          <w:rFonts w:ascii="Century Schoolbook" w:hAnsi="Century Schoolbook"/>
          <w:iCs/>
          <w:sz w:val="22"/>
          <w:szCs w:val="22"/>
        </w:rPr>
        <w:t>b</w:t>
      </w:r>
      <w:r w:rsidR="00B562DF" w:rsidRPr="003E01A4">
        <w:rPr>
          <w:rFonts w:ascii="Century Schoolbook" w:hAnsi="Century Schoolbook"/>
          <w:iCs/>
          <w:sz w:val="22"/>
          <w:szCs w:val="22"/>
        </w:rPr>
        <w:t>ilanciamento</w:t>
      </w:r>
      <w:r w:rsidR="00B71128" w:rsidRPr="003E01A4">
        <w:rPr>
          <w:rStyle w:val="Rimandonotaapidipagina"/>
          <w:rFonts w:ascii="Century Schoolbook" w:hAnsi="Century Schoolbook"/>
          <w:sz w:val="22"/>
          <w:szCs w:val="22"/>
        </w:rPr>
        <w:footnoteReference w:id="10"/>
      </w:r>
      <w:r w:rsidR="00B71128" w:rsidRPr="003E01A4">
        <w:rPr>
          <w:rFonts w:ascii="Century Schoolbook" w:hAnsi="Century Schoolbook"/>
          <w:sz w:val="22"/>
          <w:szCs w:val="22"/>
        </w:rPr>
        <w:t xml:space="preserve">. </w:t>
      </w:r>
      <w:r w:rsidR="00CC74CC" w:rsidRPr="003E01A4">
        <w:rPr>
          <w:rFonts w:ascii="Century Schoolbook" w:hAnsi="Century Schoolbook"/>
          <w:sz w:val="22"/>
          <w:szCs w:val="22"/>
        </w:rPr>
        <w:t>Enti l</w:t>
      </w:r>
      <w:r w:rsidR="00B71128" w:rsidRPr="003E01A4">
        <w:rPr>
          <w:rFonts w:ascii="Century Schoolbook" w:hAnsi="Century Schoolbook"/>
          <w:sz w:val="22"/>
          <w:szCs w:val="22"/>
        </w:rPr>
        <w:t xml:space="preserve">a cui autonomia – ha rilevato </w:t>
      </w:r>
      <w:r w:rsidR="0022146A" w:rsidRPr="003E01A4">
        <w:rPr>
          <w:rFonts w:ascii="Century Schoolbook" w:hAnsi="Century Schoolbook"/>
          <w:sz w:val="22"/>
          <w:szCs w:val="22"/>
        </w:rPr>
        <w:t xml:space="preserve">già due decenni fa </w:t>
      </w:r>
      <w:r w:rsidR="00B71128" w:rsidRPr="003E01A4">
        <w:rPr>
          <w:rFonts w:ascii="Century Schoolbook" w:hAnsi="Century Schoolbook"/>
          <w:sz w:val="22"/>
          <w:szCs w:val="22"/>
        </w:rPr>
        <w:t>la Corte costituzionale – «le leggi regionali non possono mai comprimere fino a negarla»</w:t>
      </w:r>
      <w:r w:rsidR="00B71128" w:rsidRPr="003E01A4">
        <w:rPr>
          <w:rStyle w:val="Rimandonotaapidipagina"/>
          <w:rFonts w:ascii="Century Schoolbook" w:hAnsi="Century Schoolbook"/>
          <w:sz w:val="22"/>
          <w:szCs w:val="22"/>
        </w:rPr>
        <w:footnoteReference w:id="11"/>
      </w:r>
      <w:r w:rsidR="00B71128" w:rsidRPr="003E01A4">
        <w:rPr>
          <w:rFonts w:ascii="Century Schoolbook" w:hAnsi="Century Schoolbook"/>
          <w:sz w:val="22"/>
          <w:szCs w:val="22"/>
        </w:rPr>
        <w:t>; ma ciò – soggiunge subito la Consulta – «non implica una riserva intangibile di funzioni e non esclude che il legislatore regionale possa, nell’esercizio della sua competenza, individuare le dimensioni della stessa autonomia, valutando la maggiore efficienza della gestione a livello sovra</w:t>
      </w:r>
      <w:r w:rsidR="00B562DF" w:rsidRPr="003E01A4">
        <w:rPr>
          <w:rFonts w:ascii="Century Schoolbook" w:hAnsi="Century Schoolbook"/>
          <w:sz w:val="22"/>
          <w:szCs w:val="22"/>
        </w:rPr>
        <w:t>c</w:t>
      </w:r>
      <w:r w:rsidR="00B71128" w:rsidRPr="003E01A4">
        <w:rPr>
          <w:rFonts w:ascii="Century Schoolbook" w:hAnsi="Century Schoolbook"/>
          <w:sz w:val="22"/>
          <w:szCs w:val="22"/>
        </w:rPr>
        <w:t>omunale degli interessi coinvolti»</w:t>
      </w:r>
      <w:r w:rsidR="00B71128" w:rsidRPr="003E01A4">
        <w:rPr>
          <w:rStyle w:val="Rimandonotaapidipagina"/>
          <w:rFonts w:ascii="Century Schoolbook" w:hAnsi="Century Schoolbook"/>
          <w:sz w:val="22"/>
          <w:szCs w:val="22"/>
        </w:rPr>
        <w:footnoteReference w:id="12"/>
      </w:r>
      <w:r w:rsidR="00B71128" w:rsidRPr="003E01A4">
        <w:rPr>
          <w:rFonts w:ascii="Century Schoolbook" w:hAnsi="Century Schoolbook"/>
          <w:sz w:val="22"/>
          <w:szCs w:val="22"/>
        </w:rPr>
        <w:t xml:space="preserve">. </w:t>
      </w:r>
      <w:r w:rsidR="00B71128" w:rsidRPr="003E01A4">
        <w:rPr>
          <w:rFonts w:ascii="Century Schoolbook" w:hAnsi="Century Schoolbook"/>
          <w:i/>
          <w:iCs/>
          <w:sz w:val="22"/>
          <w:szCs w:val="22"/>
        </w:rPr>
        <w:t>A fortiori</w:t>
      </w:r>
      <w:r w:rsidR="00B71128" w:rsidRPr="003E01A4">
        <w:rPr>
          <w:rFonts w:ascii="Century Schoolbook" w:hAnsi="Century Schoolbook"/>
          <w:sz w:val="22"/>
          <w:szCs w:val="22"/>
        </w:rPr>
        <w:t>, quindi, può farlo il diritto primario di fonte statuale.</w:t>
      </w:r>
    </w:p>
    <w:p w14:paraId="31748C8F" w14:textId="299228F0" w:rsidR="00B71128" w:rsidRPr="003E01A4" w:rsidRDefault="00277294" w:rsidP="002B4988">
      <w:pPr>
        <w:spacing w:line="360" w:lineRule="auto"/>
        <w:ind w:firstLine="709"/>
        <w:contextualSpacing/>
        <w:jc w:val="both"/>
        <w:rPr>
          <w:rFonts w:ascii="Century Schoolbook" w:hAnsi="Century Schoolbook"/>
          <w:sz w:val="22"/>
          <w:szCs w:val="22"/>
        </w:rPr>
      </w:pPr>
      <w:r>
        <w:rPr>
          <w:rFonts w:ascii="Century Schoolbook" w:hAnsi="Century Schoolbook"/>
          <w:sz w:val="22"/>
          <w:szCs w:val="22"/>
        </w:rPr>
        <w:t>Anche se non è recente, q</w:t>
      </w:r>
      <w:r w:rsidR="00B71128" w:rsidRPr="003E01A4">
        <w:rPr>
          <w:rFonts w:ascii="Century Schoolbook" w:hAnsi="Century Schoolbook"/>
          <w:sz w:val="22"/>
          <w:szCs w:val="22"/>
        </w:rPr>
        <w:t>uesta affermazione della Corte riassume bene i due</w:t>
      </w:r>
      <w:r w:rsidR="001F696E" w:rsidRPr="003E01A4">
        <w:rPr>
          <w:rFonts w:ascii="Century Schoolbook" w:hAnsi="Century Schoolbook"/>
          <w:sz w:val="22"/>
          <w:szCs w:val="22"/>
        </w:rPr>
        <w:t xml:space="preserve"> </w:t>
      </w:r>
      <w:r w:rsidR="00B562DF" w:rsidRPr="003E01A4">
        <w:rPr>
          <w:rFonts w:ascii="Century Schoolbook" w:hAnsi="Century Schoolbook"/>
          <w:sz w:val="22"/>
          <w:szCs w:val="22"/>
        </w:rPr>
        <w:t>aspetti</w:t>
      </w:r>
      <w:r w:rsidR="00B71128" w:rsidRPr="003E01A4">
        <w:rPr>
          <w:rFonts w:ascii="Century Schoolbook" w:hAnsi="Century Schoolbook"/>
          <w:sz w:val="22"/>
          <w:szCs w:val="22"/>
        </w:rPr>
        <w:t xml:space="preserve"> del</w:t>
      </w:r>
      <w:r w:rsidR="001F696E" w:rsidRPr="003E01A4">
        <w:rPr>
          <w:rFonts w:ascii="Century Schoolbook" w:hAnsi="Century Schoolbook"/>
          <w:sz w:val="22"/>
          <w:szCs w:val="22"/>
        </w:rPr>
        <w:t xml:space="preserve"> tema.</w:t>
      </w:r>
    </w:p>
    <w:p w14:paraId="5F410B36" w14:textId="2C41AA0E" w:rsidR="00B71128" w:rsidRPr="003E01A4" w:rsidRDefault="001F696E"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La Consulta</w:t>
      </w:r>
      <w:r w:rsidR="00B71128" w:rsidRPr="003E01A4">
        <w:rPr>
          <w:rFonts w:ascii="Century Schoolbook" w:hAnsi="Century Schoolbook"/>
          <w:sz w:val="22"/>
          <w:szCs w:val="22"/>
        </w:rPr>
        <w:t xml:space="preserve"> po</w:t>
      </w:r>
      <w:r w:rsidRPr="003E01A4">
        <w:rPr>
          <w:rFonts w:ascii="Century Schoolbook" w:hAnsi="Century Schoolbook"/>
          <w:sz w:val="22"/>
          <w:szCs w:val="22"/>
        </w:rPr>
        <w:t>ne</w:t>
      </w:r>
      <w:r w:rsidR="00B71128" w:rsidRPr="003E01A4">
        <w:rPr>
          <w:rFonts w:ascii="Century Schoolbook" w:hAnsi="Century Schoolbook"/>
          <w:sz w:val="22"/>
          <w:szCs w:val="22"/>
        </w:rPr>
        <w:t xml:space="preserve"> </w:t>
      </w:r>
      <w:r w:rsidR="006F3581" w:rsidRPr="003E01A4">
        <w:rPr>
          <w:rFonts w:ascii="Century Schoolbook" w:hAnsi="Century Schoolbook"/>
          <w:sz w:val="22"/>
          <w:szCs w:val="22"/>
        </w:rPr>
        <w:t>per un verso</w:t>
      </w:r>
      <w:r w:rsidRPr="003E01A4">
        <w:rPr>
          <w:rFonts w:ascii="Century Schoolbook" w:hAnsi="Century Schoolbook"/>
          <w:sz w:val="22"/>
          <w:szCs w:val="22"/>
        </w:rPr>
        <w:t xml:space="preserve"> </w:t>
      </w:r>
      <w:r w:rsidR="00B71128" w:rsidRPr="003E01A4">
        <w:rPr>
          <w:rFonts w:ascii="Century Schoolbook" w:hAnsi="Century Schoolbook"/>
          <w:sz w:val="22"/>
          <w:szCs w:val="22"/>
        </w:rPr>
        <w:t xml:space="preserve">in risalto l’autonomia comunale, presidiandola da intromissioni </w:t>
      </w:r>
      <w:r w:rsidR="00F47F29" w:rsidRPr="003E01A4">
        <w:rPr>
          <w:rFonts w:ascii="Century Schoolbook" w:hAnsi="Century Schoolbook"/>
          <w:i/>
          <w:iCs/>
          <w:sz w:val="22"/>
          <w:szCs w:val="22"/>
        </w:rPr>
        <w:t>troppo</w:t>
      </w:r>
      <w:r w:rsidR="00F47F29" w:rsidRPr="003E01A4">
        <w:rPr>
          <w:rFonts w:ascii="Century Schoolbook" w:hAnsi="Century Schoolbook"/>
          <w:sz w:val="22"/>
          <w:szCs w:val="22"/>
        </w:rPr>
        <w:t xml:space="preserve"> invasive</w:t>
      </w:r>
      <w:r w:rsidR="00B71128" w:rsidRPr="003E01A4">
        <w:rPr>
          <w:rFonts w:ascii="Century Schoolbook" w:hAnsi="Century Schoolbook"/>
          <w:sz w:val="22"/>
          <w:szCs w:val="22"/>
        </w:rPr>
        <w:t>.</w:t>
      </w:r>
    </w:p>
    <w:p w14:paraId="575EC2C4" w14:textId="434467BF" w:rsidR="00B71128" w:rsidRPr="003E01A4" w:rsidRDefault="00B562DF"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Essa, i</w:t>
      </w:r>
      <w:r w:rsidR="00B71128" w:rsidRPr="003E01A4">
        <w:rPr>
          <w:rFonts w:ascii="Century Schoolbook" w:hAnsi="Century Schoolbook"/>
          <w:sz w:val="22"/>
          <w:szCs w:val="22"/>
        </w:rPr>
        <w:t>n particolare, ha ritenuto illegittime – in quanto idonee ad «alterare profondamente l’ordine delle competenze tra Regione e Comuni delineato dalla legislazione statale in materia urbanistica e fatto salvo dall’art. 2 del d.P.R. n. 616 del 1977»</w:t>
      </w:r>
      <w:r w:rsidR="00B71128" w:rsidRPr="003E01A4">
        <w:rPr>
          <w:rStyle w:val="Rimandonotaapidipagina"/>
          <w:rFonts w:ascii="Century Schoolbook" w:hAnsi="Century Schoolbook"/>
          <w:sz w:val="22"/>
          <w:szCs w:val="22"/>
        </w:rPr>
        <w:footnoteReference w:id="13"/>
      </w:r>
      <w:r w:rsidR="00B71128" w:rsidRPr="003E01A4">
        <w:rPr>
          <w:rFonts w:ascii="Century Schoolbook" w:hAnsi="Century Schoolbook"/>
          <w:sz w:val="22"/>
          <w:szCs w:val="22"/>
        </w:rPr>
        <w:t xml:space="preserve"> – leggi </w:t>
      </w:r>
      <w:r w:rsidR="001F04BE" w:rsidRPr="003E01A4">
        <w:rPr>
          <w:rFonts w:ascii="Century Schoolbook" w:hAnsi="Century Schoolbook"/>
          <w:sz w:val="22"/>
          <w:szCs w:val="22"/>
        </w:rPr>
        <w:t>(</w:t>
      </w:r>
      <w:r w:rsidR="00B71128" w:rsidRPr="003E01A4">
        <w:rPr>
          <w:rFonts w:ascii="Century Schoolbook" w:hAnsi="Century Schoolbook"/>
          <w:sz w:val="22"/>
          <w:szCs w:val="22"/>
        </w:rPr>
        <w:t>regionali</w:t>
      </w:r>
      <w:r w:rsidR="001F04BE" w:rsidRPr="003E01A4">
        <w:rPr>
          <w:rFonts w:ascii="Century Schoolbook" w:hAnsi="Century Schoolbook"/>
          <w:sz w:val="22"/>
          <w:szCs w:val="22"/>
        </w:rPr>
        <w:t>)</w:t>
      </w:r>
      <w:r w:rsidR="00B71128" w:rsidRPr="003E01A4">
        <w:rPr>
          <w:rFonts w:ascii="Century Schoolbook" w:hAnsi="Century Schoolbook"/>
          <w:sz w:val="22"/>
          <w:szCs w:val="22"/>
        </w:rPr>
        <w:t xml:space="preserve"> che prevedevano procedimenti pianificatori o </w:t>
      </w:r>
      <w:r w:rsidR="00F47F29" w:rsidRPr="003E01A4">
        <w:rPr>
          <w:rFonts w:ascii="Century Schoolbook" w:hAnsi="Century Schoolbook"/>
          <w:sz w:val="22"/>
          <w:szCs w:val="22"/>
        </w:rPr>
        <w:t>d’</w:t>
      </w:r>
      <w:r w:rsidR="00B71128" w:rsidRPr="003E01A4">
        <w:rPr>
          <w:rFonts w:ascii="Century Schoolbook" w:hAnsi="Century Schoolbook"/>
          <w:sz w:val="22"/>
          <w:szCs w:val="22"/>
        </w:rPr>
        <w:t>intervent</w:t>
      </w:r>
      <w:r w:rsidR="00F47F29" w:rsidRPr="003E01A4">
        <w:rPr>
          <w:rFonts w:ascii="Century Schoolbook" w:hAnsi="Century Schoolbook"/>
          <w:sz w:val="22"/>
          <w:szCs w:val="22"/>
        </w:rPr>
        <w:t>o punt</w:t>
      </w:r>
      <w:r w:rsidR="00B71128" w:rsidRPr="003E01A4">
        <w:rPr>
          <w:rFonts w:ascii="Century Schoolbook" w:hAnsi="Century Schoolbook"/>
          <w:sz w:val="22"/>
          <w:szCs w:val="22"/>
        </w:rPr>
        <w:t>ual</w:t>
      </w:r>
      <w:r w:rsidR="00F47F29" w:rsidRPr="003E01A4">
        <w:rPr>
          <w:rFonts w:ascii="Century Schoolbook" w:hAnsi="Century Schoolbook"/>
          <w:sz w:val="22"/>
          <w:szCs w:val="22"/>
        </w:rPr>
        <w:t>e</w:t>
      </w:r>
      <w:r w:rsidR="00B71128" w:rsidRPr="003E01A4">
        <w:rPr>
          <w:rFonts w:ascii="Century Schoolbook" w:hAnsi="Century Schoolbook"/>
          <w:sz w:val="22"/>
          <w:szCs w:val="22"/>
        </w:rPr>
        <w:t xml:space="preserve"> nei quali «tutti i poteri </w:t>
      </w:r>
      <w:r w:rsidR="00B71128" w:rsidRPr="003E01A4">
        <w:rPr>
          <w:rFonts w:ascii="Century Schoolbook" w:hAnsi="Century Schoolbook"/>
          <w:i/>
          <w:sz w:val="22"/>
          <w:szCs w:val="22"/>
        </w:rPr>
        <w:t>decisionali</w:t>
      </w:r>
      <w:r w:rsidR="00B71128" w:rsidRPr="003E01A4">
        <w:rPr>
          <w:rFonts w:ascii="Century Schoolbook" w:hAnsi="Century Schoolbook"/>
          <w:sz w:val="22"/>
          <w:szCs w:val="22"/>
        </w:rPr>
        <w:t xml:space="preserve"> spettanti in tale materia agli organi comunali vengono […] nella sostanza trasformati in semplici poteri </w:t>
      </w:r>
      <w:r w:rsidR="00B71128" w:rsidRPr="003E01A4">
        <w:rPr>
          <w:rFonts w:ascii="Century Schoolbook" w:hAnsi="Century Schoolbook"/>
          <w:i/>
          <w:sz w:val="22"/>
          <w:szCs w:val="22"/>
        </w:rPr>
        <w:t>consultivi e di proposta o in mere attività esecutive</w:t>
      </w:r>
      <w:r w:rsidR="00B71128" w:rsidRPr="003E01A4">
        <w:rPr>
          <w:rFonts w:ascii="Century Schoolbook" w:hAnsi="Century Schoolbook"/>
          <w:sz w:val="22"/>
          <w:szCs w:val="22"/>
        </w:rPr>
        <w:t>»</w:t>
      </w:r>
      <w:r w:rsidR="00B71128" w:rsidRPr="003E01A4">
        <w:rPr>
          <w:rStyle w:val="Rimandonotaapidipagina"/>
          <w:rFonts w:ascii="Century Schoolbook" w:hAnsi="Century Schoolbook"/>
          <w:sz w:val="22"/>
          <w:szCs w:val="22"/>
        </w:rPr>
        <w:footnoteReference w:id="14"/>
      </w:r>
      <w:r w:rsidR="00B71128" w:rsidRPr="003E01A4">
        <w:rPr>
          <w:rFonts w:ascii="Century Schoolbook" w:hAnsi="Century Schoolbook"/>
          <w:sz w:val="22"/>
          <w:szCs w:val="22"/>
        </w:rPr>
        <w:t xml:space="preserve">. Ancor più specificamente, la Corte ha </w:t>
      </w:r>
      <w:r w:rsidR="00415291" w:rsidRPr="003E01A4">
        <w:rPr>
          <w:rFonts w:ascii="Century Schoolbook" w:hAnsi="Century Schoolbook"/>
          <w:sz w:val="22"/>
          <w:szCs w:val="22"/>
        </w:rPr>
        <w:t>chiarito</w:t>
      </w:r>
      <w:r w:rsidR="00B71128" w:rsidRPr="003E01A4">
        <w:rPr>
          <w:rFonts w:ascii="Century Schoolbook" w:hAnsi="Century Schoolbook"/>
          <w:sz w:val="22"/>
          <w:szCs w:val="22"/>
        </w:rPr>
        <w:t xml:space="preserve"> che «il potere dei Comuni di autodeterminarsi in ordine all’assetto e alla utilizzazione del proprio territorio non costituisce elargizione che le Regioni, attributarie di competenza in materia urbanistica, siano libere di compiere. Si tratta invece di un potere che ha il suo diretto fondamento nell’art. 128 della Costituzione, che garantisce, con previsione di principio, l’autonomia degli enti infraregionali, non solo nei confronti dello Stato, ma anche nei rapporti con le stesse Regioni, la cui competenza nelle diverse materie elencate nell’art. 117, e segnatamente nella materia urbanistica, non può mai essere esercitata in modo che ne risulti vanificata l’autonomia dei Comuni. Questa, infatti, non può dirsi rispettata se il procedimento finalizzato all’approvazione, da parte della Regione, degli strumenti urbanistici </w:t>
      </w:r>
      <w:r w:rsidR="00B71128" w:rsidRPr="003E01A4">
        <w:rPr>
          <w:rFonts w:ascii="Century Schoolbook" w:hAnsi="Century Schoolbook"/>
          <w:i/>
          <w:sz w:val="22"/>
          <w:szCs w:val="22"/>
        </w:rPr>
        <w:t>non assicuri la partecipazione degli enti il cui assetto territoriale venga coinvolto</w:t>
      </w:r>
      <w:r w:rsidR="00B71128" w:rsidRPr="003E01A4">
        <w:rPr>
          <w:rFonts w:ascii="Century Schoolbook" w:hAnsi="Century Schoolbook"/>
          <w:sz w:val="22"/>
          <w:szCs w:val="22"/>
        </w:rPr>
        <w:t xml:space="preserve"> (sent. n. 1010 del 1988); partecipazione si aggiunga che non può essere puramente nominale ma deve essere effettiva e congrua», e nello stesso tempo idonea a scongiurare deprecabili «situazioni di stallo decisionale»</w:t>
      </w:r>
      <w:r w:rsidR="00B71128" w:rsidRPr="003E01A4">
        <w:rPr>
          <w:rStyle w:val="Rimandonotaapidipagina"/>
          <w:rFonts w:ascii="Century Schoolbook" w:hAnsi="Century Schoolbook"/>
          <w:sz w:val="22"/>
          <w:szCs w:val="22"/>
        </w:rPr>
        <w:footnoteReference w:id="15"/>
      </w:r>
      <w:r w:rsidR="00B71128" w:rsidRPr="003E01A4">
        <w:rPr>
          <w:rFonts w:ascii="Century Schoolbook" w:hAnsi="Century Schoolbook"/>
          <w:sz w:val="22"/>
          <w:szCs w:val="22"/>
        </w:rPr>
        <w:t>.</w:t>
      </w:r>
      <w:r w:rsidR="001F04BE" w:rsidRPr="003E01A4">
        <w:rPr>
          <w:rFonts w:ascii="Century Schoolbook" w:hAnsi="Century Schoolbook"/>
          <w:sz w:val="22"/>
          <w:szCs w:val="22"/>
        </w:rPr>
        <w:t xml:space="preserve"> </w:t>
      </w:r>
      <w:r w:rsidR="00B71128" w:rsidRPr="003E01A4">
        <w:rPr>
          <w:rFonts w:ascii="Century Schoolbook" w:hAnsi="Century Schoolbook"/>
          <w:sz w:val="22"/>
          <w:szCs w:val="22"/>
        </w:rPr>
        <w:t>In altre parole, la Corte ha legittimato la pretesa partecipativa comunale – nei termini appena esaminati – anche con riguardo alla formazione di strumenti ovvero alla previsione di interventi puntuali che</w:t>
      </w:r>
      <w:r w:rsidR="001F696E" w:rsidRPr="003E01A4">
        <w:rPr>
          <w:rFonts w:ascii="Century Schoolbook" w:hAnsi="Century Schoolbook"/>
          <w:sz w:val="22"/>
          <w:szCs w:val="22"/>
        </w:rPr>
        <w:t>,</w:t>
      </w:r>
      <w:r w:rsidR="00B71128" w:rsidRPr="003E01A4">
        <w:rPr>
          <w:rFonts w:ascii="Century Schoolbook" w:hAnsi="Century Schoolbook"/>
          <w:sz w:val="22"/>
          <w:szCs w:val="22"/>
        </w:rPr>
        <w:t xml:space="preserve"> </w:t>
      </w:r>
      <w:r w:rsidR="00B71128" w:rsidRPr="003E01A4">
        <w:rPr>
          <w:rFonts w:ascii="Century Schoolbook" w:hAnsi="Century Schoolbook"/>
          <w:i/>
          <w:sz w:val="22"/>
          <w:szCs w:val="22"/>
        </w:rPr>
        <w:t>pur non imputabili formalmente al Comune</w:t>
      </w:r>
      <w:r w:rsidR="001F696E" w:rsidRPr="003E01A4">
        <w:rPr>
          <w:rFonts w:ascii="Century Schoolbook" w:hAnsi="Century Schoolbook"/>
          <w:iCs/>
          <w:sz w:val="22"/>
          <w:szCs w:val="22"/>
        </w:rPr>
        <w:t>,</w:t>
      </w:r>
      <w:r w:rsidR="00B71128" w:rsidRPr="003E01A4">
        <w:rPr>
          <w:rFonts w:ascii="Century Schoolbook" w:hAnsi="Century Schoolbook"/>
          <w:i/>
          <w:sz w:val="22"/>
          <w:szCs w:val="22"/>
        </w:rPr>
        <w:t xml:space="preserve"> </w:t>
      </w:r>
      <w:r w:rsidR="00B71128" w:rsidRPr="003E01A4">
        <w:rPr>
          <w:rFonts w:ascii="Century Schoolbook" w:hAnsi="Century Schoolbook"/>
          <w:sz w:val="22"/>
          <w:szCs w:val="22"/>
        </w:rPr>
        <w:t>ne interessino comunque il relativo territorio: ne</w:t>
      </w:r>
      <w:r w:rsidR="001F04BE" w:rsidRPr="003E01A4">
        <w:rPr>
          <w:rFonts w:ascii="Century Schoolbook" w:hAnsi="Century Schoolbook"/>
          <w:sz w:val="22"/>
          <w:szCs w:val="22"/>
        </w:rPr>
        <w:t>i casi</w:t>
      </w:r>
      <w:r w:rsidR="00B71128" w:rsidRPr="003E01A4">
        <w:rPr>
          <w:rFonts w:ascii="Century Schoolbook" w:hAnsi="Century Schoolbook"/>
          <w:sz w:val="22"/>
          <w:szCs w:val="22"/>
        </w:rPr>
        <w:t xml:space="preserve"> ricordat</w:t>
      </w:r>
      <w:r w:rsidR="001F04BE" w:rsidRPr="003E01A4">
        <w:rPr>
          <w:rFonts w:ascii="Century Schoolbook" w:hAnsi="Century Schoolbook"/>
          <w:sz w:val="22"/>
          <w:szCs w:val="22"/>
        </w:rPr>
        <w:t>i</w:t>
      </w:r>
      <w:r w:rsidR="00B71128" w:rsidRPr="003E01A4">
        <w:rPr>
          <w:rFonts w:ascii="Century Schoolbook" w:hAnsi="Century Schoolbook"/>
          <w:sz w:val="22"/>
          <w:szCs w:val="22"/>
        </w:rPr>
        <w:t>, infatti, venivano in rilievo o specifici progetti regionali</w:t>
      </w:r>
      <w:r w:rsidR="00B71128" w:rsidRPr="003E01A4">
        <w:rPr>
          <w:rStyle w:val="Rimandonotaapidipagina"/>
          <w:rFonts w:ascii="Century Schoolbook" w:hAnsi="Century Schoolbook"/>
          <w:sz w:val="22"/>
          <w:szCs w:val="22"/>
        </w:rPr>
        <w:footnoteReference w:id="16"/>
      </w:r>
      <w:r w:rsidR="00B71128" w:rsidRPr="003E01A4">
        <w:rPr>
          <w:rFonts w:ascii="Century Schoolbook" w:hAnsi="Century Schoolbook"/>
          <w:sz w:val="22"/>
          <w:szCs w:val="22"/>
        </w:rPr>
        <w:t xml:space="preserve">, ovvero previsioni pianificatorie di livello </w:t>
      </w:r>
      <w:r w:rsidR="00B71128" w:rsidRPr="003E01A4">
        <w:rPr>
          <w:rFonts w:ascii="Century Schoolbook" w:hAnsi="Century Schoolbook"/>
          <w:color w:val="000000" w:themeColor="text1"/>
          <w:sz w:val="22"/>
          <w:szCs w:val="22"/>
        </w:rPr>
        <w:t>sovracomunale</w:t>
      </w:r>
      <w:r w:rsidR="00B71128" w:rsidRPr="003E01A4">
        <w:rPr>
          <w:rStyle w:val="Rimandonotaapidipagina"/>
          <w:rFonts w:ascii="Century Schoolbook" w:hAnsi="Century Schoolbook"/>
          <w:color w:val="000000" w:themeColor="text1"/>
          <w:sz w:val="22"/>
          <w:szCs w:val="22"/>
        </w:rPr>
        <w:footnoteReference w:id="17"/>
      </w:r>
      <w:r w:rsidR="00B71128" w:rsidRPr="003E01A4">
        <w:rPr>
          <w:rFonts w:ascii="Century Schoolbook" w:hAnsi="Century Schoolbook"/>
          <w:sz w:val="22"/>
          <w:szCs w:val="22"/>
        </w:rPr>
        <w:t>.</w:t>
      </w:r>
    </w:p>
    <w:p w14:paraId="5199F643" w14:textId="227C7AC9" w:rsidR="00B71128" w:rsidRPr="003E01A4" w:rsidRDefault="006F3581"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Per altro verso</w:t>
      </w:r>
      <w:r w:rsidR="001F696E" w:rsidRPr="003E01A4">
        <w:rPr>
          <w:rFonts w:ascii="Century Schoolbook" w:hAnsi="Century Schoolbook"/>
          <w:sz w:val="22"/>
          <w:szCs w:val="22"/>
        </w:rPr>
        <w:t xml:space="preserve">, </w:t>
      </w:r>
      <w:r w:rsidR="00C33CC7" w:rsidRPr="003E01A4">
        <w:rPr>
          <w:rFonts w:ascii="Century Schoolbook" w:hAnsi="Century Schoolbook"/>
          <w:sz w:val="22"/>
          <w:szCs w:val="22"/>
        </w:rPr>
        <w:t xml:space="preserve">tuttavia, </w:t>
      </w:r>
      <w:r w:rsidR="00B71128" w:rsidRPr="003E01A4">
        <w:rPr>
          <w:rFonts w:ascii="Century Schoolbook" w:hAnsi="Century Schoolbook"/>
          <w:sz w:val="22"/>
          <w:szCs w:val="22"/>
        </w:rPr>
        <w:t xml:space="preserve">la Corte </w:t>
      </w:r>
      <w:r w:rsidR="001F696E" w:rsidRPr="003E01A4">
        <w:rPr>
          <w:rFonts w:ascii="Century Schoolbook" w:hAnsi="Century Schoolbook"/>
          <w:sz w:val="22"/>
          <w:szCs w:val="22"/>
        </w:rPr>
        <w:t>ha</w:t>
      </w:r>
      <w:r w:rsidR="00394099" w:rsidRPr="003E01A4">
        <w:rPr>
          <w:rFonts w:ascii="Century Schoolbook" w:hAnsi="Century Schoolbook"/>
          <w:sz w:val="22"/>
          <w:szCs w:val="22"/>
        </w:rPr>
        <w:t xml:space="preserve"> </w:t>
      </w:r>
      <w:r w:rsidR="00B71128" w:rsidRPr="003E01A4">
        <w:rPr>
          <w:rFonts w:ascii="Century Schoolbook" w:hAnsi="Century Schoolbook"/>
          <w:sz w:val="22"/>
          <w:szCs w:val="22"/>
        </w:rPr>
        <w:t>evidenzia</w:t>
      </w:r>
      <w:r w:rsidR="001F696E" w:rsidRPr="003E01A4">
        <w:rPr>
          <w:rFonts w:ascii="Century Schoolbook" w:hAnsi="Century Schoolbook"/>
          <w:sz w:val="22"/>
          <w:szCs w:val="22"/>
        </w:rPr>
        <w:t>to</w:t>
      </w:r>
      <w:r w:rsidR="00B71128" w:rsidRPr="003E01A4">
        <w:rPr>
          <w:rFonts w:ascii="Century Schoolbook" w:hAnsi="Century Schoolbook"/>
          <w:sz w:val="22"/>
          <w:szCs w:val="22"/>
        </w:rPr>
        <w:t xml:space="preserve"> la centralità del ruolo regionale nei processi di governo del territorio.</w:t>
      </w:r>
    </w:p>
    <w:p w14:paraId="6F5B1379" w14:textId="659433EA" w:rsidR="005016F7" w:rsidRPr="003E01A4" w:rsidRDefault="00B71128"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La Consulta, infatti, ha preliminarmente attribuito rilevanza proprio alla natura sovracomunale del livello di pianificazione preso in considerazione al fine di trarne conseguenze </w:t>
      </w:r>
      <w:r w:rsidR="00DA79D5" w:rsidRPr="003E01A4">
        <w:rPr>
          <w:rFonts w:ascii="Century Schoolbook" w:hAnsi="Century Schoolbook"/>
          <w:sz w:val="22"/>
          <w:szCs w:val="22"/>
        </w:rPr>
        <w:t>validanti un</w:t>
      </w:r>
      <w:r w:rsidRPr="003E01A4">
        <w:rPr>
          <w:rFonts w:ascii="Century Schoolbook" w:hAnsi="Century Schoolbook"/>
          <w:sz w:val="22"/>
          <w:szCs w:val="22"/>
        </w:rPr>
        <w:t xml:space="preserve"> più esiguo spessore della pretesa </w:t>
      </w:r>
      <w:r w:rsidR="00DA79D5" w:rsidRPr="003E01A4">
        <w:rPr>
          <w:rFonts w:ascii="Century Schoolbook" w:hAnsi="Century Schoolbook"/>
          <w:i/>
          <w:iCs/>
          <w:sz w:val="22"/>
          <w:szCs w:val="22"/>
        </w:rPr>
        <w:t>lato sensu</w:t>
      </w:r>
      <w:r w:rsidR="00DA79D5" w:rsidRPr="003E01A4">
        <w:rPr>
          <w:rFonts w:ascii="Century Schoolbook" w:hAnsi="Century Schoolbook"/>
          <w:sz w:val="22"/>
          <w:szCs w:val="22"/>
        </w:rPr>
        <w:t xml:space="preserve"> </w:t>
      </w:r>
      <w:r w:rsidRPr="003E01A4">
        <w:rPr>
          <w:rFonts w:ascii="Century Schoolbook" w:hAnsi="Century Schoolbook"/>
          <w:sz w:val="22"/>
          <w:szCs w:val="22"/>
        </w:rPr>
        <w:t>partecipativa riconoscibile al Comune</w:t>
      </w:r>
      <w:r w:rsidR="001F696E" w:rsidRPr="003E01A4">
        <w:rPr>
          <w:rStyle w:val="Rimandonotaapidipagina"/>
          <w:rFonts w:ascii="Century Schoolbook" w:hAnsi="Century Schoolbook"/>
          <w:sz w:val="22"/>
          <w:szCs w:val="22"/>
        </w:rPr>
        <w:footnoteReference w:id="18"/>
      </w:r>
      <w:r w:rsidRPr="003E01A4">
        <w:rPr>
          <w:rFonts w:ascii="Century Schoolbook" w:hAnsi="Century Schoolbook"/>
          <w:sz w:val="22"/>
          <w:szCs w:val="22"/>
        </w:rPr>
        <w:t>.</w:t>
      </w:r>
      <w:r w:rsidR="00C86EBB" w:rsidRPr="003E01A4">
        <w:rPr>
          <w:rFonts w:ascii="Century Schoolbook" w:hAnsi="Century Schoolbook"/>
          <w:sz w:val="22"/>
          <w:szCs w:val="22"/>
        </w:rPr>
        <w:t xml:space="preserve"> </w:t>
      </w:r>
      <w:r w:rsidRPr="003E01A4">
        <w:rPr>
          <w:rFonts w:ascii="Century Schoolbook" w:hAnsi="Century Schoolbook"/>
          <w:sz w:val="22"/>
          <w:szCs w:val="22"/>
        </w:rPr>
        <w:t xml:space="preserve">In tal caso, ad avviso della Corte </w:t>
      </w:r>
      <w:r w:rsidR="00DA79D5" w:rsidRPr="003E01A4">
        <w:rPr>
          <w:rFonts w:ascii="Century Schoolbook" w:hAnsi="Century Schoolbook"/>
          <w:sz w:val="22"/>
          <w:szCs w:val="22"/>
        </w:rPr>
        <w:t>l’</w:t>
      </w:r>
      <w:r w:rsidR="00DA79D5" w:rsidRPr="003E01A4">
        <w:rPr>
          <w:rFonts w:ascii="Century Schoolbook" w:hAnsi="Century Schoolbook"/>
          <w:i/>
          <w:iCs/>
          <w:sz w:val="22"/>
          <w:szCs w:val="22"/>
        </w:rPr>
        <w:t>ordo decisionis</w:t>
      </w:r>
      <w:r w:rsidR="00DA79D5" w:rsidRPr="003E01A4">
        <w:rPr>
          <w:rFonts w:ascii="Century Schoolbook" w:hAnsi="Century Schoolbook"/>
          <w:sz w:val="22"/>
          <w:szCs w:val="22"/>
        </w:rPr>
        <w:t xml:space="preserve"> </w:t>
      </w:r>
      <w:r w:rsidRPr="003E01A4">
        <w:rPr>
          <w:rFonts w:ascii="Century Schoolbook" w:hAnsi="Century Schoolbook"/>
          <w:sz w:val="22"/>
          <w:szCs w:val="22"/>
        </w:rPr>
        <w:t>non dev</w:t>
      </w:r>
      <w:r w:rsidR="001F696E" w:rsidRPr="003E01A4">
        <w:rPr>
          <w:rFonts w:ascii="Century Schoolbook" w:hAnsi="Century Schoolbook"/>
          <w:sz w:val="22"/>
          <w:szCs w:val="22"/>
        </w:rPr>
        <w:t>e</w:t>
      </w:r>
      <w:r w:rsidRPr="003E01A4">
        <w:rPr>
          <w:rFonts w:ascii="Century Schoolbook" w:hAnsi="Century Schoolbook"/>
          <w:sz w:val="22"/>
          <w:szCs w:val="22"/>
        </w:rPr>
        <w:t xml:space="preserve"> </w:t>
      </w:r>
      <w:r w:rsidR="00DA79D5" w:rsidRPr="003E01A4">
        <w:rPr>
          <w:rFonts w:ascii="Century Schoolbook" w:hAnsi="Century Schoolbook"/>
          <w:sz w:val="22"/>
          <w:szCs w:val="22"/>
        </w:rPr>
        <w:t xml:space="preserve">per forza </w:t>
      </w:r>
      <w:r w:rsidRPr="003E01A4">
        <w:rPr>
          <w:rFonts w:ascii="Century Schoolbook" w:hAnsi="Century Schoolbook"/>
          <w:sz w:val="22"/>
          <w:szCs w:val="22"/>
        </w:rPr>
        <w:t>conformarsi allo schema tipizzato dall’art. 10, comma</w:t>
      </w:r>
      <w:r w:rsidR="00CC10E0" w:rsidRPr="003E01A4">
        <w:rPr>
          <w:rFonts w:ascii="Century Schoolbook" w:hAnsi="Century Schoolbook"/>
          <w:sz w:val="22"/>
          <w:szCs w:val="22"/>
        </w:rPr>
        <w:t xml:space="preserve"> 4</w:t>
      </w:r>
      <w:r w:rsidRPr="003E01A4">
        <w:rPr>
          <w:rFonts w:ascii="Century Schoolbook" w:hAnsi="Century Schoolbook"/>
          <w:sz w:val="22"/>
          <w:szCs w:val="22"/>
        </w:rPr>
        <w:t xml:space="preserve">, l. n. 1150/’42 (come modificato dall’art. 3 della legge ponte): il quale è applicabile solo alla pianificazione di livello comunale, </w:t>
      </w:r>
      <w:r w:rsidR="00DA79D5" w:rsidRPr="003E01A4">
        <w:rPr>
          <w:rFonts w:ascii="Century Schoolbook" w:hAnsi="Century Schoolbook"/>
          <w:sz w:val="22"/>
          <w:szCs w:val="22"/>
        </w:rPr>
        <w:t xml:space="preserve">che </w:t>
      </w:r>
      <w:r w:rsidRPr="003E01A4">
        <w:rPr>
          <w:rFonts w:ascii="Century Schoolbook" w:hAnsi="Century Schoolbook"/>
          <w:sz w:val="22"/>
          <w:szCs w:val="22"/>
        </w:rPr>
        <w:t xml:space="preserve">peraltro – si precisa nella </w:t>
      </w:r>
      <w:r w:rsidR="00CC10E0" w:rsidRPr="003E01A4">
        <w:rPr>
          <w:rFonts w:ascii="Century Schoolbook" w:hAnsi="Century Schoolbook"/>
          <w:sz w:val="22"/>
          <w:szCs w:val="22"/>
        </w:rPr>
        <w:t>pronuncia</w:t>
      </w:r>
      <w:r w:rsidRPr="003E01A4">
        <w:rPr>
          <w:rFonts w:ascii="Century Schoolbook" w:hAnsi="Century Schoolbook"/>
          <w:sz w:val="22"/>
          <w:szCs w:val="22"/>
        </w:rPr>
        <w:t xml:space="preserve"> – non può ritenersi </w:t>
      </w:r>
      <w:r w:rsidR="00DA79D5" w:rsidRPr="003E01A4">
        <w:rPr>
          <w:rFonts w:ascii="Century Schoolbook" w:hAnsi="Century Schoolbook"/>
          <w:sz w:val="22"/>
          <w:szCs w:val="22"/>
        </w:rPr>
        <w:t xml:space="preserve">con certezza </w:t>
      </w:r>
      <w:r w:rsidRPr="003E01A4">
        <w:rPr>
          <w:rFonts w:ascii="Century Schoolbook" w:hAnsi="Century Schoolbook"/>
          <w:sz w:val="22"/>
          <w:szCs w:val="22"/>
        </w:rPr>
        <w:t>un principio generale dell’ordinamento</w:t>
      </w:r>
      <w:r w:rsidR="00C86EBB" w:rsidRPr="003E01A4">
        <w:rPr>
          <w:rFonts w:ascii="Century Schoolbook" w:hAnsi="Century Schoolbook"/>
          <w:sz w:val="22"/>
          <w:szCs w:val="22"/>
        </w:rPr>
        <w:t xml:space="preserve">. </w:t>
      </w:r>
      <w:r w:rsidRPr="003E01A4">
        <w:rPr>
          <w:rFonts w:ascii="Century Schoolbook" w:hAnsi="Century Schoolbook"/>
          <w:sz w:val="22"/>
          <w:szCs w:val="22"/>
        </w:rPr>
        <w:t xml:space="preserve">Ferma pertanto – si conclude – anche in queste ipotesi la necessità di garantire la partecipazione </w:t>
      </w:r>
      <w:r w:rsidR="00D20401" w:rsidRPr="003E01A4">
        <w:rPr>
          <w:rFonts w:ascii="Century Schoolbook" w:hAnsi="Century Schoolbook"/>
          <w:sz w:val="22"/>
          <w:szCs w:val="22"/>
        </w:rPr>
        <w:t xml:space="preserve">sostanziale </w:t>
      </w:r>
      <w:r w:rsidRPr="003E01A4">
        <w:rPr>
          <w:rFonts w:ascii="Century Schoolbook" w:hAnsi="Century Schoolbook"/>
          <w:sz w:val="22"/>
          <w:szCs w:val="22"/>
        </w:rPr>
        <w:t xml:space="preserve">del Comune, rientra nella discrezionalità del legislatore </w:t>
      </w:r>
      <w:r w:rsidR="00C86EBB" w:rsidRPr="003E01A4">
        <w:rPr>
          <w:rFonts w:ascii="Century Schoolbook" w:hAnsi="Century Schoolbook"/>
          <w:sz w:val="22"/>
          <w:szCs w:val="22"/>
        </w:rPr>
        <w:t>(</w:t>
      </w:r>
      <w:r w:rsidR="00F57AEB" w:rsidRPr="003E01A4">
        <w:rPr>
          <w:rFonts w:ascii="Century Schoolbook" w:hAnsi="Century Schoolbook"/>
          <w:sz w:val="22"/>
          <w:szCs w:val="22"/>
        </w:rPr>
        <w:t>in quella vicenda</w:t>
      </w:r>
      <w:r w:rsidR="00C86EBB" w:rsidRPr="003E01A4">
        <w:rPr>
          <w:rFonts w:ascii="Century Schoolbook" w:hAnsi="Century Schoolbook"/>
          <w:sz w:val="22"/>
          <w:szCs w:val="22"/>
        </w:rPr>
        <w:t xml:space="preserve">, </w:t>
      </w:r>
      <w:r w:rsidRPr="003E01A4">
        <w:rPr>
          <w:rFonts w:ascii="Century Schoolbook" w:hAnsi="Century Schoolbook"/>
          <w:sz w:val="22"/>
          <w:szCs w:val="22"/>
        </w:rPr>
        <w:t>regionale</w:t>
      </w:r>
      <w:r w:rsidR="00C86EBB" w:rsidRPr="003E01A4">
        <w:rPr>
          <w:rFonts w:ascii="Century Schoolbook" w:hAnsi="Century Schoolbook"/>
          <w:sz w:val="22"/>
          <w:szCs w:val="22"/>
        </w:rPr>
        <w:t>)</w:t>
      </w:r>
      <w:r w:rsidRPr="003E01A4">
        <w:rPr>
          <w:rFonts w:ascii="Century Schoolbook" w:hAnsi="Century Schoolbook"/>
          <w:sz w:val="22"/>
          <w:szCs w:val="22"/>
        </w:rPr>
        <w:t xml:space="preserve"> disciplinare le modalità concrete di quella presenza nel procedimento</w:t>
      </w:r>
      <w:r w:rsidR="006644C6" w:rsidRPr="003E01A4">
        <w:rPr>
          <w:rStyle w:val="Rimandonotaapidipagina"/>
          <w:rFonts w:ascii="Century Schoolbook" w:hAnsi="Century Schoolbook"/>
          <w:sz w:val="22"/>
          <w:szCs w:val="22"/>
        </w:rPr>
        <w:footnoteReference w:id="19"/>
      </w:r>
      <w:r w:rsidR="005016F7" w:rsidRPr="003E01A4">
        <w:rPr>
          <w:rFonts w:ascii="Century Schoolbook" w:hAnsi="Century Schoolbook"/>
          <w:sz w:val="22"/>
          <w:szCs w:val="22"/>
        </w:rPr>
        <w:t>.</w:t>
      </w:r>
    </w:p>
    <w:p w14:paraId="46CAE7F5" w14:textId="6B49AE09" w:rsidR="006644C6" w:rsidRPr="003E01A4" w:rsidRDefault="005016F7"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 Rileva, </w:t>
      </w:r>
      <w:r w:rsidRPr="005D7072">
        <w:rPr>
          <w:rFonts w:ascii="Century Schoolbook" w:hAnsi="Century Schoolbook"/>
          <w:sz w:val="22"/>
          <w:szCs w:val="22"/>
        </w:rPr>
        <w:t>infatti, «la previsione</w:t>
      </w:r>
      <w:r w:rsidRPr="003E01A4">
        <w:rPr>
          <w:rFonts w:ascii="Century Schoolbook" w:hAnsi="Century Schoolbook"/>
          <w:sz w:val="22"/>
          <w:szCs w:val="22"/>
        </w:rPr>
        <w:t xml:space="preserve"> con cui il legislatore statale, nell’esercizio della competenza ad esso esclusivamente attribuita dall’art. 117, secondo comma, lettera p), Cost., ha individuato, “[f]erme restando le funzioni di programmazione e di coordinamento delle regioni, loro spettanti nelle materie di cui all’articolo 117, commi terzo e quarto, della Costituzione”, quali funzioni fondamentali dei Comuni “la pianificazione urbanistica ed edilizia di ambito comunale, nonché la partecipazione alla pianificazione territoriale di livello sovracomunale” (art. 14, comma 27, lettera d, del decreto-legge 31 maggio 2010, n. 78, recante “Misure urgenti in materia di stabilizzazione finanziaria e di competitività economica”, convertito, con modificazioni, nella legge 30 luglio 2010, n. 122). Con tale previsione è stato legislativamente riconosciuto un orientamento costante della giurisprudenza costituzionale, secondo cui </w:t>
      </w:r>
      <w:r w:rsidRPr="003E01A4">
        <w:rPr>
          <w:rFonts w:ascii="Century Schoolbook" w:hAnsi="Century Schoolbook"/>
          <w:i/>
          <w:iCs/>
          <w:sz w:val="22"/>
          <w:szCs w:val="22"/>
        </w:rPr>
        <w:t>quella attinente alla pianificazione urbanistica rappresenta una funzione che non può essere oltre misura compressa dal legislatore regionale</w:t>
      </w:r>
      <w:r w:rsidRPr="003E01A4">
        <w:rPr>
          <w:rFonts w:ascii="Century Schoolbook" w:hAnsi="Century Schoolbook"/>
          <w:sz w:val="22"/>
          <w:szCs w:val="22"/>
        </w:rPr>
        <w:t xml:space="preserve">, perché </w:t>
      </w:r>
      <w:r w:rsidR="005D7072">
        <w:rPr>
          <w:rFonts w:ascii="Century Schoolbook" w:hAnsi="Century Schoolbook"/>
          <w:sz w:val="22"/>
          <w:szCs w:val="22"/>
        </w:rPr>
        <w:t>“</w:t>
      </w:r>
      <w:r w:rsidRPr="003E01A4">
        <w:rPr>
          <w:rFonts w:ascii="Century Schoolbook" w:hAnsi="Century Schoolbook"/>
          <w:sz w:val="22"/>
          <w:szCs w:val="22"/>
        </w:rPr>
        <w:t>il potere dei comuni di autodeterminarsi in ordine all’assetto e alla utilizzazione del proprio territorio non costituisce elargizione che le regioni, attributarie di competenza in materia urbanistica siano libere di compiere</w:t>
      </w:r>
      <w:r w:rsidR="005D7072">
        <w:rPr>
          <w:rFonts w:ascii="Century Schoolbook" w:hAnsi="Century Schoolbook"/>
          <w:sz w:val="22"/>
          <w:szCs w:val="22"/>
        </w:rPr>
        <w:t>”</w:t>
      </w:r>
      <w:r w:rsidRPr="003E01A4">
        <w:rPr>
          <w:rFonts w:ascii="Century Schoolbook" w:hAnsi="Century Schoolbook"/>
          <w:sz w:val="22"/>
          <w:szCs w:val="22"/>
        </w:rPr>
        <w:t xml:space="preserve"> (sentenza n. 378 del 2000) e la suddetta competenza regionale </w:t>
      </w:r>
      <w:r w:rsidR="005D7072">
        <w:rPr>
          <w:rFonts w:ascii="Century Schoolbook" w:hAnsi="Century Schoolbook"/>
          <w:sz w:val="22"/>
          <w:szCs w:val="22"/>
        </w:rPr>
        <w:t>“</w:t>
      </w:r>
      <w:r w:rsidRPr="003E01A4">
        <w:rPr>
          <w:rFonts w:ascii="Century Schoolbook" w:hAnsi="Century Schoolbook"/>
          <w:sz w:val="22"/>
          <w:szCs w:val="22"/>
        </w:rPr>
        <w:t>non può mai essere esercitata in modo che ne risulti vanificata l’autonomia dei comuni</w:t>
      </w:r>
      <w:r w:rsidR="005D7072">
        <w:rPr>
          <w:rFonts w:ascii="Century Schoolbook" w:hAnsi="Century Schoolbook"/>
          <w:sz w:val="22"/>
          <w:szCs w:val="22"/>
        </w:rPr>
        <w:t>”</w:t>
      </w:r>
      <w:r w:rsidRPr="003E01A4">
        <w:rPr>
          <w:rFonts w:ascii="Century Schoolbook" w:hAnsi="Century Schoolbook"/>
          <w:sz w:val="22"/>
          <w:szCs w:val="22"/>
        </w:rPr>
        <w:t xml:space="preserve"> (sentenza n. </w:t>
      </w:r>
      <w:r w:rsidRPr="005D7072">
        <w:rPr>
          <w:rFonts w:ascii="Century Schoolbook" w:hAnsi="Century Schoolbook"/>
          <w:sz w:val="22"/>
          <w:szCs w:val="22"/>
        </w:rPr>
        <w:t>83 del 1997)»</w:t>
      </w:r>
      <w:r w:rsidRPr="005D7072">
        <w:rPr>
          <w:rStyle w:val="Rimandonotaapidipagina"/>
          <w:rFonts w:ascii="Century Schoolbook" w:hAnsi="Century Schoolbook"/>
          <w:sz w:val="22"/>
          <w:szCs w:val="22"/>
        </w:rPr>
        <w:footnoteReference w:id="20"/>
      </w:r>
      <w:r w:rsidR="006644C6" w:rsidRPr="005D7072">
        <w:rPr>
          <w:rFonts w:ascii="Century Schoolbook" w:hAnsi="Century Schoolbook"/>
          <w:sz w:val="22"/>
          <w:szCs w:val="22"/>
        </w:rPr>
        <w:t>.</w:t>
      </w:r>
      <w:r w:rsidRPr="003E01A4">
        <w:rPr>
          <w:rFonts w:ascii="Century Schoolbook" w:hAnsi="Century Schoolbook"/>
          <w:sz w:val="22"/>
          <w:szCs w:val="22"/>
        </w:rPr>
        <w:t xml:space="preserve"> </w:t>
      </w:r>
    </w:p>
    <w:p w14:paraId="71318AAD" w14:textId="52C68B67" w:rsidR="006644C6" w:rsidRPr="003E01A4" w:rsidRDefault="001F696E"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La </w:t>
      </w:r>
      <w:r w:rsidR="006644C6" w:rsidRPr="003E01A4">
        <w:rPr>
          <w:rFonts w:ascii="Century Schoolbook" w:hAnsi="Century Schoolbook"/>
          <w:sz w:val="22"/>
          <w:szCs w:val="22"/>
        </w:rPr>
        <w:t>giurisprudenza costituzionale</w:t>
      </w:r>
      <w:r w:rsidRPr="003E01A4">
        <w:rPr>
          <w:rFonts w:ascii="Century Schoolbook" w:hAnsi="Century Schoolbook"/>
          <w:sz w:val="22"/>
          <w:szCs w:val="22"/>
        </w:rPr>
        <w:t>,</w:t>
      </w:r>
      <w:r w:rsidR="006644C6" w:rsidRPr="003E01A4">
        <w:rPr>
          <w:rFonts w:ascii="Century Schoolbook" w:hAnsi="Century Schoolbook"/>
          <w:sz w:val="22"/>
          <w:szCs w:val="22"/>
        </w:rPr>
        <w:t xml:space="preserve"> in</w:t>
      </w:r>
      <w:r w:rsidR="009207F6" w:rsidRPr="003E01A4">
        <w:rPr>
          <w:rFonts w:ascii="Century Schoolbook" w:hAnsi="Century Schoolbook"/>
          <w:sz w:val="22"/>
          <w:szCs w:val="22"/>
        </w:rPr>
        <w:t xml:space="preserve"> somma, non ritiene che</w:t>
      </w:r>
      <w:r w:rsidR="006644C6" w:rsidRPr="003E01A4">
        <w:rPr>
          <w:rFonts w:ascii="Century Schoolbook" w:hAnsi="Century Schoolbook"/>
          <w:sz w:val="22"/>
          <w:szCs w:val="22"/>
        </w:rPr>
        <w:t xml:space="preserve"> </w:t>
      </w:r>
      <w:r w:rsidR="009207F6" w:rsidRPr="003E01A4">
        <w:rPr>
          <w:rFonts w:ascii="Century Schoolbook" w:hAnsi="Century Schoolbook"/>
          <w:sz w:val="22"/>
          <w:szCs w:val="22"/>
        </w:rPr>
        <w:t xml:space="preserve">il </w:t>
      </w:r>
      <w:r w:rsidR="006644C6" w:rsidRPr="003E01A4">
        <w:rPr>
          <w:rFonts w:ascii="Century Schoolbook" w:hAnsi="Century Schoolbook"/>
          <w:sz w:val="22"/>
          <w:szCs w:val="22"/>
        </w:rPr>
        <w:t>modello d</w:t>
      </w:r>
      <w:r w:rsidR="009207F6" w:rsidRPr="003E01A4">
        <w:rPr>
          <w:rFonts w:ascii="Century Schoolbook" w:hAnsi="Century Schoolbook"/>
          <w:sz w:val="22"/>
          <w:szCs w:val="22"/>
        </w:rPr>
        <w:t>e</w:t>
      </w:r>
      <w:r w:rsidR="006644C6" w:rsidRPr="003E01A4">
        <w:rPr>
          <w:rFonts w:ascii="Century Schoolbook" w:hAnsi="Century Schoolbook"/>
          <w:sz w:val="22"/>
          <w:szCs w:val="22"/>
        </w:rPr>
        <w:t xml:space="preserve">lla legge urbanistica </w:t>
      </w:r>
      <w:r w:rsidR="009207F6" w:rsidRPr="003E01A4">
        <w:rPr>
          <w:rFonts w:ascii="Century Schoolbook" w:hAnsi="Century Schoolbook"/>
          <w:sz w:val="22"/>
          <w:szCs w:val="22"/>
        </w:rPr>
        <w:t>sia l’</w:t>
      </w:r>
      <w:r w:rsidR="006644C6" w:rsidRPr="003E01A4">
        <w:rPr>
          <w:rFonts w:ascii="Century Schoolbook" w:hAnsi="Century Schoolbook"/>
          <w:sz w:val="22"/>
          <w:szCs w:val="22"/>
        </w:rPr>
        <w:t>archetipo di ogni assetto relazionale fra livelli di pianificazione</w:t>
      </w:r>
      <w:r w:rsidR="009207F6" w:rsidRPr="003E01A4">
        <w:rPr>
          <w:rStyle w:val="Rimandonotaapidipagina"/>
          <w:rFonts w:ascii="Century Schoolbook" w:hAnsi="Century Schoolbook"/>
          <w:sz w:val="22"/>
          <w:szCs w:val="22"/>
        </w:rPr>
        <w:footnoteReference w:id="21"/>
      </w:r>
      <w:r w:rsidR="006644C6" w:rsidRPr="003E01A4">
        <w:rPr>
          <w:rFonts w:ascii="Century Schoolbook" w:hAnsi="Century Schoolbook"/>
          <w:sz w:val="22"/>
          <w:szCs w:val="22"/>
        </w:rPr>
        <w:t>.</w:t>
      </w:r>
    </w:p>
    <w:p w14:paraId="53AFCE24" w14:textId="3F1D8191" w:rsidR="006644C6" w:rsidRPr="003E01A4" w:rsidRDefault="006644C6"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La Corte muove, in particolare, da </w:t>
      </w:r>
      <w:r w:rsidR="00CC10E0" w:rsidRPr="003E01A4">
        <w:rPr>
          <w:rFonts w:ascii="Century Schoolbook" w:hAnsi="Century Schoolbook"/>
          <w:sz w:val="22"/>
          <w:szCs w:val="22"/>
        </w:rPr>
        <w:t xml:space="preserve">una </w:t>
      </w:r>
      <w:r w:rsidRPr="003E01A4">
        <w:rPr>
          <w:rFonts w:ascii="Century Schoolbook" w:hAnsi="Century Schoolbook"/>
          <w:sz w:val="22"/>
          <w:szCs w:val="22"/>
        </w:rPr>
        <w:t>considerazione</w:t>
      </w:r>
      <w:r w:rsidR="00CC10E0" w:rsidRPr="003E01A4">
        <w:rPr>
          <w:rFonts w:ascii="Century Schoolbook" w:hAnsi="Century Schoolbook"/>
          <w:sz w:val="22"/>
          <w:szCs w:val="22"/>
        </w:rPr>
        <w:t xml:space="preserve"> importante</w:t>
      </w:r>
      <w:r w:rsidRPr="003E01A4">
        <w:rPr>
          <w:rFonts w:ascii="Century Schoolbook" w:hAnsi="Century Schoolbook"/>
          <w:sz w:val="22"/>
          <w:szCs w:val="22"/>
        </w:rPr>
        <w:t xml:space="preserve">: </w:t>
      </w:r>
      <w:r w:rsidR="009207F6" w:rsidRPr="003E01A4">
        <w:rPr>
          <w:rFonts w:ascii="Century Schoolbook" w:hAnsi="Century Schoolbook"/>
          <w:sz w:val="22"/>
          <w:szCs w:val="22"/>
        </w:rPr>
        <w:t xml:space="preserve">lo schema delineato </w:t>
      </w:r>
      <w:r w:rsidR="00C33CC7" w:rsidRPr="003E01A4">
        <w:rPr>
          <w:rFonts w:ascii="Century Schoolbook" w:hAnsi="Century Schoolbook"/>
          <w:sz w:val="22"/>
          <w:szCs w:val="22"/>
        </w:rPr>
        <w:t xml:space="preserve">da quella legge </w:t>
      </w:r>
      <w:r w:rsidR="00394099" w:rsidRPr="003E01A4">
        <w:rPr>
          <w:rFonts w:ascii="Century Schoolbook" w:hAnsi="Century Schoolbook"/>
          <w:sz w:val="22"/>
          <w:szCs w:val="22"/>
        </w:rPr>
        <w:t xml:space="preserve">nel lontano 1942 </w:t>
      </w:r>
      <w:r w:rsidR="009207F6" w:rsidRPr="003E01A4">
        <w:rPr>
          <w:rFonts w:ascii="Century Schoolbook" w:hAnsi="Century Schoolbook"/>
          <w:sz w:val="22"/>
          <w:szCs w:val="22"/>
        </w:rPr>
        <w:t>è oramai superato, poiché si fondava</w:t>
      </w:r>
      <w:r w:rsidRPr="003E01A4">
        <w:rPr>
          <w:rFonts w:ascii="Century Schoolbook" w:hAnsi="Century Schoolbook"/>
          <w:sz w:val="22"/>
          <w:szCs w:val="22"/>
        </w:rPr>
        <w:t xml:space="preserve"> sul riparto di funzioni fra lo Stato, cui competeva la pianificazione dirett</w:t>
      </w:r>
      <w:r w:rsidR="009207F6" w:rsidRPr="003E01A4">
        <w:rPr>
          <w:rFonts w:ascii="Century Schoolbook" w:hAnsi="Century Schoolbook"/>
          <w:sz w:val="22"/>
          <w:szCs w:val="22"/>
        </w:rPr>
        <w:t>oria</w:t>
      </w:r>
      <w:r w:rsidRPr="003E01A4">
        <w:rPr>
          <w:rFonts w:ascii="Century Schoolbook" w:hAnsi="Century Schoolbook"/>
          <w:sz w:val="22"/>
          <w:szCs w:val="22"/>
        </w:rPr>
        <w:t xml:space="preserve"> </w:t>
      </w:r>
      <w:r w:rsidR="009207F6" w:rsidRPr="003E01A4">
        <w:rPr>
          <w:rFonts w:ascii="Century Schoolbook" w:hAnsi="Century Schoolbook"/>
          <w:sz w:val="22"/>
          <w:szCs w:val="22"/>
        </w:rPr>
        <w:t>(</w:t>
      </w:r>
      <w:r w:rsidRPr="003E01A4">
        <w:rPr>
          <w:rFonts w:ascii="Century Schoolbook" w:hAnsi="Century Schoolbook"/>
          <w:sz w:val="22"/>
          <w:szCs w:val="22"/>
        </w:rPr>
        <w:t xml:space="preserve">efficace soltanto nei confronti delle successive scelte </w:t>
      </w:r>
      <w:r w:rsidR="009207F6" w:rsidRPr="003E01A4">
        <w:rPr>
          <w:rFonts w:ascii="Century Schoolbook" w:hAnsi="Century Schoolbook"/>
          <w:sz w:val="22"/>
          <w:szCs w:val="22"/>
        </w:rPr>
        <w:t>municip</w:t>
      </w:r>
      <w:r w:rsidRPr="003E01A4">
        <w:rPr>
          <w:rFonts w:ascii="Century Schoolbook" w:hAnsi="Century Schoolbook"/>
          <w:sz w:val="22"/>
          <w:szCs w:val="22"/>
        </w:rPr>
        <w:t>ali</w:t>
      </w:r>
      <w:r w:rsidR="009207F6" w:rsidRPr="003E01A4">
        <w:rPr>
          <w:rFonts w:ascii="Century Schoolbook" w:hAnsi="Century Schoolbook"/>
          <w:sz w:val="22"/>
          <w:szCs w:val="22"/>
        </w:rPr>
        <w:t>),</w:t>
      </w:r>
      <w:r w:rsidRPr="003E01A4">
        <w:rPr>
          <w:rFonts w:ascii="Century Schoolbook" w:hAnsi="Century Schoolbook"/>
          <w:sz w:val="22"/>
          <w:szCs w:val="22"/>
        </w:rPr>
        <w:t xml:space="preserve"> e i Comuni, </w:t>
      </w:r>
      <w:r w:rsidR="009207F6" w:rsidRPr="003E01A4">
        <w:rPr>
          <w:rFonts w:ascii="Century Schoolbook" w:hAnsi="Century Schoolbook"/>
          <w:sz w:val="22"/>
          <w:szCs w:val="22"/>
        </w:rPr>
        <w:t>uniche</w:t>
      </w:r>
      <w:r w:rsidRPr="003E01A4">
        <w:rPr>
          <w:rFonts w:ascii="Century Schoolbook" w:hAnsi="Century Schoolbook"/>
          <w:sz w:val="22"/>
          <w:szCs w:val="22"/>
        </w:rPr>
        <w:t xml:space="preserve"> figure soggettive deputate a imprimere effettività conformativa e prescrittiva a</w:t>
      </w:r>
      <w:r w:rsidR="009207F6" w:rsidRPr="003E01A4">
        <w:rPr>
          <w:rFonts w:ascii="Century Schoolbook" w:hAnsi="Century Schoolbook"/>
          <w:sz w:val="22"/>
          <w:szCs w:val="22"/>
        </w:rPr>
        <w:t xml:space="preserve">gli usi del </w:t>
      </w:r>
      <w:r w:rsidRPr="003E01A4">
        <w:rPr>
          <w:rFonts w:ascii="Century Schoolbook" w:hAnsi="Century Schoolbook"/>
          <w:sz w:val="22"/>
          <w:szCs w:val="22"/>
        </w:rPr>
        <w:t>territorio</w:t>
      </w:r>
      <w:r w:rsidRPr="003E01A4">
        <w:rPr>
          <w:rStyle w:val="Rimandonotaapidipagina"/>
          <w:rFonts w:ascii="Century Schoolbook" w:hAnsi="Century Schoolbook"/>
          <w:sz w:val="22"/>
          <w:szCs w:val="22"/>
        </w:rPr>
        <w:footnoteReference w:id="22"/>
      </w:r>
      <w:r w:rsidRPr="003E01A4">
        <w:rPr>
          <w:rFonts w:ascii="Century Schoolbook" w:hAnsi="Century Schoolbook"/>
          <w:sz w:val="22"/>
          <w:szCs w:val="22"/>
        </w:rPr>
        <w:t>.</w:t>
      </w:r>
    </w:p>
    <w:p w14:paraId="598A9CE0" w14:textId="5720EA3D" w:rsidR="006644C6" w:rsidRPr="003E01A4" w:rsidRDefault="00394099"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La</w:t>
      </w:r>
      <w:r w:rsidR="006644C6" w:rsidRPr="003E01A4">
        <w:rPr>
          <w:rFonts w:ascii="Century Schoolbook" w:hAnsi="Century Schoolbook"/>
          <w:sz w:val="22"/>
          <w:szCs w:val="22"/>
        </w:rPr>
        <w:t xml:space="preserve"> «scarsa incisività»</w:t>
      </w:r>
      <w:r w:rsidR="006644C6" w:rsidRPr="003E01A4">
        <w:rPr>
          <w:rStyle w:val="Rimandonotaapidipagina"/>
          <w:rFonts w:ascii="Century Schoolbook" w:hAnsi="Century Schoolbook"/>
          <w:sz w:val="22"/>
          <w:szCs w:val="22"/>
        </w:rPr>
        <w:footnoteReference w:id="23"/>
      </w:r>
      <w:r w:rsidR="006644C6" w:rsidRPr="003E01A4">
        <w:rPr>
          <w:rFonts w:ascii="Century Schoolbook" w:hAnsi="Century Schoolbook"/>
          <w:sz w:val="22"/>
          <w:szCs w:val="22"/>
        </w:rPr>
        <w:t xml:space="preserve"> </w:t>
      </w:r>
      <w:r w:rsidRPr="003E01A4">
        <w:rPr>
          <w:rFonts w:ascii="Century Schoolbook" w:hAnsi="Century Schoolbook"/>
          <w:sz w:val="22"/>
          <w:szCs w:val="22"/>
        </w:rPr>
        <w:t xml:space="preserve">di quel modello </w:t>
      </w:r>
      <w:r w:rsidR="006644C6" w:rsidRPr="003E01A4">
        <w:rPr>
          <w:rFonts w:ascii="Century Schoolbook" w:hAnsi="Century Schoolbook"/>
          <w:sz w:val="22"/>
          <w:szCs w:val="22"/>
        </w:rPr>
        <w:t>ha indirizzato l’ordinamento</w:t>
      </w:r>
      <w:r w:rsidR="004F5C9A" w:rsidRPr="003E01A4">
        <w:rPr>
          <w:rFonts w:ascii="Century Schoolbook" w:hAnsi="Century Schoolbook"/>
          <w:sz w:val="22"/>
          <w:szCs w:val="22"/>
        </w:rPr>
        <w:t xml:space="preserve"> </w:t>
      </w:r>
      <w:r w:rsidR="006644C6" w:rsidRPr="003E01A4">
        <w:rPr>
          <w:rFonts w:ascii="Century Schoolbook" w:hAnsi="Century Schoolbook"/>
          <w:sz w:val="22"/>
          <w:szCs w:val="22"/>
        </w:rPr>
        <w:t xml:space="preserve">non </w:t>
      </w:r>
      <w:r w:rsidR="004F5C9A" w:rsidRPr="003E01A4">
        <w:rPr>
          <w:rFonts w:ascii="Century Schoolbook" w:hAnsi="Century Schoolbook"/>
          <w:sz w:val="22"/>
          <w:szCs w:val="22"/>
        </w:rPr>
        <w:t xml:space="preserve">più verso </w:t>
      </w:r>
      <w:r w:rsidR="006644C6" w:rsidRPr="003E01A4">
        <w:rPr>
          <w:rFonts w:ascii="Century Schoolbook" w:hAnsi="Century Schoolbook"/>
          <w:sz w:val="22"/>
          <w:szCs w:val="22"/>
        </w:rPr>
        <w:t xml:space="preserve">la precostituzione di corrispondenze </w:t>
      </w:r>
      <w:r w:rsidR="00620B2B" w:rsidRPr="003E01A4">
        <w:rPr>
          <w:rFonts w:ascii="Century Schoolbook" w:hAnsi="Century Schoolbook"/>
          <w:sz w:val="22"/>
          <w:szCs w:val="22"/>
        </w:rPr>
        <w:t xml:space="preserve">tendenzialmente </w:t>
      </w:r>
      <w:r w:rsidR="004F5C9A" w:rsidRPr="003E01A4">
        <w:rPr>
          <w:rFonts w:ascii="Century Schoolbook" w:hAnsi="Century Schoolbook"/>
          <w:sz w:val="22"/>
          <w:szCs w:val="22"/>
        </w:rPr>
        <w:t xml:space="preserve">rigide </w:t>
      </w:r>
      <w:r w:rsidR="006644C6" w:rsidRPr="003E01A4">
        <w:rPr>
          <w:rFonts w:ascii="Century Schoolbook" w:hAnsi="Century Schoolbook"/>
          <w:sz w:val="22"/>
          <w:szCs w:val="22"/>
        </w:rPr>
        <w:t xml:space="preserve">fra funzioni e figure soggettive, </w:t>
      </w:r>
      <w:r w:rsidR="000512E1" w:rsidRPr="003E01A4">
        <w:rPr>
          <w:rFonts w:ascii="Century Schoolbook" w:hAnsi="Century Schoolbook"/>
          <w:sz w:val="22"/>
          <w:szCs w:val="22"/>
        </w:rPr>
        <w:t xml:space="preserve">ma </w:t>
      </w:r>
      <w:r w:rsidR="003B408C" w:rsidRPr="003E01A4">
        <w:rPr>
          <w:rFonts w:ascii="Century Schoolbook" w:hAnsi="Century Schoolbook"/>
          <w:sz w:val="22"/>
          <w:szCs w:val="22"/>
        </w:rPr>
        <w:t xml:space="preserve">verso </w:t>
      </w:r>
      <w:r w:rsidR="006644C6" w:rsidRPr="003E01A4">
        <w:rPr>
          <w:rFonts w:ascii="Century Schoolbook" w:hAnsi="Century Schoolbook"/>
          <w:sz w:val="22"/>
          <w:szCs w:val="22"/>
        </w:rPr>
        <w:t xml:space="preserve">la selezione del livello di pianificazione </w:t>
      </w:r>
      <w:r w:rsidR="000512E1" w:rsidRPr="003E01A4">
        <w:rPr>
          <w:rFonts w:ascii="Century Schoolbook" w:hAnsi="Century Schoolbook"/>
          <w:sz w:val="22"/>
          <w:szCs w:val="22"/>
        </w:rPr>
        <w:t xml:space="preserve">– anche in ipotesi di interventi puntuali – </w:t>
      </w:r>
      <w:r w:rsidR="006644C6" w:rsidRPr="003E01A4">
        <w:rPr>
          <w:rFonts w:ascii="Century Schoolbook" w:hAnsi="Century Schoolbook"/>
          <w:sz w:val="22"/>
          <w:szCs w:val="22"/>
        </w:rPr>
        <w:t xml:space="preserve">di volta in volta ritenuto più adeguato e dunque più idoneo alla protezione di specifici assetti territoriali (e </w:t>
      </w:r>
      <w:r w:rsidR="000512E1" w:rsidRPr="003E01A4">
        <w:rPr>
          <w:rFonts w:ascii="Century Schoolbook" w:hAnsi="Century Schoolbook"/>
          <w:sz w:val="22"/>
          <w:szCs w:val="22"/>
        </w:rPr>
        <w:t xml:space="preserve">di obiettivi </w:t>
      </w:r>
      <w:r w:rsidR="006644C6" w:rsidRPr="003E01A4">
        <w:rPr>
          <w:rFonts w:ascii="Century Schoolbook" w:hAnsi="Century Schoolbook"/>
          <w:sz w:val="22"/>
          <w:szCs w:val="22"/>
        </w:rPr>
        <w:t>ambientali)</w:t>
      </w:r>
      <w:r w:rsidR="006913BD" w:rsidRPr="003E01A4">
        <w:rPr>
          <w:rFonts w:ascii="Century Schoolbook" w:hAnsi="Century Schoolbook"/>
          <w:sz w:val="22"/>
          <w:szCs w:val="22"/>
        </w:rPr>
        <w:t xml:space="preserve">. </w:t>
      </w:r>
      <w:r w:rsidR="006644C6" w:rsidRPr="003E01A4">
        <w:rPr>
          <w:rFonts w:ascii="Century Schoolbook" w:hAnsi="Century Schoolbook"/>
          <w:sz w:val="22"/>
          <w:szCs w:val="22"/>
        </w:rPr>
        <w:t>Ne deriva, in questa impostazione</w:t>
      </w:r>
      <w:r w:rsidR="0025609C" w:rsidRPr="003E01A4">
        <w:rPr>
          <w:rFonts w:ascii="Century Schoolbook" w:hAnsi="Century Schoolbook"/>
          <w:sz w:val="22"/>
          <w:szCs w:val="22"/>
        </w:rPr>
        <w:t xml:space="preserve"> condivi</w:t>
      </w:r>
      <w:r w:rsidR="00605E3F" w:rsidRPr="003E01A4">
        <w:rPr>
          <w:rFonts w:ascii="Century Schoolbook" w:hAnsi="Century Schoolbook"/>
          <w:sz w:val="22"/>
          <w:szCs w:val="22"/>
        </w:rPr>
        <w:t>sibile</w:t>
      </w:r>
      <w:r w:rsidR="006644C6" w:rsidRPr="003E01A4">
        <w:rPr>
          <w:rFonts w:ascii="Century Schoolbook" w:hAnsi="Century Schoolbook"/>
          <w:sz w:val="22"/>
          <w:szCs w:val="22"/>
        </w:rPr>
        <w:t xml:space="preserve">, la necessità di conformare il principio autonomistico </w:t>
      </w:r>
      <w:r w:rsidR="000512E1" w:rsidRPr="003E01A4">
        <w:rPr>
          <w:rFonts w:ascii="Century Schoolbook" w:hAnsi="Century Schoolbook"/>
          <w:sz w:val="22"/>
          <w:szCs w:val="22"/>
        </w:rPr>
        <w:t xml:space="preserve">in funzione </w:t>
      </w:r>
      <w:r w:rsidR="006644C6" w:rsidRPr="003E01A4">
        <w:rPr>
          <w:rFonts w:ascii="Century Schoolbook" w:hAnsi="Century Schoolbook"/>
          <w:sz w:val="22"/>
          <w:szCs w:val="22"/>
        </w:rPr>
        <w:t xml:space="preserve">«di concorrenti interessi generali, collegati ad una valutazione più ampia delle esigenze diffuse nel territorio», i quali «esigono previsioni programmatiche (ma anche precettive) estese ad un ambito territoriale più vasto ed anche </w:t>
      </w:r>
      <w:r w:rsidR="006644C6" w:rsidRPr="003E01A4">
        <w:rPr>
          <w:rFonts w:ascii="Century Schoolbook" w:hAnsi="Century Schoolbook"/>
          <w:i/>
          <w:sz w:val="22"/>
          <w:szCs w:val="22"/>
        </w:rPr>
        <w:t>con maggior rigore e con maggiore efficienza rispetto alla valutazione di ambito comunale</w:t>
      </w:r>
      <w:r w:rsidR="00620B2B" w:rsidRPr="003E01A4">
        <w:rPr>
          <w:rFonts w:ascii="Century Schoolbook" w:hAnsi="Century Schoolbook"/>
          <w:iCs/>
          <w:sz w:val="22"/>
          <w:szCs w:val="22"/>
        </w:rPr>
        <w:t>»</w:t>
      </w:r>
      <w:r w:rsidR="006644C6" w:rsidRPr="003E01A4">
        <w:rPr>
          <w:rFonts w:ascii="Century Schoolbook" w:hAnsi="Century Schoolbook"/>
          <w:sz w:val="22"/>
          <w:szCs w:val="22"/>
        </w:rPr>
        <w:t xml:space="preserve">: di qui, poi, la legittimità dell’«emanazione di disposizioni legislative (statali e regionali) che vengano ad incidere su funzioni assegnate agli </w:t>
      </w:r>
      <w:r w:rsidR="00620B2B" w:rsidRPr="003E01A4">
        <w:rPr>
          <w:rFonts w:ascii="Century Schoolbook" w:hAnsi="Century Schoolbook"/>
          <w:sz w:val="22"/>
          <w:szCs w:val="22"/>
        </w:rPr>
        <w:t>e</w:t>
      </w:r>
      <w:r w:rsidR="006644C6" w:rsidRPr="003E01A4">
        <w:rPr>
          <w:rFonts w:ascii="Century Schoolbook" w:hAnsi="Century Schoolbook"/>
          <w:sz w:val="22"/>
          <w:szCs w:val="22"/>
        </w:rPr>
        <w:t>nti locali»</w:t>
      </w:r>
      <w:r w:rsidR="006644C6" w:rsidRPr="003E01A4">
        <w:rPr>
          <w:rStyle w:val="Rimandonotaapidipagina"/>
          <w:rFonts w:ascii="Century Schoolbook" w:hAnsi="Century Schoolbook"/>
          <w:sz w:val="22"/>
          <w:szCs w:val="22"/>
        </w:rPr>
        <w:footnoteReference w:id="24"/>
      </w:r>
      <w:r w:rsidR="006644C6" w:rsidRPr="003E01A4">
        <w:rPr>
          <w:rFonts w:ascii="Century Schoolbook" w:hAnsi="Century Schoolbook"/>
          <w:sz w:val="22"/>
          <w:szCs w:val="22"/>
        </w:rPr>
        <w:t>.</w:t>
      </w:r>
    </w:p>
    <w:p w14:paraId="13E6A1A6" w14:textId="489F26BD" w:rsidR="00B13BA3" w:rsidRPr="003E01A4" w:rsidRDefault="00BA74A3"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Non credo che il mio pensiero distorca la traiettoria seguita dalla Consulta: non vi trovo infatti un vieto prossimalismo</w:t>
      </w:r>
      <w:r w:rsidRPr="003E01A4">
        <w:rPr>
          <w:rStyle w:val="Rimandonotaapidipagina"/>
          <w:rFonts w:ascii="Century Schoolbook" w:hAnsi="Century Schoolbook"/>
          <w:sz w:val="22"/>
          <w:szCs w:val="22"/>
        </w:rPr>
        <w:footnoteReference w:id="25"/>
      </w:r>
      <w:r w:rsidR="00C81507" w:rsidRPr="003E01A4">
        <w:rPr>
          <w:rFonts w:ascii="Century Schoolbook" w:hAnsi="Century Schoolbook"/>
          <w:sz w:val="22"/>
          <w:szCs w:val="22"/>
        </w:rPr>
        <w:t xml:space="preserve"> filomunicipale</w:t>
      </w:r>
      <w:r w:rsidR="008E44BE" w:rsidRPr="003E01A4">
        <w:rPr>
          <w:rFonts w:ascii="Century Schoolbook" w:hAnsi="Century Schoolbook"/>
          <w:sz w:val="22"/>
          <w:szCs w:val="22"/>
        </w:rPr>
        <w:t>; se</w:t>
      </w:r>
      <w:r w:rsidR="00AD79DD" w:rsidRPr="003E01A4">
        <w:rPr>
          <w:rFonts w:ascii="Century Schoolbook" w:hAnsi="Century Schoolbook"/>
          <w:sz w:val="22"/>
          <w:szCs w:val="22"/>
        </w:rPr>
        <w:t xml:space="preserve"> </w:t>
      </w:r>
      <w:r w:rsidR="008E44BE" w:rsidRPr="003E01A4">
        <w:rPr>
          <w:rFonts w:ascii="Century Schoolbook" w:hAnsi="Century Schoolbook"/>
          <w:sz w:val="22"/>
          <w:szCs w:val="22"/>
        </w:rPr>
        <w:t>mai il suo contrario, pur nel quadro di</w:t>
      </w:r>
      <w:r w:rsidR="00B13BA3" w:rsidRPr="003E01A4">
        <w:rPr>
          <w:rFonts w:ascii="Century Schoolbook" w:hAnsi="Century Schoolbook"/>
          <w:sz w:val="22"/>
          <w:szCs w:val="22"/>
        </w:rPr>
        <w:t xml:space="preserve"> </w:t>
      </w:r>
      <w:r w:rsidR="00C81507" w:rsidRPr="003E01A4">
        <w:rPr>
          <w:rFonts w:ascii="Century Schoolbook" w:hAnsi="Century Schoolbook"/>
          <w:sz w:val="22"/>
          <w:szCs w:val="22"/>
        </w:rPr>
        <w:t xml:space="preserve">una ricerca sensibile </w:t>
      </w:r>
      <w:r w:rsidR="009E361D" w:rsidRPr="003E01A4">
        <w:rPr>
          <w:rFonts w:ascii="Century Schoolbook" w:hAnsi="Century Schoolbook"/>
          <w:sz w:val="22"/>
          <w:szCs w:val="22"/>
        </w:rPr>
        <w:t xml:space="preserve">a favore </w:t>
      </w:r>
      <w:r w:rsidR="00C81507" w:rsidRPr="003E01A4">
        <w:rPr>
          <w:rFonts w:ascii="Century Schoolbook" w:hAnsi="Century Schoolbook"/>
          <w:sz w:val="22"/>
          <w:szCs w:val="22"/>
        </w:rPr>
        <w:t xml:space="preserve">di equilibri </w:t>
      </w:r>
      <w:r w:rsidR="00B13BA3" w:rsidRPr="003E01A4">
        <w:rPr>
          <w:rFonts w:ascii="Century Schoolbook" w:hAnsi="Century Schoolbook"/>
          <w:sz w:val="22"/>
          <w:szCs w:val="22"/>
        </w:rPr>
        <w:t xml:space="preserve">non irrigiditi in schemi lontani dalla realtà e </w:t>
      </w:r>
      <w:r w:rsidR="00C81507" w:rsidRPr="003E01A4">
        <w:rPr>
          <w:rFonts w:ascii="Century Schoolbook" w:hAnsi="Century Schoolbook"/>
          <w:sz w:val="22"/>
          <w:szCs w:val="22"/>
        </w:rPr>
        <w:t>dinamic</w:t>
      </w:r>
      <w:r w:rsidR="00B13BA3" w:rsidRPr="003E01A4">
        <w:rPr>
          <w:rFonts w:ascii="Century Schoolbook" w:hAnsi="Century Schoolbook"/>
          <w:sz w:val="22"/>
          <w:szCs w:val="22"/>
        </w:rPr>
        <w:t>amente protesi verso l’effettività funzionale di un modello concreto.</w:t>
      </w:r>
    </w:p>
    <w:p w14:paraId="577270C5" w14:textId="10EB2A08" w:rsidR="00B13BA3" w:rsidRPr="003E01A4" w:rsidRDefault="00B13BA3"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Ne è un buon esempio – anzi una </w:t>
      </w:r>
      <w:r w:rsidRPr="003E01A4">
        <w:rPr>
          <w:rFonts w:ascii="Century Schoolbook" w:hAnsi="Century Schoolbook"/>
          <w:i/>
          <w:iCs/>
          <w:sz w:val="22"/>
          <w:szCs w:val="22"/>
        </w:rPr>
        <w:t>summa</w:t>
      </w:r>
      <w:r w:rsidRPr="003E01A4">
        <w:rPr>
          <w:rFonts w:ascii="Century Schoolbook" w:hAnsi="Century Schoolbook"/>
          <w:sz w:val="22"/>
          <w:szCs w:val="22"/>
        </w:rPr>
        <w:t xml:space="preserve"> – C. cost. 16 luglio 2019, n. 179.</w:t>
      </w:r>
    </w:p>
    <w:p w14:paraId="66A291B3" w14:textId="10B5A7F7" w:rsidR="006D4CDA" w:rsidRPr="003E01A4" w:rsidRDefault="00B13BA3"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La Consulta non disconosce certo il ruolo dei Comuni nel governo del territorio</w:t>
      </w:r>
      <w:r w:rsidR="009F5309" w:rsidRPr="003E01A4">
        <w:rPr>
          <w:rFonts w:ascii="Century Schoolbook" w:hAnsi="Century Schoolbook"/>
          <w:sz w:val="22"/>
          <w:szCs w:val="22"/>
        </w:rPr>
        <w:t>: «la funzione di pianificazione urbanistica, infatti, come giustamente rileva il giudice rimettente</w:t>
      </w:r>
      <w:r w:rsidR="009F5309" w:rsidRPr="003E01A4">
        <w:rPr>
          <w:rStyle w:val="Rimandonotaapidipagina"/>
          <w:rFonts w:ascii="Century Schoolbook" w:hAnsi="Century Schoolbook"/>
          <w:sz w:val="22"/>
          <w:szCs w:val="22"/>
        </w:rPr>
        <w:footnoteReference w:id="26"/>
      </w:r>
      <w:r w:rsidR="009F5309" w:rsidRPr="003E01A4">
        <w:rPr>
          <w:rFonts w:ascii="Century Schoolbook" w:hAnsi="Century Schoolbook"/>
          <w:sz w:val="22"/>
          <w:szCs w:val="22"/>
        </w:rPr>
        <w:t>, nel nostro ordinamento è stata tradizionalmente rimessa all’autonomia dei Comuni fin dalla legge 25 giugno 1865, n. 2359 (Sulle espropriazioni per causa di utilità pubblica). Tutta la complessa evoluzione che ha condotto allo sviluppo dell’ordinamento regionale ordinario, a una più ampia concezione di urbanistica e quindi alla consapevolezza della necessità di una pianificazione sovracomunale, non ha travolto questo presupposto di fondo</w:t>
      </w:r>
      <w:r w:rsidR="00280DF0" w:rsidRPr="003E01A4">
        <w:rPr>
          <w:rFonts w:ascii="Century Schoolbook" w:hAnsi="Century Schoolbook"/>
          <w:sz w:val="22"/>
          <w:szCs w:val="22"/>
        </w:rPr>
        <w:t xml:space="preserve">. […] Il legislatore statale ha quindi sottratto allo specifico potere regionale di allocazione ai sensi dell’art. 118, secondo comma, Cost., la funzione di pianificazione comunale, stabilendo che questa rimanga assegnata, </w:t>
      </w:r>
      <w:r w:rsidR="00280DF0" w:rsidRPr="003E01A4">
        <w:rPr>
          <w:rFonts w:ascii="Century Schoolbook" w:hAnsi="Century Schoolbook"/>
          <w:i/>
          <w:iCs/>
          <w:sz w:val="22"/>
          <w:szCs w:val="22"/>
        </w:rPr>
        <w:t>in linea di massima</w:t>
      </w:r>
      <w:r w:rsidR="00280DF0" w:rsidRPr="003E01A4">
        <w:rPr>
          <w:rFonts w:ascii="Century Schoolbook" w:hAnsi="Century Schoolbook"/>
          <w:sz w:val="22"/>
          <w:szCs w:val="22"/>
        </w:rPr>
        <w:t xml:space="preserve">, al livello dell’ente più vicino al cittadino, in cui storicamente essa si è radicata come funzione propria, e l’ha riconosciuta come parte integrante della dotazione tipica e caratterizzante dell’ente locale. Ha così stabilito un regime giuridico comune sottratto, </w:t>
      </w:r>
      <w:r w:rsidR="00280DF0" w:rsidRPr="003E01A4">
        <w:rPr>
          <w:rFonts w:ascii="Century Schoolbook" w:hAnsi="Century Schoolbook"/>
          <w:i/>
          <w:iCs/>
          <w:sz w:val="22"/>
          <w:szCs w:val="22"/>
        </w:rPr>
        <w:t>per questo aspetto e salvo quanto si dirà in seguito</w:t>
      </w:r>
      <w:r w:rsidR="00B725F2" w:rsidRPr="003E01A4">
        <w:rPr>
          <w:rStyle w:val="Rimandonotaapidipagina"/>
          <w:rFonts w:ascii="Century Schoolbook" w:hAnsi="Century Schoolbook"/>
          <w:sz w:val="22"/>
          <w:szCs w:val="22"/>
        </w:rPr>
        <w:footnoteReference w:id="27"/>
      </w:r>
      <w:r w:rsidR="00280DF0" w:rsidRPr="003E01A4">
        <w:rPr>
          <w:rFonts w:ascii="Century Schoolbook" w:hAnsi="Century Schoolbook"/>
          <w:sz w:val="22"/>
          <w:szCs w:val="22"/>
        </w:rPr>
        <w:t>, alle potenzialità di differenziazione insite nella potestà allocativa delle Regioni nelle materie di loro competenza</w:t>
      </w:r>
      <w:r w:rsidR="009F5309" w:rsidRPr="003E01A4">
        <w:rPr>
          <w:rFonts w:ascii="Century Schoolbook" w:hAnsi="Century Schoolbook"/>
          <w:sz w:val="22"/>
          <w:szCs w:val="22"/>
        </w:rPr>
        <w:t>».</w:t>
      </w:r>
    </w:p>
    <w:p w14:paraId="150F7049" w14:textId="397F07F7" w:rsidR="009F5309" w:rsidRPr="003E01A4" w:rsidRDefault="00B725F2"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Subito il contrappasso, però: «se quindi la funzione di pianificazione comunale rientra in quel nucleo di funzioni amministrative intimamente connesso al riconoscimento del principio dell’autonomia comunale, ciò non comporta, tuttavia, che la legge regionale non possa intervenire a disciplinarla, anche in relazione agli ambiti territoriali di riferimento, e financo a conformarla in nome della verifica e della protezione di concorrenti interessi generali collegati a una valutazione più ampia delle esigenze diffuse sul territorio (sentenza n. 378 del 2000). Anche dopo l’approvazione della riforma del Titolo V della Costituzione, infatti, questa Corte ha ribadito, con riguardo all’autonomia dei Comuni, che </w:t>
      </w:r>
      <w:r w:rsidR="005D56EA" w:rsidRPr="003E01A4">
        <w:rPr>
          <w:rFonts w:ascii="Century Schoolbook" w:hAnsi="Century Schoolbook"/>
          <w:sz w:val="22"/>
          <w:szCs w:val="22"/>
        </w:rPr>
        <w:t>“</w:t>
      </w:r>
      <w:r w:rsidRPr="003E01A4">
        <w:rPr>
          <w:rFonts w:ascii="Century Schoolbook" w:hAnsi="Century Schoolbook"/>
          <w:sz w:val="22"/>
          <w:szCs w:val="22"/>
        </w:rPr>
        <w:t>essa non implica una riserva intangibile di funzioni, né esclude che il legislatore competente possa modulare gli spazi dell’autonomia municipale a fronte di esigenze generali che giustifichino ragionevolmente la limitazione di funzioni già assegnate agli enti locali</w:t>
      </w:r>
      <w:r w:rsidR="005D56EA" w:rsidRPr="003E01A4">
        <w:rPr>
          <w:rFonts w:ascii="Century Schoolbook" w:hAnsi="Century Schoolbook"/>
          <w:sz w:val="22"/>
          <w:szCs w:val="22"/>
        </w:rPr>
        <w:t>”</w:t>
      </w:r>
      <w:r w:rsidRPr="003E01A4">
        <w:rPr>
          <w:rFonts w:ascii="Century Schoolbook" w:hAnsi="Century Schoolbook"/>
          <w:sz w:val="22"/>
          <w:szCs w:val="22"/>
        </w:rPr>
        <w:t xml:space="preserve"> (sentenza n. 160 del 2016). Non sono mancate occasioni, inoltre, in cui questa Corte ha anche espressamente escluso che </w:t>
      </w:r>
      <w:r w:rsidR="005D56EA" w:rsidRPr="003E01A4">
        <w:rPr>
          <w:rFonts w:ascii="Century Schoolbook" w:hAnsi="Century Schoolbook"/>
          <w:sz w:val="22"/>
          <w:szCs w:val="22"/>
        </w:rPr>
        <w:t>“</w:t>
      </w:r>
      <w:r w:rsidRPr="003E01A4">
        <w:rPr>
          <w:rFonts w:ascii="Century Schoolbook" w:hAnsi="Century Schoolbook"/>
          <w:sz w:val="22"/>
          <w:szCs w:val="22"/>
        </w:rPr>
        <w:t xml:space="preserve">il </w:t>
      </w:r>
      <w:r w:rsidR="005D56EA" w:rsidRPr="003E01A4">
        <w:rPr>
          <w:rFonts w:ascii="Century Schoolbook" w:hAnsi="Century Schoolbook"/>
          <w:sz w:val="22"/>
          <w:szCs w:val="22"/>
        </w:rPr>
        <w:t>‘</w:t>
      </w:r>
      <w:r w:rsidRPr="003E01A4">
        <w:rPr>
          <w:rFonts w:ascii="Century Schoolbook" w:hAnsi="Century Schoolbook"/>
          <w:sz w:val="22"/>
          <w:szCs w:val="22"/>
        </w:rPr>
        <w:t>sistema della pianificazione</w:t>
      </w:r>
      <w:r w:rsidR="005D56EA" w:rsidRPr="003E01A4">
        <w:rPr>
          <w:rFonts w:ascii="Century Schoolbook" w:hAnsi="Century Schoolbook"/>
          <w:sz w:val="22"/>
          <w:szCs w:val="22"/>
        </w:rPr>
        <w:t>’</w:t>
      </w:r>
      <w:r w:rsidRPr="003E01A4">
        <w:rPr>
          <w:rFonts w:ascii="Century Schoolbook" w:hAnsi="Century Schoolbook"/>
          <w:sz w:val="22"/>
          <w:szCs w:val="22"/>
        </w:rPr>
        <w:t xml:space="preserve"> assurga a principio così assoluto e stringente da impedire alla legge regionale – che è fonte normativa primaria sovraordinata rispetto agli strumenti urbanistici locali – di prevedere interventi in deroga a tali strumenti</w:t>
      </w:r>
      <w:r w:rsidR="005D56EA" w:rsidRPr="003E01A4">
        <w:rPr>
          <w:rFonts w:ascii="Century Schoolbook" w:hAnsi="Century Schoolbook"/>
          <w:sz w:val="22"/>
          <w:szCs w:val="22"/>
        </w:rPr>
        <w:t>”</w:t>
      </w:r>
      <w:r w:rsidRPr="003E01A4">
        <w:rPr>
          <w:rFonts w:ascii="Century Schoolbook" w:hAnsi="Century Schoolbook"/>
          <w:sz w:val="22"/>
          <w:szCs w:val="22"/>
        </w:rPr>
        <w:t xml:space="preserve"> (sentenza n. 245 del 2018; nello stesso senso, sentenza n. 46 del 2014). La competenza concorrente in materia di governo del territorio, infatti, abilita fisiologicamente la legislazione regionale a intervenire nell’ambito di disciplina della pianificazione urbanistica».</w:t>
      </w:r>
    </w:p>
    <w:p w14:paraId="77069D99" w14:textId="4C444FCF" w:rsidR="00C75996" w:rsidRPr="003E01A4" w:rsidRDefault="005D76DE"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La sintesi, i</w:t>
      </w:r>
      <w:r w:rsidR="00C75996" w:rsidRPr="003E01A4">
        <w:rPr>
          <w:rFonts w:ascii="Century Schoolbook" w:hAnsi="Century Schoolbook"/>
          <w:sz w:val="22"/>
          <w:szCs w:val="22"/>
        </w:rPr>
        <w:t>n</w:t>
      </w:r>
      <w:r w:rsidRPr="003E01A4">
        <w:rPr>
          <w:rFonts w:ascii="Century Schoolbook" w:hAnsi="Century Schoolbook"/>
          <w:sz w:val="22"/>
          <w:szCs w:val="22"/>
        </w:rPr>
        <w:t xml:space="preserve"> </w:t>
      </w:r>
      <w:r w:rsidR="00C75996" w:rsidRPr="003E01A4">
        <w:rPr>
          <w:rFonts w:ascii="Century Schoolbook" w:hAnsi="Century Schoolbook"/>
          <w:sz w:val="22"/>
          <w:szCs w:val="22"/>
        </w:rPr>
        <w:t xml:space="preserve">fine: «in questi casi, dove emerge come il punto di equilibrio tra regionalismo e municipalismo non sia stato risolto una volta per tutte dal riformato impianto del Titolo V della Costituzione, il giudizio di costituzionalità non ricade tanto, in via astratta, sulla legittimità dell’intervento del legislatore regionale, quanto, piuttosto, su una valutazione in concreto, in ordine alla </w:t>
      </w:r>
      <w:r w:rsidR="00340F9D" w:rsidRPr="003E01A4">
        <w:rPr>
          <w:rFonts w:ascii="Century Schoolbook" w:hAnsi="Century Schoolbook"/>
          <w:sz w:val="22"/>
          <w:szCs w:val="22"/>
        </w:rPr>
        <w:t>“</w:t>
      </w:r>
      <w:r w:rsidR="00C75996" w:rsidRPr="003E01A4">
        <w:rPr>
          <w:rFonts w:ascii="Century Schoolbook" w:hAnsi="Century Schoolbook"/>
          <w:sz w:val="22"/>
          <w:szCs w:val="22"/>
        </w:rPr>
        <w:t>verifica dell’esistenza di esigenze generali che possano ragionevolmente giustificare le disposizioni legislative limitative delle funzioni già assegnate agli enti locali</w:t>
      </w:r>
      <w:r w:rsidR="00340F9D" w:rsidRPr="003E01A4">
        <w:rPr>
          <w:rFonts w:ascii="Century Schoolbook" w:hAnsi="Century Schoolbook"/>
          <w:sz w:val="22"/>
          <w:szCs w:val="22"/>
        </w:rPr>
        <w:t>”</w:t>
      </w:r>
      <w:r w:rsidR="00C75996" w:rsidRPr="003E01A4">
        <w:rPr>
          <w:rFonts w:ascii="Century Schoolbook" w:hAnsi="Century Schoolbook"/>
          <w:sz w:val="22"/>
          <w:szCs w:val="22"/>
        </w:rPr>
        <w:t xml:space="preserve"> (sentenza n. 286 del 1997). Viene quindi in causa il variabile livello degli interessi coinvolti, cui ha riconosciuto specifica valenza costituzionale l’affermazione del principio di sussidiarietà verticale sancito nell’art. 118 Cost., che porta questa Corte a valutare, nell’ambito di una funzione riconosciuta come fondamentale ai sensi dell’art. 117, secondo comma, lettera p), Cost., quanto la legge regionale toglie all’autonomia comunale e quanto di questa residua, in nome di quali interessi sovracomunali attua questa sottrazione, quali compensazioni procedurali essa prevede e per quale periodo temporale la dispone».</w:t>
      </w:r>
    </w:p>
    <w:p w14:paraId="15EB841B" w14:textId="54159EFD" w:rsidR="00340F9D" w:rsidRPr="003E01A4" w:rsidRDefault="005D56EA"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Non è </w:t>
      </w:r>
      <w:r w:rsidR="00340F9D" w:rsidRPr="003E01A4">
        <w:rPr>
          <w:rFonts w:ascii="Century Schoolbook" w:hAnsi="Century Schoolbook"/>
          <w:sz w:val="22"/>
          <w:szCs w:val="22"/>
        </w:rPr>
        <w:t xml:space="preserve">una conclusione di </w:t>
      </w:r>
      <w:r w:rsidRPr="003E01A4">
        <w:rPr>
          <w:rFonts w:ascii="Century Schoolbook" w:hAnsi="Century Schoolbook"/>
          <w:sz w:val="22"/>
          <w:szCs w:val="22"/>
        </w:rPr>
        <w:t xml:space="preserve">solo </w:t>
      </w:r>
      <w:r w:rsidR="00340F9D" w:rsidRPr="003E01A4">
        <w:rPr>
          <w:rFonts w:ascii="Century Schoolbook" w:hAnsi="Century Schoolbook"/>
          <w:sz w:val="22"/>
          <w:szCs w:val="22"/>
        </w:rPr>
        <w:t xml:space="preserve">metodo, poiché la Corte fa una scelta meritale molto netta: «il livello regionale è strutturalmente quello più efficace a contrastare il fenomeno del consumo di suolo, perché in grado di porre limiti </w:t>
      </w:r>
      <w:r w:rsidR="00340F9D" w:rsidRPr="003E01A4">
        <w:rPr>
          <w:rFonts w:ascii="Century Schoolbook" w:hAnsi="Century Schoolbook"/>
          <w:i/>
          <w:iCs/>
          <w:sz w:val="22"/>
          <w:szCs w:val="22"/>
        </w:rPr>
        <w:t>ab externo</w:t>
      </w:r>
      <w:r w:rsidR="00340F9D" w:rsidRPr="003E01A4">
        <w:rPr>
          <w:rFonts w:ascii="Century Schoolbook" w:hAnsi="Century Schoolbook"/>
          <w:sz w:val="22"/>
          <w:szCs w:val="22"/>
        </w:rPr>
        <w:t xml:space="preserve"> e generali alla pianificazione urbanistica locale».</w:t>
      </w:r>
    </w:p>
    <w:p w14:paraId="293FECEB" w14:textId="77777777" w:rsidR="00490140" w:rsidRPr="003E01A4" w:rsidRDefault="008E44BE"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Nessu</w:t>
      </w:r>
      <w:r w:rsidR="00502BF1" w:rsidRPr="003E01A4">
        <w:rPr>
          <w:rFonts w:ascii="Century Schoolbook" w:hAnsi="Century Schoolbook"/>
          <w:sz w:val="22"/>
          <w:szCs w:val="22"/>
        </w:rPr>
        <w:t xml:space="preserve">n prossimalismo di comodo, </w:t>
      </w:r>
      <w:r w:rsidR="005D56EA" w:rsidRPr="003E01A4">
        <w:rPr>
          <w:rFonts w:ascii="Century Schoolbook" w:hAnsi="Century Schoolbook"/>
          <w:sz w:val="22"/>
          <w:szCs w:val="22"/>
        </w:rPr>
        <w:t xml:space="preserve">quindi, </w:t>
      </w:r>
      <w:r w:rsidR="00502BF1" w:rsidRPr="003E01A4">
        <w:rPr>
          <w:rFonts w:ascii="Century Schoolbook" w:hAnsi="Century Schoolbook"/>
          <w:sz w:val="22"/>
          <w:szCs w:val="22"/>
        </w:rPr>
        <w:t xml:space="preserve">né una </w:t>
      </w:r>
      <w:r w:rsidR="00CB7057" w:rsidRPr="003E01A4">
        <w:rPr>
          <w:rFonts w:ascii="Century Schoolbook" w:hAnsi="Century Schoolbook"/>
          <w:sz w:val="22"/>
          <w:szCs w:val="22"/>
        </w:rPr>
        <w:t xml:space="preserve">stucchevole </w:t>
      </w:r>
      <w:r w:rsidR="00502BF1" w:rsidRPr="003E01A4">
        <w:rPr>
          <w:rFonts w:ascii="Century Schoolbook" w:hAnsi="Century Schoolbook"/>
          <w:i/>
          <w:iCs/>
          <w:sz w:val="22"/>
          <w:szCs w:val="22"/>
        </w:rPr>
        <w:t>Vorrangsentscheidung</w:t>
      </w:r>
      <w:r w:rsidR="00502BF1" w:rsidRPr="003E01A4">
        <w:rPr>
          <w:rFonts w:ascii="Century Schoolbook" w:hAnsi="Century Schoolbook"/>
          <w:sz w:val="22"/>
          <w:szCs w:val="22"/>
        </w:rPr>
        <w:t xml:space="preserve"> per il soggetto più vicino.</w:t>
      </w:r>
    </w:p>
    <w:p w14:paraId="095A5765" w14:textId="55E101CE" w:rsidR="00490140" w:rsidRPr="003E01A4" w:rsidRDefault="00490140" w:rsidP="003A5A9D">
      <w:pPr>
        <w:spacing w:line="360" w:lineRule="auto"/>
        <w:ind w:firstLine="708"/>
        <w:contextualSpacing/>
        <w:jc w:val="both"/>
        <w:rPr>
          <w:rFonts w:ascii="Century Schoolbook" w:hAnsi="Century Schoolbook" w:cs="Times New Roman"/>
          <w:color w:val="000000" w:themeColor="text1"/>
          <w:sz w:val="22"/>
          <w:szCs w:val="22"/>
        </w:rPr>
      </w:pPr>
      <w:r w:rsidRPr="003E01A4">
        <w:rPr>
          <w:rFonts w:ascii="Century Schoolbook" w:hAnsi="Century Schoolbook" w:cs="Times New Roman"/>
          <w:color w:val="000000" w:themeColor="text1"/>
          <w:sz w:val="22"/>
          <w:szCs w:val="22"/>
        </w:rPr>
        <w:t xml:space="preserve">Il policentrismo autonomistico uscito dall’infelice riforma a colpi di maggioranza inferta </w:t>
      </w:r>
      <w:r w:rsidR="003D3751" w:rsidRPr="003E01A4">
        <w:rPr>
          <w:rFonts w:ascii="Century Schoolbook" w:hAnsi="Century Schoolbook" w:cs="Times New Roman"/>
          <w:color w:val="000000" w:themeColor="text1"/>
          <w:sz w:val="22"/>
          <w:szCs w:val="22"/>
        </w:rPr>
        <w:t xml:space="preserve">nel 2001 </w:t>
      </w:r>
      <w:r w:rsidRPr="003E01A4">
        <w:rPr>
          <w:rFonts w:ascii="Century Schoolbook" w:hAnsi="Century Schoolbook" w:cs="Times New Roman"/>
          <w:color w:val="000000" w:themeColor="text1"/>
          <w:sz w:val="22"/>
          <w:szCs w:val="22"/>
        </w:rPr>
        <w:t xml:space="preserve">al Titolo V ha infatti demagogicamente favorito gli assetti organizzativi che danno il maggior numero di competenze alle amministrazioni territoriali “più vicine” ai cittadini. In questa visione, lo Stato è intriso di negatività strutturale, poiché lontano dalle esigenze – di per sé virtuose </w:t>
      </w:r>
      <w:r w:rsidR="003D3751" w:rsidRPr="003E01A4">
        <w:rPr>
          <w:rFonts w:ascii="Century Schoolbook" w:hAnsi="Century Schoolbook" w:cs="Times New Roman"/>
          <w:color w:val="000000" w:themeColor="text1"/>
          <w:sz w:val="22"/>
          <w:szCs w:val="22"/>
        </w:rPr>
        <w:t>–</w:t>
      </w:r>
      <w:r w:rsidRPr="003E01A4">
        <w:rPr>
          <w:rFonts w:ascii="Century Schoolbook" w:hAnsi="Century Schoolbook" w:cs="Times New Roman"/>
          <w:color w:val="000000" w:themeColor="text1"/>
          <w:sz w:val="22"/>
          <w:szCs w:val="22"/>
        </w:rPr>
        <w:t xml:space="preserve"> espresse dalle collettività</w:t>
      </w:r>
      <w:r w:rsidR="003D3751" w:rsidRPr="003E01A4">
        <w:rPr>
          <w:rFonts w:ascii="Century Schoolbook" w:hAnsi="Century Schoolbook" w:cs="Times New Roman"/>
          <w:color w:val="000000" w:themeColor="text1"/>
          <w:sz w:val="22"/>
          <w:szCs w:val="22"/>
        </w:rPr>
        <w:t xml:space="preserve"> insediate</w:t>
      </w:r>
      <w:r w:rsidRPr="003E01A4">
        <w:rPr>
          <w:rFonts w:ascii="Century Schoolbook" w:hAnsi="Century Schoolbook" w:cs="Times New Roman"/>
          <w:color w:val="000000" w:themeColor="text1"/>
          <w:sz w:val="22"/>
          <w:szCs w:val="22"/>
        </w:rPr>
        <w:t>, invece ben amministrate dai sempre efficienti enti locali</w:t>
      </w:r>
      <w:r w:rsidRPr="003E01A4">
        <w:rPr>
          <w:rStyle w:val="Rimandonotaapidipagina"/>
          <w:rFonts w:ascii="Century Schoolbook" w:hAnsi="Century Schoolbook" w:cs="Times New Roman"/>
          <w:color w:val="000000" w:themeColor="text1"/>
          <w:sz w:val="22"/>
          <w:szCs w:val="22"/>
        </w:rPr>
        <w:footnoteReference w:id="28"/>
      </w:r>
      <w:r w:rsidRPr="003E01A4">
        <w:rPr>
          <w:rFonts w:ascii="Century Schoolbook" w:hAnsi="Century Schoolbook" w:cs="Times New Roman"/>
          <w:color w:val="000000" w:themeColor="text1"/>
          <w:sz w:val="22"/>
          <w:szCs w:val="22"/>
        </w:rPr>
        <w:t xml:space="preserve">. </w:t>
      </w:r>
    </w:p>
    <w:p w14:paraId="69D77F40" w14:textId="0AD94EEE" w:rsidR="00490140" w:rsidRPr="003E01A4" w:rsidRDefault="003D3751" w:rsidP="003A5A9D">
      <w:pPr>
        <w:spacing w:line="360" w:lineRule="auto"/>
        <w:ind w:firstLine="708"/>
        <w:contextualSpacing/>
        <w:jc w:val="both"/>
        <w:rPr>
          <w:rFonts w:ascii="Century Schoolbook" w:hAnsi="Century Schoolbook" w:cs="Times New Roman"/>
          <w:color w:val="000000" w:themeColor="text1"/>
          <w:sz w:val="22"/>
          <w:szCs w:val="22"/>
        </w:rPr>
      </w:pPr>
      <w:r w:rsidRPr="003E01A4">
        <w:rPr>
          <w:rFonts w:ascii="Century Schoolbook" w:hAnsi="Century Schoolbook" w:cs="Times New Roman"/>
          <w:color w:val="000000" w:themeColor="text1"/>
          <w:sz w:val="22"/>
          <w:szCs w:val="22"/>
        </w:rPr>
        <w:t xml:space="preserve">I danni </w:t>
      </w:r>
      <w:r w:rsidR="00490140" w:rsidRPr="003E01A4">
        <w:rPr>
          <w:rFonts w:ascii="Century Schoolbook" w:hAnsi="Century Schoolbook" w:cs="Times New Roman"/>
          <w:color w:val="000000" w:themeColor="text1"/>
          <w:sz w:val="22"/>
          <w:szCs w:val="22"/>
        </w:rPr>
        <w:t>di una tale impostazione</w:t>
      </w:r>
      <w:r w:rsidRPr="003E01A4">
        <w:rPr>
          <w:rFonts w:ascii="Century Schoolbook" w:hAnsi="Century Schoolbook" w:cs="Times New Roman"/>
          <w:color w:val="000000" w:themeColor="text1"/>
          <w:sz w:val="22"/>
          <w:szCs w:val="22"/>
        </w:rPr>
        <w:t xml:space="preserve"> sono evidenti</w:t>
      </w:r>
      <w:r w:rsidRPr="003E01A4">
        <w:rPr>
          <w:rStyle w:val="Rimandonotaapidipagina"/>
          <w:rFonts w:ascii="Century Schoolbook" w:hAnsi="Century Schoolbook" w:cs="Times New Roman"/>
          <w:color w:val="000000" w:themeColor="text1"/>
          <w:sz w:val="22"/>
          <w:szCs w:val="22"/>
        </w:rPr>
        <w:footnoteReference w:id="29"/>
      </w:r>
      <w:r w:rsidR="00490140" w:rsidRPr="003E01A4">
        <w:rPr>
          <w:rFonts w:ascii="Century Schoolbook" w:hAnsi="Century Schoolbook" w:cs="Times New Roman"/>
          <w:color w:val="000000" w:themeColor="text1"/>
          <w:sz w:val="22"/>
          <w:szCs w:val="22"/>
        </w:rPr>
        <w:t>. Come tutti sanno, il (nuovo) primo comma dell’art. 118 Cost. attribuisce le funzioni amministrative territoriali ai Comuni, salvi i casi di sussidiarietà ascendente sulla base dei tre noti principi di sussidiarietà, differenziazione ed adeguatezza. In sintesi, il legislatore ordinario d</w:t>
      </w:r>
      <w:r w:rsidR="00C11A84" w:rsidRPr="003E01A4">
        <w:rPr>
          <w:rFonts w:ascii="Century Schoolbook" w:hAnsi="Century Schoolbook" w:cs="Times New Roman"/>
          <w:color w:val="000000" w:themeColor="text1"/>
          <w:sz w:val="22"/>
          <w:szCs w:val="22"/>
        </w:rPr>
        <w:t>ovrebbe</w:t>
      </w:r>
      <w:r w:rsidR="00490140" w:rsidRPr="003E01A4">
        <w:rPr>
          <w:rFonts w:ascii="Century Schoolbook" w:hAnsi="Century Schoolbook" w:cs="Times New Roman"/>
          <w:color w:val="000000" w:themeColor="text1"/>
          <w:sz w:val="22"/>
          <w:szCs w:val="22"/>
        </w:rPr>
        <w:t xml:space="preserve"> </w:t>
      </w:r>
      <w:r w:rsidR="00C11A84" w:rsidRPr="003E01A4">
        <w:rPr>
          <w:rFonts w:ascii="Century Schoolbook" w:hAnsi="Century Schoolbook" w:cs="Times New Roman"/>
          <w:color w:val="000000" w:themeColor="text1"/>
          <w:sz w:val="22"/>
          <w:szCs w:val="22"/>
        </w:rPr>
        <w:t xml:space="preserve">– almeno di </w:t>
      </w:r>
      <w:r w:rsidR="00490140" w:rsidRPr="003E01A4">
        <w:rPr>
          <w:rFonts w:ascii="Century Schoolbook" w:hAnsi="Century Schoolbook" w:cs="Times New Roman"/>
          <w:color w:val="000000" w:themeColor="text1"/>
          <w:sz w:val="22"/>
          <w:szCs w:val="22"/>
        </w:rPr>
        <w:t xml:space="preserve">regola </w:t>
      </w:r>
      <w:r w:rsidR="00C11A84" w:rsidRPr="003E01A4">
        <w:rPr>
          <w:rFonts w:ascii="Century Schoolbook" w:hAnsi="Century Schoolbook" w:cs="Times New Roman"/>
          <w:color w:val="000000" w:themeColor="text1"/>
          <w:sz w:val="22"/>
          <w:szCs w:val="22"/>
        </w:rPr>
        <w:t xml:space="preserve">– </w:t>
      </w:r>
      <w:r w:rsidR="00282B3D" w:rsidRPr="003E01A4">
        <w:rPr>
          <w:rFonts w:ascii="Century Schoolbook" w:hAnsi="Century Schoolbook" w:cs="Times New Roman"/>
          <w:color w:val="000000" w:themeColor="text1"/>
          <w:sz w:val="22"/>
          <w:szCs w:val="22"/>
        </w:rPr>
        <w:t xml:space="preserve">preferire i </w:t>
      </w:r>
      <w:r w:rsidR="00490140" w:rsidRPr="003E01A4">
        <w:rPr>
          <w:rFonts w:ascii="Century Schoolbook" w:hAnsi="Century Schoolbook" w:cs="Times New Roman"/>
          <w:color w:val="000000" w:themeColor="text1"/>
          <w:sz w:val="22"/>
          <w:szCs w:val="22"/>
        </w:rPr>
        <w:t>Comuni</w:t>
      </w:r>
      <w:r w:rsidR="00490140" w:rsidRPr="003E01A4">
        <w:rPr>
          <w:rStyle w:val="Rimandonotaapidipagina"/>
          <w:rFonts w:ascii="Century Schoolbook" w:hAnsi="Century Schoolbook" w:cs="Times New Roman"/>
          <w:color w:val="000000" w:themeColor="text1"/>
          <w:sz w:val="22"/>
          <w:szCs w:val="22"/>
        </w:rPr>
        <w:footnoteReference w:id="30"/>
      </w:r>
      <w:r w:rsidR="00282B3D" w:rsidRPr="003E01A4">
        <w:rPr>
          <w:rFonts w:ascii="Century Schoolbook" w:hAnsi="Century Schoolbook" w:cs="Times New Roman"/>
          <w:color w:val="000000" w:themeColor="text1"/>
          <w:sz w:val="22"/>
          <w:szCs w:val="22"/>
        </w:rPr>
        <w:t>,</w:t>
      </w:r>
      <w:r w:rsidR="00490140" w:rsidRPr="003E01A4">
        <w:rPr>
          <w:rFonts w:ascii="Century Schoolbook" w:hAnsi="Century Schoolbook" w:cs="Times New Roman"/>
          <w:color w:val="000000" w:themeColor="text1"/>
          <w:sz w:val="22"/>
          <w:szCs w:val="22"/>
        </w:rPr>
        <w:t xml:space="preserve"> amministrazioni pubbliche rappresentative per eccellenza: vicine al cittadino, e per ciò solo </w:t>
      </w:r>
      <w:r w:rsidR="00282B3D" w:rsidRPr="003E01A4">
        <w:rPr>
          <w:rFonts w:ascii="Century Schoolbook" w:hAnsi="Century Schoolbook" w:cs="Times New Roman"/>
          <w:color w:val="000000" w:themeColor="text1"/>
          <w:sz w:val="22"/>
          <w:szCs w:val="22"/>
        </w:rPr>
        <w:t>mist</w:t>
      </w:r>
      <w:r w:rsidR="00C11A84" w:rsidRPr="003E01A4">
        <w:rPr>
          <w:rFonts w:ascii="Century Schoolbook" w:hAnsi="Century Schoolbook" w:cs="Times New Roman"/>
          <w:color w:val="000000" w:themeColor="text1"/>
          <w:sz w:val="22"/>
          <w:szCs w:val="22"/>
        </w:rPr>
        <w:t>ic</w:t>
      </w:r>
      <w:r w:rsidR="00282B3D" w:rsidRPr="003E01A4">
        <w:rPr>
          <w:rFonts w:ascii="Century Schoolbook" w:hAnsi="Century Schoolbook" w:cs="Times New Roman"/>
          <w:color w:val="000000" w:themeColor="text1"/>
          <w:sz w:val="22"/>
          <w:szCs w:val="22"/>
        </w:rPr>
        <w:t xml:space="preserve">amente </w:t>
      </w:r>
      <w:r w:rsidR="00490140" w:rsidRPr="003E01A4">
        <w:rPr>
          <w:rFonts w:ascii="Century Schoolbook" w:hAnsi="Century Schoolbook" w:cs="Times New Roman"/>
          <w:color w:val="000000" w:themeColor="text1"/>
          <w:sz w:val="22"/>
          <w:szCs w:val="22"/>
        </w:rPr>
        <w:t>capaci di coglierne con prontezza i bisogni e quindi di soddisfarli con premura solerte ed efficiente.</w:t>
      </w:r>
    </w:p>
    <w:p w14:paraId="0B39B7FC" w14:textId="09069931" w:rsidR="00490140" w:rsidRPr="003E01A4" w:rsidRDefault="00C11A84" w:rsidP="003A5A9D">
      <w:pPr>
        <w:spacing w:line="360" w:lineRule="auto"/>
        <w:ind w:firstLine="708"/>
        <w:contextualSpacing/>
        <w:jc w:val="both"/>
        <w:rPr>
          <w:rFonts w:ascii="Century Schoolbook" w:hAnsi="Century Schoolbook" w:cs="Times New Roman"/>
          <w:color w:val="000000" w:themeColor="text1"/>
          <w:sz w:val="22"/>
          <w:szCs w:val="22"/>
        </w:rPr>
      </w:pPr>
      <w:r w:rsidRPr="003E01A4">
        <w:rPr>
          <w:rFonts w:ascii="Century Schoolbook" w:hAnsi="Century Schoolbook" w:cs="Times New Roman"/>
          <w:color w:val="000000" w:themeColor="text1"/>
          <w:sz w:val="22"/>
          <w:szCs w:val="22"/>
        </w:rPr>
        <w:t>Quel</w:t>
      </w:r>
      <w:r w:rsidR="00490140" w:rsidRPr="003E01A4">
        <w:rPr>
          <w:rFonts w:ascii="Century Schoolbook" w:hAnsi="Century Schoolbook" w:cs="Times New Roman"/>
          <w:color w:val="000000" w:themeColor="text1"/>
          <w:sz w:val="22"/>
          <w:szCs w:val="22"/>
        </w:rPr>
        <w:t xml:space="preserve">la norma </w:t>
      </w:r>
      <w:r w:rsidRPr="003E01A4">
        <w:rPr>
          <w:rFonts w:ascii="Century Schoolbook" w:hAnsi="Century Schoolbook" w:cs="Times New Roman"/>
          <w:color w:val="000000" w:themeColor="text1"/>
          <w:sz w:val="22"/>
          <w:szCs w:val="22"/>
        </w:rPr>
        <w:t>trascura</w:t>
      </w:r>
      <w:r w:rsidR="00490140" w:rsidRPr="003E01A4">
        <w:rPr>
          <w:rFonts w:ascii="Century Schoolbook" w:hAnsi="Century Schoolbook" w:cs="Times New Roman"/>
          <w:color w:val="000000" w:themeColor="text1"/>
          <w:sz w:val="22"/>
          <w:szCs w:val="22"/>
        </w:rPr>
        <w:t xml:space="preserve"> </w:t>
      </w:r>
      <w:r w:rsidRPr="003E01A4">
        <w:rPr>
          <w:rFonts w:ascii="Century Schoolbook" w:hAnsi="Century Schoolbook" w:cs="Times New Roman"/>
          <w:color w:val="000000" w:themeColor="text1"/>
          <w:sz w:val="22"/>
          <w:szCs w:val="22"/>
        </w:rPr>
        <w:t xml:space="preserve">purtroppo </w:t>
      </w:r>
      <w:r w:rsidR="00490140" w:rsidRPr="003E01A4">
        <w:rPr>
          <w:rFonts w:ascii="Century Schoolbook" w:hAnsi="Century Schoolbook" w:cs="Times New Roman"/>
          <w:color w:val="000000" w:themeColor="text1"/>
          <w:sz w:val="22"/>
          <w:szCs w:val="22"/>
        </w:rPr>
        <w:t xml:space="preserve">un </w:t>
      </w:r>
      <w:r w:rsidRPr="003E01A4">
        <w:rPr>
          <w:rFonts w:ascii="Century Schoolbook" w:hAnsi="Century Schoolbook" w:cs="Times New Roman"/>
          <w:color w:val="000000" w:themeColor="text1"/>
          <w:sz w:val="22"/>
          <w:szCs w:val="22"/>
        </w:rPr>
        <w:t>dato di fatto tanto prevedibile</w:t>
      </w:r>
      <w:r w:rsidR="00490140" w:rsidRPr="003E01A4">
        <w:rPr>
          <w:rFonts w:ascii="Century Schoolbook" w:hAnsi="Century Schoolbook" w:cs="Times New Roman"/>
          <w:color w:val="000000" w:themeColor="text1"/>
          <w:sz w:val="22"/>
          <w:szCs w:val="22"/>
        </w:rPr>
        <w:t xml:space="preserve">, quanto </w:t>
      </w:r>
      <w:r w:rsidRPr="003E01A4">
        <w:rPr>
          <w:rFonts w:ascii="Century Schoolbook" w:hAnsi="Century Schoolbook" w:cs="Times New Roman"/>
          <w:color w:val="000000" w:themeColor="text1"/>
          <w:sz w:val="22"/>
          <w:szCs w:val="22"/>
        </w:rPr>
        <w:t>poi verificatosi</w:t>
      </w:r>
      <w:r w:rsidR="00490140" w:rsidRPr="003E01A4">
        <w:rPr>
          <w:rFonts w:ascii="Century Schoolbook" w:hAnsi="Century Schoolbook" w:cs="Times New Roman"/>
          <w:color w:val="000000" w:themeColor="text1"/>
          <w:sz w:val="22"/>
          <w:szCs w:val="22"/>
        </w:rPr>
        <w:t xml:space="preserve">: </w:t>
      </w:r>
      <w:r w:rsidRPr="003E01A4">
        <w:rPr>
          <w:rFonts w:ascii="Century Schoolbook" w:hAnsi="Century Schoolbook" w:cs="Times New Roman"/>
          <w:color w:val="000000" w:themeColor="text1"/>
          <w:sz w:val="22"/>
          <w:szCs w:val="22"/>
        </w:rPr>
        <w:t>i</w:t>
      </w:r>
      <w:r w:rsidR="00490140" w:rsidRPr="003E01A4">
        <w:rPr>
          <w:rFonts w:ascii="Century Schoolbook" w:hAnsi="Century Schoolbook" w:cs="Times New Roman"/>
          <w:color w:val="000000" w:themeColor="text1"/>
          <w:sz w:val="22"/>
          <w:szCs w:val="22"/>
        </w:rPr>
        <w:t xml:space="preserve">l decisore locale </w:t>
      </w:r>
      <w:r w:rsidRPr="003E01A4">
        <w:rPr>
          <w:rFonts w:ascii="Century Schoolbook" w:hAnsi="Century Schoolbook" w:cs="Times New Roman"/>
          <w:color w:val="000000" w:themeColor="text1"/>
          <w:sz w:val="22"/>
          <w:szCs w:val="22"/>
        </w:rPr>
        <w:t xml:space="preserve">è spesso cera molle nelle mani </w:t>
      </w:r>
      <w:r w:rsidR="00490140" w:rsidRPr="003E01A4">
        <w:rPr>
          <w:rFonts w:ascii="Century Schoolbook" w:hAnsi="Century Schoolbook" w:cs="Times New Roman"/>
          <w:color w:val="000000" w:themeColor="text1"/>
          <w:sz w:val="22"/>
          <w:szCs w:val="22"/>
        </w:rPr>
        <w:t xml:space="preserve">di soggetti che possano esercitare </w:t>
      </w:r>
      <w:r w:rsidR="00B041A5" w:rsidRPr="003E01A4">
        <w:rPr>
          <w:rFonts w:ascii="Century Schoolbook" w:hAnsi="Century Schoolbook" w:cs="Times New Roman"/>
          <w:color w:val="000000" w:themeColor="text1"/>
          <w:sz w:val="22"/>
          <w:szCs w:val="22"/>
        </w:rPr>
        <w:t>pressioni</w:t>
      </w:r>
      <w:r w:rsidR="00490140" w:rsidRPr="003E01A4">
        <w:rPr>
          <w:rFonts w:ascii="Century Schoolbook" w:hAnsi="Century Schoolbook" w:cs="Times New Roman"/>
          <w:color w:val="000000" w:themeColor="text1"/>
          <w:sz w:val="22"/>
          <w:szCs w:val="22"/>
        </w:rPr>
        <w:t xml:space="preserve"> tali da far prevalere l’interesse privato sull’interesse pubblico. </w:t>
      </w:r>
      <w:r w:rsidR="00B041A5" w:rsidRPr="003E01A4">
        <w:rPr>
          <w:rFonts w:ascii="Century Schoolbook" w:hAnsi="Century Schoolbook" w:cs="Times New Roman"/>
          <w:color w:val="000000" w:themeColor="text1"/>
          <w:sz w:val="22"/>
          <w:szCs w:val="22"/>
        </w:rPr>
        <w:t xml:space="preserve">La ridotta </w:t>
      </w:r>
      <w:r w:rsidR="00490140" w:rsidRPr="003E01A4">
        <w:rPr>
          <w:rFonts w:ascii="Century Schoolbook" w:hAnsi="Century Schoolbook" w:cs="Times New Roman"/>
          <w:color w:val="000000" w:themeColor="text1"/>
          <w:sz w:val="22"/>
          <w:szCs w:val="22"/>
        </w:rPr>
        <w:t>dimensione spaziale degli enti territoriali</w:t>
      </w:r>
      <w:r w:rsidR="00490140" w:rsidRPr="003E01A4">
        <w:rPr>
          <w:rStyle w:val="Rimandonotaapidipagina"/>
          <w:rFonts w:ascii="Century Schoolbook" w:hAnsi="Century Schoolbook" w:cs="Times New Roman"/>
          <w:color w:val="000000" w:themeColor="text1"/>
          <w:sz w:val="22"/>
          <w:szCs w:val="22"/>
        </w:rPr>
        <w:footnoteReference w:id="31"/>
      </w:r>
      <w:r w:rsidR="00490140" w:rsidRPr="003E01A4">
        <w:rPr>
          <w:rFonts w:ascii="Century Schoolbook" w:hAnsi="Century Schoolbook" w:cs="Times New Roman"/>
          <w:color w:val="000000" w:themeColor="text1"/>
          <w:sz w:val="22"/>
          <w:szCs w:val="22"/>
        </w:rPr>
        <w:t xml:space="preserve"> </w:t>
      </w:r>
      <w:r w:rsidR="00B041A5" w:rsidRPr="003E01A4">
        <w:rPr>
          <w:rFonts w:ascii="Century Schoolbook" w:hAnsi="Century Schoolbook" w:cs="Times New Roman"/>
          <w:color w:val="000000" w:themeColor="text1"/>
          <w:sz w:val="22"/>
          <w:szCs w:val="22"/>
        </w:rPr>
        <w:t xml:space="preserve">favorisce </w:t>
      </w:r>
      <w:r w:rsidR="00490140" w:rsidRPr="003E01A4">
        <w:rPr>
          <w:rFonts w:ascii="Century Schoolbook" w:hAnsi="Century Schoolbook" w:cs="Times New Roman"/>
          <w:color w:val="000000" w:themeColor="text1"/>
          <w:sz w:val="22"/>
          <w:szCs w:val="22"/>
        </w:rPr>
        <w:t>opac</w:t>
      </w:r>
      <w:r w:rsidR="00B041A5" w:rsidRPr="003E01A4">
        <w:rPr>
          <w:rFonts w:ascii="Century Schoolbook" w:hAnsi="Century Schoolbook" w:cs="Times New Roman"/>
          <w:color w:val="000000" w:themeColor="text1"/>
          <w:sz w:val="22"/>
          <w:szCs w:val="22"/>
        </w:rPr>
        <w:t>ità</w:t>
      </w:r>
      <w:r w:rsidR="00490140" w:rsidRPr="003E01A4">
        <w:rPr>
          <w:rFonts w:ascii="Century Schoolbook" w:hAnsi="Century Schoolbook" w:cs="Times New Roman"/>
          <w:color w:val="000000" w:themeColor="text1"/>
          <w:sz w:val="22"/>
          <w:szCs w:val="22"/>
        </w:rPr>
        <w:t xml:space="preserve"> </w:t>
      </w:r>
      <w:r w:rsidR="00B041A5" w:rsidRPr="003E01A4">
        <w:rPr>
          <w:rFonts w:ascii="Century Schoolbook" w:hAnsi="Century Schoolbook" w:cs="Times New Roman"/>
          <w:color w:val="000000" w:themeColor="text1"/>
          <w:sz w:val="22"/>
          <w:szCs w:val="22"/>
        </w:rPr>
        <w:t xml:space="preserve">per cui al </w:t>
      </w:r>
      <w:r w:rsidR="00490140" w:rsidRPr="003E01A4">
        <w:rPr>
          <w:rFonts w:ascii="Century Schoolbook" w:hAnsi="Century Schoolbook" w:cs="Times New Roman"/>
          <w:color w:val="000000" w:themeColor="text1"/>
          <w:sz w:val="22"/>
          <w:szCs w:val="22"/>
        </w:rPr>
        <w:t xml:space="preserve">cui la scelta finale non è l’esito della legittima ponderazione fra interessi (pubblici </w:t>
      </w:r>
      <w:r w:rsidR="00490140" w:rsidRPr="003E01A4">
        <w:rPr>
          <w:rFonts w:ascii="Century Schoolbook" w:hAnsi="Century Schoolbook" w:cs="Times New Roman"/>
          <w:i/>
          <w:iCs/>
          <w:color w:val="000000" w:themeColor="text1"/>
          <w:sz w:val="22"/>
          <w:szCs w:val="22"/>
        </w:rPr>
        <w:t>e</w:t>
      </w:r>
      <w:r w:rsidR="00490140" w:rsidRPr="003E01A4">
        <w:rPr>
          <w:rFonts w:ascii="Century Schoolbook" w:hAnsi="Century Schoolbook" w:cs="Times New Roman"/>
          <w:color w:val="000000" w:themeColor="text1"/>
          <w:sz w:val="22"/>
          <w:szCs w:val="22"/>
        </w:rPr>
        <w:t xml:space="preserve"> privati) palesi, ma la risultante di </w:t>
      </w:r>
      <w:r w:rsidR="00B041A5" w:rsidRPr="003E01A4">
        <w:rPr>
          <w:rFonts w:ascii="Century Schoolbook" w:hAnsi="Century Schoolbook" w:cs="Times New Roman"/>
          <w:color w:val="000000" w:themeColor="text1"/>
          <w:sz w:val="22"/>
          <w:szCs w:val="22"/>
        </w:rPr>
        <w:t>spinte</w:t>
      </w:r>
      <w:r w:rsidR="00490140" w:rsidRPr="003E01A4">
        <w:rPr>
          <w:rFonts w:ascii="Century Schoolbook" w:hAnsi="Century Schoolbook" w:cs="Times New Roman"/>
          <w:color w:val="000000" w:themeColor="text1"/>
          <w:sz w:val="22"/>
          <w:szCs w:val="22"/>
        </w:rPr>
        <w:t xml:space="preserve"> occulte</w:t>
      </w:r>
      <w:r w:rsidR="00490140" w:rsidRPr="003E01A4">
        <w:rPr>
          <w:rStyle w:val="Rimandonotaapidipagina"/>
          <w:rFonts w:ascii="Century Schoolbook" w:hAnsi="Century Schoolbook" w:cs="Times New Roman"/>
          <w:color w:val="000000" w:themeColor="text1"/>
          <w:sz w:val="22"/>
          <w:szCs w:val="22"/>
        </w:rPr>
        <w:footnoteReference w:id="32"/>
      </w:r>
      <w:r w:rsidR="00490140" w:rsidRPr="003E01A4">
        <w:rPr>
          <w:rFonts w:ascii="Century Schoolbook" w:hAnsi="Century Schoolbook" w:cs="Times New Roman"/>
          <w:color w:val="000000" w:themeColor="text1"/>
          <w:sz w:val="22"/>
          <w:szCs w:val="22"/>
        </w:rPr>
        <w:t>.</w:t>
      </w:r>
    </w:p>
    <w:p w14:paraId="4053EA15" w14:textId="1A125793" w:rsidR="00490140" w:rsidRPr="003E01A4" w:rsidRDefault="00490140" w:rsidP="003A5A9D">
      <w:pPr>
        <w:spacing w:line="360" w:lineRule="auto"/>
        <w:ind w:firstLine="708"/>
        <w:contextualSpacing/>
        <w:jc w:val="both"/>
        <w:rPr>
          <w:rFonts w:ascii="Century Schoolbook" w:hAnsi="Century Schoolbook" w:cs="Times New Roman"/>
          <w:color w:val="000000" w:themeColor="text1"/>
          <w:sz w:val="22"/>
          <w:szCs w:val="22"/>
        </w:rPr>
      </w:pPr>
      <w:r w:rsidRPr="003E01A4">
        <w:rPr>
          <w:rFonts w:ascii="Century Schoolbook" w:hAnsi="Century Schoolbook" w:cs="Times New Roman"/>
          <w:color w:val="000000" w:themeColor="text1"/>
          <w:sz w:val="22"/>
          <w:szCs w:val="22"/>
        </w:rPr>
        <w:t>L</w:t>
      </w:r>
      <w:r w:rsidR="00D62307" w:rsidRPr="003E01A4">
        <w:rPr>
          <w:rFonts w:ascii="Century Schoolbook" w:hAnsi="Century Schoolbook" w:cs="Times New Roman"/>
          <w:color w:val="000000" w:themeColor="text1"/>
          <w:sz w:val="22"/>
          <w:szCs w:val="22"/>
        </w:rPr>
        <w:t>’incomprensibilità dell</w:t>
      </w:r>
      <w:r w:rsidRPr="003E01A4">
        <w:rPr>
          <w:rFonts w:ascii="Century Schoolbook" w:hAnsi="Century Schoolbook" w:cs="Times New Roman"/>
          <w:color w:val="000000" w:themeColor="text1"/>
          <w:sz w:val="22"/>
          <w:szCs w:val="22"/>
        </w:rPr>
        <w:t>a riforma costituzionale del 2001 nell’aver stabilito una clausola di preferenza a favore di Comuni e</w:t>
      </w:r>
      <w:r w:rsidR="00D62307" w:rsidRPr="003E01A4">
        <w:rPr>
          <w:rFonts w:ascii="Century Schoolbook" w:hAnsi="Century Schoolbook" w:cs="Times New Roman"/>
          <w:color w:val="000000" w:themeColor="text1"/>
          <w:sz w:val="22"/>
          <w:szCs w:val="22"/>
        </w:rPr>
        <w:t>d</w:t>
      </w:r>
      <w:r w:rsidRPr="003E01A4">
        <w:rPr>
          <w:rFonts w:ascii="Century Schoolbook" w:hAnsi="Century Schoolbook" w:cs="Times New Roman"/>
          <w:color w:val="000000" w:themeColor="text1"/>
          <w:sz w:val="22"/>
          <w:szCs w:val="22"/>
        </w:rPr>
        <w:t xml:space="preserve"> enti di prossimità in generale</w:t>
      </w:r>
      <w:r w:rsidRPr="003E01A4">
        <w:rPr>
          <w:rStyle w:val="Rimandonotaapidipagina"/>
          <w:rFonts w:ascii="Century Schoolbook" w:hAnsi="Century Schoolbook" w:cs="Times New Roman"/>
          <w:color w:val="000000" w:themeColor="text1"/>
          <w:sz w:val="22"/>
          <w:szCs w:val="22"/>
        </w:rPr>
        <w:footnoteReference w:id="33"/>
      </w:r>
      <w:r w:rsidR="00D62307" w:rsidRPr="003E01A4">
        <w:rPr>
          <w:rFonts w:ascii="Century Schoolbook" w:hAnsi="Century Schoolbook" w:cs="Times New Roman"/>
          <w:color w:val="000000" w:themeColor="text1"/>
          <w:sz w:val="22"/>
          <w:szCs w:val="22"/>
        </w:rPr>
        <w:t xml:space="preserve"> deriva insomma</w:t>
      </w:r>
      <w:r w:rsidRPr="003E01A4">
        <w:rPr>
          <w:rFonts w:ascii="Century Schoolbook" w:hAnsi="Century Schoolbook" w:cs="Times New Roman"/>
          <w:color w:val="000000" w:themeColor="text1"/>
          <w:sz w:val="22"/>
          <w:szCs w:val="22"/>
        </w:rPr>
        <w:t xml:space="preserve"> </w:t>
      </w:r>
      <w:r w:rsidR="00D62307" w:rsidRPr="003E01A4">
        <w:rPr>
          <w:rFonts w:ascii="Century Schoolbook" w:hAnsi="Century Schoolbook" w:cs="Times New Roman"/>
          <w:color w:val="000000" w:themeColor="text1"/>
          <w:sz w:val="22"/>
          <w:szCs w:val="22"/>
        </w:rPr>
        <w:t>d</w:t>
      </w:r>
      <w:r w:rsidRPr="003E01A4">
        <w:rPr>
          <w:rFonts w:ascii="Century Schoolbook" w:hAnsi="Century Schoolbook" w:cs="Times New Roman"/>
          <w:color w:val="000000" w:themeColor="text1"/>
          <w:sz w:val="22"/>
          <w:szCs w:val="22"/>
        </w:rPr>
        <w:t xml:space="preserve">alla </w:t>
      </w:r>
      <w:r w:rsidR="00D62307" w:rsidRPr="003E01A4">
        <w:rPr>
          <w:rFonts w:ascii="Century Schoolbook" w:hAnsi="Century Schoolbook" w:cs="Times New Roman"/>
          <w:color w:val="000000" w:themeColor="text1"/>
          <w:sz w:val="22"/>
          <w:szCs w:val="22"/>
        </w:rPr>
        <w:t xml:space="preserve">negativa </w:t>
      </w:r>
      <w:r w:rsidRPr="003E01A4">
        <w:rPr>
          <w:rFonts w:ascii="Century Schoolbook" w:hAnsi="Century Schoolbook" w:cs="Times New Roman"/>
          <w:color w:val="000000" w:themeColor="text1"/>
          <w:sz w:val="22"/>
          <w:szCs w:val="22"/>
        </w:rPr>
        <w:t xml:space="preserve">dovizia di esempi offerti dalla </w:t>
      </w:r>
      <w:r w:rsidR="00D62307" w:rsidRPr="003E01A4">
        <w:rPr>
          <w:rFonts w:ascii="Century Schoolbook" w:hAnsi="Century Schoolbook" w:cs="Times New Roman"/>
          <w:color w:val="000000" w:themeColor="text1"/>
          <w:sz w:val="22"/>
          <w:szCs w:val="22"/>
        </w:rPr>
        <w:t xml:space="preserve">nostra </w:t>
      </w:r>
      <w:r w:rsidRPr="003E01A4">
        <w:rPr>
          <w:rFonts w:ascii="Century Schoolbook" w:hAnsi="Century Schoolbook" w:cs="Times New Roman"/>
          <w:color w:val="000000" w:themeColor="text1"/>
          <w:sz w:val="22"/>
          <w:szCs w:val="22"/>
        </w:rPr>
        <w:t xml:space="preserve">storia </w:t>
      </w:r>
      <w:r w:rsidR="00D62307" w:rsidRPr="003E01A4">
        <w:rPr>
          <w:rFonts w:ascii="Century Schoolbook" w:hAnsi="Century Schoolbook" w:cs="Times New Roman"/>
          <w:color w:val="000000" w:themeColor="text1"/>
          <w:sz w:val="22"/>
          <w:szCs w:val="22"/>
        </w:rPr>
        <w:t>in merito al</w:t>
      </w:r>
      <w:r w:rsidRPr="003E01A4">
        <w:rPr>
          <w:rFonts w:ascii="Century Schoolbook" w:hAnsi="Century Schoolbook" w:cs="Times New Roman"/>
          <w:color w:val="000000" w:themeColor="text1"/>
          <w:sz w:val="22"/>
          <w:szCs w:val="22"/>
        </w:rPr>
        <w:t>l’in</w:t>
      </w:r>
      <w:r w:rsidR="00D62307" w:rsidRPr="003E01A4">
        <w:rPr>
          <w:rFonts w:ascii="Century Schoolbook" w:hAnsi="Century Schoolbook" w:cs="Times New Roman"/>
          <w:color w:val="000000" w:themeColor="text1"/>
          <w:sz w:val="22"/>
          <w:szCs w:val="22"/>
        </w:rPr>
        <w:t xml:space="preserve">capacità </w:t>
      </w:r>
      <w:r w:rsidRPr="003E01A4">
        <w:rPr>
          <w:rFonts w:ascii="Century Schoolbook" w:hAnsi="Century Schoolbook" w:cs="Times New Roman"/>
          <w:color w:val="000000" w:themeColor="text1"/>
          <w:sz w:val="22"/>
          <w:szCs w:val="22"/>
        </w:rPr>
        <w:t xml:space="preserve">delle figure territoriali nel contenere </w:t>
      </w:r>
      <w:r w:rsidR="00B041A5" w:rsidRPr="003E01A4">
        <w:rPr>
          <w:rFonts w:ascii="Century Schoolbook" w:hAnsi="Century Schoolbook" w:cs="Times New Roman"/>
          <w:color w:val="000000" w:themeColor="text1"/>
          <w:sz w:val="22"/>
          <w:szCs w:val="22"/>
        </w:rPr>
        <w:t>urgenze</w:t>
      </w:r>
      <w:r w:rsidRPr="003E01A4">
        <w:rPr>
          <w:rFonts w:ascii="Century Schoolbook" w:hAnsi="Century Schoolbook" w:cs="Times New Roman"/>
          <w:color w:val="000000" w:themeColor="text1"/>
          <w:sz w:val="22"/>
          <w:szCs w:val="22"/>
        </w:rPr>
        <w:t xml:space="preserve"> siffatte, c</w:t>
      </w:r>
      <w:r w:rsidR="00B041A5" w:rsidRPr="003E01A4">
        <w:rPr>
          <w:rFonts w:ascii="Century Schoolbook" w:hAnsi="Century Schoolbook" w:cs="Times New Roman"/>
          <w:color w:val="000000" w:themeColor="text1"/>
          <w:sz w:val="22"/>
          <w:szCs w:val="22"/>
        </w:rPr>
        <w:t>erto dissonanti</w:t>
      </w:r>
      <w:r w:rsidRPr="003E01A4">
        <w:rPr>
          <w:rFonts w:ascii="Century Schoolbook" w:hAnsi="Century Schoolbook" w:cs="Times New Roman"/>
          <w:color w:val="000000" w:themeColor="text1"/>
          <w:sz w:val="22"/>
          <w:szCs w:val="22"/>
        </w:rPr>
        <w:t xml:space="preserve"> rispetto alla cura dell’interesse pubblico.</w:t>
      </w:r>
    </w:p>
    <w:p w14:paraId="6E47EF8F" w14:textId="77DB9BA1" w:rsidR="00490140" w:rsidRPr="003E01A4" w:rsidRDefault="00D62307" w:rsidP="003A5A9D">
      <w:pPr>
        <w:spacing w:line="360" w:lineRule="auto"/>
        <w:ind w:firstLine="708"/>
        <w:contextualSpacing/>
        <w:jc w:val="both"/>
        <w:rPr>
          <w:rFonts w:ascii="Century Schoolbook" w:hAnsi="Century Schoolbook" w:cs="Times New Roman"/>
          <w:color w:val="000000" w:themeColor="text1"/>
          <w:sz w:val="22"/>
          <w:szCs w:val="22"/>
        </w:rPr>
      </w:pPr>
      <w:r w:rsidRPr="003E01A4">
        <w:rPr>
          <w:rFonts w:ascii="Century Schoolbook" w:hAnsi="Century Schoolbook" w:cs="Times New Roman"/>
          <w:color w:val="000000" w:themeColor="text1"/>
          <w:sz w:val="22"/>
          <w:szCs w:val="22"/>
        </w:rPr>
        <w:t xml:space="preserve">Non intendo accomunare situazioni ed esperienze politico-amministrative </w:t>
      </w:r>
      <w:r w:rsidR="00AB1439" w:rsidRPr="003E01A4">
        <w:rPr>
          <w:rFonts w:ascii="Century Schoolbook" w:hAnsi="Century Schoolbook" w:cs="Times New Roman"/>
          <w:color w:val="000000" w:themeColor="text1"/>
          <w:sz w:val="22"/>
          <w:szCs w:val="22"/>
        </w:rPr>
        <w:t xml:space="preserve">molto </w:t>
      </w:r>
      <w:r w:rsidRPr="003E01A4">
        <w:rPr>
          <w:rFonts w:ascii="Century Schoolbook" w:hAnsi="Century Schoolbook" w:cs="Times New Roman"/>
          <w:color w:val="000000" w:themeColor="text1"/>
          <w:sz w:val="22"/>
          <w:szCs w:val="22"/>
        </w:rPr>
        <w:t>diverse e divaricate per qualità e dinamismo d’azione</w:t>
      </w:r>
      <w:r w:rsidR="00AB1439" w:rsidRPr="003E01A4">
        <w:rPr>
          <w:rFonts w:ascii="Century Schoolbook" w:hAnsi="Century Schoolbook" w:cs="Times New Roman"/>
          <w:color w:val="000000" w:themeColor="text1"/>
          <w:sz w:val="22"/>
          <w:szCs w:val="22"/>
        </w:rPr>
        <w:t>.</w:t>
      </w:r>
      <w:r w:rsidRPr="003E01A4">
        <w:rPr>
          <w:rFonts w:ascii="Century Schoolbook" w:hAnsi="Century Schoolbook" w:cs="Times New Roman"/>
          <w:color w:val="000000" w:themeColor="text1"/>
          <w:sz w:val="22"/>
          <w:szCs w:val="22"/>
        </w:rPr>
        <w:t xml:space="preserve"> </w:t>
      </w:r>
      <w:r w:rsidR="00AB1439" w:rsidRPr="003E01A4">
        <w:rPr>
          <w:rFonts w:ascii="Century Schoolbook" w:hAnsi="Century Schoolbook" w:cs="Times New Roman"/>
          <w:color w:val="000000" w:themeColor="text1"/>
          <w:sz w:val="22"/>
          <w:szCs w:val="22"/>
        </w:rPr>
        <w:t xml:space="preserve">Esistono grandi </w:t>
      </w:r>
      <w:r w:rsidR="00490140" w:rsidRPr="003E01A4">
        <w:rPr>
          <w:rFonts w:ascii="Century Schoolbook" w:hAnsi="Century Schoolbook" w:cs="Times New Roman"/>
          <w:color w:val="000000" w:themeColor="text1"/>
          <w:sz w:val="22"/>
          <w:szCs w:val="22"/>
        </w:rPr>
        <w:t>differenz</w:t>
      </w:r>
      <w:r w:rsidR="00AB1439" w:rsidRPr="003E01A4">
        <w:rPr>
          <w:rFonts w:ascii="Century Schoolbook" w:hAnsi="Century Schoolbook" w:cs="Times New Roman"/>
          <w:color w:val="000000" w:themeColor="text1"/>
          <w:sz w:val="22"/>
          <w:szCs w:val="22"/>
        </w:rPr>
        <w:t>e</w:t>
      </w:r>
      <w:r w:rsidR="00490140" w:rsidRPr="003E01A4">
        <w:rPr>
          <w:rFonts w:ascii="Century Schoolbook" w:hAnsi="Century Schoolbook" w:cs="Times New Roman"/>
          <w:color w:val="000000" w:themeColor="text1"/>
          <w:sz w:val="22"/>
          <w:szCs w:val="22"/>
        </w:rPr>
        <w:t xml:space="preserve"> “prestazional</w:t>
      </w:r>
      <w:r w:rsidR="00AB1439" w:rsidRPr="003E01A4">
        <w:rPr>
          <w:rFonts w:ascii="Century Schoolbook" w:hAnsi="Century Schoolbook" w:cs="Times New Roman"/>
          <w:color w:val="000000" w:themeColor="text1"/>
          <w:sz w:val="22"/>
          <w:szCs w:val="22"/>
        </w:rPr>
        <w:t>i</w:t>
      </w:r>
      <w:r w:rsidR="00490140" w:rsidRPr="003E01A4">
        <w:rPr>
          <w:rFonts w:ascii="Century Schoolbook" w:hAnsi="Century Schoolbook" w:cs="Times New Roman"/>
          <w:color w:val="000000" w:themeColor="text1"/>
          <w:sz w:val="22"/>
          <w:szCs w:val="22"/>
        </w:rPr>
        <w:t>” fra i Comuni italian</w:t>
      </w:r>
      <w:r w:rsidR="00AB1439" w:rsidRPr="003E01A4">
        <w:rPr>
          <w:rFonts w:ascii="Century Schoolbook" w:hAnsi="Century Schoolbook" w:cs="Times New Roman"/>
          <w:color w:val="000000" w:themeColor="text1"/>
          <w:sz w:val="22"/>
          <w:szCs w:val="22"/>
        </w:rPr>
        <w:t>i:</w:t>
      </w:r>
      <w:r w:rsidR="00490140" w:rsidRPr="003E01A4">
        <w:rPr>
          <w:rFonts w:ascii="Century Schoolbook" w:hAnsi="Century Schoolbook" w:cs="Times New Roman"/>
          <w:color w:val="000000" w:themeColor="text1"/>
          <w:sz w:val="22"/>
          <w:szCs w:val="22"/>
        </w:rPr>
        <w:t xml:space="preserve"> il centro-nord del Paese </w:t>
      </w:r>
      <w:r w:rsidR="00AB1439" w:rsidRPr="003E01A4">
        <w:rPr>
          <w:rFonts w:ascii="Century Schoolbook" w:hAnsi="Century Schoolbook" w:cs="Times New Roman"/>
          <w:color w:val="000000" w:themeColor="text1"/>
          <w:sz w:val="22"/>
          <w:szCs w:val="22"/>
        </w:rPr>
        <w:t xml:space="preserve">ha saputo più spesso disegnare e attuare modelli di </w:t>
      </w:r>
      <w:r w:rsidR="00490140" w:rsidRPr="003E01A4">
        <w:rPr>
          <w:rFonts w:ascii="Century Schoolbook" w:hAnsi="Century Schoolbook" w:cs="Times New Roman"/>
          <w:color w:val="000000" w:themeColor="text1"/>
          <w:sz w:val="22"/>
          <w:szCs w:val="22"/>
        </w:rPr>
        <w:t xml:space="preserve">buon governo, che </w:t>
      </w:r>
      <w:r w:rsidR="00AB1439" w:rsidRPr="003E01A4">
        <w:rPr>
          <w:rFonts w:ascii="Century Schoolbook" w:hAnsi="Century Schoolbook" w:cs="Times New Roman"/>
          <w:color w:val="000000" w:themeColor="text1"/>
          <w:sz w:val="22"/>
          <w:szCs w:val="22"/>
        </w:rPr>
        <w:t>invece sono</w:t>
      </w:r>
      <w:r w:rsidR="00490140" w:rsidRPr="003E01A4">
        <w:rPr>
          <w:rFonts w:ascii="Century Schoolbook" w:hAnsi="Century Schoolbook" w:cs="Times New Roman"/>
          <w:color w:val="000000" w:themeColor="text1"/>
          <w:sz w:val="22"/>
          <w:szCs w:val="22"/>
        </w:rPr>
        <w:t xml:space="preserve"> </w:t>
      </w:r>
      <w:r w:rsidR="00490140" w:rsidRPr="003E01A4">
        <w:rPr>
          <w:rFonts w:ascii="Century Schoolbook" w:hAnsi="Century Schoolbook" w:cs="Times New Roman"/>
          <w:i/>
          <w:iCs/>
          <w:color w:val="000000" w:themeColor="text1"/>
          <w:sz w:val="22"/>
          <w:szCs w:val="22"/>
        </w:rPr>
        <w:t>tendenzialmente</w:t>
      </w:r>
      <w:r w:rsidR="00490140" w:rsidRPr="003E01A4">
        <w:rPr>
          <w:rFonts w:ascii="Century Schoolbook" w:hAnsi="Century Schoolbook" w:cs="Times New Roman"/>
          <w:color w:val="000000" w:themeColor="text1"/>
          <w:sz w:val="22"/>
          <w:szCs w:val="22"/>
        </w:rPr>
        <w:t xml:space="preserve"> estrane</w:t>
      </w:r>
      <w:r w:rsidR="00AB1439" w:rsidRPr="003E01A4">
        <w:rPr>
          <w:rFonts w:ascii="Century Schoolbook" w:hAnsi="Century Schoolbook" w:cs="Times New Roman"/>
          <w:color w:val="000000" w:themeColor="text1"/>
          <w:sz w:val="22"/>
          <w:szCs w:val="22"/>
        </w:rPr>
        <w:t>i</w:t>
      </w:r>
      <w:r w:rsidR="00490140" w:rsidRPr="003E01A4">
        <w:rPr>
          <w:rFonts w:ascii="Century Schoolbook" w:hAnsi="Century Schoolbook" w:cs="Times New Roman"/>
          <w:color w:val="000000" w:themeColor="text1"/>
          <w:sz w:val="22"/>
          <w:szCs w:val="22"/>
        </w:rPr>
        <w:t xml:space="preserve"> al resto d</w:t>
      </w:r>
      <w:r w:rsidR="00AB1439" w:rsidRPr="003E01A4">
        <w:rPr>
          <w:rFonts w:ascii="Century Schoolbook" w:hAnsi="Century Schoolbook" w:cs="Times New Roman"/>
          <w:color w:val="000000" w:themeColor="text1"/>
          <w:sz w:val="22"/>
          <w:szCs w:val="22"/>
        </w:rPr>
        <w:t>el Paese</w:t>
      </w:r>
      <w:r w:rsidR="00490140" w:rsidRPr="003E01A4">
        <w:rPr>
          <w:rStyle w:val="Rimandonotaapidipagina"/>
          <w:rFonts w:ascii="Century Schoolbook" w:hAnsi="Century Schoolbook" w:cs="Times New Roman"/>
          <w:color w:val="000000" w:themeColor="text1"/>
          <w:sz w:val="22"/>
          <w:szCs w:val="22"/>
        </w:rPr>
        <w:footnoteReference w:id="34"/>
      </w:r>
      <w:r w:rsidR="00490140" w:rsidRPr="003E01A4">
        <w:rPr>
          <w:rFonts w:ascii="Century Schoolbook" w:hAnsi="Century Schoolbook" w:cs="Times New Roman"/>
          <w:color w:val="000000" w:themeColor="text1"/>
          <w:sz w:val="22"/>
          <w:szCs w:val="22"/>
        </w:rPr>
        <w:t>.</w:t>
      </w:r>
    </w:p>
    <w:p w14:paraId="3CECFFD7" w14:textId="78108A45" w:rsidR="008E44BE" w:rsidRPr="003E01A4" w:rsidRDefault="00502BF1"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Il </w:t>
      </w:r>
      <w:r w:rsidR="005D76DE" w:rsidRPr="003E01A4">
        <w:rPr>
          <w:rFonts w:ascii="Century Schoolbook" w:hAnsi="Century Schoolbook"/>
          <w:sz w:val="22"/>
          <w:szCs w:val="22"/>
        </w:rPr>
        <w:t xml:space="preserve">pensiero giuridico ha </w:t>
      </w:r>
      <w:r w:rsidRPr="003E01A4">
        <w:rPr>
          <w:rFonts w:ascii="Century Schoolbook" w:hAnsi="Century Schoolbook"/>
          <w:sz w:val="22"/>
          <w:szCs w:val="22"/>
        </w:rPr>
        <w:t>colto bene</w:t>
      </w:r>
      <w:r w:rsidR="005D76DE" w:rsidRPr="003E01A4">
        <w:rPr>
          <w:rFonts w:ascii="Century Schoolbook" w:hAnsi="Century Schoolbook"/>
          <w:sz w:val="22"/>
          <w:szCs w:val="22"/>
        </w:rPr>
        <w:t xml:space="preserve"> questo p</w:t>
      </w:r>
      <w:r w:rsidR="00FA7731" w:rsidRPr="003E01A4">
        <w:rPr>
          <w:rFonts w:ascii="Century Schoolbook" w:hAnsi="Century Schoolbook"/>
          <w:sz w:val="22"/>
          <w:szCs w:val="22"/>
        </w:rPr>
        <w:t>rofilo</w:t>
      </w:r>
      <w:r w:rsidR="00996CBA" w:rsidRPr="003E01A4">
        <w:rPr>
          <w:rFonts w:ascii="Century Schoolbook" w:hAnsi="Century Schoolbook"/>
          <w:sz w:val="22"/>
          <w:szCs w:val="22"/>
        </w:rPr>
        <w:t>, come pure l’azione di riequilibrio provvidamente spiegata dalla Consulta nella pronuncia n. 179/’19 in esame</w:t>
      </w:r>
      <w:r w:rsidRPr="003E01A4">
        <w:rPr>
          <w:rFonts w:ascii="Century Schoolbook" w:hAnsi="Century Schoolbook"/>
          <w:sz w:val="22"/>
          <w:szCs w:val="22"/>
        </w:rPr>
        <w:t>: «l’applicazione del principio di sussidiarietà verticale secondo la preminente rilevanza del criterio della variabile dimensione degli interessi – pure rispetto ad ambiti decisionali storicamente riservati all</w:t>
      </w:r>
      <w:r w:rsidR="00D425D2" w:rsidRPr="003E01A4">
        <w:rPr>
          <w:rFonts w:ascii="Century Schoolbook" w:hAnsi="Century Schoolbook"/>
          <w:sz w:val="22"/>
          <w:szCs w:val="22"/>
        </w:rPr>
        <w:t>’</w:t>
      </w:r>
      <w:r w:rsidRPr="003E01A4">
        <w:rPr>
          <w:rFonts w:ascii="Century Schoolbook" w:hAnsi="Century Schoolbook"/>
          <w:sz w:val="22"/>
          <w:szCs w:val="22"/>
        </w:rPr>
        <w:t>autonomia locale – può determinare, paradossalmente, il riconoscimento dell</w:t>
      </w:r>
      <w:r w:rsidR="00D425D2" w:rsidRPr="003E01A4">
        <w:rPr>
          <w:rFonts w:ascii="Century Schoolbook" w:hAnsi="Century Schoolbook"/>
          <w:sz w:val="22"/>
          <w:szCs w:val="22"/>
        </w:rPr>
        <w:t>’</w:t>
      </w:r>
      <w:r w:rsidRPr="003E01A4">
        <w:rPr>
          <w:rFonts w:ascii="Century Schoolbook" w:hAnsi="Century Schoolbook"/>
          <w:sz w:val="22"/>
          <w:szCs w:val="22"/>
        </w:rPr>
        <w:t>autonomia locale ma attraverso logiche che sterilizzano comunque la clausola di prossimità quale presupposto dei principi sul riparto della potestà amministrativa. In tal modo, la Corte non preserva le prerogative locali per quella “decisione di preferenza in favore del livello più vicino agli interessati”</w:t>
      </w:r>
      <w:r w:rsidRPr="003E01A4">
        <w:rPr>
          <w:rFonts w:ascii="Times New Roman" w:hAnsi="Times New Roman" w:cs="Times New Roman"/>
          <w:sz w:val="22"/>
          <w:szCs w:val="22"/>
        </w:rPr>
        <w:t> </w:t>
      </w:r>
      <w:r w:rsidRPr="003E01A4">
        <w:rPr>
          <w:rFonts w:ascii="Century Schoolbook" w:hAnsi="Century Schoolbook"/>
          <w:sz w:val="22"/>
          <w:szCs w:val="22"/>
        </w:rPr>
        <w:t>da ricondurre al maggior tasso di democraticità insito nelle istituzioni locali quali più immediate espressioni della volontà popolare. I giudici costituzionali ricorrono, invece, a criteri certamente più elastici ma che il più delle volte tendono a ridurre gli spazi di autonomia degli enti locali, come attestano i precedenti richiamati dalla stessa pronuncia in commento dove la Corte, o ha deciso sull'assetto pre-riforma delle competenze, oppure, in presenza di un effettivo contrasto in materia urbanistica tra interesse sovralocale e interesse comunale, ha perlopiù sancito la prevalenza del primo sul secondo, anche in caso di interventi regionali ben più incisivi di quelli di programmazione e coordinamento»</w:t>
      </w:r>
      <w:r w:rsidRPr="003E01A4">
        <w:rPr>
          <w:rStyle w:val="Rimandonotaapidipagina"/>
          <w:rFonts w:ascii="Century Schoolbook" w:hAnsi="Century Schoolbook"/>
          <w:sz w:val="22"/>
          <w:szCs w:val="22"/>
        </w:rPr>
        <w:footnoteReference w:id="35"/>
      </w:r>
      <w:r w:rsidRPr="003E01A4">
        <w:rPr>
          <w:rFonts w:ascii="Century Schoolbook" w:hAnsi="Century Schoolbook"/>
          <w:sz w:val="22"/>
          <w:szCs w:val="22"/>
        </w:rPr>
        <w:t>.</w:t>
      </w:r>
    </w:p>
    <w:p w14:paraId="2E3F403A" w14:textId="48626DDA" w:rsidR="006E0104" w:rsidRPr="003E01A4" w:rsidRDefault="00241AB1"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Mi sembra che </w:t>
      </w:r>
      <w:r w:rsidR="00996CBA" w:rsidRPr="003E01A4">
        <w:rPr>
          <w:rFonts w:ascii="Century Schoolbook" w:hAnsi="Century Schoolbook"/>
          <w:sz w:val="22"/>
          <w:szCs w:val="22"/>
        </w:rPr>
        <w:t>quel</w:t>
      </w:r>
      <w:r w:rsidR="006E0104" w:rsidRPr="003E01A4">
        <w:rPr>
          <w:rFonts w:ascii="Century Schoolbook" w:hAnsi="Century Schoolbook"/>
          <w:sz w:val="22"/>
          <w:szCs w:val="22"/>
        </w:rPr>
        <w:t xml:space="preserve">la </w:t>
      </w:r>
      <w:r w:rsidR="00F80181" w:rsidRPr="003E01A4">
        <w:rPr>
          <w:rFonts w:ascii="Century Schoolbook" w:hAnsi="Century Schoolbook"/>
          <w:sz w:val="22"/>
          <w:szCs w:val="22"/>
        </w:rPr>
        <w:t xml:space="preserve">pronuncia </w:t>
      </w:r>
      <w:r w:rsidR="006E0104" w:rsidRPr="003E01A4">
        <w:rPr>
          <w:rFonts w:ascii="Century Schoolbook" w:hAnsi="Century Schoolbook"/>
          <w:sz w:val="22"/>
          <w:szCs w:val="22"/>
        </w:rPr>
        <w:t xml:space="preserve">sia </w:t>
      </w:r>
      <w:r w:rsidR="00F80181" w:rsidRPr="003E01A4">
        <w:rPr>
          <w:rFonts w:ascii="Century Schoolbook" w:hAnsi="Century Schoolbook"/>
          <w:sz w:val="22"/>
          <w:szCs w:val="22"/>
        </w:rPr>
        <w:t xml:space="preserve">abbastanza </w:t>
      </w:r>
      <w:r w:rsidR="006E0104" w:rsidRPr="003E01A4">
        <w:rPr>
          <w:rFonts w:ascii="Century Schoolbook" w:hAnsi="Century Schoolbook"/>
          <w:sz w:val="22"/>
          <w:szCs w:val="22"/>
        </w:rPr>
        <w:t xml:space="preserve">in asse con la </w:t>
      </w:r>
      <w:r w:rsidR="00996CBA" w:rsidRPr="003E01A4">
        <w:rPr>
          <w:rFonts w:ascii="Century Schoolbook" w:hAnsi="Century Schoolbook"/>
          <w:sz w:val="22"/>
          <w:szCs w:val="22"/>
        </w:rPr>
        <w:t>precedente</w:t>
      </w:r>
      <w:r w:rsidR="006E0104" w:rsidRPr="003E01A4">
        <w:rPr>
          <w:rFonts w:ascii="Century Schoolbook" w:hAnsi="Century Schoolbook"/>
          <w:sz w:val="22"/>
          <w:szCs w:val="22"/>
        </w:rPr>
        <w:t xml:space="preserve"> </w:t>
      </w:r>
      <w:r w:rsidR="00F80181" w:rsidRPr="003E01A4">
        <w:rPr>
          <w:rFonts w:ascii="Century Schoolbook" w:hAnsi="Century Schoolbook"/>
          <w:sz w:val="22"/>
          <w:szCs w:val="22"/>
        </w:rPr>
        <w:t>decisione</w:t>
      </w:r>
      <w:r w:rsidR="006E0104" w:rsidRPr="003E01A4">
        <w:rPr>
          <w:rFonts w:ascii="Century Schoolbook" w:hAnsi="Century Schoolbook"/>
          <w:sz w:val="22"/>
          <w:szCs w:val="22"/>
        </w:rPr>
        <w:t xml:space="preserve"> </w:t>
      </w:r>
      <w:r w:rsidR="00FA7731" w:rsidRPr="003E01A4">
        <w:rPr>
          <w:rFonts w:ascii="Century Schoolbook" w:hAnsi="Century Schoolbook"/>
          <w:sz w:val="22"/>
          <w:szCs w:val="22"/>
        </w:rPr>
        <w:t>25 gennaio 20</w:t>
      </w:r>
      <w:r w:rsidR="006E0104" w:rsidRPr="003E01A4">
        <w:rPr>
          <w:rFonts w:ascii="Century Schoolbook" w:hAnsi="Century Schoolbook"/>
          <w:sz w:val="22"/>
          <w:szCs w:val="22"/>
        </w:rPr>
        <w:t xml:space="preserve">19, </w:t>
      </w:r>
      <w:r w:rsidR="00FA7731" w:rsidRPr="003E01A4">
        <w:rPr>
          <w:rFonts w:ascii="Century Schoolbook" w:hAnsi="Century Schoolbook"/>
          <w:sz w:val="22"/>
          <w:szCs w:val="22"/>
        </w:rPr>
        <w:t>n. 9,</w:t>
      </w:r>
      <w:r w:rsidR="005D76DE" w:rsidRPr="003E01A4">
        <w:rPr>
          <w:rFonts w:ascii="Century Schoolbook" w:hAnsi="Century Schoolbook"/>
          <w:sz w:val="22"/>
          <w:szCs w:val="22"/>
        </w:rPr>
        <w:t xml:space="preserve"> dove</w:t>
      </w:r>
      <w:r w:rsidR="006E0104" w:rsidRPr="003E01A4">
        <w:rPr>
          <w:rFonts w:ascii="Century Schoolbook" w:hAnsi="Century Schoolbook"/>
          <w:sz w:val="22"/>
          <w:szCs w:val="22"/>
        </w:rPr>
        <w:t xml:space="preserve"> la Corte ha chiarito il ruolo che l’ordinamento attribuisce ai municipî – in particolare </w:t>
      </w:r>
      <w:r w:rsidR="0059418F" w:rsidRPr="003E01A4">
        <w:rPr>
          <w:rFonts w:ascii="Century Schoolbook" w:hAnsi="Century Schoolbook"/>
          <w:sz w:val="22"/>
          <w:szCs w:val="22"/>
        </w:rPr>
        <w:t>a</w:t>
      </w:r>
      <w:r w:rsidR="006E0104" w:rsidRPr="003E01A4">
        <w:rPr>
          <w:rFonts w:ascii="Century Schoolbook" w:hAnsi="Century Schoolbook"/>
          <w:sz w:val="22"/>
          <w:szCs w:val="22"/>
        </w:rPr>
        <w:t xml:space="preserve">ll’organo collegiale rappresentativo e dunque politico: il consiglio comunale – nei modelli in cui, dopo la conclusione della conferenza, il diritto positivo prevede un segmento procedimentale </w:t>
      </w:r>
      <w:r w:rsidR="006E0104" w:rsidRPr="003E01A4">
        <w:rPr>
          <w:rFonts w:ascii="Century Schoolbook" w:hAnsi="Century Schoolbook"/>
          <w:i/>
          <w:iCs/>
          <w:sz w:val="22"/>
          <w:szCs w:val="22"/>
        </w:rPr>
        <w:t>ulteriore</w:t>
      </w:r>
      <w:r w:rsidR="006E0104" w:rsidRPr="003E01A4">
        <w:rPr>
          <w:rFonts w:ascii="Century Schoolbook" w:hAnsi="Century Schoolbook"/>
          <w:sz w:val="22"/>
          <w:szCs w:val="22"/>
        </w:rPr>
        <w:t>.</w:t>
      </w:r>
    </w:p>
    <w:p w14:paraId="7FCA342D" w14:textId="37C03BA4" w:rsidR="00241AB1" w:rsidRPr="003E01A4" w:rsidRDefault="006E0104"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 </w:t>
      </w:r>
      <w:r w:rsidR="0059418F" w:rsidRPr="003E01A4">
        <w:rPr>
          <w:rFonts w:ascii="Century Schoolbook" w:hAnsi="Century Schoolbook"/>
          <w:sz w:val="22"/>
          <w:szCs w:val="22"/>
        </w:rPr>
        <w:t xml:space="preserve">La premessa concettuale è limpida: il quadro normativo attuale «è il frutto di una lunga e complessa evoluzione legislativa dell’istituto della conferenza di servizi, che ha visto oscillare il legislatore tra un modello a struttura unitaria e uno a struttura dicotomica del suo atto conclusivo. Superando le incertezze che talune formule legislative avevano ingenerato, il testo oggi vigente è chiaro nell’opzione a favore di un modello a struttura unitaria». Nel caso </w:t>
      </w:r>
      <w:r w:rsidR="00374944" w:rsidRPr="003E01A4">
        <w:rPr>
          <w:rFonts w:ascii="Century Schoolbook" w:hAnsi="Century Schoolbook"/>
          <w:sz w:val="22"/>
          <w:szCs w:val="22"/>
        </w:rPr>
        <w:t xml:space="preserve">ivi </w:t>
      </w:r>
      <w:r w:rsidR="0059418F" w:rsidRPr="003E01A4">
        <w:rPr>
          <w:rFonts w:ascii="Century Schoolbook" w:hAnsi="Century Schoolbook"/>
          <w:sz w:val="22"/>
          <w:szCs w:val="22"/>
        </w:rPr>
        <w:t xml:space="preserve">esaminato, </w:t>
      </w:r>
      <w:r w:rsidR="007B5879" w:rsidRPr="003E01A4">
        <w:rPr>
          <w:rFonts w:ascii="Century Schoolbook" w:hAnsi="Century Schoolbook"/>
          <w:sz w:val="22"/>
          <w:szCs w:val="22"/>
        </w:rPr>
        <w:t>al contrario</w:t>
      </w:r>
      <w:r w:rsidR="0059418F" w:rsidRPr="003E01A4">
        <w:rPr>
          <w:rFonts w:ascii="Century Schoolbook" w:hAnsi="Century Schoolbook"/>
          <w:sz w:val="22"/>
          <w:szCs w:val="22"/>
        </w:rPr>
        <w:t>, «il legislatore regionale – escludendo dalla conferenza la valutazione dell’organo politico inscindibilmente legata alla determinazione da assumere, in quanto quest’ultima “presuppone o implica” la prima – si pone in una logica che, lungi dal potenziare o sviluppare il disegno di semplificazione e accelerazione definito dal legislatore statale, finisce con il vanificare il senso stesso della conferenza e l’efficacia della sua determinazione conclusiva. In base alla previsione regionale contestata, infatti, la decisione dell’organo di indirizzo politico mantiene la sua autonomia e può arrivare a stravolgere, dall’esterno, l’esito della conferenza, giacché le valutazioni espresse da detto organo (siano esse assunte prima o dopo lo svolgimento della conferenza) prevalgono su quelle degli altri partecipanti. Così disponendo, il legislatore lombardo assegna alla decisione dell’organo di indirizzo politico (estrapolata dalla conferenza di servizi) un valore diverso e maggiore rispetto a quello delle valutazioni espresse dalle altre amministrazioni competenti</w:t>
      </w:r>
      <w:r w:rsidR="007B5879" w:rsidRPr="003E01A4">
        <w:rPr>
          <w:rFonts w:ascii="Century Schoolbook" w:hAnsi="Century Schoolbook"/>
          <w:sz w:val="22"/>
          <w:szCs w:val="22"/>
        </w:rPr>
        <w:t xml:space="preserve">. Inoltre, la norma regionale – prevedendo che l’efficacia della determinazione di conclusione della conferenza sia sospesa nelle more della formalizzazione del provvedimento dell’organo politico – tradisce anche sotto un diverso profilo la </w:t>
      </w:r>
      <w:r w:rsidR="007B5879" w:rsidRPr="003E01A4">
        <w:rPr>
          <w:rFonts w:ascii="Century Schoolbook" w:hAnsi="Century Schoolbook"/>
          <w:i/>
          <w:iCs/>
          <w:sz w:val="22"/>
          <w:szCs w:val="22"/>
        </w:rPr>
        <w:t>ratio</w:t>
      </w:r>
      <w:r w:rsidR="007B5879" w:rsidRPr="003E01A4">
        <w:rPr>
          <w:rFonts w:ascii="Century Schoolbook" w:hAnsi="Century Schoolbook"/>
          <w:sz w:val="22"/>
          <w:szCs w:val="22"/>
        </w:rPr>
        <w:t xml:space="preserve"> dell’istituto, eludendo l’esigenza di speditezza e contestualità cui risponde la previsione che non solo impone a tutte le amministrazioni interessate di esprimere il proprio dissenso in conferenza, ma assegna alla determinazione ivi assunta efficacia sostitutiva, a ogni effetto, di tutti gli atti di assenso, comunque denominati, di competenza delle amministrazioni coinvolte</w:t>
      </w:r>
      <w:r w:rsidR="00794826" w:rsidRPr="003E01A4">
        <w:rPr>
          <w:rFonts w:ascii="Century Schoolbook" w:hAnsi="Century Schoolbook"/>
          <w:sz w:val="22"/>
          <w:szCs w:val="22"/>
        </w:rPr>
        <w:t>. […] In conclusione, la norma regionale impugnata non assicura “livelli ulteriori di tutela”, e anzi chiaramente sacrifica le finalità di semplificazione e velocità alla cui protezione è orientata la disciplina statale. Essa configura inoltre un modello di conferenza di servizi del tutto squilibrato e contraddittorio: squilibrato, perché assegna una netta prevalenza alla valutazione degli organi di indirizzo politico (senza precisare inoltre che cosa avvenga in caso di coinvolgimento di più organi politici); contraddittorio, perché, sebbene la decisione da assumere in conferenza presupponga o implichi un provvedimento di questi organi, la loro valutazione è separata da quella degli altri soggetti interessati</w:t>
      </w:r>
      <w:r w:rsidR="0059418F" w:rsidRPr="003E01A4">
        <w:rPr>
          <w:rFonts w:ascii="Century Schoolbook" w:hAnsi="Century Schoolbook"/>
          <w:sz w:val="22"/>
          <w:szCs w:val="22"/>
        </w:rPr>
        <w:t>».</w:t>
      </w:r>
    </w:p>
    <w:p w14:paraId="18CE1F21" w14:textId="57E41892" w:rsidR="00C50E49" w:rsidRPr="003E01A4" w:rsidRDefault="00374944"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In sintesi. </w:t>
      </w:r>
      <w:r w:rsidR="00495F37" w:rsidRPr="003E01A4">
        <w:rPr>
          <w:rFonts w:ascii="Century Schoolbook" w:hAnsi="Century Schoolbook"/>
          <w:sz w:val="22"/>
          <w:szCs w:val="22"/>
        </w:rPr>
        <w:t>Ne</w:t>
      </w:r>
      <w:r w:rsidR="00C6725B" w:rsidRPr="003E01A4">
        <w:rPr>
          <w:rFonts w:ascii="Century Schoolbook" w:hAnsi="Century Schoolbook"/>
          <w:sz w:val="22"/>
          <w:szCs w:val="22"/>
        </w:rPr>
        <w:t>l modello</w:t>
      </w:r>
      <w:r w:rsidRPr="003E01A4">
        <w:rPr>
          <w:rFonts w:ascii="Century Schoolbook" w:hAnsi="Century Schoolbook"/>
          <w:sz w:val="22"/>
          <w:szCs w:val="22"/>
        </w:rPr>
        <w:t xml:space="preserve"> conferenziale </w:t>
      </w:r>
      <w:r w:rsidR="00495F37" w:rsidRPr="003E01A4">
        <w:rPr>
          <w:rFonts w:ascii="Century Schoolbook" w:hAnsi="Century Schoolbook"/>
          <w:sz w:val="22"/>
          <w:szCs w:val="22"/>
        </w:rPr>
        <w:t>la decisione finale</w:t>
      </w:r>
      <w:r w:rsidR="00597197" w:rsidRPr="003E01A4">
        <w:rPr>
          <w:rFonts w:ascii="Century Schoolbook" w:hAnsi="Century Schoolbook"/>
          <w:sz w:val="22"/>
          <w:szCs w:val="22"/>
        </w:rPr>
        <w:t xml:space="preserve">, </w:t>
      </w:r>
      <w:r w:rsidR="00597197" w:rsidRPr="003E01A4">
        <w:rPr>
          <w:rFonts w:ascii="Century Schoolbook" w:hAnsi="Century Schoolbook"/>
          <w:i/>
          <w:iCs/>
          <w:sz w:val="22"/>
          <w:szCs w:val="22"/>
        </w:rPr>
        <w:t>anche se connotata da un tasso elevato di politicità</w:t>
      </w:r>
      <w:r w:rsidR="00597197" w:rsidRPr="003E01A4">
        <w:rPr>
          <w:rFonts w:ascii="Century Schoolbook" w:hAnsi="Century Schoolbook"/>
          <w:sz w:val="22"/>
          <w:szCs w:val="22"/>
        </w:rPr>
        <w:t>,</w:t>
      </w:r>
      <w:r w:rsidR="00495F37" w:rsidRPr="003E01A4">
        <w:rPr>
          <w:rFonts w:ascii="Century Schoolbook" w:hAnsi="Century Schoolbook"/>
          <w:sz w:val="22"/>
          <w:szCs w:val="22"/>
        </w:rPr>
        <w:t xml:space="preserve"> deve indefettibilmente adottarsi </w:t>
      </w:r>
      <w:r w:rsidR="00495F37" w:rsidRPr="003E01A4">
        <w:rPr>
          <w:rFonts w:ascii="Century Schoolbook" w:hAnsi="Century Schoolbook"/>
          <w:i/>
          <w:iCs/>
          <w:sz w:val="22"/>
          <w:szCs w:val="22"/>
        </w:rPr>
        <w:t>al</w:t>
      </w:r>
      <w:r w:rsidR="00597197" w:rsidRPr="003E01A4">
        <w:rPr>
          <w:rFonts w:ascii="Century Schoolbook" w:hAnsi="Century Schoolbook"/>
          <w:i/>
          <w:iCs/>
          <w:sz w:val="22"/>
          <w:szCs w:val="22"/>
        </w:rPr>
        <w:t>l’</w:t>
      </w:r>
      <w:r w:rsidR="00495F37" w:rsidRPr="003E01A4">
        <w:rPr>
          <w:rFonts w:ascii="Century Schoolbook" w:hAnsi="Century Schoolbook"/>
          <w:i/>
          <w:iCs/>
          <w:sz w:val="22"/>
          <w:szCs w:val="22"/>
        </w:rPr>
        <w:t>interno</w:t>
      </w:r>
      <w:r w:rsidR="00597197" w:rsidRPr="003E01A4">
        <w:rPr>
          <w:rFonts w:ascii="Century Schoolbook" w:hAnsi="Century Schoolbook"/>
          <w:sz w:val="22"/>
          <w:szCs w:val="22"/>
        </w:rPr>
        <w:t xml:space="preserve"> del relativo procedimento, </w:t>
      </w:r>
      <w:r w:rsidR="00495F37" w:rsidRPr="003E01A4">
        <w:rPr>
          <w:rFonts w:ascii="Century Schoolbook" w:hAnsi="Century Schoolbook"/>
          <w:sz w:val="22"/>
          <w:szCs w:val="22"/>
        </w:rPr>
        <w:t xml:space="preserve">come atto che la conclude. Una strutturazione diversa – che </w:t>
      </w:r>
      <w:r w:rsidR="000B194F" w:rsidRPr="003E01A4">
        <w:rPr>
          <w:rFonts w:ascii="Century Schoolbook" w:hAnsi="Century Schoolbook"/>
          <w:sz w:val="22"/>
          <w:szCs w:val="22"/>
        </w:rPr>
        <w:t>colloc</w:t>
      </w:r>
      <w:r w:rsidR="000E4A94" w:rsidRPr="003E01A4">
        <w:rPr>
          <w:rFonts w:ascii="Century Schoolbook" w:hAnsi="Century Schoolbook"/>
          <w:sz w:val="22"/>
          <w:szCs w:val="22"/>
        </w:rPr>
        <w:t>hi</w:t>
      </w:r>
      <w:r w:rsidR="00495F37" w:rsidRPr="003E01A4">
        <w:rPr>
          <w:rFonts w:ascii="Century Schoolbook" w:hAnsi="Century Schoolbook"/>
          <w:sz w:val="22"/>
          <w:szCs w:val="22"/>
        </w:rPr>
        <w:t xml:space="preserve"> </w:t>
      </w:r>
      <w:r w:rsidR="000B194F" w:rsidRPr="003E01A4">
        <w:rPr>
          <w:rFonts w:ascii="Century Schoolbook" w:hAnsi="Century Schoolbook"/>
          <w:sz w:val="22"/>
          <w:szCs w:val="22"/>
        </w:rPr>
        <w:t xml:space="preserve">invece </w:t>
      </w:r>
      <w:r w:rsidR="00495F37" w:rsidRPr="003E01A4">
        <w:rPr>
          <w:rFonts w:ascii="Century Schoolbook" w:hAnsi="Century Schoolbook"/>
          <w:sz w:val="22"/>
          <w:szCs w:val="22"/>
        </w:rPr>
        <w:t xml:space="preserve">quella decisione </w:t>
      </w:r>
      <w:r w:rsidR="00495F37" w:rsidRPr="003E01A4">
        <w:rPr>
          <w:rFonts w:ascii="Century Schoolbook" w:hAnsi="Century Schoolbook"/>
          <w:i/>
          <w:iCs/>
          <w:sz w:val="22"/>
          <w:szCs w:val="22"/>
        </w:rPr>
        <w:t>al</w:t>
      </w:r>
      <w:r w:rsidR="000B194F" w:rsidRPr="003E01A4">
        <w:rPr>
          <w:rFonts w:ascii="Century Schoolbook" w:hAnsi="Century Schoolbook"/>
          <w:i/>
          <w:iCs/>
          <w:sz w:val="22"/>
          <w:szCs w:val="22"/>
        </w:rPr>
        <w:t>l’esterno</w:t>
      </w:r>
      <w:r w:rsidR="00495F37" w:rsidRPr="003E01A4">
        <w:rPr>
          <w:rFonts w:ascii="Century Schoolbook" w:hAnsi="Century Schoolbook"/>
          <w:i/>
          <w:iCs/>
          <w:sz w:val="22"/>
          <w:szCs w:val="22"/>
        </w:rPr>
        <w:t xml:space="preserve"> </w:t>
      </w:r>
      <w:r w:rsidR="00495F37" w:rsidRPr="003E01A4">
        <w:rPr>
          <w:rFonts w:ascii="Century Schoolbook" w:hAnsi="Century Schoolbook"/>
          <w:sz w:val="22"/>
          <w:szCs w:val="22"/>
        </w:rPr>
        <w:t xml:space="preserve">– </w:t>
      </w:r>
      <w:r w:rsidR="000E4A94" w:rsidRPr="003E01A4">
        <w:rPr>
          <w:rFonts w:ascii="Century Schoolbook" w:hAnsi="Century Schoolbook"/>
          <w:sz w:val="22"/>
          <w:szCs w:val="22"/>
        </w:rPr>
        <w:t>è</w:t>
      </w:r>
      <w:r w:rsidR="00C6725B" w:rsidRPr="003E01A4">
        <w:rPr>
          <w:rFonts w:ascii="Century Schoolbook" w:hAnsi="Century Schoolbook"/>
          <w:sz w:val="22"/>
          <w:szCs w:val="22"/>
        </w:rPr>
        <w:t xml:space="preserve"> pertanto incostituzionale, poiché le </w:t>
      </w:r>
      <w:r w:rsidR="00495F37" w:rsidRPr="003E01A4">
        <w:rPr>
          <w:rFonts w:ascii="Century Schoolbook" w:hAnsi="Century Schoolbook"/>
          <w:sz w:val="22"/>
          <w:szCs w:val="22"/>
        </w:rPr>
        <w:t xml:space="preserve">disposizioni della l. n. 241/’90 in materia </w:t>
      </w:r>
      <w:r w:rsidR="00C6725B" w:rsidRPr="003E01A4">
        <w:rPr>
          <w:rFonts w:ascii="Century Schoolbook" w:hAnsi="Century Schoolbook"/>
          <w:sz w:val="22"/>
          <w:szCs w:val="22"/>
        </w:rPr>
        <w:t xml:space="preserve">definiscono </w:t>
      </w:r>
      <w:r w:rsidR="00495F37" w:rsidRPr="003E01A4">
        <w:rPr>
          <w:rFonts w:ascii="Century Schoolbook" w:hAnsi="Century Schoolbook"/>
          <w:sz w:val="22"/>
          <w:szCs w:val="22"/>
        </w:rPr>
        <w:t xml:space="preserve">(come norme interposte) </w:t>
      </w:r>
      <w:r w:rsidR="00C6725B" w:rsidRPr="003E01A4">
        <w:rPr>
          <w:rFonts w:ascii="Century Schoolbook" w:hAnsi="Century Schoolbook"/>
          <w:sz w:val="22"/>
          <w:szCs w:val="22"/>
        </w:rPr>
        <w:t xml:space="preserve">un </w:t>
      </w:r>
      <w:r w:rsidR="00495F37" w:rsidRPr="003E01A4">
        <w:rPr>
          <w:rFonts w:ascii="Century Schoolbook" w:hAnsi="Century Schoolbook"/>
          <w:sz w:val="22"/>
          <w:szCs w:val="22"/>
        </w:rPr>
        <w:t xml:space="preserve">inderogabile </w:t>
      </w:r>
      <w:r w:rsidR="00C6725B" w:rsidRPr="003E01A4">
        <w:rPr>
          <w:rFonts w:ascii="Century Schoolbook" w:hAnsi="Century Schoolbook"/>
          <w:sz w:val="22"/>
          <w:szCs w:val="22"/>
        </w:rPr>
        <w:t xml:space="preserve">livello essenziale di prestazioni </w:t>
      </w:r>
      <w:r w:rsidR="00C6725B" w:rsidRPr="003E01A4">
        <w:rPr>
          <w:rFonts w:ascii="Century Schoolbook" w:hAnsi="Century Schoolbook"/>
          <w:i/>
          <w:iCs/>
          <w:sz w:val="22"/>
          <w:szCs w:val="22"/>
        </w:rPr>
        <w:t>ex</w:t>
      </w:r>
      <w:r w:rsidR="00C6725B" w:rsidRPr="003E01A4">
        <w:rPr>
          <w:rFonts w:ascii="Century Schoolbook" w:hAnsi="Century Schoolbook"/>
          <w:sz w:val="22"/>
          <w:szCs w:val="22"/>
        </w:rPr>
        <w:t xml:space="preserve"> art. 117, secondo comma, lett. m), Cost.</w:t>
      </w:r>
      <w:r w:rsidR="004872A9" w:rsidRPr="003E01A4">
        <w:rPr>
          <w:rStyle w:val="Rimandonotaapidipagina"/>
          <w:rFonts w:ascii="Century Schoolbook" w:hAnsi="Century Schoolbook"/>
          <w:sz w:val="22"/>
          <w:szCs w:val="22"/>
        </w:rPr>
        <w:footnoteReference w:id="36"/>
      </w:r>
      <w:r w:rsidR="004872A9" w:rsidRPr="003E01A4">
        <w:rPr>
          <w:rFonts w:ascii="Century Schoolbook" w:hAnsi="Century Schoolbook"/>
          <w:sz w:val="22"/>
          <w:szCs w:val="22"/>
        </w:rPr>
        <w:t>.</w:t>
      </w:r>
    </w:p>
    <w:p w14:paraId="3272BF78" w14:textId="1C290E22" w:rsidR="007A2ED7" w:rsidRPr="003E01A4" w:rsidRDefault="00597197"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Anche la decisione </w:t>
      </w:r>
      <w:r w:rsidRPr="003E01A4">
        <w:rPr>
          <w:rFonts w:ascii="Century Schoolbook" w:hAnsi="Century Schoolbook"/>
          <w:i/>
          <w:iCs/>
          <w:sz w:val="22"/>
          <w:szCs w:val="22"/>
        </w:rPr>
        <w:t>politica</w:t>
      </w:r>
      <w:r w:rsidR="007A2ED7" w:rsidRPr="003E01A4">
        <w:rPr>
          <w:rStyle w:val="Rimandonotaapidipagina"/>
          <w:rFonts w:ascii="Century Schoolbook" w:hAnsi="Century Schoolbook"/>
          <w:sz w:val="22"/>
          <w:szCs w:val="22"/>
        </w:rPr>
        <w:footnoteReference w:id="37"/>
      </w:r>
      <w:r w:rsidRPr="003E01A4">
        <w:rPr>
          <w:rFonts w:ascii="Century Schoolbook" w:hAnsi="Century Schoolbook"/>
          <w:sz w:val="22"/>
          <w:szCs w:val="22"/>
        </w:rPr>
        <w:t xml:space="preserve"> dev’esser quindi assunta all’interno della conferenza, in tal modo </w:t>
      </w:r>
      <w:r w:rsidR="007A2ED7" w:rsidRPr="003E01A4">
        <w:rPr>
          <w:rFonts w:ascii="Century Schoolbook" w:hAnsi="Century Schoolbook"/>
          <w:sz w:val="22"/>
          <w:szCs w:val="22"/>
        </w:rPr>
        <w:t>definendola</w:t>
      </w:r>
      <w:r w:rsidRPr="003E01A4">
        <w:rPr>
          <w:rFonts w:ascii="Century Schoolbook" w:hAnsi="Century Schoolbook"/>
          <w:sz w:val="22"/>
          <w:szCs w:val="22"/>
        </w:rPr>
        <w:t>.</w:t>
      </w:r>
    </w:p>
    <w:p w14:paraId="60AF5CA0" w14:textId="01DB3D94" w:rsidR="007A2ED7" w:rsidRPr="003E01A4" w:rsidRDefault="007A2ED7"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Questo ci dice C. cost. 9/’19 cit., che però </w:t>
      </w:r>
      <w:r w:rsidR="000E4A94" w:rsidRPr="003E01A4">
        <w:rPr>
          <w:rFonts w:ascii="Century Schoolbook" w:hAnsi="Century Schoolbook"/>
          <w:sz w:val="22"/>
          <w:szCs w:val="22"/>
        </w:rPr>
        <w:t xml:space="preserve">contiene </w:t>
      </w:r>
      <w:r w:rsidR="00C960FA" w:rsidRPr="003E01A4">
        <w:rPr>
          <w:rFonts w:ascii="Century Schoolbook" w:hAnsi="Century Schoolbook"/>
          <w:sz w:val="22"/>
          <w:szCs w:val="22"/>
        </w:rPr>
        <w:t xml:space="preserve">altre </w:t>
      </w:r>
      <w:r w:rsidR="000E4A94" w:rsidRPr="003E01A4">
        <w:rPr>
          <w:rFonts w:ascii="Century Schoolbook" w:hAnsi="Century Schoolbook"/>
          <w:sz w:val="22"/>
          <w:szCs w:val="22"/>
        </w:rPr>
        <w:t>affermazioni</w:t>
      </w:r>
      <w:r w:rsidR="00C960FA" w:rsidRPr="003E01A4">
        <w:rPr>
          <w:rFonts w:ascii="Century Schoolbook" w:hAnsi="Century Schoolbook"/>
          <w:sz w:val="22"/>
          <w:szCs w:val="22"/>
        </w:rPr>
        <w:t xml:space="preserve"> interessanti</w:t>
      </w:r>
      <w:r w:rsidR="000E4A94" w:rsidRPr="003E01A4">
        <w:rPr>
          <w:rFonts w:ascii="Century Schoolbook" w:hAnsi="Century Schoolbook"/>
          <w:sz w:val="22"/>
          <w:szCs w:val="22"/>
        </w:rPr>
        <w:t>, pur se meno condivisibili</w:t>
      </w:r>
      <w:r w:rsidRPr="003E01A4">
        <w:rPr>
          <w:rFonts w:ascii="Century Schoolbook" w:hAnsi="Century Schoolbook"/>
          <w:sz w:val="22"/>
          <w:szCs w:val="22"/>
        </w:rPr>
        <w:t>.</w:t>
      </w:r>
    </w:p>
    <w:p w14:paraId="60A73204" w14:textId="6E039BDA" w:rsidR="000B194F" w:rsidRPr="003E01A4" w:rsidRDefault="000E4A94"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L</w:t>
      </w:r>
      <w:r w:rsidR="007A2ED7" w:rsidRPr="003E01A4">
        <w:rPr>
          <w:rFonts w:ascii="Century Schoolbook" w:hAnsi="Century Schoolbook"/>
          <w:sz w:val="22"/>
          <w:szCs w:val="22"/>
        </w:rPr>
        <w:t xml:space="preserve">a Corte è chiamata a fronteggiare </w:t>
      </w:r>
      <w:r w:rsidRPr="003E01A4">
        <w:rPr>
          <w:rFonts w:ascii="Century Schoolbook" w:hAnsi="Century Schoolbook"/>
          <w:sz w:val="22"/>
          <w:szCs w:val="22"/>
        </w:rPr>
        <w:t xml:space="preserve">anche </w:t>
      </w:r>
      <w:r w:rsidR="007A2ED7" w:rsidRPr="003E01A4">
        <w:rPr>
          <w:rFonts w:ascii="Century Schoolbook" w:hAnsi="Century Schoolbook"/>
          <w:sz w:val="22"/>
          <w:szCs w:val="22"/>
        </w:rPr>
        <w:t>una questione discendente dal principio di diritto che ho appena ricordato. Questa</w:t>
      </w:r>
      <w:r w:rsidR="00357452" w:rsidRPr="003E01A4">
        <w:rPr>
          <w:rFonts w:ascii="Century Schoolbook" w:hAnsi="Century Schoolbook"/>
          <w:sz w:val="22"/>
          <w:szCs w:val="22"/>
        </w:rPr>
        <w:t>:</w:t>
      </w:r>
      <w:r w:rsidR="007A2ED7" w:rsidRPr="003E01A4">
        <w:rPr>
          <w:rFonts w:ascii="Century Schoolbook" w:hAnsi="Century Schoolbook"/>
          <w:sz w:val="22"/>
          <w:szCs w:val="22"/>
        </w:rPr>
        <w:t xml:space="preserve"> </w:t>
      </w:r>
      <w:r w:rsidR="00357452" w:rsidRPr="003E01A4">
        <w:rPr>
          <w:rFonts w:ascii="Century Schoolbook" w:hAnsi="Century Schoolbook"/>
          <w:sz w:val="22"/>
          <w:szCs w:val="22"/>
        </w:rPr>
        <w:t>p</w:t>
      </w:r>
      <w:r w:rsidR="00C960FA" w:rsidRPr="003E01A4">
        <w:rPr>
          <w:rFonts w:ascii="Century Schoolbook" w:hAnsi="Century Schoolbook"/>
          <w:sz w:val="22"/>
          <w:szCs w:val="22"/>
        </w:rPr>
        <w:t>oiché</w:t>
      </w:r>
      <w:r w:rsidR="007A2ED7" w:rsidRPr="003E01A4">
        <w:rPr>
          <w:rFonts w:ascii="Century Schoolbook" w:hAnsi="Century Schoolbook"/>
          <w:sz w:val="22"/>
          <w:szCs w:val="22"/>
        </w:rPr>
        <w:t xml:space="preserve"> nel modello conferenziale </w:t>
      </w:r>
      <w:r w:rsidR="00C030BA" w:rsidRPr="003E01A4">
        <w:rPr>
          <w:rFonts w:ascii="Century Schoolbook" w:hAnsi="Century Schoolbook"/>
          <w:sz w:val="22"/>
          <w:szCs w:val="22"/>
        </w:rPr>
        <w:t xml:space="preserve">neppure la decisione politica può “sfuggire” dal relativo procedimento, pena l’incostituzionalità delle norme che disegnino un assetto così concepito, </w:t>
      </w:r>
      <w:r w:rsidR="00DE669F" w:rsidRPr="003E01A4">
        <w:rPr>
          <w:rFonts w:ascii="Century Schoolbook" w:hAnsi="Century Schoolbook"/>
          <w:sz w:val="22"/>
          <w:szCs w:val="22"/>
        </w:rPr>
        <w:t xml:space="preserve">stessa sorte dovrebbero avere </w:t>
      </w:r>
      <w:r w:rsidR="00C960FA" w:rsidRPr="003E01A4">
        <w:rPr>
          <w:rFonts w:ascii="Century Schoolbook" w:hAnsi="Century Schoolbook"/>
          <w:sz w:val="22"/>
          <w:szCs w:val="22"/>
        </w:rPr>
        <w:t xml:space="preserve">allora </w:t>
      </w:r>
      <w:r w:rsidR="00DE669F" w:rsidRPr="003E01A4">
        <w:rPr>
          <w:rFonts w:ascii="Century Schoolbook" w:hAnsi="Century Schoolbook"/>
          <w:sz w:val="22"/>
          <w:szCs w:val="22"/>
        </w:rPr>
        <w:t>schemi come quelli di cui all’art. 5, d.P.R. n. 447/’98 e al</w:t>
      </w:r>
      <w:r w:rsidR="00C030BA" w:rsidRPr="003E01A4">
        <w:rPr>
          <w:rFonts w:ascii="Century Schoolbook" w:hAnsi="Century Schoolbook"/>
          <w:sz w:val="22"/>
          <w:szCs w:val="22"/>
        </w:rPr>
        <w:t>l’art. 8, d.P.R. n. 160</w:t>
      </w:r>
      <w:r w:rsidR="00DE669F" w:rsidRPr="003E01A4">
        <w:rPr>
          <w:rFonts w:ascii="Century Schoolbook" w:hAnsi="Century Schoolbook"/>
          <w:sz w:val="22"/>
          <w:szCs w:val="22"/>
        </w:rPr>
        <w:t>/’10.</w:t>
      </w:r>
      <w:r w:rsidR="00C030BA" w:rsidRPr="003E01A4">
        <w:rPr>
          <w:rFonts w:ascii="Century Schoolbook" w:hAnsi="Century Schoolbook"/>
          <w:sz w:val="22"/>
          <w:szCs w:val="22"/>
        </w:rPr>
        <w:t xml:space="preserve"> </w:t>
      </w:r>
      <w:r w:rsidR="00DE669F" w:rsidRPr="003E01A4">
        <w:rPr>
          <w:rFonts w:ascii="Century Schoolbook" w:hAnsi="Century Schoolbook"/>
          <w:sz w:val="22"/>
          <w:szCs w:val="22"/>
        </w:rPr>
        <w:t xml:space="preserve">Entrambe norme – la seconda sostanzialmente riproduttiva della prima – secondo cui </w:t>
      </w:r>
      <w:r w:rsidR="00DE669F" w:rsidRPr="003E01A4">
        <w:rPr>
          <w:rFonts w:ascii="Century Schoolbook" w:hAnsi="Century Schoolbook"/>
          <w:i/>
          <w:iCs/>
          <w:sz w:val="22"/>
          <w:szCs w:val="22"/>
        </w:rPr>
        <w:t>dopo</w:t>
      </w:r>
      <w:r w:rsidR="00DE669F" w:rsidRPr="003E01A4">
        <w:rPr>
          <w:rFonts w:ascii="Century Schoolbook" w:hAnsi="Century Schoolbook"/>
          <w:sz w:val="22"/>
          <w:szCs w:val="22"/>
        </w:rPr>
        <w:t xml:space="preserve"> la conferenza di servizi il consiglio comunale </w:t>
      </w:r>
      <w:r w:rsidR="00DE669F" w:rsidRPr="003E01A4">
        <w:rPr>
          <w:rFonts w:ascii="Century Schoolbook" w:hAnsi="Century Schoolbook"/>
          <w:i/>
          <w:iCs/>
          <w:sz w:val="22"/>
          <w:szCs w:val="22"/>
        </w:rPr>
        <w:t>può</w:t>
      </w:r>
      <w:r w:rsidR="00357452" w:rsidRPr="003E01A4">
        <w:rPr>
          <w:rStyle w:val="Rimandonotaapidipagina"/>
          <w:rFonts w:ascii="Century Schoolbook" w:hAnsi="Century Schoolbook"/>
          <w:sz w:val="22"/>
          <w:szCs w:val="22"/>
        </w:rPr>
        <w:footnoteReference w:id="38"/>
      </w:r>
      <w:r w:rsidR="00DE669F" w:rsidRPr="003E01A4">
        <w:rPr>
          <w:rFonts w:ascii="Century Schoolbook" w:hAnsi="Century Schoolbook"/>
          <w:sz w:val="22"/>
          <w:szCs w:val="22"/>
        </w:rPr>
        <w:t xml:space="preserve"> </w:t>
      </w:r>
      <w:r w:rsidR="00357452" w:rsidRPr="003E01A4">
        <w:rPr>
          <w:rFonts w:ascii="Century Schoolbook" w:hAnsi="Century Schoolbook"/>
          <w:sz w:val="22"/>
          <w:szCs w:val="22"/>
        </w:rPr>
        <w:t xml:space="preserve">– non deve – </w:t>
      </w:r>
      <w:r w:rsidR="00DE669F" w:rsidRPr="003E01A4">
        <w:rPr>
          <w:rFonts w:ascii="Century Schoolbook" w:hAnsi="Century Schoolbook"/>
          <w:sz w:val="22"/>
          <w:szCs w:val="22"/>
        </w:rPr>
        <w:t xml:space="preserve">ratificare gli atti di natura tecnica acquisiti in quella sede; norme, peraltro, non modificate né dal d.lgs. n. 127/’16 (sulla conferenza di servizi), né dal d.lgs. n. 104/’17 (sulla v.i.a.). </w:t>
      </w:r>
    </w:p>
    <w:p w14:paraId="7F0C5D3A" w14:textId="020D68E3" w:rsidR="000B194F" w:rsidRPr="003E01A4" w:rsidRDefault="00066199"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La Consulta risponde sostenendo che in que</w:t>
      </w:r>
      <w:r w:rsidR="00656F27" w:rsidRPr="003E01A4">
        <w:rPr>
          <w:rFonts w:ascii="Century Schoolbook" w:hAnsi="Century Schoolbook"/>
          <w:sz w:val="22"/>
          <w:szCs w:val="22"/>
        </w:rPr>
        <w:t>sti</w:t>
      </w:r>
      <w:r w:rsidRPr="003E01A4">
        <w:rPr>
          <w:rFonts w:ascii="Century Schoolbook" w:hAnsi="Century Schoolbook"/>
          <w:sz w:val="22"/>
          <w:szCs w:val="22"/>
        </w:rPr>
        <w:t xml:space="preserve"> cas</w:t>
      </w:r>
      <w:r w:rsidR="00656F27" w:rsidRPr="003E01A4">
        <w:rPr>
          <w:rFonts w:ascii="Century Schoolbook" w:hAnsi="Century Schoolbook"/>
          <w:sz w:val="22"/>
          <w:szCs w:val="22"/>
        </w:rPr>
        <w:t>i</w:t>
      </w:r>
      <w:r w:rsidRPr="003E01A4">
        <w:rPr>
          <w:rFonts w:ascii="Century Schoolbook" w:hAnsi="Century Schoolbook"/>
          <w:sz w:val="22"/>
          <w:szCs w:val="22"/>
        </w:rPr>
        <w:t xml:space="preserve"> la delibera comunale non </w:t>
      </w:r>
      <w:r w:rsidR="00656F27" w:rsidRPr="003E01A4">
        <w:rPr>
          <w:rFonts w:ascii="Century Schoolbook" w:hAnsi="Century Schoolbook"/>
          <w:sz w:val="22"/>
          <w:szCs w:val="22"/>
        </w:rPr>
        <w:t xml:space="preserve">si pone come vieta </w:t>
      </w:r>
      <w:r w:rsidR="000E4A94" w:rsidRPr="003E01A4">
        <w:rPr>
          <w:rFonts w:ascii="Century Schoolbook" w:hAnsi="Century Schoolbook"/>
          <w:sz w:val="22"/>
          <w:szCs w:val="22"/>
        </w:rPr>
        <w:t>“</w:t>
      </w:r>
      <w:r w:rsidRPr="003E01A4">
        <w:rPr>
          <w:rFonts w:ascii="Century Schoolbook" w:hAnsi="Century Schoolbook"/>
          <w:sz w:val="22"/>
          <w:szCs w:val="22"/>
        </w:rPr>
        <w:t>ratifica</w:t>
      </w:r>
      <w:r w:rsidR="000E4A94" w:rsidRPr="003E01A4">
        <w:rPr>
          <w:rFonts w:ascii="Century Schoolbook" w:hAnsi="Century Schoolbook"/>
          <w:sz w:val="22"/>
          <w:szCs w:val="22"/>
        </w:rPr>
        <w:t>”</w:t>
      </w:r>
      <w:r w:rsidRPr="003E01A4">
        <w:rPr>
          <w:rFonts w:ascii="Century Schoolbook" w:hAnsi="Century Schoolbook"/>
          <w:sz w:val="22"/>
          <w:szCs w:val="22"/>
        </w:rPr>
        <w:t xml:space="preserve"> </w:t>
      </w:r>
      <w:r w:rsidR="00C960FA" w:rsidRPr="003E01A4">
        <w:rPr>
          <w:rFonts w:ascii="Century Schoolbook" w:hAnsi="Century Schoolbook"/>
          <w:sz w:val="22"/>
          <w:szCs w:val="22"/>
        </w:rPr>
        <w:t>discrezionale de</w:t>
      </w:r>
      <w:r w:rsidRPr="003E01A4">
        <w:rPr>
          <w:rFonts w:ascii="Century Schoolbook" w:hAnsi="Century Schoolbook"/>
          <w:sz w:val="22"/>
          <w:szCs w:val="22"/>
        </w:rPr>
        <w:t>gli atti conferenz</w:t>
      </w:r>
      <w:r w:rsidR="00C960FA" w:rsidRPr="003E01A4">
        <w:rPr>
          <w:rFonts w:ascii="Century Schoolbook" w:hAnsi="Century Schoolbook"/>
          <w:sz w:val="22"/>
          <w:szCs w:val="22"/>
        </w:rPr>
        <w:t>i</w:t>
      </w:r>
      <w:r w:rsidRPr="003E01A4">
        <w:rPr>
          <w:rFonts w:ascii="Century Schoolbook" w:hAnsi="Century Schoolbook"/>
          <w:sz w:val="22"/>
          <w:szCs w:val="22"/>
        </w:rPr>
        <w:t>a</w:t>
      </w:r>
      <w:r w:rsidR="00C960FA" w:rsidRPr="003E01A4">
        <w:rPr>
          <w:rFonts w:ascii="Century Schoolbook" w:hAnsi="Century Schoolbook"/>
          <w:sz w:val="22"/>
          <w:szCs w:val="22"/>
        </w:rPr>
        <w:t>li</w:t>
      </w:r>
      <w:r w:rsidRPr="003E01A4">
        <w:rPr>
          <w:rFonts w:ascii="Century Schoolbook" w:hAnsi="Century Schoolbook"/>
          <w:sz w:val="22"/>
          <w:szCs w:val="22"/>
        </w:rPr>
        <w:t xml:space="preserve">, ma </w:t>
      </w:r>
      <w:r w:rsidR="00656F27" w:rsidRPr="003E01A4">
        <w:rPr>
          <w:rFonts w:ascii="Century Schoolbook" w:hAnsi="Century Schoolbook"/>
          <w:sz w:val="22"/>
          <w:szCs w:val="22"/>
        </w:rPr>
        <w:t>come atto conclusivo di un procedimento</w:t>
      </w:r>
      <w:r w:rsidR="00C960FA" w:rsidRPr="003E01A4">
        <w:rPr>
          <w:rFonts w:ascii="Century Schoolbook" w:hAnsi="Century Schoolbook"/>
          <w:sz w:val="22"/>
          <w:szCs w:val="22"/>
        </w:rPr>
        <w:t xml:space="preserve"> </w:t>
      </w:r>
      <w:r w:rsidR="00C960FA" w:rsidRPr="003E01A4">
        <w:rPr>
          <w:rFonts w:ascii="Century Schoolbook" w:hAnsi="Century Schoolbook"/>
          <w:i/>
          <w:iCs/>
          <w:sz w:val="22"/>
          <w:szCs w:val="22"/>
        </w:rPr>
        <w:t>distinto</w:t>
      </w:r>
      <w:r w:rsidR="00C960FA" w:rsidRPr="003E01A4">
        <w:rPr>
          <w:rFonts w:ascii="Century Schoolbook" w:hAnsi="Century Schoolbook"/>
          <w:sz w:val="22"/>
          <w:szCs w:val="22"/>
        </w:rPr>
        <w:t xml:space="preserve"> e</w:t>
      </w:r>
      <w:r w:rsidR="00656F27" w:rsidRPr="003E01A4">
        <w:rPr>
          <w:rFonts w:ascii="Century Schoolbook" w:hAnsi="Century Schoolbook"/>
          <w:sz w:val="22"/>
          <w:szCs w:val="22"/>
        </w:rPr>
        <w:t xml:space="preserve"> </w:t>
      </w:r>
      <w:r w:rsidR="00656F27" w:rsidRPr="003E01A4">
        <w:rPr>
          <w:rFonts w:ascii="Century Schoolbook" w:hAnsi="Century Schoolbook"/>
          <w:i/>
          <w:iCs/>
          <w:sz w:val="22"/>
          <w:szCs w:val="22"/>
        </w:rPr>
        <w:t>diverso</w:t>
      </w:r>
      <w:r w:rsidR="00656F27" w:rsidRPr="003E01A4">
        <w:rPr>
          <w:rFonts w:ascii="Century Schoolbook" w:hAnsi="Century Schoolbook"/>
          <w:sz w:val="22"/>
          <w:szCs w:val="22"/>
        </w:rPr>
        <w:t>: quello di approvazione della variante urbanistica semplificata. Lasciamo la parola alla Corte: «</w:t>
      </w:r>
      <w:r w:rsidRPr="003E01A4">
        <w:rPr>
          <w:rFonts w:ascii="Century Schoolbook" w:hAnsi="Century Schoolbook"/>
          <w:sz w:val="22"/>
          <w:szCs w:val="22"/>
        </w:rPr>
        <w:t xml:space="preserve">la determinazione finale della conferenza assume anche la valenza di atto di iniziativa per l’attivazione del relativo distinto procedimento di variante. Per questa ragione, la giurisprudenza amministrativa è costante nel ritenere che, rispetto a tale procedimento, </w:t>
      </w:r>
      <w:r w:rsidR="00C960FA" w:rsidRPr="003E01A4">
        <w:rPr>
          <w:rFonts w:ascii="Century Schoolbook" w:hAnsi="Century Schoolbook"/>
          <w:sz w:val="22"/>
          <w:szCs w:val="22"/>
        </w:rPr>
        <w:t>“</w:t>
      </w:r>
      <w:r w:rsidRPr="003E01A4">
        <w:rPr>
          <w:rFonts w:ascii="Century Schoolbook" w:hAnsi="Century Schoolbook"/>
          <w:sz w:val="22"/>
          <w:szCs w:val="22"/>
        </w:rPr>
        <w:t>l’atto conclusivo del procedimento che si articola nella Conferenza non ha carattere decisorio ma costituisce una proposta di variante dello strumento urbanistico (espressamente l’art. 5, comma 2, del d.P.R. n. 447/1998; implicitamente l’art. 8, comma 1, del d.P.R. n. 160/2010)</w:t>
      </w:r>
      <w:r w:rsidR="00C960FA" w:rsidRPr="003E01A4">
        <w:rPr>
          <w:rFonts w:ascii="Century Schoolbook" w:hAnsi="Century Schoolbook"/>
          <w:sz w:val="22"/>
          <w:szCs w:val="22"/>
        </w:rPr>
        <w:t>”</w:t>
      </w:r>
      <w:r w:rsidRPr="003E01A4">
        <w:rPr>
          <w:rFonts w:ascii="Century Schoolbook" w:hAnsi="Century Schoolbook"/>
          <w:sz w:val="22"/>
          <w:szCs w:val="22"/>
        </w:rPr>
        <w:t xml:space="preserve"> (Cons. Stato, sezione quarta, sentenza 20 ottobre 2016, n. 4380; in senso conforme, limitatamente alle più recenti, TAR Lombardia-Milano, sezione seconda, sentenza 28 marzo 2017, n. 730; TAR Campania-Napoli, sezione ottava, sentenza 24 marzo 2016, n. 1579)</w:t>
      </w:r>
      <w:r w:rsidR="00C960FA" w:rsidRPr="003E01A4">
        <w:rPr>
          <w:rFonts w:ascii="Century Schoolbook" w:hAnsi="Century Schoolbook"/>
          <w:sz w:val="22"/>
          <w:szCs w:val="22"/>
        </w:rPr>
        <w:t>.</w:t>
      </w:r>
      <w:r w:rsidR="00656F27" w:rsidRPr="003E01A4">
        <w:rPr>
          <w:rFonts w:ascii="Century Schoolbook" w:hAnsi="Century Schoolbook"/>
          <w:sz w:val="22"/>
          <w:szCs w:val="22"/>
        </w:rPr>
        <w:t xml:space="preserve"> […] </w:t>
      </w:r>
      <w:r w:rsidRPr="003E01A4">
        <w:rPr>
          <w:rFonts w:ascii="Century Schoolbook" w:hAnsi="Century Schoolbook"/>
          <w:sz w:val="22"/>
          <w:szCs w:val="22"/>
        </w:rPr>
        <w:t>Così considerata, dunque, la deliberazione del Consiglio comunale non costituisce affatto una fase ulteriore del medesimo procedimento ma inerisce, come detto, a un procedimento distinto</w:t>
      </w:r>
      <w:r w:rsidR="00656F27" w:rsidRPr="003E01A4">
        <w:rPr>
          <w:rFonts w:ascii="Century Schoolbook" w:hAnsi="Century Schoolbook"/>
          <w:sz w:val="22"/>
          <w:szCs w:val="22"/>
        </w:rPr>
        <w:t>»</w:t>
      </w:r>
      <w:r w:rsidRPr="003E01A4">
        <w:rPr>
          <w:rFonts w:ascii="Century Schoolbook" w:hAnsi="Century Schoolbook"/>
          <w:sz w:val="22"/>
          <w:szCs w:val="22"/>
        </w:rPr>
        <w:t>.</w:t>
      </w:r>
    </w:p>
    <w:p w14:paraId="2A91210F" w14:textId="66DA7B1D" w:rsidR="006F2DFC" w:rsidRPr="003E01A4" w:rsidRDefault="000E4A94"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Per salvare </w:t>
      </w:r>
      <w:r w:rsidR="006C1C1D" w:rsidRPr="003E01A4">
        <w:rPr>
          <w:rFonts w:ascii="Century Schoolbook" w:hAnsi="Century Schoolbook"/>
          <w:sz w:val="22"/>
          <w:szCs w:val="22"/>
        </w:rPr>
        <w:t xml:space="preserve">da dubbi di costituzionalità </w:t>
      </w:r>
      <w:r w:rsidRPr="003E01A4">
        <w:rPr>
          <w:rFonts w:ascii="Century Schoolbook" w:hAnsi="Century Schoolbook"/>
          <w:sz w:val="22"/>
          <w:szCs w:val="22"/>
        </w:rPr>
        <w:t>l’art. 8, d.P.R. n. 160/’10</w:t>
      </w:r>
      <w:r w:rsidR="006F2DFC" w:rsidRPr="003E01A4">
        <w:rPr>
          <w:rFonts w:ascii="Century Schoolbook" w:hAnsi="Century Schoolbook"/>
          <w:sz w:val="22"/>
          <w:szCs w:val="22"/>
        </w:rPr>
        <w:t xml:space="preserve"> </w:t>
      </w:r>
      <w:r w:rsidRPr="003E01A4">
        <w:rPr>
          <w:rFonts w:ascii="Century Schoolbook" w:hAnsi="Century Schoolbook"/>
          <w:sz w:val="22"/>
          <w:szCs w:val="22"/>
        </w:rPr>
        <w:t xml:space="preserve">– </w:t>
      </w:r>
      <w:r w:rsidRPr="003E01A4">
        <w:rPr>
          <w:rFonts w:ascii="Century Schoolbook" w:hAnsi="Century Schoolbook"/>
          <w:i/>
          <w:iCs/>
          <w:sz w:val="22"/>
          <w:szCs w:val="22"/>
        </w:rPr>
        <w:t xml:space="preserve">e, </w:t>
      </w:r>
      <w:r w:rsidR="006F2DFC" w:rsidRPr="003E01A4">
        <w:rPr>
          <w:rFonts w:ascii="Century Schoolbook" w:hAnsi="Century Schoolbook"/>
          <w:i/>
          <w:iCs/>
          <w:sz w:val="22"/>
          <w:szCs w:val="22"/>
        </w:rPr>
        <w:t>quel che più conta</w:t>
      </w:r>
      <w:r w:rsidRPr="003E01A4">
        <w:rPr>
          <w:rFonts w:ascii="Century Schoolbook" w:hAnsi="Century Schoolbook"/>
          <w:i/>
          <w:iCs/>
          <w:sz w:val="22"/>
          <w:szCs w:val="22"/>
        </w:rPr>
        <w:t xml:space="preserve">, il modello </w:t>
      </w:r>
      <w:r w:rsidR="006F2DFC" w:rsidRPr="003E01A4">
        <w:rPr>
          <w:rFonts w:ascii="Century Schoolbook" w:hAnsi="Century Schoolbook"/>
          <w:i/>
          <w:iCs/>
          <w:sz w:val="22"/>
          <w:szCs w:val="22"/>
        </w:rPr>
        <w:t xml:space="preserve">generale </w:t>
      </w:r>
      <w:r w:rsidRPr="003E01A4">
        <w:rPr>
          <w:rFonts w:ascii="Century Schoolbook" w:hAnsi="Century Schoolbook"/>
          <w:i/>
          <w:iCs/>
          <w:sz w:val="22"/>
          <w:szCs w:val="22"/>
        </w:rPr>
        <w:t>a decisione politica esoconferenziale con effetti di variante urbanistica</w:t>
      </w:r>
      <w:r w:rsidRPr="003E01A4">
        <w:rPr>
          <w:rFonts w:ascii="Century Schoolbook" w:hAnsi="Century Schoolbook"/>
          <w:sz w:val="22"/>
          <w:szCs w:val="22"/>
        </w:rPr>
        <w:t xml:space="preserve"> –</w:t>
      </w:r>
      <w:r w:rsidR="006C1C1D">
        <w:rPr>
          <w:rFonts w:ascii="Century Schoolbook" w:hAnsi="Century Schoolbook"/>
          <w:sz w:val="22"/>
          <w:szCs w:val="22"/>
        </w:rPr>
        <w:t xml:space="preserve"> </w:t>
      </w:r>
      <w:r w:rsidRPr="003E01A4">
        <w:rPr>
          <w:rFonts w:ascii="Century Schoolbook" w:hAnsi="Century Schoolbook"/>
          <w:sz w:val="22"/>
          <w:szCs w:val="22"/>
        </w:rPr>
        <w:t xml:space="preserve">la Consulta </w:t>
      </w:r>
      <w:r w:rsidR="00720A29" w:rsidRPr="003E01A4">
        <w:rPr>
          <w:rFonts w:ascii="Century Schoolbook" w:hAnsi="Century Schoolbook"/>
          <w:sz w:val="22"/>
          <w:szCs w:val="22"/>
        </w:rPr>
        <w:t xml:space="preserve">usa il </w:t>
      </w:r>
      <w:r w:rsidR="00720A29" w:rsidRPr="0075554A">
        <w:rPr>
          <w:rFonts w:ascii="Century Schoolbook" w:hAnsi="Century Schoolbook"/>
          <w:i/>
          <w:iCs/>
          <w:sz w:val="22"/>
          <w:szCs w:val="22"/>
        </w:rPr>
        <w:t>distinguishing</w:t>
      </w:r>
      <w:r w:rsidR="00720A29" w:rsidRPr="003E01A4">
        <w:rPr>
          <w:rFonts w:ascii="Century Schoolbook" w:hAnsi="Century Schoolbook"/>
          <w:sz w:val="22"/>
          <w:szCs w:val="22"/>
        </w:rPr>
        <w:t xml:space="preserve">: </w:t>
      </w:r>
      <w:r w:rsidR="006C1C1D">
        <w:rPr>
          <w:rFonts w:ascii="Century Schoolbook" w:hAnsi="Century Schoolbook"/>
          <w:sz w:val="22"/>
          <w:szCs w:val="22"/>
        </w:rPr>
        <w:t>separa</w:t>
      </w:r>
      <w:r w:rsidRPr="003E01A4">
        <w:rPr>
          <w:rFonts w:ascii="Century Schoolbook" w:hAnsi="Century Schoolbook"/>
          <w:sz w:val="22"/>
          <w:szCs w:val="22"/>
        </w:rPr>
        <w:t xml:space="preserve"> il provvedimento </w:t>
      </w:r>
      <w:r w:rsidR="00BD3BCA" w:rsidRPr="003E01A4">
        <w:rPr>
          <w:rFonts w:ascii="Century Schoolbook" w:hAnsi="Century Schoolbook"/>
          <w:sz w:val="22"/>
          <w:szCs w:val="22"/>
        </w:rPr>
        <w:t xml:space="preserve">dell’organo rappresentativo territoriale </w:t>
      </w:r>
      <w:r w:rsidR="006F2DFC" w:rsidRPr="003E01A4">
        <w:rPr>
          <w:rFonts w:ascii="Century Schoolbook" w:hAnsi="Century Schoolbook"/>
          <w:sz w:val="22"/>
          <w:szCs w:val="22"/>
        </w:rPr>
        <w:t xml:space="preserve">dal procedimento precedente e lo qualifica invece come atto conclusivo di una sequenza </w:t>
      </w:r>
      <w:r w:rsidR="00720A29" w:rsidRPr="003E01A4">
        <w:rPr>
          <w:rFonts w:ascii="Century Schoolbook" w:hAnsi="Century Schoolbook"/>
          <w:i/>
          <w:iCs/>
          <w:sz w:val="22"/>
          <w:szCs w:val="22"/>
        </w:rPr>
        <w:t>altra</w:t>
      </w:r>
      <w:r w:rsidR="00720A29" w:rsidRPr="003E01A4">
        <w:rPr>
          <w:rFonts w:ascii="Century Schoolbook" w:hAnsi="Century Schoolbook"/>
          <w:sz w:val="22"/>
          <w:szCs w:val="22"/>
        </w:rPr>
        <w:t xml:space="preserve">, </w:t>
      </w:r>
      <w:r w:rsidR="006F2DFC" w:rsidRPr="003E01A4">
        <w:rPr>
          <w:rFonts w:ascii="Century Schoolbook" w:hAnsi="Century Schoolbook"/>
          <w:sz w:val="22"/>
          <w:szCs w:val="22"/>
        </w:rPr>
        <w:t xml:space="preserve">che – </w:t>
      </w:r>
      <w:r w:rsidR="00720A29" w:rsidRPr="003E01A4">
        <w:rPr>
          <w:rFonts w:ascii="Century Schoolbook" w:hAnsi="Century Schoolbook"/>
          <w:sz w:val="22"/>
          <w:szCs w:val="22"/>
        </w:rPr>
        <w:t xml:space="preserve">secondo </w:t>
      </w:r>
      <w:r w:rsidR="006F2DFC" w:rsidRPr="003E01A4">
        <w:rPr>
          <w:rFonts w:ascii="Century Schoolbook" w:hAnsi="Century Schoolbook"/>
          <w:sz w:val="22"/>
          <w:szCs w:val="22"/>
        </w:rPr>
        <w:t>la Corte – sarebbe successiva e funzionalmente diversa: quella ordinata ad approvare la modifica puntuale del piano regolatore.</w:t>
      </w:r>
    </w:p>
    <w:p w14:paraId="05DE70A0" w14:textId="77777777" w:rsidR="005D7FC3" w:rsidRPr="003E01A4" w:rsidRDefault="00720A29"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Devo dire che quest’ultim</w:t>
      </w:r>
      <w:r w:rsidR="005D7FC3" w:rsidRPr="003E01A4">
        <w:rPr>
          <w:rFonts w:ascii="Century Schoolbook" w:hAnsi="Century Schoolbook"/>
          <w:sz w:val="22"/>
          <w:szCs w:val="22"/>
        </w:rPr>
        <w:t>a affermazione</w:t>
      </w:r>
      <w:r w:rsidRPr="003E01A4">
        <w:rPr>
          <w:rFonts w:ascii="Century Schoolbook" w:hAnsi="Century Schoolbook"/>
          <w:sz w:val="22"/>
          <w:szCs w:val="22"/>
        </w:rPr>
        <w:t xml:space="preserve"> </w:t>
      </w:r>
      <w:r w:rsidR="005D7FC3" w:rsidRPr="003E01A4">
        <w:rPr>
          <w:rFonts w:ascii="Century Schoolbook" w:hAnsi="Century Schoolbook"/>
          <w:sz w:val="22"/>
          <w:szCs w:val="22"/>
        </w:rPr>
        <w:t xml:space="preserve">della Consulta </w:t>
      </w:r>
      <w:r w:rsidRPr="003E01A4">
        <w:rPr>
          <w:rFonts w:ascii="Century Schoolbook" w:hAnsi="Century Schoolbook"/>
          <w:sz w:val="22"/>
          <w:szCs w:val="22"/>
        </w:rPr>
        <w:t xml:space="preserve">mi convince meno rispetto alla posizione, esaminata più sopra, circa </w:t>
      </w:r>
      <w:r w:rsidR="005D7FC3" w:rsidRPr="003E01A4">
        <w:rPr>
          <w:rFonts w:ascii="Century Schoolbook" w:hAnsi="Century Schoolbook"/>
          <w:sz w:val="22"/>
          <w:szCs w:val="22"/>
        </w:rPr>
        <w:t>la necessaria endoconferenzialità (anche) della decisione politica</w:t>
      </w:r>
      <w:r w:rsidRPr="003E01A4">
        <w:rPr>
          <w:rFonts w:ascii="Century Schoolbook" w:hAnsi="Century Schoolbook"/>
          <w:sz w:val="22"/>
          <w:szCs w:val="22"/>
        </w:rPr>
        <w:t>. L</w:t>
      </w:r>
      <w:r w:rsidR="005D7FC3" w:rsidRPr="003E01A4">
        <w:rPr>
          <w:rFonts w:ascii="Century Schoolbook" w:hAnsi="Century Schoolbook"/>
          <w:sz w:val="22"/>
          <w:szCs w:val="22"/>
        </w:rPr>
        <w:t>a</w:t>
      </w:r>
      <w:r w:rsidRPr="003E01A4">
        <w:rPr>
          <w:rFonts w:ascii="Century Schoolbook" w:hAnsi="Century Schoolbook"/>
          <w:sz w:val="22"/>
          <w:szCs w:val="22"/>
        </w:rPr>
        <w:t xml:space="preserve"> trovo</w:t>
      </w:r>
      <w:r w:rsidR="005D7FC3" w:rsidRPr="003E01A4">
        <w:rPr>
          <w:rFonts w:ascii="Century Schoolbook" w:hAnsi="Century Schoolbook"/>
          <w:sz w:val="22"/>
          <w:szCs w:val="22"/>
        </w:rPr>
        <w:t xml:space="preserve"> inutilmente conservativa.</w:t>
      </w:r>
    </w:p>
    <w:p w14:paraId="0566AC70" w14:textId="65F7CB2A" w:rsidR="008C2013" w:rsidRPr="003E01A4" w:rsidRDefault="005D7FC3"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Mi spiego. </w:t>
      </w:r>
      <w:r w:rsidR="008C12D7" w:rsidRPr="003E01A4">
        <w:rPr>
          <w:rFonts w:ascii="Century Schoolbook" w:hAnsi="Century Schoolbook"/>
          <w:sz w:val="22"/>
          <w:szCs w:val="22"/>
        </w:rPr>
        <w:t xml:space="preserve">Una volta chiarito che </w:t>
      </w:r>
      <w:r w:rsidR="008C2013" w:rsidRPr="003E01A4">
        <w:rPr>
          <w:rFonts w:ascii="Century Schoolbook" w:hAnsi="Century Schoolbook"/>
          <w:sz w:val="22"/>
          <w:szCs w:val="22"/>
        </w:rPr>
        <w:t>il modulo conferenziale può e deve annettere a sé anche la decisione politica, la Corte – se non m’inganno – avrebbe potuto spingersi oltre, quantomeno “problematizzando” lo schema invece dissonante disegnato dall’art. 8, d.P.R. n. 160/’10</w:t>
      </w:r>
      <w:r w:rsidR="00AB28DA" w:rsidRPr="003E01A4">
        <w:rPr>
          <w:rFonts w:ascii="Century Schoolbook" w:hAnsi="Century Schoolbook"/>
          <w:sz w:val="22"/>
          <w:szCs w:val="22"/>
        </w:rPr>
        <w:t>:</w:t>
      </w:r>
      <w:r w:rsidR="00CF2A52" w:rsidRPr="003E01A4">
        <w:rPr>
          <w:rFonts w:ascii="Century Schoolbook" w:hAnsi="Century Schoolbook"/>
          <w:sz w:val="22"/>
          <w:szCs w:val="22"/>
        </w:rPr>
        <w:t xml:space="preserve"> evidenziando cioè la presenza delle stesse criticità ravvisate nella norma regionale lombarda dichiarata incostituzionale in quel giudizio</w:t>
      </w:r>
      <w:r w:rsidR="00D95FF2" w:rsidRPr="003E01A4">
        <w:rPr>
          <w:rFonts w:ascii="Century Schoolbook" w:hAnsi="Century Schoolbook"/>
          <w:sz w:val="22"/>
          <w:szCs w:val="22"/>
        </w:rPr>
        <w:t>.</w:t>
      </w:r>
      <w:r w:rsidR="008C2013" w:rsidRPr="003E01A4">
        <w:rPr>
          <w:rFonts w:ascii="Century Schoolbook" w:hAnsi="Century Schoolbook"/>
          <w:sz w:val="22"/>
          <w:szCs w:val="22"/>
        </w:rPr>
        <w:t xml:space="preserve"> </w:t>
      </w:r>
      <w:r w:rsidR="00D95FF2" w:rsidRPr="003E01A4">
        <w:rPr>
          <w:rFonts w:ascii="Century Schoolbook" w:hAnsi="Century Schoolbook"/>
          <w:sz w:val="22"/>
          <w:szCs w:val="22"/>
        </w:rPr>
        <w:t>S</w:t>
      </w:r>
      <w:r w:rsidR="008C2013" w:rsidRPr="003E01A4">
        <w:rPr>
          <w:rFonts w:ascii="Century Schoolbook" w:hAnsi="Century Schoolbook"/>
          <w:sz w:val="22"/>
          <w:szCs w:val="22"/>
        </w:rPr>
        <w:t>arebbe stato un passo avanti nella direzione dell’unicità reale ed effettiva.</w:t>
      </w:r>
    </w:p>
    <w:p w14:paraId="651424AF" w14:textId="48BF5F6F" w:rsidR="00256264" w:rsidRPr="003E01A4" w:rsidRDefault="008C2013"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La Consulta ha invece preferito </w:t>
      </w:r>
      <w:r w:rsidR="00CF2A52" w:rsidRPr="003E01A4">
        <w:rPr>
          <w:rFonts w:ascii="Century Schoolbook" w:hAnsi="Century Schoolbook"/>
          <w:sz w:val="22"/>
          <w:szCs w:val="22"/>
        </w:rPr>
        <w:t xml:space="preserve">non ravvisare una </w:t>
      </w:r>
      <w:r w:rsidR="00CF2A52" w:rsidRPr="003E01A4">
        <w:rPr>
          <w:rFonts w:ascii="Century Schoolbook" w:hAnsi="Century Schoolbook"/>
          <w:i/>
          <w:iCs/>
          <w:sz w:val="22"/>
          <w:szCs w:val="22"/>
        </w:rPr>
        <w:t>par turpitudinis</w:t>
      </w:r>
      <w:r w:rsidR="00CF2A52" w:rsidRPr="003E01A4">
        <w:rPr>
          <w:rFonts w:ascii="Century Schoolbook" w:hAnsi="Century Schoolbook"/>
          <w:sz w:val="22"/>
          <w:szCs w:val="22"/>
        </w:rPr>
        <w:t xml:space="preserve"> </w:t>
      </w:r>
      <w:r w:rsidR="00CF2A52" w:rsidRPr="003E01A4">
        <w:rPr>
          <w:rFonts w:ascii="Century Schoolbook" w:hAnsi="Century Schoolbook"/>
          <w:i/>
          <w:iCs/>
          <w:sz w:val="22"/>
          <w:szCs w:val="22"/>
        </w:rPr>
        <w:t>causa</w:t>
      </w:r>
      <w:r w:rsidR="00CF2A52" w:rsidRPr="003E01A4">
        <w:rPr>
          <w:rFonts w:ascii="Century Schoolbook" w:hAnsi="Century Schoolbook"/>
          <w:sz w:val="22"/>
          <w:szCs w:val="22"/>
        </w:rPr>
        <w:t xml:space="preserve">. </w:t>
      </w:r>
      <w:r w:rsidR="00D95FF2" w:rsidRPr="003E01A4">
        <w:rPr>
          <w:rFonts w:ascii="Century Schoolbook" w:hAnsi="Century Schoolbook"/>
          <w:sz w:val="22"/>
          <w:szCs w:val="22"/>
        </w:rPr>
        <w:t>P</w:t>
      </w:r>
      <w:r w:rsidR="00CF2A52" w:rsidRPr="003E01A4">
        <w:rPr>
          <w:rFonts w:ascii="Century Schoolbook" w:hAnsi="Century Schoolbook"/>
          <w:sz w:val="22"/>
          <w:szCs w:val="22"/>
        </w:rPr>
        <w:t xml:space="preserve">er farlo </w:t>
      </w:r>
      <w:r w:rsidR="00256264" w:rsidRPr="003E01A4">
        <w:rPr>
          <w:rFonts w:ascii="Century Schoolbook" w:hAnsi="Century Schoolbook"/>
          <w:sz w:val="22"/>
          <w:szCs w:val="22"/>
        </w:rPr>
        <w:t>(</w:t>
      </w:r>
      <w:r w:rsidR="006C1C1D">
        <w:rPr>
          <w:rFonts w:ascii="Century Schoolbook" w:hAnsi="Century Schoolbook"/>
          <w:sz w:val="22"/>
          <w:szCs w:val="22"/>
        </w:rPr>
        <w:t>avallando</w:t>
      </w:r>
      <w:r w:rsidR="00256264" w:rsidRPr="003E01A4">
        <w:rPr>
          <w:rFonts w:ascii="Century Schoolbook" w:hAnsi="Century Schoolbook"/>
          <w:sz w:val="22"/>
          <w:szCs w:val="22"/>
        </w:rPr>
        <w:t xml:space="preserve"> in tal modo il modello </w:t>
      </w:r>
      <w:r w:rsidR="00256264" w:rsidRPr="003E01A4">
        <w:rPr>
          <w:rFonts w:ascii="Century Schoolbook" w:hAnsi="Century Schoolbook"/>
          <w:i/>
          <w:iCs/>
          <w:sz w:val="22"/>
          <w:szCs w:val="22"/>
        </w:rPr>
        <w:t>ex</w:t>
      </w:r>
      <w:r w:rsidR="00256264" w:rsidRPr="003E01A4">
        <w:rPr>
          <w:rFonts w:ascii="Century Schoolbook" w:hAnsi="Century Schoolbook"/>
          <w:sz w:val="22"/>
          <w:szCs w:val="22"/>
        </w:rPr>
        <w:t xml:space="preserve"> art. 8 cit.) ha dovuto teorizzare – come abbiam visto – che la decisione consiliare approvativa della variante</w:t>
      </w:r>
      <w:r w:rsidR="00256264" w:rsidRPr="003E01A4">
        <w:rPr>
          <w:rFonts w:ascii="Century Schoolbook" w:hAnsi="Century Schoolbook"/>
          <w:i/>
          <w:iCs/>
          <w:sz w:val="22"/>
          <w:szCs w:val="22"/>
        </w:rPr>
        <w:t xml:space="preserve"> </w:t>
      </w:r>
      <w:r w:rsidR="00256264" w:rsidRPr="003E01A4">
        <w:rPr>
          <w:rFonts w:ascii="Century Schoolbook" w:hAnsi="Century Schoolbook"/>
          <w:sz w:val="22"/>
          <w:szCs w:val="22"/>
        </w:rPr>
        <w:t>apparterrebbe al procedimento urbanistico,</w:t>
      </w:r>
      <w:r w:rsidR="00256264" w:rsidRPr="003E01A4">
        <w:rPr>
          <w:rFonts w:ascii="Century Schoolbook" w:hAnsi="Century Schoolbook"/>
          <w:i/>
          <w:iCs/>
          <w:sz w:val="22"/>
          <w:szCs w:val="22"/>
        </w:rPr>
        <w:t xml:space="preserve"> </w:t>
      </w:r>
      <w:r w:rsidR="00256264" w:rsidRPr="003E01A4">
        <w:rPr>
          <w:rFonts w:ascii="Century Schoolbook" w:hAnsi="Century Schoolbook"/>
          <w:sz w:val="22"/>
          <w:szCs w:val="22"/>
        </w:rPr>
        <w:t>che sarebbe distinto da quello conferenziale.</w:t>
      </w:r>
    </w:p>
    <w:p w14:paraId="7E376E77" w14:textId="3B4DD011" w:rsidR="00256264" w:rsidRPr="003E01A4" w:rsidRDefault="00256264"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Ma nel mod</w:t>
      </w:r>
      <w:r w:rsidR="00394576" w:rsidRPr="003E01A4">
        <w:rPr>
          <w:rFonts w:ascii="Century Schoolbook" w:hAnsi="Century Schoolbook"/>
          <w:sz w:val="22"/>
          <w:szCs w:val="22"/>
        </w:rPr>
        <w:t>u</w:t>
      </w:r>
      <w:r w:rsidRPr="003E01A4">
        <w:rPr>
          <w:rFonts w:ascii="Century Schoolbook" w:hAnsi="Century Schoolbook"/>
          <w:sz w:val="22"/>
          <w:szCs w:val="22"/>
        </w:rPr>
        <w:t xml:space="preserve">lo </w:t>
      </w:r>
      <w:r w:rsidRPr="003E01A4">
        <w:rPr>
          <w:rFonts w:ascii="Century Schoolbook" w:hAnsi="Century Schoolbook"/>
          <w:i/>
          <w:iCs/>
          <w:sz w:val="22"/>
          <w:szCs w:val="22"/>
        </w:rPr>
        <w:t>ex</w:t>
      </w:r>
      <w:r w:rsidRPr="003E01A4">
        <w:rPr>
          <w:rFonts w:ascii="Century Schoolbook" w:hAnsi="Century Schoolbook"/>
          <w:sz w:val="22"/>
          <w:szCs w:val="22"/>
        </w:rPr>
        <w:t xml:space="preserve"> art. 8 cit. non riesco </w:t>
      </w:r>
      <w:r w:rsidR="006C1C1D">
        <w:rPr>
          <w:rFonts w:ascii="Century Schoolbook" w:hAnsi="Century Schoolbook"/>
          <w:sz w:val="22"/>
          <w:szCs w:val="22"/>
        </w:rPr>
        <w:t xml:space="preserve">proprio </w:t>
      </w:r>
      <w:r w:rsidRPr="003E01A4">
        <w:rPr>
          <w:rFonts w:ascii="Century Schoolbook" w:hAnsi="Century Schoolbook"/>
          <w:sz w:val="22"/>
          <w:szCs w:val="22"/>
        </w:rPr>
        <w:t xml:space="preserve">a distinguere </w:t>
      </w:r>
      <w:r w:rsidRPr="003E01A4">
        <w:rPr>
          <w:rFonts w:ascii="Century Schoolbook" w:hAnsi="Century Schoolbook"/>
          <w:i/>
          <w:iCs/>
          <w:sz w:val="22"/>
          <w:szCs w:val="22"/>
        </w:rPr>
        <w:t>due</w:t>
      </w:r>
      <w:r w:rsidRPr="003E01A4">
        <w:rPr>
          <w:rFonts w:ascii="Century Schoolbook" w:hAnsi="Century Schoolbook"/>
          <w:sz w:val="22"/>
          <w:szCs w:val="22"/>
        </w:rPr>
        <w:t xml:space="preserve"> procedimenti.</w:t>
      </w:r>
    </w:p>
    <w:p w14:paraId="44C6E77D" w14:textId="14481301" w:rsidR="0059418F" w:rsidRPr="003E01A4" w:rsidRDefault="00256264"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Oltre al fatto che così ragionando si negherebbe in radice l’unicità perseguita dalla norma in esame, </w:t>
      </w:r>
      <w:r w:rsidR="00C259CA" w:rsidRPr="003E01A4">
        <w:rPr>
          <w:rFonts w:ascii="Century Schoolbook" w:hAnsi="Century Schoolbook"/>
          <w:sz w:val="22"/>
          <w:szCs w:val="22"/>
        </w:rPr>
        <w:t xml:space="preserve">resta un dato per così dire realistico-funzionale: quel modulo è </w:t>
      </w:r>
      <w:r w:rsidR="00822FB7" w:rsidRPr="003E01A4">
        <w:rPr>
          <w:rFonts w:ascii="Century Schoolbook" w:hAnsi="Century Schoolbook"/>
          <w:sz w:val="22"/>
          <w:szCs w:val="22"/>
        </w:rPr>
        <w:t xml:space="preserve">organicamente </w:t>
      </w:r>
      <w:r w:rsidR="00C259CA" w:rsidRPr="003E01A4">
        <w:rPr>
          <w:rFonts w:ascii="Century Schoolbook" w:hAnsi="Century Schoolbook"/>
          <w:sz w:val="22"/>
          <w:szCs w:val="22"/>
        </w:rPr>
        <w:t xml:space="preserve">tutto </w:t>
      </w:r>
      <w:r w:rsidR="000D32FE" w:rsidRPr="003E01A4">
        <w:rPr>
          <w:rFonts w:ascii="Century Schoolbook" w:hAnsi="Century Schoolbook"/>
          <w:sz w:val="22"/>
          <w:szCs w:val="22"/>
        </w:rPr>
        <w:t>proteso</w:t>
      </w:r>
      <w:r w:rsidR="00C259CA" w:rsidRPr="003E01A4">
        <w:rPr>
          <w:rFonts w:ascii="Century Schoolbook" w:hAnsi="Century Schoolbook"/>
          <w:sz w:val="22"/>
          <w:szCs w:val="22"/>
        </w:rPr>
        <w:t xml:space="preserve"> a produrre l’effetto giuridico di variante (puntuale), per cui </w:t>
      </w:r>
      <w:r w:rsidR="000D32FE" w:rsidRPr="003E01A4">
        <w:rPr>
          <w:rFonts w:ascii="Century Schoolbook" w:hAnsi="Century Schoolbook"/>
          <w:sz w:val="22"/>
          <w:szCs w:val="22"/>
        </w:rPr>
        <w:t xml:space="preserve">il diritto vivente non dovrebbe tollerare la previsione di una decisione </w:t>
      </w:r>
      <w:r w:rsidR="000C1D24" w:rsidRPr="003E01A4">
        <w:rPr>
          <w:rFonts w:ascii="Century Schoolbook" w:hAnsi="Century Schoolbook"/>
          <w:sz w:val="22"/>
          <w:szCs w:val="22"/>
        </w:rPr>
        <w:t xml:space="preserve">esoconferenziale, sia </w:t>
      </w:r>
      <w:r w:rsidR="00D95FF2" w:rsidRPr="003E01A4">
        <w:rPr>
          <w:rFonts w:ascii="Century Schoolbook" w:hAnsi="Century Schoolbook"/>
          <w:sz w:val="22"/>
          <w:szCs w:val="22"/>
        </w:rPr>
        <w:t xml:space="preserve">o meno </w:t>
      </w:r>
      <w:r w:rsidR="000C1D24" w:rsidRPr="003E01A4">
        <w:rPr>
          <w:rFonts w:ascii="Century Schoolbook" w:hAnsi="Century Schoolbook"/>
          <w:sz w:val="22"/>
          <w:szCs w:val="22"/>
        </w:rPr>
        <w:t>essa di contenuto politico</w:t>
      </w:r>
      <w:r w:rsidR="000C1D24" w:rsidRPr="003E01A4">
        <w:rPr>
          <w:rStyle w:val="Rimandonotaapidipagina"/>
          <w:rFonts w:ascii="Century Schoolbook" w:hAnsi="Century Schoolbook"/>
          <w:sz w:val="22"/>
          <w:szCs w:val="22"/>
        </w:rPr>
        <w:footnoteReference w:id="39"/>
      </w:r>
      <w:r w:rsidR="000C1D24" w:rsidRPr="003E01A4">
        <w:rPr>
          <w:rFonts w:ascii="Century Schoolbook" w:hAnsi="Century Schoolbook"/>
          <w:sz w:val="22"/>
          <w:szCs w:val="22"/>
        </w:rPr>
        <w:t>.</w:t>
      </w:r>
      <w:r w:rsidR="00F80181" w:rsidRPr="003E01A4">
        <w:rPr>
          <w:rFonts w:ascii="Century Schoolbook" w:hAnsi="Century Schoolbook"/>
          <w:sz w:val="22"/>
          <w:szCs w:val="22"/>
        </w:rPr>
        <w:t xml:space="preserve"> Di ciò la pronuncia sembra aver consapevolezza, sebbene </w:t>
      </w:r>
      <w:r w:rsidR="002A1A1F" w:rsidRPr="003E01A4">
        <w:rPr>
          <w:rFonts w:ascii="Century Schoolbook" w:hAnsi="Century Schoolbook"/>
          <w:sz w:val="22"/>
          <w:szCs w:val="22"/>
        </w:rPr>
        <w:t xml:space="preserve">la esprima </w:t>
      </w:r>
      <w:r w:rsidR="001D626B" w:rsidRPr="003E01A4">
        <w:rPr>
          <w:rFonts w:ascii="Century Schoolbook" w:hAnsi="Century Schoolbook"/>
          <w:sz w:val="22"/>
          <w:szCs w:val="22"/>
        </w:rPr>
        <w:t xml:space="preserve">in modo poco </w:t>
      </w:r>
      <w:r w:rsidR="00F80181" w:rsidRPr="003E01A4">
        <w:rPr>
          <w:rFonts w:ascii="Century Schoolbook" w:hAnsi="Century Schoolbook"/>
          <w:sz w:val="22"/>
          <w:szCs w:val="22"/>
        </w:rPr>
        <w:t>chiar</w:t>
      </w:r>
      <w:r w:rsidR="001D626B" w:rsidRPr="003E01A4">
        <w:rPr>
          <w:rFonts w:ascii="Century Schoolbook" w:hAnsi="Century Schoolbook"/>
          <w:sz w:val="22"/>
          <w:szCs w:val="22"/>
        </w:rPr>
        <w:t>o</w:t>
      </w:r>
      <w:r w:rsidR="002A1A1F" w:rsidRPr="003E01A4">
        <w:rPr>
          <w:rFonts w:ascii="Century Schoolbook" w:hAnsi="Century Schoolbook"/>
          <w:sz w:val="22"/>
          <w:szCs w:val="22"/>
        </w:rPr>
        <w:t xml:space="preserve">: </w:t>
      </w:r>
      <w:r w:rsidR="001D626B" w:rsidRPr="003E01A4">
        <w:rPr>
          <w:rFonts w:ascii="Century Schoolbook" w:hAnsi="Century Schoolbook"/>
          <w:sz w:val="22"/>
          <w:szCs w:val="22"/>
        </w:rPr>
        <w:t>per due volte afferma infatti che il Consiglio comunale (l’«organo politico») partecipa necessariamente alla conferenza</w:t>
      </w:r>
      <w:r w:rsidR="001D626B" w:rsidRPr="003E01A4">
        <w:rPr>
          <w:rStyle w:val="Rimandonotaapidipagina"/>
          <w:rFonts w:ascii="Century Schoolbook" w:hAnsi="Century Schoolbook"/>
          <w:sz w:val="22"/>
          <w:szCs w:val="22"/>
        </w:rPr>
        <w:footnoteReference w:id="40"/>
      </w:r>
      <w:r w:rsidR="001D626B" w:rsidRPr="003E01A4">
        <w:rPr>
          <w:rFonts w:ascii="Century Schoolbook" w:hAnsi="Century Schoolbook"/>
          <w:sz w:val="22"/>
          <w:szCs w:val="22"/>
        </w:rPr>
        <w:t>, senza però indicare dove sia la base normativa di un siffatto convincimento.</w:t>
      </w:r>
    </w:p>
    <w:p w14:paraId="70AC6A61" w14:textId="0C53562C" w:rsidR="006644C6" w:rsidRPr="003E01A4" w:rsidRDefault="006644C6"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Se condotta con atteggiamento il più possibile </w:t>
      </w:r>
      <w:r w:rsidR="000512E1" w:rsidRPr="003E01A4">
        <w:rPr>
          <w:rFonts w:ascii="Century Schoolbook" w:hAnsi="Century Schoolbook"/>
          <w:sz w:val="22"/>
          <w:szCs w:val="22"/>
        </w:rPr>
        <w:t>esente</w:t>
      </w:r>
      <w:r w:rsidRPr="003E01A4">
        <w:rPr>
          <w:rFonts w:ascii="Century Schoolbook" w:hAnsi="Century Schoolbook"/>
          <w:sz w:val="22"/>
          <w:szCs w:val="22"/>
        </w:rPr>
        <w:t xml:space="preserve"> da precomprensioni condizionanti, l’analisi della giurisprudenza costituzionale consente, in definitiva, di inserire il principio autonomistico all’interno di un catalogo di metacriteri operativi che – pur nella loro innegabile elasticità</w:t>
      </w:r>
      <w:r w:rsidRPr="003E01A4">
        <w:rPr>
          <w:rStyle w:val="Rimandonotaapidipagina"/>
          <w:rFonts w:ascii="Century Schoolbook" w:hAnsi="Century Schoolbook"/>
          <w:sz w:val="22"/>
          <w:szCs w:val="22"/>
        </w:rPr>
        <w:footnoteReference w:id="41"/>
      </w:r>
      <w:r w:rsidRPr="003E01A4">
        <w:rPr>
          <w:rFonts w:ascii="Century Schoolbook" w:hAnsi="Century Schoolbook"/>
          <w:sz w:val="22"/>
          <w:szCs w:val="22"/>
        </w:rPr>
        <w:t xml:space="preserve"> – possono utilmente orientare </w:t>
      </w:r>
      <w:r w:rsidR="009207F6" w:rsidRPr="003E01A4">
        <w:rPr>
          <w:rFonts w:ascii="Century Schoolbook" w:hAnsi="Century Schoolbook"/>
          <w:sz w:val="22"/>
          <w:szCs w:val="22"/>
        </w:rPr>
        <w:t xml:space="preserve">per </w:t>
      </w:r>
      <w:r w:rsidRPr="003E01A4">
        <w:rPr>
          <w:rFonts w:ascii="Century Schoolbook" w:hAnsi="Century Schoolbook"/>
          <w:sz w:val="22"/>
          <w:szCs w:val="22"/>
        </w:rPr>
        <w:t>verifica</w:t>
      </w:r>
      <w:r w:rsidR="009207F6" w:rsidRPr="003E01A4">
        <w:rPr>
          <w:rFonts w:ascii="Century Schoolbook" w:hAnsi="Century Schoolbook"/>
          <w:sz w:val="22"/>
          <w:szCs w:val="22"/>
        </w:rPr>
        <w:t>re</w:t>
      </w:r>
      <w:r w:rsidRPr="003E01A4">
        <w:rPr>
          <w:rFonts w:ascii="Century Schoolbook" w:hAnsi="Century Schoolbook"/>
          <w:sz w:val="22"/>
          <w:szCs w:val="22"/>
        </w:rPr>
        <w:t xml:space="preserve"> la correttezza degli assetti relazionali fra livelli di pianificazione interni al polo delle autonomie territoriali.</w:t>
      </w:r>
    </w:p>
    <w:p w14:paraId="5D9233C9" w14:textId="36DB0FF6" w:rsidR="006644C6" w:rsidRPr="003E01A4" w:rsidRDefault="009207F6"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Anzitutto l</w:t>
      </w:r>
      <w:r w:rsidR="006644C6" w:rsidRPr="003E01A4">
        <w:rPr>
          <w:rFonts w:ascii="Century Schoolbook" w:hAnsi="Century Schoolbook"/>
          <w:sz w:val="22"/>
          <w:szCs w:val="22"/>
        </w:rPr>
        <w:t>a «riconoscibilità»</w:t>
      </w:r>
      <w:r w:rsidRPr="003E01A4">
        <w:rPr>
          <w:rFonts w:ascii="Century Schoolbook" w:hAnsi="Century Schoolbook"/>
          <w:sz w:val="22"/>
          <w:szCs w:val="22"/>
        </w:rPr>
        <w:t xml:space="preserve"> generale </w:t>
      </w:r>
      <w:r w:rsidR="006644C6" w:rsidRPr="003E01A4">
        <w:rPr>
          <w:rFonts w:ascii="Century Schoolbook" w:hAnsi="Century Schoolbook"/>
          <w:sz w:val="22"/>
          <w:szCs w:val="22"/>
        </w:rPr>
        <w:t>del territorio – custode e segno di identità collettive – da parte delle comunità locali.</w:t>
      </w:r>
      <w:r w:rsidR="003E0E94" w:rsidRPr="003E01A4">
        <w:rPr>
          <w:rFonts w:ascii="Century Schoolbook" w:hAnsi="Century Schoolbook"/>
          <w:sz w:val="22"/>
          <w:szCs w:val="22"/>
        </w:rPr>
        <w:t xml:space="preserve"> </w:t>
      </w:r>
      <w:r w:rsidR="006644C6" w:rsidRPr="003E01A4">
        <w:rPr>
          <w:rFonts w:ascii="Century Schoolbook" w:hAnsi="Century Schoolbook"/>
          <w:sz w:val="22"/>
          <w:szCs w:val="22"/>
        </w:rPr>
        <w:t>Un legame, questo, che pianificazion</w:t>
      </w:r>
      <w:r w:rsidRPr="003E01A4">
        <w:rPr>
          <w:rFonts w:ascii="Century Schoolbook" w:hAnsi="Century Schoolbook"/>
          <w:sz w:val="22"/>
          <w:szCs w:val="22"/>
        </w:rPr>
        <w:t>i</w:t>
      </w:r>
      <w:r w:rsidR="006644C6" w:rsidRPr="003E01A4">
        <w:rPr>
          <w:rFonts w:ascii="Century Schoolbook" w:hAnsi="Century Schoolbook"/>
          <w:sz w:val="22"/>
          <w:szCs w:val="22"/>
        </w:rPr>
        <w:t xml:space="preserve"> </w:t>
      </w:r>
      <w:r w:rsidRPr="003E01A4">
        <w:rPr>
          <w:rFonts w:ascii="Century Schoolbook" w:hAnsi="Century Schoolbook"/>
          <w:sz w:val="22"/>
          <w:szCs w:val="22"/>
        </w:rPr>
        <w:t xml:space="preserve">o interventi </w:t>
      </w:r>
      <w:r w:rsidR="006644C6" w:rsidRPr="003E01A4">
        <w:rPr>
          <w:rFonts w:ascii="Century Schoolbook" w:hAnsi="Century Schoolbook"/>
          <w:sz w:val="22"/>
          <w:szCs w:val="22"/>
        </w:rPr>
        <w:t>«altr</w:t>
      </w:r>
      <w:r w:rsidRPr="003E01A4">
        <w:rPr>
          <w:rFonts w:ascii="Century Schoolbook" w:hAnsi="Century Schoolbook"/>
          <w:sz w:val="22"/>
          <w:szCs w:val="22"/>
        </w:rPr>
        <w:t>i</w:t>
      </w:r>
      <w:r w:rsidR="006644C6" w:rsidRPr="003E01A4">
        <w:rPr>
          <w:rFonts w:ascii="Century Schoolbook" w:hAnsi="Century Schoolbook"/>
          <w:sz w:val="22"/>
          <w:szCs w:val="22"/>
        </w:rPr>
        <w:t xml:space="preserve">» </w:t>
      </w:r>
      <w:r w:rsidR="00A5304D" w:rsidRPr="003E01A4">
        <w:rPr>
          <w:rFonts w:ascii="Century Schoolbook" w:hAnsi="Century Schoolbook"/>
          <w:sz w:val="22"/>
          <w:szCs w:val="22"/>
        </w:rPr>
        <w:t xml:space="preserve">non </w:t>
      </w:r>
      <w:r w:rsidR="006644C6" w:rsidRPr="003E01A4">
        <w:rPr>
          <w:rFonts w:ascii="Century Schoolbook" w:hAnsi="Century Schoolbook"/>
          <w:sz w:val="22"/>
          <w:szCs w:val="22"/>
        </w:rPr>
        <w:t>p</w:t>
      </w:r>
      <w:r w:rsidR="00A5304D" w:rsidRPr="003E01A4">
        <w:rPr>
          <w:rFonts w:ascii="Century Schoolbook" w:hAnsi="Century Schoolbook"/>
          <w:sz w:val="22"/>
          <w:szCs w:val="22"/>
        </w:rPr>
        <w:t>otrebbero</w:t>
      </w:r>
      <w:r w:rsidR="006644C6" w:rsidRPr="003E01A4">
        <w:rPr>
          <w:rFonts w:ascii="Century Schoolbook" w:hAnsi="Century Schoolbook"/>
          <w:sz w:val="22"/>
          <w:szCs w:val="22"/>
        </w:rPr>
        <w:t xml:space="preserve"> legittimamente recidere, e che </w:t>
      </w:r>
      <w:r w:rsidR="00A5304D" w:rsidRPr="003E01A4">
        <w:rPr>
          <w:rFonts w:ascii="Century Schoolbook" w:hAnsi="Century Schoolbook"/>
          <w:sz w:val="22"/>
          <w:szCs w:val="22"/>
        </w:rPr>
        <w:t xml:space="preserve">fissa </w:t>
      </w:r>
      <w:r w:rsidR="006644C6" w:rsidRPr="003E01A4">
        <w:rPr>
          <w:rFonts w:ascii="Century Schoolbook" w:hAnsi="Century Schoolbook"/>
          <w:sz w:val="22"/>
          <w:szCs w:val="22"/>
        </w:rPr>
        <w:t xml:space="preserve">il limite intrinseco e strutturale di ogni sistema </w:t>
      </w:r>
      <w:r w:rsidR="006644C6" w:rsidRPr="00D07115">
        <w:rPr>
          <w:rFonts w:ascii="Century Schoolbook" w:hAnsi="Century Schoolbook"/>
          <w:iCs/>
          <w:sz w:val="22"/>
          <w:szCs w:val="22"/>
        </w:rPr>
        <w:t>multil</w:t>
      </w:r>
      <w:r w:rsidR="00D07115" w:rsidRPr="00D07115">
        <w:rPr>
          <w:rFonts w:ascii="Century Schoolbook" w:hAnsi="Century Schoolbook"/>
          <w:iCs/>
          <w:sz w:val="22"/>
          <w:szCs w:val="22"/>
        </w:rPr>
        <w:t>i</w:t>
      </w:r>
      <w:r w:rsidR="006644C6" w:rsidRPr="00D07115">
        <w:rPr>
          <w:rFonts w:ascii="Century Schoolbook" w:hAnsi="Century Schoolbook"/>
          <w:iCs/>
          <w:sz w:val="22"/>
          <w:szCs w:val="22"/>
        </w:rPr>
        <w:t>vel</w:t>
      </w:r>
      <w:r w:rsidR="00D07115" w:rsidRPr="00D07115">
        <w:rPr>
          <w:rFonts w:ascii="Century Schoolbook" w:hAnsi="Century Schoolbook"/>
          <w:iCs/>
          <w:sz w:val="22"/>
          <w:szCs w:val="22"/>
        </w:rPr>
        <w:t>lo</w:t>
      </w:r>
      <w:r w:rsidR="006644C6" w:rsidRPr="003E01A4">
        <w:rPr>
          <w:rFonts w:ascii="Century Schoolbook" w:hAnsi="Century Schoolbook"/>
          <w:sz w:val="22"/>
          <w:szCs w:val="22"/>
        </w:rPr>
        <w:t>,</w:t>
      </w:r>
      <w:r w:rsidR="006644C6" w:rsidRPr="003E01A4">
        <w:rPr>
          <w:rFonts w:ascii="Century Schoolbook" w:hAnsi="Century Schoolbook"/>
          <w:i/>
          <w:sz w:val="22"/>
          <w:szCs w:val="22"/>
        </w:rPr>
        <w:t xml:space="preserve"> </w:t>
      </w:r>
      <w:r w:rsidR="006644C6" w:rsidRPr="003E01A4">
        <w:rPr>
          <w:rFonts w:ascii="Century Schoolbook" w:hAnsi="Century Schoolbook"/>
          <w:sz w:val="22"/>
          <w:szCs w:val="22"/>
        </w:rPr>
        <w:t>in quanto connotato da una pluralità di attori e decisori</w:t>
      </w:r>
      <w:r w:rsidR="00A5304D" w:rsidRPr="003E01A4">
        <w:rPr>
          <w:rFonts w:ascii="Century Schoolbook" w:hAnsi="Century Schoolbook"/>
          <w:sz w:val="22"/>
          <w:szCs w:val="22"/>
        </w:rPr>
        <w:t>.</w:t>
      </w:r>
    </w:p>
    <w:p w14:paraId="424BC233" w14:textId="0F8FFC2C" w:rsidR="006C4BBA" w:rsidRPr="003E01A4" w:rsidRDefault="006644C6"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All’interno di questo presidio estremo è attivo un ulteriore (meta)criterio, che commisura l’incisività dell</w:t>
      </w:r>
      <w:r w:rsidR="00A5304D" w:rsidRPr="003E01A4">
        <w:rPr>
          <w:rFonts w:ascii="Century Schoolbook" w:hAnsi="Century Schoolbook"/>
          <w:sz w:val="22"/>
          <w:szCs w:val="22"/>
        </w:rPr>
        <w:t>a scelta</w:t>
      </w:r>
      <w:r w:rsidRPr="003E01A4">
        <w:rPr>
          <w:rFonts w:ascii="Century Schoolbook" w:hAnsi="Century Schoolbook"/>
          <w:sz w:val="22"/>
          <w:szCs w:val="22"/>
        </w:rPr>
        <w:t xml:space="preserve"> eteronom</w:t>
      </w:r>
      <w:r w:rsidR="00A5304D" w:rsidRPr="003E01A4">
        <w:rPr>
          <w:rFonts w:ascii="Century Schoolbook" w:hAnsi="Century Schoolbook"/>
          <w:sz w:val="22"/>
          <w:szCs w:val="22"/>
        </w:rPr>
        <w:t>a</w:t>
      </w:r>
      <w:r w:rsidRPr="003E01A4">
        <w:rPr>
          <w:rFonts w:ascii="Century Schoolbook" w:hAnsi="Century Schoolbook"/>
          <w:sz w:val="22"/>
          <w:szCs w:val="22"/>
        </w:rPr>
        <w:t xml:space="preserve"> </w:t>
      </w:r>
      <w:r w:rsidR="00A5304D" w:rsidRPr="003E01A4">
        <w:rPr>
          <w:rFonts w:ascii="Century Schoolbook" w:hAnsi="Century Schoolbook"/>
          <w:sz w:val="22"/>
          <w:szCs w:val="22"/>
        </w:rPr>
        <w:t xml:space="preserve">o esterna </w:t>
      </w:r>
      <w:r w:rsidRPr="003E01A4">
        <w:rPr>
          <w:rFonts w:ascii="Century Schoolbook" w:hAnsi="Century Schoolbook"/>
          <w:sz w:val="22"/>
          <w:szCs w:val="22"/>
        </w:rPr>
        <w:t xml:space="preserve">alla consistenza dell’interesse pubblico </w:t>
      </w:r>
      <w:r w:rsidR="00A5304D" w:rsidRPr="003E01A4">
        <w:rPr>
          <w:rFonts w:ascii="Century Schoolbook" w:hAnsi="Century Schoolbook"/>
          <w:sz w:val="22"/>
          <w:szCs w:val="22"/>
        </w:rPr>
        <w:t>che vi è</w:t>
      </w:r>
      <w:r w:rsidRPr="003E01A4">
        <w:rPr>
          <w:rFonts w:ascii="Century Schoolbook" w:hAnsi="Century Schoolbook"/>
          <w:sz w:val="22"/>
          <w:szCs w:val="22"/>
        </w:rPr>
        <w:t xml:space="preserve"> sotteso: può farsi qui rinvio –</w:t>
      </w:r>
      <w:r w:rsidR="00D41ECE" w:rsidRPr="003E01A4">
        <w:rPr>
          <w:rFonts w:ascii="Century Schoolbook" w:hAnsi="Century Schoolbook"/>
          <w:sz w:val="22"/>
          <w:szCs w:val="22"/>
        </w:rPr>
        <w:t xml:space="preserve"> com’è stato </w:t>
      </w:r>
      <w:r w:rsidRPr="003E01A4">
        <w:rPr>
          <w:rFonts w:ascii="Century Schoolbook" w:hAnsi="Century Schoolbook"/>
          <w:sz w:val="22"/>
          <w:szCs w:val="22"/>
        </w:rPr>
        <w:t>osservato</w:t>
      </w:r>
      <w:r w:rsidRPr="003E01A4">
        <w:rPr>
          <w:rStyle w:val="Rimandonotaapidipagina"/>
          <w:rFonts w:ascii="Century Schoolbook" w:hAnsi="Century Schoolbook"/>
          <w:sz w:val="22"/>
          <w:szCs w:val="22"/>
        </w:rPr>
        <w:footnoteReference w:id="42"/>
      </w:r>
      <w:r w:rsidRPr="003E01A4">
        <w:rPr>
          <w:rFonts w:ascii="Century Schoolbook" w:hAnsi="Century Schoolbook"/>
          <w:sz w:val="22"/>
          <w:szCs w:val="22"/>
        </w:rPr>
        <w:t xml:space="preserve"> – alla nota giurisprudenza costituzionale sul</w:t>
      </w:r>
      <w:r w:rsidR="00D60D1A" w:rsidRPr="003E01A4">
        <w:rPr>
          <w:rFonts w:ascii="Century Schoolbook" w:hAnsi="Century Schoolbook"/>
          <w:sz w:val="22"/>
          <w:szCs w:val="22"/>
        </w:rPr>
        <w:t>la variabilità</w:t>
      </w:r>
      <w:r w:rsidRPr="003E01A4">
        <w:rPr>
          <w:rFonts w:ascii="Century Schoolbook" w:hAnsi="Century Schoolbook"/>
          <w:sz w:val="22"/>
          <w:szCs w:val="22"/>
        </w:rPr>
        <w:t xml:space="preserve"> </w:t>
      </w:r>
      <w:r w:rsidR="00D60D1A" w:rsidRPr="003E01A4">
        <w:rPr>
          <w:rFonts w:ascii="Century Schoolbook" w:hAnsi="Century Schoolbook"/>
          <w:sz w:val="22"/>
          <w:szCs w:val="22"/>
        </w:rPr>
        <w:t xml:space="preserve">del </w:t>
      </w:r>
      <w:r w:rsidRPr="003E01A4">
        <w:rPr>
          <w:rFonts w:ascii="Century Schoolbook" w:hAnsi="Century Schoolbook"/>
          <w:sz w:val="22"/>
          <w:szCs w:val="22"/>
        </w:rPr>
        <w:t xml:space="preserve">livello </w:t>
      </w:r>
      <w:r w:rsidR="00D60D1A" w:rsidRPr="003E01A4">
        <w:rPr>
          <w:rFonts w:ascii="Century Schoolbook" w:hAnsi="Century Schoolbook"/>
          <w:sz w:val="22"/>
          <w:szCs w:val="22"/>
        </w:rPr>
        <w:t>allocativo ottimale</w:t>
      </w:r>
      <w:r w:rsidRPr="003E01A4">
        <w:rPr>
          <w:rFonts w:ascii="Century Schoolbook" w:hAnsi="Century Schoolbook"/>
          <w:sz w:val="22"/>
          <w:szCs w:val="22"/>
        </w:rPr>
        <w:t xml:space="preserve"> degli interessi, </w:t>
      </w:r>
      <w:r w:rsidRPr="003E01A4">
        <w:rPr>
          <w:rFonts w:ascii="Century Schoolbook" w:hAnsi="Century Schoolbook"/>
          <w:i/>
          <w:sz w:val="22"/>
          <w:szCs w:val="22"/>
        </w:rPr>
        <w:t>id est</w:t>
      </w:r>
      <w:r w:rsidRPr="003E01A4">
        <w:rPr>
          <w:rFonts w:ascii="Century Schoolbook" w:hAnsi="Century Schoolbook"/>
          <w:sz w:val="22"/>
          <w:szCs w:val="22"/>
        </w:rPr>
        <w:t xml:space="preserve"> </w:t>
      </w:r>
      <w:r w:rsidR="00D60D1A" w:rsidRPr="003E01A4">
        <w:rPr>
          <w:rFonts w:ascii="Century Schoolbook" w:hAnsi="Century Schoolbook"/>
          <w:sz w:val="22"/>
          <w:szCs w:val="22"/>
        </w:rPr>
        <w:t>sulla mutevolezza</w:t>
      </w:r>
      <w:r w:rsidRPr="003E01A4">
        <w:rPr>
          <w:rFonts w:ascii="Century Schoolbook" w:hAnsi="Century Schoolbook"/>
          <w:sz w:val="22"/>
          <w:szCs w:val="22"/>
        </w:rPr>
        <w:t xml:space="preserve"> </w:t>
      </w:r>
      <w:r w:rsidR="00D60D1A" w:rsidRPr="003E01A4">
        <w:rPr>
          <w:rFonts w:ascii="Century Schoolbook" w:hAnsi="Century Schoolbook"/>
          <w:sz w:val="22"/>
          <w:szCs w:val="22"/>
        </w:rPr>
        <w:t xml:space="preserve">negli esiti finali del </w:t>
      </w:r>
      <w:r w:rsidRPr="003E01A4">
        <w:rPr>
          <w:rFonts w:ascii="Century Schoolbook" w:hAnsi="Century Schoolbook"/>
          <w:sz w:val="22"/>
          <w:szCs w:val="22"/>
        </w:rPr>
        <w:t>rapporto dialettico fra adeguatezza e sussidiarietà.</w:t>
      </w:r>
    </w:p>
    <w:p w14:paraId="60281AFB" w14:textId="5E1FE91C" w:rsidR="00F601CD" w:rsidRPr="003E01A4" w:rsidRDefault="00F601CD"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La Corte identifica due </w:t>
      </w:r>
      <w:r w:rsidRPr="003E01A4">
        <w:rPr>
          <w:rFonts w:ascii="Century Schoolbook" w:hAnsi="Century Schoolbook"/>
          <w:i/>
          <w:sz w:val="22"/>
          <w:szCs w:val="22"/>
        </w:rPr>
        <w:t>mala vitanda</w:t>
      </w:r>
      <w:r w:rsidR="00A5304D" w:rsidRPr="003E01A4">
        <w:rPr>
          <w:rFonts w:ascii="Century Schoolbook" w:hAnsi="Century Schoolbook"/>
          <w:sz w:val="22"/>
          <w:szCs w:val="22"/>
        </w:rPr>
        <w:t xml:space="preserve"> opposti:</w:t>
      </w:r>
      <w:r w:rsidRPr="003E01A4">
        <w:rPr>
          <w:rFonts w:ascii="Century Schoolbook" w:hAnsi="Century Schoolbook"/>
          <w:sz w:val="22"/>
          <w:szCs w:val="22"/>
        </w:rPr>
        <w:t xml:space="preserve"> </w:t>
      </w:r>
      <w:r w:rsidR="00A5304D" w:rsidRPr="003E01A4">
        <w:rPr>
          <w:rFonts w:ascii="Century Schoolbook" w:hAnsi="Century Schoolbook"/>
          <w:sz w:val="22"/>
          <w:szCs w:val="22"/>
        </w:rPr>
        <w:t xml:space="preserve">per un verso, gli </w:t>
      </w:r>
      <w:r w:rsidRPr="003E01A4">
        <w:rPr>
          <w:rFonts w:ascii="Century Schoolbook" w:hAnsi="Century Schoolbook"/>
          <w:sz w:val="22"/>
          <w:szCs w:val="22"/>
        </w:rPr>
        <w:t>assetti procedimentali incapaci di evitare situazioni di stallo decisionale</w:t>
      </w:r>
      <w:r w:rsidRPr="003E01A4">
        <w:rPr>
          <w:rStyle w:val="Rimandonotaapidipagina"/>
          <w:rFonts w:ascii="Century Schoolbook" w:hAnsi="Century Schoolbook"/>
          <w:sz w:val="22"/>
          <w:szCs w:val="22"/>
        </w:rPr>
        <w:footnoteReference w:id="43"/>
      </w:r>
      <w:r w:rsidR="00A5304D" w:rsidRPr="003E01A4">
        <w:rPr>
          <w:rFonts w:ascii="Century Schoolbook" w:hAnsi="Century Schoolbook"/>
          <w:sz w:val="22"/>
          <w:szCs w:val="22"/>
        </w:rPr>
        <w:t>;</w:t>
      </w:r>
      <w:r w:rsidRPr="003E01A4">
        <w:rPr>
          <w:rFonts w:ascii="Century Schoolbook" w:hAnsi="Century Schoolbook"/>
          <w:sz w:val="22"/>
          <w:szCs w:val="22"/>
        </w:rPr>
        <w:t xml:space="preserve"> per altro verso, </w:t>
      </w:r>
      <w:r w:rsidR="00822FB7" w:rsidRPr="003E01A4">
        <w:rPr>
          <w:rFonts w:ascii="Century Schoolbook" w:hAnsi="Century Schoolbook"/>
          <w:sz w:val="22"/>
          <w:szCs w:val="22"/>
        </w:rPr>
        <w:t xml:space="preserve">quelli che invece </w:t>
      </w:r>
      <w:r w:rsidRPr="003E01A4">
        <w:rPr>
          <w:rFonts w:ascii="Century Schoolbook" w:hAnsi="Century Schoolbook"/>
          <w:sz w:val="22"/>
          <w:szCs w:val="22"/>
        </w:rPr>
        <w:t>svuota</w:t>
      </w:r>
      <w:r w:rsidR="00822FB7" w:rsidRPr="003E01A4">
        <w:rPr>
          <w:rFonts w:ascii="Century Schoolbook" w:hAnsi="Century Schoolbook"/>
          <w:sz w:val="22"/>
          <w:szCs w:val="22"/>
        </w:rPr>
        <w:t>no</w:t>
      </w:r>
      <w:r w:rsidRPr="003E01A4">
        <w:rPr>
          <w:rFonts w:ascii="Century Schoolbook" w:hAnsi="Century Schoolbook"/>
          <w:sz w:val="22"/>
          <w:szCs w:val="22"/>
        </w:rPr>
        <w:t xml:space="preserve"> la partecipazione comunale di ogni capacità di incidere in senso realmente conformativo sul potere regionale di pianificazione.</w:t>
      </w:r>
    </w:p>
    <w:p w14:paraId="49179BA0" w14:textId="752A23F5" w:rsidR="00F601CD" w:rsidRPr="003E01A4" w:rsidRDefault="00F601CD"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In disparte, tuttavia, queste situazioni per così dire </w:t>
      </w:r>
      <w:r w:rsidRPr="003E01A4">
        <w:rPr>
          <w:rFonts w:ascii="Century Schoolbook" w:hAnsi="Century Schoolbook"/>
          <w:i/>
          <w:sz w:val="22"/>
          <w:szCs w:val="22"/>
        </w:rPr>
        <w:t>estreme</w:t>
      </w:r>
      <w:r w:rsidRPr="003E01A4">
        <w:rPr>
          <w:rFonts w:ascii="Century Schoolbook" w:hAnsi="Century Schoolbook"/>
          <w:sz w:val="22"/>
          <w:szCs w:val="22"/>
        </w:rPr>
        <w:t xml:space="preserve">, </w:t>
      </w:r>
      <w:r w:rsidR="003613C6" w:rsidRPr="003E01A4">
        <w:rPr>
          <w:rFonts w:ascii="Century Schoolbook" w:hAnsi="Century Schoolbook"/>
          <w:sz w:val="22"/>
          <w:szCs w:val="22"/>
        </w:rPr>
        <w:t xml:space="preserve">la Corte non affronta </w:t>
      </w:r>
      <w:r w:rsidRPr="003E01A4">
        <w:rPr>
          <w:rFonts w:ascii="Century Schoolbook" w:hAnsi="Century Schoolbook"/>
          <w:sz w:val="22"/>
          <w:szCs w:val="22"/>
        </w:rPr>
        <w:t xml:space="preserve">il nodo della </w:t>
      </w:r>
      <w:r w:rsidRPr="003E01A4">
        <w:rPr>
          <w:rFonts w:ascii="Century Schoolbook" w:hAnsi="Century Schoolbook"/>
          <w:i/>
          <w:sz w:val="22"/>
          <w:szCs w:val="22"/>
        </w:rPr>
        <w:t>ordinarietà</w:t>
      </w:r>
      <w:r w:rsidRPr="003E01A4">
        <w:rPr>
          <w:rFonts w:ascii="Century Schoolbook" w:hAnsi="Century Schoolbook"/>
          <w:sz w:val="22"/>
          <w:szCs w:val="22"/>
        </w:rPr>
        <w:t xml:space="preserve">: </w:t>
      </w:r>
      <w:r w:rsidR="003613C6" w:rsidRPr="003E01A4">
        <w:rPr>
          <w:rFonts w:ascii="Century Schoolbook" w:hAnsi="Century Schoolbook"/>
          <w:sz w:val="22"/>
          <w:szCs w:val="22"/>
        </w:rPr>
        <w:t xml:space="preserve">cioè </w:t>
      </w:r>
      <w:r w:rsidRPr="003E01A4">
        <w:rPr>
          <w:rFonts w:ascii="Century Schoolbook" w:hAnsi="Century Schoolbook"/>
          <w:sz w:val="22"/>
          <w:szCs w:val="22"/>
        </w:rPr>
        <w:t xml:space="preserve">della </w:t>
      </w:r>
      <w:r w:rsidRPr="003E01A4">
        <w:rPr>
          <w:rFonts w:ascii="Century Schoolbook" w:hAnsi="Century Schoolbook"/>
          <w:i/>
          <w:sz w:val="22"/>
          <w:szCs w:val="22"/>
        </w:rPr>
        <w:t>costruzione</w:t>
      </w:r>
      <w:r w:rsidRPr="003E01A4">
        <w:rPr>
          <w:rFonts w:ascii="Century Schoolbook" w:hAnsi="Century Schoolbook"/>
          <w:sz w:val="22"/>
          <w:szCs w:val="22"/>
        </w:rPr>
        <w:t xml:space="preserve"> e della </w:t>
      </w:r>
      <w:r w:rsidRPr="003E01A4">
        <w:rPr>
          <w:rFonts w:ascii="Century Schoolbook" w:hAnsi="Century Schoolbook"/>
          <w:i/>
          <w:sz w:val="22"/>
          <w:szCs w:val="22"/>
        </w:rPr>
        <w:t>valutazione</w:t>
      </w:r>
      <w:r w:rsidRPr="003E01A4">
        <w:rPr>
          <w:rFonts w:ascii="Century Schoolbook" w:hAnsi="Century Schoolbook"/>
          <w:sz w:val="22"/>
          <w:szCs w:val="22"/>
        </w:rPr>
        <w:t xml:space="preserve"> in termini di correttezza costituzionale di una determinata esperienza di normazione, riguardata nel suo complesso, la quale – assumendo obiettivi di tutela di </w:t>
      </w:r>
      <w:r w:rsidR="00F57AEB" w:rsidRPr="003E01A4">
        <w:rPr>
          <w:rFonts w:ascii="Century Schoolbook" w:hAnsi="Century Schoolbook"/>
          <w:sz w:val="22"/>
          <w:szCs w:val="22"/>
        </w:rPr>
        <w:t xml:space="preserve">un </w:t>
      </w:r>
      <w:r w:rsidRPr="003E01A4">
        <w:rPr>
          <w:rFonts w:ascii="Century Schoolbook" w:hAnsi="Century Schoolbook"/>
          <w:sz w:val="22"/>
          <w:szCs w:val="22"/>
        </w:rPr>
        <w:t>interess</w:t>
      </w:r>
      <w:r w:rsidR="00F57AEB" w:rsidRPr="003E01A4">
        <w:rPr>
          <w:rFonts w:ascii="Century Schoolbook" w:hAnsi="Century Schoolbook"/>
          <w:sz w:val="22"/>
          <w:szCs w:val="22"/>
        </w:rPr>
        <w:t>e</w:t>
      </w:r>
      <w:r w:rsidRPr="003E01A4">
        <w:rPr>
          <w:rFonts w:ascii="Century Schoolbook" w:hAnsi="Century Schoolbook"/>
          <w:sz w:val="22"/>
          <w:szCs w:val="22"/>
        </w:rPr>
        <w:t xml:space="preserve"> sovra</w:t>
      </w:r>
      <w:r w:rsidR="00D41ECE" w:rsidRPr="003E01A4">
        <w:rPr>
          <w:rFonts w:ascii="Century Schoolbook" w:hAnsi="Century Schoolbook"/>
          <w:sz w:val="22"/>
          <w:szCs w:val="22"/>
        </w:rPr>
        <w:t>- o meta</w:t>
      </w:r>
      <w:r w:rsidRPr="003E01A4">
        <w:rPr>
          <w:rFonts w:ascii="Century Schoolbook" w:hAnsi="Century Schoolbook"/>
          <w:sz w:val="22"/>
          <w:szCs w:val="22"/>
        </w:rPr>
        <w:t>comunal</w:t>
      </w:r>
      <w:r w:rsidR="00F57AEB" w:rsidRPr="003E01A4">
        <w:rPr>
          <w:rFonts w:ascii="Century Schoolbook" w:hAnsi="Century Schoolbook"/>
          <w:sz w:val="22"/>
          <w:szCs w:val="22"/>
        </w:rPr>
        <w:t>e</w:t>
      </w:r>
      <w:r w:rsidRPr="003E01A4">
        <w:rPr>
          <w:rFonts w:ascii="Century Schoolbook" w:hAnsi="Century Schoolbook"/>
          <w:sz w:val="22"/>
          <w:szCs w:val="22"/>
        </w:rPr>
        <w:t xml:space="preserve"> – delinei un assetto di rapporti fra livelli di pianificazione che, sulla scorta dei criteri appena cennati, sia da considerare equilibrato perché capace di forgiare </w:t>
      </w:r>
      <w:r w:rsidR="00822FB7" w:rsidRPr="003E01A4">
        <w:rPr>
          <w:rFonts w:ascii="Century Schoolbook" w:hAnsi="Century Schoolbook"/>
          <w:sz w:val="22"/>
          <w:szCs w:val="22"/>
        </w:rPr>
        <w:t>un</w:t>
      </w:r>
      <w:r w:rsidRPr="003E01A4">
        <w:rPr>
          <w:rFonts w:ascii="Century Schoolbook" w:hAnsi="Century Schoolbook"/>
          <w:sz w:val="22"/>
          <w:szCs w:val="22"/>
        </w:rPr>
        <w:t xml:space="preserve">a declinazione del principio autonomistico adeguata alle articolazioni </w:t>
      </w:r>
      <w:r w:rsidR="00A5304D" w:rsidRPr="003E01A4">
        <w:rPr>
          <w:rFonts w:ascii="Century Schoolbook" w:hAnsi="Century Schoolbook"/>
          <w:sz w:val="22"/>
          <w:szCs w:val="22"/>
        </w:rPr>
        <w:t xml:space="preserve">concrete </w:t>
      </w:r>
      <w:r w:rsidRPr="003E01A4">
        <w:rPr>
          <w:rFonts w:ascii="Century Schoolbook" w:hAnsi="Century Schoolbook"/>
          <w:sz w:val="22"/>
          <w:szCs w:val="22"/>
        </w:rPr>
        <w:t>dei processi reali da regolare.</w:t>
      </w:r>
    </w:p>
    <w:p w14:paraId="0582F2B5" w14:textId="3333F38B" w:rsidR="00F601CD" w:rsidRPr="003E01A4" w:rsidRDefault="00F601CD"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Un </w:t>
      </w:r>
      <w:r w:rsidRPr="003E01A4">
        <w:rPr>
          <w:rFonts w:ascii="Century Schoolbook" w:hAnsi="Century Schoolbook"/>
          <w:i/>
          <w:sz w:val="22"/>
          <w:szCs w:val="22"/>
        </w:rPr>
        <w:t>compito</w:t>
      </w:r>
      <w:r w:rsidRPr="003E01A4">
        <w:rPr>
          <w:rFonts w:ascii="Century Schoolbook" w:hAnsi="Century Schoolbook"/>
          <w:sz w:val="22"/>
          <w:szCs w:val="22"/>
        </w:rPr>
        <w:t xml:space="preserve"> e un </w:t>
      </w:r>
      <w:r w:rsidRPr="003E01A4">
        <w:rPr>
          <w:rFonts w:ascii="Century Schoolbook" w:hAnsi="Century Schoolbook"/>
          <w:i/>
          <w:sz w:val="22"/>
          <w:szCs w:val="22"/>
        </w:rPr>
        <w:t>giudizio</w:t>
      </w:r>
      <w:r w:rsidRPr="003E01A4">
        <w:rPr>
          <w:rFonts w:ascii="Century Schoolbook" w:hAnsi="Century Schoolbook"/>
          <w:sz w:val="22"/>
          <w:szCs w:val="22"/>
        </w:rPr>
        <w:t xml:space="preserve"> davvero di non poco momento, cui il legislatore e la Consulta sono rispettivamente chiamati avendo a disposizione, in sostanza, soltanto le pur duttili tecniche – e «l’enorme capacità espansiva e qualificatoria»</w:t>
      </w:r>
      <w:r w:rsidRPr="003E01A4">
        <w:rPr>
          <w:rStyle w:val="Rimandonotaapidipagina"/>
          <w:rFonts w:ascii="Century Schoolbook" w:hAnsi="Century Schoolbook"/>
          <w:sz w:val="22"/>
          <w:szCs w:val="22"/>
        </w:rPr>
        <w:footnoteReference w:id="44"/>
      </w:r>
      <w:r w:rsidRPr="003E01A4">
        <w:rPr>
          <w:rFonts w:ascii="Century Schoolbook" w:hAnsi="Century Schoolbook"/>
          <w:sz w:val="22"/>
          <w:szCs w:val="22"/>
        </w:rPr>
        <w:t xml:space="preserve"> – del principio di ragionevolezza.</w:t>
      </w:r>
      <w:r w:rsidR="00A5304D" w:rsidRPr="003E01A4">
        <w:rPr>
          <w:rFonts w:ascii="Century Schoolbook" w:hAnsi="Century Schoolbook"/>
          <w:sz w:val="22"/>
          <w:szCs w:val="22"/>
        </w:rPr>
        <w:t xml:space="preserve"> </w:t>
      </w:r>
      <w:r w:rsidR="00822FB7" w:rsidRPr="003E01A4">
        <w:rPr>
          <w:rFonts w:ascii="Century Schoolbook" w:hAnsi="Century Schoolbook"/>
          <w:sz w:val="22"/>
          <w:szCs w:val="22"/>
        </w:rPr>
        <w:t>Il quale</w:t>
      </w:r>
      <w:r w:rsidRPr="003E01A4">
        <w:rPr>
          <w:rFonts w:ascii="Century Schoolbook" w:hAnsi="Century Schoolbook"/>
          <w:sz w:val="22"/>
          <w:szCs w:val="22"/>
        </w:rPr>
        <w:t xml:space="preserve"> consente di percepire – andando oltre «il filo della linea distintiva delle competenze proprie di ciascun organo o ente»</w:t>
      </w:r>
      <w:r w:rsidRPr="003E01A4">
        <w:rPr>
          <w:rStyle w:val="Rimandonotaapidipagina"/>
          <w:rFonts w:ascii="Century Schoolbook" w:hAnsi="Century Schoolbook"/>
          <w:sz w:val="22"/>
          <w:szCs w:val="22"/>
        </w:rPr>
        <w:footnoteReference w:id="45"/>
      </w:r>
      <w:r w:rsidRPr="003E01A4">
        <w:rPr>
          <w:rFonts w:ascii="Century Schoolbook" w:hAnsi="Century Schoolbook"/>
          <w:sz w:val="22"/>
          <w:szCs w:val="22"/>
        </w:rPr>
        <w:t xml:space="preserve"> – lo «spessore» e l’«intrinseco dinamismo» che caratterizzano </w:t>
      </w:r>
      <w:r w:rsidR="00A5304D" w:rsidRPr="003E01A4">
        <w:rPr>
          <w:rFonts w:ascii="Century Schoolbook" w:hAnsi="Century Schoolbook"/>
          <w:sz w:val="22"/>
          <w:szCs w:val="22"/>
        </w:rPr>
        <w:t>queste</w:t>
      </w:r>
      <w:r w:rsidRPr="003E01A4">
        <w:rPr>
          <w:rFonts w:ascii="Century Schoolbook" w:hAnsi="Century Schoolbook"/>
          <w:sz w:val="22"/>
          <w:szCs w:val="22"/>
        </w:rPr>
        <w:t xml:space="preserve"> relazioni intersoggettive, bisognose pertanto di una diversa strategia d’approccio, più sensibile alle loro valenze assiologico-sostanziali.</w:t>
      </w:r>
    </w:p>
    <w:p w14:paraId="0BA5B3F1" w14:textId="6FF6FD43" w:rsidR="00F601CD" w:rsidRPr="003E01A4" w:rsidRDefault="00F601CD"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A esse connesso da una relazione di strumentalità diretta si mostra poi il principio di leale collaborazione, tramite necessario per cogliere le declinazioni mutevoli e sottili nelle quali si articolano i rapporti fra livelli di governo, non solo sul versante delle mutue interazioni che le autonomie territoriali tracciano nei confronti dello Stato, ma anche al loro stesso interno.</w:t>
      </w:r>
    </w:p>
    <w:p w14:paraId="6EF4E224" w14:textId="77777777" w:rsidR="00F601CD" w:rsidRPr="003E01A4" w:rsidRDefault="00F601CD"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A sua volta, la ragionevolezza – alla cui stregua ogni giudizio ultimo è condotto – chiude la virtuosa circolarità che la unisce al </w:t>
      </w:r>
      <w:r w:rsidRPr="003E01A4">
        <w:rPr>
          <w:rFonts w:ascii="Century Schoolbook" w:hAnsi="Century Schoolbook"/>
          <w:i/>
          <w:sz w:val="22"/>
          <w:szCs w:val="22"/>
        </w:rPr>
        <w:t>principium cooperationis</w:t>
      </w:r>
      <w:r w:rsidRPr="003E01A4">
        <w:rPr>
          <w:rFonts w:ascii="Century Schoolbook" w:hAnsi="Century Schoolbook"/>
          <w:sz w:val="22"/>
          <w:szCs w:val="22"/>
        </w:rPr>
        <w:t xml:space="preserve"> e per esso al sistema di valori dai quali trae linfa l’ordinamento</w:t>
      </w:r>
      <w:r w:rsidRPr="003E01A4">
        <w:rPr>
          <w:rStyle w:val="Rimandonotaapidipagina"/>
          <w:rFonts w:ascii="Century Schoolbook" w:hAnsi="Century Schoolbook"/>
          <w:sz w:val="22"/>
          <w:szCs w:val="22"/>
        </w:rPr>
        <w:footnoteReference w:id="46"/>
      </w:r>
      <w:r w:rsidRPr="003E01A4">
        <w:rPr>
          <w:rFonts w:ascii="Century Schoolbook" w:hAnsi="Century Schoolbook"/>
          <w:sz w:val="22"/>
          <w:szCs w:val="22"/>
        </w:rPr>
        <w:t>.</w:t>
      </w:r>
    </w:p>
    <w:p w14:paraId="0FE842C9" w14:textId="78348694" w:rsidR="003F3BA9" w:rsidRPr="003E01A4" w:rsidRDefault="00A5304D"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Tutti c</w:t>
      </w:r>
      <w:r w:rsidR="00F601CD" w:rsidRPr="003E01A4">
        <w:rPr>
          <w:rFonts w:ascii="Century Schoolbook" w:hAnsi="Century Schoolbook"/>
          <w:sz w:val="22"/>
          <w:szCs w:val="22"/>
        </w:rPr>
        <w:t>riteri – e tecniche di scrutinio –</w:t>
      </w:r>
      <w:r w:rsidR="00F57AEB" w:rsidRPr="003E01A4">
        <w:rPr>
          <w:rFonts w:ascii="Century Schoolbook" w:hAnsi="Century Schoolbook"/>
          <w:sz w:val="22"/>
          <w:szCs w:val="22"/>
        </w:rPr>
        <w:t xml:space="preserve"> </w:t>
      </w:r>
      <w:r w:rsidR="00F601CD" w:rsidRPr="003E01A4">
        <w:rPr>
          <w:rFonts w:ascii="Century Schoolbook" w:hAnsi="Century Schoolbook"/>
          <w:sz w:val="22"/>
          <w:szCs w:val="22"/>
        </w:rPr>
        <w:t xml:space="preserve">utili per </w:t>
      </w:r>
      <w:r w:rsidR="00F57AEB" w:rsidRPr="003E01A4">
        <w:rPr>
          <w:rFonts w:ascii="Century Schoolbook" w:hAnsi="Century Schoolbook"/>
          <w:sz w:val="22"/>
          <w:szCs w:val="22"/>
        </w:rPr>
        <w:t>sindacare</w:t>
      </w:r>
      <w:r w:rsidR="00F601CD" w:rsidRPr="003E01A4">
        <w:rPr>
          <w:rFonts w:ascii="Century Schoolbook" w:hAnsi="Century Schoolbook"/>
          <w:sz w:val="22"/>
          <w:szCs w:val="22"/>
        </w:rPr>
        <w:t xml:space="preserve"> esperienze di normazione </w:t>
      </w:r>
      <w:r w:rsidR="00F57AEB" w:rsidRPr="003E01A4">
        <w:rPr>
          <w:rFonts w:ascii="Century Schoolbook" w:hAnsi="Century Schoolbook"/>
          <w:sz w:val="22"/>
          <w:szCs w:val="22"/>
        </w:rPr>
        <w:t>ordinate a deline</w:t>
      </w:r>
      <w:r w:rsidR="00F601CD" w:rsidRPr="003E01A4">
        <w:rPr>
          <w:rFonts w:ascii="Century Schoolbook" w:hAnsi="Century Schoolbook"/>
          <w:sz w:val="22"/>
          <w:szCs w:val="22"/>
        </w:rPr>
        <w:t xml:space="preserve">are </w:t>
      </w:r>
      <w:r w:rsidR="00F57AEB" w:rsidRPr="003E01A4">
        <w:rPr>
          <w:rFonts w:ascii="Century Schoolbook" w:hAnsi="Century Schoolbook"/>
          <w:sz w:val="22"/>
          <w:szCs w:val="22"/>
        </w:rPr>
        <w:t xml:space="preserve">non soltanto </w:t>
      </w:r>
      <w:r w:rsidR="00F601CD" w:rsidRPr="003E01A4">
        <w:rPr>
          <w:rFonts w:ascii="Century Schoolbook" w:hAnsi="Century Schoolbook"/>
          <w:sz w:val="22"/>
          <w:szCs w:val="22"/>
        </w:rPr>
        <w:t>modi e forme di tutela di interessi sovra</w:t>
      </w:r>
      <w:r w:rsidR="00D41ECE" w:rsidRPr="003E01A4">
        <w:rPr>
          <w:rFonts w:ascii="Century Schoolbook" w:hAnsi="Century Schoolbook"/>
          <w:sz w:val="22"/>
          <w:szCs w:val="22"/>
        </w:rPr>
        <w:t>- o meta</w:t>
      </w:r>
      <w:r w:rsidR="00F601CD" w:rsidRPr="003E01A4">
        <w:rPr>
          <w:rFonts w:ascii="Century Schoolbook" w:hAnsi="Century Schoolbook"/>
          <w:sz w:val="22"/>
          <w:szCs w:val="22"/>
        </w:rPr>
        <w:t>comunali intersec</w:t>
      </w:r>
      <w:r w:rsidR="00F57AEB" w:rsidRPr="003E01A4">
        <w:rPr>
          <w:rFonts w:ascii="Century Schoolbook" w:hAnsi="Century Schoolbook"/>
          <w:sz w:val="22"/>
          <w:szCs w:val="22"/>
        </w:rPr>
        <w:t>anti</w:t>
      </w:r>
      <w:r w:rsidR="00F601CD" w:rsidRPr="003E01A4">
        <w:rPr>
          <w:rFonts w:ascii="Century Schoolbook" w:hAnsi="Century Schoolbook"/>
          <w:sz w:val="22"/>
          <w:szCs w:val="22"/>
        </w:rPr>
        <w:t xml:space="preserve"> ambiti di amministrazione comunale</w:t>
      </w:r>
      <w:r w:rsidR="00F601CD" w:rsidRPr="003E01A4">
        <w:rPr>
          <w:rStyle w:val="Rimandonotaapidipagina"/>
          <w:rFonts w:ascii="Century Schoolbook" w:hAnsi="Century Schoolbook"/>
          <w:sz w:val="22"/>
          <w:szCs w:val="22"/>
        </w:rPr>
        <w:footnoteReference w:id="47"/>
      </w:r>
      <w:r w:rsidR="00F601CD" w:rsidRPr="003E01A4">
        <w:rPr>
          <w:rFonts w:ascii="Century Schoolbook" w:hAnsi="Century Schoolbook"/>
          <w:sz w:val="22"/>
          <w:szCs w:val="22"/>
        </w:rPr>
        <w:t xml:space="preserve">; ma anche </w:t>
      </w:r>
      <w:r w:rsidR="00F57AEB" w:rsidRPr="003E01A4">
        <w:rPr>
          <w:rFonts w:ascii="Century Schoolbook" w:hAnsi="Century Schoolbook"/>
          <w:sz w:val="22"/>
          <w:szCs w:val="22"/>
        </w:rPr>
        <w:t xml:space="preserve">– </w:t>
      </w:r>
      <w:r w:rsidR="00F601CD" w:rsidRPr="003E01A4">
        <w:rPr>
          <w:rFonts w:ascii="Century Schoolbook" w:hAnsi="Century Schoolbook"/>
          <w:sz w:val="22"/>
          <w:szCs w:val="22"/>
        </w:rPr>
        <w:t xml:space="preserve">compito </w:t>
      </w:r>
      <w:r w:rsidR="00F57AEB" w:rsidRPr="003E01A4">
        <w:rPr>
          <w:rFonts w:ascii="Century Schoolbook" w:hAnsi="Century Schoolbook"/>
          <w:sz w:val="22"/>
          <w:szCs w:val="22"/>
        </w:rPr>
        <w:t xml:space="preserve">più ambizioso – </w:t>
      </w:r>
      <w:r w:rsidR="00F601CD" w:rsidRPr="003E01A4">
        <w:rPr>
          <w:rFonts w:ascii="Century Schoolbook" w:hAnsi="Century Schoolbook"/>
          <w:sz w:val="22"/>
          <w:szCs w:val="22"/>
        </w:rPr>
        <w:t xml:space="preserve">un modello generale di relazioni fra </w:t>
      </w:r>
      <w:r w:rsidR="00F57AEB" w:rsidRPr="003E01A4">
        <w:rPr>
          <w:rFonts w:ascii="Century Schoolbook" w:hAnsi="Century Schoolbook"/>
          <w:sz w:val="22"/>
          <w:szCs w:val="22"/>
        </w:rPr>
        <w:t>figure rappresentative</w:t>
      </w:r>
      <w:r w:rsidR="00F601CD" w:rsidRPr="003E01A4">
        <w:rPr>
          <w:rFonts w:ascii="Century Schoolbook" w:hAnsi="Century Schoolbook"/>
          <w:sz w:val="22"/>
          <w:szCs w:val="22"/>
        </w:rPr>
        <w:t xml:space="preserve"> territoriali nella gestione e nell’uso del territorio.</w:t>
      </w:r>
    </w:p>
    <w:p w14:paraId="121BE077" w14:textId="77777777" w:rsidR="003F3BA9" w:rsidRPr="003E01A4" w:rsidRDefault="003F3BA9" w:rsidP="002B4988">
      <w:pPr>
        <w:spacing w:line="360" w:lineRule="auto"/>
        <w:ind w:firstLine="709"/>
        <w:contextualSpacing/>
        <w:jc w:val="both"/>
        <w:rPr>
          <w:rFonts w:ascii="Century Schoolbook" w:hAnsi="Century Schoolbook"/>
          <w:sz w:val="22"/>
          <w:szCs w:val="22"/>
        </w:rPr>
      </w:pPr>
    </w:p>
    <w:p w14:paraId="14636198" w14:textId="5B202457" w:rsidR="00795881" w:rsidRPr="003E01A4" w:rsidRDefault="003F3BA9"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3.- </w:t>
      </w:r>
      <w:r w:rsidR="006E4307" w:rsidRPr="003E01A4">
        <w:rPr>
          <w:rFonts w:ascii="Century Schoolbook" w:hAnsi="Century Schoolbook"/>
          <w:i/>
          <w:iCs/>
          <w:sz w:val="22"/>
          <w:szCs w:val="22"/>
        </w:rPr>
        <w:t>Il principio di unicità nella normazione PNRR: l’occasione perduta del procedimento PAUR.</w:t>
      </w:r>
      <w:r w:rsidR="006E4307" w:rsidRPr="003E01A4">
        <w:rPr>
          <w:rFonts w:ascii="Century Schoolbook" w:hAnsi="Century Schoolbook"/>
          <w:sz w:val="22"/>
          <w:szCs w:val="22"/>
        </w:rPr>
        <w:t xml:space="preserve"> – </w:t>
      </w:r>
      <w:r w:rsidR="0097320E" w:rsidRPr="003E01A4">
        <w:rPr>
          <w:rFonts w:ascii="Century Schoolbook" w:hAnsi="Century Schoolbook"/>
          <w:sz w:val="22"/>
          <w:szCs w:val="22"/>
        </w:rPr>
        <w:t>Queste</w:t>
      </w:r>
      <w:r w:rsidR="00394099" w:rsidRPr="003E01A4">
        <w:rPr>
          <w:rFonts w:ascii="Century Schoolbook" w:hAnsi="Century Schoolbook"/>
          <w:sz w:val="22"/>
          <w:szCs w:val="22"/>
        </w:rPr>
        <w:t xml:space="preserve"> considerazioni di ordine generale </w:t>
      </w:r>
      <w:r w:rsidR="00037D6B" w:rsidRPr="003E01A4">
        <w:rPr>
          <w:rFonts w:ascii="Century Schoolbook" w:hAnsi="Century Schoolbook"/>
          <w:sz w:val="22"/>
          <w:szCs w:val="22"/>
        </w:rPr>
        <w:t xml:space="preserve">hanno una ricaduta diretta sul tema nostro: </w:t>
      </w:r>
      <w:r w:rsidR="00EF3469" w:rsidRPr="003E01A4">
        <w:rPr>
          <w:rFonts w:ascii="Century Schoolbook" w:hAnsi="Century Schoolbook"/>
          <w:sz w:val="22"/>
          <w:szCs w:val="22"/>
        </w:rPr>
        <w:t>trovare il limite entro cui l’autonomia comunale, in forza del principio di unicità, può essere sospinta tutta – o se si preferisce: sacrificata</w:t>
      </w:r>
      <w:r w:rsidRPr="003E01A4">
        <w:rPr>
          <w:rFonts w:ascii="Century Schoolbook" w:hAnsi="Century Schoolbook"/>
          <w:sz w:val="22"/>
          <w:szCs w:val="22"/>
        </w:rPr>
        <w:t xml:space="preserve"> </w:t>
      </w:r>
      <w:r w:rsidR="00EF3469" w:rsidRPr="003E01A4">
        <w:rPr>
          <w:rFonts w:ascii="Century Schoolbook" w:hAnsi="Century Schoolbook"/>
          <w:sz w:val="22"/>
          <w:szCs w:val="22"/>
        </w:rPr>
        <w:t>– all’interno di un procedimento omnicomprensivo che abbia valenza sia (di variante) urbanistica, sia abilitativa</w:t>
      </w:r>
      <w:r w:rsidR="00850B3A" w:rsidRPr="003E01A4">
        <w:rPr>
          <w:rFonts w:ascii="Century Schoolbook" w:hAnsi="Century Schoolbook"/>
          <w:sz w:val="22"/>
          <w:szCs w:val="22"/>
        </w:rPr>
        <w:t xml:space="preserve"> all’intervento</w:t>
      </w:r>
      <w:r w:rsidR="00795881" w:rsidRPr="003E01A4">
        <w:rPr>
          <w:rFonts w:ascii="Century Schoolbook" w:hAnsi="Century Schoolbook"/>
          <w:sz w:val="22"/>
          <w:szCs w:val="22"/>
        </w:rPr>
        <w:t>.</w:t>
      </w:r>
      <w:r w:rsidR="00EF3469" w:rsidRPr="003E01A4">
        <w:rPr>
          <w:rFonts w:ascii="Century Schoolbook" w:hAnsi="Century Schoolbook"/>
          <w:sz w:val="22"/>
          <w:szCs w:val="22"/>
        </w:rPr>
        <w:t xml:space="preserve"> </w:t>
      </w:r>
      <w:r w:rsidR="00795881" w:rsidRPr="003E01A4">
        <w:rPr>
          <w:rFonts w:ascii="Century Schoolbook" w:hAnsi="Century Schoolbook"/>
          <w:sz w:val="22"/>
          <w:szCs w:val="22"/>
        </w:rPr>
        <w:t>C</w:t>
      </w:r>
      <w:r w:rsidR="00EF3469" w:rsidRPr="003E01A4">
        <w:rPr>
          <w:rFonts w:ascii="Century Schoolbook" w:hAnsi="Century Schoolbook"/>
          <w:sz w:val="22"/>
          <w:szCs w:val="22"/>
        </w:rPr>
        <w:t xml:space="preserve">he definisca </w:t>
      </w:r>
      <w:r w:rsidR="00795881" w:rsidRPr="003E01A4">
        <w:rPr>
          <w:rFonts w:ascii="Century Schoolbook" w:hAnsi="Century Schoolbook"/>
          <w:sz w:val="22"/>
          <w:szCs w:val="22"/>
        </w:rPr>
        <w:t xml:space="preserve">e decida </w:t>
      </w:r>
      <w:r w:rsidR="00EF3469" w:rsidRPr="003E01A4">
        <w:rPr>
          <w:rFonts w:ascii="Century Schoolbook" w:hAnsi="Century Schoolbook"/>
          <w:sz w:val="22"/>
          <w:szCs w:val="22"/>
        </w:rPr>
        <w:t xml:space="preserve">cioè </w:t>
      </w:r>
      <w:r w:rsidR="00795881" w:rsidRPr="003E01A4">
        <w:rPr>
          <w:rFonts w:ascii="Century Schoolbook" w:hAnsi="Century Schoolbook"/>
          <w:sz w:val="22"/>
          <w:szCs w:val="22"/>
        </w:rPr>
        <w:t xml:space="preserve">– </w:t>
      </w:r>
      <w:r w:rsidR="00795881" w:rsidRPr="003E01A4">
        <w:rPr>
          <w:rFonts w:ascii="Century Schoolbook" w:hAnsi="Century Schoolbook"/>
          <w:i/>
          <w:iCs/>
          <w:sz w:val="22"/>
          <w:szCs w:val="22"/>
        </w:rPr>
        <w:t>ordine</w:t>
      </w:r>
      <w:r w:rsidR="00795881" w:rsidRPr="003E01A4">
        <w:rPr>
          <w:rFonts w:ascii="Century Schoolbook" w:hAnsi="Century Schoolbook"/>
          <w:sz w:val="22"/>
          <w:szCs w:val="22"/>
        </w:rPr>
        <w:t xml:space="preserve"> </w:t>
      </w:r>
      <w:r w:rsidR="00795881" w:rsidRPr="003E01A4">
        <w:rPr>
          <w:rFonts w:ascii="Century Schoolbook" w:hAnsi="Century Schoolbook"/>
          <w:i/>
          <w:iCs/>
          <w:sz w:val="22"/>
          <w:szCs w:val="22"/>
        </w:rPr>
        <w:t>produ</w:t>
      </w:r>
      <w:r w:rsidR="00F77972" w:rsidRPr="003E01A4">
        <w:rPr>
          <w:rFonts w:ascii="Century Schoolbook" w:hAnsi="Century Schoolbook"/>
          <w:i/>
          <w:iCs/>
          <w:sz w:val="22"/>
          <w:szCs w:val="22"/>
        </w:rPr>
        <w:t>c</w:t>
      </w:r>
      <w:r w:rsidR="00795881" w:rsidRPr="003E01A4">
        <w:rPr>
          <w:rFonts w:ascii="Century Schoolbook" w:hAnsi="Century Schoolbook"/>
          <w:i/>
          <w:iCs/>
          <w:sz w:val="22"/>
          <w:szCs w:val="22"/>
        </w:rPr>
        <w:t xml:space="preserve">tionis uno </w:t>
      </w:r>
      <w:r w:rsidR="00795881" w:rsidRPr="003E01A4">
        <w:rPr>
          <w:rFonts w:ascii="Century Schoolbook" w:hAnsi="Century Schoolbook"/>
          <w:sz w:val="22"/>
          <w:szCs w:val="22"/>
        </w:rPr>
        <w:t xml:space="preserve">– entrambi gli aspetti. </w:t>
      </w:r>
    </w:p>
    <w:p w14:paraId="21D522C6" w14:textId="1998FDD6" w:rsidR="003613C6" w:rsidRPr="003E01A4" w:rsidRDefault="00795881" w:rsidP="002B4988">
      <w:pPr>
        <w:spacing w:line="360" w:lineRule="auto"/>
        <w:ind w:firstLine="709"/>
        <w:contextualSpacing/>
        <w:jc w:val="both"/>
        <w:rPr>
          <w:rFonts w:ascii="Century Schoolbook" w:hAnsi="Century Schoolbook"/>
          <w:sz w:val="22"/>
          <w:szCs w:val="22"/>
        </w:rPr>
      </w:pPr>
      <w:r w:rsidRPr="00B47A5B">
        <w:rPr>
          <w:rFonts w:ascii="Century Schoolbook" w:hAnsi="Century Schoolbook"/>
          <w:sz w:val="22"/>
          <w:szCs w:val="22"/>
        </w:rPr>
        <w:t xml:space="preserve">Per </w:t>
      </w:r>
      <w:r w:rsidR="00A73290" w:rsidRPr="00B47A5B">
        <w:rPr>
          <w:rFonts w:ascii="Century Schoolbook" w:hAnsi="Century Schoolbook"/>
          <w:sz w:val="22"/>
          <w:szCs w:val="22"/>
        </w:rPr>
        <w:t xml:space="preserve">conseguire </w:t>
      </w:r>
      <w:r w:rsidRPr="00B47A5B">
        <w:rPr>
          <w:rFonts w:ascii="Century Schoolbook" w:hAnsi="Century Schoolbook"/>
          <w:sz w:val="22"/>
          <w:szCs w:val="22"/>
        </w:rPr>
        <w:t>l’unicità di questi procedimenti –</w:t>
      </w:r>
      <w:r w:rsidR="00A73290" w:rsidRPr="00B47A5B">
        <w:rPr>
          <w:rFonts w:ascii="Century Schoolbook" w:hAnsi="Century Schoolbook"/>
          <w:sz w:val="22"/>
          <w:szCs w:val="22"/>
        </w:rPr>
        <w:t xml:space="preserve"> </w:t>
      </w:r>
      <w:r w:rsidRPr="00B47A5B">
        <w:rPr>
          <w:rFonts w:ascii="Century Schoolbook" w:hAnsi="Century Schoolbook"/>
          <w:sz w:val="22"/>
          <w:szCs w:val="22"/>
        </w:rPr>
        <w:t xml:space="preserve">effettiva, non solo </w:t>
      </w:r>
      <w:r w:rsidR="0089798E" w:rsidRPr="00B47A5B">
        <w:rPr>
          <w:rFonts w:ascii="Century Schoolbook" w:hAnsi="Century Schoolbook"/>
          <w:sz w:val="22"/>
          <w:szCs w:val="22"/>
        </w:rPr>
        <w:t>dichiara</w:t>
      </w:r>
      <w:r w:rsidRPr="00B47A5B">
        <w:rPr>
          <w:rFonts w:ascii="Century Schoolbook" w:hAnsi="Century Schoolbook"/>
          <w:sz w:val="22"/>
          <w:szCs w:val="22"/>
        </w:rPr>
        <w:t>ta</w:t>
      </w:r>
      <w:r w:rsidR="00A73290" w:rsidRPr="00B47A5B">
        <w:rPr>
          <w:rFonts w:ascii="Century Schoolbook" w:hAnsi="Century Schoolbook"/>
          <w:sz w:val="22"/>
          <w:szCs w:val="22"/>
        </w:rPr>
        <w:t xml:space="preserve"> </w:t>
      </w:r>
      <w:r w:rsidRPr="00B47A5B">
        <w:rPr>
          <w:rFonts w:ascii="Century Schoolbook" w:hAnsi="Century Schoolbook"/>
          <w:sz w:val="22"/>
          <w:szCs w:val="22"/>
        </w:rPr>
        <w:t xml:space="preserve">– </w:t>
      </w:r>
      <w:r w:rsidR="003878B5" w:rsidRPr="003E01A4">
        <w:rPr>
          <w:rFonts w:ascii="Century Schoolbook" w:hAnsi="Century Schoolbook"/>
          <w:i/>
          <w:iCs/>
          <w:sz w:val="22"/>
          <w:szCs w:val="22"/>
        </w:rPr>
        <w:t xml:space="preserve">il diritto positivo </w:t>
      </w:r>
      <w:r w:rsidR="008F02F1" w:rsidRPr="003E01A4">
        <w:rPr>
          <w:rFonts w:ascii="Century Schoolbook" w:hAnsi="Century Schoolbook"/>
          <w:i/>
          <w:iCs/>
          <w:sz w:val="22"/>
          <w:szCs w:val="22"/>
        </w:rPr>
        <w:t>non deve prev</w:t>
      </w:r>
      <w:r w:rsidR="003878B5" w:rsidRPr="003E01A4">
        <w:rPr>
          <w:rFonts w:ascii="Century Schoolbook" w:hAnsi="Century Schoolbook"/>
          <w:i/>
          <w:iCs/>
          <w:sz w:val="22"/>
          <w:szCs w:val="22"/>
        </w:rPr>
        <w:t>edere</w:t>
      </w:r>
      <w:r w:rsidR="008F02F1" w:rsidRPr="003E01A4">
        <w:rPr>
          <w:rFonts w:ascii="Century Schoolbook" w:hAnsi="Century Schoolbook"/>
          <w:i/>
          <w:iCs/>
          <w:sz w:val="22"/>
          <w:szCs w:val="22"/>
        </w:rPr>
        <w:t xml:space="preserve"> </w:t>
      </w:r>
      <w:r w:rsidRPr="003E01A4">
        <w:rPr>
          <w:rFonts w:ascii="Century Schoolbook" w:hAnsi="Century Schoolbook"/>
          <w:i/>
          <w:iCs/>
          <w:sz w:val="22"/>
          <w:szCs w:val="22"/>
        </w:rPr>
        <w:t>nessun segmento dopo la decisione che conclude la sequenza</w:t>
      </w:r>
      <w:r w:rsidR="0027656D" w:rsidRPr="003E01A4">
        <w:rPr>
          <w:rStyle w:val="Rimandonotaapidipagina"/>
          <w:rFonts w:ascii="Century Schoolbook" w:hAnsi="Century Schoolbook"/>
          <w:sz w:val="22"/>
          <w:szCs w:val="22"/>
        </w:rPr>
        <w:footnoteReference w:id="48"/>
      </w:r>
      <w:r w:rsidR="0027656D" w:rsidRPr="003E01A4">
        <w:rPr>
          <w:rFonts w:ascii="Century Schoolbook" w:hAnsi="Century Schoolbook"/>
          <w:sz w:val="22"/>
          <w:szCs w:val="22"/>
        </w:rPr>
        <w:t>:</w:t>
      </w:r>
      <w:r w:rsidRPr="003E01A4">
        <w:rPr>
          <w:rFonts w:ascii="Century Schoolbook" w:hAnsi="Century Schoolbook"/>
          <w:sz w:val="22"/>
          <w:szCs w:val="22"/>
        </w:rPr>
        <w:t xml:space="preserve"> </w:t>
      </w:r>
      <w:r w:rsidR="0027656D" w:rsidRPr="003E01A4">
        <w:rPr>
          <w:rFonts w:ascii="Century Schoolbook" w:hAnsi="Century Schoolbook"/>
          <w:sz w:val="22"/>
          <w:szCs w:val="22"/>
        </w:rPr>
        <w:t>n</w:t>
      </w:r>
      <w:r w:rsidR="008F02F1" w:rsidRPr="003E01A4">
        <w:rPr>
          <w:rFonts w:ascii="Century Schoolbook" w:hAnsi="Century Schoolbook"/>
          <w:sz w:val="22"/>
          <w:szCs w:val="22"/>
        </w:rPr>
        <w:t>on solo</w:t>
      </w:r>
      <w:r w:rsidR="0027656D" w:rsidRPr="003E01A4">
        <w:rPr>
          <w:rFonts w:ascii="Century Schoolbook" w:hAnsi="Century Schoolbook"/>
          <w:sz w:val="22"/>
          <w:szCs w:val="22"/>
        </w:rPr>
        <w:t xml:space="preserve"> per fare scelte che potrebbero </w:t>
      </w:r>
      <w:r w:rsidR="008F02F1" w:rsidRPr="003E01A4">
        <w:rPr>
          <w:rFonts w:ascii="Century Schoolbook" w:hAnsi="Century Schoolbook"/>
          <w:sz w:val="22"/>
          <w:szCs w:val="22"/>
        </w:rPr>
        <w:t xml:space="preserve">addirittura </w:t>
      </w:r>
      <w:r w:rsidR="0027656D" w:rsidRPr="003E01A4">
        <w:rPr>
          <w:rFonts w:ascii="Century Schoolbook" w:hAnsi="Century Schoolbook"/>
          <w:sz w:val="22"/>
          <w:szCs w:val="22"/>
        </w:rPr>
        <w:t>invalidare</w:t>
      </w:r>
      <w:r w:rsidR="008F02F1" w:rsidRPr="003E01A4">
        <w:rPr>
          <w:rFonts w:ascii="Century Schoolbook" w:hAnsi="Century Schoolbook"/>
          <w:sz w:val="22"/>
          <w:szCs w:val="22"/>
        </w:rPr>
        <w:t>, rimettere in discussione</w:t>
      </w:r>
      <w:r w:rsidR="0027656D" w:rsidRPr="003E01A4">
        <w:rPr>
          <w:rFonts w:ascii="Century Schoolbook" w:hAnsi="Century Schoolbook"/>
          <w:sz w:val="22"/>
          <w:szCs w:val="22"/>
        </w:rPr>
        <w:t xml:space="preserve"> </w:t>
      </w:r>
      <w:r w:rsidR="00F350B1" w:rsidRPr="003E01A4">
        <w:rPr>
          <w:rFonts w:ascii="Century Schoolbook" w:hAnsi="Century Schoolbook"/>
          <w:sz w:val="22"/>
          <w:szCs w:val="22"/>
        </w:rPr>
        <w:t xml:space="preserve">o </w:t>
      </w:r>
      <w:r w:rsidR="009062AE" w:rsidRPr="003E01A4">
        <w:rPr>
          <w:rFonts w:ascii="Century Schoolbook" w:hAnsi="Century Schoolbook"/>
          <w:sz w:val="22"/>
          <w:szCs w:val="22"/>
        </w:rPr>
        <w:t xml:space="preserve">comunque </w:t>
      </w:r>
      <w:r w:rsidR="00F350B1" w:rsidRPr="003E01A4">
        <w:rPr>
          <w:rFonts w:ascii="Century Schoolbook" w:hAnsi="Century Schoolbook"/>
          <w:sz w:val="22"/>
          <w:szCs w:val="22"/>
        </w:rPr>
        <w:t xml:space="preserve">modificare </w:t>
      </w:r>
      <w:r w:rsidR="0027656D" w:rsidRPr="003E01A4">
        <w:rPr>
          <w:rFonts w:ascii="Century Schoolbook" w:hAnsi="Century Schoolbook"/>
          <w:sz w:val="22"/>
          <w:szCs w:val="22"/>
        </w:rPr>
        <w:t>l’assetto d’interessi deciso in conferenza</w:t>
      </w:r>
      <w:r w:rsidR="00F350B1" w:rsidRPr="003E01A4">
        <w:rPr>
          <w:rFonts w:ascii="Century Schoolbook" w:hAnsi="Century Schoolbook"/>
          <w:sz w:val="22"/>
          <w:szCs w:val="22"/>
        </w:rPr>
        <w:t xml:space="preserve">, </w:t>
      </w:r>
      <w:r w:rsidR="008F02F1" w:rsidRPr="003E01A4">
        <w:rPr>
          <w:rFonts w:ascii="Century Schoolbook" w:hAnsi="Century Schoolbook"/>
          <w:sz w:val="22"/>
          <w:szCs w:val="22"/>
        </w:rPr>
        <w:t xml:space="preserve">ma neppure </w:t>
      </w:r>
      <w:r w:rsidR="00F350B1" w:rsidRPr="003E01A4">
        <w:rPr>
          <w:rFonts w:ascii="Century Schoolbook" w:hAnsi="Century Schoolbook"/>
          <w:sz w:val="22"/>
          <w:szCs w:val="22"/>
        </w:rPr>
        <w:t xml:space="preserve">per ratificarlo </w:t>
      </w:r>
      <w:r w:rsidR="008F02F1" w:rsidRPr="003E01A4">
        <w:rPr>
          <w:rFonts w:ascii="Century Schoolbook" w:hAnsi="Century Schoolbook"/>
          <w:sz w:val="22"/>
          <w:szCs w:val="22"/>
        </w:rPr>
        <w:t>con l’</w:t>
      </w:r>
      <w:r w:rsidR="00F350B1" w:rsidRPr="003E01A4">
        <w:rPr>
          <w:rFonts w:ascii="Century Schoolbook" w:hAnsi="Century Schoolbook"/>
          <w:sz w:val="22"/>
          <w:szCs w:val="22"/>
        </w:rPr>
        <w:t>adozione di</w:t>
      </w:r>
      <w:r w:rsidR="008F02F1" w:rsidRPr="003E01A4">
        <w:rPr>
          <w:rFonts w:ascii="Century Schoolbook" w:hAnsi="Century Schoolbook"/>
          <w:sz w:val="22"/>
          <w:szCs w:val="22"/>
        </w:rPr>
        <w:t xml:space="preserve"> </w:t>
      </w:r>
      <w:r w:rsidR="009062AE" w:rsidRPr="003E01A4">
        <w:rPr>
          <w:rFonts w:ascii="Century Schoolbook" w:hAnsi="Century Schoolbook"/>
          <w:sz w:val="22"/>
          <w:szCs w:val="22"/>
        </w:rPr>
        <w:t>atti</w:t>
      </w:r>
      <w:r w:rsidR="008F02F1" w:rsidRPr="003E01A4">
        <w:rPr>
          <w:rFonts w:ascii="Century Schoolbook" w:hAnsi="Century Schoolbook"/>
          <w:sz w:val="22"/>
          <w:szCs w:val="22"/>
        </w:rPr>
        <w:t xml:space="preserve"> vincolati.</w:t>
      </w:r>
      <w:r w:rsidR="009062AE" w:rsidRPr="003E01A4">
        <w:rPr>
          <w:rFonts w:ascii="Century Schoolbook" w:hAnsi="Century Schoolbook"/>
          <w:sz w:val="22"/>
          <w:szCs w:val="22"/>
        </w:rPr>
        <w:t xml:space="preserve"> Com’è invece noto, l’ordinamento si avvolge ancora nella contraddizione di </w:t>
      </w:r>
      <w:r w:rsidR="009B3143">
        <w:rPr>
          <w:rFonts w:ascii="Century Schoolbook" w:hAnsi="Century Schoolbook"/>
          <w:sz w:val="22"/>
          <w:szCs w:val="22"/>
        </w:rPr>
        <w:t>presentare</w:t>
      </w:r>
      <w:r w:rsidR="009062AE" w:rsidRPr="003E01A4">
        <w:rPr>
          <w:rFonts w:ascii="Century Schoolbook" w:hAnsi="Century Schoolbook"/>
          <w:sz w:val="22"/>
          <w:szCs w:val="22"/>
        </w:rPr>
        <w:t xml:space="preserve"> come </w:t>
      </w:r>
      <w:r w:rsidR="00C70411" w:rsidRPr="003E01A4">
        <w:rPr>
          <w:rFonts w:ascii="Century Schoolbook" w:hAnsi="Century Schoolbook"/>
          <w:sz w:val="22"/>
          <w:szCs w:val="22"/>
        </w:rPr>
        <w:t>«</w:t>
      </w:r>
      <w:r w:rsidR="009062AE" w:rsidRPr="003E01A4">
        <w:rPr>
          <w:rFonts w:ascii="Century Schoolbook" w:hAnsi="Century Schoolbook"/>
          <w:sz w:val="22"/>
          <w:szCs w:val="22"/>
        </w:rPr>
        <w:t>unici</w:t>
      </w:r>
      <w:r w:rsidR="00C70411" w:rsidRPr="003E01A4">
        <w:rPr>
          <w:rFonts w:ascii="Century Schoolbook" w:hAnsi="Century Schoolbook"/>
          <w:sz w:val="22"/>
          <w:szCs w:val="22"/>
        </w:rPr>
        <w:t>»</w:t>
      </w:r>
      <w:r w:rsidR="009062AE" w:rsidRPr="003E01A4">
        <w:rPr>
          <w:rFonts w:ascii="Century Schoolbook" w:hAnsi="Century Schoolbook"/>
          <w:sz w:val="22"/>
          <w:szCs w:val="22"/>
        </w:rPr>
        <w:t xml:space="preserve"> atti (e procedimenti</w:t>
      </w:r>
      <w:r w:rsidR="00830ACB" w:rsidRPr="003E01A4">
        <w:rPr>
          <w:rFonts w:ascii="Century Schoolbook" w:hAnsi="Century Schoolbook"/>
          <w:sz w:val="22"/>
          <w:szCs w:val="22"/>
        </w:rPr>
        <w:t xml:space="preserve"> relativi</w:t>
      </w:r>
      <w:r w:rsidR="009062AE" w:rsidRPr="003E01A4">
        <w:rPr>
          <w:rFonts w:ascii="Century Schoolbook" w:hAnsi="Century Schoolbook"/>
          <w:sz w:val="22"/>
          <w:szCs w:val="22"/>
        </w:rPr>
        <w:t xml:space="preserve">) che richiedono in realtà un </w:t>
      </w:r>
      <w:r w:rsidR="00830ACB" w:rsidRPr="003E01A4">
        <w:rPr>
          <w:rFonts w:ascii="Century Schoolbook" w:hAnsi="Century Schoolbook"/>
          <w:sz w:val="22"/>
          <w:szCs w:val="22"/>
        </w:rPr>
        <w:t xml:space="preserve">successivo </w:t>
      </w:r>
      <w:r w:rsidR="009062AE" w:rsidRPr="003E01A4">
        <w:rPr>
          <w:rFonts w:ascii="Century Schoolbook" w:hAnsi="Century Schoolbook"/>
          <w:sz w:val="22"/>
          <w:szCs w:val="22"/>
        </w:rPr>
        <w:t>completamento effettuale rimesso al</w:t>
      </w:r>
      <w:r w:rsidR="0089798E" w:rsidRPr="003E01A4">
        <w:rPr>
          <w:rFonts w:ascii="Century Schoolbook" w:hAnsi="Century Schoolbook"/>
          <w:sz w:val="22"/>
          <w:szCs w:val="22"/>
        </w:rPr>
        <w:t xml:space="preserve">la più imprevedibile figura rappresentativa territoriale: il </w:t>
      </w:r>
      <w:r w:rsidR="009062AE" w:rsidRPr="003E01A4">
        <w:rPr>
          <w:rFonts w:ascii="Century Schoolbook" w:hAnsi="Century Schoolbook"/>
          <w:sz w:val="22"/>
          <w:szCs w:val="22"/>
        </w:rPr>
        <w:t xml:space="preserve">Comune. </w:t>
      </w:r>
    </w:p>
    <w:p w14:paraId="1975927C" w14:textId="34B47632" w:rsidR="000E4035" w:rsidRPr="003E01A4" w:rsidRDefault="009062AE"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Alle corte: dopo l</w:t>
      </w:r>
      <w:r w:rsidR="00830ACB" w:rsidRPr="003E01A4">
        <w:rPr>
          <w:rFonts w:ascii="Century Schoolbook" w:hAnsi="Century Schoolbook"/>
          <w:sz w:val="22"/>
          <w:szCs w:val="22"/>
        </w:rPr>
        <w:t xml:space="preserve">a decisione (conferenziale o semplicemente procedimentale), nulla. Ogni </w:t>
      </w:r>
      <w:r w:rsidR="00830ACB" w:rsidRPr="003E01A4">
        <w:rPr>
          <w:rFonts w:ascii="Century Schoolbook" w:hAnsi="Century Schoolbook"/>
          <w:i/>
          <w:iCs/>
          <w:sz w:val="22"/>
          <w:szCs w:val="22"/>
        </w:rPr>
        <w:t>eccedenza</w:t>
      </w:r>
      <w:r w:rsidR="00830ACB" w:rsidRPr="003E01A4">
        <w:rPr>
          <w:rFonts w:ascii="Century Schoolbook" w:hAnsi="Century Schoolbook"/>
          <w:sz w:val="22"/>
          <w:szCs w:val="22"/>
        </w:rPr>
        <w:t xml:space="preserve"> </w:t>
      </w:r>
      <w:r w:rsidR="003F3BA9" w:rsidRPr="003E01A4">
        <w:rPr>
          <w:rFonts w:ascii="Century Schoolbook" w:hAnsi="Century Schoolbook"/>
          <w:sz w:val="22"/>
          <w:szCs w:val="22"/>
        </w:rPr>
        <w:t xml:space="preserve">– sia o meno essa di poco momento – </w:t>
      </w:r>
      <w:r w:rsidR="00830ACB" w:rsidRPr="003E01A4">
        <w:rPr>
          <w:rFonts w:ascii="Century Schoolbook" w:hAnsi="Century Schoolbook"/>
          <w:sz w:val="22"/>
          <w:szCs w:val="22"/>
        </w:rPr>
        <w:t xml:space="preserve">da questo schema semplicissimo rende canzonatoria l’etichetta </w:t>
      </w:r>
      <w:r w:rsidR="003F3BA9" w:rsidRPr="003E01A4">
        <w:rPr>
          <w:rFonts w:ascii="Century Schoolbook" w:hAnsi="Century Schoolbook"/>
          <w:sz w:val="22"/>
          <w:szCs w:val="22"/>
        </w:rPr>
        <w:t xml:space="preserve">di </w:t>
      </w:r>
      <w:r w:rsidR="000E4035" w:rsidRPr="003E01A4">
        <w:rPr>
          <w:rFonts w:ascii="Century Schoolbook" w:hAnsi="Century Schoolbook"/>
          <w:sz w:val="22"/>
          <w:szCs w:val="22"/>
        </w:rPr>
        <w:t>unici</w:t>
      </w:r>
      <w:r w:rsidR="003F3BA9" w:rsidRPr="003E01A4">
        <w:rPr>
          <w:rFonts w:ascii="Century Schoolbook" w:hAnsi="Century Schoolbook"/>
          <w:sz w:val="22"/>
          <w:szCs w:val="22"/>
        </w:rPr>
        <w:t>tà attribuita a un modello procedimentale (e quindi decisorio)</w:t>
      </w:r>
      <w:r w:rsidR="000E4035" w:rsidRPr="003E01A4">
        <w:rPr>
          <w:rFonts w:ascii="Century Schoolbook" w:hAnsi="Century Schoolbook"/>
          <w:sz w:val="22"/>
          <w:szCs w:val="22"/>
        </w:rPr>
        <w:t>.</w:t>
      </w:r>
    </w:p>
    <w:p w14:paraId="2F7F7362" w14:textId="3A9A600E" w:rsidR="00FB5083" w:rsidRPr="003E01A4" w:rsidRDefault="000E4035"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Dopo </w:t>
      </w:r>
      <w:r w:rsidR="003878B5" w:rsidRPr="003E01A4">
        <w:rPr>
          <w:rFonts w:ascii="Century Schoolbook" w:hAnsi="Century Schoolbook"/>
          <w:sz w:val="22"/>
          <w:szCs w:val="22"/>
        </w:rPr>
        <w:t xml:space="preserve">un lungo tempo </w:t>
      </w:r>
      <w:r w:rsidRPr="003E01A4">
        <w:rPr>
          <w:rFonts w:ascii="Century Schoolbook" w:hAnsi="Century Schoolbook"/>
          <w:sz w:val="22"/>
          <w:szCs w:val="22"/>
        </w:rPr>
        <w:t>d</w:t>
      </w:r>
      <w:r w:rsidR="003878B5" w:rsidRPr="003E01A4">
        <w:rPr>
          <w:rFonts w:ascii="Century Schoolbook" w:hAnsi="Century Schoolbook"/>
          <w:sz w:val="22"/>
          <w:szCs w:val="22"/>
        </w:rPr>
        <w:t>’</w:t>
      </w:r>
      <w:r w:rsidRPr="003E01A4">
        <w:rPr>
          <w:rFonts w:ascii="Century Schoolbook" w:hAnsi="Century Schoolbook"/>
          <w:sz w:val="22"/>
          <w:szCs w:val="22"/>
        </w:rPr>
        <w:t>illusioni</w:t>
      </w:r>
      <w:r w:rsidR="00B274A1" w:rsidRPr="003E01A4">
        <w:rPr>
          <w:rFonts w:ascii="Century Schoolbook" w:hAnsi="Century Schoolbook"/>
          <w:sz w:val="22"/>
          <w:szCs w:val="22"/>
        </w:rPr>
        <w:t xml:space="preserve"> </w:t>
      </w:r>
      <w:r w:rsidR="00D833AA" w:rsidRPr="003E01A4">
        <w:rPr>
          <w:rFonts w:ascii="Century Schoolbook" w:hAnsi="Century Schoolbook"/>
          <w:sz w:val="22"/>
          <w:szCs w:val="22"/>
        </w:rPr>
        <w:t xml:space="preserve">abbastanza </w:t>
      </w:r>
      <w:r w:rsidR="00B274A1" w:rsidRPr="003E01A4">
        <w:rPr>
          <w:rFonts w:ascii="Century Schoolbook" w:hAnsi="Century Schoolbook"/>
          <w:sz w:val="22"/>
          <w:szCs w:val="22"/>
        </w:rPr>
        <w:t>improduttive</w:t>
      </w:r>
      <w:r w:rsidRPr="003E01A4">
        <w:rPr>
          <w:rFonts w:ascii="Century Schoolbook" w:hAnsi="Century Schoolbook"/>
          <w:sz w:val="22"/>
          <w:szCs w:val="22"/>
        </w:rPr>
        <w:t xml:space="preserve">, </w:t>
      </w:r>
      <w:r w:rsidR="003878B5" w:rsidRPr="003E01A4">
        <w:rPr>
          <w:rFonts w:ascii="Century Schoolbook" w:hAnsi="Century Schoolbook"/>
          <w:sz w:val="22"/>
          <w:szCs w:val="22"/>
        </w:rPr>
        <w:t>la</w:t>
      </w:r>
      <w:r w:rsidRPr="003E01A4">
        <w:rPr>
          <w:rFonts w:ascii="Century Schoolbook" w:hAnsi="Century Schoolbook"/>
          <w:sz w:val="22"/>
          <w:szCs w:val="22"/>
        </w:rPr>
        <w:t xml:space="preserve"> questione sta venendo in primo piano.</w:t>
      </w:r>
      <w:r w:rsidR="00FB5083" w:rsidRPr="003E01A4">
        <w:rPr>
          <w:rFonts w:ascii="Century Schoolbook" w:hAnsi="Century Schoolbook"/>
          <w:sz w:val="22"/>
          <w:szCs w:val="22"/>
        </w:rPr>
        <w:t xml:space="preserve"> </w:t>
      </w:r>
      <w:r w:rsidR="003F3BA9" w:rsidRPr="003E01A4">
        <w:rPr>
          <w:rFonts w:ascii="Century Schoolbook" w:hAnsi="Century Schoolbook"/>
          <w:sz w:val="22"/>
          <w:szCs w:val="22"/>
        </w:rPr>
        <w:t xml:space="preserve">E in un modo persino troppo prepotente. </w:t>
      </w:r>
    </w:p>
    <w:p w14:paraId="134D0FFE" w14:textId="499B6049" w:rsidR="00300688" w:rsidRPr="003E01A4" w:rsidRDefault="00FB5083"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Mi riferisco al </w:t>
      </w:r>
      <w:r w:rsidR="00D833AA" w:rsidRPr="003E01A4">
        <w:rPr>
          <w:rFonts w:ascii="Century Schoolbook" w:hAnsi="Century Schoolbook"/>
          <w:i/>
          <w:iCs/>
          <w:sz w:val="22"/>
          <w:szCs w:val="22"/>
        </w:rPr>
        <w:t>corpus</w:t>
      </w:r>
      <w:r w:rsidR="00D833AA" w:rsidRPr="003E01A4">
        <w:rPr>
          <w:rFonts w:ascii="Century Schoolbook" w:hAnsi="Century Schoolbook"/>
          <w:sz w:val="22"/>
          <w:szCs w:val="22"/>
        </w:rPr>
        <w:t xml:space="preserve"> di </w:t>
      </w:r>
      <w:r w:rsidRPr="003E01A4">
        <w:rPr>
          <w:rFonts w:ascii="Century Schoolbook" w:hAnsi="Century Schoolbook"/>
          <w:sz w:val="22"/>
          <w:szCs w:val="22"/>
        </w:rPr>
        <w:t xml:space="preserve">diritto legislativo collegato al PNRR. </w:t>
      </w:r>
    </w:p>
    <w:p w14:paraId="0DFAE7E4" w14:textId="56D3EC33" w:rsidR="00E4588E" w:rsidRPr="003E01A4" w:rsidRDefault="0089798E" w:rsidP="002B4988">
      <w:pPr>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Viene in primo piano</w:t>
      </w:r>
      <w:r w:rsidR="00FB5083" w:rsidRPr="003E01A4">
        <w:rPr>
          <w:rFonts w:ascii="Century Schoolbook" w:hAnsi="Century Schoolbook"/>
          <w:sz w:val="22"/>
          <w:szCs w:val="22"/>
        </w:rPr>
        <w:t xml:space="preserve"> il d.l. </w:t>
      </w:r>
      <w:r w:rsidR="003F3BA9" w:rsidRPr="003E01A4">
        <w:rPr>
          <w:rFonts w:ascii="Century Schoolbook" w:hAnsi="Century Schoolbook"/>
          <w:sz w:val="22"/>
          <w:szCs w:val="22"/>
        </w:rPr>
        <w:t>31 maggio 2021, n. 77 (c.d. decreto semplificazioni-</w:t>
      </w:r>
      <w:r w:rsidR="003F3BA9" w:rsidRPr="003E01A4">
        <w:rPr>
          <w:rFonts w:ascii="Century Schoolbook" w:hAnsi="Century Schoolbook"/>
          <w:i/>
          <w:iCs/>
          <w:sz w:val="22"/>
          <w:szCs w:val="22"/>
        </w:rPr>
        <w:t>bis</w:t>
      </w:r>
      <w:r w:rsidR="003F3BA9" w:rsidRPr="003E01A4">
        <w:rPr>
          <w:rFonts w:ascii="Century Schoolbook" w:hAnsi="Century Schoolbook"/>
          <w:sz w:val="22"/>
          <w:szCs w:val="22"/>
        </w:rPr>
        <w:t>)</w:t>
      </w:r>
      <w:r w:rsidR="003F3BA9" w:rsidRPr="003E01A4">
        <w:rPr>
          <w:rStyle w:val="Rimandonotaapidipagina"/>
          <w:rFonts w:ascii="Century Schoolbook" w:hAnsi="Century Schoolbook"/>
          <w:sz w:val="22"/>
          <w:szCs w:val="22"/>
        </w:rPr>
        <w:footnoteReference w:id="49"/>
      </w:r>
      <w:r w:rsidR="002859E9" w:rsidRPr="003E01A4">
        <w:rPr>
          <w:rFonts w:ascii="Century Schoolbook" w:hAnsi="Century Schoolbook"/>
          <w:sz w:val="22"/>
          <w:szCs w:val="22"/>
        </w:rPr>
        <w:t>:</w:t>
      </w:r>
      <w:r w:rsidR="00300688" w:rsidRPr="003E01A4">
        <w:rPr>
          <w:rFonts w:ascii="Century Schoolbook" w:hAnsi="Century Schoolbook"/>
          <w:sz w:val="22"/>
          <w:szCs w:val="22"/>
        </w:rPr>
        <w:t xml:space="preserve"> </w:t>
      </w:r>
      <w:r w:rsidR="002859E9" w:rsidRPr="003E01A4">
        <w:rPr>
          <w:rFonts w:ascii="Century Schoolbook" w:hAnsi="Century Schoolbook"/>
          <w:sz w:val="22"/>
          <w:szCs w:val="22"/>
        </w:rPr>
        <w:t>d</w:t>
      </w:r>
      <w:r w:rsidR="00EE7C11" w:rsidRPr="003E01A4">
        <w:rPr>
          <w:rFonts w:ascii="Century Schoolbook" w:hAnsi="Century Schoolbook"/>
          <w:sz w:val="22"/>
          <w:szCs w:val="22"/>
        </w:rPr>
        <w:t>i</w:t>
      </w:r>
      <w:r w:rsidR="00300688" w:rsidRPr="003E01A4">
        <w:rPr>
          <w:rFonts w:ascii="Century Schoolbook" w:hAnsi="Century Schoolbook"/>
          <w:sz w:val="22"/>
          <w:szCs w:val="22"/>
        </w:rPr>
        <w:t xml:space="preserve"> seguito un</w:t>
      </w:r>
      <w:r w:rsidR="00EE7C11" w:rsidRPr="003E01A4">
        <w:rPr>
          <w:rFonts w:ascii="Century Schoolbook" w:hAnsi="Century Schoolbook"/>
          <w:sz w:val="22"/>
          <w:szCs w:val="22"/>
        </w:rPr>
        <w:t>a</w:t>
      </w:r>
      <w:r w:rsidR="00300688" w:rsidRPr="003E01A4">
        <w:rPr>
          <w:rFonts w:ascii="Century Schoolbook" w:hAnsi="Century Schoolbook"/>
          <w:sz w:val="22"/>
          <w:szCs w:val="22"/>
        </w:rPr>
        <w:t xml:space="preserve"> </w:t>
      </w:r>
      <w:r w:rsidR="00EE7C11" w:rsidRPr="003E01A4">
        <w:rPr>
          <w:rFonts w:ascii="Century Schoolbook" w:hAnsi="Century Schoolbook"/>
          <w:sz w:val="22"/>
          <w:szCs w:val="22"/>
        </w:rPr>
        <w:t>rassegna</w:t>
      </w:r>
      <w:r w:rsidR="002859E9" w:rsidRPr="003E01A4">
        <w:rPr>
          <w:rFonts w:ascii="Century Schoolbook" w:hAnsi="Century Schoolbook"/>
          <w:sz w:val="22"/>
          <w:szCs w:val="22"/>
        </w:rPr>
        <w:t>,</w:t>
      </w:r>
      <w:r w:rsidR="005367B3" w:rsidRPr="003E01A4">
        <w:rPr>
          <w:rFonts w:ascii="Century Schoolbook" w:hAnsi="Century Schoolbook"/>
          <w:sz w:val="22"/>
          <w:szCs w:val="22"/>
        </w:rPr>
        <w:t xml:space="preserve"> senza pretese di completezz</w:t>
      </w:r>
      <w:r w:rsidR="00E4588E" w:rsidRPr="003E01A4">
        <w:rPr>
          <w:rFonts w:ascii="Century Schoolbook" w:hAnsi="Century Schoolbook"/>
          <w:sz w:val="22"/>
          <w:szCs w:val="22"/>
        </w:rPr>
        <w:t>a</w:t>
      </w:r>
      <w:r w:rsidR="002859E9" w:rsidRPr="003E01A4">
        <w:rPr>
          <w:rFonts w:ascii="Century Schoolbook" w:hAnsi="Century Schoolbook"/>
          <w:sz w:val="22"/>
          <w:szCs w:val="22"/>
        </w:rPr>
        <w:t>, delle norme che c’interessano</w:t>
      </w:r>
      <w:r w:rsidR="00300688" w:rsidRPr="003E01A4">
        <w:rPr>
          <w:rFonts w:ascii="Century Schoolbook" w:hAnsi="Century Schoolbook"/>
          <w:sz w:val="22"/>
          <w:szCs w:val="22"/>
        </w:rPr>
        <w:t>.</w:t>
      </w:r>
    </w:p>
    <w:p w14:paraId="28914A61" w14:textId="40A68455" w:rsidR="00ED561C" w:rsidRPr="003E01A4" w:rsidRDefault="005367B3"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Comincio </w:t>
      </w:r>
      <w:r w:rsidR="009B3143">
        <w:rPr>
          <w:rFonts w:ascii="Century Schoolbook" w:hAnsi="Century Schoolbook"/>
          <w:sz w:val="22"/>
          <w:szCs w:val="22"/>
        </w:rPr>
        <w:t>dal</w:t>
      </w:r>
      <w:r w:rsidRPr="003E01A4">
        <w:rPr>
          <w:rFonts w:ascii="Century Schoolbook" w:hAnsi="Century Schoolbook"/>
          <w:sz w:val="22"/>
          <w:szCs w:val="22"/>
        </w:rPr>
        <w:t>l’a</w:t>
      </w:r>
      <w:r w:rsidR="00ED561C" w:rsidRPr="003E01A4">
        <w:rPr>
          <w:rFonts w:ascii="Century Schoolbook" w:hAnsi="Century Schoolbook"/>
          <w:sz w:val="22"/>
          <w:szCs w:val="22"/>
        </w:rPr>
        <w:t>rt. 24</w:t>
      </w:r>
      <w:r w:rsidR="001B5442" w:rsidRPr="003E01A4">
        <w:rPr>
          <w:rFonts w:ascii="Century Schoolbook" w:hAnsi="Century Schoolbook"/>
          <w:sz w:val="22"/>
          <w:szCs w:val="22"/>
        </w:rPr>
        <w:t xml:space="preserve"> del d.l. 77/’</w:t>
      </w:r>
      <w:r w:rsidR="007D0F7E" w:rsidRPr="003E01A4">
        <w:rPr>
          <w:rFonts w:ascii="Century Schoolbook" w:hAnsi="Century Schoolbook"/>
          <w:sz w:val="22"/>
          <w:szCs w:val="22"/>
        </w:rPr>
        <w:t>2</w:t>
      </w:r>
      <w:r w:rsidR="001B5442" w:rsidRPr="003E01A4">
        <w:rPr>
          <w:rFonts w:ascii="Century Schoolbook" w:hAnsi="Century Schoolbook"/>
          <w:sz w:val="22"/>
          <w:szCs w:val="22"/>
        </w:rPr>
        <w:t>1 cit.</w:t>
      </w:r>
      <w:r w:rsidRPr="003E01A4">
        <w:rPr>
          <w:rFonts w:ascii="Century Schoolbook" w:hAnsi="Century Schoolbook"/>
          <w:sz w:val="22"/>
          <w:szCs w:val="22"/>
        </w:rPr>
        <w:t>, il quale ha novellato</w:t>
      </w:r>
      <w:r w:rsidR="00ED561C" w:rsidRPr="003E01A4">
        <w:rPr>
          <w:rFonts w:ascii="Century Schoolbook" w:hAnsi="Century Schoolbook"/>
          <w:sz w:val="22"/>
          <w:szCs w:val="22"/>
        </w:rPr>
        <w:t xml:space="preserve"> </w:t>
      </w:r>
      <w:r w:rsidRPr="003E01A4">
        <w:rPr>
          <w:rFonts w:ascii="Century Schoolbook" w:hAnsi="Century Schoolbook"/>
          <w:sz w:val="22"/>
          <w:szCs w:val="22"/>
        </w:rPr>
        <w:t xml:space="preserve">l’art. </w:t>
      </w:r>
      <w:r w:rsidR="00D24DE4" w:rsidRPr="003E01A4">
        <w:rPr>
          <w:rFonts w:ascii="Century Schoolbook" w:hAnsi="Century Schoolbook"/>
          <w:sz w:val="22"/>
          <w:szCs w:val="22"/>
        </w:rPr>
        <w:t>27-</w:t>
      </w:r>
      <w:r w:rsidR="00D24DE4" w:rsidRPr="003E01A4">
        <w:rPr>
          <w:rFonts w:ascii="Century Schoolbook" w:hAnsi="Century Schoolbook"/>
          <w:i/>
          <w:iCs/>
          <w:sz w:val="22"/>
          <w:szCs w:val="22"/>
        </w:rPr>
        <w:t>bis</w:t>
      </w:r>
      <w:r w:rsidRPr="003E01A4">
        <w:rPr>
          <w:rFonts w:ascii="Century Schoolbook" w:hAnsi="Century Schoolbook"/>
          <w:sz w:val="22"/>
          <w:szCs w:val="22"/>
        </w:rPr>
        <w:t xml:space="preserve"> cod. amb.</w:t>
      </w:r>
      <w:r w:rsidR="00D24DE4" w:rsidRPr="003E01A4">
        <w:rPr>
          <w:rFonts w:ascii="Century Schoolbook" w:hAnsi="Century Schoolbook"/>
          <w:sz w:val="22"/>
          <w:szCs w:val="22"/>
        </w:rPr>
        <w:t xml:space="preserve"> </w:t>
      </w:r>
      <w:r w:rsidR="001B5442" w:rsidRPr="003E01A4">
        <w:rPr>
          <w:rFonts w:ascii="Century Schoolbook" w:hAnsi="Century Schoolbook"/>
          <w:sz w:val="22"/>
          <w:szCs w:val="22"/>
        </w:rPr>
        <w:t>in tema di provvedimento autorizzatorio unico regionale (PAUR).</w:t>
      </w:r>
    </w:p>
    <w:p w14:paraId="566EF260" w14:textId="05B17763" w:rsidR="001B5442" w:rsidRPr="003E01A4" w:rsidRDefault="001B5442"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Il testo previgente non si occupava de</w:t>
      </w:r>
      <w:r w:rsidR="00CF4562" w:rsidRPr="003E01A4">
        <w:rPr>
          <w:rFonts w:ascii="Century Schoolbook" w:hAnsi="Century Schoolbook"/>
          <w:sz w:val="22"/>
          <w:szCs w:val="22"/>
        </w:rPr>
        <w:t>ll’eventuale contrasto</w:t>
      </w:r>
      <w:r w:rsidRPr="003E01A4">
        <w:rPr>
          <w:rFonts w:ascii="Century Schoolbook" w:hAnsi="Century Schoolbook"/>
          <w:sz w:val="22"/>
          <w:szCs w:val="22"/>
        </w:rPr>
        <w:t xml:space="preserve"> del PAUR con la strumentazione urbanistica. Lo fa invece il nuovo</w:t>
      </w:r>
      <w:r w:rsidR="00DF0E81" w:rsidRPr="003E01A4">
        <w:rPr>
          <w:rFonts w:ascii="Century Schoolbook" w:hAnsi="Century Schoolbook"/>
          <w:sz w:val="22"/>
          <w:szCs w:val="22"/>
        </w:rPr>
        <w:t>,</w:t>
      </w:r>
      <w:r w:rsidRPr="003E01A4">
        <w:rPr>
          <w:rFonts w:ascii="Century Schoolbook" w:hAnsi="Century Schoolbook"/>
          <w:sz w:val="22"/>
          <w:szCs w:val="22"/>
        </w:rPr>
        <w:t xml:space="preserve"> </w:t>
      </w:r>
      <w:r w:rsidR="00DF0E81" w:rsidRPr="003E01A4">
        <w:rPr>
          <w:rFonts w:ascii="Century Schoolbook" w:hAnsi="Century Schoolbook"/>
          <w:sz w:val="22"/>
          <w:szCs w:val="22"/>
        </w:rPr>
        <w:t>m</w:t>
      </w:r>
      <w:r w:rsidRPr="003E01A4">
        <w:rPr>
          <w:rFonts w:ascii="Century Schoolbook" w:hAnsi="Century Schoolbook"/>
          <w:sz w:val="22"/>
          <w:szCs w:val="22"/>
        </w:rPr>
        <w:t xml:space="preserve">a </w:t>
      </w:r>
      <w:r w:rsidR="002859E9" w:rsidRPr="003E01A4">
        <w:rPr>
          <w:rFonts w:ascii="Century Schoolbook" w:hAnsi="Century Schoolbook"/>
          <w:sz w:val="22"/>
          <w:szCs w:val="22"/>
        </w:rPr>
        <w:t xml:space="preserve">purtroppo </w:t>
      </w:r>
      <w:r w:rsidRPr="003E01A4">
        <w:rPr>
          <w:rFonts w:ascii="Century Schoolbook" w:hAnsi="Century Schoolbook"/>
          <w:sz w:val="22"/>
          <w:szCs w:val="22"/>
        </w:rPr>
        <w:t>in un modo che a me appare irresoluto.</w:t>
      </w:r>
    </w:p>
    <w:p w14:paraId="49C8D1B0" w14:textId="6952876D" w:rsidR="00F0115C" w:rsidRPr="003E01A4" w:rsidRDefault="0072371D"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Anzitutto, i</w:t>
      </w:r>
      <w:r w:rsidR="00027DB9" w:rsidRPr="003E01A4">
        <w:rPr>
          <w:rFonts w:ascii="Century Schoolbook" w:hAnsi="Century Schoolbook"/>
          <w:sz w:val="22"/>
          <w:szCs w:val="22"/>
        </w:rPr>
        <w:t xml:space="preserve">l nuovo testo del comma </w:t>
      </w:r>
      <w:r w:rsidR="00F0115C" w:rsidRPr="003E01A4">
        <w:rPr>
          <w:rFonts w:ascii="Century Schoolbook" w:hAnsi="Century Schoolbook"/>
          <w:sz w:val="22"/>
          <w:szCs w:val="22"/>
        </w:rPr>
        <w:t xml:space="preserve">4 </w:t>
      </w:r>
      <w:r w:rsidRPr="003E01A4">
        <w:rPr>
          <w:rFonts w:ascii="Century Schoolbook" w:hAnsi="Century Schoolbook"/>
          <w:sz w:val="22"/>
          <w:szCs w:val="22"/>
        </w:rPr>
        <w:t>contiene</w:t>
      </w:r>
      <w:r w:rsidR="00F0115C" w:rsidRPr="003E01A4">
        <w:rPr>
          <w:rFonts w:ascii="Century Schoolbook" w:hAnsi="Century Schoolbook"/>
          <w:sz w:val="22"/>
          <w:szCs w:val="22"/>
        </w:rPr>
        <w:t>,</w:t>
      </w:r>
      <w:r w:rsidRPr="003E01A4">
        <w:rPr>
          <w:rFonts w:ascii="Century Schoolbook" w:hAnsi="Century Schoolbook"/>
          <w:sz w:val="22"/>
          <w:szCs w:val="22"/>
        </w:rPr>
        <w:t xml:space="preserve"> </w:t>
      </w:r>
      <w:r w:rsidR="00CB724D" w:rsidRPr="003E01A4">
        <w:rPr>
          <w:rFonts w:ascii="Century Schoolbook" w:hAnsi="Century Schoolbook"/>
          <w:sz w:val="22"/>
          <w:szCs w:val="22"/>
        </w:rPr>
        <w:t>alla</w:t>
      </w:r>
      <w:r w:rsidRPr="003E01A4">
        <w:rPr>
          <w:rFonts w:ascii="Century Schoolbook" w:hAnsi="Century Schoolbook"/>
          <w:sz w:val="22"/>
          <w:szCs w:val="22"/>
        </w:rPr>
        <w:t xml:space="preserve"> fine</w:t>
      </w:r>
      <w:r w:rsidR="00F0115C" w:rsidRPr="003E01A4">
        <w:rPr>
          <w:rFonts w:ascii="Century Schoolbook" w:hAnsi="Century Schoolbook"/>
          <w:sz w:val="22"/>
          <w:szCs w:val="22"/>
        </w:rPr>
        <w:t>,</w:t>
      </w:r>
      <w:r w:rsidRPr="003E01A4">
        <w:rPr>
          <w:rFonts w:ascii="Century Schoolbook" w:hAnsi="Century Schoolbook"/>
          <w:sz w:val="22"/>
          <w:szCs w:val="22"/>
        </w:rPr>
        <w:t xml:space="preserve"> un periodo interamente aggiunto dalla novella, nel quale si </w:t>
      </w:r>
      <w:r w:rsidR="00BB53B1" w:rsidRPr="003E01A4">
        <w:rPr>
          <w:rFonts w:ascii="Century Schoolbook" w:hAnsi="Century Schoolbook"/>
          <w:sz w:val="22"/>
          <w:szCs w:val="22"/>
        </w:rPr>
        <w:t>amplia</w:t>
      </w:r>
      <w:r w:rsidRPr="003E01A4">
        <w:rPr>
          <w:rFonts w:ascii="Century Schoolbook" w:hAnsi="Century Schoolbook"/>
          <w:sz w:val="22"/>
          <w:szCs w:val="22"/>
        </w:rPr>
        <w:t xml:space="preserve"> </w:t>
      </w:r>
      <w:r w:rsidR="00027DB9" w:rsidRPr="003E01A4">
        <w:rPr>
          <w:rFonts w:ascii="Century Schoolbook" w:hAnsi="Century Schoolbook"/>
          <w:sz w:val="22"/>
          <w:szCs w:val="22"/>
        </w:rPr>
        <w:t xml:space="preserve">l’oggetto delle osservazioni </w:t>
      </w:r>
      <w:r w:rsidRPr="003E01A4">
        <w:rPr>
          <w:rFonts w:ascii="Century Schoolbook" w:hAnsi="Century Schoolbook"/>
          <w:sz w:val="22"/>
          <w:szCs w:val="22"/>
        </w:rPr>
        <w:t xml:space="preserve">endoprocedimentali che il pubblico interessato può presentare: </w:t>
      </w:r>
      <w:r w:rsidR="003D68FF" w:rsidRPr="003E01A4">
        <w:rPr>
          <w:rFonts w:ascii="Century Schoolbook" w:hAnsi="Century Schoolbook"/>
          <w:sz w:val="22"/>
          <w:szCs w:val="22"/>
        </w:rPr>
        <w:t xml:space="preserve">nei casi in cui sia richiesta anche la variante </w:t>
      </w:r>
      <w:r w:rsidR="003D68FF" w:rsidRPr="003E01A4">
        <w:rPr>
          <w:rFonts w:ascii="Century Schoolbook" w:hAnsi="Century Schoolbook"/>
          <w:i/>
          <w:iCs/>
          <w:sz w:val="22"/>
          <w:szCs w:val="22"/>
        </w:rPr>
        <w:t>ex</w:t>
      </w:r>
      <w:r w:rsidR="003D68FF" w:rsidRPr="003E01A4">
        <w:rPr>
          <w:rFonts w:ascii="Century Schoolbook" w:hAnsi="Century Schoolbook"/>
          <w:sz w:val="22"/>
          <w:szCs w:val="22"/>
        </w:rPr>
        <w:t xml:space="preserve"> art. 8, d.P.R. n. 160/’10</w:t>
      </w:r>
      <w:r w:rsidR="00BB53B1" w:rsidRPr="003E01A4">
        <w:rPr>
          <w:rFonts w:ascii="Century Schoolbook" w:hAnsi="Century Schoolbook"/>
          <w:sz w:val="22"/>
          <w:szCs w:val="22"/>
        </w:rPr>
        <w:t xml:space="preserve"> cit.</w:t>
      </w:r>
      <w:r w:rsidR="003D68FF" w:rsidRPr="003E01A4">
        <w:rPr>
          <w:rFonts w:ascii="Century Schoolbook" w:hAnsi="Century Schoolbook"/>
          <w:sz w:val="22"/>
          <w:szCs w:val="22"/>
        </w:rPr>
        <w:t xml:space="preserve">, </w:t>
      </w:r>
      <w:r w:rsidRPr="003E01A4">
        <w:rPr>
          <w:rFonts w:ascii="Century Schoolbook" w:hAnsi="Century Schoolbook"/>
          <w:sz w:val="22"/>
          <w:szCs w:val="22"/>
        </w:rPr>
        <w:t>«le osservazioni del pubblico interessato riguardano anche tale variazione e, ove necessario, la valutazione ambientale strategica».</w:t>
      </w:r>
      <w:r w:rsidR="003D68FF" w:rsidRPr="003E01A4">
        <w:rPr>
          <w:rFonts w:ascii="Century Schoolbook" w:hAnsi="Century Schoolbook"/>
          <w:sz w:val="22"/>
          <w:szCs w:val="22"/>
        </w:rPr>
        <w:t xml:space="preserve"> In altre parole, a differenza di quanto implicitamente</w:t>
      </w:r>
      <w:r w:rsidR="003D68FF" w:rsidRPr="003E01A4">
        <w:rPr>
          <w:rStyle w:val="Rimandonotaapidipagina"/>
          <w:rFonts w:ascii="Century Schoolbook" w:hAnsi="Century Schoolbook"/>
          <w:sz w:val="22"/>
          <w:szCs w:val="22"/>
        </w:rPr>
        <w:footnoteReference w:id="50"/>
      </w:r>
      <w:r w:rsidR="003D68FF" w:rsidRPr="003E01A4">
        <w:rPr>
          <w:rFonts w:ascii="Century Schoolbook" w:hAnsi="Century Schoolbook"/>
          <w:sz w:val="22"/>
          <w:szCs w:val="22"/>
        </w:rPr>
        <w:t xml:space="preserve"> previsto nello schema ordinario dell’art. 8 cit., nel nuovo procedimento per il PAUR la fase partecipativa parrebbe essere </w:t>
      </w:r>
      <w:r w:rsidR="003D68FF" w:rsidRPr="003E01A4">
        <w:rPr>
          <w:rFonts w:ascii="Century Schoolbook" w:hAnsi="Century Schoolbook"/>
          <w:i/>
          <w:iCs/>
          <w:sz w:val="22"/>
          <w:szCs w:val="22"/>
        </w:rPr>
        <w:t>endoconferenziale</w:t>
      </w:r>
      <w:r w:rsidR="009177F8" w:rsidRPr="003E01A4">
        <w:rPr>
          <w:rFonts w:ascii="Century Schoolbook" w:hAnsi="Century Schoolbook"/>
          <w:sz w:val="22"/>
          <w:szCs w:val="22"/>
        </w:rPr>
        <w:t xml:space="preserve">, onde un </w:t>
      </w:r>
      <w:r w:rsidR="00F0115C" w:rsidRPr="003E01A4">
        <w:rPr>
          <w:rFonts w:ascii="Century Schoolbook" w:hAnsi="Century Schoolbook"/>
          <w:sz w:val="22"/>
          <w:szCs w:val="22"/>
        </w:rPr>
        <w:t xml:space="preserve">auspicabile </w:t>
      </w:r>
      <w:r w:rsidR="009177F8" w:rsidRPr="003E01A4">
        <w:rPr>
          <w:rFonts w:ascii="Century Schoolbook" w:hAnsi="Century Schoolbook"/>
          <w:sz w:val="22"/>
          <w:szCs w:val="22"/>
        </w:rPr>
        <w:t>effetto di accelerazione</w:t>
      </w:r>
      <w:r w:rsidR="00F0115C" w:rsidRPr="003E01A4">
        <w:rPr>
          <w:rFonts w:ascii="Century Schoolbook" w:hAnsi="Century Schoolbook"/>
          <w:sz w:val="22"/>
          <w:szCs w:val="22"/>
        </w:rPr>
        <w:t>.</w:t>
      </w:r>
    </w:p>
    <w:p w14:paraId="5437A304" w14:textId="1B3DF0F6" w:rsidR="00754A2A" w:rsidRPr="003E01A4" w:rsidRDefault="00DF0E81"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V</w:t>
      </w:r>
      <w:r w:rsidR="00CB724D" w:rsidRPr="003E01A4">
        <w:rPr>
          <w:rFonts w:ascii="Century Schoolbook" w:hAnsi="Century Schoolbook"/>
          <w:sz w:val="22"/>
          <w:szCs w:val="22"/>
        </w:rPr>
        <w:t>eniamo a</w:t>
      </w:r>
      <w:r w:rsidR="00F0115C" w:rsidRPr="003E01A4">
        <w:rPr>
          <w:rFonts w:ascii="Century Schoolbook" w:hAnsi="Century Schoolbook"/>
          <w:sz w:val="22"/>
          <w:szCs w:val="22"/>
        </w:rPr>
        <w:t>l comma 7-</w:t>
      </w:r>
      <w:r w:rsidR="00F0115C" w:rsidRPr="003E01A4">
        <w:rPr>
          <w:rFonts w:ascii="Century Schoolbook" w:hAnsi="Century Schoolbook"/>
          <w:i/>
          <w:iCs/>
          <w:sz w:val="22"/>
          <w:szCs w:val="22"/>
        </w:rPr>
        <w:t>ter</w:t>
      </w:r>
      <w:r w:rsidR="00F0115C" w:rsidRPr="003E01A4">
        <w:rPr>
          <w:rFonts w:ascii="Century Schoolbook" w:hAnsi="Century Schoolbook"/>
          <w:sz w:val="22"/>
          <w:szCs w:val="22"/>
        </w:rPr>
        <w:t>: «laddove uno o più titoli compresi nella determinazione motivata di conclusione della conferenza di cui al comma 7 attribuiscano carattere di pubblica utilità, indifferibilità e urgenza, costituiscano variante agli strumenti urbanistici e vincolo preordinato all</w:t>
      </w:r>
      <w:r w:rsidR="00754A2A" w:rsidRPr="003E01A4">
        <w:rPr>
          <w:rFonts w:ascii="Century Schoolbook" w:hAnsi="Century Schoolbook"/>
          <w:sz w:val="22"/>
          <w:szCs w:val="22"/>
        </w:rPr>
        <w:t>’</w:t>
      </w:r>
      <w:r w:rsidR="00F0115C" w:rsidRPr="003E01A4">
        <w:rPr>
          <w:rFonts w:ascii="Century Schoolbook" w:hAnsi="Century Schoolbook"/>
          <w:sz w:val="22"/>
          <w:szCs w:val="22"/>
        </w:rPr>
        <w:t xml:space="preserve">esproprio, la determinazione conclusiva della conferenza ne dà atto». </w:t>
      </w:r>
      <w:r w:rsidR="009D75AB" w:rsidRPr="003E01A4">
        <w:rPr>
          <w:rFonts w:ascii="Century Schoolbook" w:hAnsi="Century Schoolbook"/>
          <w:sz w:val="22"/>
          <w:szCs w:val="22"/>
        </w:rPr>
        <w:t>Ma c</w:t>
      </w:r>
      <w:r w:rsidR="00F0115C" w:rsidRPr="003E01A4">
        <w:rPr>
          <w:rFonts w:ascii="Century Schoolbook" w:hAnsi="Century Schoolbook"/>
          <w:sz w:val="22"/>
          <w:szCs w:val="22"/>
        </w:rPr>
        <w:t>osa significa</w:t>
      </w:r>
      <w:r w:rsidR="000A1748" w:rsidRPr="003E01A4">
        <w:rPr>
          <w:rFonts w:ascii="Century Schoolbook" w:hAnsi="Century Schoolbook"/>
          <w:sz w:val="22"/>
          <w:szCs w:val="22"/>
        </w:rPr>
        <w:t xml:space="preserve"> </w:t>
      </w:r>
      <w:r w:rsidR="000A1748" w:rsidRPr="003E01A4">
        <w:rPr>
          <w:rFonts w:ascii="Century Schoolbook" w:hAnsi="Century Schoolbook"/>
          <w:i/>
          <w:iCs/>
          <w:sz w:val="22"/>
          <w:szCs w:val="22"/>
        </w:rPr>
        <w:t>giuridicamente</w:t>
      </w:r>
      <w:r w:rsidR="00F0115C" w:rsidRPr="003E01A4">
        <w:rPr>
          <w:rFonts w:ascii="Century Schoolbook" w:hAnsi="Century Schoolbook"/>
          <w:sz w:val="22"/>
          <w:szCs w:val="22"/>
        </w:rPr>
        <w:t xml:space="preserve"> il sintagma «ne dà atto»?</w:t>
      </w:r>
      <w:r w:rsidR="000A1748" w:rsidRPr="003E01A4">
        <w:rPr>
          <w:rFonts w:ascii="Century Schoolbook" w:hAnsi="Century Schoolbook"/>
          <w:sz w:val="22"/>
          <w:szCs w:val="22"/>
        </w:rPr>
        <w:t xml:space="preserve"> </w:t>
      </w:r>
      <w:r w:rsidR="006805BB" w:rsidRPr="003E01A4">
        <w:rPr>
          <w:rFonts w:ascii="Century Schoolbook" w:hAnsi="Century Schoolbook"/>
          <w:sz w:val="22"/>
          <w:szCs w:val="22"/>
        </w:rPr>
        <w:t>N</w:t>
      </w:r>
      <w:r w:rsidR="000A1748" w:rsidRPr="003E01A4">
        <w:rPr>
          <w:rFonts w:ascii="Century Schoolbook" w:hAnsi="Century Schoolbook"/>
          <w:sz w:val="22"/>
          <w:szCs w:val="22"/>
        </w:rPr>
        <w:t xml:space="preserve">é la relazione </w:t>
      </w:r>
      <w:r w:rsidR="00B44E06" w:rsidRPr="003E01A4">
        <w:rPr>
          <w:rFonts w:ascii="Century Schoolbook" w:hAnsi="Century Schoolbook"/>
          <w:sz w:val="22"/>
          <w:szCs w:val="22"/>
        </w:rPr>
        <w:t>al disegno di legge di conversione (AC 3146)</w:t>
      </w:r>
      <w:r w:rsidR="00320149" w:rsidRPr="003E01A4">
        <w:rPr>
          <w:rFonts w:ascii="Century Schoolbook" w:hAnsi="Century Schoolbook"/>
          <w:sz w:val="22"/>
          <w:szCs w:val="22"/>
        </w:rPr>
        <w:t>, né le schede di lettura predisposte dai servizi studi di Camera e Senato ci dicono nulla, limitandosi a riportare il testo</w:t>
      </w:r>
      <w:r w:rsidR="006D1F3A" w:rsidRPr="003E01A4">
        <w:rPr>
          <w:rFonts w:ascii="Century Schoolbook" w:hAnsi="Century Schoolbook"/>
          <w:sz w:val="22"/>
          <w:szCs w:val="22"/>
        </w:rPr>
        <w:t xml:space="preserve"> del comma</w:t>
      </w:r>
      <w:r w:rsidR="00320149" w:rsidRPr="003E01A4">
        <w:rPr>
          <w:rFonts w:ascii="Century Schoolbook" w:hAnsi="Century Schoolbook"/>
          <w:sz w:val="22"/>
          <w:szCs w:val="22"/>
        </w:rPr>
        <w:t xml:space="preserve">. </w:t>
      </w:r>
      <w:r w:rsidR="00DC27C5" w:rsidRPr="003E01A4">
        <w:rPr>
          <w:rFonts w:ascii="Century Schoolbook" w:hAnsi="Century Schoolbook"/>
          <w:sz w:val="22"/>
          <w:szCs w:val="22"/>
        </w:rPr>
        <w:t>A</w:t>
      </w:r>
      <w:r w:rsidR="00FB1155" w:rsidRPr="003E01A4">
        <w:rPr>
          <w:rFonts w:ascii="Century Schoolbook" w:hAnsi="Century Schoolbook"/>
          <w:sz w:val="22"/>
          <w:szCs w:val="22"/>
        </w:rPr>
        <w:t>ffidare a una semplice presa d’atto un effetto giuridico di variazione diretta e immediata dello strumento urbanistico</w:t>
      </w:r>
      <w:r w:rsidR="00DC27C5" w:rsidRPr="003E01A4">
        <w:rPr>
          <w:rFonts w:ascii="Century Schoolbook" w:hAnsi="Century Schoolbook"/>
          <w:sz w:val="22"/>
          <w:szCs w:val="22"/>
        </w:rPr>
        <w:t xml:space="preserve"> </w:t>
      </w:r>
      <w:r w:rsidR="00F279D0" w:rsidRPr="003E01A4">
        <w:rPr>
          <w:rFonts w:ascii="Century Schoolbook" w:hAnsi="Century Schoolbook"/>
          <w:sz w:val="22"/>
          <w:szCs w:val="22"/>
        </w:rPr>
        <w:t xml:space="preserve">mi sembra </w:t>
      </w:r>
      <w:r w:rsidR="00DC27C5" w:rsidRPr="003E01A4">
        <w:rPr>
          <w:rFonts w:ascii="Century Schoolbook" w:hAnsi="Century Schoolbook"/>
          <w:sz w:val="22"/>
          <w:szCs w:val="22"/>
        </w:rPr>
        <w:t>eccessivo</w:t>
      </w:r>
      <w:r w:rsidR="00D6022D" w:rsidRPr="003E01A4">
        <w:rPr>
          <w:rFonts w:ascii="Century Schoolbook" w:hAnsi="Century Schoolbook"/>
          <w:sz w:val="22"/>
          <w:szCs w:val="22"/>
        </w:rPr>
        <w:t xml:space="preserve">, anche perché </w:t>
      </w:r>
      <w:r w:rsidR="00754A2A" w:rsidRPr="003E01A4">
        <w:rPr>
          <w:rFonts w:ascii="Century Schoolbook" w:hAnsi="Century Schoolbook"/>
          <w:sz w:val="22"/>
          <w:szCs w:val="22"/>
        </w:rPr>
        <w:t>il comma in esame</w:t>
      </w:r>
      <w:r w:rsidR="00D6022D" w:rsidRPr="003E01A4">
        <w:rPr>
          <w:rFonts w:ascii="Century Schoolbook" w:hAnsi="Century Schoolbook"/>
          <w:sz w:val="22"/>
          <w:szCs w:val="22"/>
        </w:rPr>
        <w:t xml:space="preserve"> riferisce l’effetto stesso non alla presa d’atto, ma a</w:t>
      </w:r>
      <w:r w:rsidR="00754A2A" w:rsidRPr="003E01A4">
        <w:rPr>
          <w:rFonts w:ascii="Century Schoolbook" w:hAnsi="Century Schoolbook"/>
          <w:sz w:val="22"/>
          <w:szCs w:val="22"/>
        </w:rPr>
        <w:t xml:space="preserve">d altre imprecisate norme che lo facciano eventualmente discendere, a loro volta, da </w:t>
      </w:r>
      <w:r w:rsidR="00D6022D" w:rsidRPr="003E01A4">
        <w:rPr>
          <w:rFonts w:ascii="Century Schoolbook" w:hAnsi="Century Schoolbook"/>
          <w:sz w:val="22"/>
          <w:szCs w:val="22"/>
        </w:rPr>
        <w:t>«uno più titoli compresi nella determinazione motivata di conclusione della conferenza»</w:t>
      </w:r>
      <w:r w:rsidR="006D1F3A" w:rsidRPr="003E01A4">
        <w:rPr>
          <w:rFonts w:ascii="Century Schoolbook" w:hAnsi="Century Schoolbook"/>
          <w:sz w:val="22"/>
          <w:szCs w:val="22"/>
        </w:rPr>
        <w:t>.</w:t>
      </w:r>
      <w:r w:rsidR="00DC27C5" w:rsidRPr="003E01A4">
        <w:rPr>
          <w:rFonts w:ascii="Century Schoolbook" w:hAnsi="Century Schoolbook"/>
          <w:sz w:val="22"/>
          <w:szCs w:val="22"/>
        </w:rPr>
        <w:t xml:space="preserve"> </w:t>
      </w:r>
      <w:r w:rsidR="002C08FC" w:rsidRPr="003E01A4">
        <w:rPr>
          <w:rFonts w:ascii="Century Schoolbook" w:hAnsi="Century Schoolbook"/>
          <w:sz w:val="22"/>
          <w:szCs w:val="22"/>
        </w:rPr>
        <w:t>Devo con rammarico ritenere</w:t>
      </w:r>
      <w:r w:rsidR="006805BB" w:rsidRPr="003E01A4">
        <w:rPr>
          <w:rFonts w:ascii="Century Schoolbook" w:hAnsi="Century Schoolbook"/>
          <w:sz w:val="22"/>
          <w:szCs w:val="22"/>
        </w:rPr>
        <w:t xml:space="preserve"> che</w:t>
      </w:r>
      <w:r w:rsidR="00754A2A" w:rsidRPr="003E01A4">
        <w:rPr>
          <w:rFonts w:ascii="Century Schoolbook" w:hAnsi="Century Schoolbook"/>
          <w:sz w:val="22"/>
          <w:szCs w:val="22"/>
        </w:rPr>
        <w:t xml:space="preserve"> il comma 7-</w:t>
      </w:r>
      <w:r w:rsidR="00754A2A" w:rsidRPr="003E01A4">
        <w:rPr>
          <w:rFonts w:ascii="Century Schoolbook" w:hAnsi="Century Schoolbook"/>
          <w:i/>
          <w:iCs/>
          <w:sz w:val="22"/>
          <w:szCs w:val="22"/>
        </w:rPr>
        <w:t>ter</w:t>
      </w:r>
      <w:r w:rsidR="00754A2A" w:rsidRPr="003E01A4">
        <w:rPr>
          <w:rFonts w:ascii="Century Schoolbook" w:hAnsi="Century Schoolbook"/>
          <w:sz w:val="22"/>
          <w:szCs w:val="22"/>
        </w:rPr>
        <w:t xml:space="preserve"> </w:t>
      </w:r>
      <w:r w:rsidR="00754A2A" w:rsidRPr="003E01A4">
        <w:rPr>
          <w:rFonts w:ascii="Century Schoolbook" w:hAnsi="Century Schoolbook"/>
          <w:i/>
          <w:iCs/>
          <w:sz w:val="22"/>
          <w:szCs w:val="22"/>
        </w:rPr>
        <w:t>presuppon</w:t>
      </w:r>
      <w:r w:rsidR="006805BB" w:rsidRPr="003E01A4">
        <w:rPr>
          <w:rFonts w:ascii="Century Schoolbook" w:hAnsi="Century Schoolbook"/>
          <w:i/>
          <w:iCs/>
          <w:sz w:val="22"/>
          <w:szCs w:val="22"/>
        </w:rPr>
        <w:t>ga</w:t>
      </w:r>
      <w:r w:rsidR="00754A2A" w:rsidRPr="003E01A4">
        <w:rPr>
          <w:rFonts w:ascii="Century Schoolbook" w:hAnsi="Century Schoolbook"/>
          <w:sz w:val="22"/>
          <w:szCs w:val="22"/>
        </w:rPr>
        <w:t xml:space="preserve"> l’esistenza di un</w:t>
      </w:r>
      <w:r w:rsidR="006805BB" w:rsidRPr="003E01A4">
        <w:rPr>
          <w:rFonts w:ascii="Century Schoolbook" w:hAnsi="Century Schoolbook"/>
          <w:sz w:val="22"/>
          <w:szCs w:val="22"/>
        </w:rPr>
        <w:t>’</w:t>
      </w:r>
      <w:r w:rsidR="00754A2A" w:rsidRPr="003E01A4">
        <w:rPr>
          <w:rFonts w:ascii="Century Schoolbook" w:hAnsi="Century Schoolbook"/>
          <w:i/>
          <w:iCs/>
          <w:sz w:val="22"/>
          <w:szCs w:val="22"/>
        </w:rPr>
        <w:t>a</w:t>
      </w:r>
      <w:r w:rsidR="006805BB" w:rsidRPr="003E01A4">
        <w:rPr>
          <w:rFonts w:ascii="Century Schoolbook" w:hAnsi="Century Schoolbook"/>
          <w:i/>
          <w:iCs/>
          <w:sz w:val="22"/>
          <w:szCs w:val="22"/>
        </w:rPr>
        <w:t>ltra</w:t>
      </w:r>
      <w:r w:rsidR="00754A2A" w:rsidRPr="003E01A4">
        <w:rPr>
          <w:rFonts w:ascii="Century Schoolbook" w:hAnsi="Century Schoolbook"/>
          <w:sz w:val="22"/>
          <w:szCs w:val="22"/>
        </w:rPr>
        <w:t xml:space="preserve"> norma che attribuisca al rilascio di un </w:t>
      </w:r>
      <w:r w:rsidR="006805BB" w:rsidRPr="003E01A4">
        <w:rPr>
          <w:rFonts w:ascii="Century Schoolbook" w:hAnsi="Century Schoolbook"/>
          <w:i/>
          <w:iCs/>
          <w:sz w:val="22"/>
          <w:szCs w:val="22"/>
        </w:rPr>
        <w:t>altro</w:t>
      </w:r>
      <w:r w:rsidR="006805BB" w:rsidRPr="003E01A4">
        <w:rPr>
          <w:rFonts w:ascii="Century Schoolbook" w:hAnsi="Century Schoolbook"/>
          <w:sz w:val="22"/>
          <w:szCs w:val="22"/>
        </w:rPr>
        <w:t xml:space="preserve"> </w:t>
      </w:r>
      <w:r w:rsidR="00754A2A" w:rsidRPr="003E01A4">
        <w:rPr>
          <w:rFonts w:ascii="Century Schoolbook" w:hAnsi="Century Schoolbook"/>
          <w:sz w:val="22"/>
          <w:szCs w:val="22"/>
        </w:rPr>
        <w:t xml:space="preserve">titolo l’effetto di variante automatica, stabilendo </w:t>
      </w:r>
      <w:r w:rsidR="006805BB" w:rsidRPr="003E01A4">
        <w:rPr>
          <w:rFonts w:ascii="Century Schoolbook" w:hAnsi="Century Schoolbook"/>
          <w:sz w:val="22"/>
          <w:szCs w:val="22"/>
        </w:rPr>
        <w:t xml:space="preserve">semplicemente </w:t>
      </w:r>
      <w:r w:rsidR="00754A2A" w:rsidRPr="003E01A4">
        <w:rPr>
          <w:rFonts w:ascii="Century Schoolbook" w:hAnsi="Century Schoolbook"/>
          <w:sz w:val="22"/>
          <w:szCs w:val="22"/>
        </w:rPr>
        <w:t xml:space="preserve">che se quel rilascio avviene in sede </w:t>
      </w:r>
      <w:r w:rsidR="006805BB" w:rsidRPr="003E01A4">
        <w:rPr>
          <w:rFonts w:ascii="Century Schoolbook" w:hAnsi="Century Schoolbook"/>
          <w:sz w:val="22"/>
          <w:szCs w:val="22"/>
        </w:rPr>
        <w:t xml:space="preserve">di </w:t>
      </w:r>
      <w:r w:rsidR="00754A2A" w:rsidRPr="003E01A4">
        <w:rPr>
          <w:rFonts w:ascii="Century Schoolbook" w:hAnsi="Century Schoolbook"/>
          <w:sz w:val="22"/>
          <w:szCs w:val="22"/>
        </w:rPr>
        <w:t>conferenz</w:t>
      </w:r>
      <w:r w:rsidR="006805BB" w:rsidRPr="003E01A4">
        <w:rPr>
          <w:rFonts w:ascii="Century Schoolbook" w:hAnsi="Century Schoolbook"/>
          <w:sz w:val="22"/>
          <w:szCs w:val="22"/>
        </w:rPr>
        <w:t>a PAUR</w:t>
      </w:r>
      <w:r w:rsidR="00754A2A" w:rsidRPr="003E01A4">
        <w:rPr>
          <w:rFonts w:ascii="Century Schoolbook" w:hAnsi="Century Schoolbook"/>
          <w:sz w:val="22"/>
          <w:szCs w:val="22"/>
        </w:rPr>
        <w:t xml:space="preserve">, la determinazione conclusiva </w:t>
      </w:r>
      <w:r w:rsidR="00CB724D" w:rsidRPr="003E01A4">
        <w:rPr>
          <w:rFonts w:ascii="Century Schoolbook" w:hAnsi="Century Schoolbook"/>
          <w:sz w:val="22"/>
          <w:szCs w:val="22"/>
        </w:rPr>
        <w:t xml:space="preserve">deve dare </w:t>
      </w:r>
      <w:r w:rsidR="006805BB" w:rsidRPr="003E01A4">
        <w:rPr>
          <w:rFonts w:ascii="Century Schoolbook" w:hAnsi="Century Schoolbook"/>
          <w:sz w:val="22"/>
          <w:szCs w:val="22"/>
        </w:rPr>
        <w:t xml:space="preserve">espressamente </w:t>
      </w:r>
      <w:r w:rsidR="00CB724D" w:rsidRPr="003E01A4">
        <w:rPr>
          <w:rFonts w:ascii="Century Schoolbook" w:hAnsi="Century Schoolbook"/>
          <w:sz w:val="22"/>
          <w:szCs w:val="22"/>
        </w:rPr>
        <w:t>atto di un tale effetto.</w:t>
      </w:r>
      <w:r w:rsidRPr="003E01A4">
        <w:rPr>
          <w:rFonts w:ascii="Century Schoolbook" w:hAnsi="Century Schoolbook"/>
          <w:sz w:val="22"/>
          <w:szCs w:val="22"/>
        </w:rPr>
        <w:t xml:space="preserve"> </w:t>
      </w:r>
    </w:p>
    <w:p w14:paraId="325DABC6" w14:textId="710CA807" w:rsidR="008A6E4B" w:rsidRPr="003E01A4" w:rsidRDefault="00DF0E81"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Il PAUR, in</w:t>
      </w:r>
      <w:r w:rsidR="00F279D0" w:rsidRPr="003E01A4">
        <w:rPr>
          <w:rFonts w:ascii="Century Schoolbook" w:hAnsi="Century Schoolbook"/>
          <w:sz w:val="22"/>
          <w:szCs w:val="22"/>
        </w:rPr>
        <w:t xml:space="preserve"> </w:t>
      </w:r>
      <w:r w:rsidRPr="003E01A4">
        <w:rPr>
          <w:rFonts w:ascii="Century Schoolbook" w:hAnsi="Century Schoolbook"/>
          <w:sz w:val="22"/>
          <w:szCs w:val="22"/>
        </w:rPr>
        <w:t>somma, continua a non avere</w:t>
      </w:r>
      <w:r w:rsidR="008A6E4B" w:rsidRPr="003E01A4">
        <w:rPr>
          <w:rFonts w:ascii="Century Schoolbook" w:hAnsi="Century Schoolbook"/>
          <w:sz w:val="22"/>
          <w:szCs w:val="22"/>
        </w:rPr>
        <w:t xml:space="preserve"> </w:t>
      </w:r>
      <w:r w:rsidR="00E41618" w:rsidRPr="003E01A4">
        <w:rPr>
          <w:rFonts w:ascii="Century Schoolbook" w:hAnsi="Century Schoolbook"/>
          <w:i/>
          <w:iCs/>
          <w:sz w:val="22"/>
          <w:szCs w:val="22"/>
        </w:rPr>
        <w:t>sui iuris</w:t>
      </w:r>
      <w:r w:rsidR="00E41618" w:rsidRPr="003E01A4">
        <w:rPr>
          <w:rFonts w:ascii="Century Schoolbook" w:hAnsi="Century Schoolbook"/>
          <w:sz w:val="22"/>
          <w:szCs w:val="22"/>
        </w:rPr>
        <w:t xml:space="preserve"> </w:t>
      </w:r>
      <w:r w:rsidR="008A6E4B" w:rsidRPr="003E01A4">
        <w:rPr>
          <w:rFonts w:ascii="Century Schoolbook" w:hAnsi="Century Schoolbook"/>
          <w:sz w:val="22"/>
          <w:szCs w:val="22"/>
        </w:rPr>
        <w:t xml:space="preserve">effetti di variante automatica, potendo solo </w:t>
      </w:r>
      <w:r w:rsidR="008A6E4B" w:rsidRPr="003E01A4">
        <w:rPr>
          <w:rFonts w:ascii="Century Schoolbook" w:hAnsi="Century Schoolbook"/>
          <w:i/>
          <w:iCs/>
          <w:sz w:val="22"/>
          <w:szCs w:val="22"/>
        </w:rPr>
        <w:t>registrarli</w:t>
      </w:r>
      <w:r w:rsidR="008A6E4B" w:rsidRPr="003E01A4">
        <w:rPr>
          <w:rFonts w:ascii="Century Schoolbook" w:hAnsi="Century Schoolbook"/>
          <w:sz w:val="22"/>
          <w:szCs w:val="22"/>
        </w:rPr>
        <w:t xml:space="preserve"> («ne dà atto») qualora prodotti da «uno o più titoli compresi nella determinazione motivata di conclusione della conferenza».</w:t>
      </w:r>
    </w:p>
    <w:p w14:paraId="1C5D10D6" w14:textId="20EDE20F" w:rsidR="001F6807" w:rsidRPr="003E01A4" w:rsidRDefault="008A6E4B"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Non so spiegarmi </w:t>
      </w:r>
      <w:r w:rsidR="001F6807" w:rsidRPr="003E01A4">
        <w:rPr>
          <w:rFonts w:ascii="Century Schoolbook" w:hAnsi="Century Schoolbook"/>
          <w:sz w:val="22"/>
          <w:szCs w:val="22"/>
        </w:rPr>
        <w:t xml:space="preserve">le ragioni di questa timidezza, massime in quanto serbata all’interno di un </w:t>
      </w:r>
      <w:r w:rsidR="00DC27C5" w:rsidRPr="003E01A4">
        <w:rPr>
          <w:rFonts w:ascii="Century Schoolbook" w:hAnsi="Century Schoolbook"/>
          <w:sz w:val="22"/>
          <w:szCs w:val="22"/>
        </w:rPr>
        <w:t>ecosistema normativo</w:t>
      </w:r>
      <w:r w:rsidR="001F6807" w:rsidRPr="003E01A4">
        <w:rPr>
          <w:rFonts w:ascii="Century Schoolbook" w:hAnsi="Century Schoolbook"/>
          <w:sz w:val="22"/>
          <w:szCs w:val="22"/>
        </w:rPr>
        <w:t xml:space="preserve"> molto particolare:</w:t>
      </w:r>
      <w:r w:rsidR="00DC27C5" w:rsidRPr="003E01A4">
        <w:rPr>
          <w:rFonts w:ascii="Century Schoolbook" w:hAnsi="Century Schoolbook"/>
          <w:sz w:val="22"/>
          <w:szCs w:val="22"/>
        </w:rPr>
        <w:t xml:space="preserve"> quello di un diritto legislativo </w:t>
      </w:r>
      <w:r w:rsidR="00A661B8" w:rsidRPr="003E01A4">
        <w:rPr>
          <w:rFonts w:ascii="Century Schoolbook" w:hAnsi="Century Schoolbook"/>
          <w:sz w:val="22"/>
          <w:szCs w:val="22"/>
        </w:rPr>
        <w:t>turbo</w:t>
      </w:r>
      <w:r w:rsidR="00DC27C5" w:rsidRPr="003E01A4">
        <w:rPr>
          <w:rFonts w:ascii="Century Schoolbook" w:hAnsi="Century Schoolbook"/>
          <w:sz w:val="22"/>
          <w:szCs w:val="22"/>
        </w:rPr>
        <w:t xml:space="preserve">motorizzato </w:t>
      </w:r>
      <w:r w:rsidR="005C420F" w:rsidRPr="003E01A4">
        <w:rPr>
          <w:rFonts w:ascii="Century Schoolbook" w:hAnsi="Century Schoolbook"/>
          <w:i/>
          <w:iCs/>
          <w:sz w:val="22"/>
          <w:szCs w:val="22"/>
        </w:rPr>
        <w:t>à la</w:t>
      </w:r>
      <w:r w:rsidR="005C420F" w:rsidRPr="003E01A4">
        <w:rPr>
          <w:rFonts w:ascii="Century Schoolbook" w:hAnsi="Century Schoolbook"/>
          <w:sz w:val="22"/>
          <w:szCs w:val="22"/>
        </w:rPr>
        <w:t xml:space="preserve"> Schmitt. </w:t>
      </w:r>
      <w:r w:rsidR="001F6807" w:rsidRPr="003E01A4">
        <w:rPr>
          <w:rFonts w:ascii="Century Schoolbook" w:hAnsi="Century Schoolbook"/>
          <w:sz w:val="22"/>
          <w:szCs w:val="22"/>
        </w:rPr>
        <w:t>S</w:t>
      </w:r>
      <w:r w:rsidR="00DC27C5" w:rsidRPr="003E01A4">
        <w:rPr>
          <w:rFonts w:ascii="Century Schoolbook" w:hAnsi="Century Schoolbook"/>
          <w:sz w:val="22"/>
          <w:szCs w:val="22"/>
        </w:rPr>
        <w:t xml:space="preserve">iamo </w:t>
      </w:r>
      <w:r w:rsidR="001F6807" w:rsidRPr="003E01A4">
        <w:rPr>
          <w:rFonts w:ascii="Century Schoolbook" w:hAnsi="Century Schoolbook"/>
          <w:sz w:val="22"/>
          <w:szCs w:val="22"/>
        </w:rPr>
        <w:t xml:space="preserve">infatti </w:t>
      </w:r>
      <w:r w:rsidR="00DC27C5" w:rsidRPr="003E01A4">
        <w:rPr>
          <w:rFonts w:ascii="Century Schoolbook" w:hAnsi="Century Schoolbook"/>
          <w:sz w:val="22"/>
          <w:szCs w:val="22"/>
        </w:rPr>
        <w:t>in “ambiente” PNRR, dove rapidità e immediatezza di risultati d</w:t>
      </w:r>
      <w:r w:rsidR="001F6807" w:rsidRPr="003E01A4">
        <w:rPr>
          <w:rFonts w:ascii="Century Schoolbook" w:hAnsi="Century Schoolbook"/>
          <w:sz w:val="22"/>
          <w:szCs w:val="22"/>
        </w:rPr>
        <w:t>ovrebbero</w:t>
      </w:r>
      <w:r w:rsidR="00DC27C5" w:rsidRPr="003E01A4">
        <w:rPr>
          <w:rFonts w:ascii="Century Schoolbook" w:hAnsi="Century Schoolbook"/>
          <w:sz w:val="22"/>
          <w:szCs w:val="22"/>
        </w:rPr>
        <w:t xml:space="preserve"> </w:t>
      </w:r>
      <w:r w:rsidR="001F6807" w:rsidRPr="003E01A4">
        <w:rPr>
          <w:rFonts w:ascii="Century Schoolbook" w:hAnsi="Century Schoolbook"/>
          <w:sz w:val="22"/>
          <w:szCs w:val="22"/>
        </w:rPr>
        <w:t xml:space="preserve">essere la stella polare, </w:t>
      </w:r>
      <w:r w:rsidR="000F3568" w:rsidRPr="003E01A4">
        <w:rPr>
          <w:rFonts w:ascii="Century Schoolbook" w:hAnsi="Century Schoolbook"/>
          <w:sz w:val="22"/>
          <w:szCs w:val="22"/>
        </w:rPr>
        <w:t xml:space="preserve">onde </w:t>
      </w:r>
      <w:r w:rsidR="001F6807" w:rsidRPr="003E01A4">
        <w:rPr>
          <w:rFonts w:ascii="Century Schoolbook" w:hAnsi="Century Schoolbook"/>
          <w:sz w:val="22"/>
          <w:szCs w:val="22"/>
        </w:rPr>
        <w:t>naviga</w:t>
      </w:r>
      <w:r w:rsidR="000F3568" w:rsidRPr="003E01A4">
        <w:rPr>
          <w:rFonts w:ascii="Century Schoolbook" w:hAnsi="Century Schoolbook"/>
          <w:sz w:val="22"/>
          <w:szCs w:val="22"/>
        </w:rPr>
        <w:t>re sempre</w:t>
      </w:r>
      <w:r w:rsidR="001F6807" w:rsidRPr="003E01A4">
        <w:rPr>
          <w:rFonts w:ascii="Century Schoolbook" w:hAnsi="Century Schoolbook"/>
          <w:sz w:val="22"/>
          <w:szCs w:val="22"/>
        </w:rPr>
        <w:t xml:space="preserve"> sulla rotta</w:t>
      </w:r>
      <w:r w:rsidR="00DC27C5" w:rsidRPr="003E01A4">
        <w:rPr>
          <w:rFonts w:ascii="Century Schoolbook" w:hAnsi="Century Schoolbook"/>
          <w:sz w:val="22"/>
          <w:szCs w:val="22"/>
        </w:rPr>
        <w:t xml:space="preserve"> </w:t>
      </w:r>
      <w:r w:rsidR="000F3568" w:rsidRPr="003E01A4">
        <w:rPr>
          <w:rFonts w:ascii="Century Schoolbook" w:hAnsi="Century Schoolbook"/>
          <w:sz w:val="22"/>
          <w:szCs w:val="22"/>
        </w:rPr>
        <w:t xml:space="preserve">verso il </w:t>
      </w:r>
      <w:r w:rsidR="002C08FC" w:rsidRPr="003E01A4">
        <w:rPr>
          <w:rFonts w:ascii="Century Schoolbook" w:hAnsi="Century Schoolbook"/>
          <w:sz w:val="22"/>
          <w:szCs w:val="22"/>
        </w:rPr>
        <w:t>più ampio</w:t>
      </w:r>
      <w:r w:rsidR="002C08FC" w:rsidRPr="003E01A4">
        <w:rPr>
          <w:rFonts w:ascii="Century Schoolbook" w:hAnsi="Century Schoolbook"/>
          <w:i/>
          <w:iCs/>
          <w:sz w:val="22"/>
          <w:szCs w:val="22"/>
        </w:rPr>
        <w:t xml:space="preserve"> </w:t>
      </w:r>
      <w:r w:rsidR="00DC27C5" w:rsidRPr="003E01A4">
        <w:rPr>
          <w:rFonts w:ascii="Century Schoolbook" w:hAnsi="Century Schoolbook"/>
          <w:sz w:val="22"/>
          <w:szCs w:val="22"/>
        </w:rPr>
        <w:t>effetto utile.</w:t>
      </w:r>
    </w:p>
    <w:p w14:paraId="25064C05" w14:textId="61774A77" w:rsidR="000F3568" w:rsidRPr="003E01A4" w:rsidRDefault="001F6807"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La scelta conservativa </w:t>
      </w:r>
      <w:r w:rsidR="00F279D0" w:rsidRPr="003E01A4">
        <w:rPr>
          <w:rFonts w:ascii="Century Schoolbook" w:hAnsi="Century Schoolbook"/>
          <w:sz w:val="22"/>
          <w:szCs w:val="22"/>
        </w:rPr>
        <w:t xml:space="preserve">mi </w:t>
      </w:r>
      <w:r w:rsidRPr="003E01A4">
        <w:rPr>
          <w:rFonts w:ascii="Century Schoolbook" w:hAnsi="Century Schoolbook"/>
          <w:sz w:val="22"/>
          <w:szCs w:val="22"/>
        </w:rPr>
        <w:t xml:space="preserve">sorprende </w:t>
      </w:r>
      <w:r w:rsidR="00F279D0" w:rsidRPr="003E01A4">
        <w:rPr>
          <w:rFonts w:ascii="Century Schoolbook" w:hAnsi="Century Schoolbook"/>
          <w:sz w:val="22"/>
          <w:szCs w:val="22"/>
        </w:rPr>
        <w:t xml:space="preserve">per </w:t>
      </w:r>
      <w:r w:rsidR="000F3568" w:rsidRPr="003E01A4">
        <w:rPr>
          <w:rFonts w:ascii="Century Schoolbook" w:hAnsi="Century Schoolbook"/>
          <w:sz w:val="22"/>
          <w:szCs w:val="22"/>
        </w:rPr>
        <w:t>almeno due ragioni.</w:t>
      </w:r>
    </w:p>
    <w:p w14:paraId="2D7C38C0" w14:textId="40820802" w:rsidR="006325B1" w:rsidRPr="003E01A4" w:rsidRDefault="000F3568"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Anzitutto, </w:t>
      </w:r>
      <w:r w:rsidR="00F279D0" w:rsidRPr="003E01A4">
        <w:rPr>
          <w:rFonts w:ascii="Century Schoolbook" w:hAnsi="Century Schoolbook"/>
          <w:sz w:val="22"/>
          <w:szCs w:val="22"/>
        </w:rPr>
        <w:t xml:space="preserve">la </w:t>
      </w:r>
      <w:r w:rsidR="001F6807" w:rsidRPr="003E01A4">
        <w:rPr>
          <w:rFonts w:ascii="Century Schoolbook" w:hAnsi="Century Schoolbook"/>
          <w:sz w:val="22"/>
          <w:szCs w:val="22"/>
        </w:rPr>
        <w:t xml:space="preserve">normazione </w:t>
      </w:r>
      <w:r w:rsidR="00F279D0" w:rsidRPr="003E01A4">
        <w:rPr>
          <w:rFonts w:ascii="Century Schoolbook" w:hAnsi="Century Schoolbook"/>
          <w:sz w:val="22"/>
          <w:szCs w:val="22"/>
        </w:rPr>
        <w:t xml:space="preserve">regionale è </w:t>
      </w:r>
      <w:r w:rsidRPr="003E01A4">
        <w:rPr>
          <w:rFonts w:ascii="Century Schoolbook" w:hAnsi="Century Schoolbook"/>
          <w:sz w:val="22"/>
          <w:szCs w:val="22"/>
        </w:rPr>
        <w:t xml:space="preserve">già </w:t>
      </w:r>
      <w:r w:rsidR="001F6807" w:rsidRPr="003E01A4">
        <w:rPr>
          <w:rFonts w:ascii="Century Schoolbook" w:hAnsi="Century Schoolbook"/>
          <w:sz w:val="22"/>
          <w:szCs w:val="22"/>
        </w:rPr>
        <w:t>su posizioni più avanzate</w:t>
      </w:r>
      <w:r w:rsidRPr="003E01A4">
        <w:rPr>
          <w:rFonts w:ascii="Century Schoolbook" w:hAnsi="Century Schoolbook"/>
          <w:sz w:val="22"/>
          <w:szCs w:val="22"/>
        </w:rPr>
        <w:t xml:space="preserve">: un divario che quindi </w:t>
      </w:r>
      <w:r w:rsidR="003D45F5" w:rsidRPr="003E01A4">
        <w:rPr>
          <w:rFonts w:ascii="Century Schoolbook" w:hAnsi="Century Schoolbook"/>
          <w:sz w:val="22"/>
          <w:szCs w:val="22"/>
        </w:rPr>
        <w:t xml:space="preserve">in quest’occasione </w:t>
      </w:r>
      <w:r w:rsidRPr="003E01A4">
        <w:rPr>
          <w:rFonts w:ascii="Century Schoolbook" w:hAnsi="Century Schoolbook"/>
          <w:sz w:val="22"/>
          <w:szCs w:val="22"/>
        </w:rPr>
        <w:t>poteva essere colmato.</w:t>
      </w:r>
    </w:p>
    <w:p w14:paraId="7E58A876" w14:textId="43FEFBDA" w:rsidR="00027DB9" w:rsidRPr="003E01A4" w:rsidRDefault="00D177D6"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Secondo l</w:t>
      </w:r>
      <w:r w:rsidR="001F6807" w:rsidRPr="003E01A4">
        <w:rPr>
          <w:rFonts w:ascii="Century Schoolbook" w:hAnsi="Century Schoolbook"/>
          <w:sz w:val="22"/>
          <w:szCs w:val="22"/>
        </w:rPr>
        <w:t>a l.r. Emilia Romagna 20 aprile 2018, n. 4</w:t>
      </w:r>
      <w:r w:rsidR="000A1748" w:rsidRPr="003E01A4">
        <w:rPr>
          <w:rFonts w:ascii="Century Schoolbook" w:hAnsi="Century Schoolbook"/>
          <w:sz w:val="22"/>
          <w:szCs w:val="22"/>
        </w:rPr>
        <w:t xml:space="preserve"> </w:t>
      </w:r>
      <w:r w:rsidR="001F6807" w:rsidRPr="003E01A4">
        <w:rPr>
          <w:rFonts w:ascii="Century Schoolbook" w:hAnsi="Century Schoolbook"/>
          <w:sz w:val="22"/>
          <w:szCs w:val="22"/>
        </w:rPr>
        <w:t>(«Disciplina della valutazione dell</w:t>
      </w:r>
      <w:r w:rsidR="005C420F" w:rsidRPr="003E01A4">
        <w:rPr>
          <w:rFonts w:ascii="Century Schoolbook" w:hAnsi="Century Schoolbook"/>
          <w:sz w:val="22"/>
          <w:szCs w:val="22"/>
        </w:rPr>
        <w:t>’</w:t>
      </w:r>
      <w:r w:rsidR="001F6807" w:rsidRPr="003E01A4">
        <w:rPr>
          <w:rFonts w:ascii="Century Schoolbook" w:hAnsi="Century Schoolbook"/>
          <w:sz w:val="22"/>
          <w:szCs w:val="22"/>
        </w:rPr>
        <w:t>impatto ambientale dei progetti»)</w:t>
      </w:r>
      <w:r w:rsidR="006325B1" w:rsidRPr="003E01A4">
        <w:rPr>
          <w:rFonts w:ascii="Century Schoolbook" w:hAnsi="Century Schoolbook"/>
          <w:sz w:val="22"/>
          <w:szCs w:val="22"/>
        </w:rPr>
        <w:t>, infatti,</w:t>
      </w:r>
      <w:r w:rsidR="000A1748" w:rsidRPr="003E01A4">
        <w:rPr>
          <w:rFonts w:ascii="Century Schoolbook" w:hAnsi="Century Schoolbook"/>
          <w:sz w:val="22"/>
          <w:szCs w:val="22"/>
        </w:rPr>
        <w:t xml:space="preserve"> </w:t>
      </w:r>
      <w:r w:rsidR="006A66CA" w:rsidRPr="003E01A4">
        <w:rPr>
          <w:rFonts w:ascii="Century Schoolbook" w:hAnsi="Century Schoolbook"/>
          <w:sz w:val="22"/>
          <w:szCs w:val="22"/>
        </w:rPr>
        <w:t>«il provvedimento autorizzatorio unico comprende il provvedimento di VIA e i titoli abilitativi necessari per la realizzazione e l</w:t>
      </w:r>
      <w:r w:rsidR="005C420F" w:rsidRPr="003E01A4">
        <w:rPr>
          <w:rFonts w:ascii="Century Schoolbook" w:hAnsi="Century Schoolbook"/>
          <w:sz w:val="22"/>
          <w:szCs w:val="22"/>
        </w:rPr>
        <w:t>’</w:t>
      </w:r>
      <w:r w:rsidR="006A66CA" w:rsidRPr="003E01A4">
        <w:rPr>
          <w:rFonts w:ascii="Century Schoolbook" w:hAnsi="Century Schoolbook"/>
          <w:sz w:val="22"/>
          <w:szCs w:val="22"/>
        </w:rPr>
        <w:t>esercizio del progetto rilasciati dalle amministrazioni che hanno partecipato alla conferenza di servizi, recandone indicazione esplicita» (art. 20, comma 2)</w:t>
      </w:r>
      <w:r w:rsidR="006325B1" w:rsidRPr="003E01A4">
        <w:rPr>
          <w:rFonts w:ascii="Century Schoolbook" w:hAnsi="Century Schoolbook"/>
          <w:sz w:val="22"/>
          <w:szCs w:val="22"/>
        </w:rPr>
        <w:t>.</w:t>
      </w:r>
      <w:r w:rsidR="006A66CA" w:rsidRPr="003E01A4">
        <w:rPr>
          <w:rFonts w:ascii="Century Schoolbook" w:hAnsi="Century Schoolbook"/>
          <w:sz w:val="22"/>
          <w:szCs w:val="22"/>
        </w:rPr>
        <w:t xml:space="preserve"> </w:t>
      </w:r>
      <w:r w:rsidR="006325B1" w:rsidRPr="003E01A4">
        <w:rPr>
          <w:rFonts w:ascii="Century Schoolbook" w:hAnsi="Century Schoolbook"/>
          <w:sz w:val="22"/>
          <w:szCs w:val="22"/>
        </w:rPr>
        <w:t>P</w:t>
      </w:r>
      <w:r w:rsidRPr="003E01A4">
        <w:rPr>
          <w:rFonts w:ascii="Century Schoolbook" w:hAnsi="Century Schoolbook"/>
          <w:sz w:val="22"/>
          <w:szCs w:val="22"/>
        </w:rPr>
        <w:t>rosegue la l.r. cit.:</w:t>
      </w:r>
      <w:r w:rsidR="006A66CA" w:rsidRPr="003E01A4">
        <w:rPr>
          <w:rFonts w:ascii="Century Schoolbook" w:hAnsi="Century Schoolbook"/>
          <w:sz w:val="22"/>
          <w:szCs w:val="22"/>
        </w:rPr>
        <w:t xml:space="preserve"> «</w:t>
      </w:r>
      <w:r w:rsidR="005C420F" w:rsidRPr="003E01A4">
        <w:rPr>
          <w:rFonts w:ascii="Century Schoolbook" w:hAnsi="Century Schoolbook"/>
          <w:sz w:val="22"/>
          <w:szCs w:val="22"/>
        </w:rPr>
        <w:t>i</w:t>
      </w:r>
      <w:r w:rsidR="006A66CA" w:rsidRPr="003E01A4">
        <w:rPr>
          <w:rFonts w:ascii="Century Schoolbook" w:hAnsi="Century Schoolbook"/>
          <w:sz w:val="22"/>
          <w:szCs w:val="22"/>
        </w:rPr>
        <w:t>l provvedimento autorizzatorio unico costituisce variante</w:t>
      </w:r>
      <w:r w:rsidR="00752070" w:rsidRPr="003E01A4">
        <w:rPr>
          <w:rStyle w:val="Rimandonotaapidipagina"/>
          <w:rFonts w:ascii="Century Schoolbook" w:hAnsi="Century Schoolbook"/>
          <w:sz w:val="22"/>
          <w:szCs w:val="22"/>
        </w:rPr>
        <w:footnoteReference w:id="51"/>
      </w:r>
      <w:r w:rsidR="006A66CA" w:rsidRPr="003E01A4">
        <w:rPr>
          <w:rFonts w:ascii="Century Schoolbook" w:hAnsi="Century Schoolbook"/>
          <w:sz w:val="22"/>
          <w:szCs w:val="22"/>
        </w:rPr>
        <w:t xml:space="preserve"> </w:t>
      </w:r>
      <w:r w:rsidR="005C420F" w:rsidRPr="003E01A4">
        <w:rPr>
          <w:rFonts w:ascii="Century Schoolbook" w:hAnsi="Century Schoolbook"/>
          <w:sz w:val="22"/>
          <w:szCs w:val="22"/>
        </w:rPr>
        <w:t xml:space="preserve">[…] </w:t>
      </w:r>
      <w:r w:rsidR="006A66CA" w:rsidRPr="003E01A4">
        <w:rPr>
          <w:rFonts w:ascii="Century Schoolbook" w:hAnsi="Century Schoolbook"/>
          <w:sz w:val="22"/>
          <w:szCs w:val="22"/>
        </w:rPr>
        <w:t xml:space="preserve">a condizione che </w:t>
      </w:r>
      <w:r w:rsidR="005C420F" w:rsidRPr="003E01A4">
        <w:rPr>
          <w:rFonts w:ascii="Century Schoolbook" w:hAnsi="Century Schoolbook"/>
          <w:sz w:val="22"/>
          <w:szCs w:val="22"/>
        </w:rPr>
        <w:t>l’assenso dell’amministrazione titolare del piano da variare sia preventivamente acquisito</w:t>
      </w:r>
      <w:r w:rsidR="006325B1" w:rsidRPr="003E01A4">
        <w:rPr>
          <w:rStyle w:val="Rimandonotaapidipagina"/>
          <w:rFonts w:ascii="Century Schoolbook" w:hAnsi="Century Schoolbook"/>
          <w:sz w:val="22"/>
          <w:szCs w:val="22"/>
        </w:rPr>
        <w:footnoteReference w:id="52"/>
      </w:r>
      <w:r w:rsidR="005C420F" w:rsidRPr="003E01A4">
        <w:rPr>
          <w:rFonts w:ascii="Century Schoolbook" w:hAnsi="Century Schoolbook"/>
          <w:sz w:val="22"/>
          <w:szCs w:val="22"/>
        </w:rPr>
        <w:t xml:space="preserve">. […] Qualora costituisca variante agli strumenti di pianificazione territoriale, urbanistica e di settore […] alla conferenza di servizi partecipa la Regione qualora la variante sia relativa alla pianificazione territoriale e la </w:t>
      </w:r>
      <w:r w:rsidR="00DF40D6" w:rsidRPr="003E01A4">
        <w:rPr>
          <w:rFonts w:ascii="Century Schoolbook" w:hAnsi="Century Schoolbook"/>
          <w:sz w:val="22"/>
          <w:szCs w:val="22"/>
        </w:rPr>
        <w:t>P</w:t>
      </w:r>
      <w:r w:rsidR="005C420F" w:rsidRPr="003E01A4">
        <w:rPr>
          <w:rFonts w:ascii="Century Schoolbook" w:hAnsi="Century Schoolbook"/>
          <w:sz w:val="22"/>
          <w:szCs w:val="22"/>
        </w:rPr>
        <w:t>rovincia qualora la variante sia relativa alla pianificazione urbanistica, ai fini dell’intesa per l’approvazione della variante</w:t>
      </w:r>
      <w:r w:rsidR="006A66CA" w:rsidRPr="003E01A4">
        <w:rPr>
          <w:rFonts w:ascii="Century Schoolbook" w:hAnsi="Century Schoolbook"/>
          <w:sz w:val="22"/>
          <w:szCs w:val="22"/>
        </w:rPr>
        <w:t>»</w:t>
      </w:r>
      <w:r w:rsidR="005C420F" w:rsidRPr="003E01A4">
        <w:rPr>
          <w:rFonts w:ascii="Century Schoolbook" w:hAnsi="Century Schoolbook"/>
          <w:sz w:val="22"/>
          <w:szCs w:val="22"/>
        </w:rPr>
        <w:t xml:space="preserve"> (art. 21, comma 2)</w:t>
      </w:r>
      <w:r w:rsidR="006A66CA" w:rsidRPr="003E01A4">
        <w:rPr>
          <w:rFonts w:ascii="Century Schoolbook" w:hAnsi="Century Schoolbook"/>
          <w:sz w:val="22"/>
          <w:szCs w:val="22"/>
        </w:rPr>
        <w:t>.</w:t>
      </w:r>
      <w:r w:rsidR="005C420F" w:rsidRPr="003E01A4">
        <w:rPr>
          <w:rFonts w:ascii="Century Schoolbook" w:hAnsi="Century Schoolbook"/>
          <w:sz w:val="22"/>
          <w:szCs w:val="22"/>
        </w:rPr>
        <w:t xml:space="preserve"> </w:t>
      </w:r>
      <w:r w:rsidR="00054C19" w:rsidRPr="003E01A4">
        <w:rPr>
          <w:rFonts w:ascii="Century Schoolbook" w:hAnsi="Century Schoolbook"/>
          <w:sz w:val="22"/>
          <w:szCs w:val="22"/>
        </w:rPr>
        <w:t>È q</w:t>
      </w:r>
      <w:r w:rsidR="00951312" w:rsidRPr="003E01A4">
        <w:rPr>
          <w:rFonts w:ascii="Century Schoolbook" w:hAnsi="Century Schoolbook"/>
          <w:sz w:val="22"/>
          <w:szCs w:val="22"/>
        </w:rPr>
        <w:t>uesto</w:t>
      </w:r>
      <w:r w:rsidR="00054C19" w:rsidRPr="003E01A4">
        <w:rPr>
          <w:rFonts w:ascii="Century Schoolbook" w:hAnsi="Century Schoolbook"/>
          <w:sz w:val="22"/>
          <w:szCs w:val="22"/>
        </w:rPr>
        <w:t>,</w:t>
      </w:r>
      <w:r w:rsidR="00951312" w:rsidRPr="003E01A4">
        <w:rPr>
          <w:rFonts w:ascii="Century Schoolbook" w:hAnsi="Century Schoolbook"/>
          <w:sz w:val="22"/>
          <w:szCs w:val="22"/>
        </w:rPr>
        <w:t xml:space="preserve"> </w:t>
      </w:r>
      <w:r w:rsidR="00F279D0" w:rsidRPr="003E01A4">
        <w:rPr>
          <w:rFonts w:ascii="Century Schoolbook" w:hAnsi="Century Schoolbook"/>
          <w:sz w:val="22"/>
          <w:szCs w:val="22"/>
        </w:rPr>
        <w:t>per me</w:t>
      </w:r>
      <w:r w:rsidR="00054C19" w:rsidRPr="003E01A4">
        <w:rPr>
          <w:rFonts w:ascii="Century Schoolbook" w:hAnsi="Century Schoolbook"/>
          <w:sz w:val="22"/>
          <w:szCs w:val="22"/>
        </w:rPr>
        <w:t>,</w:t>
      </w:r>
      <w:r w:rsidR="00F279D0" w:rsidRPr="003E01A4">
        <w:rPr>
          <w:rFonts w:ascii="Century Schoolbook" w:hAnsi="Century Schoolbook"/>
          <w:sz w:val="22"/>
          <w:szCs w:val="22"/>
        </w:rPr>
        <w:t xml:space="preserve"> </w:t>
      </w:r>
      <w:r w:rsidR="00951312" w:rsidRPr="003E01A4">
        <w:rPr>
          <w:rFonts w:ascii="Century Schoolbook" w:hAnsi="Century Schoolbook"/>
          <w:sz w:val="22"/>
          <w:szCs w:val="22"/>
        </w:rPr>
        <w:t>un buon esempio di unicità procedimentale e decisoria: tutto nella conferenza</w:t>
      </w:r>
      <w:r w:rsidR="00C81397" w:rsidRPr="003E01A4">
        <w:rPr>
          <w:rFonts w:ascii="Century Schoolbook" w:hAnsi="Century Schoolbook"/>
          <w:sz w:val="22"/>
          <w:szCs w:val="22"/>
        </w:rPr>
        <w:t>;</w:t>
      </w:r>
      <w:r w:rsidR="00951312" w:rsidRPr="003E01A4">
        <w:rPr>
          <w:rFonts w:ascii="Century Schoolbook" w:hAnsi="Century Schoolbook"/>
          <w:sz w:val="22"/>
          <w:szCs w:val="22"/>
        </w:rPr>
        <w:t xml:space="preserve"> </w:t>
      </w:r>
      <w:r w:rsidR="00C81397" w:rsidRPr="003E01A4">
        <w:rPr>
          <w:rFonts w:ascii="Century Schoolbook" w:hAnsi="Century Schoolbook"/>
          <w:sz w:val="22"/>
          <w:szCs w:val="22"/>
        </w:rPr>
        <w:t xml:space="preserve">prima o dopo, </w:t>
      </w:r>
      <w:r w:rsidR="00951312" w:rsidRPr="003E01A4">
        <w:rPr>
          <w:rFonts w:ascii="Century Schoolbook" w:hAnsi="Century Schoolbook"/>
          <w:sz w:val="22"/>
          <w:szCs w:val="22"/>
        </w:rPr>
        <w:t>nulla.</w:t>
      </w:r>
    </w:p>
    <w:p w14:paraId="32E886C1" w14:textId="60F82ED3" w:rsidR="000F3568" w:rsidRPr="003E01A4" w:rsidRDefault="00DF40D6"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Altra</w:t>
      </w:r>
      <w:r w:rsidR="000F3568" w:rsidRPr="003E01A4">
        <w:rPr>
          <w:rFonts w:ascii="Century Schoolbook" w:hAnsi="Century Schoolbook"/>
          <w:sz w:val="22"/>
          <w:szCs w:val="22"/>
        </w:rPr>
        <w:t xml:space="preserve"> ragione di </w:t>
      </w:r>
      <w:r w:rsidR="00C81397" w:rsidRPr="003E01A4">
        <w:rPr>
          <w:rFonts w:ascii="Century Schoolbook" w:hAnsi="Century Schoolbook"/>
          <w:sz w:val="22"/>
          <w:szCs w:val="22"/>
        </w:rPr>
        <w:t xml:space="preserve">mia </w:t>
      </w:r>
      <w:r w:rsidR="000F3568" w:rsidRPr="003E01A4">
        <w:rPr>
          <w:rFonts w:ascii="Century Schoolbook" w:hAnsi="Century Schoolbook"/>
          <w:sz w:val="22"/>
          <w:szCs w:val="22"/>
        </w:rPr>
        <w:t>sorpresa</w:t>
      </w:r>
      <w:r w:rsidR="00F94728" w:rsidRPr="003E01A4">
        <w:rPr>
          <w:rFonts w:ascii="Century Schoolbook" w:hAnsi="Century Schoolbook"/>
          <w:sz w:val="22"/>
          <w:szCs w:val="22"/>
        </w:rPr>
        <w:t>:</w:t>
      </w:r>
      <w:r w:rsidR="000F3568" w:rsidRPr="003E01A4">
        <w:rPr>
          <w:rFonts w:ascii="Century Schoolbook" w:hAnsi="Century Schoolbook"/>
          <w:sz w:val="22"/>
          <w:szCs w:val="22"/>
        </w:rPr>
        <w:t xml:space="preserve"> </w:t>
      </w:r>
      <w:r w:rsidR="00F94728" w:rsidRPr="003E01A4">
        <w:rPr>
          <w:rFonts w:ascii="Century Schoolbook" w:hAnsi="Century Schoolbook"/>
          <w:sz w:val="22"/>
          <w:szCs w:val="22"/>
        </w:rPr>
        <w:t>l</w:t>
      </w:r>
      <w:r w:rsidR="000F3568" w:rsidRPr="003E01A4">
        <w:rPr>
          <w:rFonts w:ascii="Century Schoolbook" w:hAnsi="Century Schoolbook"/>
          <w:sz w:val="22"/>
          <w:szCs w:val="22"/>
        </w:rPr>
        <w:t xml:space="preserve">a questione </w:t>
      </w:r>
      <w:r w:rsidR="00C81397" w:rsidRPr="003E01A4">
        <w:rPr>
          <w:rFonts w:ascii="Century Schoolbook" w:hAnsi="Century Schoolbook"/>
          <w:sz w:val="22"/>
          <w:szCs w:val="22"/>
        </w:rPr>
        <w:t>era da tempo nota e accuratamente tematizzata</w:t>
      </w:r>
      <w:r w:rsidR="00E41618" w:rsidRPr="003E01A4">
        <w:rPr>
          <w:rFonts w:ascii="Century Schoolbook" w:hAnsi="Century Schoolbook"/>
          <w:sz w:val="22"/>
          <w:szCs w:val="22"/>
        </w:rPr>
        <w:t xml:space="preserve"> anche </w:t>
      </w:r>
      <w:r w:rsidR="000D44D2" w:rsidRPr="003E01A4">
        <w:rPr>
          <w:rFonts w:ascii="Century Schoolbook" w:hAnsi="Century Schoolbook"/>
          <w:sz w:val="22"/>
          <w:szCs w:val="22"/>
        </w:rPr>
        <w:t xml:space="preserve">in </w:t>
      </w:r>
      <w:r w:rsidR="00103A87" w:rsidRPr="003E01A4">
        <w:rPr>
          <w:rFonts w:ascii="Century Schoolbook" w:hAnsi="Century Schoolbook"/>
          <w:sz w:val="22"/>
          <w:szCs w:val="22"/>
        </w:rPr>
        <w:t>ambienti</w:t>
      </w:r>
      <w:r w:rsidR="00E41618" w:rsidRPr="003E01A4">
        <w:rPr>
          <w:rFonts w:ascii="Century Schoolbook" w:hAnsi="Century Schoolbook"/>
          <w:sz w:val="22"/>
          <w:szCs w:val="22"/>
        </w:rPr>
        <w:t xml:space="preserve"> istituzional</w:t>
      </w:r>
      <w:r w:rsidR="00103A87" w:rsidRPr="003E01A4">
        <w:rPr>
          <w:rFonts w:ascii="Century Schoolbook" w:hAnsi="Century Schoolbook"/>
          <w:sz w:val="22"/>
          <w:szCs w:val="22"/>
        </w:rPr>
        <w:t>i</w:t>
      </w:r>
      <w:r w:rsidR="00F94728" w:rsidRPr="003E01A4">
        <w:rPr>
          <w:rFonts w:ascii="Century Schoolbook" w:hAnsi="Century Schoolbook"/>
          <w:sz w:val="22"/>
          <w:szCs w:val="22"/>
        </w:rPr>
        <w:t>.</w:t>
      </w:r>
      <w:r w:rsidR="000D44D2" w:rsidRPr="003E01A4">
        <w:rPr>
          <w:rFonts w:ascii="Century Schoolbook" w:hAnsi="Century Schoolbook"/>
          <w:sz w:val="22"/>
          <w:szCs w:val="22"/>
        </w:rPr>
        <w:t xml:space="preserve"> </w:t>
      </w:r>
      <w:r w:rsidR="00F94728" w:rsidRPr="003E01A4">
        <w:rPr>
          <w:rFonts w:ascii="Century Schoolbook" w:hAnsi="Century Schoolbook"/>
          <w:sz w:val="22"/>
          <w:szCs w:val="22"/>
        </w:rPr>
        <w:t>M</w:t>
      </w:r>
      <w:r w:rsidR="000D44D2" w:rsidRPr="003E01A4">
        <w:rPr>
          <w:rFonts w:ascii="Century Schoolbook" w:hAnsi="Century Schoolbook"/>
          <w:sz w:val="22"/>
          <w:szCs w:val="22"/>
        </w:rPr>
        <w:t xml:space="preserve">i riferisco agli </w:t>
      </w:r>
      <w:r w:rsidR="000D44D2" w:rsidRPr="003E01A4">
        <w:rPr>
          <w:rFonts w:ascii="Century Schoolbook" w:hAnsi="Century Schoolbook"/>
          <w:i/>
          <w:iCs/>
          <w:sz w:val="22"/>
          <w:szCs w:val="22"/>
        </w:rPr>
        <w:t>Indirizzi operativi per l</w:t>
      </w:r>
      <w:r w:rsidR="00C81397" w:rsidRPr="003E01A4">
        <w:rPr>
          <w:rFonts w:ascii="Century Schoolbook" w:hAnsi="Century Schoolbook"/>
          <w:i/>
          <w:iCs/>
          <w:sz w:val="22"/>
          <w:szCs w:val="22"/>
        </w:rPr>
        <w:t>’</w:t>
      </w:r>
      <w:r w:rsidR="000D44D2" w:rsidRPr="003E01A4">
        <w:rPr>
          <w:rFonts w:ascii="Century Schoolbook" w:hAnsi="Century Schoolbook"/>
          <w:i/>
          <w:iCs/>
          <w:sz w:val="22"/>
          <w:szCs w:val="22"/>
        </w:rPr>
        <w:t>applicazione dell’art. 27-bis, d.lgs. 152/2006: il Provvedimento Autorizzatorio Unico Regionale</w:t>
      </w:r>
      <w:r w:rsidR="000D44D2" w:rsidRPr="003E01A4">
        <w:rPr>
          <w:rStyle w:val="Rimandonotaapidipagina"/>
          <w:rFonts w:ascii="Century Schoolbook" w:hAnsi="Century Schoolbook"/>
          <w:sz w:val="22"/>
          <w:szCs w:val="22"/>
          <w:vertAlign w:val="baseline"/>
        </w:rPr>
        <w:t xml:space="preserve"> </w:t>
      </w:r>
      <w:r w:rsidR="000D44D2" w:rsidRPr="003E01A4">
        <w:rPr>
          <w:rFonts w:ascii="Century Schoolbook" w:hAnsi="Century Schoolbook"/>
          <w:sz w:val="22"/>
          <w:szCs w:val="22"/>
        </w:rPr>
        <w:t>pubblicati il 31 luglio 2019 dall’allora Ministero dell’ambiente e della tutela del territorio e del mare</w:t>
      </w:r>
      <w:r w:rsidR="00E41618" w:rsidRPr="003E01A4">
        <w:rPr>
          <w:rStyle w:val="Rimandonotaapidipagina"/>
          <w:rFonts w:ascii="Century Schoolbook" w:hAnsi="Century Schoolbook"/>
          <w:sz w:val="22"/>
          <w:szCs w:val="22"/>
        </w:rPr>
        <w:footnoteReference w:id="53"/>
      </w:r>
      <w:r w:rsidR="000D44D2" w:rsidRPr="003E01A4">
        <w:rPr>
          <w:rFonts w:ascii="Century Schoolbook" w:hAnsi="Century Schoolbook"/>
          <w:sz w:val="22"/>
          <w:szCs w:val="22"/>
        </w:rPr>
        <w:t>.</w:t>
      </w:r>
    </w:p>
    <w:p w14:paraId="5E4E4EA6" w14:textId="794CCBF4" w:rsidR="001B5442" w:rsidRPr="003E01A4" w:rsidRDefault="00F94728"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Le premesse </w:t>
      </w:r>
      <w:r w:rsidR="003C6826" w:rsidRPr="003E01A4">
        <w:rPr>
          <w:rFonts w:ascii="Century Schoolbook" w:hAnsi="Century Schoolbook"/>
          <w:sz w:val="22"/>
          <w:szCs w:val="22"/>
        </w:rPr>
        <w:t xml:space="preserve">generali </w:t>
      </w:r>
      <w:r w:rsidR="00054C19" w:rsidRPr="003E01A4">
        <w:rPr>
          <w:rFonts w:ascii="Century Schoolbook" w:hAnsi="Century Schoolbook"/>
          <w:sz w:val="22"/>
          <w:szCs w:val="22"/>
        </w:rPr>
        <w:t xml:space="preserve">di questi </w:t>
      </w:r>
      <w:r w:rsidR="00054C19" w:rsidRPr="003E01A4">
        <w:rPr>
          <w:rFonts w:ascii="Century Schoolbook" w:hAnsi="Century Schoolbook"/>
          <w:i/>
          <w:iCs/>
          <w:sz w:val="22"/>
          <w:szCs w:val="22"/>
        </w:rPr>
        <w:t>Indirizzi</w:t>
      </w:r>
      <w:r w:rsidR="00054C19" w:rsidRPr="003E01A4">
        <w:rPr>
          <w:rFonts w:ascii="Century Schoolbook" w:hAnsi="Century Schoolbook"/>
          <w:sz w:val="22"/>
          <w:szCs w:val="22"/>
        </w:rPr>
        <w:t xml:space="preserve"> </w:t>
      </w:r>
      <w:r w:rsidRPr="003E01A4">
        <w:rPr>
          <w:rFonts w:ascii="Century Schoolbook" w:hAnsi="Century Schoolbook"/>
          <w:sz w:val="22"/>
          <w:szCs w:val="22"/>
        </w:rPr>
        <w:t xml:space="preserve">sono ineccepibili: il procedimento </w:t>
      </w:r>
      <w:r w:rsidRPr="003E01A4">
        <w:rPr>
          <w:rFonts w:ascii="Century Schoolbook" w:hAnsi="Century Schoolbook"/>
          <w:i/>
          <w:iCs/>
          <w:sz w:val="22"/>
          <w:szCs w:val="22"/>
        </w:rPr>
        <w:t>ex</w:t>
      </w:r>
      <w:r w:rsidRPr="003E01A4">
        <w:rPr>
          <w:rFonts w:ascii="Century Schoolbook" w:hAnsi="Century Schoolbook"/>
          <w:sz w:val="22"/>
          <w:szCs w:val="22"/>
        </w:rPr>
        <w:t xml:space="preserve"> art. 27-</w:t>
      </w:r>
      <w:r w:rsidRPr="003E01A4">
        <w:rPr>
          <w:rFonts w:ascii="Century Schoolbook" w:hAnsi="Century Schoolbook"/>
          <w:i/>
          <w:iCs/>
          <w:sz w:val="22"/>
          <w:szCs w:val="22"/>
        </w:rPr>
        <w:t>bis</w:t>
      </w:r>
      <w:r w:rsidRPr="003E01A4">
        <w:rPr>
          <w:rFonts w:ascii="Century Schoolbook" w:hAnsi="Century Schoolbook"/>
          <w:sz w:val="22"/>
          <w:szCs w:val="22"/>
        </w:rPr>
        <w:t xml:space="preserve"> «ha ad oggetto il rilascio di tutte le autorizzazioni necessarie non solo alla realizzazione, bensì anche all’esercizio del progetto. Si tratta, in altri termini, di un procedimento che ha l’ambizione di essere realmente “unico” e di permettere al proponente di ottenere </w:t>
      </w:r>
      <w:r w:rsidRPr="003E01A4">
        <w:rPr>
          <w:rFonts w:ascii="Century Schoolbook" w:hAnsi="Century Schoolbook"/>
          <w:i/>
          <w:iCs/>
          <w:sz w:val="22"/>
          <w:szCs w:val="22"/>
        </w:rPr>
        <w:t>un provvedimento finale che gli consenta, all’indomani della relativa adozione, di realizzare il progetto e porre in esercizio l’opera senza dover acquisire più alcun ulteriore titolo</w:t>
      </w:r>
      <w:r w:rsidRPr="003E01A4">
        <w:rPr>
          <w:rFonts w:ascii="Century Schoolbook" w:hAnsi="Century Schoolbook"/>
          <w:sz w:val="22"/>
          <w:szCs w:val="22"/>
        </w:rPr>
        <w:t>»</w:t>
      </w:r>
      <w:r w:rsidRPr="003E01A4">
        <w:rPr>
          <w:rStyle w:val="Rimandonotaapidipagina"/>
          <w:rFonts w:ascii="Century Schoolbook" w:hAnsi="Century Schoolbook"/>
          <w:sz w:val="22"/>
          <w:szCs w:val="22"/>
        </w:rPr>
        <w:footnoteReference w:id="54"/>
      </w:r>
      <w:r w:rsidRPr="003E01A4">
        <w:rPr>
          <w:rFonts w:ascii="Century Schoolbook" w:hAnsi="Century Schoolbook"/>
          <w:sz w:val="22"/>
          <w:szCs w:val="22"/>
        </w:rPr>
        <w:t>.</w:t>
      </w:r>
      <w:r w:rsidR="0072758E" w:rsidRPr="003E01A4">
        <w:rPr>
          <w:rFonts w:ascii="Century Schoolbook" w:hAnsi="Century Schoolbook"/>
          <w:sz w:val="22"/>
          <w:szCs w:val="22"/>
        </w:rPr>
        <w:t xml:space="preserve"> </w:t>
      </w:r>
    </w:p>
    <w:p w14:paraId="489D70ED" w14:textId="690C1AC7" w:rsidR="003437B3" w:rsidRPr="003E01A4" w:rsidRDefault="0072758E"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Ma questo intento lodevole resta sulla carta. </w:t>
      </w:r>
      <w:r w:rsidR="003437B3" w:rsidRPr="003E01A4">
        <w:rPr>
          <w:rFonts w:ascii="Century Schoolbook" w:hAnsi="Century Schoolbook"/>
          <w:sz w:val="22"/>
          <w:szCs w:val="22"/>
        </w:rPr>
        <w:t>A</w:t>
      </w:r>
      <w:r w:rsidR="003C6826" w:rsidRPr="003E01A4">
        <w:rPr>
          <w:rFonts w:ascii="Century Schoolbook" w:hAnsi="Century Schoolbook"/>
          <w:sz w:val="22"/>
          <w:szCs w:val="22"/>
        </w:rPr>
        <w:t>ltrettanto puntuale</w:t>
      </w:r>
      <w:r w:rsidR="003437B3" w:rsidRPr="003E01A4">
        <w:rPr>
          <w:rFonts w:ascii="Century Schoolbook" w:hAnsi="Century Schoolbook"/>
          <w:sz w:val="22"/>
          <w:szCs w:val="22"/>
        </w:rPr>
        <w:t>, ai nostri fini specifici,</w:t>
      </w:r>
      <w:r w:rsidR="003C6826" w:rsidRPr="003E01A4">
        <w:rPr>
          <w:rFonts w:ascii="Century Schoolbook" w:hAnsi="Century Schoolbook"/>
          <w:sz w:val="22"/>
          <w:szCs w:val="22"/>
        </w:rPr>
        <w:t xml:space="preserve"> è </w:t>
      </w:r>
      <w:r w:rsidRPr="003E01A4">
        <w:rPr>
          <w:rFonts w:ascii="Century Schoolbook" w:hAnsi="Century Schoolbook"/>
          <w:sz w:val="22"/>
          <w:szCs w:val="22"/>
        </w:rPr>
        <w:t xml:space="preserve">infatti </w:t>
      </w:r>
      <w:r w:rsidR="003C6826" w:rsidRPr="003E01A4">
        <w:rPr>
          <w:rFonts w:ascii="Century Schoolbook" w:hAnsi="Century Schoolbook"/>
          <w:sz w:val="22"/>
          <w:szCs w:val="22"/>
        </w:rPr>
        <w:t xml:space="preserve">l’esame delle criticità </w:t>
      </w:r>
      <w:r w:rsidR="00054C19" w:rsidRPr="003E01A4">
        <w:rPr>
          <w:rFonts w:ascii="Century Schoolbook" w:hAnsi="Century Schoolbook"/>
          <w:sz w:val="22"/>
          <w:szCs w:val="22"/>
        </w:rPr>
        <w:t xml:space="preserve">che </w:t>
      </w:r>
      <w:r w:rsidR="003437B3" w:rsidRPr="003E01A4">
        <w:rPr>
          <w:rFonts w:ascii="Century Schoolbook" w:hAnsi="Century Schoolbook"/>
          <w:sz w:val="22"/>
          <w:szCs w:val="22"/>
        </w:rPr>
        <w:t xml:space="preserve">si </w:t>
      </w:r>
      <w:r w:rsidR="00B77F7F" w:rsidRPr="003E01A4">
        <w:rPr>
          <w:rFonts w:ascii="Century Schoolbook" w:hAnsi="Century Schoolbook"/>
          <w:sz w:val="22"/>
          <w:szCs w:val="22"/>
        </w:rPr>
        <w:t xml:space="preserve">possono </w:t>
      </w:r>
      <w:r w:rsidR="003437B3" w:rsidRPr="003E01A4">
        <w:rPr>
          <w:rFonts w:ascii="Century Schoolbook" w:hAnsi="Century Schoolbook"/>
          <w:sz w:val="22"/>
          <w:szCs w:val="22"/>
        </w:rPr>
        <w:t>verifica</w:t>
      </w:r>
      <w:r w:rsidR="00B77F7F" w:rsidRPr="003E01A4">
        <w:rPr>
          <w:rFonts w:ascii="Century Schoolbook" w:hAnsi="Century Schoolbook"/>
          <w:sz w:val="22"/>
          <w:szCs w:val="22"/>
        </w:rPr>
        <w:t>re</w:t>
      </w:r>
      <w:r w:rsidR="003437B3" w:rsidRPr="003E01A4">
        <w:rPr>
          <w:rFonts w:ascii="Century Schoolbook" w:hAnsi="Century Schoolbook"/>
          <w:sz w:val="22"/>
          <w:szCs w:val="22"/>
        </w:rPr>
        <w:t xml:space="preserve"> qualora </w:t>
      </w:r>
      <w:r w:rsidR="003C6826" w:rsidRPr="003E01A4">
        <w:rPr>
          <w:rFonts w:ascii="Century Schoolbook" w:hAnsi="Century Schoolbook"/>
          <w:sz w:val="22"/>
          <w:szCs w:val="22"/>
        </w:rPr>
        <w:t xml:space="preserve">il procedimento conferenziale PAUR </w:t>
      </w:r>
      <w:r w:rsidR="003437B3" w:rsidRPr="003E01A4">
        <w:rPr>
          <w:rFonts w:ascii="Century Schoolbook" w:hAnsi="Century Schoolbook"/>
          <w:sz w:val="22"/>
          <w:szCs w:val="22"/>
        </w:rPr>
        <w:t>concerna un intervento che – in quanto non conforme alla disciplina urbanistica relativa al sito – richieda una variante</w:t>
      </w:r>
      <w:r w:rsidR="00F87728" w:rsidRPr="003E01A4">
        <w:rPr>
          <w:rFonts w:ascii="Century Schoolbook" w:hAnsi="Century Schoolbook"/>
          <w:sz w:val="22"/>
          <w:szCs w:val="22"/>
        </w:rPr>
        <w:t xml:space="preserve">. </w:t>
      </w:r>
      <w:r w:rsidR="00B77F7F" w:rsidRPr="003E01A4">
        <w:rPr>
          <w:rFonts w:ascii="Century Schoolbook" w:hAnsi="Century Schoolbook"/>
          <w:sz w:val="22"/>
          <w:szCs w:val="22"/>
        </w:rPr>
        <w:t>La</w:t>
      </w:r>
      <w:r w:rsidR="00D01DFF" w:rsidRPr="003E01A4">
        <w:rPr>
          <w:rFonts w:ascii="Century Schoolbook" w:hAnsi="Century Schoolbook"/>
          <w:sz w:val="22"/>
          <w:szCs w:val="22"/>
        </w:rPr>
        <w:t>s</w:t>
      </w:r>
      <w:r w:rsidR="00B77F7F" w:rsidRPr="003E01A4">
        <w:rPr>
          <w:rFonts w:ascii="Century Schoolbook" w:hAnsi="Century Schoolbook"/>
          <w:sz w:val="22"/>
          <w:szCs w:val="22"/>
        </w:rPr>
        <w:t>c</w:t>
      </w:r>
      <w:r w:rsidR="00D01DFF" w:rsidRPr="003E01A4">
        <w:rPr>
          <w:rFonts w:ascii="Century Schoolbook" w:hAnsi="Century Schoolbook"/>
          <w:sz w:val="22"/>
          <w:szCs w:val="22"/>
        </w:rPr>
        <w:t xml:space="preserve">iamo </w:t>
      </w:r>
      <w:r w:rsidR="00054C19" w:rsidRPr="003E01A4">
        <w:rPr>
          <w:rFonts w:ascii="Century Schoolbook" w:hAnsi="Century Schoolbook"/>
          <w:sz w:val="22"/>
          <w:szCs w:val="22"/>
        </w:rPr>
        <w:t>ancora parlare</w:t>
      </w:r>
      <w:r w:rsidR="00F87728" w:rsidRPr="003E01A4">
        <w:rPr>
          <w:rFonts w:ascii="Century Schoolbook" w:hAnsi="Century Schoolbook"/>
          <w:sz w:val="22"/>
          <w:szCs w:val="22"/>
        </w:rPr>
        <w:t xml:space="preserve"> </w:t>
      </w:r>
      <w:r w:rsidR="00054C19" w:rsidRPr="003E01A4">
        <w:rPr>
          <w:rFonts w:ascii="Century Schoolbook" w:hAnsi="Century Schoolbook"/>
          <w:sz w:val="22"/>
          <w:szCs w:val="22"/>
        </w:rPr>
        <w:t>gl</w:t>
      </w:r>
      <w:r w:rsidR="00F87728" w:rsidRPr="003E01A4">
        <w:rPr>
          <w:rFonts w:ascii="Century Schoolbook" w:hAnsi="Century Schoolbook"/>
          <w:sz w:val="22"/>
          <w:szCs w:val="22"/>
        </w:rPr>
        <w:t xml:space="preserve">i </w:t>
      </w:r>
      <w:r w:rsidR="00F87728" w:rsidRPr="003E01A4">
        <w:rPr>
          <w:rFonts w:ascii="Century Schoolbook" w:hAnsi="Century Schoolbook"/>
          <w:i/>
          <w:iCs/>
          <w:sz w:val="22"/>
          <w:szCs w:val="22"/>
        </w:rPr>
        <w:t>Indirizzi</w:t>
      </w:r>
      <w:r w:rsidR="00F87728" w:rsidRPr="003E01A4">
        <w:rPr>
          <w:rFonts w:ascii="Century Schoolbook" w:hAnsi="Century Schoolbook"/>
          <w:sz w:val="22"/>
          <w:szCs w:val="22"/>
        </w:rPr>
        <w:t>. «Il punto in argomento appare particolarmente critico, poiché concerne un aspetto non definito in termini netti dal legislatore: l’effettiva estensione dei “titoli” necessari alla realizzazione e all’esercizio dell’opera. La mancata definizione di tale perimetro induce legittimamente a domandarsi se tra i “titoli” in argomento debbano includersi altresì i titoli di conformità urbanistica. Spesso, infatti, la realizzazione delle opere soggette a VIA comporta la necessità di una variante urbanistica. Qualora si optasse per l’inclusione, all’interno del PAUR, altresì del “titolo di variante urbanistica” occorrerebbe coordinare l’acquisizione di tale titolo con il procedimento di cui all’art. 27-</w:t>
      </w:r>
      <w:r w:rsidR="00F87728" w:rsidRPr="003E01A4">
        <w:rPr>
          <w:rFonts w:ascii="Century Schoolbook" w:hAnsi="Century Schoolbook"/>
          <w:i/>
          <w:iCs/>
          <w:sz w:val="22"/>
          <w:szCs w:val="22"/>
        </w:rPr>
        <w:t>bis</w:t>
      </w:r>
      <w:r w:rsidR="00F87728" w:rsidRPr="003E01A4">
        <w:rPr>
          <w:rFonts w:ascii="Century Schoolbook" w:hAnsi="Century Schoolbook"/>
          <w:sz w:val="22"/>
          <w:szCs w:val="22"/>
        </w:rPr>
        <w:t>, e dunque sottoporre anche il soggetto competente all’approvazione della variante (che generalmente è il Consiglio comunale) alle stringenti tempistiche del PAUR, nonché alle rigorose modalità di svolgimento della conferenza di servizi. Tale soluzione interpretativa, oltretutto, creerebbe esigenze di coordinamento altresì con la eventuale Valutazione Ambientale Strategica (VAS) a cui dovrebbe essere assoggettata la variante richiesta, rendendo ancor meno verosimile il rispetto dei termini, perentori, previsti dall’art. 27-</w:t>
      </w:r>
      <w:r w:rsidR="00F87728" w:rsidRPr="003E01A4">
        <w:rPr>
          <w:rFonts w:ascii="Century Schoolbook" w:hAnsi="Century Schoolbook"/>
          <w:i/>
          <w:iCs/>
          <w:sz w:val="22"/>
          <w:szCs w:val="22"/>
        </w:rPr>
        <w:t>bis</w:t>
      </w:r>
      <w:r w:rsidR="00D01DFF" w:rsidRPr="003E01A4">
        <w:rPr>
          <w:rFonts w:ascii="Century Schoolbook" w:hAnsi="Century Schoolbook"/>
          <w:sz w:val="22"/>
          <w:szCs w:val="22"/>
        </w:rPr>
        <w:t>. […] La soluzione interpretativa che impone l’acquisizione della variante urbanistica come titolo necessario tra quelli da acquisire nel PAUR, se sotto un profilo di stretta attinenza al dettato normativo potrebbe sembrare non peregrina, all’atto pratico non è riconosciuta al momento come realizzabile</w:t>
      </w:r>
      <w:r w:rsidR="00B0313B" w:rsidRPr="003E01A4">
        <w:rPr>
          <w:rFonts w:ascii="Century Schoolbook" w:hAnsi="Century Schoolbook"/>
          <w:sz w:val="22"/>
          <w:szCs w:val="22"/>
        </w:rPr>
        <w:t>. […] La variante urbanistica, di conseguenza, costituisce un presupposto gerarchicamente sovraordinato rispetto ai titoli autorizzativi da acquisirsi per la realizzazione e l’esercizio dell’opera e di conseguenza non può includersi la relativa adozione nell’ambito del procedimento autorizzatorio unico. In altri termini, la conformità urbanistica è un presupposto per il rilascio del PAUR, e, dunque, perché il PAUR venga rilasciato è necessario che l’eventuale variante venga ottenuta in via preventiva. Ciò, oltre a garantire una coerenza con i principi ordinamentali, salvaguarda, altresì, l’eventuale necessità di acquisire la VAS, che qualora necessaria potrà accompagnare l’</w:t>
      </w:r>
      <w:r w:rsidR="00B0313B" w:rsidRPr="003E01A4">
        <w:rPr>
          <w:rFonts w:ascii="Century Schoolbook" w:hAnsi="Century Schoolbook"/>
          <w:i/>
          <w:iCs/>
          <w:sz w:val="22"/>
          <w:szCs w:val="22"/>
        </w:rPr>
        <w:t>iter</w:t>
      </w:r>
      <w:r w:rsidR="00B0313B" w:rsidRPr="003E01A4">
        <w:rPr>
          <w:rFonts w:ascii="Century Schoolbook" w:hAnsi="Century Schoolbook"/>
          <w:sz w:val="22"/>
          <w:szCs w:val="22"/>
        </w:rPr>
        <w:t xml:space="preserve"> di adozione della variante</w:t>
      </w:r>
      <w:r w:rsidR="00F87728" w:rsidRPr="003E01A4">
        <w:rPr>
          <w:rFonts w:ascii="Century Schoolbook" w:hAnsi="Century Schoolbook"/>
          <w:sz w:val="22"/>
          <w:szCs w:val="22"/>
        </w:rPr>
        <w:t>»</w:t>
      </w:r>
      <w:r w:rsidR="00D01DFF" w:rsidRPr="003E01A4">
        <w:rPr>
          <w:rStyle w:val="Rimandonotaapidipagina"/>
          <w:rFonts w:ascii="Century Schoolbook" w:hAnsi="Century Schoolbook"/>
          <w:sz w:val="22"/>
          <w:szCs w:val="22"/>
        </w:rPr>
        <w:footnoteReference w:id="55"/>
      </w:r>
      <w:r w:rsidR="003437B3" w:rsidRPr="003E01A4">
        <w:rPr>
          <w:rFonts w:ascii="Century Schoolbook" w:hAnsi="Century Schoolbook"/>
          <w:sz w:val="22"/>
          <w:szCs w:val="22"/>
        </w:rPr>
        <w:t>.</w:t>
      </w:r>
    </w:p>
    <w:p w14:paraId="0714E59A" w14:textId="28F219E0" w:rsidR="00AF79EF" w:rsidRPr="003E01A4" w:rsidRDefault="00611A49"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Q</w:t>
      </w:r>
      <w:r w:rsidR="005226CF" w:rsidRPr="003E01A4">
        <w:rPr>
          <w:rFonts w:ascii="Century Schoolbook" w:hAnsi="Century Schoolbook"/>
          <w:sz w:val="22"/>
          <w:szCs w:val="22"/>
        </w:rPr>
        <w:t>ui g</w:t>
      </w:r>
      <w:r w:rsidR="000D38B0" w:rsidRPr="003E01A4">
        <w:rPr>
          <w:rFonts w:ascii="Century Schoolbook" w:hAnsi="Century Schoolbook"/>
          <w:sz w:val="22"/>
          <w:szCs w:val="22"/>
        </w:rPr>
        <w:t xml:space="preserve">li </w:t>
      </w:r>
      <w:r w:rsidR="000D38B0" w:rsidRPr="003E01A4">
        <w:rPr>
          <w:rFonts w:ascii="Century Schoolbook" w:hAnsi="Century Schoolbook"/>
          <w:i/>
          <w:iCs/>
          <w:sz w:val="22"/>
          <w:szCs w:val="22"/>
        </w:rPr>
        <w:t xml:space="preserve">Indirizzi </w:t>
      </w:r>
      <w:r w:rsidR="000D38B0" w:rsidRPr="003E01A4">
        <w:rPr>
          <w:rFonts w:ascii="Century Schoolbook" w:hAnsi="Century Schoolbook"/>
          <w:sz w:val="22"/>
          <w:szCs w:val="22"/>
        </w:rPr>
        <w:t xml:space="preserve">stanno parlando del </w:t>
      </w:r>
      <w:r w:rsidRPr="003E01A4">
        <w:rPr>
          <w:rFonts w:ascii="Century Schoolbook" w:hAnsi="Century Schoolbook"/>
          <w:sz w:val="22"/>
          <w:szCs w:val="22"/>
        </w:rPr>
        <w:t xml:space="preserve">caso critico </w:t>
      </w:r>
      <w:r w:rsidR="000D38B0" w:rsidRPr="003E01A4">
        <w:rPr>
          <w:rFonts w:ascii="Century Schoolbook" w:hAnsi="Century Schoolbook"/>
          <w:sz w:val="22"/>
          <w:szCs w:val="22"/>
        </w:rPr>
        <w:t xml:space="preserve">in cui </w:t>
      </w:r>
      <w:r w:rsidR="000D38B0" w:rsidRPr="003E01A4">
        <w:rPr>
          <w:rFonts w:ascii="Century Schoolbook" w:hAnsi="Century Schoolbook"/>
          <w:i/>
          <w:iCs/>
          <w:sz w:val="22"/>
          <w:szCs w:val="22"/>
        </w:rPr>
        <w:t xml:space="preserve">nessun titolo </w:t>
      </w:r>
      <w:r w:rsidR="005736E6" w:rsidRPr="003E01A4">
        <w:rPr>
          <w:rFonts w:ascii="Century Schoolbook" w:hAnsi="Century Schoolbook"/>
          <w:sz w:val="22"/>
          <w:szCs w:val="22"/>
        </w:rPr>
        <w:t xml:space="preserve">– </w:t>
      </w:r>
      <w:r w:rsidR="000D38B0" w:rsidRPr="003E01A4">
        <w:rPr>
          <w:rFonts w:ascii="Century Schoolbook" w:hAnsi="Century Schoolbook"/>
          <w:sz w:val="22"/>
          <w:szCs w:val="22"/>
        </w:rPr>
        <w:t xml:space="preserve">fra quelli da acquisire in sede conferenziale </w:t>
      </w:r>
      <w:r w:rsidR="005736E6" w:rsidRPr="003E01A4">
        <w:rPr>
          <w:rFonts w:ascii="Century Schoolbook" w:hAnsi="Century Schoolbook"/>
          <w:sz w:val="22"/>
          <w:szCs w:val="22"/>
        </w:rPr>
        <w:t xml:space="preserve">– </w:t>
      </w:r>
      <w:r w:rsidR="000D38B0" w:rsidRPr="003E01A4">
        <w:rPr>
          <w:rFonts w:ascii="Century Schoolbook" w:hAnsi="Century Schoolbook"/>
          <w:sz w:val="22"/>
          <w:szCs w:val="22"/>
        </w:rPr>
        <w:t>generi effetti di variante automatica, onde la necessità d</w:t>
      </w:r>
      <w:r w:rsidR="00B0313B" w:rsidRPr="003E01A4">
        <w:rPr>
          <w:rFonts w:ascii="Century Schoolbook" w:hAnsi="Century Schoolbook"/>
          <w:sz w:val="22"/>
          <w:szCs w:val="22"/>
        </w:rPr>
        <w:t xml:space="preserve">i esperire </w:t>
      </w:r>
      <w:r w:rsidR="00B0313B" w:rsidRPr="003E01A4">
        <w:rPr>
          <w:rFonts w:ascii="Century Schoolbook" w:hAnsi="Century Schoolbook"/>
          <w:i/>
          <w:iCs/>
          <w:sz w:val="22"/>
          <w:szCs w:val="22"/>
        </w:rPr>
        <w:t>previamente</w:t>
      </w:r>
      <w:r w:rsidR="00B0313B" w:rsidRPr="003E01A4">
        <w:rPr>
          <w:rFonts w:ascii="Century Schoolbook" w:hAnsi="Century Schoolbook"/>
          <w:sz w:val="22"/>
          <w:szCs w:val="22"/>
        </w:rPr>
        <w:t xml:space="preserve"> </w:t>
      </w:r>
      <w:r w:rsidR="000D38B0" w:rsidRPr="003E01A4">
        <w:rPr>
          <w:rFonts w:ascii="Century Schoolbook" w:hAnsi="Century Schoolbook"/>
          <w:sz w:val="22"/>
          <w:szCs w:val="22"/>
        </w:rPr>
        <w:t xml:space="preserve">la tradizionale doppia battuta </w:t>
      </w:r>
      <w:r w:rsidR="00B0313B" w:rsidRPr="003E01A4">
        <w:rPr>
          <w:rFonts w:ascii="Century Schoolbook" w:hAnsi="Century Schoolbook"/>
          <w:sz w:val="22"/>
          <w:szCs w:val="22"/>
        </w:rPr>
        <w:t>prevista dalla legge del ’42</w:t>
      </w:r>
      <w:r w:rsidR="000D38B0" w:rsidRPr="003E01A4">
        <w:rPr>
          <w:rFonts w:ascii="Century Schoolbook" w:hAnsi="Century Schoolbook"/>
          <w:sz w:val="22"/>
          <w:szCs w:val="22"/>
        </w:rPr>
        <w:t xml:space="preserve">: «[…] la variante al piano urbanistico, costituendo un presupposto per l’adozione anche del provvedimento di VIA, sembra dover essere acquisita necessariamente </w:t>
      </w:r>
      <w:r w:rsidR="000D38B0" w:rsidRPr="003E01A4">
        <w:rPr>
          <w:rFonts w:ascii="Century Schoolbook" w:hAnsi="Century Schoolbook"/>
          <w:i/>
          <w:iCs/>
          <w:sz w:val="22"/>
          <w:szCs w:val="22"/>
        </w:rPr>
        <w:t>prima</w:t>
      </w:r>
      <w:r w:rsidR="000D38B0" w:rsidRPr="003E01A4">
        <w:rPr>
          <w:rFonts w:ascii="Century Schoolbook" w:hAnsi="Century Schoolbook"/>
          <w:sz w:val="22"/>
          <w:szCs w:val="22"/>
        </w:rPr>
        <w:t xml:space="preserve"> dell’istanza di PAUR. A suffragio di tale ipotesi interpretativa milita, inoltre, l’effettiva natura dei titoli di conformità urbanistica, i quali, in effetti, se sottoposti ad un’analisi sistematica non sembrano essere assimilabili a dei titoli autorizzativi </w:t>
      </w:r>
      <w:r w:rsidR="000D38B0" w:rsidRPr="003E01A4">
        <w:rPr>
          <w:rFonts w:ascii="Century Schoolbook" w:hAnsi="Century Schoolbook"/>
          <w:i/>
          <w:iCs/>
          <w:sz w:val="22"/>
          <w:szCs w:val="22"/>
        </w:rPr>
        <w:t>tout court</w:t>
      </w:r>
      <w:r w:rsidR="000D38B0" w:rsidRPr="003E01A4">
        <w:rPr>
          <w:rFonts w:ascii="Century Schoolbook" w:hAnsi="Century Schoolbook"/>
          <w:sz w:val="22"/>
          <w:szCs w:val="22"/>
        </w:rPr>
        <w:t xml:space="preserve">. Le modifiche ai piani urbanistici adottate secondo la procedura ordinaria – ad eccezione dunque delle varianti automatiche o semplificate – seguono lo stesso </w:t>
      </w:r>
      <w:r w:rsidR="000D38B0" w:rsidRPr="003E01A4">
        <w:rPr>
          <w:rFonts w:ascii="Century Schoolbook" w:hAnsi="Century Schoolbook"/>
          <w:i/>
          <w:iCs/>
          <w:sz w:val="22"/>
          <w:szCs w:val="22"/>
        </w:rPr>
        <w:t>iter</w:t>
      </w:r>
      <w:r w:rsidR="000D38B0" w:rsidRPr="003E01A4">
        <w:rPr>
          <w:rFonts w:ascii="Century Schoolbook" w:hAnsi="Century Schoolbook"/>
          <w:sz w:val="22"/>
          <w:szCs w:val="22"/>
        </w:rPr>
        <w:t xml:space="preserve"> necessario per l’approvazione del piano stesso. Si tratta, infatti, di un </w:t>
      </w:r>
      <w:r w:rsidR="000D38B0" w:rsidRPr="003E01A4">
        <w:rPr>
          <w:rFonts w:ascii="Century Schoolbook" w:hAnsi="Century Schoolbook"/>
          <w:i/>
          <w:iCs/>
          <w:sz w:val="22"/>
          <w:szCs w:val="22"/>
        </w:rPr>
        <w:t>iter</w:t>
      </w:r>
      <w:r w:rsidR="000D38B0" w:rsidRPr="003E01A4">
        <w:rPr>
          <w:rFonts w:ascii="Century Schoolbook" w:hAnsi="Century Schoolbook"/>
          <w:sz w:val="22"/>
          <w:szCs w:val="22"/>
        </w:rPr>
        <w:t xml:space="preserve"> che coinvolge l’organo politico e ne comporta una deliberazione»</w:t>
      </w:r>
      <w:r w:rsidR="005226CF" w:rsidRPr="003E01A4">
        <w:rPr>
          <w:rStyle w:val="Rimandonotaapidipagina"/>
          <w:rFonts w:ascii="Century Schoolbook" w:hAnsi="Century Schoolbook"/>
          <w:sz w:val="22"/>
          <w:szCs w:val="22"/>
        </w:rPr>
        <w:footnoteReference w:id="56"/>
      </w:r>
      <w:r w:rsidR="000D38B0" w:rsidRPr="003E01A4">
        <w:rPr>
          <w:rFonts w:ascii="Century Schoolbook" w:hAnsi="Century Schoolbook"/>
          <w:sz w:val="22"/>
          <w:szCs w:val="22"/>
        </w:rPr>
        <w:t>.</w:t>
      </w:r>
    </w:p>
    <w:p w14:paraId="0F2CAE66" w14:textId="465E5847" w:rsidR="00E527FD" w:rsidRPr="003E01A4" w:rsidRDefault="00611A49"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Problema diverso,</w:t>
      </w:r>
      <w:r w:rsidR="00B90072" w:rsidRPr="003E01A4">
        <w:rPr>
          <w:rFonts w:ascii="Century Schoolbook" w:hAnsi="Century Schoolbook"/>
          <w:sz w:val="22"/>
          <w:szCs w:val="22"/>
        </w:rPr>
        <w:t xml:space="preserve"> anch’ess</w:t>
      </w:r>
      <w:r w:rsidRPr="003E01A4">
        <w:rPr>
          <w:rFonts w:ascii="Century Schoolbook" w:hAnsi="Century Schoolbook"/>
          <w:sz w:val="22"/>
          <w:szCs w:val="22"/>
        </w:rPr>
        <w:t>o</w:t>
      </w:r>
      <w:r w:rsidR="00171491" w:rsidRPr="003E01A4">
        <w:rPr>
          <w:rFonts w:ascii="Century Schoolbook" w:hAnsi="Century Schoolbook"/>
          <w:sz w:val="22"/>
          <w:szCs w:val="22"/>
        </w:rPr>
        <w:t xml:space="preserve"> </w:t>
      </w:r>
      <w:r w:rsidR="0013520D" w:rsidRPr="003E01A4">
        <w:rPr>
          <w:rFonts w:ascii="Century Schoolbook" w:hAnsi="Century Schoolbook"/>
          <w:sz w:val="22"/>
          <w:szCs w:val="22"/>
        </w:rPr>
        <w:t>pres</w:t>
      </w:r>
      <w:r w:rsidRPr="003E01A4">
        <w:rPr>
          <w:rFonts w:ascii="Century Schoolbook" w:hAnsi="Century Schoolbook"/>
          <w:sz w:val="22"/>
          <w:szCs w:val="22"/>
        </w:rPr>
        <w:t>o</w:t>
      </w:r>
      <w:r w:rsidR="0013520D" w:rsidRPr="003E01A4">
        <w:rPr>
          <w:rFonts w:ascii="Century Schoolbook" w:hAnsi="Century Schoolbook"/>
          <w:sz w:val="22"/>
          <w:szCs w:val="22"/>
        </w:rPr>
        <w:t xml:space="preserve"> in esame dagli </w:t>
      </w:r>
      <w:r w:rsidR="0013520D" w:rsidRPr="003E01A4">
        <w:rPr>
          <w:rFonts w:ascii="Century Schoolbook" w:hAnsi="Century Schoolbook"/>
          <w:i/>
          <w:iCs/>
          <w:sz w:val="22"/>
          <w:szCs w:val="22"/>
        </w:rPr>
        <w:t>Indirizzi</w:t>
      </w:r>
      <w:r w:rsidR="0013520D" w:rsidRPr="003E01A4">
        <w:rPr>
          <w:rFonts w:ascii="Century Schoolbook" w:hAnsi="Century Schoolbook"/>
          <w:sz w:val="22"/>
          <w:szCs w:val="22"/>
        </w:rPr>
        <w:t xml:space="preserve"> cit.</w:t>
      </w:r>
      <w:r w:rsidR="00B90072" w:rsidRPr="003E01A4">
        <w:rPr>
          <w:rFonts w:ascii="Century Schoolbook" w:hAnsi="Century Schoolbook"/>
          <w:sz w:val="22"/>
          <w:szCs w:val="22"/>
        </w:rPr>
        <w:t>,</w:t>
      </w:r>
      <w:r w:rsidR="0013520D" w:rsidRPr="003E01A4">
        <w:rPr>
          <w:rFonts w:ascii="Century Schoolbook" w:hAnsi="Century Schoolbook"/>
          <w:sz w:val="22"/>
          <w:szCs w:val="22"/>
        </w:rPr>
        <w:t xml:space="preserve"> </w:t>
      </w:r>
      <w:r w:rsidR="00B77F7F" w:rsidRPr="003E01A4">
        <w:rPr>
          <w:rFonts w:ascii="Century Schoolbook" w:hAnsi="Century Schoolbook"/>
          <w:sz w:val="22"/>
          <w:szCs w:val="22"/>
        </w:rPr>
        <w:t xml:space="preserve">si </w:t>
      </w:r>
      <w:r w:rsidRPr="003E01A4">
        <w:rPr>
          <w:rFonts w:ascii="Century Schoolbook" w:hAnsi="Century Schoolbook"/>
          <w:sz w:val="22"/>
          <w:szCs w:val="22"/>
        </w:rPr>
        <w:t xml:space="preserve">ha </w:t>
      </w:r>
      <w:r w:rsidR="005736E6" w:rsidRPr="003E01A4">
        <w:rPr>
          <w:rFonts w:ascii="Century Schoolbook" w:hAnsi="Century Schoolbook"/>
          <w:sz w:val="22"/>
          <w:szCs w:val="22"/>
        </w:rPr>
        <w:t xml:space="preserve">qualora </w:t>
      </w:r>
      <w:r w:rsidR="00171491" w:rsidRPr="003E01A4">
        <w:rPr>
          <w:rFonts w:ascii="Century Schoolbook" w:hAnsi="Century Schoolbook"/>
          <w:sz w:val="22"/>
          <w:szCs w:val="22"/>
        </w:rPr>
        <w:t xml:space="preserve">nel perimetro della conferenza PAUR rientri un titolo il cui rilascio </w:t>
      </w:r>
      <w:r w:rsidR="0013520D" w:rsidRPr="003E01A4">
        <w:rPr>
          <w:rFonts w:ascii="Century Schoolbook" w:hAnsi="Century Schoolbook"/>
          <w:sz w:val="22"/>
          <w:szCs w:val="22"/>
        </w:rPr>
        <w:t xml:space="preserve">non </w:t>
      </w:r>
      <w:r w:rsidR="00171491" w:rsidRPr="003E01A4">
        <w:rPr>
          <w:rFonts w:ascii="Century Schoolbook" w:hAnsi="Century Schoolbook"/>
          <w:sz w:val="22"/>
          <w:szCs w:val="22"/>
        </w:rPr>
        <w:t xml:space="preserve">comporta effetti di variante </w:t>
      </w:r>
      <w:r w:rsidR="00171491" w:rsidRPr="003E01A4">
        <w:rPr>
          <w:rFonts w:ascii="Century Schoolbook" w:hAnsi="Century Schoolbook"/>
          <w:i/>
          <w:iCs/>
          <w:sz w:val="22"/>
          <w:szCs w:val="22"/>
        </w:rPr>
        <w:t>automatic</w:t>
      </w:r>
      <w:r w:rsidR="0013520D" w:rsidRPr="003E01A4">
        <w:rPr>
          <w:rFonts w:ascii="Century Schoolbook" w:hAnsi="Century Schoolbook"/>
          <w:i/>
          <w:iCs/>
          <w:sz w:val="22"/>
          <w:szCs w:val="22"/>
        </w:rPr>
        <w:t>a</w:t>
      </w:r>
      <w:r w:rsidR="00171491" w:rsidRPr="003E01A4">
        <w:rPr>
          <w:rFonts w:ascii="Century Schoolbook" w:hAnsi="Century Schoolbook"/>
          <w:sz w:val="22"/>
          <w:szCs w:val="22"/>
        </w:rPr>
        <w:t xml:space="preserve">, </w:t>
      </w:r>
      <w:r w:rsidR="0013520D" w:rsidRPr="003E01A4">
        <w:rPr>
          <w:rFonts w:ascii="Century Schoolbook" w:hAnsi="Century Schoolbook"/>
          <w:sz w:val="22"/>
          <w:szCs w:val="22"/>
        </w:rPr>
        <w:t xml:space="preserve">essendo invece necessario percorrere </w:t>
      </w:r>
      <w:r w:rsidR="00171491" w:rsidRPr="003E01A4">
        <w:rPr>
          <w:rFonts w:ascii="Century Schoolbook" w:hAnsi="Century Schoolbook"/>
          <w:sz w:val="22"/>
          <w:szCs w:val="22"/>
        </w:rPr>
        <w:t>un procedimento</w:t>
      </w:r>
      <w:r w:rsidR="0013520D" w:rsidRPr="003E01A4">
        <w:rPr>
          <w:rFonts w:ascii="Century Schoolbook" w:hAnsi="Century Schoolbook"/>
          <w:sz w:val="22"/>
          <w:szCs w:val="22"/>
        </w:rPr>
        <w:t xml:space="preserve"> </w:t>
      </w:r>
      <w:r w:rsidR="0013520D" w:rsidRPr="003E01A4">
        <w:rPr>
          <w:rFonts w:ascii="Century Schoolbook" w:hAnsi="Century Schoolbook"/>
          <w:i/>
          <w:iCs/>
          <w:sz w:val="22"/>
          <w:szCs w:val="22"/>
        </w:rPr>
        <w:t>ad hoc</w:t>
      </w:r>
      <w:r w:rsidR="0013520D" w:rsidRPr="003E01A4">
        <w:rPr>
          <w:rFonts w:ascii="Century Schoolbook" w:hAnsi="Century Schoolbook"/>
          <w:sz w:val="22"/>
          <w:szCs w:val="22"/>
        </w:rPr>
        <w:t>, sebbene</w:t>
      </w:r>
      <w:r w:rsidR="00171491" w:rsidRPr="003E01A4">
        <w:rPr>
          <w:rFonts w:ascii="Century Schoolbook" w:hAnsi="Century Schoolbook"/>
          <w:sz w:val="22"/>
          <w:szCs w:val="22"/>
        </w:rPr>
        <w:t xml:space="preserve"> </w:t>
      </w:r>
      <w:r w:rsidR="00171491" w:rsidRPr="003E01A4">
        <w:rPr>
          <w:rFonts w:ascii="Century Schoolbook" w:hAnsi="Century Schoolbook"/>
          <w:i/>
          <w:iCs/>
          <w:sz w:val="22"/>
          <w:szCs w:val="22"/>
        </w:rPr>
        <w:t>semplificato</w:t>
      </w:r>
      <w:r w:rsidR="00171491" w:rsidRPr="003E01A4">
        <w:rPr>
          <w:rFonts w:ascii="Century Schoolbook" w:hAnsi="Century Schoolbook"/>
          <w:sz w:val="22"/>
          <w:szCs w:val="22"/>
        </w:rPr>
        <w:t xml:space="preserve"> rispetto a quello ordinario appena </w:t>
      </w:r>
      <w:r w:rsidR="00E527FD" w:rsidRPr="003E01A4">
        <w:rPr>
          <w:rFonts w:ascii="Century Schoolbook" w:hAnsi="Century Schoolbook"/>
          <w:sz w:val="22"/>
          <w:szCs w:val="22"/>
        </w:rPr>
        <w:t>ricordato</w:t>
      </w:r>
      <w:r w:rsidR="00171491" w:rsidRPr="003E01A4">
        <w:rPr>
          <w:rFonts w:ascii="Century Schoolbook" w:hAnsi="Century Schoolbook"/>
          <w:sz w:val="22"/>
          <w:szCs w:val="22"/>
        </w:rPr>
        <w:t>.</w:t>
      </w:r>
    </w:p>
    <w:p w14:paraId="550A2504" w14:textId="28E207C3" w:rsidR="00E527FD" w:rsidRPr="003E01A4" w:rsidRDefault="0013520D"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È il caso d</w:t>
      </w:r>
      <w:r w:rsidR="00E527FD" w:rsidRPr="003E01A4">
        <w:rPr>
          <w:rFonts w:ascii="Century Schoolbook" w:hAnsi="Century Schoolbook"/>
          <w:sz w:val="22"/>
          <w:szCs w:val="22"/>
        </w:rPr>
        <w:t>e</w:t>
      </w:r>
      <w:r w:rsidRPr="003E01A4">
        <w:rPr>
          <w:rFonts w:ascii="Century Schoolbook" w:hAnsi="Century Schoolbook"/>
          <w:sz w:val="22"/>
          <w:szCs w:val="22"/>
        </w:rPr>
        <w:t>l</w:t>
      </w:r>
      <w:r w:rsidR="00611A49" w:rsidRPr="003E01A4">
        <w:rPr>
          <w:rFonts w:ascii="Century Schoolbook" w:hAnsi="Century Schoolbook"/>
          <w:sz w:val="22"/>
          <w:szCs w:val="22"/>
        </w:rPr>
        <w:t xml:space="preserve"> procedimento </w:t>
      </w:r>
      <w:r w:rsidR="00611A49" w:rsidRPr="003E01A4">
        <w:rPr>
          <w:rFonts w:ascii="Century Schoolbook" w:hAnsi="Century Schoolbook"/>
          <w:i/>
          <w:iCs/>
          <w:sz w:val="22"/>
          <w:szCs w:val="22"/>
        </w:rPr>
        <w:t>ex</w:t>
      </w:r>
      <w:r w:rsidR="00611A49" w:rsidRPr="003E01A4">
        <w:rPr>
          <w:rFonts w:ascii="Century Schoolbook" w:hAnsi="Century Schoolbook"/>
          <w:sz w:val="22"/>
          <w:szCs w:val="22"/>
        </w:rPr>
        <w:t xml:space="preserve"> art. 8, d.P.R. n. 160/’10 innestato all’interno di un procedimento PAUR</w:t>
      </w:r>
      <w:r w:rsidRPr="003E01A4">
        <w:rPr>
          <w:rStyle w:val="Rimandonotaapidipagina"/>
          <w:rFonts w:ascii="Century Schoolbook" w:hAnsi="Century Schoolbook"/>
          <w:sz w:val="22"/>
          <w:szCs w:val="22"/>
        </w:rPr>
        <w:footnoteReference w:id="57"/>
      </w:r>
      <w:r w:rsidRPr="003E01A4">
        <w:rPr>
          <w:rFonts w:ascii="Century Schoolbook" w:hAnsi="Century Schoolbook"/>
          <w:sz w:val="22"/>
          <w:szCs w:val="22"/>
        </w:rPr>
        <w:t>.</w:t>
      </w:r>
      <w:r w:rsidR="00E527FD" w:rsidRPr="003E01A4">
        <w:rPr>
          <w:rFonts w:ascii="Century Schoolbook" w:hAnsi="Century Schoolbook"/>
          <w:sz w:val="22"/>
          <w:szCs w:val="22"/>
        </w:rPr>
        <w:t xml:space="preserve"> </w:t>
      </w:r>
    </w:p>
    <w:p w14:paraId="7C1A3F1F" w14:textId="19D82960" w:rsidR="00171491" w:rsidRPr="003E01A4" w:rsidRDefault="00E527FD"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C. cost. n. 9/’19 – lo abbiam visto – ha </w:t>
      </w:r>
      <w:r w:rsidR="007E18D0" w:rsidRPr="003E01A4">
        <w:rPr>
          <w:rFonts w:ascii="Century Schoolbook" w:hAnsi="Century Schoolbook"/>
          <w:sz w:val="22"/>
          <w:szCs w:val="22"/>
        </w:rPr>
        <w:t>(</w:t>
      </w:r>
      <w:r w:rsidRPr="003E01A4">
        <w:rPr>
          <w:rFonts w:ascii="Century Schoolbook" w:hAnsi="Century Schoolbook"/>
          <w:sz w:val="22"/>
          <w:szCs w:val="22"/>
        </w:rPr>
        <w:t>discutibilmente</w:t>
      </w:r>
      <w:r w:rsidR="007E18D0" w:rsidRPr="003E01A4">
        <w:rPr>
          <w:rFonts w:ascii="Century Schoolbook" w:hAnsi="Century Schoolbook"/>
          <w:sz w:val="22"/>
          <w:szCs w:val="22"/>
        </w:rPr>
        <w:t>)</w:t>
      </w:r>
      <w:r w:rsidRPr="003E01A4">
        <w:rPr>
          <w:rFonts w:ascii="Century Schoolbook" w:hAnsi="Century Schoolbook"/>
          <w:sz w:val="22"/>
          <w:szCs w:val="22"/>
        </w:rPr>
        <w:t xml:space="preserve"> avallato lo schema</w:t>
      </w:r>
      <w:r w:rsidR="00611A49" w:rsidRPr="003E01A4">
        <w:rPr>
          <w:rFonts w:ascii="Century Schoolbook" w:hAnsi="Century Schoolbook"/>
          <w:sz w:val="22"/>
          <w:szCs w:val="22"/>
        </w:rPr>
        <w:t xml:space="preserve"> </w:t>
      </w:r>
      <w:r w:rsidRPr="003E01A4">
        <w:rPr>
          <w:rFonts w:ascii="Century Schoolbook" w:hAnsi="Century Schoolbook"/>
          <w:sz w:val="22"/>
          <w:szCs w:val="22"/>
        </w:rPr>
        <w:t>disegnato</w:t>
      </w:r>
      <w:r w:rsidR="00611A49" w:rsidRPr="003E01A4">
        <w:rPr>
          <w:rFonts w:ascii="Century Schoolbook" w:hAnsi="Century Schoolbook"/>
          <w:sz w:val="22"/>
          <w:szCs w:val="22"/>
        </w:rPr>
        <w:t xml:space="preserve"> dall’art. 8 cit.</w:t>
      </w:r>
      <w:r w:rsidR="00EB55E6" w:rsidRPr="003E01A4">
        <w:rPr>
          <w:rFonts w:ascii="Century Schoolbook" w:hAnsi="Century Schoolbook"/>
          <w:sz w:val="22"/>
          <w:szCs w:val="22"/>
        </w:rPr>
        <w:t>:</w:t>
      </w:r>
      <w:r w:rsidRPr="003E01A4">
        <w:rPr>
          <w:rFonts w:ascii="Century Schoolbook" w:hAnsi="Century Schoolbook"/>
          <w:sz w:val="22"/>
          <w:szCs w:val="22"/>
        </w:rPr>
        <w:t xml:space="preserve"> </w:t>
      </w:r>
      <w:r w:rsidR="007E18D0" w:rsidRPr="003E01A4">
        <w:rPr>
          <w:rFonts w:ascii="Century Schoolbook" w:hAnsi="Century Schoolbook"/>
          <w:sz w:val="22"/>
          <w:szCs w:val="22"/>
        </w:rPr>
        <w:t>che</w:t>
      </w:r>
      <w:r w:rsidR="00EB55E6" w:rsidRPr="003E01A4">
        <w:rPr>
          <w:rFonts w:ascii="Century Schoolbook" w:hAnsi="Century Schoolbook"/>
          <w:sz w:val="22"/>
          <w:szCs w:val="22"/>
        </w:rPr>
        <w:t>, come detto,</w:t>
      </w:r>
      <w:r w:rsidRPr="003E01A4">
        <w:rPr>
          <w:rFonts w:ascii="Century Schoolbook" w:hAnsi="Century Schoolbook"/>
          <w:sz w:val="22"/>
          <w:szCs w:val="22"/>
        </w:rPr>
        <w:t xml:space="preserve"> richiede una delibera dell’organo politico </w:t>
      </w:r>
      <w:r w:rsidR="00EB55E6" w:rsidRPr="003E01A4">
        <w:rPr>
          <w:rFonts w:ascii="Century Schoolbook" w:hAnsi="Century Schoolbook"/>
          <w:i/>
          <w:iCs/>
          <w:sz w:val="22"/>
          <w:szCs w:val="22"/>
        </w:rPr>
        <w:t>dopo</w:t>
      </w:r>
      <w:r w:rsidR="00EB55E6" w:rsidRPr="003E01A4">
        <w:rPr>
          <w:rFonts w:ascii="Century Schoolbook" w:hAnsi="Century Schoolbook"/>
          <w:sz w:val="22"/>
          <w:szCs w:val="22"/>
        </w:rPr>
        <w:t xml:space="preserve"> la decisione conferenziale, qualificata dalla Consulta </w:t>
      </w:r>
      <w:r w:rsidR="004F08BD" w:rsidRPr="003E01A4">
        <w:rPr>
          <w:rFonts w:ascii="Century Schoolbook" w:hAnsi="Century Schoolbook"/>
          <w:sz w:val="22"/>
          <w:szCs w:val="22"/>
        </w:rPr>
        <w:t xml:space="preserve">come adozione della variante. </w:t>
      </w:r>
      <w:r w:rsidR="00FF441F" w:rsidRPr="003E01A4">
        <w:rPr>
          <w:rFonts w:ascii="Century Schoolbook" w:hAnsi="Century Schoolbook"/>
          <w:sz w:val="22"/>
          <w:szCs w:val="22"/>
        </w:rPr>
        <w:t xml:space="preserve">Anche qui il principio di unicità recede </w:t>
      </w:r>
      <w:r w:rsidR="005736E6" w:rsidRPr="003E01A4">
        <w:rPr>
          <w:rFonts w:ascii="Century Schoolbook" w:hAnsi="Century Schoolbook"/>
          <w:sz w:val="22"/>
          <w:szCs w:val="22"/>
        </w:rPr>
        <w:t xml:space="preserve">in modo </w:t>
      </w:r>
      <w:r w:rsidR="00FF441F" w:rsidRPr="003E01A4">
        <w:rPr>
          <w:rFonts w:ascii="Century Schoolbook" w:hAnsi="Century Schoolbook"/>
          <w:sz w:val="22"/>
          <w:szCs w:val="22"/>
        </w:rPr>
        <w:t>vistos</w:t>
      </w:r>
      <w:r w:rsidR="005736E6" w:rsidRPr="003E01A4">
        <w:rPr>
          <w:rFonts w:ascii="Century Schoolbook" w:hAnsi="Century Schoolbook"/>
          <w:sz w:val="22"/>
          <w:szCs w:val="22"/>
        </w:rPr>
        <w:t>o</w:t>
      </w:r>
      <w:r w:rsidR="00FF441F" w:rsidRPr="003E01A4">
        <w:rPr>
          <w:rFonts w:ascii="Century Schoolbook" w:hAnsi="Century Schoolbook"/>
          <w:sz w:val="22"/>
          <w:szCs w:val="22"/>
        </w:rPr>
        <w:t xml:space="preserve">: l’adozione del PAUR non legittima all’intervento, poiché </w:t>
      </w:r>
      <w:r w:rsidR="00521088" w:rsidRPr="003E01A4">
        <w:rPr>
          <w:rFonts w:ascii="Century Schoolbook" w:hAnsi="Century Schoolbook"/>
          <w:sz w:val="22"/>
          <w:szCs w:val="22"/>
        </w:rPr>
        <w:t>sarà</w:t>
      </w:r>
      <w:r w:rsidR="00FF441F" w:rsidRPr="003E01A4">
        <w:rPr>
          <w:rFonts w:ascii="Century Schoolbook" w:hAnsi="Century Schoolbook"/>
          <w:sz w:val="22"/>
          <w:szCs w:val="22"/>
        </w:rPr>
        <w:t xml:space="preserve"> ancora da percorrere tutta </w:t>
      </w:r>
      <w:r w:rsidR="00491F80" w:rsidRPr="003E01A4">
        <w:rPr>
          <w:rFonts w:ascii="Century Schoolbook" w:hAnsi="Century Schoolbook"/>
          <w:sz w:val="22"/>
          <w:szCs w:val="22"/>
        </w:rPr>
        <w:t xml:space="preserve">la </w:t>
      </w:r>
      <w:r w:rsidR="00FF441F" w:rsidRPr="003E01A4">
        <w:rPr>
          <w:rFonts w:ascii="Century Schoolbook" w:hAnsi="Century Schoolbook"/>
          <w:sz w:val="22"/>
          <w:szCs w:val="22"/>
        </w:rPr>
        <w:t xml:space="preserve">strada </w:t>
      </w:r>
      <w:r w:rsidR="00491F80" w:rsidRPr="003E01A4">
        <w:rPr>
          <w:rFonts w:ascii="Century Schoolbook" w:hAnsi="Century Schoolbook"/>
          <w:sz w:val="22"/>
          <w:szCs w:val="22"/>
        </w:rPr>
        <w:t xml:space="preserve">incertissima </w:t>
      </w:r>
      <w:r w:rsidR="00FF441F" w:rsidRPr="003E01A4">
        <w:rPr>
          <w:rFonts w:ascii="Century Schoolbook" w:hAnsi="Century Schoolbook"/>
          <w:sz w:val="22"/>
          <w:szCs w:val="22"/>
        </w:rPr>
        <w:t xml:space="preserve">che conduce </w:t>
      </w:r>
      <w:r w:rsidR="00491F80" w:rsidRPr="003E01A4">
        <w:rPr>
          <w:rFonts w:ascii="Century Schoolbook" w:hAnsi="Century Schoolbook"/>
          <w:sz w:val="22"/>
          <w:szCs w:val="22"/>
        </w:rPr>
        <w:t>a</w:t>
      </w:r>
      <w:r w:rsidR="00FF441F" w:rsidRPr="003E01A4">
        <w:rPr>
          <w:rFonts w:ascii="Century Schoolbook" w:hAnsi="Century Schoolbook"/>
          <w:sz w:val="22"/>
          <w:szCs w:val="22"/>
        </w:rPr>
        <w:t xml:space="preserve">ll’approvazione </w:t>
      </w:r>
      <w:r w:rsidR="00FF441F" w:rsidRPr="003E01A4">
        <w:rPr>
          <w:rFonts w:ascii="Century Schoolbook" w:hAnsi="Century Schoolbook"/>
          <w:i/>
          <w:iCs/>
          <w:sz w:val="22"/>
          <w:szCs w:val="22"/>
        </w:rPr>
        <w:t>politica</w:t>
      </w:r>
      <w:r w:rsidR="00FF441F" w:rsidRPr="003E01A4">
        <w:rPr>
          <w:rFonts w:ascii="Century Schoolbook" w:hAnsi="Century Schoolbook"/>
          <w:sz w:val="22"/>
          <w:szCs w:val="22"/>
        </w:rPr>
        <w:t xml:space="preserve"> da parte dell’ente di prossimità.</w:t>
      </w:r>
    </w:p>
    <w:p w14:paraId="5064CFB0" w14:textId="46808055" w:rsidR="001F06AD" w:rsidRPr="003E01A4" w:rsidRDefault="001F06AD" w:rsidP="002B4988">
      <w:pPr>
        <w:spacing w:line="360" w:lineRule="auto"/>
        <w:ind w:firstLine="708"/>
        <w:contextualSpacing/>
        <w:jc w:val="both"/>
        <w:rPr>
          <w:rFonts w:ascii="Century Schoolbook" w:hAnsi="Century Schoolbook"/>
          <w:sz w:val="22"/>
          <w:szCs w:val="22"/>
        </w:rPr>
      </w:pPr>
    </w:p>
    <w:p w14:paraId="0125B484" w14:textId="0F100E02" w:rsidR="00C10E01" w:rsidRPr="003E01A4" w:rsidRDefault="005940A0"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4</w:t>
      </w:r>
      <w:r w:rsidR="001F06AD" w:rsidRPr="003E01A4">
        <w:rPr>
          <w:rFonts w:ascii="Century Schoolbook" w:hAnsi="Century Schoolbook"/>
          <w:sz w:val="22"/>
          <w:szCs w:val="22"/>
        </w:rPr>
        <w:t xml:space="preserve">. </w:t>
      </w:r>
      <w:r w:rsidR="00E4588E" w:rsidRPr="003E01A4">
        <w:rPr>
          <w:rFonts w:ascii="Century Schoolbook" w:hAnsi="Century Schoolbook"/>
          <w:i/>
          <w:iCs/>
          <w:sz w:val="22"/>
          <w:szCs w:val="22"/>
        </w:rPr>
        <w:t>Qualcosa a</w:t>
      </w:r>
      <w:r w:rsidR="001F06AD" w:rsidRPr="003E01A4">
        <w:rPr>
          <w:rFonts w:ascii="Century Schoolbook" w:hAnsi="Century Schoolbook"/>
          <w:i/>
          <w:iCs/>
          <w:sz w:val="22"/>
          <w:szCs w:val="22"/>
        </w:rPr>
        <w:t>ncora dalla frontiera del PNRR.</w:t>
      </w:r>
      <w:r w:rsidR="001F06AD" w:rsidRPr="003E01A4">
        <w:rPr>
          <w:rFonts w:ascii="Century Schoolbook" w:hAnsi="Century Schoolbook"/>
          <w:sz w:val="22"/>
          <w:szCs w:val="22"/>
        </w:rPr>
        <w:t xml:space="preserve"> </w:t>
      </w:r>
      <w:r w:rsidR="00E4588E" w:rsidRPr="003E01A4">
        <w:rPr>
          <w:rFonts w:ascii="Century Schoolbook" w:hAnsi="Century Schoolbook"/>
          <w:sz w:val="22"/>
          <w:szCs w:val="22"/>
        </w:rPr>
        <w:t xml:space="preserve">– </w:t>
      </w:r>
      <w:r w:rsidRPr="003E01A4">
        <w:rPr>
          <w:rFonts w:ascii="Century Schoolbook" w:hAnsi="Century Schoolbook"/>
          <w:sz w:val="22"/>
          <w:szCs w:val="22"/>
        </w:rPr>
        <w:t>Continuiamo la r</w:t>
      </w:r>
      <w:r w:rsidR="00D670F7" w:rsidRPr="003E01A4">
        <w:rPr>
          <w:rFonts w:ascii="Century Schoolbook" w:hAnsi="Century Schoolbook"/>
          <w:sz w:val="22"/>
          <w:szCs w:val="22"/>
        </w:rPr>
        <w:t>assegna</w:t>
      </w:r>
      <w:r w:rsidR="00E4588E" w:rsidRPr="003E01A4">
        <w:rPr>
          <w:rFonts w:ascii="Century Schoolbook" w:hAnsi="Century Schoolbook"/>
          <w:sz w:val="22"/>
          <w:szCs w:val="22"/>
        </w:rPr>
        <w:t xml:space="preserve"> dei modelli </w:t>
      </w:r>
      <w:r w:rsidR="00363D1D" w:rsidRPr="003E01A4">
        <w:rPr>
          <w:rFonts w:ascii="Century Schoolbook" w:hAnsi="Century Schoolbook"/>
          <w:sz w:val="22"/>
          <w:szCs w:val="22"/>
        </w:rPr>
        <w:t>disegnati</w:t>
      </w:r>
      <w:r w:rsidR="00E4588E" w:rsidRPr="003E01A4">
        <w:rPr>
          <w:rFonts w:ascii="Century Schoolbook" w:hAnsi="Century Schoolbook"/>
          <w:sz w:val="22"/>
          <w:szCs w:val="22"/>
        </w:rPr>
        <w:t xml:space="preserve"> </w:t>
      </w:r>
      <w:r w:rsidR="00363D1D" w:rsidRPr="003E01A4">
        <w:rPr>
          <w:rFonts w:ascii="Century Schoolbook" w:hAnsi="Century Schoolbook"/>
          <w:sz w:val="22"/>
          <w:szCs w:val="22"/>
        </w:rPr>
        <w:t>da</w:t>
      </w:r>
      <w:r w:rsidR="00E4588E" w:rsidRPr="003E01A4">
        <w:rPr>
          <w:rFonts w:ascii="Century Schoolbook" w:hAnsi="Century Schoolbook"/>
          <w:sz w:val="22"/>
          <w:szCs w:val="22"/>
        </w:rPr>
        <w:t>lla normazione PNRR</w:t>
      </w:r>
      <w:r w:rsidR="00363D1D" w:rsidRPr="003E01A4">
        <w:rPr>
          <w:rFonts w:ascii="Century Schoolbook" w:hAnsi="Century Schoolbook"/>
          <w:sz w:val="22"/>
          <w:szCs w:val="22"/>
        </w:rPr>
        <w:t xml:space="preserve">. </w:t>
      </w:r>
      <w:r w:rsidR="00662594" w:rsidRPr="003E01A4">
        <w:rPr>
          <w:rFonts w:ascii="Century Schoolbook" w:hAnsi="Century Schoolbook"/>
          <w:sz w:val="22"/>
          <w:szCs w:val="22"/>
        </w:rPr>
        <w:t>Lo</w:t>
      </w:r>
      <w:r w:rsidR="00593649" w:rsidRPr="003E01A4">
        <w:rPr>
          <w:rFonts w:ascii="Century Schoolbook" w:hAnsi="Century Schoolbook"/>
          <w:sz w:val="22"/>
          <w:szCs w:val="22"/>
        </w:rPr>
        <w:t xml:space="preserve"> schem</w:t>
      </w:r>
      <w:r w:rsidR="00662594" w:rsidRPr="003E01A4">
        <w:rPr>
          <w:rFonts w:ascii="Century Schoolbook" w:hAnsi="Century Schoolbook"/>
          <w:sz w:val="22"/>
          <w:szCs w:val="22"/>
        </w:rPr>
        <w:t>a</w:t>
      </w:r>
      <w:r w:rsidR="00593649" w:rsidRPr="003E01A4">
        <w:rPr>
          <w:rFonts w:ascii="Century Schoolbook" w:hAnsi="Century Schoolbook"/>
          <w:sz w:val="22"/>
          <w:szCs w:val="22"/>
        </w:rPr>
        <w:t xml:space="preserve"> </w:t>
      </w:r>
      <w:r w:rsidR="006E4307" w:rsidRPr="003E01A4">
        <w:rPr>
          <w:rFonts w:ascii="Century Schoolbook" w:hAnsi="Century Schoolbook"/>
          <w:sz w:val="22"/>
          <w:szCs w:val="22"/>
        </w:rPr>
        <w:t>predominante</w:t>
      </w:r>
      <w:r w:rsidR="00593649" w:rsidRPr="003E01A4">
        <w:rPr>
          <w:rFonts w:ascii="Century Schoolbook" w:hAnsi="Century Schoolbook"/>
          <w:sz w:val="22"/>
          <w:szCs w:val="22"/>
        </w:rPr>
        <w:t xml:space="preserve"> </w:t>
      </w:r>
      <w:r w:rsidRPr="003E01A4">
        <w:rPr>
          <w:rFonts w:ascii="Century Schoolbook" w:hAnsi="Century Schoolbook"/>
          <w:sz w:val="22"/>
          <w:szCs w:val="22"/>
        </w:rPr>
        <w:t xml:space="preserve">– lo dico subito – </w:t>
      </w:r>
      <w:r w:rsidR="00CA2144" w:rsidRPr="003E01A4">
        <w:rPr>
          <w:rFonts w:ascii="Century Schoolbook" w:hAnsi="Century Schoolbook"/>
          <w:sz w:val="22"/>
          <w:szCs w:val="22"/>
        </w:rPr>
        <w:t>è</w:t>
      </w:r>
      <w:r w:rsidR="00593649" w:rsidRPr="003E01A4">
        <w:rPr>
          <w:rFonts w:ascii="Century Schoolbook" w:hAnsi="Century Schoolbook"/>
          <w:sz w:val="22"/>
          <w:szCs w:val="22"/>
        </w:rPr>
        <w:t xml:space="preserve"> quell</w:t>
      </w:r>
      <w:r w:rsidR="00662594" w:rsidRPr="003E01A4">
        <w:rPr>
          <w:rFonts w:ascii="Century Schoolbook" w:hAnsi="Century Schoolbook"/>
          <w:sz w:val="22"/>
          <w:szCs w:val="22"/>
        </w:rPr>
        <w:t>o</w:t>
      </w:r>
      <w:r w:rsidR="00593649" w:rsidRPr="003E01A4">
        <w:rPr>
          <w:rFonts w:ascii="Century Schoolbook" w:hAnsi="Century Schoolbook"/>
          <w:sz w:val="22"/>
          <w:szCs w:val="22"/>
        </w:rPr>
        <w:t xml:space="preserve"> della variante </w:t>
      </w:r>
      <w:r w:rsidR="00CA2144" w:rsidRPr="003E01A4">
        <w:rPr>
          <w:rFonts w:ascii="Century Schoolbook" w:hAnsi="Century Schoolbook"/>
          <w:sz w:val="22"/>
          <w:szCs w:val="22"/>
        </w:rPr>
        <w:t>automatica.</w:t>
      </w:r>
      <w:r w:rsidRPr="003E01A4">
        <w:rPr>
          <w:rFonts w:ascii="Century Schoolbook" w:hAnsi="Century Schoolbook"/>
          <w:sz w:val="22"/>
          <w:szCs w:val="22"/>
        </w:rPr>
        <w:t xml:space="preserve"> </w:t>
      </w:r>
      <w:r w:rsidR="005736E6" w:rsidRPr="003E01A4">
        <w:rPr>
          <w:rFonts w:ascii="Century Schoolbook" w:hAnsi="Century Schoolbook"/>
          <w:sz w:val="22"/>
          <w:szCs w:val="22"/>
        </w:rPr>
        <w:t>Scelta n</w:t>
      </w:r>
      <w:r w:rsidRPr="003E01A4">
        <w:rPr>
          <w:rFonts w:ascii="Century Schoolbook" w:hAnsi="Century Schoolbook"/>
          <w:sz w:val="22"/>
          <w:szCs w:val="22"/>
        </w:rPr>
        <w:t>on</w:t>
      </w:r>
      <w:r w:rsidR="005736E6" w:rsidRPr="003E01A4">
        <w:rPr>
          <w:rFonts w:ascii="Century Schoolbook" w:hAnsi="Century Schoolbook"/>
          <w:sz w:val="22"/>
          <w:szCs w:val="22"/>
        </w:rPr>
        <w:t xml:space="preserve"> </w:t>
      </w:r>
      <w:r w:rsidRPr="003E01A4">
        <w:rPr>
          <w:rFonts w:ascii="Century Schoolbook" w:hAnsi="Century Schoolbook"/>
          <w:sz w:val="22"/>
          <w:szCs w:val="22"/>
        </w:rPr>
        <w:t>certo casuale.</w:t>
      </w:r>
    </w:p>
    <w:p w14:paraId="09E6C6DD" w14:textId="693DA6A7" w:rsidR="00D24DE4" w:rsidRPr="003E01A4" w:rsidRDefault="00C10E01"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Per esempio, l’a</w:t>
      </w:r>
      <w:r w:rsidR="00D24DE4" w:rsidRPr="003E01A4">
        <w:rPr>
          <w:rFonts w:ascii="Century Schoolbook" w:hAnsi="Century Schoolbook"/>
          <w:sz w:val="22"/>
          <w:szCs w:val="22"/>
        </w:rPr>
        <w:t>rt. 31</w:t>
      </w:r>
      <w:r w:rsidR="00AF6EA2" w:rsidRPr="003E01A4">
        <w:rPr>
          <w:rFonts w:ascii="Century Schoolbook" w:hAnsi="Century Schoolbook"/>
          <w:sz w:val="22"/>
          <w:szCs w:val="22"/>
        </w:rPr>
        <w:t>-</w:t>
      </w:r>
      <w:r w:rsidR="00AF6EA2" w:rsidRPr="003E01A4">
        <w:rPr>
          <w:rFonts w:ascii="Century Schoolbook" w:hAnsi="Century Schoolbook"/>
          <w:i/>
          <w:iCs/>
          <w:sz w:val="22"/>
          <w:szCs w:val="22"/>
        </w:rPr>
        <w:t>bis</w:t>
      </w:r>
      <w:r w:rsidR="00D24DE4" w:rsidRPr="003E01A4">
        <w:rPr>
          <w:rStyle w:val="Rimandonotaapidipagina"/>
          <w:rFonts w:ascii="Century Schoolbook" w:hAnsi="Century Schoolbook"/>
          <w:sz w:val="22"/>
          <w:szCs w:val="22"/>
        </w:rPr>
        <w:footnoteReference w:id="58"/>
      </w:r>
      <w:r w:rsidR="00D24DE4" w:rsidRPr="003E01A4">
        <w:rPr>
          <w:rFonts w:ascii="Century Schoolbook" w:hAnsi="Century Schoolbook"/>
          <w:sz w:val="22"/>
          <w:szCs w:val="22"/>
        </w:rPr>
        <w:t xml:space="preserve"> </w:t>
      </w:r>
      <w:r w:rsidRPr="003E01A4">
        <w:rPr>
          <w:rFonts w:ascii="Century Schoolbook" w:hAnsi="Century Schoolbook"/>
          <w:sz w:val="22"/>
          <w:szCs w:val="22"/>
        </w:rPr>
        <w:t>del d.l. n. 77/’21</w:t>
      </w:r>
      <w:r w:rsidR="007345F6" w:rsidRPr="003E01A4">
        <w:rPr>
          <w:rFonts w:ascii="Century Schoolbook" w:hAnsi="Century Schoolbook"/>
          <w:sz w:val="22"/>
          <w:szCs w:val="22"/>
        </w:rPr>
        <w:t xml:space="preserve"> cit.</w:t>
      </w:r>
      <w:r w:rsidRPr="003E01A4">
        <w:rPr>
          <w:rFonts w:ascii="Century Schoolbook" w:hAnsi="Century Schoolbook"/>
          <w:sz w:val="22"/>
          <w:szCs w:val="22"/>
        </w:rPr>
        <w:t xml:space="preserve"> </w:t>
      </w:r>
      <w:r w:rsidR="007345F6" w:rsidRPr="003E01A4">
        <w:rPr>
          <w:rFonts w:ascii="Century Schoolbook" w:hAnsi="Century Schoolbook"/>
          <w:sz w:val="22"/>
          <w:szCs w:val="22"/>
        </w:rPr>
        <w:t xml:space="preserve">stabilisce anzitutto che il procedimento </w:t>
      </w:r>
      <w:r w:rsidR="007345F6" w:rsidRPr="003E01A4">
        <w:rPr>
          <w:rFonts w:ascii="Century Schoolbook" w:hAnsi="Century Schoolbook"/>
          <w:i/>
          <w:iCs/>
          <w:sz w:val="22"/>
          <w:szCs w:val="22"/>
        </w:rPr>
        <w:t>ex</w:t>
      </w:r>
      <w:r w:rsidR="007345F6" w:rsidRPr="003E01A4">
        <w:rPr>
          <w:rFonts w:ascii="Century Schoolbook" w:hAnsi="Century Schoolbook"/>
          <w:sz w:val="22"/>
          <w:szCs w:val="22"/>
        </w:rPr>
        <w:t xml:space="preserve"> art. 12, d.lgs. n. 387/’83 si applica «anche a tutte le opere infrastrutturali necessarie all'immissione del biometano nella rete esistente di trasporto e di distribuzione del gas naturale». Pertanto </w:t>
      </w:r>
      <w:r w:rsidR="00291054" w:rsidRPr="003E01A4">
        <w:rPr>
          <w:rFonts w:ascii="Century Schoolbook" w:hAnsi="Century Schoolbook"/>
          <w:sz w:val="22"/>
          <w:szCs w:val="22"/>
        </w:rPr>
        <w:t xml:space="preserve">in forza dell’art. 12 appena richiamato </w:t>
      </w:r>
      <w:r w:rsidR="007345F6" w:rsidRPr="003E01A4">
        <w:rPr>
          <w:rFonts w:ascii="Century Schoolbook" w:hAnsi="Century Schoolbook"/>
          <w:sz w:val="22"/>
          <w:szCs w:val="22"/>
        </w:rPr>
        <w:t xml:space="preserve">si </w:t>
      </w:r>
      <w:r w:rsidR="00291054" w:rsidRPr="003E01A4">
        <w:rPr>
          <w:rFonts w:ascii="Century Schoolbook" w:hAnsi="Century Schoolbook"/>
          <w:sz w:val="22"/>
          <w:szCs w:val="22"/>
        </w:rPr>
        <w:t>svolgerà</w:t>
      </w:r>
      <w:r w:rsidR="00CB4D81" w:rsidRPr="003E01A4">
        <w:rPr>
          <w:rFonts w:ascii="Century Schoolbook" w:hAnsi="Century Schoolbook"/>
          <w:sz w:val="22"/>
          <w:szCs w:val="22"/>
        </w:rPr>
        <w:t xml:space="preserve"> </w:t>
      </w:r>
      <w:r w:rsidR="007345F6" w:rsidRPr="003E01A4">
        <w:rPr>
          <w:rFonts w:ascii="Century Schoolbook" w:hAnsi="Century Schoolbook"/>
          <w:sz w:val="22"/>
          <w:szCs w:val="22"/>
        </w:rPr>
        <w:t>un</w:t>
      </w:r>
      <w:r w:rsidR="005D6978" w:rsidRPr="003E01A4">
        <w:rPr>
          <w:rFonts w:ascii="Century Schoolbook" w:hAnsi="Century Schoolbook"/>
          <w:sz w:val="22"/>
          <w:szCs w:val="22"/>
        </w:rPr>
        <w:t>a conferenza di servizi</w:t>
      </w:r>
      <w:r w:rsidR="007345F6" w:rsidRPr="003E01A4">
        <w:rPr>
          <w:rFonts w:ascii="Century Schoolbook" w:hAnsi="Century Schoolbook"/>
          <w:sz w:val="22"/>
          <w:szCs w:val="22"/>
        </w:rPr>
        <w:t xml:space="preserve"> </w:t>
      </w:r>
      <w:r w:rsidR="005D6978" w:rsidRPr="003E01A4">
        <w:rPr>
          <w:rFonts w:ascii="Century Schoolbook" w:hAnsi="Century Schoolbook"/>
          <w:sz w:val="22"/>
          <w:szCs w:val="22"/>
        </w:rPr>
        <w:t xml:space="preserve">quale </w:t>
      </w:r>
      <w:r w:rsidR="007345F6" w:rsidRPr="003E01A4">
        <w:rPr>
          <w:rFonts w:ascii="Century Schoolbook" w:hAnsi="Century Schoolbook"/>
          <w:sz w:val="22"/>
          <w:szCs w:val="22"/>
        </w:rPr>
        <w:t>«procedimento unico</w:t>
      </w:r>
      <w:r w:rsidR="005D6978" w:rsidRPr="003E01A4">
        <w:rPr>
          <w:rFonts w:ascii="Century Schoolbook" w:hAnsi="Century Schoolbook"/>
          <w:sz w:val="22"/>
          <w:szCs w:val="22"/>
        </w:rPr>
        <w:t xml:space="preserve"> al quale partecipano tutte le Amministrazioni interessate</w:t>
      </w:r>
      <w:r w:rsidR="007345F6" w:rsidRPr="003E01A4">
        <w:rPr>
          <w:rFonts w:ascii="Century Schoolbook" w:hAnsi="Century Schoolbook"/>
          <w:sz w:val="22"/>
          <w:szCs w:val="22"/>
        </w:rPr>
        <w:t>»</w:t>
      </w:r>
      <w:r w:rsidR="005D6978" w:rsidRPr="003E01A4">
        <w:rPr>
          <w:rStyle w:val="Rimandonotaapidipagina"/>
          <w:rFonts w:ascii="Century Schoolbook" w:hAnsi="Century Schoolbook"/>
          <w:sz w:val="22"/>
          <w:szCs w:val="22"/>
        </w:rPr>
        <w:footnoteReference w:id="59"/>
      </w:r>
      <w:r w:rsidR="005D6978" w:rsidRPr="003E01A4">
        <w:rPr>
          <w:rFonts w:ascii="Century Schoolbook" w:hAnsi="Century Schoolbook"/>
          <w:sz w:val="22"/>
          <w:szCs w:val="22"/>
        </w:rPr>
        <w:t>,</w:t>
      </w:r>
      <w:r w:rsidR="007345F6" w:rsidRPr="003E01A4">
        <w:rPr>
          <w:rFonts w:ascii="Century Schoolbook" w:hAnsi="Century Schoolbook"/>
          <w:sz w:val="22"/>
          <w:szCs w:val="22"/>
        </w:rPr>
        <w:t xml:space="preserve"> </w:t>
      </w:r>
      <w:r w:rsidR="005D6978" w:rsidRPr="003E01A4">
        <w:rPr>
          <w:rFonts w:ascii="Century Schoolbook" w:hAnsi="Century Schoolbook"/>
          <w:sz w:val="22"/>
          <w:szCs w:val="22"/>
        </w:rPr>
        <w:t>con</w:t>
      </w:r>
      <w:r w:rsidR="007345F6" w:rsidRPr="003E01A4">
        <w:rPr>
          <w:rFonts w:ascii="Century Schoolbook" w:hAnsi="Century Schoolbook"/>
          <w:sz w:val="22"/>
          <w:szCs w:val="22"/>
        </w:rPr>
        <w:t xml:space="preserve"> rilascio di autorizzazione unica «che costituisce, ove occorra, variante allo strumento urbanistico»</w:t>
      </w:r>
      <w:r w:rsidR="005D6978" w:rsidRPr="003E01A4">
        <w:rPr>
          <w:rStyle w:val="Rimandonotaapidipagina"/>
          <w:rFonts w:ascii="Century Schoolbook" w:hAnsi="Century Schoolbook"/>
          <w:sz w:val="22"/>
          <w:szCs w:val="22"/>
        </w:rPr>
        <w:footnoteReference w:id="60"/>
      </w:r>
      <w:r w:rsidR="005D6978" w:rsidRPr="003E01A4">
        <w:rPr>
          <w:rFonts w:ascii="Century Schoolbook" w:hAnsi="Century Schoolbook"/>
          <w:sz w:val="22"/>
          <w:szCs w:val="22"/>
        </w:rPr>
        <w:t xml:space="preserve"> nonché «titolo a costruire ed esercire l'impianto in conformità al progetto approvato»</w:t>
      </w:r>
      <w:r w:rsidR="005D6978" w:rsidRPr="003E01A4">
        <w:rPr>
          <w:rStyle w:val="Rimandonotaapidipagina"/>
          <w:rFonts w:ascii="Century Schoolbook" w:hAnsi="Century Schoolbook"/>
          <w:sz w:val="22"/>
          <w:szCs w:val="22"/>
        </w:rPr>
        <w:footnoteReference w:id="61"/>
      </w:r>
      <w:r w:rsidR="005D6978" w:rsidRPr="003E01A4">
        <w:rPr>
          <w:rFonts w:ascii="Century Schoolbook" w:hAnsi="Century Schoolbook"/>
          <w:sz w:val="22"/>
          <w:szCs w:val="22"/>
        </w:rPr>
        <w:t>.</w:t>
      </w:r>
    </w:p>
    <w:p w14:paraId="51F97C0D" w14:textId="429B6B93" w:rsidR="000C0360" w:rsidRPr="003E01A4" w:rsidRDefault="00CB4D81"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L’art. 31-</w:t>
      </w:r>
      <w:r w:rsidRPr="003E01A4">
        <w:rPr>
          <w:rFonts w:ascii="Century Schoolbook" w:hAnsi="Century Schoolbook"/>
          <w:i/>
          <w:iCs/>
          <w:sz w:val="22"/>
          <w:szCs w:val="22"/>
        </w:rPr>
        <w:t>bis</w:t>
      </w:r>
      <w:r w:rsidRPr="003E01A4">
        <w:rPr>
          <w:rFonts w:ascii="Century Schoolbook" w:hAnsi="Century Schoolbook"/>
          <w:sz w:val="22"/>
          <w:szCs w:val="22"/>
        </w:rPr>
        <w:t xml:space="preserve"> parrebbe non voler lasciare spazio a dubbi interpretativi circa l’immediatezza della nuova conformazione territoriale derivante dall</w:t>
      </w:r>
      <w:r w:rsidR="000C0360" w:rsidRPr="003E01A4">
        <w:rPr>
          <w:rFonts w:ascii="Century Schoolbook" w:hAnsi="Century Schoolbook"/>
          <w:sz w:val="22"/>
          <w:szCs w:val="22"/>
        </w:rPr>
        <w:t xml:space="preserve">’adozione dell’autorizzazione unica: </w:t>
      </w:r>
      <w:r w:rsidR="00F62B96" w:rsidRPr="003E01A4">
        <w:rPr>
          <w:rFonts w:ascii="Century Schoolbook" w:hAnsi="Century Schoolbook"/>
          <w:sz w:val="22"/>
          <w:szCs w:val="22"/>
        </w:rPr>
        <w:t xml:space="preserve">rispetto all’art. 12, d.lgs. n. 387/’03 </w:t>
      </w:r>
      <w:r w:rsidR="000C0360" w:rsidRPr="003E01A4">
        <w:rPr>
          <w:rFonts w:ascii="Century Schoolbook" w:hAnsi="Century Schoolbook"/>
          <w:sz w:val="22"/>
          <w:szCs w:val="22"/>
        </w:rPr>
        <w:t>ribadisce</w:t>
      </w:r>
      <w:r w:rsidR="00437D17" w:rsidRPr="003E01A4">
        <w:rPr>
          <w:rFonts w:ascii="Century Schoolbook" w:hAnsi="Century Schoolbook"/>
          <w:sz w:val="22"/>
          <w:szCs w:val="22"/>
        </w:rPr>
        <w:t xml:space="preserve"> con più chiarezza, </w:t>
      </w:r>
      <w:r w:rsidR="009E23F7" w:rsidRPr="003E01A4">
        <w:rPr>
          <w:rFonts w:ascii="Century Schoolbook" w:hAnsi="Century Schoolbook"/>
          <w:sz w:val="22"/>
          <w:szCs w:val="22"/>
        </w:rPr>
        <w:t xml:space="preserve">con </w:t>
      </w:r>
      <w:r w:rsidR="00437D17" w:rsidRPr="003E01A4">
        <w:rPr>
          <w:rFonts w:ascii="Century Schoolbook" w:hAnsi="Century Schoolbook"/>
          <w:sz w:val="22"/>
          <w:szCs w:val="22"/>
        </w:rPr>
        <w:t>più energia</w:t>
      </w:r>
      <w:r w:rsidR="00F62B96" w:rsidRPr="003E01A4">
        <w:rPr>
          <w:rFonts w:ascii="Century Schoolbook" w:hAnsi="Century Schoolbook"/>
          <w:sz w:val="22"/>
          <w:szCs w:val="22"/>
        </w:rPr>
        <w:t xml:space="preserve">, </w:t>
      </w:r>
      <w:r w:rsidR="000C0360" w:rsidRPr="003E01A4">
        <w:rPr>
          <w:rFonts w:ascii="Century Schoolbook" w:hAnsi="Century Schoolbook"/>
          <w:sz w:val="22"/>
          <w:szCs w:val="22"/>
        </w:rPr>
        <w:t>che «</w:t>
      </w:r>
      <w:r w:rsidR="000C0360" w:rsidRPr="003E01A4">
        <w:rPr>
          <w:rFonts w:ascii="Century Schoolbook" w:hAnsi="Century Schoolbook"/>
          <w:i/>
          <w:iCs/>
          <w:sz w:val="22"/>
          <w:szCs w:val="22"/>
        </w:rPr>
        <w:t>il provvedimento finale deve prevedere anche</w:t>
      </w:r>
      <w:r w:rsidR="000C0360" w:rsidRPr="003E01A4">
        <w:rPr>
          <w:rFonts w:ascii="Century Schoolbook" w:hAnsi="Century Schoolbook"/>
          <w:sz w:val="22"/>
          <w:szCs w:val="22"/>
        </w:rPr>
        <w:t xml:space="preserve"> l’apposizione del vincolo preordinato all’esproprio dei beni in esso compresi nonché </w:t>
      </w:r>
      <w:r w:rsidR="000C0360" w:rsidRPr="003E01A4">
        <w:rPr>
          <w:rFonts w:ascii="Century Schoolbook" w:hAnsi="Century Schoolbook"/>
          <w:i/>
          <w:iCs/>
          <w:sz w:val="22"/>
          <w:szCs w:val="22"/>
        </w:rPr>
        <w:t>la variazione degli strumenti urbanistici</w:t>
      </w:r>
      <w:r w:rsidR="000C0360" w:rsidRPr="003E01A4">
        <w:rPr>
          <w:rFonts w:ascii="Century Schoolbook" w:hAnsi="Century Schoolbook"/>
          <w:sz w:val="22"/>
          <w:szCs w:val="22"/>
        </w:rPr>
        <w:t xml:space="preserve"> ai sensi del testo unico delle disposizioni legislative e regolamentari in materia di espropriazione per pubblica utilità, di cui al decreto del Presidente della Repubblica 8 giugno 2001, n. 327». </w:t>
      </w:r>
    </w:p>
    <w:p w14:paraId="4D189B50" w14:textId="168E0E5E" w:rsidR="00CB4D81" w:rsidRPr="003E01A4" w:rsidRDefault="00437D17"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Qui n</w:t>
      </w:r>
      <w:r w:rsidR="000C0360" w:rsidRPr="003E01A4">
        <w:rPr>
          <w:rFonts w:ascii="Century Schoolbook" w:hAnsi="Century Schoolbook"/>
          <w:sz w:val="22"/>
          <w:szCs w:val="22"/>
        </w:rPr>
        <w:t xml:space="preserve">on è chiaro il </w:t>
      </w:r>
      <w:r w:rsidRPr="003E01A4">
        <w:rPr>
          <w:rFonts w:ascii="Century Schoolbook" w:hAnsi="Century Schoolbook"/>
          <w:sz w:val="22"/>
          <w:szCs w:val="22"/>
        </w:rPr>
        <w:t xml:space="preserve">significato del </w:t>
      </w:r>
      <w:r w:rsidR="000C0360" w:rsidRPr="003E01A4">
        <w:rPr>
          <w:rFonts w:ascii="Century Schoolbook" w:hAnsi="Century Schoolbook"/>
          <w:sz w:val="22"/>
          <w:szCs w:val="22"/>
        </w:rPr>
        <w:t>richiamo al t.u. espropri, poiché l’art. 19, commi 2-4, come abbiam visto, disegna un</w:t>
      </w:r>
      <w:r w:rsidR="00AF0258" w:rsidRPr="003E01A4">
        <w:rPr>
          <w:rFonts w:ascii="Century Schoolbook" w:hAnsi="Century Schoolbook"/>
          <w:sz w:val="22"/>
          <w:szCs w:val="22"/>
        </w:rPr>
        <w:t>o</w:t>
      </w:r>
      <w:r w:rsidR="000C0360" w:rsidRPr="003E01A4">
        <w:rPr>
          <w:rFonts w:ascii="Century Schoolbook" w:hAnsi="Century Schoolbook"/>
          <w:sz w:val="22"/>
          <w:szCs w:val="22"/>
        </w:rPr>
        <w:t xml:space="preserve"> schema a doppia battuta</w:t>
      </w:r>
      <w:r w:rsidRPr="003E01A4">
        <w:rPr>
          <w:rFonts w:ascii="Century Schoolbook" w:hAnsi="Century Schoolbook"/>
          <w:sz w:val="22"/>
          <w:szCs w:val="22"/>
        </w:rPr>
        <w:t xml:space="preserve"> classico</w:t>
      </w:r>
      <w:r w:rsidR="000C0360" w:rsidRPr="003E01A4">
        <w:rPr>
          <w:rFonts w:ascii="Century Schoolbook" w:hAnsi="Century Schoolbook"/>
          <w:sz w:val="22"/>
          <w:szCs w:val="22"/>
        </w:rPr>
        <w:t xml:space="preserve"> </w:t>
      </w:r>
      <w:r w:rsidRPr="003E01A4">
        <w:rPr>
          <w:rFonts w:ascii="Century Schoolbook" w:hAnsi="Century Schoolbook"/>
          <w:sz w:val="22"/>
          <w:szCs w:val="22"/>
        </w:rPr>
        <w:t>(</w:t>
      </w:r>
      <w:r w:rsidR="00AF0258" w:rsidRPr="003E01A4">
        <w:rPr>
          <w:rFonts w:ascii="Century Schoolbook" w:hAnsi="Century Schoolbook"/>
          <w:sz w:val="22"/>
          <w:szCs w:val="22"/>
        </w:rPr>
        <w:t>con la caratteristica che</w:t>
      </w:r>
      <w:r w:rsidR="000C0360" w:rsidRPr="003E01A4">
        <w:rPr>
          <w:rFonts w:ascii="Century Schoolbook" w:hAnsi="Century Schoolbook"/>
          <w:sz w:val="22"/>
          <w:szCs w:val="22"/>
        </w:rPr>
        <w:t xml:space="preserve"> la fase approvativa </w:t>
      </w:r>
      <w:r w:rsidR="00AF0258" w:rsidRPr="003E01A4">
        <w:rPr>
          <w:rFonts w:ascii="Century Schoolbook" w:hAnsi="Century Schoolbook"/>
          <w:sz w:val="22"/>
          <w:szCs w:val="22"/>
        </w:rPr>
        <w:t xml:space="preserve">è </w:t>
      </w:r>
      <w:r w:rsidR="000C0360" w:rsidRPr="003E01A4">
        <w:rPr>
          <w:rFonts w:ascii="Century Schoolbook" w:hAnsi="Century Schoolbook"/>
          <w:sz w:val="22"/>
          <w:szCs w:val="22"/>
        </w:rPr>
        <w:t xml:space="preserve">accelerata </w:t>
      </w:r>
      <w:r w:rsidR="00AF0258" w:rsidRPr="003E01A4">
        <w:rPr>
          <w:rFonts w:ascii="Century Schoolbook" w:hAnsi="Century Schoolbook"/>
          <w:sz w:val="22"/>
          <w:szCs w:val="22"/>
        </w:rPr>
        <w:t>a mezzo de</w:t>
      </w:r>
      <w:r w:rsidR="000C0360" w:rsidRPr="003E01A4">
        <w:rPr>
          <w:rFonts w:ascii="Century Schoolbook" w:hAnsi="Century Schoolbook"/>
          <w:sz w:val="22"/>
          <w:szCs w:val="22"/>
        </w:rPr>
        <w:t>l silenzio assenso regionale</w:t>
      </w:r>
      <w:r w:rsidRPr="003E01A4">
        <w:rPr>
          <w:rFonts w:ascii="Century Schoolbook" w:hAnsi="Century Schoolbook"/>
          <w:sz w:val="22"/>
          <w:szCs w:val="22"/>
        </w:rPr>
        <w:t>)</w:t>
      </w:r>
      <w:r w:rsidR="000C0360" w:rsidRPr="003E01A4">
        <w:rPr>
          <w:rFonts w:ascii="Century Schoolbook" w:hAnsi="Century Schoolbook"/>
          <w:sz w:val="22"/>
          <w:szCs w:val="22"/>
        </w:rPr>
        <w:t>. Forse il riferimento a</w:t>
      </w:r>
      <w:r w:rsidR="00AF0258" w:rsidRPr="003E01A4">
        <w:rPr>
          <w:rFonts w:ascii="Century Schoolbook" w:hAnsi="Century Schoolbook"/>
          <w:sz w:val="22"/>
          <w:szCs w:val="22"/>
        </w:rPr>
        <w:t xml:space="preserve"> que</w:t>
      </w:r>
      <w:r w:rsidR="000C0360" w:rsidRPr="003E01A4">
        <w:rPr>
          <w:rFonts w:ascii="Century Schoolbook" w:hAnsi="Century Schoolbook"/>
          <w:sz w:val="22"/>
          <w:szCs w:val="22"/>
        </w:rPr>
        <w:t xml:space="preserve">l t.u. </w:t>
      </w:r>
      <w:r w:rsidR="00AF0258" w:rsidRPr="003E01A4">
        <w:rPr>
          <w:rFonts w:ascii="Century Schoolbook" w:hAnsi="Century Schoolbook"/>
          <w:sz w:val="22"/>
          <w:szCs w:val="22"/>
        </w:rPr>
        <w:t>dev’essere</w:t>
      </w:r>
      <w:r w:rsidR="000C0360" w:rsidRPr="003E01A4">
        <w:rPr>
          <w:rFonts w:ascii="Century Schoolbook" w:hAnsi="Century Schoolbook"/>
          <w:sz w:val="22"/>
          <w:szCs w:val="22"/>
        </w:rPr>
        <w:t xml:space="preserve"> inteso in generale – l’art. 31-</w:t>
      </w:r>
      <w:r w:rsidR="000C0360" w:rsidRPr="003E01A4">
        <w:rPr>
          <w:rFonts w:ascii="Century Schoolbook" w:hAnsi="Century Schoolbook"/>
          <w:i/>
          <w:iCs/>
          <w:sz w:val="22"/>
          <w:szCs w:val="22"/>
        </w:rPr>
        <w:t>bis</w:t>
      </w:r>
      <w:r w:rsidR="000C0360" w:rsidRPr="003E01A4">
        <w:rPr>
          <w:rFonts w:ascii="Century Schoolbook" w:hAnsi="Century Schoolbook"/>
          <w:sz w:val="22"/>
          <w:szCs w:val="22"/>
        </w:rPr>
        <w:t xml:space="preserve"> lo richiama invero nella sua interezza – come mera previsione o conferma dell’effetto di variante. Ma anche così interpretato mi sembra comunque un pleonasmo.</w:t>
      </w:r>
    </w:p>
    <w:p w14:paraId="1B41F645" w14:textId="38DAFC30" w:rsidR="00437D17" w:rsidRPr="003E01A4" w:rsidRDefault="00A47C7C"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Propongo</w:t>
      </w:r>
      <w:r w:rsidR="00437D17" w:rsidRPr="003E01A4">
        <w:rPr>
          <w:rFonts w:ascii="Century Schoolbook" w:hAnsi="Century Schoolbook"/>
          <w:sz w:val="22"/>
          <w:szCs w:val="22"/>
        </w:rPr>
        <w:t xml:space="preserve"> </w:t>
      </w:r>
      <w:r w:rsidRPr="003E01A4">
        <w:rPr>
          <w:rFonts w:ascii="Century Schoolbook" w:hAnsi="Century Schoolbook"/>
          <w:sz w:val="22"/>
          <w:szCs w:val="22"/>
        </w:rPr>
        <w:t xml:space="preserve">di </w:t>
      </w:r>
      <w:r w:rsidR="00E91E1E" w:rsidRPr="003E01A4">
        <w:rPr>
          <w:rFonts w:ascii="Century Schoolbook" w:hAnsi="Century Schoolbook"/>
          <w:sz w:val="22"/>
          <w:szCs w:val="22"/>
        </w:rPr>
        <w:t>dare</w:t>
      </w:r>
      <w:r w:rsidRPr="003E01A4">
        <w:rPr>
          <w:rFonts w:ascii="Century Schoolbook" w:hAnsi="Century Schoolbook"/>
          <w:sz w:val="22"/>
          <w:szCs w:val="22"/>
        </w:rPr>
        <w:t xml:space="preserve"> alla disposizione </w:t>
      </w:r>
      <w:r w:rsidR="00437D17" w:rsidRPr="003E01A4">
        <w:rPr>
          <w:rFonts w:ascii="Century Schoolbook" w:hAnsi="Century Schoolbook"/>
          <w:sz w:val="22"/>
          <w:szCs w:val="22"/>
        </w:rPr>
        <w:t>un altro</w:t>
      </w:r>
      <w:r w:rsidR="00AF0258" w:rsidRPr="003E01A4">
        <w:rPr>
          <w:rFonts w:ascii="Century Schoolbook" w:hAnsi="Century Schoolbook"/>
          <w:sz w:val="22"/>
          <w:szCs w:val="22"/>
        </w:rPr>
        <w:t xml:space="preserve"> senso</w:t>
      </w:r>
      <w:r w:rsidR="00437D17" w:rsidRPr="003E01A4">
        <w:rPr>
          <w:rFonts w:ascii="Century Schoolbook" w:hAnsi="Century Schoolbook"/>
          <w:sz w:val="22"/>
          <w:szCs w:val="22"/>
        </w:rPr>
        <w:t>, più importante</w:t>
      </w:r>
      <w:r w:rsidR="00AF0258" w:rsidRPr="003E01A4">
        <w:rPr>
          <w:rFonts w:ascii="Century Schoolbook" w:hAnsi="Century Schoolbook"/>
          <w:sz w:val="22"/>
          <w:szCs w:val="22"/>
        </w:rPr>
        <w:t>.</w:t>
      </w:r>
    </w:p>
    <w:p w14:paraId="3EC189C9" w14:textId="1E204BC2" w:rsidR="0066161F" w:rsidRPr="003E01A4" w:rsidRDefault="00A47C7C"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Essa</w:t>
      </w:r>
      <w:r w:rsidR="0066161F" w:rsidRPr="003E01A4">
        <w:rPr>
          <w:rFonts w:ascii="Century Schoolbook" w:hAnsi="Century Schoolbook"/>
          <w:sz w:val="22"/>
          <w:szCs w:val="22"/>
        </w:rPr>
        <w:t xml:space="preserve"> par dialogare con quel diritto giurisprudenziale</w:t>
      </w:r>
      <w:r w:rsidR="007B7CED" w:rsidRPr="003E01A4">
        <w:rPr>
          <w:rStyle w:val="Rimandonotaapidipagina"/>
          <w:rFonts w:ascii="Century Schoolbook" w:hAnsi="Century Schoolbook"/>
          <w:sz w:val="22"/>
          <w:szCs w:val="22"/>
        </w:rPr>
        <w:footnoteReference w:id="62"/>
      </w:r>
      <w:r w:rsidR="00DF63A9" w:rsidRPr="003E01A4">
        <w:rPr>
          <w:rFonts w:ascii="Century Schoolbook" w:hAnsi="Century Schoolbook"/>
          <w:sz w:val="22"/>
          <w:szCs w:val="22"/>
        </w:rPr>
        <w:t xml:space="preserve"> che vorrebbe </w:t>
      </w:r>
      <w:r w:rsidR="00A23346" w:rsidRPr="003E01A4">
        <w:rPr>
          <w:rFonts w:ascii="Century Schoolbook" w:hAnsi="Century Schoolbook"/>
          <w:sz w:val="22"/>
          <w:szCs w:val="22"/>
        </w:rPr>
        <w:t xml:space="preserve">invece </w:t>
      </w:r>
      <w:r w:rsidR="007B7CED" w:rsidRPr="003E01A4">
        <w:rPr>
          <w:rFonts w:ascii="Century Schoolbook" w:hAnsi="Century Schoolbook"/>
          <w:sz w:val="22"/>
          <w:szCs w:val="22"/>
        </w:rPr>
        <w:t>depotenziare</w:t>
      </w:r>
      <w:r w:rsidR="00DF63A9" w:rsidRPr="003E01A4">
        <w:rPr>
          <w:rFonts w:ascii="Century Schoolbook" w:hAnsi="Century Schoolbook"/>
          <w:sz w:val="22"/>
          <w:szCs w:val="22"/>
        </w:rPr>
        <w:t xml:space="preserve"> l’automaticità di questa specie di variante richiedendo implausibili fasi </w:t>
      </w:r>
      <w:r w:rsidR="00DF63A9" w:rsidRPr="003E01A4">
        <w:rPr>
          <w:rFonts w:ascii="Century Schoolbook" w:hAnsi="Century Schoolbook"/>
          <w:i/>
          <w:iCs/>
          <w:sz w:val="22"/>
          <w:szCs w:val="22"/>
        </w:rPr>
        <w:t>successive</w:t>
      </w:r>
      <w:r w:rsidR="00DF63A9" w:rsidRPr="003E01A4">
        <w:rPr>
          <w:rFonts w:ascii="Century Schoolbook" w:hAnsi="Century Schoolbook"/>
          <w:sz w:val="22"/>
          <w:szCs w:val="22"/>
        </w:rPr>
        <w:t xml:space="preserve"> alla decisione conferenziale</w:t>
      </w:r>
      <w:r w:rsidR="007B7CED" w:rsidRPr="003E01A4">
        <w:rPr>
          <w:rFonts w:ascii="Century Schoolbook" w:hAnsi="Century Schoolbook"/>
          <w:sz w:val="22"/>
          <w:szCs w:val="22"/>
        </w:rPr>
        <w:t xml:space="preserve"> in caso di dissenso comunale: secondo quest’orientamento, pur non avendo l’ente di prossimità un potere di veto «in considerazione dell’effetto – previsto direttamente dalla legge – di variante prodotto dalla conferenza e dall’autorizzazione unica», residuerebbe comunque in capo al Comune «un mero obbligo di recepimento»</w:t>
      </w:r>
      <w:r w:rsidR="007B7CED" w:rsidRPr="003E01A4">
        <w:rPr>
          <w:rStyle w:val="Rimandonotaapidipagina"/>
          <w:rFonts w:ascii="Century Schoolbook" w:hAnsi="Century Schoolbook"/>
          <w:sz w:val="22"/>
          <w:szCs w:val="22"/>
        </w:rPr>
        <w:footnoteReference w:id="63"/>
      </w:r>
      <w:r w:rsidR="007B7CED" w:rsidRPr="003E01A4">
        <w:rPr>
          <w:rFonts w:ascii="Century Schoolbook" w:hAnsi="Century Schoolbook"/>
          <w:sz w:val="22"/>
          <w:szCs w:val="22"/>
        </w:rPr>
        <w:t xml:space="preserve"> onde </w:t>
      </w:r>
      <w:r w:rsidRPr="003E01A4">
        <w:rPr>
          <w:rFonts w:ascii="Century Schoolbook" w:hAnsi="Century Schoolbook"/>
          <w:sz w:val="22"/>
          <w:szCs w:val="22"/>
        </w:rPr>
        <w:t xml:space="preserve">assicurare la </w:t>
      </w:r>
      <w:r w:rsidR="007B7CED" w:rsidRPr="003E01A4">
        <w:rPr>
          <w:rFonts w:ascii="Century Schoolbook" w:hAnsi="Century Schoolbook"/>
          <w:sz w:val="22"/>
          <w:szCs w:val="22"/>
        </w:rPr>
        <w:t>trascri</w:t>
      </w:r>
      <w:r w:rsidRPr="003E01A4">
        <w:rPr>
          <w:rFonts w:ascii="Century Schoolbook" w:hAnsi="Century Schoolbook"/>
          <w:sz w:val="22"/>
          <w:szCs w:val="22"/>
        </w:rPr>
        <w:t>zione</w:t>
      </w:r>
      <w:r w:rsidR="007B7CED" w:rsidRPr="003E01A4">
        <w:rPr>
          <w:rFonts w:ascii="Century Schoolbook" w:hAnsi="Century Schoolbook"/>
          <w:sz w:val="22"/>
          <w:szCs w:val="22"/>
        </w:rPr>
        <w:t xml:space="preserve"> </w:t>
      </w:r>
      <w:r w:rsidRPr="003E01A4">
        <w:rPr>
          <w:rFonts w:ascii="Century Schoolbook" w:hAnsi="Century Schoolbook"/>
          <w:sz w:val="22"/>
          <w:szCs w:val="22"/>
        </w:rPr>
        <w:t xml:space="preserve">di </w:t>
      </w:r>
      <w:r w:rsidR="007B7CED" w:rsidRPr="003E01A4">
        <w:rPr>
          <w:rFonts w:ascii="Century Schoolbook" w:hAnsi="Century Schoolbook"/>
          <w:sz w:val="22"/>
          <w:szCs w:val="22"/>
        </w:rPr>
        <w:t xml:space="preserve">quella variante nell’armatura pianificatoria. Un atteggiamento – direi – improntato a vischiosità foriere di lungaggini perniciose in caso di </w:t>
      </w:r>
      <w:r w:rsidR="00AD4A36" w:rsidRPr="003E01A4">
        <w:rPr>
          <w:rFonts w:ascii="Century Schoolbook" w:hAnsi="Century Schoolbook"/>
          <w:sz w:val="22"/>
          <w:szCs w:val="22"/>
        </w:rPr>
        <w:t xml:space="preserve">resistenze strumentali da parte dell’ente territoriale: </w:t>
      </w:r>
      <w:r w:rsidR="007B7CED" w:rsidRPr="003E01A4">
        <w:rPr>
          <w:rFonts w:ascii="Century Schoolbook" w:hAnsi="Century Schoolbook"/>
          <w:sz w:val="22"/>
          <w:szCs w:val="22"/>
        </w:rPr>
        <w:t>«</w:t>
      </w:r>
      <w:r w:rsidR="00AD4A36" w:rsidRPr="003E01A4">
        <w:rPr>
          <w:rFonts w:ascii="Century Schoolbook" w:hAnsi="Century Schoolbook"/>
          <w:sz w:val="22"/>
          <w:szCs w:val="22"/>
        </w:rPr>
        <w:t>q</w:t>
      </w:r>
      <w:r w:rsidR="007B7CED" w:rsidRPr="003E01A4">
        <w:rPr>
          <w:rFonts w:ascii="Century Schoolbook" w:hAnsi="Century Schoolbook"/>
          <w:sz w:val="22"/>
          <w:szCs w:val="22"/>
        </w:rPr>
        <w:t xml:space="preserve">uesto </w:t>
      </w:r>
      <w:r w:rsidR="00AD4A36" w:rsidRPr="003E01A4">
        <w:rPr>
          <w:rFonts w:ascii="Century Schoolbook" w:hAnsi="Century Schoolbook"/>
          <w:sz w:val="22"/>
          <w:szCs w:val="22"/>
        </w:rPr>
        <w:t xml:space="preserve">[…] </w:t>
      </w:r>
      <w:r w:rsidR="007B7CED" w:rsidRPr="003E01A4">
        <w:rPr>
          <w:rFonts w:ascii="Century Schoolbook" w:hAnsi="Century Schoolbook"/>
          <w:sz w:val="22"/>
          <w:szCs w:val="22"/>
        </w:rPr>
        <w:t xml:space="preserve">orientamento, alimentato da una certa prudenza operativa delle amministrazioni locali, ha ricevuto una certa adesione nella prassi: la deliberazione consiliare ricognitiva del provvedimento autorizzatorio si è quindi tipizzata come atto amministrativo di pianificazione, “vincolato” nella prassi. Eppure, </w:t>
      </w:r>
      <w:r w:rsidR="00AD4A36" w:rsidRPr="003E01A4">
        <w:rPr>
          <w:rFonts w:ascii="Century Schoolbook" w:hAnsi="Century Schoolbook"/>
          <w:sz w:val="22"/>
          <w:szCs w:val="22"/>
        </w:rPr>
        <w:t xml:space="preserve">[…] </w:t>
      </w:r>
      <w:r w:rsidR="007B7CED" w:rsidRPr="003E01A4">
        <w:rPr>
          <w:rFonts w:ascii="Century Schoolbook" w:hAnsi="Century Schoolbook"/>
          <w:sz w:val="22"/>
          <w:szCs w:val="22"/>
        </w:rPr>
        <w:t>nessuna norma prevede una riserva “di ricognizione” in capo al Comune, che s’impone semmai solo per ragioni di ordinata tenuta della pianificazione generale. Anche l’anomalo atto ricognitivo comunale si rivela dunque più un prodotto della prudenza amministrativa, che non della logica sistematica»</w:t>
      </w:r>
      <w:r w:rsidR="00AD4A36" w:rsidRPr="003E01A4">
        <w:rPr>
          <w:rStyle w:val="Rimandonotaapidipagina"/>
          <w:rFonts w:ascii="Century Schoolbook" w:hAnsi="Century Schoolbook"/>
          <w:sz w:val="22"/>
          <w:szCs w:val="22"/>
        </w:rPr>
        <w:footnoteReference w:id="64"/>
      </w:r>
      <w:r w:rsidR="007B7CED" w:rsidRPr="003E01A4">
        <w:rPr>
          <w:rFonts w:ascii="Century Schoolbook" w:hAnsi="Century Schoolbook"/>
          <w:sz w:val="22"/>
          <w:szCs w:val="22"/>
        </w:rPr>
        <w:t>.</w:t>
      </w:r>
    </w:p>
    <w:p w14:paraId="35FD351C" w14:textId="3339BBFC" w:rsidR="00A23346" w:rsidRPr="003E01A4" w:rsidRDefault="00A23346"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L’art. 31-</w:t>
      </w:r>
      <w:r w:rsidRPr="003E01A4">
        <w:rPr>
          <w:rFonts w:ascii="Century Schoolbook" w:hAnsi="Century Schoolbook"/>
          <w:i/>
          <w:iCs/>
          <w:sz w:val="22"/>
          <w:szCs w:val="22"/>
        </w:rPr>
        <w:t>bis</w:t>
      </w:r>
      <w:r w:rsidRPr="003E01A4">
        <w:rPr>
          <w:rFonts w:ascii="Century Schoolbook" w:hAnsi="Century Schoolbook"/>
          <w:sz w:val="22"/>
          <w:szCs w:val="22"/>
        </w:rPr>
        <w:t xml:space="preserve"> in esame</w:t>
      </w:r>
      <w:r w:rsidR="00A47C7C" w:rsidRPr="003E01A4">
        <w:rPr>
          <w:rFonts w:ascii="Century Schoolbook" w:hAnsi="Century Schoolbook"/>
          <w:sz w:val="22"/>
          <w:szCs w:val="22"/>
        </w:rPr>
        <w:t xml:space="preserve">, nella lettura che propongo, intende chiarire che </w:t>
      </w:r>
      <w:r w:rsidR="00F62B96" w:rsidRPr="003E01A4">
        <w:rPr>
          <w:rFonts w:ascii="Century Schoolbook" w:hAnsi="Century Schoolbook"/>
          <w:sz w:val="22"/>
          <w:szCs w:val="22"/>
        </w:rPr>
        <w:t>quel</w:t>
      </w:r>
      <w:r w:rsidR="00A47C7C" w:rsidRPr="003E01A4">
        <w:rPr>
          <w:rFonts w:ascii="Century Schoolbook" w:hAnsi="Century Schoolbook"/>
          <w:sz w:val="22"/>
          <w:szCs w:val="22"/>
        </w:rPr>
        <w:t xml:space="preserve">la conferenziale è davvero la </w:t>
      </w:r>
      <w:r w:rsidR="00A47C7C" w:rsidRPr="003E01A4">
        <w:rPr>
          <w:rFonts w:ascii="Century Schoolbook" w:hAnsi="Century Schoolbook"/>
          <w:i/>
          <w:iCs/>
          <w:sz w:val="22"/>
          <w:szCs w:val="22"/>
        </w:rPr>
        <w:t>Letztentscheidung</w:t>
      </w:r>
      <w:r w:rsidR="00A47C7C" w:rsidRPr="003E01A4">
        <w:rPr>
          <w:rFonts w:ascii="Century Schoolbook" w:hAnsi="Century Schoolbook"/>
          <w:sz w:val="22"/>
          <w:szCs w:val="22"/>
        </w:rPr>
        <w:t xml:space="preserve">: non v’è </w:t>
      </w:r>
      <w:r w:rsidR="00F62B96" w:rsidRPr="003E01A4">
        <w:rPr>
          <w:rFonts w:ascii="Century Schoolbook" w:hAnsi="Century Schoolbook"/>
          <w:sz w:val="22"/>
          <w:szCs w:val="22"/>
        </w:rPr>
        <w:t xml:space="preserve">più alcuno </w:t>
      </w:r>
      <w:r w:rsidR="00A47C7C" w:rsidRPr="003E01A4">
        <w:rPr>
          <w:rFonts w:ascii="Century Schoolbook" w:hAnsi="Century Schoolbook"/>
          <w:sz w:val="22"/>
          <w:szCs w:val="22"/>
        </w:rPr>
        <w:t>spazio, dopo, per appendici procedimentali di sorta, ancorché a contenuto vincolato negli esiti.</w:t>
      </w:r>
    </w:p>
    <w:p w14:paraId="4A2BBF3B" w14:textId="0114859E" w:rsidR="002F56B5" w:rsidRPr="003E01A4" w:rsidRDefault="00A47C7C"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Nel</w:t>
      </w:r>
      <w:r w:rsidR="00CB2B38" w:rsidRPr="003E01A4">
        <w:rPr>
          <w:rFonts w:ascii="Century Schoolbook" w:hAnsi="Century Schoolbook"/>
          <w:sz w:val="22"/>
          <w:szCs w:val="22"/>
        </w:rPr>
        <w:t xml:space="preserve"> successivo </w:t>
      </w:r>
      <w:r w:rsidRPr="003E01A4">
        <w:rPr>
          <w:rFonts w:ascii="Century Schoolbook" w:hAnsi="Century Schoolbook"/>
          <w:sz w:val="22"/>
          <w:szCs w:val="22"/>
        </w:rPr>
        <w:t xml:space="preserve">art. 44 </w:t>
      </w:r>
      <w:r w:rsidR="007C1461" w:rsidRPr="003E01A4">
        <w:rPr>
          <w:rFonts w:ascii="Century Schoolbook" w:hAnsi="Century Schoolbook"/>
          <w:sz w:val="22"/>
          <w:szCs w:val="22"/>
        </w:rPr>
        <w:t xml:space="preserve">(rubricato «opere pubbliche di particolare complessità o di rilevante impatto») </w:t>
      </w:r>
      <w:r w:rsidR="00CB2B38" w:rsidRPr="003E01A4">
        <w:rPr>
          <w:rFonts w:ascii="Century Schoolbook" w:hAnsi="Century Schoolbook"/>
          <w:sz w:val="22"/>
          <w:szCs w:val="22"/>
        </w:rPr>
        <w:t xml:space="preserve">sempre </w:t>
      </w:r>
      <w:r w:rsidRPr="003E01A4">
        <w:rPr>
          <w:rFonts w:ascii="Century Schoolbook" w:hAnsi="Century Schoolbook"/>
          <w:sz w:val="22"/>
          <w:szCs w:val="22"/>
        </w:rPr>
        <w:t>del nostro d.l. n. 77/’</w:t>
      </w:r>
      <w:r w:rsidR="007D0F7E" w:rsidRPr="003E01A4">
        <w:rPr>
          <w:rFonts w:ascii="Century Schoolbook" w:hAnsi="Century Schoolbook"/>
          <w:sz w:val="22"/>
          <w:szCs w:val="22"/>
        </w:rPr>
        <w:t>2</w:t>
      </w:r>
      <w:r w:rsidRPr="003E01A4">
        <w:rPr>
          <w:rFonts w:ascii="Century Schoolbook" w:hAnsi="Century Schoolbook"/>
          <w:sz w:val="22"/>
          <w:szCs w:val="22"/>
        </w:rPr>
        <w:t>1</w:t>
      </w:r>
      <w:r w:rsidR="00CB2B38" w:rsidRPr="003E01A4">
        <w:rPr>
          <w:rFonts w:ascii="Century Schoolbook" w:hAnsi="Century Schoolbook"/>
          <w:sz w:val="22"/>
          <w:szCs w:val="22"/>
        </w:rPr>
        <w:t xml:space="preserve"> – </w:t>
      </w:r>
      <w:r w:rsidR="006463B5" w:rsidRPr="003E01A4">
        <w:rPr>
          <w:rFonts w:ascii="Century Schoolbook" w:hAnsi="Century Schoolbook"/>
          <w:sz w:val="22"/>
          <w:szCs w:val="22"/>
        </w:rPr>
        <w:t>questa volta si tratta delle</w:t>
      </w:r>
      <w:r w:rsidR="00CB2B38" w:rsidRPr="003E01A4">
        <w:rPr>
          <w:rFonts w:ascii="Century Schoolbook" w:hAnsi="Century Schoolbook"/>
          <w:sz w:val="22"/>
          <w:szCs w:val="22"/>
        </w:rPr>
        <w:t xml:space="preserve"> infrastrutture ferroviarie, idriche e portuali indicate nell’allegato IV</w:t>
      </w:r>
      <w:r w:rsidR="00D62107" w:rsidRPr="003E01A4">
        <w:rPr>
          <w:rStyle w:val="Rimandonotaapidipagina"/>
          <w:rFonts w:ascii="Century Schoolbook" w:hAnsi="Century Schoolbook"/>
          <w:sz w:val="22"/>
          <w:szCs w:val="22"/>
        </w:rPr>
        <w:footnoteReference w:id="65"/>
      </w:r>
      <w:r w:rsidR="00D62107" w:rsidRPr="003E01A4">
        <w:rPr>
          <w:rFonts w:ascii="Century Schoolbook" w:hAnsi="Century Schoolbook"/>
          <w:sz w:val="22"/>
          <w:szCs w:val="22"/>
        </w:rPr>
        <w:t xml:space="preserve"> </w:t>
      </w:r>
      <w:r w:rsidR="00CB2B38" w:rsidRPr="003E01A4">
        <w:rPr>
          <w:rFonts w:ascii="Century Schoolbook" w:hAnsi="Century Schoolbook"/>
          <w:sz w:val="22"/>
          <w:szCs w:val="22"/>
        </w:rPr>
        <w:t xml:space="preserve"> dello stesso d.l.– </w:t>
      </w:r>
      <w:r w:rsidRPr="003E01A4">
        <w:rPr>
          <w:rFonts w:ascii="Century Schoolbook" w:hAnsi="Century Schoolbook"/>
          <w:sz w:val="22"/>
          <w:szCs w:val="22"/>
        </w:rPr>
        <w:t>cambia la costruzione dei periodi, ma non la sostanza</w:t>
      </w:r>
      <w:r w:rsidR="00B90A80" w:rsidRPr="003E01A4">
        <w:rPr>
          <w:rFonts w:ascii="Century Schoolbook" w:hAnsi="Century Schoolbook"/>
          <w:sz w:val="22"/>
          <w:szCs w:val="22"/>
        </w:rPr>
        <w:t>.</w:t>
      </w:r>
      <w:r w:rsidR="00D62107" w:rsidRPr="003E01A4">
        <w:rPr>
          <w:rFonts w:ascii="Century Schoolbook" w:hAnsi="Century Schoolbook"/>
          <w:sz w:val="22"/>
          <w:szCs w:val="22"/>
        </w:rPr>
        <w:t xml:space="preserve"> </w:t>
      </w:r>
      <w:r w:rsidR="00F9490D" w:rsidRPr="003E01A4">
        <w:rPr>
          <w:rFonts w:ascii="Century Schoolbook" w:hAnsi="Century Schoolbook"/>
          <w:sz w:val="22"/>
          <w:szCs w:val="22"/>
        </w:rPr>
        <w:t xml:space="preserve">La sequenza </w:t>
      </w:r>
      <w:r w:rsidR="00CB2B38" w:rsidRPr="003E01A4">
        <w:rPr>
          <w:rFonts w:ascii="Century Schoolbook" w:hAnsi="Century Schoolbook"/>
          <w:sz w:val="22"/>
          <w:szCs w:val="22"/>
        </w:rPr>
        <w:t>e gli effetti sono</w:t>
      </w:r>
      <w:r w:rsidR="00F9490D" w:rsidRPr="003E01A4">
        <w:rPr>
          <w:rFonts w:ascii="Century Schoolbook" w:hAnsi="Century Schoolbook"/>
          <w:sz w:val="22"/>
          <w:szCs w:val="22"/>
        </w:rPr>
        <w:t xml:space="preserve"> </w:t>
      </w:r>
      <w:r w:rsidR="007C1461" w:rsidRPr="003E01A4">
        <w:rPr>
          <w:rFonts w:ascii="Century Schoolbook" w:hAnsi="Century Schoolbook"/>
          <w:sz w:val="22"/>
          <w:szCs w:val="22"/>
        </w:rPr>
        <w:t>egual</w:t>
      </w:r>
      <w:r w:rsidR="00CB2B38" w:rsidRPr="003E01A4">
        <w:rPr>
          <w:rFonts w:ascii="Century Schoolbook" w:hAnsi="Century Schoolbook"/>
          <w:sz w:val="22"/>
          <w:szCs w:val="22"/>
        </w:rPr>
        <w:t>i</w:t>
      </w:r>
      <w:r w:rsidR="007C1461" w:rsidRPr="003E01A4">
        <w:rPr>
          <w:rFonts w:ascii="Century Schoolbook" w:hAnsi="Century Schoolbook"/>
          <w:sz w:val="22"/>
          <w:szCs w:val="22"/>
        </w:rPr>
        <w:t>: c</w:t>
      </w:r>
      <w:r w:rsidR="00F9490D" w:rsidRPr="003E01A4">
        <w:rPr>
          <w:rFonts w:ascii="Century Schoolbook" w:hAnsi="Century Schoolbook"/>
          <w:sz w:val="22"/>
          <w:szCs w:val="22"/>
        </w:rPr>
        <w:t>onferenza di servizi e determinazione conclusiva che «tiene luogo […] della conformità urbanistica. […] La variante urbanistica, conseguente alla determinazione conclusiva della conferenza, comporta l'assoggettamento dell</w:t>
      </w:r>
      <w:r w:rsidR="00CB2B38" w:rsidRPr="003E01A4">
        <w:rPr>
          <w:rFonts w:ascii="Century Schoolbook" w:hAnsi="Century Schoolbook"/>
          <w:sz w:val="22"/>
          <w:szCs w:val="22"/>
        </w:rPr>
        <w:t>’</w:t>
      </w:r>
      <w:r w:rsidR="00F9490D" w:rsidRPr="003E01A4">
        <w:rPr>
          <w:rFonts w:ascii="Century Schoolbook" w:hAnsi="Century Schoolbook"/>
          <w:sz w:val="22"/>
          <w:szCs w:val="22"/>
        </w:rPr>
        <w:t>area a vincolo preordinato all</w:t>
      </w:r>
      <w:r w:rsidR="00CB2B38" w:rsidRPr="003E01A4">
        <w:rPr>
          <w:rFonts w:ascii="Century Schoolbook" w:hAnsi="Century Schoolbook"/>
          <w:sz w:val="22"/>
          <w:szCs w:val="22"/>
        </w:rPr>
        <w:t>’</w:t>
      </w:r>
      <w:r w:rsidR="00F9490D" w:rsidRPr="003E01A4">
        <w:rPr>
          <w:rFonts w:ascii="Century Schoolbook" w:hAnsi="Century Schoolbook"/>
          <w:sz w:val="22"/>
          <w:szCs w:val="22"/>
        </w:rPr>
        <w:t>esproprio […]»</w:t>
      </w:r>
      <w:r w:rsidR="007C1461" w:rsidRPr="003E01A4">
        <w:rPr>
          <w:rFonts w:ascii="Century Schoolbook" w:hAnsi="Century Schoolbook"/>
          <w:sz w:val="22"/>
          <w:szCs w:val="22"/>
        </w:rPr>
        <w:t xml:space="preserve"> (così il comma 4)</w:t>
      </w:r>
      <w:r w:rsidR="007C1461" w:rsidRPr="003E01A4">
        <w:rPr>
          <w:rStyle w:val="Rimandonotaapidipagina"/>
          <w:rFonts w:ascii="Century Schoolbook" w:hAnsi="Century Schoolbook"/>
          <w:sz w:val="22"/>
          <w:szCs w:val="22"/>
        </w:rPr>
        <w:footnoteReference w:id="66"/>
      </w:r>
      <w:r w:rsidR="00F9490D" w:rsidRPr="003E01A4">
        <w:rPr>
          <w:rFonts w:ascii="Century Schoolbook" w:hAnsi="Century Schoolbook"/>
          <w:sz w:val="22"/>
          <w:szCs w:val="22"/>
        </w:rPr>
        <w:t>.</w:t>
      </w:r>
      <w:r w:rsidR="00275E19" w:rsidRPr="003E01A4">
        <w:rPr>
          <w:rFonts w:ascii="Century Schoolbook" w:hAnsi="Century Schoolbook"/>
          <w:sz w:val="22"/>
          <w:szCs w:val="22"/>
        </w:rPr>
        <w:t xml:space="preserve"> Nessuno spazio per propaggini e code trascrittive dell’intervento negli elaborati dello strumento urbanistico</w:t>
      </w:r>
      <w:r w:rsidR="000B31E2" w:rsidRPr="003E01A4">
        <w:rPr>
          <w:rFonts w:ascii="Century Schoolbook" w:hAnsi="Century Schoolbook"/>
          <w:sz w:val="22"/>
          <w:szCs w:val="22"/>
        </w:rPr>
        <w:t xml:space="preserve"> comunale: all’ente di prossimità spetta solo la gestione in salvaguardia</w:t>
      </w:r>
      <w:r w:rsidR="00275E19" w:rsidRPr="003E01A4">
        <w:rPr>
          <w:rFonts w:ascii="Century Schoolbook" w:hAnsi="Century Schoolbook"/>
          <w:sz w:val="22"/>
          <w:szCs w:val="22"/>
        </w:rPr>
        <w:t>.</w:t>
      </w:r>
      <w:r w:rsidR="002F56B5" w:rsidRPr="003E01A4">
        <w:rPr>
          <w:rFonts w:ascii="Century Schoolbook" w:hAnsi="Century Schoolbook"/>
          <w:sz w:val="22"/>
          <w:szCs w:val="22"/>
        </w:rPr>
        <w:t xml:space="preserve"> </w:t>
      </w:r>
    </w:p>
    <w:p w14:paraId="1C1BE6EC" w14:textId="5AA7318D" w:rsidR="002F56B5" w:rsidRPr="003E01A4" w:rsidRDefault="00E11757"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Anche </w:t>
      </w:r>
      <w:r w:rsidR="002001A4" w:rsidRPr="003E01A4">
        <w:rPr>
          <w:rFonts w:ascii="Century Schoolbook" w:hAnsi="Century Schoolbook"/>
          <w:sz w:val="22"/>
          <w:szCs w:val="22"/>
        </w:rPr>
        <w:t>un’altra disposizione contenuta nel d.l. n. 77/’</w:t>
      </w:r>
      <w:r w:rsidR="007D0F7E" w:rsidRPr="003E01A4">
        <w:rPr>
          <w:rFonts w:ascii="Century Schoolbook" w:hAnsi="Century Schoolbook"/>
          <w:sz w:val="22"/>
          <w:szCs w:val="22"/>
        </w:rPr>
        <w:t>2</w:t>
      </w:r>
      <w:r w:rsidR="002001A4" w:rsidRPr="003E01A4">
        <w:rPr>
          <w:rFonts w:ascii="Century Schoolbook" w:hAnsi="Century Schoolbook"/>
          <w:sz w:val="22"/>
          <w:szCs w:val="22"/>
        </w:rPr>
        <w:t xml:space="preserve">1 si muove nella scia del modello a variante automatica: è </w:t>
      </w:r>
      <w:r w:rsidR="0054247F" w:rsidRPr="003E01A4">
        <w:rPr>
          <w:rFonts w:ascii="Century Schoolbook" w:hAnsi="Century Schoolbook"/>
          <w:sz w:val="22"/>
          <w:szCs w:val="22"/>
        </w:rPr>
        <w:t>l’art. 5-</w:t>
      </w:r>
      <w:r w:rsidR="0054247F" w:rsidRPr="003E01A4">
        <w:rPr>
          <w:rFonts w:ascii="Century Schoolbook" w:hAnsi="Century Schoolbook"/>
          <w:i/>
          <w:iCs/>
          <w:sz w:val="22"/>
          <w:szCs w:val="22"/>
        </w:rPr>
        <w:t>bis</w:t>
      </w:r>
      <w:r w:rsidR="00AA409B" w:rsidRPr="003E01A4">
        <w:rPr>
          <w:rStyle w:val="Rimandonotaapidipagina"/>
          <w:rFonts w:ascii="Century Schoolbook" w:hAnsi="Century Schoolbook"/>
          <w:sz w:val="22"/>
          <w:szCs w:val="22"/>
        </w:rPr>
        <w:footnoteReference w:id="67"/>
      </w:r>
      <w:r w:rsidR="0054247F" w:rsidRPr="003E01A4">
        <w:rPr>
          <w:rFonts w:ascii="Century Schoolbook" w:hAnsi="Century Schoolbook"/>
          <w:sz w:val="22"/>
          <w:szCs w:val="22"/>
        </w:rPr>
        <w:t xml:space="preserve"> del d.l. 20 giugno 2017, n. 91 (convertito dalla l. 3 agosto 2017, n. 123), inserito dal</w:t>
      </w:r>
      <w:r w:rsidRPr="003E01A4">
        <w:rPr>
          <w:rFonts w:ascii="Century Schoolbook" w:hAnsi="Century Schoolbook"/>
          <w:sz w:val="22"/>
          <w:szCs w:val="22"/>
        </w:rPr>
        <w:t>l’a</w:t>
      </w:r>
      <w:r w:rsidR="002F56B5" w:rsidRPr="003E01A4">
        <w:rPr>
          <w:rFonts w:ascii="Century Schoolbook" w:hAnsi="Century Schoolbook"/>
          <w:sz w:val="22"/>
          <w:szCs w:val="22"/>
        </w:rPr>
        <w:t>rt. 57</w:t>
      </w:r>
      <w:r w:rsidRPr="003E01A4">
        <w:rPr>
          <w:rFonts w:ascii="Century Schoolbook" w:hAnsi="Century Schoolbook"/>
          <w:sz w:val="22"/>
          <w:szCs w:val="22"/>
        </w:rPr>
        <w:t xml:space="preserve"> del d.l. cit.</w:t>
      </w:r>
      <w:r w:rsidR="002001A4" w:rsidRPr="003E01A4">
        <w:rPr>
          <w:rFonts w:ascii="Century Schoolbook" w:hAnsi="Century Schoolbook"/>
          <w:sz w:val="22"/>
          <w:szCs w:val="22"/>
        </w:rPr>
        <w:t>, dove si</w:t>
      </w:r>
      <w:r w:rsidR="00D4570D" w:rsidRPr="003E01A4">
        <w:rPr>
          <w:rFonts w:ascii="Century Schoolbook" w:hAnsi="Century Schoolbook"/>
          <w:sz w:val="22"/>
          <w:szCs w:val="22"/>
        </w:rPr>
        <w:t xml:space="preserve"> stabilisce </w:t>
      </w:r>
      <w:r w:rsidR="0054247F" w:rsidRPr="003E01A4">
        <w:rPr>
          <w:rFonts w:ascii="Century Schoolbook" w:hAnsi="Century Schoolbook"/>
          <w:sz w:val="22"/>
          <w:szCs w:val="22"/>
        </w:rPr>
        <w:t xml:space="preserve">anzitutto </w:t>
      </w:r>
      <w:r w:rsidR="00D4570D" w:rsidRPr="003E01A4">
        <w:rPr>
          <w:rFonts w:ascii="Century Schoolbook" w:hAnsi="Century Schoolbook"/>
          <w:sz w:val="22"/>
          <w:szCs w:val="22"/>
        </w:rPr>
        <w:t>che «i progetti inerenti alle attività economiche ovvero all’insediamento di attività industriali, produttive e logistiche all'interno delle ZES […] sono soggetti ad autorizzazione unica […]. L</w:t>
      </w:r>
      <w:r w:rsidR="00540F41" w:rsidRPr="003E01A4">
        <w:rPr>
          <w:rFonts w:ascii="Century Schoolbook" w:hAnsi="Century Schoolbook"/>
          <w:sz w:val="22"/>
          <w:szCs w:val="22"/>
        </w:rPr>
        <w:t>’</w:t>
      </w:r>
      <w:r w:rsidR="00D4570D" w:rsidRPr="003E01A4">
        <w:rPr>
          <w:rFonts w:ascii="Century Schoolbook" w:hAnsi="Century Schoolbook"/>
          <w:sz w:val="22"/>
          <w:szCs w:val="22"/>
        </w:rPr>
        <w:t>autorizzazione unica, ove necessario, costituisce variante agli strumenti urbanistici e di pianificazione territoriale, ad eccezione del piano paesaggistico regionale</w:t>
      </w:r>
      <w:r w:rsidR="0054247F" w:rsidRPr="003E01A4">
        <w:rPr>
          <w:rFonts w:ascii="Century Schoolbook" w:hAnsi="Century Schoolbook"/>
          <w:sz w:val="22"/>
          <w:szCs w:val="22"/>
        </w:rPr>
        <w:t>»</w:t>
      </w:r>
      <w:r w:rsidR="00AA409B" w:rsidRPr="003E01A4">
        <w:rPr>
          <w:rFonts w:ascii="Century Schoolbook" w:hAnsi="Century Schoolbook"/>
          <w:sz w:val="22"/>
          <w:szCs w:val="22"/>
        </w:rPr>
        <w:t>;</w:t>
      </w:r>
      <w:r w:rsidR="00D4570D" w:rsidRPr="003E01A4">
        <w:rPr>
          <w:rFonts w:ascii="Century Schoolbook" w:hAnsi="Century Schoolbook"/>
          <w:sz w:val="22"/>
          <w:szCs w:val="22"/>
        </w:rPr>
        <w:t xml:space="preserve"> </w:t>
      </w:r>
      <w:r w:rsidR="0054247F" w:rsidRPr="003E01A4">
        <w:rPr>
          <w:rFonts w:ascii="Century Schoolbook" w:hAnsi="Century Schoolbook"/>
          <w:sz w:val="22"/>
          <w:szCs w:val="22"/>
        </w:rPr>
        <w:t>E che</w:t>
      </w:r>
      <w:r w:rsidR="00AA409B" w:rsidRPr="003E01A4">
        <w:rPr>
          <w:rFonts w:ascii="Century Schoolbook" w:hAnsi="Century Schoolbook"/>
          <w:sz w:val="22"/>
          <w:szCs w:val="22"/>
        </w:rPr>
        <w:t>, a sua volta,</w:t>
      </w:r>
      <w:r w:rsidR="0054247F" w:rsidRPr="003E01A4">
        <w:rPr>
          <w:rFonts w:ascii="Century Schoolbook" w:hAnsi="Century Schoolbook"/>
          <w:sz w:val="22"/>
          <w:szCs w:val="22"/>
        </w:rPr>
        <w:t xml:space="preserve"> «</w:t>
      </w:r>
      <w:r w:rsidR="00AA409B" w:rsidRPr="003E01A4">
        <w:rPr>
          <w:rFonts w:ascii="Century Schoolbook" w:hAnsi="Century Schoolbook"/>
          <w:sz w:val="22"/>
          <w:szCs w:val="22"/>
        </w:rPr>
        <w:t>l</w:t>
      </w:r>
      <w:r w:rsidR="002001A4" w:rsidRPr="003E01A4">
        <w:rPr>
          <w:rFonts w:ascii="Century Schoolbook" w:hAnsi="Century Schoolbook"/>
          <w:sz w:val="22"/>
          <w:szCs w:val="22"/>
        </w:rPr>
        <w:t>’</w:t>
      </w:r>
      <w:r w:rsidR="00D4570D" w:rsidRPr="003E01A4">
        <w:rPr>
          <w:rFonts w:ascii="Century Schoolbook" w:hAnsi="Century Schoolbook"/>
          <w:sz w:val="22"/>
          <w:szCs w:val="22"/>
        </w:rPr>
        <w:t>autorizzazione unica, nella quale confluiscono tutti gli atti di autorizzazione, assenso e nulla osta comunque denominati, previsti dalla vigente legislazione in relazione all</w:t>
      </w:r>
      <w:r w:rsidR="002001A4" w:rsidRPr="003E01A4">
        <w:rPr>
          <w:rFonts w:ascii="Century Schoolbook" w:hAnsi="Century Schoolbook"/>
          <w:sz w:val="22"/>
          <w:szCs w:val="22"/>
        </w:rPr>
        <w:t>’</w:t>
      </w:r>
      <w:r w:rsidR="00D4570D" w:rsidRPr="003E01A4">
        <w:rPr>
          <w:rFonts w:ascii="Century Schoolbook" w:hAnsi="Century Schoolbook"/>
          <w:sz w:val="22"/>
          <w:szCs w:val="22"/>
        </w:rPr>
        <w:t>opera da eseguire, al progetto da approvare o all</w:t>
      </w:r>
      <w:r w:rsidR="00540F41" w:rsidRPr="003E01A4">
        <w:rPr>
          <w:rFonts w:ascii="Century Schoolbook" w:hAnsi="Century Schoolbook"/>
          <w:sz w:val="22"/>
          <w:szCs w:val="22"/>
        </w:rPr>
        <w:t>’</w:t>
      </w:r>
      <w:r w:rsidR="00D4570D" w:rsidRPr="003E01A4">
        <w:rPr>
          <w:rFonts w:ascii="Century Schoolbook" w:hAnsi="Century Schoolbook"/>
          <w:sz w:val="22"/>
          <w:szCs w:val="22"/>
        </w:rPr>
        <w:t>attività da intraprendere, è rilasciata dal Commissario straordinario della ZES</w:t>
      </w:r>
      <w:r w:rsidR="00AA409B" w:rsidRPr="003E01A4">
        <w:rPr>
          <w:rFonts w:ascii="Century Schoolbook" w:hAnsi="Century Schoolbook"/>
          <w:sz w:val="22"/>
          <w:szCs w:val="22"/>
        </w:rPr>
        <w:t xml:space="preserve"> […] </w:t>
      </w:r>
      <w:r w:rsidR="00D4570D" w:rsidRPr="003E01A4">
        <w:rPr>
          <w:rFonts w:ascii="Century Schoolbook" w:hAnsi="Century Schoolbook"/>
          <w:sz w:val="22"/>
          <w:szCs w:val="22"/>
        </w:rPr>
        <w:t>in esito ad apposita conferenza di servizi</w:t>
      </w:r>
      <w:r w:rsidR="00E04687" w:rsidRPr="003E01A4">
        <w:rPr>
          <w:rFonts w:ascii="Century Schoolbook" w:hAnsi="Century Schoolbook"/>
          <w:sz w:val="22"/>
          <w:szCs w:val="22"/>
        </w:rPr>
        <w:t xml:space="preserve"> </w:t>
      </w:r>
      <w:r w:rsidR="00AA409B" w:rsidRPr="003E01A4">
        <w:rPr>
          <w:rFonts w:ascii="Century Schoolbook" w:hAnsi="Century Schoolbook"/>
          <w:sz w:val="22"/>
          <w:szCs w:val="22"/>
        </w:rPr>
        <w:t xml:space="preserve">[…]»; infine, </w:t>
      </w:r>
      <w:r w:rsidR="002001A4" w:rsidRPr="003E01A4">
        <w:rPr>
          <w:rFonts w:ascii="Century Schoolbook" w:hAnsi="Century Schoolbook"/>
          <w:sz w:val="22"/>
          <w:szCs w:val="22"/>
        </w:rPr>
        <w:t xml:space="preserve">si </w:t>
      </w:r>
      <w:r w:rsidR="00AA409B" w:rsidRPr="003E01A4">
        <w:rPr>
          <w:rFonts w:ascii="Century Schoolbook" w:hAnsi="Century Schoolbook"/>
          <w:sz w:val="22"/>
          <w:szCs w:val="22"/>
        </w:rPr>
        <w:t>prevede che</w:t>
      </w:r>
      <w:r w:rsidR="00D4570D" w:rsidRPr="003E01A4">
        <w:rPr>
          <w:rFonts w:ascii="Century Schoolbook" w:hAnsi="Century Schoolbook"/>
          <w:sz w:val="22"/>
          <w:szCs w:val="22"/>
        </w:rPr>
        <w:t xml:space="preserve"> </w:t>
      </w:r>
      <w:r w:rsidR="00AA409B" w:rsidRPr="003E01A4">
        <w:rPr>
          <w:rFonts w:ascii="Century Schoolbook" w:hAnsi="Century Schoolbook"/>
          <w:sz w:val="22"/>
          <w:szCs w:val="22"/>
        </w:rPr>
        <w:t>«i</w:t>
      </w:r>
      <w:r w:rsidR="00D4570D" w:rsidRPr="003E01A4">
        <w:rPr>
          <w:rFonts w:ascii="Century Schoolbook" w:hAnsi="Century Schoolbook"/>
          <w:sz w:val="22"/>
          <w:szCs w:val="22"/>
        </w:rPr>
        <w:t>l rilascio dell</w:t>
      </w:r>
      <w:r w:rsidR="00540F41" w:rsidRPr="003E01A4">
        <w:rPr>
          <w:rFonts w:ascii="Century Schoolbook" w:hAnsi="Century Schoolbook"/>
          <w:sz w:val="22"/>
          <w:szCs w:val="22"/>
        </w:rPr>
        <w:t>’</w:t>
      </w:r>
      <w:r w:rsidR="00D4570D" w:rsidRPr="003E01A4">
        <w:rPr>
          <w:rFonts w:ascii="Century Schoolbook" w:hAnsi="Century Schoolbook"/>
          <w:sz w:val="22"/>
          <w:szCs w:val="22"/>
        </w:rPr>
        <w:t>autorizzazione unica sostituisce ogni altra autorizzazione, approvazione e parere comunque denominati e consente la realizzazione di tutte le opere, prestazioni e attività previste nel progetto</w:t>
      </w:r>
      <w:r w:rsidR="00AA409B" w:rsidRPr="003E01A4">
        <w:rPr>
          <w:rFonts w:ascii="Century Schoolbook" w:hAnsi="Century Schoolbook"/>
          <w:sz w:val="22"/>
          <w:szCs w:val="22"/>
        </w:rPr>
        <w:t>»</w:t>
      </w:r>
      <w:r w:rsidR="00D4570D" w:rsidRPr="003E01A4">
        <w:rPr>
          <w:rFonts w:ascii="Century Schoolbook" w:hAnsi="Century Schoolbook"/>
          <w:sz w:val="22"/>
          <w:szCs w:val="22"/>
        </w:rPr>
        <w:t>.</w:t>
      </w:r>
    </w:p>
    <w:p w14:paraId="04974BE6" w14:textId="3F7FF3DB" w:rsidR="000D6ABD" w:rsidRPr="003E01A4" w:rsidRDefault="00461655"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Nel segno del PNRR la normazione si orienta oramai verso schemi che prescindono da</w:t>
      </w:r>
      <w:r w:rsidR="00532C8F" w:rsidRPr="003E01A4">
        <w:rPr>
          <w:rFonts w:ascii="Century Schoolbook" w:hAnsi="Century Schoolbook"/>
          <w:sz w:val="22"/>
          <w:szCs w:val="22"/>
        </w:rPr>
        <w:t xml:space="preserve"> un </w:t>
      </w:r>
      <w:r w:rsidRPr="003E01A4">
        <w:rPr>
          <w:rFonts w:ascii="Century Schoolbook" w:hAnsi="Century Schoolbook"/>
          <w:sz w:val="22"/>
          <w:szCs w:val="22"/>
        </w:rPr>
        <w:t xml:space="preserve">ruolo </w:t>
      </w:r>
      <w:r w:rsidR="00532C8F" w:rsidRPr="003E01A4">
        <w:rPr>
          <w:rFonts w:ascii="Century Schoolbook" w:hAnsi="Century Schoolbook"/>
          <w:sz w:val="22"/>
          <w:szCs w:val="22"/>
        </w:rPr>
        <w:t xml:space="preserve">protagonista </w:t>
      </w:r>
      <w:r w:rsidRPr="003E01A4">
        <w:rPr>
          <w:rFonts w:ascii="Century Schoolbook" w:hAnsi="Century Schoolbook"/>
          <w:sz w:val="22"/>
          <w:szCs w:val="22"/>
        </w:rPr>
        <w:t>delle autonomie. Il potere comunale di veto</w:t>
      </w:r>
      <w:r w:rsidR="00532C8F" w:rsidRPr="003E01A4">
        <w:rPr>
          <w:rFonts w:ascii="Century Schoolbook" w:hAnsi="Century Schoolbook"/>
          <w:sz w:val="22"/>
          <w:szCs w:val="22"/>
        </w:rPr>
        <w:t>,</w:t>
      </w:r>
      <w:r w:rsidRPr="003E01A4">
        <w:rPr>
          <w:rFonts w:ascii="Century Schoolbook" w:hAnsi="Century Schoolbook"/>
          <w:sz w:val="22"/>
          <w:szCs w:val="22"/>
        </w:rPr>
        <w:t xml:space="preserve"> </w:t>
      </w:r>
      <w:r w:rsidR="00532C8F" w:rsidRPr="003E01A4">
        <w:rPr>
          <w:rFonts w:ascii="Century Schoolbook" w:hAnsi="Century Schoolbook"/>
          <w:sz w:val="22"/>
          <w:szCs w:val="22"/>
        </w:rPr>
        <w:t>sostanzialmente riconosciu</w:t>
      </w:r>
      <w:r w:rsidRPr="003E01A4">
        <w:rPr>
          <w:rFonts w:ascii="Century Schoolbook" w:hAnsi="Century Schoolbook"/>
          <w:sz w:val="22"/>
          <w:szCs w:val="22"/>
        </w:rPr>
        <w:t>to dall’art. 8, d.P.R. n. 160/’10</w:t>
      </w:r>
      <w:r w:rsidR="00532C8F" w:rsidRPr="003E01A4">
        <w:rPr>
          <w:rFonts w:ascii="Century Schoolbook" w:hAnsi="Century Schoolbook"/>
          <w:sz w:val="22"/>
          <w:szCs w:val="22"/>
        </w:rPr>
        <w:t>,</w:t>
      </w:r>
      <w:r w:rsidRPr="003E01A4">
        <w:rPr>
          <w:rFonts w:ascii="Century Schoolbook" w:hAnsi="Century Schoolbook"/>
          <w:sz w:val="22"/>
          <w:szCs w:val="22"/>
        </w:rPr>
        <w:t xml:space="preserve"> è un ricordo lontano</w:t>
      </w:r>
      <w:r w:rsidR="00532C8F" w:rsidRPr="003E01A4">
        <w:rPr>
          <w:rFonts w:ascii="Century Schoolbook" w:hAnsi="Century Schoolbook"/>
          <w:sz w:val="22"/>
          <w:szCs w:val="22"/>
        </w:rPr>
        <w:t>:</w:t>
      </w:r>
      <w:r w:rsidRPr="003E01A4">
        <w:rPr>
          <w:rFonts w:ascii="Century Schoolbook" w:hAnsi="Century Schoolbook"/>
          <w:sz w:val="22"/>
          <w:szCs w:val="22"/>
        </w:rPr>
        <w:t xml:space="preserve"> insostenibile nella sua dimensione politica tutta calibrata sulle esigenze dell</w:t>
      </w:r>
      <w:r w:rsidR="006463B5" w:rsidRPr="003E01A4">
        <w:rPr>
          <w:rFonts w:ascii="Century Schoolbook" w:hAnsi="Century Schoolbook"/>
          <w:sz w:val="22"/>
          <w:szCs w:val="22"/>
        </w:rPr>
        <w:t>e</w:t>
      </w:r>
      <w:r w:rsidRPr="003E01A4">
        <w:rPr>
          <w:rFonts w:ascii="Century Schoolbook" w:hAnsi="Century Schoolbook"/>
          <w:sz w:val="22"/>
          <w:szCs w:val="22"/>
        </w:rPr>
        <w:t xml:space="preserve"> municipalità, </w:t>
      </w:r>
      <w:r w:rsidR="00532C8F" w:rsidRPr="003E01A4">
        <w:rPr>
          <w:rFonts w:ascii="Century Schoolbook" w:hAnsi="Century Schoolbook"/>
          <w:sz w:val="22"/>
          <w:szCs w:val="22"/>
        </w:rPr>
        <w:t xml:space="preserve">di volta in volta </w:t>
      </w:r>
      <w:r w:rsidRPr="003E01A4">
        <w:rPr>
          <w:rFonts w:ascii="Century Schoolbook" w:hAnsi="Century Schoolbook"/>
          <w:sz w:val="22"/>
          <w:szCs w:val="22"/>
        </w:rPr>
        <w:t xml:space="preserve">percepite </w:t>
      </w:r>
      <w:r w:rsidR="00532C8F" w:rsidRPr="003E01A4">
        <w:rPr>
          <w:rFonts w:ascii="Century Schoolbook" w:hAnsi="Century Schoolbook"/>
          <w:sz w:val="22"/>
          <w:szCs w:val="22"/>
        </w:rPr>
        <w:t xml:space="preserve">e interpretate </w:t>
      </w:r>
      <w:r w:rsidRPr="003E01A4">
        <w:rPr>
          <w:rFonts w:ascii="Century Schoolbook" w:hAnsi="Century Schoolbook"/>
          <w:sz w:val="22"/>
          <w:szCs w:val="22"/>
        </w:rPr>
        <w:t>da</w:t>
      </w:r>
      <w:r w:rsidR="00532C8F" w:rsidRPr="003E01A4">
        <w:rPr>
          <w:rFonts w:ascii="Century Schoolbook" w:hAnsi="Century Schoolbook"/>
          <w:sz w:val="22"/>
          <w:szCs w:val="22"/>
        </w:rPr>
        <w:t>gli umori mutevoli de</w:t>
      </w:r>
      <w:r w:rsidRPr="003E01A4">
        <w:rPr>
          <w:rFonts w:ascii="Century Schoolbook" w:hAnsi="Century Schoolbook"/>
          <w:sz w:val="22"/>
          <w:szCs w:val="22"/>
        </w:rPr>
        <w:t xml:space="preserve">ll’organo rappresentativo. La stessa visione </w:t>
      </w:r>
      <w:r w:rsidR="00E04687" w:rsidRPr="003E01A4">
        <w:rPr>
          <w:rFonts w:ascii="Century Schoolbook" w:hAnsi="Century Schoolbook"/>
          <w:sz w:val="22"/>
          <w:szCs w:val="22"/>
        </w:rPr>
        <w:t xml:space="preserve">prossimalista </w:t>
      </w:r>
      <w:r w:rsidRPr="003E01A4">
        <w:rPr>
          <w:rFonts w:ascii="Century Schoolbook" w:hAnsi="Century Schoolbook"/>
          <w:sz w:val="22"/>
          <w:szCs w:val="22"/>
        </w:rPr>
        <w:t>che accompagnò la riforma del 2001</w:t>
      </w:r>
      <w:r w:rsidR="00532C8F" w:rsidRPr="003E01A4">
        <w:rPr>
          <w:rFonts w:ascii="Century Schoolbook" w:hAnsi="Century Schoolbook"/>
          <w:sz w:val="22"/>
          <w:szCs w:val="22"/>
        </w:rPr>
        <w:t xml:space="preserve"> suona remota</w:t>
      </w:r>
      <w:r w:rsidR="006463B5" w:rsidRPr="003E01A4">
        <w:rPr>
          <w:rStyle w:val="Rimandonotaapidipagina"/>
          <w:rFonts w:ascii="Century Schoolbook" w:hAnsi="Century Schoolbook"/>
          <w:sz w:val="22"/>
          <w:szCs w:val="22"/>
        </w:rPr>
        <w:footnoteReference w:id="68"/>
      </w:r>
      <w:r w:rsidR="00532C8F" w:rsidRPr="003E01A4">
        <w:rPr>
          <w:rFonts w:ascii="Century Schoolbook" w:hAnsi="Century Schoolbook"/>
          <w:sz w:val="22"/>
          <w:szCs w:val="22"/>
        </w:rPr>
        <w:t xml:space="preserve">. </w:t>
      </w:r>
    </w:p>
    <w:p w14:paraId="21A01197" w14:textId="577FDC71" w:rsidR="00E9273C" w:rsidRPr="003E01A4" w:rsidRDefault="00532C8F"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È un tempo diverso. Dopo il d.l. n. 77/’</w:t>
      </w:r>
      <w:r w:rsidR="000D6ABD" w:rsidRPr="003E01A4">
        <w:rPr>
          <w:rFonts w:ascii="Century Schoolbook" w:hAnsi="Century Schoolbook"/>
          <w:sz w:val="22"/>
          <w:szCs w:val="22"/>
        </w:rPr>
        <w:t>2</w:t>
      </w:r>
      <w:r w:rsidRPr="003E01A4">
        <w:rPr>
          <w:rFonts w:ascii="Century Schoolbook" w:hAnsi="Century Schoolbook"/>
          <w:sz w:val="22"/>
          <w:szCs w:val="22"/>
        </w:rPr>
        <w:t xml:space="preserve">1, a scandire ritmi cadenzati </w:t>
      </w:r>
      <w:r w:rsidR="00D62107" w:rsidRPr="003E01A4">
        <w:rPr>
          <w:rFonts w:ascii="Century Schoolbook" w:hAnsi="Century Schoolbook"/>
          <w:sz w:val="22"/>
          <w:szCs w:val="22"/>
        </w:rPr>
        <w:t xml:space="preserve">e urgenti </w:t>
      </w:r>
      <w:r w:rsidRPr="003E01A4">
        <w:rPr>
          <w:rFonts w:ascii="Century Schoolbook" w:hAnsi="Century Schoolbook"/>
          <w:sz w:val="22"/>
          <w:szCs w:val="22"/>
        </w:rPr>
        <w:t>provvedono normazioni</w:t>
      </w:r>
      <w:r w:rsidR="00D62107" w:rsidRPr="003E01A4">
        <w:rPr>
          <w:rFonts w:ascii="Century Schoolbook" w:hAnsi="Century Schoolbook"/>
          <w:sz w:val="22"/>
          <w:szCs w:val="22"/>
        </w:rPr>
        <w:t xml:space="preserve"> ulteriori</w:t>
      </w:r>
      <w:r w:rsidRPr="003E01A4">
        <w:rPr>
          <w:rFonts w:ascii="Century Schoolbook" w:hAnsi="Century Schoolbook"/>
          <w:sz w:val="22"/>
          <w:szCs w:val="22"/>
        </w:rPr>
        <w:t xml:space="preserve">. </w:t>
      </w:r>
    </w:p>
    <w:p w14:paraId="20F3F8C4" w14:textId="2E3E326D" w:rsidR="003131F0" w:rsidRPr="003E01A4" w:rsidRDefault="00D62107"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L’art. 6 (</w:t>
      </w:r>
      <w:r w:rsidRPr="003E01A4">
        <w:rPr>
          <w:rFonts w:ascii="Century Schoolbook" w:hAnsi="Century Schoolbook"/>
          <w:i/>
          <w:iCs/>
          <w:sz w:val="22"/>
          <w:szCs w:val="22"/>
        </w:rPr>
        <w:t>Approvazione dei progetti ferroviari e di edilizia giudiziaria</w:t>
      </w:r>
      <w:r w:rsidRPr="003E01A4">
        <w:rPr>
          <w:rFonts w:ascii="Century Schoolbook" w:hAnsi="Century Schoolbook"/>
          <w:sz w:val="22"/>
          <w:szCs w:val="22"/>
        </w:rPr>
        <w:t>)</w:t>
      </w:r>
      <w:r w:rsidRPr="003E01A4">
        <w:rPr>
          <w:rStyle w:val="Rimandonotaapidipagina"/>
          <w:rFonts w:ascii="Century Schoolbook" w:hAnsi="Century Schoolbook"/>
          <w:sz w:val="22"/>
          <w:szCs w:val="22"/>
        </w:rPr>
        <w:footnoteReference w:id="69"/>
      </w:r>
      <w:r w:rsidRPr="003E01A4">
        <w:rPr>
          <w:rFonts w:ascii="Century Schoolbook" w:hAnsi="Century Schoolbook"/>
          <w:sz w:val="22"/>
          <w:szCs w:val="22"/>
        </w:rPr>
        <w:t xml:space="preserve"> del d.l. 6 novembre 2021, n. 152 (</w:t>
      </w:r>
      <w:r w:rsidRPr="003E01A4">
        <w:rPr>
          <w:rFonts w:ascii="Century Schoolbook" w:hAnsi="Century Schoolbook"/>
          <w:i/>
          <w:iCs/>
          <w:sz w:val="22"/>
          <w:szCs w:val="22"/>
        </w:rPr>
        <w:t>Disposizioni urgenti per l’attuazione del Piano nazionale di ripresa e resilienza (PNRR) e per la prevenzione delle infiltrazioni mafiose</w:t>
      </w:r>
      <w:r w:rsidRPr="003E01A4">
        <w:rPr>
          <w:rFonts w:ascii="Century Schoolbook" w:hAnsi="Century Schoolbook"/>
          <w:sz w:val="22"/>
          <w:szCs w:val="22"/>
        </w:rPr>
        <w:t>)</w:t>
      </w:r>
      <w:r w:rsidR="00F76E3B" w:rsidRPr="003E01A4">
        <w:rPr>
          <w:rStyle w:val="Rimandonotaapidipagina"/>
          <w:rFonts w:ascii="Century Schoolbook" w:hAnsi="Century Schoolbook"/>
          <w:sz w:val="22"/>
          <w:szCs w:val="22"/>
        </w:rPr>
        <w:footnoteReference w:id="70"/>
      </w:r>
      <w:r w:rsidRPr="003E01A4">
        <w:rPr>
          <w:rFonts w:ascii="Century Schoolbook" w:hAnsi="Century Schoolbook"/>
          <w:sz w:val="22"/>
          <w:szCs w:val="22"/>
        </w:rPr>
        <w:t xml:space="preserve"> </w:t>
      </w:r>
      <w:r w:rsidR="006463B5" w:rsidRPr="003E01A4">
        <w:rPr>
          <w:rFonts w:ascii="Century Schoolbook" w:hAnsi="Century Schoolbook"/>
          <w:sz w:val="22"/>
          <w:szCs w:val="22"/>
        </w:rPr>
        <w:t xml:space="preserve">aveva </w:t>
      </w:r>
      <w:r w:rsidRPr="003E01A4">
        <w:rPr>
          <w:rFonts w:ascii="Century Schoolbook" w:hAnsi="Century Schoolbook"/>
          <w:sz w:val="22"/>
          <w:szCs w:val="22"/>
        </w:rPr>
        <w:t>introd</w:t>
      </w:r>
      <w:r w:rsidR="006463B5" w:rsidRPr="003E01A4">
        <w:rPr>
          <w:rFonts w:ascii="Century Schoolbook" w:hAnsi="Century Schoolbook"/>
          <w:sz w:val="22"/>
          <w:szCs w:val="22"/>
        </w:rPr>
        <w:t>otto</w:t>
      </w:r>
      <w:r w:rsidRPr="003E01A4">
        <w:rPr>
          <w:rFonts w:ascii="Century Schoolbook" w:hAnsi="Century Schoolbook"/>
          <w:sz w:val="22"/>
          <w:szCs w:val="22"/>
        </w:rPr>
        <w:t xml:space="preserve"> l’art. 48-</w:t>
      </w:r>
      <w:r w:rsidRPr="003E01A4">
        <w:rPr>
          <w:rFonts w:ascii="Century Schoolbook" w:hAnsi="Century Schoolbook"/>
          <w:i/>
          <w:iCs/>
          <w:sz w:val="22"/>
          <w:szCs w:val="22"/>
        </w:rPr>
        <w:t>bis</w:t>
      </w:r>
      <w:r w:rsidRPr="003E01A4">
        <w:rPr>
          <w:rFonts w:ascii="Century Schoolbook" w:hAnsi="Century Schoolbook"/>
          <w:sz w:val="22"/>
          <w:szCs w:val="22"/>
        </w:rPr>
        <w:t xml:space="preserve"> (</w:t>
      </w:r>
      <w:r w:rsidRPr="003E01A4">
        <w:rPr>
          <w:rFonts w:ascii="Century Schoolbook" w:hAnsi="Century Schoolbook"/>
          <w:i/>
          <w:iCs/>
          <w:sz w:val="22"/>
          <w:szCs w:val="22"/>
        </w:rPr>
        <w:t>Disposizioni urgenti in materia di infrastrutture ferroviarie e di edilizia giudiziaria</w:t>
      </w:r>
      <w:r w:rsidRPr="003E01A4">
        <w:rPr>
          <w:rFonts w:ascii="Century Schoolbook" w:hAnsi="Century Schoolbook"/>
          <w:sz w:val="22"/>
          <w:szCs w:val="22"/>
        </w:rPr>
        <w:t>) nel d.l. n. 77/’</w:t>
      </w:r>
      <w:r w:rsidR="007D0F7E" w:rsidRPr="003E01A4">
        <w:rPr>
          <w:rFonts w:ascii="Century Schoolbook" w:hAnsi="Century Schoolbook"/>
          <w:sz w:val="22"/>
          <w:szCs w:val="22"/>
        </w:rPr>
        <w:t>2</w:t>
      </w:r>
      <w:r w:rsidRPr="003E01A4">
        <w:rPr>
          <w:rFonts w:ascii="Century Schoolbook" w:hAnsi="Century Schoolbook"/>
          <w:sz w:val="22"/>
          <w:szCs w:val="22"/>
        </w:rPr>
        <w:t>1</w:t>
      </w:r>
      <w:r w:rsidR="00DC2DDC" w:rsidRPr="003E01A4">
        <w:rPr>
          <w:rFonts w:ascii="Century Schoolbook" w:hAnsi="Century Schoolbook"/>
          <w:sz w:val="22"/>
          <w:szCs w:val="22"/>
        </w:rPr>
        <w:t>:</w:t>
      </w:r>
      <w:r w:rsidRPr="003E01A4">
        <w:rPr>
          <w:rFonts w:ascii="Century Schoolbook" w:hAnsi="Century Schoolbook"/>
          <w:sz w:val="22"/>
          <w:szCs w:val="22"/>
        </w:rPr>
        <w:t xml:space="preserve"> </w:t>
      </w:r>
      <w:r w:rsidR="00DC2DDC" w:rsidRPr="003E01A4">
        <w:rPr>
          <w:rFonts w:ascii="Century Schoolbook" w:hAnsi="Century Schoolbook"/>
          <w:sz w:val="22"/>
          <w:szCs w:val="22"/>
        </w:rPr>
        <w:t>c</w:t>
      </w:r>
      <w:r w:rsidRPr="003E01A4">
        <w:rPr>
          <w:rFonts w:ascii="Century Schoolbook" w:hAnsi="Century Schoolbook"/>
          <w:sz w:val="22"/>
          <w:szCs w:val="22"/>
        </w:rPr>
        <w:t>onferenza di servizi e determinazione conclusiva</w:t>
      </w:r>
      <w:r w:rsidR="00983274" w:rsidRPr="003E01A4">
        <w:rPr>
          <w:rFonts w:ascii="Century Schoolbook" w:hAnsi="Century Schoolbook"/>
          <w:sz w:val="22"/>
          <w:szCs w:val="22"/>
        </w:rPr>
        <w:t>,</w:t>
      </w:r>
      <w:r w:rsidR="00DC2DDC" w:rsidRPr="003E01A4">
        <w:rPr>
          <w:rFonts w:ascii="Century Schoolbook" w:hAnsi="Century Schoolbook"/>
          <w:sz w:val="22"/>
          <w:szCs w:val="22"/>
        </w:rPr>
        <w:t xml:space="preserve"> </w:t>
      </w:r>
      <w:r w:rsidRPr="003E01A4">
        <w:rPr>
          <w:rFonts w:ascii="Century Schoolbook" w:hAnsi="Century Schoolbook"/>
          <w:sz w:val="22"/>
          <w:szCs w:val="22"/>
        </w:rPr>
        <w:t>la quale «perfeziona, altresì, ad ogni fine urbanistico ed edilizio, l’intesa tra Stato e regione o provincia autonoma, in ordine alla localizzazione dell’opera, ha effetto di variante degli strumenti urbanistici vigenti e comprende i titoli abilitativi rilasciati per la realizzazione e l’esercizio del progetto, recandone l’indicazione esplicita. La variante urbanistica, conseguente alla determinazione conclusiva della conferenza, comporta l’assoggettamento dell'area a vincolo preordinato all’esproprio». E i Comuni? I Comuni «provvedono alle necessarie misure di salvaguardia delle aree interessate e delle relative fasce di rispetto e non possono autorizzare interventi edilizi incompatibili con la localizzazione dell’opera».</w:t>
      </w:r>
      <w:r w:rsidR="006463B5" w:rsidRPr="003E01A4">
        <w:rPr>
          <w:rFonts w:ascii="Century Schoolbook" w:hAnsi="Century Schoolbook"/>
          <w:sz w:val="22"/>
          <w:szCs w:val="22"/>
        </w:rPr>
        <w:t xml:space="preserve"> </w:t>
      </w:r>
    </w:p>
    <w:p w14:paraId="56A772E7" w14:textId="07C8AE54" w:rsidR="00A7125A" w:rsidRPr="003E01A4" w:rsidRDefault="006463B5"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La norma ha però avuto appena tre giorni di vita. </w:t>
      </w:r>
      <w:r w:rsidR="007345F9" w:rsidRPr="003E01A4">
        <w:rPr>
          <w:rFonts w:ascii="Century Schoolbook" w:hAnsi="Century Schoolbook"/>
          <w:sz w:val="22"/>
          <w:szCs w:val="22"/>
        </w:rPr>
        <w:t xml:space="preserve">La legge 9 novembre 2021, n. 156 </w:t>
      </w:r>
      <w:r w:rsidR="003131F0" w:rsidRPr="003E01A4">
        <w:rPr>
          <w:rFonts w:ascii="Century Schoolbook" w:hAnsi="Century Schoolbook"/>
          <w:sz w:val="22"/>
          <w:szCs w:val="22"/>
        </w:rPr>
        <w:t xml:space="preserve">– </w:t>
      </w:r>
      <w:r w:rsidR="007345F9" w:rsidRPr="003E01A4">
        <w:rPr>
          <w:rFonts w:ascii="Century Schoolbook" w:hAnsi="Century Schoolbook"/>
          <w:sz w:val="22"/>
          <w:szCs w:val="22"/>
        </w:rPr>
        <w:t>di conversione del d.l. 10 settembre 2021, n. 121</w:t>
      </w:r>
      <w:r w:rsidR="003131F0" w:rsidRPr="003E01A4">
        <w:rPr>
          <w:rFonts w:ascii="Century Schoolbook" w:hAnsi="Century Schoolbook"/>
          <w:sz w:val="22"/>
          <w:szCs w:val="22"/>
        </w:rPr>
        <w:t xml:space="preserve"> –</w:t>
      </w:r>
      <w:r w:rsidR="007345F9" w:rsidRPr="003E01A4">
        <w:rPr>
          <w:rFonts w:ascii="Century Schoolbook" w:hAnsi="Century Schoolbook"/>
          <w:sz w:val="22"/>
          <w:szCs w:val="22"/>
        </w:rPr>
        <w:t xml:space="preserve"> ha introdotto il comma 7-</w:t>
      </w:r>
      <w:r w:rsidR="007345F9" w:rsidRPr="003E01A4">
        <w:rPr>
          <w:rFonts w:ascii="Century Schoolbook" w:hAnsi="Century Schoolbook"/>
          <w:i/>
          <w:iCs/>
          <w:sz w:val="22"/>
          <w:szCs w:val="22"/>
        </w:rPr>
        <w:t>bis</w:t>
      </w:r>
      <w:r w:rsidR="007345F9" w:rsidRPr="003E01A4">
        <w:rPr>
          <w:rFonts w:ascii="Century Schoolbook" w:hAnsi="Century Schoolbook"/>
          <w:sz w:val="22"/>
          <w:szCs w:val="22"/>
        </w:rPr>
        <w:t xml:space="preserve"> nell’art. 10 di quel decreto: a sua volta, </w:t>
      </w:r>
      <w:r w:rsidR="003131F0" w:rsidRPr="003E01A4">
        <w:rPr>
          <w:rFonts w:ascii="Century Schoolbook" w:hAnsi="Century Schoolbook"/>
          <w:sz w:val="22"/>
          <w:szCs w:val="22"/>
        </w:rPr>
        <w:t>il comma 7-</w:t>
      </w:r>
      <w:r w:rsidR="003131F0" w:rsidRPr="003E01A4">
        <w:rPr>
          <w:rFonts w:ascii="Century Schoolbook" w:hAnsi="Century Schoolbook"/>
          <w:i/>
          <w:iCs/>
          <w:sz w:val="22"/>
          <w:szCs w:val="22"/>
        </w:rPr>
        <w:t>bis</w:t>
      </w:r>
      <w:r w:rsidR="003131F0" w:rsidRPr="003E01A4">
        <w:rPr>
          <w:rFonts w:ascii="Century Schoolbook" w:hAnsi="Century Schoolbook"/>
          <w:sz w:val="22"/>
          <w:szCs w:val="22"/>
        </w:rPr>
        <w:t xml:space="preserve"> introduce</w:t>
      </w:r>
      <w:r w:rsidR="000D6ABD" w:rsidRPr="003E01A4">
        <w:rPr>
          <w:rFonts w:ascii="Century Schoolbook" w:hAnsi="Century Schoolbook"/>
          <w:sz w:val="22"/>
          <w:szCs w:val="22"/>
        </w:rPr>
        <w:t xml:space="preserve"> </w:t>
      </w:r>
      <w:r w:rsidR="003131F0" w:rsidRPr="003E01A4">
        <w:rPr>
          <w:rFonts w:ascii="Century Schoolbook" w:hAnsi="Century Schoolbook"/>
          <w:sz w:val="22"/>
          <w:szCs w:val="22"/>
        </w:rPr>
        <w:t xml:space="preserve">un “nuovo” </w:t>
      </w:r>
      <w:r w:rsidR="000D6ABD" w:rsidRPr="003E01A4">
        <w:rPr>
          <w:rFonts w:ascii="Century Schoolbook" w:hAnsi="Century Schoolbook"/>
          <w:sz w:val="22"/>
          <w:szCs w:val="22"/>
        </w:rPr>
        <w:t>art. 48-</w:t>
      </w:r>
      <w:r w:rsidR="000D6ABD" w:rsidRPr="003E01A4">
        <w:rPr>
          <w:rFonts w:ascii="Century Schoolbook" w:hAnsi="Century Schoolbook"/>
          <w:i/>
          <w:iCs/>
          <w:sz w:val="22"/>
          <w:szCs w:val="22"/>
        </w:rPr>
        <w:t>bis</w:t>
      </w:r>
      <w:r w:rsidR="003131F0" w:rsidRPr="003E01A4">
        <w:rPr>
          <w:rFonts w:ascii="Century Schoolbook" w:hAnsi="Century Schoolbook"/>
          <w:sz w:val="22"/>
          <w:szCs w:val="22"/>
        </w:rPr>
        <w:t>,</w:t>
      </w:r>
      <w:r w:rsidR="00E84126" w:rsidRPr="003E01A4">
        <w:rPr>
          <w:rFonts w:ascii="Century Schoolbook" w:hAnsi="Century Schoolbook"/>
          <w:i/>
          <w:iCs/>
          <w:sz w:val="22"/>
          <w:szCs w:val="22"/>
        </w:rPr>
        <w:t xml:space="preserve"> </w:t>
      </w:r>
      <w:r w:rsidR="003131F0" w:rsidRPr="003E01A4">
        <w:rPr>
          <w:rFonts w:ascii="Century Schoolbook" w:hAnsi="Century Schoolbook"/>
          <w:sz w:val="22"/>
          <w:szCs w:val="22"/>
        </w:rPr>
        <w:t xml:space="preserve">rubricato </w:t>
      </w:r>
      <w:r w:rsidR="00E84126" w:rsidRPr="003E01A4">
        <w:rPr>
          <w:rFonts w:ascii="Century Schoolbook" w:hAnsi="Century Schoolbook"/>
          <w:i/>
          <w:iCs/>
          <w:sz w:val="22"/>
          <w:szCs w:val="22"/>
        </w:rPr>
        <w:t>Interventi sulle infrastrutture energetiche lineari</w:t>
      </w:r>
      <w:r w:rsidR="000D6ABD" w:rsidRPr="003E01A4">
        <w:rPr>
          <w:rStyle w:val="Rimandonotaapidipagina"/>
          <w:rFonts w:ascii="Century Schoolbook" w:hAnsi="Century Schoolbook"/>
          <w:sz w:val="22"/>
          <w:szCs w:val="22"/>
        </w:rPr>
        <w:footnoteReference w:id="71"/>
      </w:r>
      <w:r w:rsidR="000D6ABD" w:rsidRPr="003E01A4">
        <w:rPr>
          <w:rFonts w:ascii="Century Schoolbook" w:hAnsi="Century Schoolbook"/>
          <w:i/>
          <w:iCs/>
          <w:sz w:val="22"/>
          <w:szCs w:val="22"/>
        </w:rPr>
        <w:t xml:space="preserve"> </w:t>
      </w:r>
      <w:r w:rsidR="000D6ABD" w:rsidRPr="003E01A4">
        <w:rPr>
          <w:rFonts w:ascii="Century Schoolbook" w:hAnsi="Century Schoolbook"/>
          <w:sz w:val="22"/>
          <w:szCs w:val="22"/>
        </w:rPr>
        <w:t>n</w:t>
      </w:r>
      <w:r w:rsidR="00532C8F" w:rsidRPr="003E01A4">
        <w:rPr>
          <w:rFonts w:ascii="Century Schoolbook" w:hAnsi="Century Schoolbook"/>
          <w:sz w:val="22"/>
          <w:szCs w:val="22"/>
        </w:rPr>
        <w:t xml:space="preserve">el d.l. </w:t>
      </w:r>
      <w:r w:rsidR="00D62107" w:rsidRPr="003E01A4">
        <w:rPr>
          <w:rFonts w:ascii="Century Schoolbook" w:hAnsi="Century Schoolbook"/>
          <w:sz w:val="22"/>
          <w:szCs w:val="22"/>
        </w:rPr>
        <w:t>n. 77/’</w:t>
      </w:r>
      <w:r w:rsidR="00532C8F" w:rsidRPr="003E01A4">
        <w:rPr>
          <w:rFonts w:ascii="Century Schoolbook" w:hAnsi="Century Schoolbook"/>
          <w:sz w:val="22"/>
          <w:szCs w:val="22"/>
        </w:rPr>
        <w:t>21</w:t>
      </w:r>
      <w:r w:rsidR="00AF3FA9" w:rsidRPr="003E01A4">
        <w:rPr>
          <w:rFonts w:ascii="Century Schoolbook" w:hAnsi="Century Schoolbook"/>
          <w:sz w:val="22"/>
          <w:szCs w:val="22"/>
        </w:rPr>
        <w:t>.</w:t>
      </w:r>
      <w:r w:rsidR="000D6ABD" w:rsidRPr="003E01A4">
        <w:rPr>
          <w:rFonts w:ascii="Century Schoolbook" w:hAnsi="Century Schoolbook"/>
          <w:sz w:val="22"/>
          <w:szCs w:val="22"/>
        </w:rPr>
        <w:t xml:space="preserve"> Per la realizzazione di </w:t>
      </w:r>
      <w:r w:rsidR="003131F0" w:rsidRPr="003E01A4">
        <w:rPr>
          <w:rFonts w:ascii="Century Schoolbook" w:hAnsi="Century Schoolbook"/>
          <w:sz w:val="22"/>
          <w:szCs w:val="22"/>
        </w:rPr>
        <w:t>questi interventi</w:t>
      </w:r>
      <w:r w:rsidR="000D6ABD" w:rsidRPr="003E01A4">
        <w:rPr>
          <w:rFonts w:ascii="Century Schoolbook" w:hAnsi="Century Schoolbook"/>
          <w:sz w:val="22"/>
          <w:szCs w:val="22"/>
        </w:rPr>
        <w:t xml:space="preserve"> la sequenza è</w:t>
      </w:r>
      <w:r w:rsidR="003131F0" w:rsidRPr="003E01A4">
        <w:rPr>
          <w:rFonts w:ascii="Century Schoolbook" w:hAnsi="Century Schoolbook"/>
          <w:sz w:val="22"/>
          <w:szCs w:val="22"/>
        </w:rPr>
        <w:t xml:space="preserve"> </w:t>
      </w:r>
      <w:r w:rsidR="000D6ABD" w:rsidRPr="003E01A4">
        <w:rPr>
          <w:rFonts w:ascii="Century Schoolbook" w:hAnsi="Century Schoolbook"/>
          <w:sz w:val="22"/>
          <w:szCs w:val="22"/>
        </w:rPr>
        <w:t xml:space="preserve">ritmata </w:t>
      </w:r>
      <w:r w:rsidR="00714C5F" w:rsidRPr="003E01A4">
        <w:rPr>
          <w:rFonts w:ascii="Century Schoolbook" w:hAnsi="Century Schoolbook"/>
          <w:sz w:val="22"/>
          <w:szCs w:val="22"/>
        </w:rPr>
        <w:t xml:space="preserve">(anche lessicalmente) </w:t>
      </w:r>
      <w:r w:rsidR="000D6ABD" w:rsidRPr="003E01A4">
        <w:rPr>
          <w:rFonts w:ascii="Century Schoolbook" w:hAnsi="Century Schoolbook"/>
          <w:sz w:val="22"/>
          <w:szCs w:val="22"/>
        </w:rPr>
        <w:t xml:space="preserve">in modo inesorabile: </w:t>
      </w:r>
      <w:r w:rsidR="00DC7BA4" w:rsidRPr="003E01A4">
        <w:rPr>
          <w:rFonts w:ascii="Century Schoolbook" w:hAnsi="Century Schoolbook"/>
          <w:sz w:val="22"/>
          <w:szCs w:val="22"/>
        </w:rPr>
        <w:t>«il procedimento si svolge mediante unica conferenza di servizi»</w:t>
      </w:r>
      <w:r w:rsidR="000D6ABD" w:rsidRPr="003E01A4">
        <w:rPr>
          <w:rFonts w:ascii="Century Schoolbook" w:hAnsi="Century Schoolbook"/>
          <w:sz w:val="22"/>
          <w:szCs w:val="22"/>
        </w:rPr>
        <w:t xml:space="preserve">; </w:t>
      </w:r>
      <w:r w:rsidR="00DC7BA4" w:rsidRPr="003E01A4">
        <w:rPr>
          <w:rFonts w:ascii="Century Schoolbook" w:hAnsi="Century Schoolbook"/>
          <w:sz w:val="22"/>
          <w:szCs w:val="22"/>
        </w:rPr>
        <w:t xml:space="preserve">la </w:t>
      </w:r>
      <w:r w:rsidR="000D6ABD" w:rsidRPr="003E01A4">
        <w:rPr>
          <w:rFonts w:ascii="Century Schoolbook" w:hAnsi="Century Schoolbook"/>
          <w:sz w:val="22"/>
          <w:szCs w:val="22"/>
        </w:rPr>
        <w:t xml:space="preserve">determinazione conclusiva </w:t>
      </w:r>
      <w:r w:rsidR="00DC7BA4" w:rsidRPr="003E01A4">
        <w:rPr>
          <w:rFonts w:ascii="Century Schoolbook" w:hAnsi="Century Schoolbook"/>
          <w:sz w:val="22"/>
          <w:szCs w:val="22"/>
        </w:rPr>
        <w:t>ha</w:t>
      </w:r>
      <w:r w:rsidR="000D6ABD" w:rsidRPr="003E01A4">
        <w:rPr>
          <w:rFonts w:ascii="Century Schoolbook" w:hAnsi="Century Schoolbook"/>
          <w:sz w:val="22"/>
          <w:szCs w:val="22"/>
        </w:rPr>
        <w:t xml:space="preserve"> effetto di variante e d</w:t>
      </w:r>
      <w:r w:rsidR="00521267" w:rsidRPr="003E01A4">
        <w:rPr>
          <w:rFonts w:ascii="Century Schoolbook" w:hAnsi="Century Schoolbook"/>
          <w:sz w:val="22"/>
          <w:szCs w:val="22"/>
        </w:rPr>
        <w:t>’</w:t>
      </w:r>
      <w:r w:rsidR="00DC7BA4" w:rsidRPr="003E01A4">
        <w:rPr>
          <w:rFonts w:ascii="Century Schoolbook" w:hAnsi="Century Schoolbook"/>
          <w:sz w:val="22"/>
          <w:szCs w:val="22"/>
        </w:rPr>
        <w:t xml:space="preserve">imposizione del </w:t>
      </w:r>
      <w:r w:rsidR="000D6ABD" w:rsidRPr="003E01A4">
        <w:rPr>
          <w:rFonts w:ascii="Century Schoolbook" w:hAnsi="Century Schoolbook"/>
          <w:sz w:val="22"/>
          <w:szCs w:val="22"/>
        </w:rPr>
        <w:t xml:space="preserve">vincolo espropriativo; </w:t>
      </w:r>
      <w:r w:rsidR="00DC7BA4" w:rsidRPr="003E01A4">
        <w:rPr>
          <w:rFonts w:ascii="Century Schoolbook" w:hAnsi="Century Schoolbook"/>
          <w:sz w:val="22"/>
          <w:szCs w:val="22"/>
        </w:rPr>
        <w:t xml:space="preserve">al soggetto gestore dell’infrastruttura è </w:t>
      </w:r>
      <w:r w:rsidR="000D6ABD" w:rsidRPr="003E01A4">
        <w:rPr>
          <w:rFonts w:ascii="Century Schoolbook" w:hAnsi="Century Schoolbook"/>
          <w:sz w:val="22"/>
          <w:szCs w:val="22"/>
        </w:rPr>
        <w:t>attribu</w:t>
      </w:r>
      <w:r w:rsidR="00DC7BA4" w:rsidRPr="003E01A4">
        <w:rPr>
          <w:rFonts w:ascii="Century Schoolbook" w:hAnsi="Century Schoolbook"/>
          <w:sz w:val="22"/>
          <w:szCs w:val="22"/>
        </w:rPr>
        <w:t>ito</w:t>
      </w:r>
      <w:r w:rsidR="000D6ABD" w:rsidRPr="003E01A4">
        <w:rPr>
          <w:rFonts w:ascii="Century Schoolbook" w:hAnsi="Century Schoolbook"/>
          <w:sz w:val="22"/>
          <w:szCs w:val="22"/>
        </w:rPr>
        <w:t xml:space="preserve"> </w:t>
      </w:r>
      <w:r w:rsidR="00DC7BA4" w:rsidRPr="003E01A4">
        <w:rPr>
          <w:rFonts w:ascii="Century Schoolbook" w:hAnsi="Century Schoolbook"/>
          <w:sz w:val="22"/>
          <w:szCs w:val="22"/>
        </w:rPr>
        <w:t>i</w:t>
      </w:r>
      <w:r w:rsidR="000D6ABD" w:rsidRPr="003E01A4">
        <w:rPr>
          <w:rFonts w:ascii="Century Schoolbook" w:hAnsi="Century Schoolbook"/>
          <w:sz w:val="22"/>
          <w:szCs w:val="22"/>
        </w:rPr>
        <w:t xml:space="preserve">l </w:t>
      </w:r>
      <w:r w:rsidR="00714C5F" w:rsidRPr="003E01A4">
        <w:rPr>
          <w:rFonts w:ascii="Century Schoolbook" w:hAnsi="Century Schoolbook"/>
          <w:sz w:val="22"/>
          <w:szCs w:val="22"/>
        </w:rPr>
        <w:t>«</w:t>
      </w:r>
      <w:r w:rsidR="000D6ABD" w:rsidRPr="003E01A4">
        <w:rPr>
          <w:rFonts w:ascii="Century Schoolbook" w:hAnsi="Century Schoolbook"/>
          <w:sz w:val="22"/>
          <w:szCs w:val="22"/>
        </w:rPr>
        <w:t>potere espropriativo</w:t>
      </w:r>
      <w:r w:rsidR="00714C5F" w:rsidRPr="003E01A4">
        <w:rPr>
          <w:rFonts w:ascii="Century Schoolbook" w:hAnsi="Century Schoolbook"/>
          <w:sz w:val="22"/>
          <w:szCs w:val="22"/>
        </w:rPr>
        <w:t>»</w:t>
      </w:r>
      <w:r w:rsidR="000D6ABD" w:rsidRPr="003E01A4">
        <w:rPr>
          <w:rFonts w:ascii="Century Schoolbook" w:hAnsi="Century Schoolbook"/>
          <w:sz w:val="22"/>
          <w:szCs w:val="22"/>
        </w:rPr>
        <w:t>.</w:t>
      </w:r>
    </w:p>
    <w:p w14:paraId="7730171C" w14:textId="28A2E515" w:rsidR="00A7125A" w:rsidRPr="003E01A4" w:rsidRDefault="00A7125A" w:rsidP="002B4988">
      <w:pPr>
        <w:pStyle w:val="Testonotaapidipagina"/>
        <w:spacing w:line="360" w:lineRule="auto"/>
        <w:ind w:firstLine="708"/>
        <w:contextualSpacing/>
        <w:jc w:val="both"/>
        <w:rPr>
          <w:rFonts w:ascii="Century Schoolbook" w:hAnsi="Century Schoolbook"/>
          <w:sz w:val="22"/>
          <w:szCs w:val="22"/>
        </w:rPr>
      </w:pPr>
    </w:p>
    <w:p w14:paraId="396755A8" w14:textId="0845171D" w:rsidR="001277DB" w:rsidRPr="003E01A4" w:rsidRDefault="009E268A"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5. </w:t>
      </w:r>
      <w:r w:rsidR="00A7125A" w:rsidRPr="003E01A4">
        <w:rPr>
          <w:rFonts w:ascii="Century Schoolbook" w:hAnsi="Century Schoolbook"/>
          <w:i/>
          <w:iCs/>
          <w:sz w:val="22"/>
          <w:szCs w:val="22"/>
        </w:rPr>
        <w:t>Te</w:t>
      </w:r>
      <w:r w:rsidR="009503B7" w:rsidRPr="003E01A4">
        <w:rPr>
          <w:rFonts w:ascii="Century Schoolbook" w:hAnsi="Century Schoolbook"/>
          <w:i/>
          <w:iCs/>
          <w:sz w:val="22"/>
          <w:szCs w:val="22"/>
        </w:rPr>
        <w:t>mpo di chiudere</w:t>
      </w:r>
      <w:r w:rsidR="00124E83" w:rsidRPr="003E01A4">
        <w:rPr>
          <w:rFonts w:ascii="Century Schoolbook" w:hAnsi="Century Schoolbook"/>
          <w:i/>
          <w:iCs/>
          <w:sz w:val="22"/>
          <w:szCs w:val="22"/>
        </w:rPr>
        <w:t>:</w:t>
      </w:r>
      <w:r w:rsidR="001277DB" w:rsidRPr="003E01A4">
        <w:rPr>
          <w:rFonts w:ascii="Century Schoolbook" w:hAnsi="Century Schoolbook"/>
          <w:i/>
          <w:iCs/>
          <w:sz w:val="22"/>
          <w:szCs w:val="22"/>
        </w:rPr>
        <w:t xml:space="preserve"> </w:t>
      </w:r>
      <w:r w:rsidR="00124E83" w:rsidRPr="003E01A4">
        <w:rPr>
          <w:rFonts w:ascii="Century Schoolbook" w:hAnsi="Century Schoolbook"/>
          <w:i/>
          <w:iCs/>
          <w:sz w:val="22"/>
          <w:szCs w:val="22"/>
        </w:rPr>
        <w:t>n</w:t>
      </w:r>
      <w:r w:rsidR="0014429F" w:rsidRPr="003E01A4">
        <w:rPr>
          <w:rFonts w:ascii="Century Schoolbook" w:hAnsi="Century Schoolbook"/>
          <w:i/>
          <w:iCs/>
          <w:sz w:val="22"/>
          <w:szCs w:val="22"/>
        </w:rPr>
        <w:t xml:space="preserve">uovi </w:t>
      </w:r>
      <w:r w:rsidRPr="003E01A4">
        <w:rPr>
          <w:rFonts w:ascii="Century Schoolbook" w:hAnsi="Century Schoolbook"/>
          <w:i/>
          <w:iCs/>
          <w:sz w:val="22"/>
          <w:szCs w:val="22"/>
        </w:rPr>
        <w:t xml:space="preserve">unicismi </w:t>
      </w:r>
      <w:r w:rsidR="0014429F" w:rsidRPr="003E01A4">
        <w:rPr>
          <w:rFonts w:ascii="Century Schoolbook" w:hAnsi="Century Schoolbook"/>
          <w:i/>
          <w:iCs/>
          <w:sz w:val="22"/>
          <w:szCs w:val="22"/>
        </w:rPr>
        <w:t>per nuove primazie</w:t>
      </w:r>
      <w:r w:rsidR="001277DB" w:rsidRPr="003E01A4">
        <w:rPr>
          <w:rFonts w:ascii="Century Schoolbook" w:hAnsi="Century Schoolbook"/>
          <w:i/>
          <w:iCs/>
          <w:sz w:val="22"/>
          <w:szCs w:val="22"/>
        </w:rPr>
        <w:t>.</w:t>
      </w:r>
      <w:r w:rsidR="009503B7" w:rsidRPr="003E01A4">
        <w:rPr>
          <w:rFonts w:ascii="Century Schoolbook" w:hAnsi="Century Schoolbook"/>
          <w:i/>
          <w:iCs/>
          <w:sz w:val="22"/>
          <w:szCs w:val="22"/>
        </w:rPr>
        <w:t xml:space="preserve"> </w:t>
      </w:r>
      <w:r w:rsidR="00BC7998" w:rsidRPr="003E01A4">
        <w:rPr>
          <w:rFonts w:ascii="Century Schoolbook" w:hAnsi="Century Schoolbook"/>
          <w:i/>
          <w:iCs/>
          <w:sz w:val="22"/>
          <w:szCs w:val="22"/>
        </w:rPr>
        <w:t xml:space="preserve">– </w:t>
      </w:r>
      <w:r w:rsidR="00BC7998" w:rsidRPr="003E01A4">
        <w:rPr>
          <w:rFonts w:ascii="Century Schoolbook" w:hAnsi="Century Schoolbook"/>
          <w:sz w:val="22"/>
          <w:szCs w:val="22"/>
        </w:rPr>
        <w:t xml:space="preserve">La normazione PNRR, sia pure con riferimento alle ipotesi (più o meno </w:t>
      </w:r>
      <w:r w:rsidR="007E30A4" w:rsidRPr="003E01A4">
        <w:rPr>
          <w:rFonts w:ascii="Century Schoolbook" w:hAnsi="Century Schoolbook"/>
          <w:sz w:val="22"/>
          <w:szCs w:val="22"/>
        </w:rPr>
        <w:t>ben perimetrate</w:t>
      </w:r>
      <w:r w:rsidR="00BC7998" w:rsidRPr="003E01A4">
        <w:rPr>
          <w:rFonts w:ascii="Century Schoolbook" w:hAnsi="Century Schoolbook"/>
          <w:sz w:val="22"/>
          <w:szCs w:val="22"/>
        </w:rPr>
        <w:t xml:space="preserve">) </w:t>
      </w:r>
      <w:r w:rsidR="001277DB" w:rsidRPr="003E01A4">
        <w:rPr>
          <w:rFonts w:ascii="Century Schoolbook" w:hAnsi="Century Schoolbook"/>
          <w:sz w:val="22"/>
          <w:szCs w:val="22"/>
        </w:rPr>
        <w:t xml:space="preserve">che </w:t>
      </w:r>
      <w:r w:rsidR="00BC7998" w:rsidRPr="003E01A4">
        <w:rPr>
          <w:rFonts w:ascii="Century Schoolbook" w:hAnsi="Century Schoolbook"/>
          <w:sz w:val="22"/>
          <w:szCs w:val="22"/>
        </w:rPr>
        <w:t xml:space="preserve">disciplina, parrebbe aver </w:t>
      </w:r>
      <w:r w:rsidR="003131F0" w:rsidRPr="003E01A4">
        <w:rPr>
          <w:rFonts w:ascii="Century Schoolbook" w:hAnsi="Century Schoolbook"/>
          <w:sz w:val="22"/>
          <w:szCs w:val="22"/>
        </w:rPr>
        <w:t>raggiunto l’obbiettivo</w:t>
      </w:r>
      <w:r w:rsidR="00BC7998" w:rsidRPr="003E01A4">
        <w:rPr>
          <w:rFonts w:ascii="Century Schoolbook" w:hAnsi="Century Schoolbook"/>
          <w:sz w:val="22"/>
          <w:szCs w:val="22"/>
        </w:rPr>
        <w:t xml:space="preserve"> </w:t>
      </w:r>
      <w:r w:rsidR="003131F0" w:rsidRPr="003E01A4">
        <w:rPr>
          <w:rFonts w:ascii="Century Schoolbook" w:hAnsi="Century Schoolbook"/>
          <w:sz w:val="22"/>
          <w:szCs w:val="22"/>
        </w:rPr>
        <w:t>dell’</w:t>
      </w:r>
      <w:r w:rsidR="00BC7998" w:rsidRPr="003E01A4">
        <w:rPr>
          <w:rFonts w:ascii="Century Schoolbook" w:hAnsi="Century Schoolbook"/>
          <w:sz w:val="22"/>
          <w:szCs w:val="22"/>
        </w:rPr>
        <w:t>unici</w:t>
      </w:r>
      <w:r w:rsidR="003131F0" w:rsidRPr="003E01A4">
        <w:rPr>
          <w:rFonts w:ascii="Century Schoolbook" w:hAnsi="Century Schoolbook"/>
          <w:sz w:val="22"/>
          <w:szCs w:val="22"/>
        </w:rPr>
        <w:t>tà</w:t>
      </w:r>
      <w:r w:rsidR="00BC7998" w:rsidRPr="003E01A4">
        <w:rPr>
          <w:rFonts w:ascii="Century Schoolbook" w:hAnsi="Century Schoolbook"/>
          <w:sz w:val="22"/>
          <w:szCs w:val="22"/>
        </w:rPr>
        <w:t xml:space="preserve">. </w:t>
      </w:r>
      <w:r w:rsidR="00005C34" w:rsidRPr="003E01A4">
        <w:rPr>
          <w:rFonts w:ascii="Century Schoolbook" w:hAnsi="Century Schoolbook"/>
          <w:sz w:val="22"/>
          <w:szCs w:val="22"/>
        </w:rPr>
        <w:t>In effetti, se raffrontiamo l</w:t>
      </w:r>
      <w:r w:rsidR="001277DB" w:rsidRPr="003E01A4">
        <w:rPr>
          <w:rFonts w:ascii="Century Schoolbook" w:hAnsi="Century Schoolbook"/>
          <w:sz w:val="22"/>
          <w:szCs w:val="22"/>
        </w:rPr>
        <w:t xml:space="preserve">e regolazioni </w:t>
      </w:r>
      <w:r w:rsidR="00005C34" w:rsidRPr="003E01A4">
        <w:rPr>
          <w:rFonts w:ascii="Century Schoolbook" w:hAnsi="Century Schoolbook"/>
          <w:sz w:val="22"/>
          <w:szCs w:val="22"/>
        </w:rPr>
        <w:t xml:space="preserve">degli anni ’90 </w:t>
      </w:r>
      <w:r w:rsidR="00983274" w:rsidRPr="003E01A4">
        <w:rPr>
          <w:rFonts w:ascii="Century Schoolbook" w:hAnsi="Century Schoolbook"/>
          <w:sz w:val="22"/>
          <w:szCs w:val="22"/>
        </w:rPr>
        <w:t xml:space="preserve">– </w:t>
      </w:r>
      <w:r w:rsidR="00005C34" w:rsidRPr="003E01A4">
        <w:rPr>
          <w:rFonts w:ascii="Century Schoolbook" w:hAnsi="Century Schoolbook"/>
          <w:sz w:val="22"/>
          <w:szCs w:val="22"/>
        </w:rPr>
        <w:t xml:space="preserve">così </w:t>
      </w:r>
      <w:r w:rsidR="0004347C" w:rsidRPr="003E01A4">
        <w:rPr>
          <w:rFonts w:ascii="Century Schoolbook" w:hAnsi="Century Schoolbook"/>
          <w:sz w:val="22"/>
          <w:szCs w:val="22"/>
        </w:rPr>
        <w:t xml:space="preserve">anacronistiche perché </w:t>
      </w:r>
      <w:r w:rsidR="00005C34" w:rsidRPr="003E01A4">
        <w:rPr>
          <w:rFonts w:ascii="Century Schoolbook" w:hAnsi="Century Schoolbook"/>
          <w:sz w:val="22"/>
          <w:szCs w:val="22"/>
        </w:rPr>
        <w:t>esitant</w:t>
      </w:r>
      <w:r w:rsidR="001277DB" w:rsidRPr="003E01A4">
        <w:rPr>
          <w:rFonts w:ascii="Century Schoolbook" w:hAnsi="Century Schoolbook"/>
          <w:sz w:val="22"/>
          <w:szCs w:val="22"/>
        </w:rPr>
        <w:t>i</w:t>
      </w:r>
      <w:r w:rsidR="00A661B8" w:rsidRPr="003E01A4">
        <w:rPr>
          <w:rFonts w:ascii="Century Schoolbook" w:hAnsi="Century Schoolbook"/>
          <w:sz w:val="22"/>
          <w:szCs w:val="22"/>
        </w:rPr>
        <w:t xml:space="preserve"> nel protendersi verso l’obiettivo finale: la decisione </w:t>
      </w:r>
      <w:r w:rsidR="00983274" w:rsidRPr="003E01A4">
        <w:rPr>
          <w:rFonts w:ascii="Century Schoolbook" w:hAnsi="Century Schoolbook"/>
          <w:sz w:val="22"/>
          <w:szCs w:val="22"/>
        </w:rPr>
        <w:t xml:space="preserve">– </w:t>
      </w:r>
      <w:r w:rsidR="00A661B8" w:rsidRPr="003E01A4">
        <w:rPr>
          <w:rFonts w:ascii="Century Schoolbook" w:hAnsi="Century Schoolbook"/>
          <w:sz w:val="22"/>
          <w:szCs w:val="22"/>
        </w:rPr>
        <w:t>con gli schemi imperiosamente</w:t>
      </w:r>
      <w:r w:rsidR="00613F08" w:rsidRPr="003E01A4">
        <w:rPr>
          <w:rFonts w:ascii="Century Schoolbook" w:hAnsi="Century Schoolbook"/>
          <w:sz w:val="22"/>
          <w:szCs w:val="22"/>
        </w:rPr>
        <w:t xml:space="preserve"> disegnati nelle disposizioni che ho </w:t>
      </w:r>
      <w:r w:rsidR="001277DB" w:rsidRPr="003E01A4">
        <w:rPr>
          <w:rFonts w:ascii="Century Schoolbook" w:hAnsi="Century Schoolbook"/>
          <w:sz w:val="22"/>
          <w:szCs w:val="22"/>
        </w:rPr>
        <w:t xml:space="preserve">appena </w:t>
      </w:r>
      <w:r w:rsidR="00613F08" w:rsidRPr="003E01A4">
        <w:rPr>
          <w:rFonts w:ascii="Century Schoolbook" w:hAnsi="Century Schoolbook"/>
          <w:sz w:val="22"/>
          <w:szCs w:val="22"/>
        </w:rPr>
        <w:t>passato in rassegna</w:t>
      </w:r>
      <w:r w:rsidR="00A661B8" w:rsidRPr="003E01A4">
        <w:rPr>
          <w:rFonts w:ascii="Century Schoolbook" w:hAnsi="Century Schoolbook"/>
          <w:sz w:val="22"/>
          <w:szCs w:val="22"/>
        </w:rPr>
        <w:t>,</w:t>
      </w:r>
      <w:r w:rsidR="00613F08" w:rsidRPr="003E01A4">
        <w:rPr>
          <w:rFonts w:ascii="Century Schoolbook" w:hAnsi="Century Schoolbook"/>
          <w:sz w:val="22"/>
          <w:szCs w:val="22"/>
        </w:rPr>
        <w:t xml:space="preserve"> la risposta è </w:t>
      </w:r>
      <w:r w:rsidR="003131F0" w:rsidRPr="003E01A4">
        <w:rPr>
          <w:rFonts w:ascii="Century Schoolbook" w:hAnsi="Century Schoolbook"/>
          <w:sz w:val="22"/>
          <w:szCs w:val="22"/>
        </w:rPr>
        <w:t>chiara</w:t>
      </w:r>
      <w:r w:rsidR="00613F08" w:rsidRPr="003E01A4">
        <w:rPr>
          <w:rFonts w:ascii="Century Schoolbook" w:hAnsi="Century Schoolbook"/>
          <w:sz w:val="22"/>
          <w:szCs w:val="22"/>
        </w:rPr>
        <w:t>.</w:t>
      </w:r>
    </w:p>
    <w:p w14:paraId="4475489B" w14:textId="5965DE02" w:rsidR="00576772" w:rsidRPr="003E01A4" w:rsidRDefault="0004347C"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Possiamo infatti </w:t>
      </w:r>
      <w:r w:rsidR="00983274" w:rsidRPr="003E01A4">
        <w:rPr>
          <w:rFonts w:ascii="Century Schoolbook" w:hAnsi="Century Schoolbook"/>
          <w:sz w:val="22"/>
          <w:szCs w:val="22"/>
        </w:rPr>
        <w:t>riconoscere</w:t>
      </w:r>
      <w:r w:rsidRPr="003E01A4">
        <w:rPr>
          <w:rFonts w:ascii="Century Schoolbook" w:hAnsi="Century Schoolbook"/>
          <w:sz w:val="22"/>
          <w:szCs w:val="22"/>
        </w:rPr>
        <w:t xml:space="preserve"> – r</w:t>
      </w:r>
      <w:r w:rsidR="0098423B" w:rsidRPr="003E01A4">
        <w:rPr>
          <w:rFonts w:ascii="Century Schoolbook" w:hAnsi="Century Schoolbook"/>
          <w:sz w:val="22"/>
          <w:szCs w:val="22"/>
        </w:rPr>
        <w:t>esta</w:t>
      </w:r>
      <w:r w:rsidRPr="003E01A4">
        <w:rPr>
          <w:rFonts w:ascii="Century Schoolbook" w:hAnsi="Century Schoolbook"/>
          <w:sz w:val="22"/>
          <w:szCs w:val="22"/>
        </w:rPr>
        <w:t>nd</w:t>
      </w:r>
      <w:r w:rsidR="0098423B" w:rsidRPr="003E01A4">
        <w:rPr>
          <w:rFonts w:ascii="Century Schoolbook" w:hAnsi="Century Schoolbook"/>
          <w:sz w:val="22"/>
          <w:szCs w:val="22"/>
        </w:rPr>
        <w:t xml:space="preserve">o in una logica puramente operazionale, di processo </w:t>
      </w:r>
      <w:r w:rsidRPr="003E01A4">
        <w:rPr>
          <w:rFonts w:ascii="Century Schoolbook" w:hAnsi="Century Schoolbook"/>
          <w:sz w:val="22"/>
          <w:szCs w:val="22"/>
        </w:rPr>
        <w:t xml:space="preserve">– </w:t>
      </w:r>
      <w:r w:rsidR="0098423B" w:rsidRPr="003E01A4">
        <w:rPr>
          <w:rFonts w:ascii="Century Schoolbook" w:hAnsi="Century Schoolbook"/>
          <w:sz w:val="22"/>
          <w:szCs w:val="22"/>
        </w:rPr>
        <w:t>che ora le sequenze sono scandite</w:t>
      </w:r>
      <w:r w:rsidRPr="003E01A4">
        <w:rPr>
          <w:rFonts w:ascii="Century Schoolbook" w:hAnsi="Century Schoolbook"/>
          <w:sz w:val="22"/>
          <w:szCs w:val="22"/>
        </w:rPr>
        <w:t xml:space="preserve"> meglio;</w:t>
      </w:r>
      <w:r w:rsidR="0098423B" w:rsidRPr="003E01A4">
        <w:rPr>
          <w:rFonts w:ascii="Century Schoolbook" w:hAnsi="Century Schoolbook"/>
          <w:sz w:val="22"/>
          <w:szCs w:val="22"/>
        </w:rPr>
        <w:t xml:space="preserve"> </w:t>
      </w:r>
      <w:r w:rsidRPr="003E01A4">
        <w:rPr>
          <w:rFonts w:ascii="Century Schoolbook" w:hAnsi="Century Schoolbook"/>
          <w:sz w:val="22"/>
          <w:szCs w:val="22"/>
        </w:rPr>
        <w:t>com</w:t>
      </w:r>
      <w:r w:rsidR="0098423B" w:rsidRPr="003E01A4">
        <w:rPr>
          <w:rFonts w:ascii="Century Schoolbook" w:hAnsi="Century Schoolbook"/>
          <w:sz w:val="22"/>
          <w:szCs w:val="22"/>
        </w:rPr>
        <w:t xml:space="preserve">e più definiti </w:t>
      </w:r>
      <w:r w:rsidRPr="003E01A4">
        <w:rPr>
          <w:rFonts w:ascii="Century Schoolbook" w:hAnsi="Century Schoolbook"/>
          <w:sz w:val="22"/>
          <w:szCs w:val="22"/>
        </w:rPr>
        <w:t xml:space="preserve">sono </w:t>
      </w:r>
      <w:r w:rsidR="0098423B" w:rsidRPr="003E01A4">
        <w:rPr>
          <w:rFonts w:ascii="Century Schoolbook" w:hAnsi="Century Schoolbook"/>
          <w:sz w:val="22"/>
          <w:szCs w:val="22"/>
        </w:rPr>
        <w:t>ruoli e poteri delle singole figure soggettive</w:t>
      </w:r>
      <w:r w:rsidR="00BA2EDA" w:rsidRPr="003E01A4">
        <w:rPr>
          <w:rFonts w:ascii="Century Schoolbook" w:hAnsi="Century Schoolbook"/>
          <w:sz w:val="22"/>
          <w:szCs w:val="22"/>
        </w:rPr>
        <w:t>,</w:t>
      </w:r>
      <w:r w:rsidR="0098423B" w:rsidRPr="003E01A4">
        <w:rPr>
          <w:rFonts w:ascii="Century Schoolbook" w:hAnsi="Century Schoolbook"/>
          <w:sz w:val="22"/>
          <w:szCs w:val="22"/>
        </w:rPr>
        <w:t xml:space="preserve"> </w:t>
      </w:r>
      <w:r w:rsidR="00756AD2" w:rsidRPr="003E01A4">
        <w:rPr>
          <w:rFonts w:ascii="Century Schoolbook" w:hAnsi="Century Schoolbook"/>
          <w:sz w:val="22"/>
          <w:szCs w:val="22"/>
        </w:rPr>
        <w:t xml:space="preserve">pubbliche e </w:t>
      </w:r>
      <w:r w:rsidR="0098423B" w:rsidRPr="003E01A4">
        <w:rPr>
          <w:rFonts w:ascii="Century Schoolbook" w:hAnsi="Century Schoolbook"/>
          <w:sz w:val="22"/>
          <w:szCs w:val="22"/>
        </w:rPr>
        <w:t>private</w:t>
      </w:r>
      <w:r w:rsidR="00BA2EDA" w:rsidRPr="003E01A4">
        <w:rPr>
          <w:rFonts w:ascii="Century Schoolbook" w:hAnsi="Century Schoolbook"/>
          <w:sz w:val="22"/>
          <w:szCs w:val="22"/>
        </w:rPr>
        <w:t>,</w:t>
      </w:r>
      <w:r w:rsidR="0098423B" w:rsidRPr="003E01A4">
        <w:rPr>
          <w:rFonts w:ascii="Century Schoolbook" w:hAnsi="Century Schoolbook"/>
          <w:sz w:val="22"/>
          <w:szCs w:val="22"/>
        </w:rPr>
        <w:t xml:space="preserve"> che vi compaiono.</w:t>
      </w:r>
    </w:p>
    <w:p w14:paraId="3FC5C693" w14:textId="70BC5A07" w:rsidR="0098423B" w:rsidRPr="003E01A4" w:rsidRDefault="0098423B"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Ma son tutte immagini senza volto. </w:t>
      </w:r>
      <w:r w:rsidR="00756AD2" w:rsidRPr="003E01A4">
        <w:rPr>
          <w:rFonts w:ascii="Century Schoolbook" w:hAnsi="Century Schoolbook"/>
          <w:sz w:val="22"/>
          <w:szCs w:val="22"/>
        </w:rPr>
        <w:t xml:space="preserve">Se </w:t>
      </w:r>
      <w:r w:rsidR="00414FB8" w:rsidRPr="003E01A4">
        <w:rPr>
          <w:rFonts w:ascii="Century Schoolbook" w:hAnsi="Century Schoolbook"/>
          <w:sz w:val="22"/>
          <w:szCs w:val="22"/>
        </w:rPr>
        <w:t xml:space="preserve">nell’analisi </w:t>
      </w:r>
      <w:r w:rsidR="00756AD2" w:rsidRPr="003E01A4">
        <w:rPr>
          <w:rFonts w:ascii="Century Schoolbook" w:hAnsi="Century Schoolbook"/>
          <w:sz w:val="22"/>
          <w:szCs w:val="22"/>
        </w:rPr>
        <w:t>ci f</w:t>
      </w:r>
      <w:r w:rsidRPr="003E01A4">
        <w:rPr>
          <w:rFonts w:ascii="Century Schoolbook" w:hAnsi="Century Schoolbook"/>
          <w:sz w:val="22"/>
          <w:szCs w:val="22"/>
        </w:rPr>
        <w:t>erma</w:t>
      </w:r>
      <w:r w:rsidR="00756AD2" w:rsidRPr="003E01A4">
        <w:rPr>
          <w:rFonts w:ascii="Century Schoolbook" w:hAnsi="Century Schoolbook"/>
          <w:sz w:val="22"/>
          <w:szCs w:val="22"/>
        </w:rPr>
        <w:t>ssimo</w:t>
      </w:r>
      <w:r w:rsidRPr="003E01A4">
        <w:rPr>
          <w:rFonts w:ascii="Century Schoolbook" w:hAnsi="Century Schoolbook"/>
          <w:sz w:val="22"/>
          <w:szCs w:val="22"/>
        </w:rPr>
        <w:t xml:space="preserve"> qui, </w:t>
      </w:r>
      <w:r w:rsidR="00756AD2" w:rsidRPr="003E01A4">
        <w:rPr>
          <w:rFonts w:ascii="Century Schoolbook" w:hAnsi="Century Schoolbook"/>
          <w:sz w:val="22"/>
          <w:szCs w:val="22"/>
        </w:rPr>
        <w:t xml:space="preserve">trascureremmo un aspetto, forse il più importante: quali siano gli interessi </w:t>
      </w:r>
      <w:r w:rsidR="00756AD2" w:rsidRPr="003E01A4">
        <w:rPr>
          <w:rFonts w:ascii="Century Schoolbook" w:hAnsi="Century Schoolbook"/>
          <w:i/>
          <w:iCs/>
          <w:sz w:val="22"/>
          <w:szCs w:val="22"/>
        </w:rPr>
        <w:t>concreti</w:t>
      </w:r>
      <w:r w:rsidR="00756AD2" w:rsidRPr="003E01A4">
        <w:rPr>
          <w:rFonts w:ascii="Century Schoolbook" w:hAnsi="Century Schoolbook"/>
          <w:sz w:val="22"/>
          <w:szCs w:val="22"/>
        </w:rPr>
        <w:t xml:space="preserve"> – di nuovo, pubblici e privati – che prevalgono o che invece recedono</w:t>
      </w:r>
      <w:r w:rsidR="00A0059B" w:rsidRPr="003E01A4">
        <w:rPr>
          <w:rFonts w:ascii="Century Schoolbook" w:hAnsi="Century Schoolbook"/>
          <w:sz w:val="22"/>
          <w:szCs w:val="22"/>
        </w:rPr>
        <w:t xml:space="preserve"> </w:t>
      </w:r>
      <w:r w:rsidR="00756AD2" w:rsidRPr="003E01A4">
        <w:rPr>
          <w:rFonts w:ascii="Century Schoolbook" w:hAnsi="Century Schoolbook"/>
          <w:sz w:val="22"/>
          <w:szCs w:val="22"/>
        </w:rPr>
        <w:t xml:space="preserve">(sia pure in linea di tendenza) </w:t>
      </w:r>
      <w:r w:rsidR="00414FB8" w:rsidRPr="003E01A4">
        <w:rPr>
          <w:rFonts w:ascii="Century Schoolbook" w:hAnsi="Century Schoolbook"/>
          <w:sz w:val="22"/>
          <w:szCs w:val="22"/>
        </w:rPr>
        <w:t xml:space="preserve">nel modello generale unicizzante tracciato dall’ecosistema normativo PNRR; </w:t>
      </w:r>
      <w:r w:rsidR="00756AD2" w:rsidRPr="003E01A4">
        <w:rPr>
          <w:rFonts w:ascii="Century Schoolbook" w:hAnsi="Century Schoolbook"/>
          <w:sz w:val="22"/>
          <w:szCs w:val="22"/>
        </w:rPr>
        <w:t xml:space="preserve">quali </w:t>
      </w:r>
      <w:r w:rsidR="00414FB8" w:rsidRPr="003E01A4">
        <w:rPr>
          <w:rFonts w:ascii="Century Schoolbook" w:hAnsi="Century Schoolbook"/>
          <w:sz w:val="22"/>
          <w:szCs w:val="22"/>
        </w:rPr>
        <w:t>cioè</w:t>
      </w:r>
      <w:r w:rsidR="00756AD2" w:rsidRPr="003E01A4">
        <w:rPr>
          <w:rFonts w:ascii="Century Schoolbook" w:hAnsi="Century Schoolbook"/>
          <w:sz w:val="22"/>
          <w:szCs w:val="22"/>
        </w:rPr>
        <w:t xml:space="preserve"> si rafforzano</w:t>
      </w:r>
      <w:r w:rsidR="00414FB8" w:rsidRPr="003E01A4">
        <w:rPr>
          <w:rFonts w:ascii="Century Schoolbook" w:hAnsi="Century Schoolbook"/>
          <w:sz w:val="22"/>
          <w:szCs w:val="22"/>
        </w:rPr>
        <w:t>, quali</w:t>
      </w:r>
      <w:r w:rsidR="00756AD2" w:rsidRPr="003E01A4">
        <w:rPr>
          <w:rFonts w:ascii="Century Schoolbook" w:hAnsi="Century Schoolbook"/>
          <w:sz w:val="22"/>
          <w:szCs w:val="22"/>
        </w:rPr>
        <w:t xml:space="preserve"> s’indeboliscono.</w:t>
      </w:r>
    </w:p>
    <w:p w14:paraId="286907F1" w14:textId="77777777" w:rsidR="00110DD7" w:rsidRPr="003E01A4" w:rsidRDefault="00414FB8"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L’</w:t>
      </w:r>
      <w:r w:rsidRPr="003E01A4">
        <w:rPr>
          <w:rFonts w:ascii="Century Schoolbook" w:hAnsi="Century Schoolbook"/>
          <w:i/>
          <w:iCs/>
          <w:sz w:val="22"/>
          <w:szCs w:val="22"/>
        </w:rPr>
        <w:t>unicità</w:t>
      </w:r>
      <w:r w:rsidRPr="003E01A4">
        <w:rPr>
          <w:rFonts w:ascii="Century Schoolbook" w:hAnsi="Century Schoolbook"/>
          <w:sz w:val="22"/>
          <w:szCs w:val="22"/>
        </w:rPr>
        <w:t xml:space="preserve"> – procedimentale e decisoria – porta infatti con sé </w:t>
      </w:r>
      <w:r w:rsidR="005A7372" w:rsidRPr="003E01A4">
        <w:rPr>
          <w:rFonts w:ascii="Century Schoolbook" w:hAnsi="Century Schoolbook"/>
          <w:sz w:val="22"/>
          <w:szCs w:val="22"/>
        </w:rPr>
        <w:t xml:space="preserve">almeno </w:t>
      </w:r>
      <w:r w:rsidRPr="003E01A4">
        <w:rPr>
          <w:rFonts w:ascii="Century Schoolbook" w:hAnsi="Century Schoolbook"/>
          <w:sz w:val="22"/>
          <w:szCs w:val="22"/>
        </w:rPr>
        <w:t>il rischio dell’</w:t>
      </w:r>
      <w:r w:rsidRPr="003E01A4">
        <w:rPr>
          <w:rFonts w:ascii="Century Schoolbook" w:hAnsi="Century Schoolbook"/>
          <w:i/>
          <w:iCs/>
          <w:sz w:val="22"/>
          <w:szCs w:val="22"/>
        </w:rPr>
        <w:t>unicismo</w:t>
      </w:r>
      <w:r w:rsidRPr="003E01A4">
        <w:rPr>
          <w:rFonts w:ascii="Century Schoolbook" w:hAnsi="Century Schoolbook"/>
          <w:sz w:val="22"/>
          <w:szCs w:val="22"/>
        </w:rPr>
        <w:t>: di un interesse</w:t>
      </w:r>
      <w:r w:rsidR="005A7372" w:rsidRPr="003E01A4">
        <w:rPr>
          <w:rFonts w:ascii="Century Schoolbook" w:hAnsi="Century Schoolbook"/>
          <w:sz w:val="22"/>
          <w:szCs w:val="22"/>
        </w:rPr>
        <w:t>-</w:t>
      </w:r>
      <w:r w:rsidRPr="003E01A4">
        <w:rPr>
          <w:rFonts w:ascii="Century Schoolbook" w:hAnsi="Century Schoolbook"/>
          <w:sz w:val="22"/>
          <w:szCs w:val="22"/>
        </w:rPr>
        <w:t>Moloch cui</w:t>
      </w:r>
      <w:r w:rsidR="005A7372" w:rsidRPr="003E01A4">
        <w:rPr>
          <w:rFonts w:ascii="Century Schoolbook" w:hAnsi="Century Schoolbook"/>
          <w:sz w:val="22"/>
          <w:szCs w:val="22"/>
        </w:rPr>
        <w:t xml:space="preserve"> gli altri sono offerti in sacrificio.</w:t>
      </w:r>
      <w:r w:rsidR="00193E94" w:rsidRPr="003E01A4">
        <w:rPr>
          <w:rFonts w:ascii="Century Schoolbook" w:hAnsi="Century Schoolbook"/>
          <w:sz w:val="22"/>
          <w:szCs w:val="22"/>
        </w:rPr>
        <w:t xml:space="preserve"> </w:t>
      </w:r>
      <w:r w:rsidR="0084075F" w:rsidRPr="003E01A4">
        <w:rPr>
          <w:rFonts w:ascii="Century Schoolbook" w:hAnsi="Century Schoolbook"/>
          <w:sz w:val="22"/>
          <w:szCs w:val="22"/>
        </w:rPr>
        <w:t xml:space="preserve">Il </w:t>
      </w:r>
      <w:r w:rsidR="00DF12FF" w:rsidRPr="003E01A4">
        <w:rPr>
          <w:rFonts w:ascii="Century Schoolbook" w:hAnsi="Century Schoolbook"/>
          <w:sz w:val="22"/>
          <w:szCs w:val="22"/>
        </w:rPr>
        <w:t xml:space="preserve">tema è distinto da quello della tirannia del valore, ma gli è connesso. </w:t>
      </w:r>
    </w:p>
    <w:p w14:paraId="04D6C01A" w14:textId="1CA7F9F3" w:rsidR="00414FB8" w:rsidRPr="003E01A4" w:rsidRDefault="006B6BB9"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Sulla </w:t>
      </w:r>
      <w:r w:rsidRPr="003E01A4">
        <w:rPr>
          <w:rFonts w:ascii="Century Schoolbook" w:hAnsi="Century Schoolbook"/>
          <w:i/>
          <w:iCs/>
          <w:sz w:val="22"/>
          <w:szCs w:val="22"/>
          <w:lang w:val="de-DE"/>
        </w:rPr>
        <w:t>Tyrannei der Werte</w:t>
      </w:r>
      <w:r w:rsidRPr="003E01A4">
        <w:rPr>
          <w:rStyle w:val="Rimandonotaapidipagina"/>
          <w:rFonts w:ascii="Century Schoolbook" w:hAnsi="Century Schoolbook"/>
          <w:sz w:val="22"/>
          <w:szCs w:val="22"/>
        </w:rPr>
        <w:footnoteReference w:id="72"/>
      </w:r>
      <w:r w:rsidRPr="003E01A4">
        <w:rPr>
          <w:rFonts w:ascii="Century Schoolbook" w:hAnsi="Century Schoolbook"/>
          <w:sz w:val="22"/>
          <w:szCs w:val="22"/>
        </w:rPr>
        <w:t xml:space="preserve"> d</w:t>
      </w:r>
      <w:r w:rsidR="00110DD7" w:rsidRPr="003E01A4">
        <w:rPr>
          <w:rFonts w:ascii="Century Schoolbook" w:hAnsi="Century Schoolbook"/>
          <w:sz w:val="22"/>
          <w:szCs w:val="22"/>
        </w:rPr>
        <w:t>evo restare alla cornice unificante di questo mio scritto, cioè il governo del territorio.</w:t>
      </w:r>
      <w:r w:rsidR="00DF12FF" w:rsidRPr="003E01A4">
        <w:rPr>
          <w:rFonts w:ascii="Century Schoolbook" w:hAnsi="Century Schoolbook"/>
          <w:sz w:val="22"/>
          <w:szCs w:val="22"/>
        </w:rPr>
        <w:t xml:space="preserve"> </w:t>
      </w:r>
      <w:r w:rsidR="00110DD7" w:rsidRPr="003E01A4">
        <w:rPr>
          <w:rFonts w:ascii="Century Schoolbook" w:hAnsi="Century Schoolbook"/>
          <w:sz w:val="22"/>
          <w:szCs w:val="22"/>
        </w:rPr>
        <w:t>I</w:t>
      </w:r>
      <w:r w:rsidR="00DF12FF" w:rsidRPr="003E01A4">
        <w:rPr>
          <w:rFonts w:ascii="Century Schoolbook" w:hAnsi="Century Schoolbook"/>
          <w:sz w:val="22"/>
          <w:szCs w:val="22"/>
        </w:rPr>
        <w:t xml:space="preserve">nnanzi agli occhi di un giurista “non giovanissimo” son già </w:t>
      </w:r>
      <w:r w:rsidR="006F7CDC" w:rsidRPr="003E01A4">
        <w:rPr>
          <w:rFonts w:ascii="Century Schoolbook" w:hAnsi="Century Schoolbook"/>
          <w:sz w:val="22"/>
          <w:szCs w:val="22"/>
        </w:rPr>
        <w:t>trascorse e sfiorite</w:t>
      </w:r>
      <w:r w:rsidR="006D7D76" w:rsidRPr="003E01A4">
        <w:rPr>
          <w:rFonts w:ascii="Century Schoolbook" w:hAnsi="Century Schoolbook"/>
          <w:sz w:val="22"/>
          <w:szCs w:val="22"/>
        </w:rPr>
        <w:t>,</w:t>
      </w:r>
      <w:r w:rsidR="00DF12FF" w:rsidRPr="003E01A4">
        <w:rPr>
          <w:rFonts w:ascii="Century Schoolbook" w:hAnsi="Century Schoolbook"/>
          <w:sz w:val="22"/>
          <w:szCs w:val="22"/>
        </w:rPr>
        <w:t xml:space="preserve"> </w:t>
      </w:r>
      <w:r w:rsidR="006D7D76" w:rsidRPr="003E01A4">
        <w:rPr>
          <w:rFonts w:ascii="Century Schoolbook" w:hAnsi="Century Schoolbook"/>
          <w:sz w:val="22"/>
          <w:szCs w:val="22"/>
        </w:rPr>
        <w:t xml:space="preserve">per esempio, </w:t>
      </w:r>
      <w:r w:rsidR="00DF12FF" w:rsidRPr="003E01A4">
        <w:rPr>
          <w:rFonts w:ascii="Century Schoolbook" w:hAnsi="Century Schoolbook"/>
          <w:sz w:val="22"/>
          <w:szCs w:val="22"/>
        </w:rPr>
        <w:t>l</w:t>
      </w:r>
      <w:r w:rsidR="006D7D76" w:rsidRPr="003E01A4">
        <w:rPr>
          <w:rFonts w:ascii="Century Schoolbook" w:hAnsi="Century Schoolbook"/>
          <w:sz w:val="22"/>
          <w:szCs w:val="22"/>
        </w:rPr>
        <w:t>a</w:t>
      </w:r>
      <w:r w:rsidR="00DF12FF" w:rsidRPr="003E01A4">
        <w:rPr>
          <w:rFonts w:ascii="Century Schoolbook" w:hAnsi="Century Schoolbook"/>
          <w:sz w:val="22"/>
          <w:szCs w:val="22"/>
        </w:rPr>
        <w:t xml:space="preserve"> stagion</w:t>
      </w:r>
      <w:r w:rsidR="006D7D76" w:rsidRPr="003E01A4">
        <w:rPr>
          <w:rFonts w:ascii="Century Schoolbook" w:hAnsi="Century Schoolbook"/>
          <w:sz w:val="22"/>
          <w:szCs w:val="22"/>
        </w:rPr>
        <w:t>e</w:t>
      </w:r>
      <w:r w:rsidR="00DF12FF" w:rsidRPr="003E01A4">
        <w:rPr>
          <w:rFonts w:ascii="Century Schoolbook" w:hAnsi="Century Schoolbook"/>
          <w:sz w:val="22"/>
          <w:szCs w:val="22"/>
        </w:rPr>
        <w:t xml:space="preserve"> del d.P.R. n. 616/’77 con la sua visione pan-urbanistica</w:t>
      </w:r>
      <w:r w:rsidR="003B115E" w:rsidRPr="003E01A4">
        <w:rPr>
          <w:rFonts w:ascii="Century Schoolbook" w:hAnsi="Century Schoolbook"/>
          <w:sz w:val="22"/>
          <w:szCs w:val="22"/>
        </w:rPr>
        <w:t>, da prima</w:t>
      </w:r>
      <w:r w:rsidR="006D7D76" w:rsidRPr="003E01A4">
        <w:rPr>
          <w:rFonts w:ascii="Century Schoolbook" w:hAnsi="Century Schoolbook"/>
          <w:sz w:val="22"/>
          <w:szCs w:val="22"/>
        </w:rPr>
        <w:t>;</w:t>
      </w:r>
      <w:r w:rsidR="00DF12FF" w:rsidRPr="003E01A4">
        <w:rPr>
          <w:rFonts w:ascii="Century Schoolbook" w:hAnsi="Century Schoolbook"/>
          <w:sz w:val="22"/>
          <w:szCs w:val="22"/>
        </w:rPr>
        <w:t xml:space="preserve"> </w:t>
      </w:r>
      <w:r w:rsidR="006D7D76" w:rsidRPr="003E01A4">
        <w:rPr>
          <w:rFonts w:ascii="Century Schoolbook" w:hAnsi="Century Schoolbook"/>
          <w:sz w:val="22"/>
          <w:szCs w:val="22"/>
        </w:rPr>
        <w:t xml:space="preserve">quella </w:t>
      </w:r>
      <w:r w:rsidR="00DF12FF" w:rsidRPr="003E01A4">
        <w:rPr>
          <w:rFonts w:ascii="Century Schoolbook" w:hAnsi="Century Schoolbook"/>
          <w:sz w:val="22"/>
          <w:szCs w:val="22"/>
        </w:rPr>
        <w:t xml:space="preserve">della pan-paesaggistica incarnata </w:t>
      </w:r>
      <w:r w:rsidR="006D7D76" w:rsidRPr="003E01A4">
        <w:rPr>
          <w:rFonts w:ascii="Century Schoolbook" w:hAnsi="Century Schoolbook"/>
          <w:sz w:val="22"/>
          <w:szCs w:val="22"/>
        </w:rPr>
        <w:t>da</w:t>
      </w:r>
      <w:r w:rsidR="00DF12FF" w:rsidRPr="003E01A4">
        <w:rPr>
          <w:rFonts w:ascii="Century Schoolbook" w:hAnsi="Century Schoolbook"/>
          <w:sz w:val="22"/>
          <w:szCs w:val="22"/>
        </w:rPr>
        <w:t>lla l. n. 431/’85</w:t>
      </w:r>
      <w:r w:rsidR="006D7D76" w:rsidRPr="003E01A4">
        <w:rPr>
          <w:rFonts w:ascii="Century Schoolbook" w:hAnsi="Century Schoolbook"/>
          <w:sz w:val="22"/>
          <w:szCs w:val="22"/>
        </w:rPr>
        <w:t xml:space="preserve">, </w:t>
      </w:r>
      <w:r w:rsidR="003B115E" w:rsidRPr="003E01A4">
        <w:rPr>
          <w:rFonts w:ascii="Century Schoolbook" w:hAnsi="Century Schoolbook"/>
          <w:sz w:val="22"/>
          <w:szCs w:val="22"/>
        </w:rPr>
        <w:t xml:space="preserve">di </w:t>
      </w:r>
      <w:r w:rsidR="006D7D76" w:rsidRPr="003E01A4">
        <w:rPr>
          <w:rFonts w:ascii="Century Schoolbook" w:hAnsi="Century Schoolbook"/>
          <w:sz w:val="22"/>
          <w:szCs w:val="22"/>
        </w:rPr>
        <w:t>poi</w:t>
      </w:r>
      <w:r w:rsidR="00DF12FF" w:rsidRPr="003E01A4">
        <w:rPr>
          <w:rFonts w:ascii="Century Schoolbook" w:hAnsi="Century Schoolbook"/>
          <w:sz w:val="22"/>
          <w:szCs w:val="22"/>
        </w:rPr>
        <w:t>.</w:t>
      </w:r>
      <w:r w:rsidR="006D7D76" w:rsidRPr="003E01A4">
        <w:rPr>
          <w:rFonts w:ascii="Century Schoolbook" w:hAnsi="Century Schoolbook"/>
          <w:sz w:val="22"/>
          <w:szCs w:val="22"/>
        </w:rPr>
        <w:t xml:space="preserve"> Ora </w:t>
      </w:r>
      <w:r w:rsidR="003131F0" w:rsidRPr="003E01A4">
        <w:rPr>
          <w:rFonts w:ascii="Century Schoolbook" w:hAnsi="Century Schoolbook"/>
          <w:i/>
          <w:iCs/>
          <w:sz w:val="22"/>
          <w:szCs w:val="22"/>
        </w:rPr>
        <w:t>parrebbe</w:t>
      </w:r>
      <w:r w:rsidR="006D7D76" w:rsidRPr="003E01A4">
        <w:rPr>
          <w:rFonts w:ascii="Century Schoolbook" w:hAnsi="Century Schoolbook"/>
          <w:sz w:val="22"/>
          <w:szCs w:val="22"/>
        </w:rPr>
        <w:t xml:space="preserve"> il tempo del pan-ambientalismo. </w:t>
      </w:r>
      <w:r w:rsidR="003B115E" w:rsidRPr="003E01A4">
        <w:rPr>
          <w:rFonts w:ascii="Century Schoolbook" w:hAnsi="Century Schoolbook"/>
          <w:sz w:val="22"/>
          <w:szCs w:val="22"/>
        </w:rPr>
        <w:t xml:space="preserve">Ma a differenza </w:t>
      </w:r>
      <w:r w:rsidR="00315765" w:rsidRPr="003E01A4">
        <w:rPr>
          <w:rFonts w:ascii="Century Schoolbook" w:hAnsi="Century Schoolbook"/>
          <w:sz w:val="22"/>
          <w:szCs w:val="22"/>
        </w:rPr>
        <w:t xml:space="preserve">forse </w:t>
      </w:r>
      <w:r w:rsidR="003B115E" w:rsidRPr="003E01A4">
        <w:rPr>
          <w:rFonts w:ascii="Century Schoolbook" w:hAnsi="Century Schoolbook"/>
          <w:sz w:val="22"/>
          <w:szCs w:val="22"/>
        </w:rPr>
        <w:t xml:space="preserve">delle prime due, quest’ultima stagione ha per vessillo un valore </w:t>
      </w:r>
      <w:r w:rsidR="003131F0" w:rsidRPr="003E01A4">
        <w:rPr>
          <w:rFonts w:ascii="Century Schoolbook" w:hAnsi="Century Schoolbook"/>
          <w:sz w:val="22"/>
          <w:szCs w:val="22"/>
        </w:rPr>
        <w:t xml:space="preserve">e logiche di tutela </w:t>
      </w:r>
      <w:r w:rsidR="003B115E" w:rsidRPr="003E01A4">
        <w:rPr>
          <w:rFonts w:ascii="Century Schoolbook" w:hAnsi="Century Schoolbook"/>
          <w:sz w:val="22"/>
          <w:szCs w:val="22"/>
        </w:rPr>
        <w:t>quanto mai ambigu</w:t>
      </w:r>
      <w:r w:rsidR="003131F0" w:rsidRPr="003E01A4">
        <w:rPr>
          <w:rFonts w:ascii="Century Schoolbook" w:hAnsi="Century Schoolbook"/>
          <w:sz w:val="22"/>
          <w:szCs w:val="22"/>
        </w:rPr>
        <w:t>e</w:t>
      </w:r>
      <w:r w:rsidR="003B115E" w:rsidRPr="003E01A4">
        <w:rPr>
          <w:rFonts w:ascii="Century Schoolbook" w:hAnsi="Century Schoolbook"/>
          <w:sz w:val="22"/>
          <w:szCs w:val="22"/>
        </w:rPr>
        <w:t xml:space="preserve">: </w:t>
      </w:r>
      <w:r w:rsidR="00C57556" w:rsidRPr="003E01A4">
        <w:rPr>
          <w:rFonts w:ascii="Century Schoolbook" w:hAnsi="Century Schoolbook"/>
          <w:sz w:val="22"/>
          <w:szCs w:val="22"/>
        </w:rPr>
        <w:t xml:space="preserve">potrebbe trattarsi infatti di un vieto </w:t>
      </w:r>
      <w:r w:rsidR="003B115E" w:rsidRPr="003E01A4">
        <w:rPr>
          <w:rFonts w:ascii="Century Schoolbook" w:hAnsi="Century Schoolbook"/>
          <w:sz w:val="22"/>
          <w:szCs w:val="22"/>
        </w:rPr>
        <w:t xml:space="preserve">«ambientalismo industriale globalista, </w:t>
      </w:r>
      <w:r w:rsidR="001F4BE8" w:rsidRPr="003E01A4">
        <w:rPr>
          <w:rFonts w:ascii="Century Schoolbook" w:hAnsi="Century Schoolbook"/>
          <w:sz w:val="22"/>
          <w:szCs w:val="22"/>
        </w:rPr>
        <w:t>il quale</w:t>
      </w:r>
      <w:r w:rsidR="003B115E" w:rsidRPr="003E01A4">
        <w:rPr>
          <w:rFonts w:ascii="Century Schoolbook" w:hAnsi="Century Schoolbook"/>
          <w:sz w:val="22"/>
          <w:szCs w:val="22"/>
        </w:rPr>
        <w:t xml:space="preserve"> vede all’attacco imprese industriali che, sventolando il vessillo di Kyoto e della lotta al mutamento climatico, perseguono loro immediati e concreti ritorni economici di profitto e mirano a realizzare parchi eolici sull’Appennino e campi di pannelli fotovoltaici nelle pianure»</w:t>
      </w:r>
      <w:r w:rsidR="00C57556" w:rsidRPr="003E01A4">
        <w:rPr>
          <w:rStyle w:val="Rimandonotaapidipagina"/>
          <w:rFonts w:ascii="Century Schoolbook" w:hAnsi="Century Schoolbook"/>
          <w:sz w:val="22"/>
          <w:szCs w:val="22"/>
        </w:rPr>
        <w:footnoteReference w:id="73"/>
      </w:r>
      <w:r w:rsidR="00C57556" w:rsidRPr="003E01A4">
        <w:rPr>
          <w:rFonts w:ascii="Century Schoolbook" w:hAnsi="Century Schoolbook"/>
          <w:sz w:val="22"/>
          <w:szCs w:val="22"/>
        </w:rPr>
        <w:t>.</w:t>
      </w:r>
      <w:r w:rsidR="003B115E" w:rsidRPr="003E01A4">
        <w:rPr>
          <w:rFonts w:ascii="Century Schoolbook" w:hAnsi="Century Schoolbook"/>
          <w:sz w:val="22"/>
          <w:szCs w:val="22"/>
        </w:rPr>
        <w:t xml:space="preserve"> </w:t>
      </w:r>
    </w:p>
    <w:p w14:paraId="160158F4" w14:textId="40CC54D4" w:rsidR="000632C0" w:rsidRPr="003E01A4" w:rsidRDefault="000632C0"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Ci si deve chiedere in somma se </w:t>
      </w:r>
      <w:r w:rsidR="008C60BF" w:rsidRPr="003E01A4">
        <w:rPr>
          <w:rFonts w:ascii="Century Schoolbook" w:hAnsi="Century Schoolbook"/>
          <w:sz w:val="22"/>
          <w:szCs w:val="22"/>
        </w:rPr>
        <w:t>i</w:t>
      </w:r>
      <w:r w:rsidRPr="003E01A4">
        <w:rPr>
          <w:rFonts w:ascii="Century Schoolbook" w:hAnsi="Century Schoolbook"/>
          <w:sz w:val="22"/>
          <w:szCs w:val="22"/>
        </w:rPr>
        <w:t>l principio di unicità</w:t>
      </w:r>
      <w:r w:rsidR="008C60BF" w:rsidRPr="003E01A4">
        <w:rPr>
          <w:rFonts w:ascii="Century Schoolbook" w:hAnsi="Century Schoolbook"/>
          <w:sz w:val="22"/>
          <w:szCs w:val="22"/>
        </w:rPr>
        <w:t>,</w:t>
      </w:r>
      <w:r w:rsidRPr="003E01A4">
        <w:rPr>
          <w:rFonts w:ascii="Century Schoolbook" w:hAnsi="Century Schoolbook"/>
          <w:sz w:val="22"/>
          <w:szCs w:val="22"/>
        </w:rPr>
        <w:t xml:space="preserve"> </w:t>
      </w:r>
      <w:r w:rsidR="008C60BF" w:rsidRPr="003E01A4">
        <w:rPr>
          <w:rFonts w:ascii="Century Schoolbook" w:hAnsi="Century Schoolbook"/>
          <w:sz w:val="22"/>
          <w:szCs w:val="22"/>
        </w:rPr>
        <w:t xml:space="preserve">come realizzato </w:t>
      </w:r>
      <w:r w:rsidR="00927940" w:rsidRPr="003E01A4">
        <w:rPr>
          <w:rFonts w:ascii="Century Schoolbook" w:hAnsi="Century Schoolbook"/>
          <w:sz w:val="22"/>
          <w:szCs w:val="22"/>
        </w:rPr>
        <w:t xml:space="preserve">sopra tutto </w:t>
      </w:r>
      <w:r w:rsidRPr="003E01A4">
        <w:rPr>
          <w:rFonts w:ascii="Century Schoolbook" w:hAnsi="Century Schoolbook"/>
          <w:sz w:val="22"/>
          <w:szCs w:val="22"/>
        </w:rPr>
        <w:t>i</w:t>
      </w:r>
      <w:r w:rsidR="008C60BF" w:rsidRPr="003E01A4">
        <w:rPr>
          <w:rFonts w:ascii="Century Schoolbook" w:hAnsi="Century Schoolbook"/>
          <w:sz w:val="22"/>
          <w:szCs w:val="22"/>
        </w:rPr>
        <w:t>n</w:t>
      </w:r>
      <w:r w:rsidRPr="003E01A4">
        <w:rPr>
          <w:rFonts w:ascii="Century Schoolbook" w:hAnsi="Century Schoolbook"/>
          <w:sz w:val="22"/>
          <w:szCs w:val="22"/>
        </w:rPr>
        <w:t xml:space="preserve"> tanta parte del diritto legislativo PNRR</w:t>
      </w:r>
      <w:r w:rsidR="008C60BF" w:rsidRPr="003E01A4">
        <w:rPr>
          <w:rFonts w:ascii="Century Schoolbook" w:hAnsi="Century Schoolbook"/>
          <w:sz w:val="22"/>
          <w:szCs w:val="22"/>
        </w:rPr>
        <w:t>,</w:t>
      </w:r>
      <w:r w:rsidRPr="003E01A4">
        <w:rPr>
          <w:rFonts w:ascii="Century Schoolbook" w:hAnsi="Century Schoolbook"/>
          <w:sz w:val="22"/>
          <w:szCs w:val="22"/>
        </w:rPr>
        <w:t xml:space="preserve"> </w:t>
      </w:r>
      <w:r w:rsidR="008C60BF" w:rsidRPr="003E01A4">
        <w:rPr>
          <w:rFonts w:ascii="Century Schoolbook" w:hAnsi="Century Schoolbook"/>
          <w:sz w:val="22"/>
          <w:szCs w:val="22"/>
        </w:rPr>
        <w:t>per ciò solo orienti</w:t>
      </w:r>
      <w:r w:rsidRPr="003E01A4">
        <w:rPr>
          <w:rFonts w:ascii="Century Schoolbook" w:hAnsi="Century Schoolbook"/>
          <w:sz w:val="22"/>
          <w:szCs w:val="22"/>
        </w:rPr>
        <w:t xml:space="preserve"> (in modo </w:t>
      </w:r>
      <w:r w:rsidR="008C60BF" w:rsidRPr="003E01A4">
        <w:rPr>
          <w:rFonts w:ascii="Century Schoolbook" w:hAnsi="Century Schoolbook"/>
          <w:sz w:val="22"/>
          <w:szCs w:val="22"/>
        </w:rPr>
        <w:t xml:space="preserve">sì </w:t>
      </w:r>
      <w:r w:rsidRPr="003E01A4">
        <w:rPr>
          <w:rFonts w:ascii="Century Schoolbook" w:hAnsi="Century Schoolbook"/>
          <w:sz w:val="22"/>
          <w:szCs w:val="22"/>
        </w:rPr>
        <w:t xml:space="preserve">indiretto, ma non per </w:t>
      </w:r>
      <w:r w:rsidR="008C60BF" w:rsidRPr="003E01A4">
        <w:rPr>
          <w:rFonts w:ascii="Century Schoolbook" w:hAnsi="Century Schoolbook"/>
          <w:sz w:val="22"/>
          <w:szCs w:val="22"/>
        </w:rPr>
        <w:t xml:space="preserve">questo </w:t>
      </w:r>
      <w:r w:rsidRPr="003E01A4">
        <w:rPr>
          <w:rFonts w:ascii="Century Schoolbook" w:hAnsi="Century Schoolbook"/>
          <w:sz w:val="22"/>
          <w:szCs w:val="22"/>
        </w:rPr>
        <w:t xml:space="preserve">meno </w:t>
      </w:r>
      <w:r w:rsidR="00927940" w:rsidRPr="003E01A4">
        <w:rPr>
          <w:rFonts w:ascii="Century Schoolbook" w:hAnsi="Century Schoolbook"/>
          <w:sz w:val="22"/>
          <w:szCs w:val="22"/>
        </w:rPr>
        <w:t>insidi</w:t>
      </w:r>
      <w:r w:rsidRPr="003E01A4">
        <w:rPr>
          <w:rFonts w:ascii="Century Schoolbook" w:hAnsi="Century Schoolbook"/>
          <w:sz w:val="22"/>
          <w:szCs w:val="22"/>
        </w:rPr>
        <w:t xml:space="preserve">oso) </w:t>
      </w:r>
      <w:r w:rsidR="008C60BF" w:rsidRPr="003E01A4">
        <w:rPr>
          <w:rFonts w:ascii="Century Schoolbook" w:hAnsi="Century Schoolbook"/>
          <w:sz w:val="22"/>
          <w:szCs w:val="22"/>
        </w:rPr>
        <w:t>verso</w:t>
      </w:r>
      <w:r w:rsidRPr="003E01A4">
        <w:rPr>
          <w:rFonts w:ascii="Century Schoolbook" w:hAnsi="Century Schoolbook"/>
          <w:sz w:val="22"/>
          <w:szCs w:val="22"/>
        </w:rPr>
        <w:t xml:space="preserve"> </w:t>
      </w:r>
      <w:r w:rsidR="008C60BF" w:rsidRPr="003E01A4">
        <w:rPr>
          <w:rFonts w:ascii="Century Schoolbook" w:hAnsi="Century Schoolbook"/>
          <w:sz w:val="22"/>
          <w:szCs w:val="22"/>
        </w:rPr>
        <w:t>approdi di tal fatta,</w:t>
      </w:r>
      <w:r w:rsidRPr="003E01A4">
        <w:rPr>
          <w:rFonts w:ascii="Century Schoolbook" w:hAnsi="Century Schoolbook"/>
          <w:sz w:val="22"/>
          <w:szCs w:val="22"/>
        </w:rPr>
        <w:t xml:space="preserve"> </w:t>
      </w:r>
      <w:r w:rsidR="00927940" w:rsidRPr="003E01A4">
        <w:rPr>
          <w:rFonts w:ascii="Century Schoolbook" w:hAnsi="Century Schoolbook"/>
          <w:sz w:val="22"/>
          <w:szCs w:val="22"/>
        </w:rPr>
        <w:t>dissimulando il sembiante di</w:t>
      </w:r>
      <w:r w:rsidR="008C60BF" w:rsidRPr="003E01A4">
        <w:rPr>
          <w:rFonts w:ascii="Century Schoolbook" w:hAnsi="Century Schoolbook"/>
          <w:sz w:val="22"/>
          <w:szCs w:val="22"/>
        </w:rPr>
        <w:t xml:space="preserve"> un tirannico unicismo pseudo-ambientalista; </w:t>
      </w:r>
      <w:r w:rsidRPr="003E01A4">
        <w:rPr>
          <w:rFonts w:ascii="Century Schoolbook" w:hAnsi="Century Schoolbook"/>
          <w:sz w:val="22"/>
          <w:szCs w:val="22"/>
        </w:rPr>
        <w:t xml:space="preserve">o </w:t>
      </w:r>
      <w:r w:rsidR="008C60BF" w:rsidRPr="003E01A4">
        <w:rPr>
          <w:rFonts w:ascii="Century Schoolbook" w:hAnsi="Century Schoolbook"/>
          <w:sz w:val="22"/>
          <w:szCs w:val="22"/>
        </w:rPr>
        <w:t xml:space="preserve">se </w:t>
      </w:r>
      <w:r w:rsidR="003131F0" w:rsidRPr="003E01A4">
        <w:rPr>
          <w:rFonts w:ascii="Century Schoolbook" w:hAnsi="Century Schoolbook"/>
          <w:sz w:val="22"/>
          <w:szCs w:val="22"/>
        </w:rPr>
        <w:t xml:space="preserve">sia </w:t>
      </w:r>
      <w:r w:rsidR="008C60BF" w:rsidRPr="003E01A4">
        <w:rPr>
          <w:rFonts w:ascii="Century Schoolbook" w:hAnsi="Century Schoolbook"/>
          <w:sz w:val="22"/>
          <w:szCs w:val="22"/>
        </w:rPr>
        <w:t xml:space="preserve">invece </w:t>
      </w:r>
      <w:r w:rsidRPr="003E01A4">
        <w:rPr>
          <w:rFonts w:ascii="Century Schoolbook" w:hAnsi="Century Schoolbook"/>
          <w:sz w:val="22"/>
          <w:szCs w:val="22"/>
        </w:rPr>
        <w:t>assiologicamente neutr</w:t>
      </w:r>
      <w:r w:rsidR="008C60BF" w:rsidRPr="003E01A4">
        <w:rPr>
          <w:rFonts w:ascii="Century Schoolbook" w:hAnsi="Century Schoolbook"/>
          <w:sz w:val="22"/>
          <w:szCs w:val="22"/>
        </w:rPr>
        <w:t>o</w:t>
      </w:r>
      <w:r w:rsidR="00927940" w:rsidRPr="003E01A4">
        <w:rPr>
          <w:rFonts w:ascii="Century Schoolbook" w:hAnsi="Century Schoolbook"/>
          <w:sz w:val="22"/>
          <w:szCs w:val="22"/>
        </w:rPr>
        <w:t xml:space="preserve">, mera regola apicale di un asettico, imperturbato </w:t>
      </w:r>
      <w:r w:rsidR="00927940" w:rsidRPr="003E01A4">
        <w:rPr>
          <w:rFonts w:ascii="Century Schoolbook" w:hAnsi="Century Schoolbook"/>
          <w:i/>
          <w:iCs/>
          <w:sz w:val="22"/>
          <w:szCs w:val="22"/>
        </w:rPr>
        <w:t>ordo productionis</w:t>
      </w:r>
      <w:r w:rsidRPr="003E01A4">
        <w:rPr>
          <w:rFonts w:ascii="Century Schoolbook" w:hAnsi="Century Schoolbook"/>
          <w:sz w:val="22"/>
          <w:szCs w:val="22"/>
        </w:rPr>
        <w:t>.</w:t>
      </w:r>
      <w:r w:rsidR="003D1F2D" w:rsidRPr="003E01A4">
        <w:rPr>
          <w:rFonts w:ascii="Century Schoolbook" w:hAnsi="Century Schoolbook"/>
          <w:sz w:val="22"/>
          <w:szCs w:val="22"/>
        </w:rPr>
        <w:t xml:space="preserve"> </w:t>
      </w:r>
    </w:p>
    <w:p w14:paraId="6D5B2F5B" w14:textId="7BBDFE65" w:rsidR="0048078C" w:rsidRPr="003E01A4" w:rsidRDefault="00AB0730"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Difficile dare una risposta netta</w:t>
      </w:r>
      <w:r w:rsidR="0048078C" w:rsidRPr="003E01A4">
        <w:rPr>
          <w:rFonts w:ascii="Century Schoolbook" w:hAnsi="Century Schoolbook"/>
          <w:sz w:val="22"/>
          <w:szCs w:val="22"/>
        </w:rPr>
        <w:t xml:space="preserve">. In sé considerato, quel principio non mi sembra comportare la prevalenza necessaria di questo o quel valore-interesse pubblico: per restare nell’allegoria del sistema di governo, non </w:t>
      </w:r>
      <w:r w:rsidRPr="003E01A4">
        <w:rPr>
          <w:rFonts w:ascii="Century Schoolbook" w:hAnsi="Century Schoolbook"/>
          <w:sz w:val="22"/>
          <w:szCs w:val="22"/>
        </w:rPr>
        <w:t xml:space="preserve">mi </w:t>
      </w:r>
      <w:r w:rsidR="0048078C" w:rsidRPr="003E01A4">
        <w:rPr>
          <w:rFonts w:ascii="Century Schoolbook" w:hAnsi="Century Schoolbook"/>
          <w:sz w:val="22"/>
          <w:szCs w:val="22"/>
        </w:rPr>
        <w:t>si mostra come inarrestabile facitore occulto di tiranni.</w:t>
      </w:r>
    </w:p>
    <w:p w14:paraId="373BEE21" w14:textId="4510317D" w:rsidR="00BA2EDA" w:rsidRPr="003E01A4" w:rsidRDefault="0048078C"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Se mai, </w:t>
      </w:r>
      <w:r w:rsidR="00161D3F" w:rsidRPr="003E01A4">
        <w:rPr>
          <w:rFonts w:ascii="Century Schoolbook" w:hAnsi="Century Schoolbook"/>
          <w:sz w:val="22"/>
          <w:szCs w:val="22"/>
        </w:rPr>
        <w:t xml:space="preserve">un </w:t>
      </w:r>
      <w:r w:rsidRPr="003E01A4">
        <w:rPr>
          <w:rFonts w:ascii="Century Schoolbook" w:hAnsi="Century Schoolbook"/>
          <w:sz w:val="22"/>
          <w:szCs w:val="22"/>
        </w:rPr>
        <w:t xml:space="preserve">effetto sostanziale </w:t>
      </w:r>
      <w:r w:rsidR="00D9087C" w:rsidRPr="003E01A4">
        <w:rPr>
          <w:rFonts w:ascii="Century Schoolbook" w:hAnsi="Century Schoolbook"/>
          <w:sz w:val="22"/>
          <w:szCs w:val="22"/>
        </w:rPr>
        <w:t>dell’unici</w:t>
      </w:r>
      <w:r w:rsidR="003131F0" w:rsidRPr="003E01A4">
        <w:rPr>
          <w:rFonts w:ascii="Century Schoolbook" w:hAnsi="Century Schoolbook"/>
          <w:sz w:val="22"/>
          <w:szCs w:val="22"/>
        </w:rPr>
        <w:t>smo</w:t>
      </w:r>
      <w:r w:rsidR="00D9087C" w:rsidRPr="003E01A4">
        <w:rPr>
          <w:rFonts w:ascii="Century Schoolbook" w:hAnsi="Century Schoolbook"/>
          <w:sz w:val="22"/>
          <w:szCs w:val="22"/>
        </w:rPr>
        <w:t xml:space="preserve"> </w:t>
      </w:r>
      <w:r w:rsidRPr="003E01A4">
        <w:rPr>
          <w:rFonts w:ascii="Century Schoolbook" w:hAnsi="Century Schoolbook"/>
          <w:sz w:val="22"/>
          <w:szCs w:val="22"/>
        </w:rPr>
        <w:t>può esser colto</w:t>
      </w:r>
      <w:r w:rsidR="00161D3F" w:rsidRPr="003E01A4">
        <w:rPr>
          <w:rFonts w:ascii="Century Schoolbook" w:hAnsi="Century Schoolbook"/>
          <w:sz w:val="22"/>
          <w:szCs w:val="22"/>
        </w:rPr>
        <w:t xml:space="preserve"> su di un piano diverso. Escludendo la possibilità di procedimenti successivi a quello conferenziale, il principio in esame impedisce pure che nella seconda battuta si tendano </w:t>
      </w:r>
      <w:r w:rsidR="00D9087C" w:rsidRPr="003E01A4">
        <w:rPr>
          <w:rFonts w:ascii="Century Schoolbook" w:hAnsi="Century Schoolbook"/>
          <w:sz w:val="22"/>
          <w:szCs w:val="22"/>
        </w:rPr>
        <w:t xml:space="preserve">– diciamo così – </w:t>
      </w:r>
      <w:r w:rsidR="00161D3F" w:rsidRPr="003E01A4">
        <w:rPr>
          <w:rFonts w:ascii="Century Schoolbook" w:hAnsi="Century Schoolbook"/>
          <w:sz w:val="22"/>
          <w:szCs w:val="22"/>
        </w:rPr>
        <w:t xml:space="preserve">imboscate </w:t>
      </w:r>
      <w:r w:rsidR="00D9087C" w:rsidRPr="003E01A4">
        <w:rPr>
          <w:rFonts w:ascii="Century Schoolbook" w:hAnsi="Century Schoolbook"/>
          <w:sz w:val="22"/>
          <w:szCs w:val="22"/>
        </w:rPr>
        <w:t xml:space="preserve">dal carattere puramente </w:t>
      </w:r>
      <w:r w:rsidR="00161D3F" w:rsidRPr="003E01A4">
        <w:rPr>
          <w:rFonts w:ascii="Century Schoolbook" w:hAnsi="Century Schoolbook"/>
          <w:i/>
          <w:iCs/>
          <w:sz w:val="22"/>
          <w:szCs w:val="22"/>
        </w:rPr>
        <w:t>politic</w:t>
      </w:r>
      <w:r w:rsidR="00D9087C" w:rsidRPr="003E01A4">
        <w:rPr>
          <w:rFonts w:ascii="Century Schoolbook" w:hAnsi="Century Schoolbook"/>
          <w:i/>
          <w:iCs/>
          <w:sz w:val="22"/>
          <w:szCs w:val="22"/>
        </w:rPr>
        <w:t>o</w:t>
      </w:r>
      <w:r w:rsidR="00D9087C" w:rsidRPr="003E01A4">
        <w:rPr>
          <w:rFonts w:ascii="Century Schoolbook" w:hAnsi="Century Schoolbook"/>
          <w:sz w:val="22"/>
          <w:szCs w:val="22"/>
        </w:rPr>
        <w:t>,</w:t>
      </w:r>
      <w:r w:rsidR="00161D3F" w:rsidRPr="003E01A4">
        <w:rPr>
          <w:rFonts w:ascii="Century Schoolbook" w:hAnsi="Century Schoolbook"/>
          <w:sz w:val="22"/>
          <w:szCs w:val="22"/>
        </w:rPr>
        <w:t xml:space="preserve"> </w:t>
      </w:r>
      <w:r w:rsidR="00D9087C" w:rsidRPr="003E01A4">
        <w:rPr>
          <w:rFonts w:ascii="Century Schoolbook" w:hAnsi="Century Schoolbook"/>
          <w:sz w:val="22"/>
          <w:szCs w:val="22"/>
        </w:rPr>
        <w:t xml:space="preserve">le quali </w:t>
      </w:r>
      <w:r w:rsidR="00161D3F" w:rsidRPr="003E01A4">
        <w:rPr>
          <w:rFonts w:ascii="Century Schoolbook" w:hAnsi="Century Schoolbook"/>
          <w:sz w:val="22"/>
          <w:szCs w:val="22"/>
        </w:rPr>
        <w:t>paralizz</w:t>
      </w:r>
      <w:r w:rsidR="00D9087C" w:rsidRPr="003E01A4">
        <w:rPr>
          <w:rFonts w:ascii="Century Schoolbook" w:hAnsi="Century Schoolbook"/>
          <w:sz w:val="22"/>
          <w:szCs w:val="22"/>
        </w:rPr>
        <w:t>erebbero</w:t>
      </w:r>
      <w:r w:rsidR="00161D3F" w:rsidRPr="003E01A4">
        <w:rPr>
          <w:rFonts w:ascii="Century Schoolbook" w:hAnsi="Century Schoolbook"/>
          <w:sz w:val="22"/>
          <w:szCs w:val="22"/>
        </w:rPr>
        <w:t xml:space="preserve"> la determinazione conclusiva assunta</w:t>
      </w:r>
      <w:r w:rsidRPr="003E01A4">
        <w:rPr>
          <w:rFonts w:ascii="Century Schoolbook" w:hAnsi="Century Schoolbook"/>
          <w:sz w:val="22"/>
          <w:szCs w:val="22"/>
        </w:rPr>
        <w:t xml:space="preserve"> </w:t>
      </w:r>
      <w:r w:rsidR="00161D3F" w:rsidRPr="003E01A4">
        <w:rPr>
          <w:rFonts w:ascii="Century Schoolbook" w:hAnsi="Century Schoolbook"/>
          <w:sz w:val="22"/>
          <w:szCs w:val="22"/>
        </w:rPr>
        <w:t>nella fase precedente.</w:t>
      </w:r>
      <w:r w:rsidR="00E664FE" w:rsidRPr="003E01A4">
        <w:rPr>
          <w:rFonts w:ascii="Century Schoolbook" w:hAnsi="Century Schoolbook"/>
          <w:sz w:val="22"/>
          <w:szCs w:val="22"/>
        </w:rPr>
        <w:t xml:space="preserve"> </w:t>
      </w:r>
      <w:r w:rsidR="00D9087C" w:rsidRPr="003E01A4">
        <w:rPr>
          <w:rFonts w:ascii="Century Schoolbook" w:hAnsi="Century Schoolbook"/>
          <w:sz w:val="22"/>
          <w:szCs w:val="22"/>
        </w:rPr>
        <w:t xml:space="preserve">In altri termini, se normativamente sospinta </w:t>
      </w:r>
      <w:r w:rsidR="002E227C" w:rsidRPr="003E01A4">
        <w:rPr>
          <w:rFonts w:ascii="Century Schoolbook" w:hAnsi="Century Schoolbook"/>
          <w:sz w:val="22"/>
          <w:szCs w:val="22"/>
        </w:rPr>
        <w:t xml:space="preserve">nella sua interezza </w:t>
      </w:r>
      <w:r w:rsidR="00D9087C" w:rsidRPr="003E01A4">
        <w:rPr>
          <w:rFonts w:ascii="Century Schoolbook" w:hAnsi="Century Schoolbook"/>
          <w:sz w:val="22"/>
          <w:szCs w:val="22"/>
        </w:rPr>
        <w:t>all’interno del perimetro conferenziale</w:t>
      </w:r>
      <w:r w:rsidR="002E227C" w:rsidRPr="003E01A4">
        <w:rPr>
          <w:rFonts w:ascii="Century Schoolbook" w:hAnsi="Century Schoolbook"/>
          <w:sz w:val="22"/>
          <w:szCs w:val="22"/>
        </w:rPr>
        <w:t>,</w:t>
      </w:r>
      <w:r w:rsidR="00D9087C" w:rsidRPr="003E01A4">
        <w:rPr>
          <w:rFonts w:ascii="Century Schoolbook" w:hAnsi="Century Schoolbook"/>
          <w:sz w:val="22"/>
          <w:szCs w:val="22"/>
        </w:rPr>
        <w:t xml:space="preserve"> la volizione dell’organo </w:t>
      </w:r>
      <w:r w:rsidR="002E227C" w:rsidRPr="003E01A4">
        <w:rPr>
          <w:rFonts w:ascii="Century Schoolbook" w:hAnsi="Century Schoolbook"/>
          <w:sz w:val="22"/>
          <w:szCs w:val="22"/>
        </w:rPr>
        <w:t xml:space="preserve">rappresentativo </w:t>
      </w:r>
      <w:r w:rsidR="00DC716B" w:rsidRPr="003E01A4">
        <w:rPr>
          <w:rFonts w:ascii="Century Schoolbook" w:hAnsi="Century Schoolbook"/>
          <w:sz w:val="22"/>
          <w:szCs w:val="22"/>
        </w:rPr>
        <w:t xml:space="preserve">territoriale </w:t>
      </w:r>
      <w:r w:rsidR="002E227C" w:rsidRPr="003E01A4">
        <w:rPr>
          <w:rFonts w:ascii="Century Schoolbook" w:hAnsi="Century Schoolbook"/>
          <w:sz w:val="22"/>
          <w:szCs w:val="22"/>
        </w:rPr>
        <w:t xml:space="preserve">conosce – o subisce, meglio – una sorta di </w:t>
      </w:r>
      <w:r w:rsidR="002E227C" w:rsidRPr="003E01A4">
        <w:rPr>
          <w:rFonts w:ascii="Century Schoolbook" w:hAnsi="Century Schoolbook"/>
          <w:i/>
          <w:iCs/>
          <w:sz w:val="22"/>
          <w:szCs w:val="22"/>
          <w:lang w:val="de-DE"/>
        </w:rPr>
        <w:t>Entpolitisierung</w:t>
      </w:r>
      <w:r w:rsidR="005A45AE" w:rsidRPr="003E01A4">
        <w:rPr>
          <w:rFonts w:ascii="Century Schoolbook" w:hAnsi="Century Schoolbook"/>
          <w:sz w:val="22"/>
          <w:szCs w:val="22"/>
        </w:rPr>
        <w:t xml:space="preserve">. Il confronto dialettico con gli altri partecipanti produce una inevitabile amministrativizzazione della scelta, </w:t>
      </w:r>
      <w:r w:rsidR="00E664FE" w:rsidRPr="003E01A4">
        <w:rPr>
          <w:rFonts w:ascii="Century Schoolbook" w:hAnsi="Century Schoolbook"/>
          <w:sz w:val="22"/>
          <w:szCs w:val="22"/>
        </w:rPr>
        <w:t xml:space="preserve">la quale </w:t>
      </w:r>
      <w:r w:rsidR="005A45AE" w:rsidRPr="003E01A4">
        <w:rPr>
          <w:rFonts w:ascii="Century Schoolbook" w:hAnsi="Century Schoolbook"/>
          <w:sz w:val="22"/>
          <w:szCs w:val="22"/>
        </w:rPr>
        <w:t xml:space="preserve">tende a perdere i suoi connotati di </w:t>
      </w:r>
      <w:r w:rsidR="00E664FE" w:rsidRPr="003E01A4">
        <w:rPr>
          <w:rFonts w:ascii="Century Schoolbook" w:hAnsi="Century Schoolbook"/>
          <w:sz w:val="22"/>
          <w:szCs w:val="22"/>
        </w:rPr>
        <w:t xml:space="preserve">valutazione solitaria e puramente discrezionale: di una decisione postuma, cioè, quasi graziosa e decretale che – come tale – rende difficoltoso un sindacato di legittimità incisivo, per quanto ben </w:t>
      </w:r>
      <w:r w:rsidR="00AA64F6" w:rsidRPr="003E01A4">
        <w:rPr>
          <w:rFonts w:ascii="Century Schoolbook" w:hAnsi="Century Schoolbook"/>
          <w:sz w:val="22"/>
          <w:szCs w:val="22"/>
        </w:rPr>
        <w:t>munita</w:t>
      </w:r>
      <w:r w:rsidR="00E664FE" w:rsidRPr="003E01A4">
        <w:rPr>
          <w:rFonts w:ascii="Century Schoolbook" w:hAnsi="Century Schoolbook"/>
          <w:sz w:val="22"/>
          <w:szCs w:val="22"/>
        </w:rPr>
        <w:t xml:space="preserve"> </w:t>
      </w:r>
      <w:r w:rsidR="00AA64F6" w:rsidRPr="003E01A4">
        <w:rPr>
          <w:rFonts w:ascii="Century Schoolbook" w:hAnsi="Century Schoolbook"/>
          <w:sz w:val="22"/>
          <w:szCs w:val="22"/>
        </w:rPr>
        <w:t xml:space="preserve">possa esser la giurisdizione </w:t>
      </w:r>
      <w:r w:rsidR="00E664FE" w:rsidRPr="003E01A4">
        <w:rPr>
          <w:rFonts w:ascii="Century Schoolbook" w:hAnsi="Century Schoolbook"/>
          <w:sz w:val="22"/>
          <w:szCs w:val="22"/>
        </w:rPr>
        <w:t>coi suoi strumenti di scrutinio.</w:t>
      </w:r>
    </w:p>
    <w:p w14:paraId="45BF4903" w14:textId="058B1277" w:rsidR="00E579F1" w:rsidRPr="003E01A4" w:rsidRDefault="00AA133E"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Ma, </w:t>
      </w:r>
      <w:r w:rsidR="003C1D18" w:rsidRPr="003E01A4">
        <w:rPr>
          <w:rFonts w:ascii="Century Schoolbook" w:hAnsi="Century Schoolbook"/>
          <w:sz w:val="22"/>
          <w:szCs w:val="22"/>
        </w:rPr>
        <w:t xml:space="preserve">in senso </w:t>
      </w:r>
      <w:r w:rsidRPr="003E01A4">
        <w:rPr>
          <w:rFonts w:ascii="Century Schoolbook" w:hAnsi="Century Schoolbook"/>
          <w:sz w:val="22"/>
          <w:szCs w:val="22"/>
        </w:rPr>
        <w:t xml:space="preserve">opposto, </w:t>
      </w:r>
      <w:r w:rsidR="003C1D18" w:rsidRPr="003E01A4">
        <w:rPr>
          <w:rFonts w:ascii="Century Schoolbook" w:hAnsi="Century Schoolbook"/>
          <w:sz w:val="22"/>
          <w:szCs w:val="22"/>
        </w:rPr>
        <w:t xml:space="preserve">dobbiamo domandarci se la sempre più evidente sterilizzazione del potere interdittivo un tempo </w:t>
      </w:r>
      <w:r w:rsidR="00126F42" w:rsidRPr="003E01A4">
        <w:rPr>
          <w:rFonts w:ascii="Century Schoolbook" w:hAnsi="Century Schoolbook"/>
          <w:sz w:val="22"/>
          <w:szCs w:val="22"/>
        </w:rPr>
        <w:t xml:space="preserve">(sin troppo) </w:t>
      </w:r>
      <w:r w:rsidR="003C1D18" w:rsidRPr="003E01A4">
        <w:rPr>
          <w:rFonts w:ascii="Century Schoolbook" w:hAnsi="Century Schoolbook"/>
          <w:sz w:val="22"/>
          <w:szCs w:val="22"/>
        </w:rPr>
        <w:t xml:space="preserve">generosamente concesso all’ente prossimale </w:t>
      </w:r>
      <w:r w:rsidR="00E20780" w:rsidRPr="003E01A4">
        <w:rPr>
          <w:rFonts w:ascii="Century Schoolbook" w:hAnsi="Century Schoolbook"/>
          <w:sz w:val="22"/>
          <w:szCs w:val="22"/>
        </w:rPr>
        <w:t>non agevoli</w:t>
      </w:r>
      <w:r w:rsidR="00356529" w:rsidRPr="003E01A4">
        <w:rPr>
          <w:rFonts w:ascii="Century Schoolbook" w:hAnsi="Century Schoolbook"/>
          <w:sz w:val="22"/>
          <w:szCs w:val="22"/>
        </w:rPr>
        <w:t xml:space="preserve"> la marcia </w:t>
      </w:r>
      <w:r w:rsidR="003D1F2D" w:rsidRPr="003E01A4">
        <w:rPr>
          <w:rFonts w:ascii="Century Schoolbook" w:hAnsi="Century Schoolbook"/>
          <w:sz w:val="22"/>
          <w:szCs w:val="22"/>
        </w:rPr>
        <w:t xml:space="preserve">difficilmente resistibile </w:t>
      </w:r>
      <w:r w:rsidR="00356529" w:rsidRPr="003E01A4">
        <w:rPr>
          <w:rFonts w:ascii="Century Schoolbook" w:hAnsi="Century Schoolbook"/>
          <w:sz w:val="22"/>
          <w:szCs w:val="22"/>
        </w:rPr>
        <w:t>di quello pseudo-ambientalismo industriale</w:t>
      </w:r>
      <w:r w:rsidR="00126F42" w:rsidRPr="003E01A4">
        <w:rPr>
          <w:rFonts w:ascii="Century Schoolbook" w:hAnsi="Century Schoolbook"/>
          <w:sz w:val="22"/>
          <w:szCs w:val="22"/>
        </w:rPr>
        <w:t xml:space="preserve"> cui </w:t>
      </w:r>
      <w:r w:rsidR="003D1F2D" w:rsidRPr="003E01A4">
        <w:rPr>
          <w:rFonts w:ascii="Century Schoolbook" w:hAnsi="Century Schoolbook"/>
          <w:sz w:val="22"/>
          <w:szCs w:val="22"/>
        </w:rPr>
        <w:t>facevo cenno</w:t>
      </w:r>
      <w:r w:rsidR="00126F42" w:rsidRPr="003E01A4">
        <w:rPr>
          <w:rFonts w:ascii="Century Schoolbook" w:hAnsi="Century Schoolbook"/>
          <w:sz w:val="22"/>
          <w:szCs w:val="22"/>
        </w:rPr>
        <w:t xml:space="preserve"> prima.</w:t>
      </w:r>
      <w:r w:rsidR="003D1F2D" w:rsidRPr="003E01A4">
        <w:rPr>
          <w:rFonts w:ascii="Century Schoolbook" w:hAnsi="Century Schoolbook"/>
          <w:sz w:val="22"/>
          <w:szCs w:val="22"/>
        </w:rPr>
        <w:t xml:space="preserve"> Queste pericolose linee andamentali sono state già colte dal pensiero giuridico, secondo cui è in atto una «“guerra di logoramento” degli interessi sensibili, che vengono sempre più parificati a quelli ordinari»</w:t>
      </w:r>
      <w:r w:rsidR="003D1F2D" w:rsidRPr="003E01A4">
        <w:rPr>
          <w:rStyle w:val="Rimandonotaapidipagina"/>
          <w:rFonts w:ascii="Century Schoolbook" w:hAnsi="Century Schoolbook"/>
          <w:sz w:val="22"/>
          <w:szCs w:val="22"/>
        </w:rPr>
        <w:footnoteReference w:id="74"/>
      </w:r>
      <w:r w:rsidR="003D1F2D" w:rsidRPr="003E01A4">
        <w:rPr>
          <w:rFonts w:ascii="Century Schoolbook" w:hAnsi="Century Schoolbook"/>
          <w:sz w:val="22"/>
          <w:szCs w:val="22"/>
        </w:rPr>
        <w:t>.</w:t>
      </w:r>
    </w:p>
    <w:p w14:paraId="435C219F" w14:textId="73A03FBB" w:rsidR="00E579F1" w:rsidRPr="003E01A4" w:rsidRDefault="00126F42"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O, peggio, </w:t>
      </w:r>
      <w:r w:rsidR="00AB0730" w:rsidRPr="003E01A4">
        <w:rPr>
          <w:rFonts w:ascii="Century Schoolbook" w:hAnsi="Century Schoolbook"/>
          <w:sz w:val="22"/>
          <w:szCs w:val="22"/>
        </w:rPr>
        <w:t xml:space="preserve">dobbiamo chiederci </w:t>
      </w:r>
      <w:r w:rsidR="000838FD" w:rsidRPr="003E01A4">
        <w:rPr>
          <w:rFonts w:ascii="Century Schoolbook" w:hAnsi="Century Schoolbook"/>
          <w:sz w:val="22"/>
          <w:szCs w:val="22"/>
        </w:rPr>
        <w:t xml:space="preserve">se </w:t>
      </w:r>
      <w:r w:rsidRPr="003E01A4">
        <w:rPr>
          <w:rFonts w:ascii="Century Schoolbook" w:hAnsi="Century Schoolbook"/>
          <w:sz w:val="22"/>
          <w:szCs w:val="22"/>
        </w:rPr>
        <w:t xml:space="preserve">non si vada </w:t>
      </w:r>
      <w:r w:rsidR="00CB40FB" w:rsidRPr="003E01A4">
        <w:rPr>
          <w:rFonts w:ascii="Century Schoolbook" w:hAnsi="Century Schoolbook"/>
          <w:sz w:val="22"/>
          <w:szCs w:val="22"/>
        </w:rPr>
        <w:t xml:space="preserve">più </w:t>
      </w:r>
      <w:r w:rsidR="000838FD" w:rsidRPr="003E01A4">
        <w:rPr>
          <w:rFonts w:ascii="Century Schoolbook" w:hAnsi="Century Schoolbook"/>
          <w:sz w:val="22"/>
          <w:szCs w:val="22"/>
        </w:rPr>
        <w:t xml:space="preserve">in generale </w:t>
      </w:r>
      <w:r w:rsidRPr="003E01A4">
        <w:rPr>
          <w:rFonts w:ascii="Century Schoolbook" w:hAnsi="Century Schoolbook"/>
          <w:sz w:val="22"/>
          <w:szCs w:val="22"/>
        </w:rPr>
        <w:t>delineando</w:t>
      </w:r>
      <w:r w:rsidR="000838FD" w:rsidRPr="003E01A4">
        <w:rPr>
          <w:rFonts w:ascii="Century Schoolbook" w:hAnsi="Century Schoolbook"/>
          <w:sz w:val="22"/>
          <w:szCs w:val="22"/>
        </w:rPr>
        <w:t>, per poi</w:t>
      </w:r>
      <w:r w:rsidRPr="003E01A4">
        <w:rPr>
          <w:rFonts w:ascii="Century Schoolbook" w:hAnsi="Century Schoolbook"/>
          <w:sz w:val="22"/>
          <w:szCs w:val="22"/>
        </w:rPr>
        <w:t xml:space="preserve"> </w:t>
      </w:r>
      <w:r w:rsidR="000838FD" w:rsidRPr="003E01A4">
        <w:rPr>
          <w:rFonts w:ascii="Century Schoolbook" w:hAnsi="Century Schoolbook"/>
          <w:sz w:val="22"/>
          <w:szCs w:val="22"/>
        </w:rPr>
        <w:t xml:space="preserve">consolidarsi, </w:t>
      </w:r>
      <w:r w:rsidRPr="003E01A4">
        <w:rPr>
          <w:rFonts w:ascii="Century Schoolbook" w:hAnsi="Century Schoolbook"/>
          <w:sz w:val="22"/>
          <w:szCs w:val="22"/>
        </w:rPr>
        <w:t xml:space="preserve">una diversa </w:t>
      </w:r>
      <w:r w:rsidR="00CB40FB" w:rsidRPr="003E01A4">
        <w:rPr>
          <w:rFonts w:ascii="Century Schoolbook" w:hAnsi="Century Schoolbook"/>
          <w:sz w:val="22"/>
          <w:szCs w:val="22"/>
        </w:rPr>
        <w:t xml:space="preserve">e inesorabile </w:t>
      </w:r>
      <w:r w:rsidRPr="003E01A4">
        <w:rPr>
          <w:rFonts w:ascii="Century Schoolbook" w:hAnsi="Century Schoolbook"/>
          <w:sz w:val="22"/>
          <w:szCs w:val="22"/>
        </w:rPr>
        <w:t>gerarchizzazione degli interessi</w:t>
      </w:r>
      <w:r w:rsidR="000838FD" w:rsidRPr="003E01A4">
        <w:rPr>
          <w:rFonts w:ascii="Century Schoolbook" w:hAnsi="Century Schoolbook"/>
          <w:sz w:val="22"/>
          <w:szCs w:val="22"/>
        </w:rPr>
        <w:t>,</w:t>
      </w:r>
      <w:r w:rsidR="00B70741" w:rsidRPr="003E01A4">
        <w:rPr>
          <w:rFonts w:ascii="Century Schoolbook" w:hAnsi="Century Schoolbook"/>
          <w:sz w:val="22"/>
          <w:szCs w:val="22"/>
        </w:rPr>
        <w:t xml:space="preserve"> conseguita </w:t>
      </w:r>
      <w:r w:rsidR="000838FD" w:rsidRPr="003E01A4">
        <w:rPr>
          <w:rFonts w:ascii="Century Schoolbook" w:hAnsi="Century Schoolbook"/>
          <w:sz w:val="22"/>
          <w:szCs w:val="22"/>
        </w:rPr>
        <w:t xml:space="preserve">peraltro </w:t>
      </w:r>
      <w:r w:rsidR="00B70741" w:rsidRPr="003E01A4">
        <w:rPr>
          <w:rFonts w:ascii="Century Schoolbook" w:hAnsi="Century Schoolbook"/>
          <w:sz w:val="22"/>
          <w:szCs w:val="22"/>
        </w:rPr>
        <w:t>in mod</w:t>
      </w:r>
      <w:r w:rsidR="00E579F1" w:rsidRPr="003E01A4">
        <w:rPr>
          <w:rFonts w:ascii="Century Schoolbook" w:hAnsi="Century Schoolbook"/>
          <w:sz w:val="22"/>
          <w:szCs w:val="22"/>
        </w:rPr>
        <w:t>i</w:t>
      </w:r>
      <w:r w:rsidR="00B70741" w:rsidRPr="003E01A4">
        <w:rPr>
          <w:rFonts w:ascii="Century Schoolbook" w:hAnsi="Century Schoolbook"/>
          <w:sz w:val="22"/>
          <w:szCs w:val="22"/>
        </w:rPr>
        <w:t xml:space="preserve"> </w:t>
      </w:r>
      <w:r w:rsidR="000838FD" w:rsidRPr="003E01A4">
        <w:rPr>
          <w:rFonts w:ascii="Century Schoolbook" w:hAnsi="Century Schoolbook"/>
          <w:sz w:val="22"/>
          <w:szCs w:val="22"/>
        </w:rPr>
        <w:t xml:space="preserve">abbastanza </w:t>
      </w:r>
      <w:r w:rsidR="00B70741" w:rsidRPr="003E01A4">
        <w:rPr>
          <w:rFonts w:ascii="Century Schoolbook" w:hAnsi="Century Schoolbook"/>
          <w:sz w:val="22"/>
          <w:szCs w:val="22"/>
        </w:rPr>
        <w:t xml:space="preserve">surrettizi: cioè per via </w:t>
      </w:r>
      <w:r w:rsidR="00B3610E" w:rsidRPr="003E01A4">
        <w:rPr>
          <w:rFonts w:ascii="Century Schoolbook" w:hAnsi="Century Schoolbook"/>
          <w:sz w:val="22"/>
          <w:szCs w:val="22"/>
        </w:rPr>
        <w:t xml:space="preserve">rispettivamente </w:t>
      </w:r>
      <w:r w:rsidR="00B70741" w:rsidRPr="003E01A4">
        <w:rPr>
          <w:rFonts w:ascii="Century Schoolbook" w:hAnsi="Century Schoolbook"/>
          <w:sz w:val="22"/>
          <w:szCs w:val="22"/>
        </w:rPr>
        <w:t>procedimentale</w:t>
      </w:r>
      <w:r w:rsidR="00E579F1" w:rsidRPr="003E01A4">
        <w:rPr>
          <w:rFonts w:ascii="Century Schoolbook" w:hAnsi="Century Schoolbook"/>
          <w:sz w:val="22"/>
          <w:szCs w:val="22"/>
        </w:rPr>
        <w:t xml:space="preserve"> ovvero</w:t>
      </w:r>
      <w:r w:rsidR="00B3610E" w:rsidRPr="003E01A4">
        <w:rPr>
          <w:rFonts w:ascii="Century Schoolbook" w:hAnsi="Century Schoolbook"/>
          <w:sz w:val="22"/>
          <w:szCs w:val="22"/>
        </w:rPr>
        <w:t xml:space="preserve"> </w:t>
      </w:r>
      <w:r w:rsidR="00F85C4F" w:rsidRPr="003E01A4">
        <w:rPr>
          <w:rFonts w:ascii="Century Schoolbook" w:hAnsi="Century Schoolbook"/>
          <w:sz w:val="22"/>
          <w:szCs w:val="22"/>
        </w:rPr>
        <w:t>organizzativa</w:t>
      </w:r>
      <w:r w:rsidR="00E579F1" w:rsidRPr="003E01A4">
        <w:rPr>
          <w:rFonts w:ascii="Century Schoolbook" w:hAnsi="Century Schoolbook"/>
          <w:sz w:val="22"/>
          <w:szCs w:val="22"/>
        </w:rPr>
        <w:t>.</w:t>
      </w:r>
    </w:p>
    <w:p w14:paraId="242CBAB2" w14:textId="7B826C59" w:rsidR="00AA133E" w:rsidRPr="003E01A4" w:rsidRDefault="00B70741"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 </w:t>
      </w:r>
      <w:r w:rsidR="00E579F1" w:rsidRPr="003E01A4">
        <w:rPr>
          <w:rFonts w:ascii="Century Schoolbook" w:hAnsi="Century Schoolbook"/>
          <w:sz w:val="22"/>
          <w:szCs w:val="22"/>
        </w:rPr>
        <w:t>Vediamo il primo</w:t>
      </w:r>
      <w:r w:rsidR="00B3610E" w:rsidRPr="003E01A4">
        <w:rPr>
          <w:rFonts w:ascii="Century Schoolbook" w:hAnsi="Century Schoolbook"/>
          <w:sz w:val="22"/>
          <w:szCs w:val="22"/>
        </w:rPr>
        <w:t xml:space="preserve"> modo</w:t>
      </w:r>
      <w:r w:rsidR="00E579F1" w:rsidRPr="003E01A4">
        <w:rPr>
          <w:rFonts w:ascii="Century Schoolbook" w:hAnsi="Century Schoolbook"/>
          <w:sz w:val="22"/>
          <w:szCs w:val="22"/>
        </w:rPr>
        <w:t xml:space="preserve">, che </w:t>
      </w:r>
      <w:r w:rsidR="00B3610E" w:rsidRPr="003E01A4">
        <w:rPr>
          <w:rFonts w:ascii="Century Schoolbook" w:hAnsi="Century Schoolbook"/>
          <w:sz w:val="22"/>
          <w:szCs w:val="22"/>
        </w:rPr>
        <w:t xml:space="preserve">par </w:t>
      </w:r>
      <w:r w:rsidR="00911150" w:rsidRPr="003E01A4">
        <w:rPr>
          <w:rFonts w:ascii="Century Schoolbook" w:hAnsi="Century Schoolbook"/>
          <w:sz w:val="22"/>
          <w:szCs w:val="22"/>
        </w:rPr>
        <w:t>realizza</w:t>
      </w:r>
      <w:r w:rsidR="00B3610E" w:rsidRPr="003E01A4">
        <w:rPr>
          <w:rFonts w:ascii="Century Schoolbook" w:hAnsi="Century Schoolbook"/>
          <w:sz w:val="22"/>
          <w:szCs w:val="22"/>
        </w:rPr>
        <w:t>rsi</w:t>
      </w:r>
      <w:r w:rsidR="00911150" w:rsidRPr="003E01A4">
        <w:rPr>
          <w:rFonts w:ascii="Century Schoolbook" w:hAnsi="Century Schoolbook"/>
          <w:sz w:val="22"/>
          <w:szCs w:val="22"/>
        </w:rPr>
        <w:t xml:space="preserve"> mediante</w:t>
      </w:r>
      <w:r w:rsidRPr="003E01A4">
        <w:rPr>
          <w:rFonts w:ascii="Century Schoolbook" w:hAnsi="Century Schoolbook"/>
          <w:sz w:val="22"/>
          <w:szCs w:val="22"/>
        </w:rPr>
        <w:t xml:space="preserve"> un uso conculcativo del modello conferenziale.</w:t>
      </w:r>
    </w:p>
    <w:p w14:paraId="3B54CB37" w14:textId="4C7D4864" w:rsidR="000838FD" w:rsidRPr="003E01A4" w:rsidRDefault="000838FD"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Un esempio, a mio avviso, è l’art. 55, comma 1, lett. a), n. 5), d.l. n. 77/’</w:t>
      </w:r>
      <w:r w:rsidR="007D0F7E" w:rsidRPr="003E01A4">
        <w:rPr>
          <w:rFonts w:ascii="Century Schoolbook" w:hAnsi="Century Schoolbook"/>
          <w:sz w:val="22"/>
          <w:szCs w:val="22"/>
        </w:rPr>
        <w:t>2</w:t>
      </w:r>
      <w:r w:rsidRPr="003E01A4">
        <w:rPr>
          <w:rFonts w:ascii="Century Schoolbook" w:hAnsi="Century Schoolbook"/>
          <w:sz w:val="22"/>
          <w:szCs w:val="22"/>
        </w:rPr>
        <w:t>1 cit.: «</w:t>
      </w:r>
      <w:r w:rsidR="00B4127D" w:rsidRPr="003E01A4">
        <w:rPr>
          <w:rFonts w:ascii="Century Schoolbook" w:hAnsi="Century Schoolbook"/>
          <w:sz w:val="22"/>
          <w:szCs w:val="22"/>
        </w:rPr>
        <w:t>l’autorizzazione prevista dall’articolo 21 del decreto legislativo 22 gennaio 2004, n. 42, relativa agli interventi di edilizia scolastica autorizzati nell</w:t>
      </w:r>
      <w:r w:rsidR="0047116D" w:rsidRPr="003E01A4">
        <w:rPr>
          <w:rFonts w:ascii="Century Schoolbook" w:hAnsi="Century Schoolbook"/>
          <w:sz w:val="22"/>
          <w:szCs w:val="22"/>
        </w:rPr>
        <w:t>’</w:t>
      </w:r>
      <w:r w:rsidR="00B4127D" w:rsidRPr="003E01A4">
        <w:rPr>
          <w:rFonts w:ascii="Century Schoolbook" w:hAnsi="Century Schoolbook"/>
          <w:sz w:val="22"/>
          <w:szCs w:val="22"/>
        </w:rPr>
        <w:t xml:space="preserve">ambito del PNRR, è resa dall’amministrazione   competente entro sessanta giorni dalla richiesta, </w:t>
      </w:r>
      <w:r w:rsidR="00B4127D" w:rsidRPr="003E01A4">
        <w:rPr>
          <w:rFonts w:ascii="Century Schoolbook" w:hAnsi="Century Schoolbook"/>
          <w:i/>
          <w:iCs/>
          <w:sz w:val="22"/>
          <w:szCs w:val="22"/>
        </w:rPr>
        <w:t>anche tramite conferenza di servizi</w:t>
      </w:r>
      <w:r w:rsidR="00C739B9" w:rsidRPr="003E01A4">
        <w:rPr>
          <w:rStyle w:val="Rimandonotaapidipagina"/>
          <w:rFonts w:ascii="Century Schoolbook" w:hAnsi="Century Schoolbook"/>
          <w:sz w:val="22"/>
          <w:szCs w:val="22"/>
        </w:rPr>
        <w:footnoteReference w:id="75"/>
      </w:r>
      <w:r w:rsidR="00B4127D" w:rsidRPr="003E01A4">
        <w:rPr>
          <w:rFonts w:ascii="Century Schoolbook" w:hAnsi="Century Schoolbook"/>
          <w:sz w:val="22"/>
          <w:szCs w:val="22"/>
        </w:rPr>
        <w:t>. Il parere del soprintendente di cui all</w:t>
      </w:r>
      <w:r w:rsidR="00C739B9" w:rsidRPr="003E01A4">
        <w:rPr>
          <w:rFonts w:ascii="Century Schoolbook" w:hAnsi="Century Schoolbook"/>
          <w:sz w:val="22"/>
          <w:szCs w:val="22"/>
        </w:rPr>
        <w:t>’</w:t>
      </w:r>
      <w:r w:rsidR="00B4127D" w:rsidRPr="003E01A4">
        <w:rPr>
          <w:rFonts w:ascii="Century Schoolbook" w:hAnsi="Century Schoolbook"/>
          <w:sz w:val="22"/>
          <w:szCs w:val="22"/>
        </w:rPr>
        <w:t>articolo 146, comma 8, del decreto legislativo 22 gennaio 2004, n. 42, è reso entro trenta giorni</w:t>
      </w:r>
      <w:r w:rsidRPr="003E01A4">
        <w:rPr>
          <w:rFonts w:ascii="Century Schoolbook" w:hAnsi="Century Schoolbook"/>
          <w:sz w:val="22"/>
          <w:szCs w:val="22"/>
        </w:rPr>
        <w:t>»</w:t>
      </w:r>
      <w:r w:rsidR="00B4127D" w:rsidRPr="003E01A4">
        <w:rPr>
          <w:rFonts w:ascii="Century Schoolbook" w:hAnsi="Century Schoolbook"/>
          <w:sz w:val="22"/>
          <w:szCs w:val="22"/>
        </w:rPr>
        <w:t>.</w:t>
      </w:r>
    </w:p>
    <w:p w14:paraId="0B2095A6" w14:textId="25A22809" w:rsidR="00CB40FB" w:rsidRPr="003E01A4" w:rsidRDefault="00CB40FB"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Dietro l’asettica tecnicità del modello si cela</w:t>
      </w:r>
      <w:r w:rsidR="00911150" w:rsidRPr="003E01A4">
        <w:rPr>
          <w:rFonts w:ascii="Century Schoolbook" w:hAnsi="Century Schoolbook"/>
          <w:sz w:val="22"/>
          <w:szCs w:val="22"/>
        </w:rPr>
        <w:t xml:space="preserve"> </w:t>
      </w:r>
      <w:r w:rsidR="00AA64F6" w:rsidRPr="003E01A4">
        <w:rPr>
          <w:rFonts w:ascii="Century Schoolbook" w:hAnsi="Century Schoolbook"/>
          <w:sz w:val="22"/>
          <w:szCs w:val="22"/>
        </w:rPr>
        <w:t xml:space="preserve">forse </w:t>
      </w:r>
      <w:r w:rsidRPr="003E01A4">
        <w:rPr>
          <w:rFonts w:ascii="Century Schoolbook" w:hAnsi="Century Schoolbook"/>
          <w:sz w:val="22"/>
          <w:szCs w:val="22"/>
        </w:rPr>
        <w:t xml:space="preserve">un disegno dissimulato. Alla conferenza di cui parla quella norma parteciperanno, </w:t>
      </w:r>
      <w:r w:rsidR="00AB0730" w:rsidRPr="003E01A4">
        <w:rPr>
          <w:rFonts w:ascii="Century Schoolbook" w:hAnsi="Century Schoolbook"/>
          <w:sz w:val="22"/>
          <w:szCs w:val="22"/>
        </w:rPr>
        <w:t>nella concretezza dei processi reali</w:t>
      </w:r>
      <w:r w:rsidRPr="003E01A4">
        <w:rPr>
          <w:rFonts w:ascii="Century Schoolbook" w:hAnsi="Century Schoolbook"/>
          <w:sz w:val="22"/>
          <w:szCs w:val="22"/>
        </w:rPr>
        <w:t xml:space="preserve">, il Ministero dell’istruzione, l’ente </w:t>
      </w:r>
      <w:r w:rsidR="00EF75D6" w:rsidRPr="003E01A4">
        <w:rPr>
          <w:rFonts w:ascii="Century Schoolbook" w:hAnsi="Century Schoolbook"/>
          <w:sz w:val="22"/>
          <w:szCs w:val="22"/>
        </w:rPr>
        <w:t>territoriale</w:t>
      </w:r>
      <w:r w:rsidRPr="003E01A4">
        <w:rPr>
          <w:rFonts w:ascii="Century Schoolbook" w:hAnsi="Century Schoolbook"/>
          <w:sz w:val="22"/>
          <w:szCs w:val="22"/>
        </w:rPr>
        <w:t xml:space="preserve"> proprietario dell’immobile e il Soprintendente</w:t>
      </w:r>
      <w:r w:rsidR="000E57B0" w:rsidRPr="003E01A4">
        <w:rPr>
          <w:rFonts w:ascii="Century Schoolbook" w:hAnsi="Century Schoolbook"/>
          <w:sz w:val="22"/>
          <w:szCs w:val="22"/>
        </w:rPr>
        <w:t xml:space="preserve"> unico </w:t>
      </w:r>
      <w:r w:rsidR="00AB0730" w:rsidRPr="003E01A4">
        <w:rPr>
          <w:rFonts w:ascii="Century Schoolbook" w:hAnsi="Century Schoolbook"/>
          <w:sz w:val="22"/>
          <w:szCs w:val="22"/>
        </w:rPr>
        <w:t>(</w:t>
      </w:r>
      <w:r w:rsidR="000E57B0" w:rsidRPr="003E01A4">
        <w:rPr>
          <w:rFonts w:ascii="Century Schoolbook" w:hAnsi="Century Schoolbook"/>
          <w:sz w:val="22"/>
          <w:szCs w:val="22"/>
        </w:rPr>
        <w:t xml:space="preserve">di cui </w:t>
      </w:r>
      <w:r w:rsidR="00AB0730" w:rsidRPr="003E01A4">
        <w:rPr>
          <w:rFonts w:ascii="Century Schoolbook" w:hAnsi="Century Schoolbook"/>
          <w:sz w:val="22"/>
          <w:szCs w:val="22"/>
        </w:rPr>
        <w:t xml:space="preserve">adesso </w:t>
      </w:r>
      <w:r w:rsidR="000E57B0" w:rsidRPr="003E01A4">
        <w:rPr>
          <w:rFonts w:ascii="Century Schoolbook" w:hAnsi="Century Schoolbook"/>
          <w:sz w:val="22"/>
          <w:szCs w:val="22"/>
        </w:rPr>
        <w:t>dirò</w:t>
      </w:r>
      <w:r w:rsidR="00AB0730" w:rsidRPr="003E01A4">
        <w:rPr>
          <w:rFonts w:ascii="Century Schoolbook" w:hAnsi="Century Schoolbook"/>
          <w:sz w:val="22"/>
          <w:szCs w:val="22"/>
        </w:rPr>
        <w:t>)</w:t>
      </w:r>
      <w:r w:rsidRPr="003E01A4">
        <w:rPr>
          <w:rFonts w:ascii="Century Schoolbook" w:hAnsi="Century Schoolbook"/>
          <w:sz w:val="22"/>
          <w:szCs w:val="22"/>
        </w:rPr>
        <w:t xml:space="preserve">. </w:t>
      </w:r>
      <w:r w:rsidR="00EF75D6" w:rsidRPr="003E01A4">
        <w:rPr>
          <w:rFonts w:ascii="Century Schoolbook" w:hAnsi="Century Schoolbook"/>
          <w:sz w:val="22"/>
          <w:szCs w:val="22"/>
        </w:rPr>
        <w:t>Ora, a</w:t>
      </w:r>
      <w:r w:rsidRPr="003E01A4">
        <w:rPr>
          <w:rFonts w:ascii="Century Schoolbook" w:hAnsi="Century Schoolbook"/>
          <w:sz w:val="22"/>
          <w:szCs w:val="22"/>
        </w:rPr>
        <w:t xml:space="preserve"> fronte dell’imperiosa urgenza ministeriale </w:t>
      </w:r>
      <w:r w:rsidR="00EF75D6" w:rsidRPr="003E01A4">
        <w:rPr>
          <w:rFonts w:ascii="Century Schoolbook" w:hAnsi="Century Schoolbook"/>
          <w:sz w:val="22"/>
          <w:szCs w:val="22"/>
        </w:rPr>
        <w:t>di spendere le risorse ricevute dal PNRR; e della prevedibilissima, piena disponibilità dell’ente prossimale a utilizzarle per realizzare l’intervento</w:t>
      </w:r>
      <w:r w:rsidR="00AB0730" w:rsidRPr="003E01A4">
        <w:rPr>
          <w:rFonts w:ascii="Century Schoolbook" w:hAnsi="Century Schoolbook"/>
          <w:sz w:val="22"/>
          <w:szCs w:val="22"/>
        </w:rPr>
        <w:t xml:space="preserve"> programmato</w:t>
      </w:r>
      <w:r w:rsidR="00EF75D6" w:rsidRPr="003E01A4">
        <w:rPr>
          <w:rFonts w:ascii="Century Schoolbook" w:hAnsi="Century Schoolbook"/>
          <w:sz w:val="22"/>
          <w:szCs w:val="22"/>
        </w:rPr>
        <w:t xml:space="preserve">, potrebbe </w:t>
      </w:r>
      <w:r w:rsidR="006C21DF" w:rsidRPr="003E01A4">
        <w:rPr>
          <w:rFonts w:ascii="Century Schoolbook" w:hAnsi="Century Schoolbook"/>
          <w:sz w:val="22"/>
          <w:szCs w:val="22"/>
        </w:rPr>
        <w:t xml:space="preserve">forse </w:t>
      </w:r>
      <w:r w:rsidR="00EF75D6" w:rsidRPr="003E01A4">
        <w:rPr>
          <w:rFonts w:ascii="Century Schoolbook" w:hAnsi="Century Schoolbook"/>
          <w:sz w:val="22"/>
          <w:szCs w:val="22"/>
        </w:rPr>
        <w:t xml:space="preserve">insorgere il nostro Soprintendente: collocato però, già dalla norma, in situazione di minoranza numerica, quindi strutturalmente soccombente. Nel modello unicista in esame, in somma, l’interesse storico-artistico tutelato dall’art. 21 cit. è – per definizione – recessivo: subordinato non tanto all’interesse </w:t>
      </w:r>
      <w:r w:rsidR="002E7AB6" w:rsidRPr="003E01A4">
        <w:rPr>
          <w:rFonts w:ascii="Century Schoolbook" w:hAnsi="Century Schoolbook"/>
          <w:sz w:val="22"/>
          <w:szCs w:val="22"/>
        </w:rPr>
        <w:t xml:space="preserve">specifico relativo </w:t>
      </w:r>
      <w:r w:rsidR="00EF75D6" w:rsidRPr="003E01A4">
        <w:rPr>
          <w:rFonts w:ascii="Century Schoolbook" w:hAnsi="Century Schoolbook"/>
          <w:sz w:val="22"/>
          <w:szCs w:val="22"/>
        </w:rPr>
        <w:t>all’ammodernamento delle strutture scolastiche, quanto a quello</w:t>
      </w:r>
      <w:r w:rsidR="002E7AB6" w:rsidRPr="003E01A4">
        <w:rPr>
          <w:rFonts w:ascii="Century Schoolbook" w:hAnsi="Century Schoolbook"/>
          <w:sz w:val="22"/>
          <w:szCs w:val="22"/>
        </w:rPr>
        <w:t xml:space="preserve">, più generale e per così dire innominato, connesso alla </w:t>
      </w:r>
      <w:r w:rsidR="007867AA" w:rsidRPr="003E01A4">
        <w:rPr>
          <w:rFonts w:ascii="Century Schoolbook" w:hAnsi="Century Schoolbook"/>
          <w:sz w:val="22"/>
          <w:szCs w:val="22"/>
        </w:rPr>
        <w:t xml:space="preserve">necessità di dimostrare </w:t>
      </w:r>
      <w:r w:rsidR="002E7AB6" w:rsidRPr="003E01A4">
        <w:rPr>
          <w:rFonts w:ascii="Century Schoolbook" w:hAnsi="Century Schoolbook"/>
          <w:sz w:val="22"/>
          <w:szCs w:val="22"/>
        </w:rPr>
        <w:t xml:space="preserve">capacità amministrativa </w:t>
      </w:r>
      <w:r w:rsidR="007867AA" w:rsidRPr="003E01A4">
        <w:rPr>
          <w:rFonts w:ascii="Century Schoolbook" w:hAnsi="Century Schoolbook"/>
          <w:sz w:val="22"/>
          <w:szCs w:val="22"/>
        </w:rPr>
        <w:t>nello</w:t>
      </w:r>
      <w:r w:rsidR="002E7AB6" w:rsidRPr="003E01A4">
        <w:rPr>
          <w:rFonts w:ascii="Century Schoolbook" w:hAnsi="Century Schoolbook"/>
          <w:sz w:val="22"/>
          <w:szCs w:val="22"/>
        </w:rPr>
        <w:t xml:space="preserve"> spendere le risorse </w:t>
      </w:r>
      <w:r w:rsidR="007867AA" w:rsidRPr="003E01A4">
        <w:rPr>
          <w:rFonts w:ascii="Century Schoolbook" w:hAnsi="Century Schoolbook"/>
          <w:sz w:val="22"/>
          <w:szCs w:val="22"/>
        </w:rPr>
        <w:t xml:space="preserve">ingentissime </w:t>
      </w:r>
      <w:r w:rsidR="002E7AB6" w:rsidRPr="003E01A4">
        <w:rPr>
          <w:rFonts w:ascii="Century Schoolbook" w:hAnsi="Century Schoolbook"/>
          <w:sz w:val="22"/>
          <w:szCs w:val="22"/>
        </w:rPr>
        <w:t>concesse</w:t>
      </w:r>
      <w:r w:rsidR="007867AA" w:rsidRPr="003E01A4">
        <w:rPr>
          <w:rFonts w:ascii="Century Schoolbook" w:hAnsi="Century Schoolbook"/>
          <w:sz w:val="22"/>
          <w:szCs w:val="22"/>
        </w:rPr>
        <w:t>ci</w:t>
      </w:r>
      <w:r w:rsidR="002E7AB6" w:rsidRPr="003E01A4">
        <w:rPr>
          <w:rFonts w:ascii="Century Schoolbook" w:hAnsi="Century Schoolbook"/>
          <w:sz w:val="22"/>
          <w:szCs w:val="22"/>
        </w:rPr>
        <w:t xml:space="preserve"> da</w:t>
      </w:r>
      <w:r w:rsidR="007867AA" w:rsidRPr="003E01A4">
        <w:rPr>
          <w:rFonts w:ascii="Century Schoolbook" w:hAnsi="Century Schoolbook"/>
          <w:sz w:val="22"/>
          <w:szCs w:val="22"/>
        </w:rPr>
        <w:t xml:space="preserve"> questa sorta di</w:t>
      </w:r>
      <w:r w:rsidR="002E7AB6" w:rsidRPr="003E01A4">
        <w:rPr>
          <w:rFonts w:ascii="Century Schoolbook" w:hAnsi="Century Schoolbook"/>
          <w:sz w:val="22"/>
          <w:szCs w:val="22"/>
        </w:rPr>
        <w:t xml:space="preserve"> </w:t>
      </w:r>
      <w:r w:rsidR="007867AA" w:rsidRPr="003E01A4">
        <w:rPr>
          <w:rFonts w:ascii="Century Schoolbook" w:hAnsi="Century Schoolbook"/>
          <w:sz w:val="22"/>
          <w:szCs w:val="22"/>
        </w:rPr>
        <w:t xml:space="preserve">singolare </w:t>
      </w:r>
      <w:r w:rsidR="002E7AB6" w:rsidRPr="003E01A4">
        <w:rPr>
          <w:rFonts w:ascii="Century Schoolbook" w:hAnsi="Century Schoolbook"/>
          <w:sz w:val="22"/>
          <w:szCs w:val="22"/>
        </w:rPr>
        <w:t>Piano Marshall del</w:t>
      </w:r>
      <w:r w:rsidR="007867AA" w:rsidRPr="003E01A4">
        <w:rPr>
          <w:rFonts w:ascii="Century Schoolbook" w:hAnsi="Century Schoolbook"/>
          <w:sz w:val="22"/>
          <w:szCs w:val="22"/>
        </w:rPr>
        <w:t xml:space="preserve"> nuovo</w:t>
      </w:r>
      <w:r w:rsidR="002E7AB6" w:rsidRPr="003E01A4">
        <w:rPr>
          <w:rFonts w:ascii="Century Schoolbook" w:hAnsi="Century Schoolbook"/>
          <w:sz w:val="22"/>
          <w:szCs w:val="22"/>
        </w:rPr>
        <w:t xml:space="preserve"> secolo. </w:t>
      </w:r>
      <w:r w:rsidR="007867AA" w:rsidRPr="003E01A4">
        <w:rPr>
          <w:rFonts w:ascii="Century Schoolbook" w:hAnsi="Century Schoolbook"/>
          <w:sz w:val="22"/>
          <w:szCs w:val="22"/>
        </w:rPr>
        <w:t xml:space="preserve">E come in ogni terapia d’urgenza, </w:t>
      </w:r>
      <w:r w:rsidR="00F8312F" w:rsidRPr="003E01A4">
        <w:rPr>
          <w:rFonts w:ascii="Century Schoolbook" w:hAnsi="Century Schoolbook"/>
          <w:sz w:val="22"/>
          <w:szCs w:val="22"/>
        </w:rPr>
        <w:t xml:space="preserve">varrà il </w:t>
      </w:r>
      <w:r w:rsidR="00F8312F" w:rsidRPr="003E01A4">
        <w:rPr>
          <w:rFonts w:ascii="Century Schoolbook" w:hAnsi="Century Schoolbook"/>
          <w:i/>
          <w:iCs/>
          <w:sz w:val="22"/>
          <w:szCs w:val="22"/>
        </w:rPr>
        <w:t>primum vivere</w:t>
      </w:r>
      <w:r w:rsidR="00F8312F" w:rsidRPr="003E01A4">
        <w:rPr>
          <w:rFonts w:ascii="Century Schoolbook" w:hAnsi="Century Schoolbook"/>
          <w:sz w:val="22"/>
          <w:szCs w:val="22"/>
        </w:rPr>
        <w:t>.</w:t>
      </w:r>
    </w:p>
    <w:p w14:paraId="03BE66DF" w14:textId="1BFDD630" w:rsidR="005A5B4C" w:rsidRPr="003E01A4" w:rsidRDefault="00B3610E"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Il secondo modo, </w:t>
      </w:r>
      <w:r w:rsidR="00F85C4F" w:rsidRPr="003E01A4">
        <w:rPr>
          <w:rFonts w:ascii="Century Schoolbook" w:hAnsi="Century Schoolbook"/>
          <w:sz w:val="22"/>
          <w:szCs w:val="22"/>
        </w:rPr>
        <w:t xml:space="preserve">dicevo, è </w:t>
      </w:r>
      <w:r w:rsidRPr="003E01A4">
        <w:rPr>
          <w:rFonts w:ascii="Century Schoolbook" w:hAnsi="Century Schoolbook"/>
          <w:sz w:val="22"/>
          <w:szCs w:val="22"/>
        </w:rPr>
        <w:t xml:space="preserve">perseguito attraverso una </w:t>
      </w:r>
      <w:r w:rsidR="00A02012" w:rsidRPr="003E01A4">
        <w:rPr>
          <w:rFonts w:ascii="Century Schoolbook" w:hAnsi="Century Schoolbook"/>
          <w:sz w:val="22"/>
          <w:szCs w:val="22"/>
        </w:rPr>
        <w:t xml:space="preserve">gerarchizzazione </w:t>
      </w:r>
      <w:r w:rsidR="00F85C4F" w:rsidRPr="003E01A4">
        <w:rPr>
          <w:rFonts w:ascii="Century Schoolbook" w:hAnsi="Century Schoolbook"/>
          <w:sz w:val="22"/>
          <w:szCs w:val="22"/>
        </w:rPr>
        <w:t xml:space="preserve">organizzativa </w:t>
      </w:r>
      <w:r w:rsidR="00A02012" w:rsidRPr="003E01A4">
        <w:rPr>
          <w:rFonts w:ascii="Century Schoolbook" w:hAnsi="Century Schoolbook"/>
          <w:sz w:val="22"/>
          <w:szCs w:val="22"/>
        </w:rPr>
        <w:t>degli interessi</w:t>
      </w:r>
      <w:r w:rsidR="00F85C4F" w:rsidRPr="003E01A4">
        <w:rPr>
          <w:rFonts w:ascii="Century Schoolbook" w:hAnsi="Century Schoolbook"/>
          <w:sz w:val="22"/>
          <w:szCs w:val="22"/>
        </w:rPr>
        <w:t xml:space="preserve">. Di conio più tradizionale, esso </w:t>
      </w:r>
      <w:r w:rsidR="00AB0730" w:rsidRPr="003E01A4">
        <w:rPr>
          <w:rFonts w:ascii="Century Schoolbook" w:hAnsi="Century Schoolbook"/>
          <w:sz w:val="22"/>
          <w:szCs w:val="22"/>
        </w:rPr>
        <w:t xml:space="preserve">par </w:t>
      </w:r>
      <w:r w:rsidR="00F85C4F" w:rsidRPr="003E01A4">
        <w:rPr>
          <w:rFonts w:ascii="Century Schoolbook" w:hAnsi="Century Schoolbook"/>
          <w:sz w:val="22"/>
          <w:szCs w:val="22"/>
        </w:rPr>
        <w:t>consiste</w:t>
      </w:r>
      <w:r w:rsidR="00AB0730" w:rsidRPr="003E01A4">
        <w:rPr>
          <w:rFonts w:ascii="Century Schoolbook" w:hAnsi="Century Schoolbook"/>
          <w:sz w:val="22"/>
          <w:szCs w:val="22"/>
        </w:rPr>
        <w:t>re</w:t>
      </w:r>
      <w:r w:rsidR="00F85C4F" w:rsidRPr="003E01A4">
        <w:rPr>
          <w:rFonts w:ascii="Century Schoolbook" w:hAnsi="Century Schoolbook"/>
          <w:sz w:val="22"/>
          <w:szCs w:val="22"/>
        </w:rPr>
        <w:t xml:space="preserve"> in un unicismo decisionale di tipo </w:t>
      </w:r>
      <w:r w:rsidR="000F2F57" w:rsidRPr="003E01A4">
        <w:rPr>
          <w:rFonts w:ascii="Century Schoolbook" w:hAnsi="Century Schoolbook"/>
          <w:sz w:val="22"/>
          <w:szCs w:val="22"/>
        </w:rPr>
        <w:t xml:space="preserve">sia </w:t>
      </w:r>
      <w:r w:rsidR="005A5B4C" w:rsidRPr="003E01A4">
        <w:rPr>
          <w:rFonts w:ascii="Century Schoolbook" w:hAnsi="Century Schoolbook"/>
          <w:i/>
          <w:iCs/>
          <w:sz w:val="22"/>
          <w:szCs w:val="22"/>
        </w:rPr>
        <w:t>spoliativo</w:t>
      </w:r>
      <w:r w:rsidR="000F2F57" w:rsidRPr="003E01A4">
        <w:rPr>
          <w:rFonts w:ascii="Century Schoolbook" w:hAnsi="Century Schoolbook"/>
          <w:sz w:val="22"/>
          <w:szCs w:val="22"/>
        </w:rPr>
        <w:t xml:space="preserve">, sia </w:t>
      </w:r>
      <w:r w:rsidR="00F85C4F" w:rsidRPr="003E01A4">
        <w:rPr>
          <w:rFonts w:ascii="Century Schoolbook" w:hAnsi="Century Schoolbook"/>
          <w:i/>
          <w:iCs/>
          <w:sz w:val="22"/>
          <w:szCs w:val="22"/>
        </w:rPr>
        <w:t>avocativo</w:t>
      </w:r>
      <w:r w:rsidR="000F2F57" w:rsidRPr="003E01A4">
        <w:rPr>
          <w:rFonts w:ascii="Century Schoolbook" w:hAnsi="Century Schoolbook"/>
          <w:i/>
          <w:iCs/>
          <w:sz w:val="22"/>
          <w:szCs w:val="22"/>
        </w:rPr>
        <w:t>-sostitutivo</w:t>
      </w:r>
      <w:r w:rsidR="0028133E" w:rsidRPr="003E01A4">
        <w:rPr>
          <w:rFonts w:ascii="Century Schoolbook" w:hAnsi="Century Schoolbook"/>
          <w:sz w:val="22"/>
          <w:szCs w:val="22"/>
        </w:rPr>
        <w:t xml:space="preserve">. </w:t>
      </w:r>
    </w:p>
    <w:p w14:paraId="1281C207" w14:textId="5C8D515E" w:rsidR="003F0DA4" w:rsidRPr="003E01A4" w:rsidRDefault="0028133E"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Pensiamo al ruvido art. 29, </w:t>
      </w:r>
      <w:r w:rsidR="005A5B4C" w:rsidRPr="003E01A4">
        <w:rPr>
          <w:rFonts w:ascii="Century Schoolbook" w:hAnsi="Century Schoolbook"/>
          <w:sz w:val="22"/>
          <w:szCs w:val="22"/>
        </w:rPr>
        <w:t xml:space="preserve">comma 2, </w:t>
      </w:r>
      <w:r w:rsidRPr="003E01A4">
        <w:rPr>
          <w:rFonts w:ascii="Century Schoolbook" w:hAnsi="Century Schoolbook"/>
          <w:sz w:val="22"/>
          <w:szCs w:val="22"/>
        </w:rPr>
        <w:t>d.l. n. 77/’</w:t>
      </w:r>
      <w:r w:rsidR="007D0F7E" w:rsidRPr="003E01A4">
        <w:rPr>
          <w:rFonts w:ascii="Century Schoolbook" w:hAnsi="Century Schoolbook"/>
          <w:sz w:val="22"/>
          <w:szCs w:val="22"/>
        </w:rPr>
        <w:t>2</w:t>
      </w:r>
      <w:r w:rsidRPr="003E01A4">
        <w:rPr>
          <w:rFonts w:ascii="Century Schoolbook" w:hAnsi="Century Schoolbook"/>
          <w:sz w:val="22"/>
          <w:szCs w:val="22"/>
        </w:rPr>
        <w:t xml:space="preserve">1, che </w:t>
      </w:r>
      <w:r w:rsidR="000E57B0" w:rsidRPr="003E01A4">
        <w:rPr>
          <w:rFonts w:ascii="Century Schoolbook" w:hAnsi="Century Schoolbook"/>
          <w:sz w:val="22"/>
          <w:szCs w:val="22"/>
        </w:rPr>
        <w:t xml:space="preserve">– come ho accennato – </w:t>
      </w:r>
      <w:r w:rsidRPr="003E01A4">
        <w:rPr>
          <w:rFonts w:ascii="Century Schoolbook" w:hAnsi="Century Schoolbook"/>
          <w:sz w:val="22"/>
          <w:szCs w:val="22"/>
        </w:rPr>
        <w:t>istituisce</w:t>
      </w:r>
      <w:r w:rsidR="00277516" w:rsidRPr="003E01A4">
        <w:rPr>
          <w:rFonts w:ascii="Century Schoolbook" w:hAnsi="Century Schoolbook"/>
          <w:sz w:val="22"/>
          <w:szCs w:val="22"/>
        </w:rPr>
        <w:t>, pudicamente definendola «speciale»,</w:t>
      </w:r>
      <w:r w:rsidRPr="003E01A4">
        <w:rPr>
          <w:rFonts w:ascii="Century Schoolbook" w:hAnsi="Century Schoolbook"/>
          <w:sz w:val="22"/>
          <w:szCs w:val="22"/>
        </w:rPr>
        <w:t xml:space="preserve"> </w:t>
      </w:r>
      <w:r w:rsidR="005A5B4C" w:rsidRPr="003E01A4">
        <w:rPr>
          <w:rFonts w:ascii="Century Schoolbook" w:hAnsi="Century Schoolbook"/>
          <w:sz w:val="22"/>
          <w:szCs w:val="22"/>
        </w:rPr>
        <w:t>un</w:t>
      </w:r>
      <w:r w:rsidRPr="003E01A4">
        <w:rPr>
          <w:rFonts w:ascii="Century Schoolbook" w:hAnsi="Century Schoolbook"/>
          <w:sz w:val="22"/>
          <w:szCs w:val="22"/>
        </w:rPr>
        <w:t xml:space="preserve">a Soprintendenza </w:t>
      </w:r>
      <w:r w:rsidR="005A5B4C" w:rsidRPr="003E01A4">
        <w:rPr>
          <w:rFonts w:ascii="Century Schoolbook" w:hAnsi="Century Schoolbook"/>
          <w:i/>
          <w:iCs/>
          <w:sz w:val="22"/>
          <w:szCs w:val="22"/>
        </w:rPr>
        <w:t>unica</w:t>
      </w:r>
      <w:r w:rsidR="005A5B4C" w:rsidRPr="003E01A4">
        <w:rPr>
          <w:rFonts w:ascii="Century Schoolbook" w:hAnsi="Century Schoolbook"/>
          <w:sz w:val="22"/>
          <w:szCs w:val="22"/>
        </w:rPr>
        <w:t xml:space="preserve"> </w:t>
      </w:r>
      <w:r w:rsidRPr="003E01A4">
        <w:rPr>
          <w:rFonts w:ascii="Century Schoolbook" w:hAnsi="Century Schoolbook"/>
          <w:sz w:val="22"/>
          <w:szCs w:val="22"/>
        </w:rPr>
        <w:t>per il PNRR</w:t>
      </w:r>
      <w:r w:rsidR="00277516" w:rsidRPr="003E01A4">
        <w:rPr>
          <w:rFonts w:ascii="Century Schoolbook" w:hAnsi="Century Schoolbook"/>
          <w:sz w:val="22"/>
          <w:szCs w:val="22"/>
        </w:rPr>
        <w:t xml:space="preserve">: la quale </w:t>
      </w:r>
      <w:r w:rsidR="00EE6EDD" w:rsidRPr="003E01A4">
        <w:rPr>
          <w:rFonts w:ascii="Century Schoolbook" w:hAnsi="Century Schoolbook"/>
          <w:sz w:val="22"/>
          <w:szCs w:val="22"/>
        </w:rPr>
        <w:t xml:space="preserve">anzitutto </w:t>
      </w:r>
      <w:r w:rsidR="005A5B4C" w:rsidRPr="003E01A4">
        <w:rPr>
          <w:rFonts w:ascii="Century Schoolbook" w:hAnsi="Century Schoolbook"/>
          <w:sz w:val="22"/>
          <w:szCs w:val="22"/>
        </w:rPr>
        <w:t xml:space="preserve">esautora </w:t>
      </w:r>
      <w:r w:rsidR="00EE6EDD" w:rsidRPr="003E01A4">
        <w:rPr>
          <w:rFonts w:ascii="Century Schoolbook" w:hAnsi="Century Schoolbook"/>
          <w:sz w:val="22"/>
          <w:szCs w:val="22"/>
        </w:rPr>
        <w:t xml:space="preserve">stabilmente </w:t>
      </w:r>
      <w:r w:rsidR="005A5B4C" w:rsidRPr="003E01A4">
        <w:rPr>
          <w:rFonts w:ascii="Century Schoolbook" w:hAnsi="Century Schoolbook"/>
          <w:sz w:val="22"/>
          <w:szCs w:val="22"/>
        </w:rPr>
        <w:t xml:space="preserve">le articolazioni </w:t>
      </w:r>
      <w:r w:rsidR="00EE6EDD" w:rsidRPr="003E01A4">
        <w:rPr>
          <w:rFonts w:ascii="Century Schoolbook" w:hAnsi="Century Schoolbook"/>
          <w:sz w:val="22"/>
          <w:szCs w:val="22"/>
        </w:rPr>
        <w:t xml:space="preserve">ministeriali </w:t>
      </w:r>
      <w:r w:rsidR="005A5B4C" w:rsidRPr="003E01A4">
        <w:rPr>
          <w:rFonts w:ascii="Century Schoolbook" w:hAnsi="Century Schoolbook"/>
          <w:sz w:val="22"/>
          <w:szCs w:val="22"/>
        </w:rPr>
        <w:t>territoriali</w:t>
      </w:r>
      <w:r w:rsidR="000F2F57" w:rsidRPr="003E01A4">
        <w:rPr>
          <w:rFonts w:ascii="Century Schoolbook" w:hAnsi="Century Schoolbook"/>
          <w:sz w:val="22"/>
          <w:szCs w:val="22"/>
        </w:rPr>
        <w:t>, spogliandole</w:t>
      </w:r>
      <w:r w:rsidR="005A5B4C" w:rsidRPr="003E01A4">
        <w:rPr>
          <w:rFonts w:ascii="Century Schoolbook" w:hAnsi="Century Schoolbook"/>
          <w:sz w:val="22"/>
          <w:szCs w:val="22"/>
        </w:rPr>
        <w:t xml:space="preserve"> </w:t>
      </w:r>
      <w:r w:rsidR="000F2F57" w:rsidRPr="003E01A4">
        <w:rPr>
          <w:rFonts w:ascii="Century Schoolbook" w:hAnsi="Century Schoolbook"/>
          <w:sz w:val="22"/>
          <w:szCs w:val="22"/>
        </w:rPr>
        <w:t xml:space="preserve">appunto </w:t>
      </w:r>
      <w:r w:rsidR="005A5B4C" w:rsidRPr="003E01A4">
        <w:rPr>
          <w:rFonts w:ascii="Century Schoolbook" w:hAnsi="Century Schoolbook"/>
          <w:sz w:val="22"/>
          <w:szCs w:val="22"/>
        </w:rPr>
        <w:t xml:space="preserve">delle funzioni di tutela ove </w:t>
      </w:r>
      <w:r w:rsidR="00EE6EDD" w:rsidRPr="003E01A4">
        <w:rPr>
          <w:rFonts w:ascii="Century Schoolbook" w:hAnsi="Century Schoolbook"/>
          <w:sz w:val="22"/>
          <w:szCs w:val="22"/>
        </w:rPr>
        <w:t>si tratti</w:t>
      </w:r>
      <w:r w:rsidR="005A5B4C" w:rsidRPr="003E01A4">
        <w:rPr>
          <w:rFonts w:ascii="Century Schoolbook" w:hAnsi="Century Schoolbook"/>
          <w:sz w:val="22"/>
          <w:szCs w:val="22"/>
        </w:rPr>
        <w:t xml:space="preserve"> </w:t>
      </w:r>
      <w:r w:rsidR="00EE6EDD" w:rsidRPr="003E01A4">
        <w:rPr>
          <w:rFonts w:ascii="Century Schoolbook" w:hAnsi="Century Schoolbook"/>
          <w:sz w:val="22"/>
          <w:szCs w:val="22"/>
        </w:rPr>
        <w:t xml:space="preserve">di </w:t>
      </w:r>
      <w:r w:rsidR="005A5B4C" w:rsidRPr="003E01A4">
        <w:rPr>
          <w:rFonts w:ascii="Century Schoolbook" w:hAnsi="Century Schoolbook"/>
          <w:sz w:val="22"/>
          <w:szCs w:val="22"/>
        </w:rPr>
        <w:t xml:space="preserve">beni culturali e paesaggistici </w:t>
      </w:r>
      <w:r w:rsidR="00EE6EDD" w:rsidRPr="003E01A4">
        <w:rPr>
          <w:rFonts w:ascii="Century Schoolbook" w:hAnsi="Century Schoolbook"/>
          <w:sz w:val="22"/>
          <w:szCs w:val="22"/>
        </w:rPr>
        <w:t xml:space="preserve">che siano </w:t>
      </w:r>
      <w:r w:rsidR="005A5B4C" w:rsidRPr="003E01A4">
        <w:rPr>
          <w:rFonts w:ascii="Century Schoolbook" w:hAnsi="Century Schoolbook"/>
          <w:sz w:val="22"/>
          <w:szCs w:val="22"/>
        </w:rPr>
        <w:t>«</w:t>
      </w:r>
      <w:r w:rsidRPr="003E01A4">
        <w:rPr>
          <w:rFonts w:ascii="Century Schoolbook" w:hAnsi="Century Schoolbook"/>
          <w:sz w:val="22"/>
          <w:szCs w:val="22"/>
        </w:rPr>
        <w:t>interessati</w:t>
      </w:r>
      <w:r w:rsidR="005A5B4C" w:rsidRPr="003E01A4">
        <w:rPr>
          <w:rFonts w:ascii="Century Schoolbook" w:hAnsi="Century Schoolbook"/>
          <w:sz w:val="22"/>
          <w:szCs w:val="22"/>
        </w:rPr>
        <w:t xml:space="preserve"> </w:t>
      </w:r>
      <w:r w:rsidRPr="003E01A4">
        <w:rPr>
          <w:rFonts w:ascii="Century Schoolbook" w:hAnsi="Century Schoolbook"/>
          <w:sz w:val="22"/>
          <w:szCs w:val="22"/>
        </w:rPr>
        <w:t>da interventi previsti dal PNRR sottoposti a VIA in sede statale</w:t>
      </w:r>
      <w:r w:rsidR="005A5B4C" w:rsidRPr="003E01A4">
        <w:rPr>
          <w:rFonts w:ascii="Century Schoolbook" w:hAnsi="Century Schoolbook"/>
          <w:sz w:val="22"/>
          <w:szCs w:val="22"/>
        </w:rPr>
        <w:t xml:space="preserve">» </w:t>
      </w:r>
      <w:r w:rsidRPr="003E01A4">
        <w:rPr>
          <w:rFonts w:ascii="Century Schoolbook" w:hAnsi="Century Schoolbook"/>
          <w:sz w:val="22"/>
          <w:szCs w:val="22"/>
        </w:rPr>
        <w:t xml:space="preserve">oppure </w:t>
      </w:r>
      <w:r w:rsidR="005A5B4C" w:rsidRPr="003E01A4">
        <w:rPr>
          <w:rFonts w:ascii="Century Schoolbook" w:hAnsi="Century Schoolbook"/>
          <w:sz w:val="22"/>
          <w:szCs w:val="22"/>
        </w:rPr>
        <w:t>che «</w:t>
      </w:r>
      <w:r w:rsidRPr="003E01A4">
        <w:rPr>
          <w:rFonts w:ascii="Century Schoolbook" w:hAnsi="Century Schoolbook"/>
          <w:sz w:val="22"/>
          <w:szCs w:val="22"/>
        </w:rPr>
        <w:t>rientrino nella competenza territoriale di almeno due uffici</w:t>
      </w:r>
      <w:r w:rsidR="005A5B4C" w:rsidRPr="003E01A4">
        <w:rPr>
          <w:rFonts w:ascii="Century Schoolbook" w:hAnsi="Century Schoolbook"/>
          <w:sz w:val="22"/>
          <w:szCs w:val="22"/>
        </w:rPr>
        <w:t xml:space="preserve"> </w:t>
      </w:r>
      <w:r w:rsidRPr="003E01A4">
        <w:rPr>
          <w:rFonts w:ascii="Century Schoolbook" w:hAnsi="Century Schoolbook"/>
          <w:sz w:val="22"/>
          <w:szCs w:val="22"/>
        </w:rPr>
        <w:t>periferici del Ministero</w:t>
      </w:r>
      <w:r w:rsidR="005A5B4C" w:rsidRPr="003E01A4">
        <w:rPr>
          <w:rFonts w:ascii="Century Schoolbook" w:hAnsi="Century Schoolbook"/>
          <w:sz w:val="22"/>
          <w:szCs w:val="22"/>
        </w:rPr>
        <w:t>»</w:t>
      </w:r>
      <w:r w:rsidRPr="003E01A4">
        <w:rPr>
          <w:rFonts w:ascii="Century Schoolbook" w:hAnsi="Century Schoolbook"/>
          <w:sz w:val="22"/>
          <w:szCs w:val="22"/>
        </w:rPr>
        <w:t xml:space="preserve">. </w:t>
      </w:r>
    </w:p>
    <w:p w14:paraId="34577696" w14:textId="5006E3DF" w:rsidR="004267FA" w:rsidRPr="003E01A4" w:rsidRDefault="00EE6EDD"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Sempre in base al comma 2 cit., </w:t>
      </w:r>
      <w:r w:rsidR="000F2F57" w:rsidRPr="003E01A4">
        <w:rPr>
          <w:rFonts w:ascii="Century Schoolbook" w:hAnsi="Century Schoolbook"/>
          <w:sz w:val="22"/>
          <w:szCs w:val="22"/>
        </w:rPr>
        <w:t xml:space="preserve">poi, </w:t>
      </w:r>
      <w:r w:rsidRPr="003E01A4">
        <w:rPr>
          <w:rFonts w:ascii="Century Schoolbook" w:hAnsi="Century Schoolbook"/>
          <w:sz w:val="22"/>
          <w:szCs w:val="22"/>
        </w:rPr>
        <w:t>«i</w:t>
      </w:r>
      <w:r w:rsidR="0028133E" w:rsidRPr="003E01A4">
        <w:rPr>
          <w:rFonts w:ascii="Century Schoolbook" w:hAnsi="Century Schoolbook"/>
          <w:sz w:val="22"/>
          <w:szCs w:val="22"/>
        </w:rPr>
        <w:t>n caso di necessit</w:t>
      </w:r>
      <w:r w:rsidRPr="003E01A4">
        <w:rPr>
          <w:rFonts w:ascii="Century Schoolbook" w:hAnsi="Century Schoolbook"/>
          <w:sz w:val="22"/>
          <w:szCs w:val="22"/>
        </w:rPr>
        <w:t>à</w:t>
      </w:r>
      <w:r w:rsidR="0028133E" w:rsidRPr="003E01A4">
        <w:rPr>
          <w:rFonts w:ascii="Century Schoolbook" w:hAnsi="Century Schoolbook"/>
          <w:sz w:val="22"/>
          <w:szCs w:val="22"/>
        </w:rPr>
        <w:t xml:space="preserve"> e per</w:t>
      </w:r>
      <w:r w:rsidRPr="003E01A4">
        <w:rPr>
          <w:rFonts w:ascii="Century Schoolbook" w:hAnsi="Century Schoolbook"/>
          <w:sz w:val="22"/>
          <w:szCs w:val="22"/>
        </w:rPr>
        <w:t xml:space="preserve"> </w:t>
      </w:r>
      <w:r w:rsidR="0028133E" w:rsidRPr="003E01A4">
        <w:rPr>
          <w:rFonts w:ascii="Century Schoolbook" w:hAnsi="Century Schoolbook"/>
          <w:sz w:val="22"/>
          <w:szCs w:val="22"/>
        </w:rPr>
        <w:t>assicurare la tempestiva attuazione del PNRR, la Soprintendenza</w:t>
      </w:r>
      <w:r w:rsidRPr="003E01A4">
        <w:rPr>
          <w:rFonts w:ascii="Century Schoolbook" w:hAnsi="Century Schoolbook"/>
          <w:sz w:val="22"/>
          <w:szCs w:val="22"/>
        </w:rPr>
        <w:t xml:space="preserve"> </w:t>
      </w:r>
      <w:r w:rsidR="0028133E" w:rsidRPr="003E01A4">
        <w:rPr>
          <w:rFonts w:ascii="Century Schoolbook" w:hAnsi="Century Schoolbook"/>
          <w:sz w:val="22"/>
          <w:szCs w:val="22"/>
        </w:rPr>
        <w:t>speciale pu</w:t>
      </w:r>
      <w:r w:rsidRPr="003E01A4">
        <w:rPr>
          <w:rFonts w:ascii="Century Schoolbook" w:hAnsi="Century Schoolbook"/>
          <w:sz w:val="22"/>
          <w:szCs w:val="22"/>
        </w:rPr>
        <w:t>ò</w:t>
      </w:r>
      <w:r w:rsidR="0028133E" w:rsidRPr="003E01A4">
        <w:rPr>
          <w:rFonts w:ascii="Century Schoolbook" w:hAnsi="Century Schoolbook"/>
          <w:sz w:val="22"/>
          <w:szCs w:val="22"/>
        </w:rPr>
        <w:t xml:space="preserve"> esercitare, con riguardo a ulteriori interventi</w:t>
      </w:r>
      <w:r w:rsidRPr="003E01A4">
        <w:rPr>
          <w:rFonts w:ascii="Century Schoolbook" w:hAnsi="Century Schoolbook"/>
          <w:sz w:val="22"/>
          <w:szCs w:val="22"/>
        </w:rPr>
        <w:t xml:space="preserve"> </w:t>
      </w:r>
      <w:r w:rsidR="0028133E" w:rsidRPr="003E01A4">
        <w:rPr>
          <w:rFonts w:ascii="Century Schoolbook" w:hAnsi="Century Schoolbook"/>
          <w:sz w:val="22"/>
          <w:szCs w:val="22"/>
        </w:rPr>
        <w:t>strategici del PNRR, i poteri di avocazione e sostituzione</w:t>
      </w:r>
      <w:r w:rsidRPr="003E01A4">
        <w:rPr>
          <w:rFonts w:ascii="Century Schoolbook" w:hAnsi="Century Schoolbook"/>
          <w:sz w:val="22"/>
          <w:szCs w:val="22"/>
        </w:rPr>
        <w:t>»</w:t>
      </w:r>
      <w:r w:rsidR="0028133E" w:rsidRPr="003E01A4">
        <w:rPr>
          <w:rFonts w:ascii="Century Schoolbook" w:hAnsi="Century Schoolbook"/>
          <w:sz w:val="22"/>
          <w:szCs w:val="22"/>
        </w:rPr>
        <w:t xml:space="preserve"> nei</w:t>
      </w:r>
      <w:r w:rsidRPr="003E01A4">
        <w:rPr>
          <w:rFonts w:ascii="Century Schoolbook" w:hAnsi="Century Schoolbook"/>
          <w:sz w:val="22"/>
          <w:szCs w:val="22"/>
        </w:rPr>
        <w:t xml:space="preserve"> </w:t>
      </w:r>
      <w:r w:rsidR="0028133E" w:rsidRPr="003E01A4">
        <w:rPr>
          <w:rFonts w:ascii="Century Schoolbook" w:hAnsi="Century Schoolbook"/>
          <w:sz w:val="22"/>
          <w:szCs w:val="22"/>
        </w:rPr>
        <w:t xml:space="preserve">confronti delle Soprintendenze </w:t>
      </w:r>
      <w:r w:rsidRPr="003E01A4">
        <w:rPr>
          <w:rFonts w:ascii="Century Schoolbook" w:hAnsi="Century Schoolbook"/>
          <w:sz w:val="22"/>
          <w:szCs w:val="22"/>
        </w:rPr>
        <w:t>periferiche</w:t>
      </w:r>
      <w:r w:rsidR="0028133E" w:rsidRPr="003E01A4">
        <w:rPr>
          <w:rFonts w:ascii="Century Schoolbook" w:hAnsi="Century Schoolbook"/>
          <w:sz w:val="22"/>
          <w:szCs w:val="22"/>
        </w:rPr>
        <w:t>.</w:t>
      </w:r>
      <w:r w:rsidRPr="003E01A4">
        <w:rPr>
          <w:rFonts w:ascii="Century Schoolbook" w:hAnsi="Century Schoolbook"/>
          <w:sz w:val="22"/>
          <w:szCs w:val="22"/>
        </w:rPr>
        <w:t xml:space="preserve"> In breve, </w:t>
      </w:r>
      <w:r w:rsidR="003F0DA4" w:rsidRPr="003E01A4">
        <w:rPr>
          <w:rFonts w:ascii="Century Schoolbook" w:hAnsi="Century Schoolbook"/>
          <w:sz w:val="22"/>
          <w:szCs w:val="22"/>
        </w:rPr>
        <w:t>quest</w:t>
      </w:r>
      <w:r w:rsidRPr="003E01A4">
        <w:rPr>
          <w:rFonts w:ascii="Century Schoolbook" w:hAnsi="Century Schoolbook"/>
          <w:sz w:val="22"/>
          <w:szCs w:val="22"/>
        </w:rPr>
        <w:t xml:space="preserve">’organo centrale </w:t>
      </w:r>
      <w:r w:rsidR="003F0DA4" w:rsidRPr="003E01A4">
        <w:rPr>
          <w:rFonts w:ascii="Century Schoolbook" w:hAnsi="Century Schoolbook"/>
          <w:sz w:val="22"/>
          <w:szCs w:val="22"/>
        </w:rPr>
        <w:t xml:space="preserve">può espungerle </w:t>
      </w:r>
      <w:r w:rsidR="00277516" w:rsidRPr="003E01A4">
        <w:rPr>
          <w:rFonts w:ascii="Century Schoolbook" w:hAnsi="Century Schoolbook"/>
          <w:sz w:val="22"/>
          <w:szCs w:val="22"/>
        </w:rPr>
        <w:t xml:space="preserve">– </w:t>
      </w:r>
      <w:r w:rsidR="00916B1F" w:rsidRPr="003E01A4">
        <w:rPr>
          <w:rFonts w:ascii="Century Schoolbook" w:hAnsi="Century Schoolbook"/>
          <w:sz w:val="22"/>
          <w:szCs w:val="22"/>
        </w:rPr>
        <w:t xml:space="preserve">praticamente </w:t>
      </w:r>
      <w:r w:rsidR="003F0DA4" w:rsidRPr="003E01A4">
        <w:rPr>
          <w:rFonts w:ascii="Century Schoolbook" w:hAnsi="Century Schoolbook"/>
          <w:i/>
          <w:iCs/>
          <w:sz w:val="22"/>
          <w:szCs w:val="22"/>
        </w:rPr>
        <w:t>ad libitum</w:t>
      </w:r>
      <w:r w:rsidR="00916B1F" w:rsidRPr="003E01A4">
        <w:rPr>
          <w:rFonts w:ascii="Century Schoolbook" w:hAnsi="Century Schoolbook"/>
          <w:sz w:val="22"/>
          <w:szCs w:val="22"/>
        </w:rPr>
        <w:t xml:space="preserve"> </w:t>
      </w:r>
      <w:r w:rsidR="00277516" w:rsidRPr="003E01A4">
        <w:rPr>
          <w:rFonts w:ascii="Century Schoolbook" w:hAnsi="Century Schoolbook"/>
          <w:sz w:val="22"/>
          <w:szCs w:val="22"/>
        </w:rPr>
        <w:t xml:space="preserve">– </w:t>
      </w:r>
      <w:r w:rsidR="00916B1F" w:rsidRPr="003E01A4">
        <w:rPr>
          <w:rFonts w:ascii="Century Schoolbook" w:hAnsi="Century Schoolbook"/>
          <w:sz w:val="22"/>
          <w:szCs w:val="22"/>
        </w:rPr>
        <w:t>dalla gestione dell’interesse paesaggistico.</w:t>
      </w:r>
      <w:r w:rsidR="002348CB" w:rsidRPr="003E01A4">
        <w:rPr>
          <w:rFonts w:ascii="Century Schoolbook" w:hAnsi="Century Schoolbook"/>
          <w:sz w:val="22"/>
          <w:szCs w:val="22"/>
        </w:rPr>
        <w:t xml:space="preserve"> </w:t>
      </w:r>
      <w:r w:rsidR="003F0DA4" w:rsidRPr="003E01A4">
        <w:rPr>
          <w:rFonts w:ascii="Century Schoolbook" w:hAnsi="Century Schoolbook"/>
          <w:sz w:val="22"/>
          <w:szCs w:val="22"/>
        </w:rPr>
        <w:t>Inutile</w:t>
      </w:r>
      <w:r w:rsidR="00277516" w:rsidRPr="003E01A4">
        <w:rPr>
          <w:rFonts w:ascii="Century Schoolbook" w:hAnsi="Century Schoolbook"/>
          <w:sz w:val="22"/>
          <w:szCs w:val="22"/>
        </w:rPr>
        <w:t>,</w:t>
      </w:r>
      <w:r w:rsidR="003F0DA4" w:rsidRPr="003E01A4">
        <w:rPr>
          <w:rFonts w:ascii="Century Schoolbook" w:hAnsi="Century Schoolbook"/>
          <w:sz w:val="22"/>
          <w:szCs w:val="22"/>
        </w:rPr>
        <w:t xml:space="preserve"> temo</w:t>
      </w:r>
      <w:r w:rsidR="00277516" w:rsidRPr="003E01A4">
        <w:rPr>
          <w:rFonts w:ascii="Century Schoolbook" w:hAnsi="Century Schoolbook"/>
          <w:sz w:val="22"/>
          <w:szCs w:val="22"/>
        </w:rPr>
        <w:t>,</w:t>
      </w:r>
      <w:r w:rsidR="003F0DA4" w:rsidRPr="003E01A4">
        <w:rPr>
          <w:rFonts w:ascii="Century Schoolbook" w:hAnsi="Century Schoolbook"/>
          <w:sz w:val="22"/>
          <w:szCs w:val="22"/>
        </w:rPr>
        <w:t xml:space="preserve"> chiedersi se l’intervento straordinario </w:t>
      </w:r>
      <w:r w:rsidR="002348CB" w:rsidRPr="003E01A4">
        <w:rPr>
          <w:rFonts w:ascii="Century Schoolbook" w:hAnsi="Century Schoolbook"/>
          <w:sz w:val="22"/>
          <w:szCs w:val="22"/>
        </w:rPr>
        <w:t>innalzerà il livello di tutela che la periferia aveva delineato prima dell’avocazione</w:t>
      </w:r>
      <w:r w:rsidR="000E57B0" w:rsidRPr="003E01A4">
        <w:rPr>
          <w:rStyle w:val="Rimandonotaapidipagina"/>
          <w:rFonts w:ascii="Century Schoolbook" w:hAnsi="Century Schoolbook"/>
          <w:sz w:val="22"/>
          <w:szCs w:val="22"/>
        </w:rPr>
        <w:footnoteReference w:id="76"/>
      </w:r>
      <w:r w:rsidR="003F0DA4" w:rsidRPr="003E01A4">
        <w:rPr>
          <w:rFonts w:ascii="Century Schoolbook" w:hAnsi="Century Schoolbook"/>
          <w:sz w:val="22"/>
          <w:szCs w:val="22"/>
        </w:rPr>
        <w:t xml:space="preserve">. </w:t>
      </w:r>
    </w:p>
    <w:p w14:paraId="0F98E504" w14:textId="088704FF" w:rsidR="001411D3" w:rsidRPr="003E01A4" w:rsidRDefault="003F0DA4"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 xml:space="preserve">Ma </w:t>
      </w:r>
      <w:r w:rsidR="002348CB" w:rsidRPr="003E01A4">
        <w:rPr>
          <w:rFonts w:ascii="Century Schoolbook" w:hAnsi="Century Schoolbook"/>
          <w:sz w:val="22"/>
          <w:szCs w:val="22"/>
        </w:rPr>
        <w:t>dobbiamo a</w:t>
      </w:r>
      <w:r w:rsidR="00A064FA" w:rsidRPr="003E01A4">
        <w:rPr>
          <w:rFonts w:ascii="Century Schoolbook" w:hAnsi="Century Schoolbook"/>
          <w:sz w:val="22"/>
          <w:szCs w:val="22"/>
        </w:rPr>
        <w:t>ttendere</w:t>
      </w:r>
      <w:r w:rsidR="002348CB" w:rsidRPr="003E01A4">
        <w:rPr>
          <w:rFonts w:ascii="Century Schoolbook" w:hAnsi="Century Schoolbook"/>
          <w:sz w:val="22"/>
          <w:szCs w:val="22"/>
        </w:rPr>
        <w:t>, onde esaminare</w:t>
      </w:r>
      <w:r w:rsidRPr="003E01A4">
        <w:rPr>
          <w:rFonts w:ascii="Century Schoolbook" w:hAnsi="Century Schoolbook"/>
          <w:sz w:val="22"/>
          <w:szCs w:val="22"/>
        </w:rPr>
        <w:t xml:space="preserve"> la casistica che </w:t>
      </w:r>
      <w:r w:rsidR="00A064FA" w:rsidRPr="003E01A4">
        <w:rPr>
          <w:rFonts w:ascii="Century Schoolbook" w:hAnsi="Century Schoolbook"/>
          <w:sz w:val="22"/>
          <w:szCs w:val="22"/>
        </w:rPr>
        <w:t xml:space="preserve">l’esperienza attuativa concreta </w:t>
      </w:r>
      <w:r w:rsidRPr="003E01A4">
        <w:rPr>
          <w:rFonts w:ascii="Century Schoolbook" w:hAnsi="Century Schoolbook"/>
          <w:sz w:val="22"/>
          <w:szCs w:val="22"/>
        </w:rPr>
        <w:t>ci consegnerà.</w:t>
      </w:r>
    </w:p>
    <w:p w14:paraId="3ED75B6A" w14:textId="4EC12898" w:rsidR="00685667" w:rsidRPr="003E01A4" w:rsidRDefault="00685667"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A proposito d’attese.</w:t>
      </w:r>
    </w:p>
    <w:p w14:paraId="3770A17B" w14:textId="3CC2B8D6" w:rsidR="008202C7" w:rsidRPr="003E01A4" w:rsidRDefault="00744EB9" w:rsidP="002B4988">
      <w:pPr>
        <w:pStyle w:val="Testonotaapidipagina"/>
        <w:spacing w:line="360" w:lineRule="auto"/>
        <w:ind w:firstLine="709"/>
        <w:contextualSpacing/>
        <w:jc w:val="both"/>
        <w:rPr>
          <w:rFonts w:ascii="Century Schoolbook" w:hAnsi="Century Schoolbook"/>
          <w:sz w:val="22"/>
          <w:szCs w:val="22"/>
        </w:rPr>
      </w:pPr>
      <w:r w:rsidRPr="003E01A4">
        <w:rPr>
          <w:rFonts w:ascii="Century Schoolbook" w:hAnsi="Century Schoolbook"/>
          <w:sz w:val="22"/>
          <w:szCs w:val="22"/>
        </w:rPr>
        <w:t xml:space="preserve">Sta per abbattersi sull’Italia una specie di bomba d’acqua. Una massa di </w:t>
      </w:r>
      <w:r w:rsidR="00277516" w:rsidRPr="003E01A4">
        <w:rPr>
          <w:rFonts w:ascii="Century Schoolbook" w:hAnsi="Century Schoolbook"/>
          <w:sz w:val="22"/>
          <w:szCs w:val="22"/>
        </w:rPr>
        <w:t xml:space="preserve">liquidità </w:t>
      </w:r>
      <w:r w:rsidRPr="003E01A4">
        <w:rPr>
          <w:rFonts w:ascii="Century Schoolbook" w:hAnsi="Century Schoolbook"/>
          <w:sz w:val="22"/>
          <w:szCs w:val="22"/>
        </w:rPr>
        <w:t>dovrà – dovrebbe – essere trasformata</w:t>
      </w:r>
      <w:r w:rsidR="00DD6E57" w:rsidRPr="003E01A4">
        <w:rPr>
          <w:rStyle w:val="Rimandonotaapidipagina"/>
          <w:rFonts w:ascii="Century Schoolbook" w:hAnsi="Century Schoolbook"/>
          <w:sz w:val="22"/>
          <w:szCs w:val="22"/>
        </w:rPr>
        <w:footnoteReference w:id="77"/>
      </w:r>
      <w:r w:rsidRPr="003E01A4">
        <w:rPr>
          <w:rFonts w:ascii="Century Schoolbook" w:hAnsi="Century Schoolbook"/>
          <w:sz w:val="22"/>
          <w:szCs w:val="22"/>
        </w:rPr>
        <w:t xml:space="preserve"> subito in opere infrastrutturali. Il sintagma “capacità amministrativa”, ora molto in uso anche nel diritto positivo, denota il requisito della prima fase: la sequenza decisione – progettazione – affidamento. Un paese dall’incedere </w:t>
      </w:r>
      <w:r w:rsidR="008202C7" w:rsidRPr="003E01A4">
        <w:rPr>
          <w:rFonts w:ascii="Century Schoolbook" w:hAnsi="Century Schoolbook"/>
          <w:sz w:val="22"/>
          <w:szCs w:val="22"/>
        </w:rPr>
        <w:t xml:space="preserve">realizzativo </w:t>
      </w:r>
      <w:r w:rsidRPr="003E01A4">
        <w:rPr>
          <w:rFonts w:ascii="Century Schoolbook" w:hAnsi="Century Schoolbook"/>
          <w:sz w:val="22"/>
          <w:szCs w:val="22"/>
        </w:rPr>
        <w:t>lento e tortuoso dovrebbe di colpo trasformarsi nel suo contrario</w:t>
      </w:r>
      <w:r w:rsidR="00CF4ECA" w:rsidRPr="003E01A4">
        <w:rPr>
          <w:rStyle w:val="Rimandonotaapidipagina"/>
          <w:rFonts w:ascii="Century Schoolbook" w:hAnsi="Century Schoolbook"/>
          <w:sz w:val="22"/>
          <w:szCs w:val="22"/>
        </w:rPr>
        <w:footnoteReference w:id="78"/>
      </w:r>
      <w:r w:rsidR="008202C7" w:rsidRPr="003E01A4">
        <w:rPr>
          <w:rFonts w:ascii="Century Schoolbook" w:hAnsi="Century Schoolbook"/>
          <w:sz w:val="22"/>
          <w:szCs w:val="22"/>
        </w:rPr>
        <w:t>;</w:t>
      </w:r>
      <w:r w:rsidRPr="003E01A4">
        <w:rPr>
          <w:rFonts w:ascii="Century Schoolbook" w:hAnsi="Century Schoolbook"/>
          <w:sz w:val="22"/>
          <w:szCs w:val="22"/>
        </w:rPr>
        <w:t xml:space="preserve"> </w:t>
      </w:r>
      <w:r w:rsidR="008202C7" w:rsidRPr="003E01A4">
        <w:rPr>
          <w:rFonts w:ascii="Century Schoolbook" w:hAnsi="Century Schoolbook"/>
          <w:sz w:val="22"/>
          <w:szCs w:val="22"/>
        </w:rPr>
        <w:t xml:space="preserve">e dovrebbe farlo </w:t>
      </w:r>
      <w:r w:rsidRPr="003E01A4">
        <w:rPr>
          <w:rFonts w:ascii="Century Schoolbook" w:hAnsi="Century Schoolbook"/>
          <w:sz w:val="22"/>
          <w:szCs w:val="22"/>
        </w:rPr>
        <w:t xml:space="preserve">senza peraltro trascurare interessi che immagino </w:t>
      </w:r>
      <w:r w:rsidR="008202C7" w:rsidRPr="003E01A4">
        <w:rPr>
          <w:rFonts w:ascii="Century Schoolbook" w:hAnsi="Century Schoolbook"/>
          <w:sz w:val="22"/>
          <w:szCs w:val="22"/>
        </w:rPr>
        <w:t>restino</w:t>
      </w:r>
      <w:r w:rsidRPr="003E01A4">
        <w:rPr>
          <w:rFonts w:ascii="Century Schoolbook" w:hAnsi="Century Schoolbook"/>
          <w:sz w:val="22"/>
          <w:szCs w:val="22"/>
        </w:rPr>
        <w:t xml:space="preserve"> ancora meritevoli di tutela</w:t>
      </w:r>
      <w:r w:rsidR="008202C7" w:rsidRPr="003E01A4">
        <w:rPr>
          <w:rFonts w:ascii="Century Schoolbook" w:hAnsi="Century Schoolbook"/>
          <w:sz w:val="22"/>
          <w:szCs w:val="22"/>
        </w:rPr>
        <w:t>, come</w:t>
      </w:r>
      <w:r w:rsidRPr="003E01A4">
        <w:rPr>
          <w:rFonts w:ascii="Century Schoolbook" w:hAnsi="Century Schoolbook"/>
          <w:sz w:val="22"/>
          <w:szCs w:val="22"/>
        </w:rPr>
        <w:t xml:space="preserve"> il paesaggio</w:t>
      </w:r>
      <w:r w:rsidR="008202C7" w:rsidRPr="003E01A4">
        <w:rPr>
          <w:rFonts w:ascii="Century Schoolbook" w:hAnsi="Century Schoolbook"/>
          <w:sz w:val="22"/>
          <w:szCs w:val="22"/>
        </w:rPr>
        <w:t xml:space="preserve"> e l’ambiente</w:t>
      </w:r>
      <w:r w:rsidRPr="003E01A4">
        <w:rPr>
          <w:rFonts w:ascii="Century Schoolbook" w:hAnsi="Century Schoolbook"/>
          <w:sz w:val="22"/>
          <w:szCs w:val="22"/>
        </w:rPr>
        <w:t>.</w:t>
      </w:r>
    </w:p>
    <w:p w14:paraId="346B5753" w14:textId="77777777" w:rsidR="007A4C31" w:rsidRPr="003E01A4" w:rsidRDefault="008202C7" w:rsidP="002B4988">
      <w:pPr>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Abbiam visto però che dopo l</w:t>
      </w:r>
      <w:r w:rsidR="00813812" w:rsidRPr="003E01A4">
        <w:rPr>
          <w:rFonts w:ascii="Century Schoolbook" w:hAnsi="Century Schoolbook"/>
          <w:sz w:val="22"/>
          <w:szCs w:val="22"/>
        </w:rPr>
        <w:t>a</w:t>
      </w:r>
      <w:r w:rsidRPr="003E01A4">
        <w:rPr>
          <w:rFonts w:ascii="Century Schoolbook" w:hAnsi="Century Schoolbook"/>
          <w:sz w:val="22"/>
          <w:szCs w:val="22"/>
        </w:rPr>
        <w:t xml:space="preserve"> </w:t>
      </w:r>
      <w:r w:rsidR="00813812" w:rsidRPr="003E01A4">
        <w:rPr>
          <w:rFonts w:ascii="Century Schoolbook" w:hAnsi="Century Schoolbook"/>
          <w:sz w:val="22"/>
          <w:szCs w:val="22"/>
        </w:rPr>
        <w:t xml:space="preserve">«stagion lieta» </w:t>
      </w:r>
      <w:r w:rsidRPr="003E01A4">
        <w:rPr>
          <w:rFonts w:ascii="Century Schoolbook" w:hAnsi="Century Schoolbook"/>
          <w:sz w:val="22"/>
          <w:szCs w:val="22"/>
        </w:rPr>
        <w:t xml:space="preserve">in cui il diritto </w:t>
      </w:r>
      <w:r w:rsidR="003961A7" w:rsidRPr="003E01A4">
        <w:rPr>
          <w:rFonts w:ascii="Century Schoolbook" w:hAnsi="Century Schoolbook"/>
          <w:sz w:val="22"/>
          <w:szCs w:val="22"/>
        </w:rPr>
        <w:t xml:space="preserve">– </w:t>
      </w:r>
      <w:r w:rsidRPr="003E01A4">
        <w:rPr>
          <w:rFonts w:ascii="Century Schoolbook" w:hAnsi="Century Schoolbook"/>
          <w:sz w:val="22"/>
          <w:szCs w:val="22"/>
        </w:rPr>
        <w:t xml:space="preserve">legislativo e giurisprudenziale </w:t>
      </w:r>
      <w:r w:rsidR="003961A7" w:rsidRPr="003E01A4">
        <w:rPr>
          <w:rFonts w:ascii="Century Schoolbook" w:hAnsi="Century Schoolbook"/>
          <w:sz w:val="22"/>
          <w:szCs w:val="22"/>
        </w:rPr>
        <w:t xml:space="preserve">– </w:t>
      </w:r>
      <w:r w:rsidRPr="003E01A4">
        <w:rPr>
          <w:rFonts w:ascii="Century Schoolbook" w:hAnsi="Century Schoolbook"/>
          <w:sz w:val="22"/>
          <w:szCs w:val="22"/>
        </w:rPr>
        <w:t xml:space="preserve">ha </w:t>
      </w:r>
      <w:r w:rsidR="008254D4" w:rsidRPr="003E01A4">
        <w:rPr>
          <w:rFonts w:ascii="Century Schoolbook" w:hAnsi="Century Schoolbook"/>
          <w:sz w:val="22"/>
          <w:szCs w:val="22"/>
        </w:rPr>
        <w:t>cercato di</w:t>
      </w:r>
      <w:r w:rsidRPr="003E01A4">
        <w:rPr>
          <w:rFonts w:ascii="Century Schoolbook" w:hAnsi="Century Schoolbook"/>
          <w:sz w:val="22"/>
          <w:szCs w:val="22"/>
        </w:rPr>
        <w:t xml:space="preserve"> tutelare quegli interessi</w:t>
      </w:r>
      <w:r w:rsidRPr="003E01A4">
        <w:rPr>
          <w:rStyle w:val="Rimandonotaapidipagina"/>
          <w:rFonts w:ascii="Century Schoolbook" w:hAnsi="Century Schoolbook"/>
          <w:sz w:val="22"/>
          <w:szCs w:val="22"/>
        </w:rPr>
        <w:footnoteReference w:id="79"/>
      </w:r>
      <w:r w:rsidR="003961A7" w:rsidRPr="003E01A4">
        <w:rPr>
          <w:rFonts w:ascii="Century Schoolbook" w:hAnsi="Century Schoolbook"/>
          <w:sz w:val="22"/>
          <w:szCs w:val="22"/>
        </w:rPr>
        <w:t xml:space="preserve">, </w:t>
      </w:r>
      <w:r w:rsidR="00813812" w:rsidRPr="003E01A4">
        <w:rPr>
          <w:rFonts w:ascii="Century Schoolbook" w:hAnsi="Century Schoolbook"/>
          <w:sz w:val="22"/>
          <w:szCs w:val="22"/>
        </w:rPr>
        <w:t xml:space="preserve">è </w:t>
      </w:r>
      <w:r w:rsidR="003961A7" w:rsidRPr="003E01A4">
        <w:rPr>
          <w:rFonts w:ascii="Century Schoolbook" w:hAnsi="Century Schoolbook"/>
          <w:sz w:val="22"/>
          <w:szCs w:val="22"/>
        </w:rPr>
        <w:t>inizi</w:t>
      </w:r>
      <w:r w:rsidR="00813812" w:rsidRPr="003E01A4">
        <w:rPr>
          <w:rFonts w:ascii="Century Schoolbook" w:hAnsi="Century Schoolbook"/>
          <w:sz w:val="22"/>
          <w:szCs w:val="22"/>
        </w:rPr>
        <w:t>at</w:t>
      </w:r>
      <w:r w:rsidR="003961A7" w:rsidRPr="003E01A4">
        <w:rPr>
          <w:rFonts w:ascii="Century Schoolbook" w:hAnsi="Century Schoolbook"/>
          <w:sz w:val="22"/>
          <w:szCs w:val="22"/>
        </w:rPr>
        <w:t>o un autunno</w:t>
      </w:r>
      <w:r w:rsidR="00813812" w:rsidRPr="003E01A4">
        <w:rPr>
          <w:rFonts w:ascii="Century Schoolbook" w:hAnsi="Century Schoolbook"/>
          <w:sz w:val="22"/>
          <w:szCs w:val="22"/>
        </w:rPr>
        <w:t xml:space="preserve"> </w:t>
      </w:r>
      <w:r w:rsidR="003961A7" w:rsidRPr="003E01A4">
        <w:rPr>
          <w:rFonts w:ascii="Century Schoolbook" w:hAnsi="Century Schoolbook"/>
          <w:sz w:val="22"/>
          <w:szCs w:val="22"/>
        </w:rPr>
        <w:t xml:space="preserve">malinconico. Il distacco progressivo </w:t>
      </w:r>
      <w:r w:rsidR="00F26856" w:rsidRPr="003E01A4">
        <w:rPr>
          <w:rFonts w:ascii="Century Schoolbook" w:hAnsi="Century Schoolbook"/>
          <w:sz w:val="22"/>
          <w:szCs w:val="22"/>
        </w:rPr>
        <w:t xml:space="preserve">dell’ordinamento, </w:t>
      </w:r>
      <w:r w:rsidR="00813812" w:rsidRPr="003E01A4">
        <w:rPr>
          <w:rFonts w:ascii="Century Schoolbook" w:hAnsi="Century Schoolbook"/>
          <w:sz w:val="22"/>
          <w:szCs w:val="22"/>
        </w:rPr>
        <w:t xml:space="preserve">sempre più </w:t>
      </w:r>
      <w:r w:rsidR="00F26856" w:rsidRPr="003E01A4">
        <w:rPr>
          <w:rFonts w:ascii="Century Schoolbook" w:hAnsi="Century Schoolbook"/>
          <w:sz w:val="22"/>
          <w:szCs w:val="22"/>
        </w:rPr>
        <w:t>lontano e insensibile nei confronti di questi valori, ha spianato la strada all’accelerazione impressa oggi dalla normazione PNRR</w:t>
      </w:r>
      <w:r w:rsidR="00813812" w:rsidRPr="003E01A4">
        <w:rPr>
          <w:rFonts w:ascii="Century Schoolbook" w:hAnsi="Century Schoolbook"/>
          <w:sz w:val="22"/>
          <w:szCs w:val="22"/>
        </w:rPr>
        <w:t>: è passato molto tempo da quei malcerti procedimenti infrastrutturali dove ogni fase poteva nascondere un agguato esiziale. Oggi già la rubrica dell’art. 12, d.l. n. 77/’</w:t>
      </w:r>
      <w:r w:rsidR="007D0F7E" w:rsidRPr="003E01A4">
        <w:rPr>
          <w:rFonts w:ascii="Century Schoolbook" w:hAnsi="Century Schoolbook"/>
          <w:sz w:val="22"/>
          <w:szCs w:val="22"/>
        </w:rPr>
        <w:t>2</w:t>
      </w:r>
      <w:r w:rsidR="00813812" w:rsidRPr="003E01A4">
        <w:rPr>
          <w:rFonts w:ascii="Century Schoolbook" w:hAnsi="Century Schoolbook"/>
          <w:sz w:val="22"/>
          <w:szCs w:val="22"/>
        </w:rPr>
        <w:t xml:space="preserve">1 cit. </w:t>
      </w:r>
      <w:r w:rsidR="00AB025C" w:rsidRPr="003E01A4">
        <w:rPr>
          <w:rFonts w:ascii="Century Schoolbook" w:hAnsi="Century Schoolbook"/>
          <w:sz w:val="22"/>
          <w:szCs w:val="22"/>
        </w:rPr>
        <w:t xml:space="preserve">– «Superamento del dissenso» – </w:t>
      </w:r>
      <w:r w:rsidR="00813812" w:rsidRPr="003E01A4">
        <w:rPr>
          <w:rFonts w:ascii="Century Schoolbook" w:hAnsi="Century Schoolbook"/>
          <w:sz w:val="22"/>
          <w:szCs w:val="22"/>
        </w:rPr>
        <w:t>ha un qualcosa d’inquietante</w:t>
      </w:r>
      <w:r w:rsidR="000C5CE7" w:rsidRPr="003E01A4">
        <w:rPr>
          <w:rFonts w:ascii="Century Schoolbook" w:hAnsi="Century Schoolbook"/>
          <w:sz w:val="22"/>
          <w:szCs w:val="22"/>
        </w:rPr>
        <w:t xml:space="preserve"> e oppressivo</w:t>
      </w:r>
      <w:r w:rsidR="00AB025C" w:rsidRPr="003E01A4">
        <w:rPr>
          <w:rFonts w:ascii="Century Schoolbook" w:hAnsi="Century Schoolbook"/>
          <w:sz w:val="22"/>
          <w:szCs w:val="22"/>
        </w:rPr>
        <w:t>,</w:t>
      </w:r>
      <w:r w:rsidR="00813812" w:rsidRPr="003E01A4">
        <w:rPr>
          <w:rFonts w:ascii="Century Schoolbook" w:hAnsi="Century Schoolbook"/>
          <w:sz w:val="22"/>
          <w:szCs w:val="22"/>
        </w:rPr>
        <w:t xml:space="preserve"> </w:t>
      </w:r>
      <w:r w:rsidR="00AB025C" w:rsidRPr="003E01A4">
        <w:rPr>
          <w:rFonts w:ascii="Century Schoolbook" w:hAnsi="Century Schoolbook"/>
          <w:sz w:val="22"/>
          <w:szCs w:val="22"/>
        </w:rPr>
        <w:t>un</w:t>
      </w:r>
      <w:r w:rsidR="00813812" w:rsidRPr="003E01A4">
        <w:rPr>
          <w:rFonts w:ascii="Century Schoolbook" w:hAnsi="Century Schoolbook"/>
          <w:sz w:val="22"/>
          <w:szCs w:val="22"/>
        </w:rPr>
        <w:t xml:space="preserve"> sapore vagamente totalitario</w:t>
      </w:r>
      <w:r w:rsidR="00AB025C" w:rsidRPr="003E01A4">
        <w:rPr>
          <w:rFonts w:ascii="Century Schoolbook" w:hAnsi="Century Schoolbook"/>
          <w:sz w:val="22"/>
          <w:szCs w:val="22"/>
        </w:rPr>
        <w:t>.</w:t>
      </w:r>
    </w:p>
    <w:p w14:paraId="1CD6226A" w14:textId="77777777" w:rsidR="003E01A4" w:rsidRPr="003E01A4" w:rsidRDefault="007A4C31" w:rsidP="002B4988">
      <w:pPr>
        <w:spacing w:line="360" w:lineRule="auto"/>
        <w:ind w:firstLine="708"/>
        <w:contextualSpacing/>
        <w:jc w:val="both"/>
        <w:rPr>
          <w:rFonts w:ascii="Century Schoolbook" w:eastAsia="Times New Roman" w:hAnsi="Century Schoolbook" w:cs="Times New Roman"/>
          <w:sz w:val="22"/>
          <w:szCs w:val="22"/>
          <w:lang w:eastAsia="it-IT"/>
        </w:rPr>
      </w:pPr>
      <w:r w:rsidRPr="003E01A4">
        <w:rPr>
          <w:rFonts w:ascii="Century Schoolbook" w:hAnsi="Century Schoolbook"/>
          <w:sz w:val="22"/>
          <w:szCs w:val="22"/>
        </w:rPr>
        <w:t>Così che, salendo di quota,</w:t>
      </w:r>
      <w:r w:rsidR="00306AC2" w:rsidRPr="003E01A4">
        <w:rPr>
          <w:rFonts w:ascii="Century Schoolbook" w:hAnsi="Century Schoolbook"/>
          <w:sz w:val="22"/>
          <w:szCs w:val="22"/>
        </w:rPr>
        <w:t xml:space="preserve"> </w:t>
      </w:r>
      <w:r w:rsidR="00D55F6A" w:rsidRPr="003E01A4">
        <w:rPr>
          <w:rFonts w:ascii="Century Schoolbook" w:hAnsi="Century Schoolbook"/>
          <w:sz w:val="22"/>
          <w:szCs w:val="22"/>
        </w:rPr>
        <w:t>sarebbe</w:t>
      </w:r>
      <w:r w:rsidR="00306AC2" w:rsidRPr="003E01A4">
        <w:rPr>
          <w:rFonts w:ascii="Century Schoolbook" w:hAnsi="Century Schoolbook"/>
          <w:sz w:val="22"/>
          <w:szCs w:val="22"/>
        </w:rPr>
        <w:t xml:space="preserve"> riduttivo</w:t>
      </w:r>
      <w:r w:rsidRPr="003E01A4">
        <w:rPr>
          <w:rFonts w:ascii="Century Schoolbook" w:hAnsi="Century Schoolbook"/>
          <w:sz w:val="22"/>
          <w:szCs w:val="22"/>
        </w:rPr>
        <w:t xml:space="preserve"> domandarsi se siamo di fronte a un diritto legislativo che trascrive evoluzioni </w:t>
      </w:r>
      <w:r w:rsidRPr="003E01A4">
        <w:rPr>
          <w:rFonts w:ascii="Century Schoolbook" w:eastAsia="Times New Roman" w:hAnsi="Century Schoolbook" w:cs="Times New Roman"/>
          <w:sz w:val="22"/>
          <w:szCs w:val="22"/>
          <w:lang w:eastAsia="it-IT"/>
        </w:rPr>
        <w:t>fisiologiche del principio di sussidiarietà nel governo del territorio</w:t>
      </w:r>
      <w:r w:rsidR="00306AC2" w:rsidRPr="003E01A4">
        <w:rPr>
          <w:rFonts w:ascii="Century Schoolbook" w:eastAsia="Times New Roman" w:hAnsi="Century Schoolbook" w:cs="Times New Roman"/>
          <w:sz w:val="22"/>
          <w:szCs w:val="22"/>
          <w:lang w:eastAsia="it-IT"/>
        </w:rPr>
        <w:t>;</w:t>
      </w:r>
      <w:r w:rsidRPr="003E01A4">
        <w:rPr>
          <w:rFonts w:ascii="Century Schoolbook" w:eastAsia="Times New Roman" w:hAnsi="Century Schoolbook" w:cs="Times New Roman"/>
          <w:sz w:val="22"/>
          <w:szCs w:val="22"/>
          <w:lang w:eastAsia="it-IT"/>
        </w:rPr>
        <w:t xml:space="preserve"> ovvero</w:t>
      </w:r>
      <w:r w:rsidR="00306AC2" w:rsidRPr="003E01A4">
        <w:rPr>
          <w:rFonts w:ascii="Century Schoolbook" w:eastAsia="Times New Roman" w:hAnsi="Century Schoolbook" w:cs="Times New Roman"/>
          <w:sz w:val="22"/>
          <w:szCs w:val="22"/>
          <w:lang w:eastAsia="it-IT"/>
        </w:rPr>
        <w:t xml:space="preserve">, in alternativa, se questa traiettoria sia effetto necessitato, e più o meno transitorio, delle </w:t>
      </w:r>
      <w:r w:rsidRPr="003E01A4">
        <w:rPr>
          <w:rFonts w:ascii="Century Schoolbook" w:eastAsia="Times New Roman" w:hAnsi="Century Schoolbook" w:cs="Times New Roman"/>
          <w:sz w:val="22"/>
          <w:szCs w:val="22"/>
          <w:lang w:eastAsia="it-IT"/>
        </w:rPr>
        <w:t xml:space="preserve">emergenze </w:t>
      </w:r>
      <w:r w:rsidR="00306AC2" w:rsidRPr="003E01A4">
        <w:rPr>
          <w:rFonts w:ascii="Century Schoolbook" w:eastAsia="Times New Roman" w:hAnsi="Century Schoolbook" w:cs="Times New Roman"/>
          <w:sz w:val="22"/>
          <w:szCs w:val="22"/>
          <w:lang w:eastAsia="it-IT"/>
        </w:rPr>
        <w:t xml:space="preserve">prima </w:t>
      </w:r>
      <w:r w:rsidRPr="003E01A4">
        <w:rPr>
          <w:rFonts w:ascii="Century Schoolbook" w:eastAsia="Times New Roman" w:hAnsi="Century Schoolbook" w:cs="Times New Roman"/>
          <w:sz w:val="22"/>
          <w:szCs w:val="22"/>
          <w:lang w:eastAsia="it-IT"/>
        </w:rPr>
        <w:t xml:space="preserve">economiche e </w:t>
      </w:r>
      <w:r w:rsidR="00306AC2" w:rsidRPr="003E01A4">
        <w:rPr>
          <w:rFonts w:ascii="Century Schoolbook" w:eastAsia="Times New Roman" w:hAnsi="Century Schoolbook" w:cs="Times New Roman"/>
          <w:sz w:val="22"/>
          <w:szCs w:val="22"/>
          <w:lang w:eastAsia="it-IT"/>
        </w:rPr>
        <w:t xml:space="preserve">poi </w:t>
      </w:r>
      <w:r w:rsidRPr="003E01A4">
        <w:rPr>
          <w:rFonts w:ascii="Century Schoolbook" w:eastAsia="Times New Roman" w:hAnsi="Century Schoolbook" w:cs="Times New Roman"/>
          <w:sz w:val="22"/>
          <w:szCs w:val="22"/>
          <w:lang w:eastAsia="it-IT"/>
        </w:rPr>
        <w:t>sanitarie che hanno con</w:t>
      </w:r>
      <w:r w:rsidR="00306AC2" w:rsidRPr="003E01A4">
        <w:rPr>
          <w:rFonts w:ascii="Century Schoolbook" w:eastAsia="Times New Roman" w:hAnsi="Century Schoolbook" w:cs="Times New Roman"/>
          <w:sz w:val="22"/>
          <w:szCs w:val="22"/>
          <w:lang w:eastAsia="it-IT"/>
        </w:rPr>
        <w:t>notato</w:t>
      </w:r>
      <w:r w:rsidRPr="003E01A4">
        <w:rPr>
          <w:rFonts w:ascii="Century Schoolbook" w:eastAsia="Times New Roman" w:hAnsi="Century Schoolbook" w:cs="Times New Roman"/>
          <w:sz w:val="22"/>
          <w:szCs w:val="22"/>
          <w:lang w:eastAsia="it-IT"/>
        </w:rPr>
        <w:t xml:space="preserve"> </w:t>
      </w:r>
      <w:r w:rsidR="002B4988" w:rsidRPr="003E01A4">
        <w:rPr>
          <w:rFonts w:ascii="Century Schoolbook" w:eastAsia="Times New Roman" w:hAnsi="Century Schoolbook" w:cs="Times New Roman"/>
          <w:sz w:val="22"/>
          <w:szCs w:val="22"/>
          <w:lang w:eastAsia="it-IT"/>
        </w:rPr>
        <w:t xml:space="preserve">gli </w:t>
      </w:r>
      <w:r w:rsidR="00306AC2" w:rsidRPr="003E01A4">
        <w:rPr>
          <w:rFonts w:ascii="Century Schoolbook" w:eastAsia="Times New Roman" w:hAnsi="Century Schoolbook" w:cs="Times New Roman"/>
          <w:sz w:val="22"/>
          <w:szCs w:val="22"/>
          <w:lang w:eastAsia="it-IT"/>
        </w:rPr>
        <w:t>anni ultimi</w:t>
      </w:r>
      <w:r w:rsidRPr="003E01A4">
        <w:rPr>
          <w:rFonts w:ascii="Century Schoolbook" w:eastAsia="Times New Roman" w:hAnsi="Century Schoolbook" w:cs="Times New Roman"/>
          <w:sz w:val="22"/>
          <w:szCs w:val="22"/>
          <w:lang w:eastAsia="it-IT"/>
        </w:rPr>
        <w:t>.</w:t>
      </w:r>
    </w:p>
    <w:p w14:paraId="5AF0B92E" w14:textId="5AFDE84C" w:rsidR="00944152" w:rsidRDefault="00306AC2" w:rsidP="003E01A4">
      <w:pPr>
        <w:spacing w:line="360" w:lineRule="auto"/>
        <w:ind w:firstLine="708"/>
        <w:contextualSpacing/>
        <w:jc w:val="both"/>
        <w:rPr>
          <w:rFonts w:ascii="Century Schoolbook" w:eastAsia="Times New Roman" w:hAnsi="Century Schoolbook" w:cs="Times New Roman"/>
          <w:color w:val="191919"/>
          <w:sz w:val="22"/>
          <w:szCs w:val="22"/>
          <w:lang w:eastAsia="it-IT"/>
        </w:rPr>
      </w:pPr>
      <w:r w:rsidRPr="003E01A4">
        <w:rPr>
          <w:rFonts w:ascii="Century Schoolbook" w:eastAsia="Times New Roman" w:hAnsi="Century Schoolbook" w:cs="Times New Roman"/>
          <w:sz w:val="22"/>
          <w:szCs w:val="22"/>
          <w:lang w:eastAsia="it-IT"/>
        </w:rPr>
        <w:t>Nessuna delle due</w:t>
      </w:r>
      <w:r w:rsidR="00D55F6A" w:rsidRPr="003E01A4">
        <w:rPr>
          <w:rFonts w:ascii="Century Schoolbook" w:eastAsia="Times New Roman" w:hAnsi="Century Schoolbook" w:cs="Times New Roman"/>
          <w:sz w:val="22"/>
          <w:szCs w:val="22"/>
          <w:lang w:eastAsia="it-IT"/>
        </w:rPr>
        <w:t>, a mio avviso</w:t>
      </w:r>
      <w:r w:rsidRPr="003E01A4">
        <w:rPr>
          <w:rFonts w:ascii="Century Schoolbook" w:eastAsia="Times New Roman" w:hAnsi="Century Schoolbook" w:cs="Times New Roman"/>
          <w:sz w:val="22"/>
          <w:szCs w:val="22"/>
          <w:lang w:eastAsia="it-IT"/>
        </w:rPr>
        <w:t>.</w:t>
      </w:r>
      <w:r w:rsidR="00D55F6A" w:rsidRPr="003E01A4">
        <w:rPr>
          <w:rFonts w:ascii="Century Schoolbook" w:eastAsia="Times New Roman" w:hAnsi="Century Schoolbook" w:cs="Times New Roman"/>
          <w:sz w:val="22"/>
          <w:szCs w:val="22"/>
          <w:lang w:eastAsia="it-IT"/>
        </w:rPr>
        <w:t xml:space="preserve"> </w:t>
      </w:r>
      <w:r w:rsidR="00944152" w:rsidRPr="003E01A4">
        <w:rPr>
          <w:rFonts w:ascii="Century Schoolbook" w:eastAsia="Times New Roman" w:hAnsi="Century Schoolbook" w:cs="Times New Roman"/>
          <w:sz w:val="22"/>
          <w:szCs w:val="22"/>
          <w:lang w:eastAsia="it-IT"/>
        </w:rPr>
        <w:t xml:space="preserve">Siamo invece di fronte a un </w:t>
      </w:r>
      <w:r w:rsidR="00944152" w:rsidRPr="003E01A4">
        <w:rPr>
          <w:rFonts w:ascii="Century Schoolbook" w:eastAsia="Times New Roman" w:hAnsi="Century Schoolbook" w:cs="Times New Roman"/>
          <w:i/>
          <w:iCs/>
          <w:sz w:val="22"/>
          <w:szCs w:val="22"/>
          <w:lang w:eastAsia="it-IT"/>
        </w:rPr>
        <w:t>Kulturkampf</w:t>
      </w:r>
      <w:r w:rsidR="003E01A4" w:rsidRPr="003E01A4">
        <w:rPr>
          <w:rFonts w:ascii="Century Schoolbook" w:eastAsia="Times New Roman" w:hAnsi="Century Schoolbook" w:cs="Times New Roman"/>
          <w:sz w:val="22"/>
          <w:szCs w:val="22"/>
          <w:lang w:eastAsia="it-IT"/>
        </w:rPr>
        <w:t xml:space="preserve"> più generale:</w:t>
      </w:r>
      <w:r w:rsidR="00944152" w:rsidRPr="003E01A4">
        <w:rPr>
          <w:rFonts w:ascii="Century Schoolbook" w:eastAsia="Times New Roman" w:hAnsi="Century Schoolbook" w:cs="Times New Roman"/>
          <w:i/>
          <w:iCs/>
          <w:sz w:val="22"/>
          <w:szCs w:val="22"/>
          <w:lang w:eastAsia="it-IT"/>
        </w:rPr>
        <w:t xml:space="preserve"> </w:t>
      </w:r>
      <w:r w:rsidR="00944152" w:rsidRPr="003E01A4">
        <w:rPr>
          <w:rFonts w:ascii="Century Schoolbook" w:eastAsia="Times New Roman" w:hAnsi="Century Schoolbook" w:cs="Times New Roman"/>
          <w:sz w:val="22"/>
          <w:szCs w:val="22"/>
          <w:lang w:eastAsia="it-IT"/>
        </w:rPr>
        <w:t>dove si contrappongono – lo chiarisce molto bene Carpentieri</w:t>
      </w:r>
      <w:r w:rsidR="003E01A4" w:rsidRPr="003E01A4">
        <w:rPr>
          <w:rStyle w:val="Rimandonotaapidipagina"/>
          <w:rFonts w:ascii="Century Schoolbook" w:eastAsia="Times New Roman" w:hAnsi="Century Schoolbook" w:cs="Times New Roman"/>
          <w:sz w:val="22"/>
          <w:szCs w:val="22"/>
          <w:lang w:eastAsia="it-IT"/>
        </w:rPr>
        <w:footnoteReference w:id="80"/>
      </w:r>
      <w:r w:rsidR="00944152" w:rsidRPr="003E01A4">
        <w:rPr>
          <w:rFonts w:ascii="Century Schoolbook" w:eastAsia="Times New Roman" w:hAnsi="Century Schoolbook" w:cs="Times New Roman"/>
          <w:sz w:val="22"/>
          <w:szCs w:val="22"/>
          <w:lang w:eastAsia="it-IT"/>
        </w:rPr>
        <w:t xml:space="preserve"> – da una parte un finto </w:t>
      </w:r>
      <w:r w:rsidR="00944152" w:rsidRPr="003E01A4">
        <w:rPr>
          <w:rFonts w:ascii="Century Schoolbook" w:eastAsia="Times New Roman" w:hAnsi="Century Schoolbook" w:cs="Times New Roman"/>
          <w:color w:val="191919"/>
          <w:sz w:val="22"/>
          <w:szCs w:val="22"/>
          <w:lang w:eastAsia="it-IT"/>
        </w:rPr>
        <w:t>«</w:t>
      </w:r>
      <w:r w:rsidR="00944152" w:rsidRPr="00023E95">
        <w:rPr>
          <w:rFonts w:ascii="Century Schoolbook" w:eastAsia="Times New Roman" w:hAnsi="Century Schoolbook" w:cs="Times New Roman"/>
          <w:color w:val="191919"/>
          <w:sz w:val="22"/>
          <w:szCs w:val="22"/>
          <w:lang w:eastAsia="it-IT"/>
        </w:rPr>
        <w:t>ambientalismo industriale della transizione ecologica</w:t>
      </w:r>
      <w:r w:rsidR="00944152" w:rsidRPr="003E01A4">
        <w:rPr>
          <w:rFonts w:ascii="Century Schoolbook" w:eastAsia="Times New Roman" w:hAnsi="Century Schoolbook" w:cs="Times New Roman"/>
          <w:color w:val="191919"/>
          <w:sz w:val="22"/>
          <w:szCs w:val="22"/>
          <w:lang w:eastAsia="it-IT"/>
        </w:rPr>
        <w:t>», il quale «</w:t>
      </w:r>
      <w:r w:rsidR="00944152" w:rsidRPr="00023E95">
        <w:rPr>
          <w:rFonts w:ascii="Century Schoolbook" w:eastAsia="Times New Roman" w:hAnsi="Century Schoolbook" w:cs="Times New Roman"/>
          <w:color w:val="191919"/>
          <w:sz w:val="22"/>
          <w:szCs w:val="22"/>
          <w:lang w:eastAsia="it-IT"/>
        </w:rPr>
        <w:t>sopraff</w:t>
      </w:r>
      <w:r w:rsidR="003E01A4">
        <w:rPr>
          <w:rFonts w:ascii="Century Schoolbook" w:eastAsia="Times New Roman" w:hAnsi="Century Schoolbook" w:cs="Times New Roman"/>
          <w:color w:val="191919"/>
          <w:sz w:val="22"/>
          <w:szCs w:val="22"/>
          <w:lang w:eastAsia="it-IT"/>
        </w:rPr>
        <w:t>à</w:t>
      </w:r>
      <w:r w:rsidR="00944152" w:rsidRPr="00023E95">
        <w:rPr>
          <w:rFonts w:ascii="Century Schoolbook" w:eastAsia="Times New Roman" w:hAnsi="Century Schoolbook" w:cs="Times New Roman"/>
          <w:color w:val="191919"/>
          <w:sz w:val="22"/>
          <w:szCs w:val="22"/>
          <w:lang w:eastAsia="it-IT"/>
        </w:rPr>
        <w:t xml:space="preserve"> e annulla la tutela paesaggistica, che ad essa obiettivamente si contrappone, poich</w:t>
      </w:r>
      <w:r w:rsidR="003E01A4">
        <w:rPr>
          <w:rFonts w:ascii="Century Schoolbook" w:eastAsia="Times New Roman" w:hAnsi="Century Schoolbook" w:cs="Times New Roman"/>
          <w:color w:val="191919"/>
          <w:sz w:val="22"/>
          <w:szCs w:val="22"/>
          <w:lang w:eastAsia="it-IT"/>
        </w:rPr>
        <w:t>é</w:t>
      </w:r>
      <w:r w:rsidR="00944152" w:rsidRPr="00023E95">
        <w:rPr>
          <w:rFonts w:ascii="Century Schoolbook" w:eastAsia="Times New Roman" w:hAnsi="Century Schoolbook" w:cs="Times New Roman"/>
          <w:color w:val="191919"/>
          <w:sz w:val="22"/>
          <w:szCs w:val="22"/>
          <w:lang w:eastAsia="it-IT"/>
        </w:rPr>
        <w:t xml:space="preserve"> i pannelli fotovoltaici nelle campagne, le pale eoliche, le dighe del micro-elettrico, gli impianti a biomasse, raramente vanno d’accordo con la tutela del paesaggio</w:t>
      </w:r>
      <w:r w:rsidR="003E01A4" w:rsidRPr="003E01A4">
        <w:rPr>
          <w:rFonts w:ascii="Century Schoolbook" w:eastAsia="Times New Roman" w:hAnsi="Century Schoolbook" w:cs="Times New Roman"/>
          <w:color w:val="191919"/>
          <w:sz w:val="22"/>
          <w:szCs w:val="22"/>
          <w:lang w:eastAsia="it-IT"/>
        </w:rPr>
        <w:t>; dall’altra parte, «</w:t>
      </w:r>
      <w:r w:rsidR="003E01A4" w:rsidRPr="001646E3">
        <w:rPr>
          <w:rFonts w:ascii="Century Schoolbook" w:eastAsia="Times New Roman" w:hAnsi="Century Schoolbook" w:cs="Times New Roman"/>
          <w:color w:val="191919"/>
          <w:sz w:val="22"/>
          <w:szCs w:val="22"/>
          <w:lang w:eastAsia="it-IT"/>
        </w:rPr>
        <w:t>chi ama e difende la qualit</w:t>
      </w:r>
      <w:r w:rsidR="003E01A4">
        <w:rPr>
          <w:rFonts w:ascii="Century Schoolbook" w:eastAsia="Times New Roman" w:hAnsi="Century Schoolbook" w:cs="Times New Roman"/>
          <w:color w:val="191919"/>
          <w:sz w:val="22"/>
          <w:szCs w:val="22"/>
          <w:lang w:eastAsia="it-IT"/>
        </w:rPr>
        <w:t>à</w:t>
      </w:r>
      <w:r w:rsidR="003E01A4" w:rsidRPr="001646E3">
        <w:rPr>
          <w:rFonts w:ascii="Century Schoolbook" w:eastAsia="Times New Roman" w:hAnsi="Century Schoolbook" w:cs="Times New Roman"/>
          <w:color w:val="191919"/>
          <w:sz w:val="22"/>
          <w:szCs w:val="22"/>
          <w:lang w:eastAsia="it-IT"/>
        </w:rPr>
        <w:t xml:space="preserve"> dei paesaggi agrari e montani italiani, insieme alle comunit</w:t>
      </w:r>
      <w:r w:rsidR="003E01A4">
        <w:rPr>
          <w:rFonts w:ascii="Century Schoolbook" w:eastAsia="Times New Roman" w:hAnsi="Century Schoolbook" w:cs="Times New Roman"/>
          <w:color w:val="191919"/>
          <w:sz w:val="22"/>
          <w:szCs w:val="22"/>
          <w:lang w:eastAsia="it-IT"/>
        </w:rPr>
        <w:t>à</w:t>
      </w:r>
      <w:r w:rsidR="003E01A4" w:rsidRPr="001646E3">
        <w:rPr>
          <w:rFonts w:ascii="Century Schoolbook" w:eastAsia="Times New Roman" w:hAnsi="Century Schoolbook" w:cs="Times New Roman"/>
          <w:color w:val="191919"/>
          <w:sz w:val="22"/>
          <w:szCs w:val="22"/>
          <w:lang w:eastAsia="it-IT"/>
        </w:rPr>
        <w:t xml:space="preserve"> di </w:t>
      </w:r>
      <w:r w:rsidR="003E01A4" w:rsidRPr="001646E3">
        <w:rPr>
          <w:rFonts w:ascii="Century Schoolbook" w:eastAsia="Times New Roman" w:hAnsi="Century Schoolbook" w:cs="Times New Roman"/>
          <w:i/>
          <w:iCs/>
          <w:color w:val="191919"/>
          <w:sz w:val="22"/>
          <w:szCs w:val="22"/>
          <w:lang w:eastAsia="it-IT"/>
        </w:rPr>
        <w:t xml:space="preserve">heritage </w:t>
      </w:r>
      <w:r w:rsidR="003E01A4" w:rsidRPr="001646E3">
        <w:rPr>
          <w:rFonts w:ascii="Century Schoolbook" w:eastAsia="Times New Roman" w:hAnsi="Century Schoolbook" w:cs="Times New Roman"/>
          <w:color w:val="191919"/>
          <w:sz w:val="22"/>
          <w:szCs w:val="22"/>
          <w:lang w:eastAsia="it-IT"/>
        </w:rPr>
        <w:t>territoriali, che faticosamente vorrebbero riscoprire e rivalutare le loro radici culturali, la loro identit</w:t>
      </w:r>
      <w:r w:rsidR="003E01A4">
        <w:rPr>
          <w:rFonts w:ascii="Century Schoolbook" w:eastAsia="Times New Roman" w:hAnsi="Century Schoolbook" w:cs="Times New Roman"/>
          <w:color w:val="191919"/>
          <w:sz w:val="22"/>
          <w:szCs w:val="22"/>
          <w:lang w:eastAsia="it-IT"/>
        </w:rPr>
        <w:t>à</w:t>
      </w:r>
      <w:r w:rsidR="003E01A4" w:rsidRPr="001646E3">
        <w:rPr>
          <w:rFonts w:ascii="Century Schoolbook" w:eastAsia="Times New Roman" w:hAnsi="Century Schoolbook" w:cs="Times New Roman"/>
          <w:color w:val="191919"/>
          <w:sz w:val="22"/>
          <w:szCs w:val="22"/>
          <w:lang w:eastAsia="it-IT"/>
        </w:rPr>
        <w:t>, legate alla terra, all’agricoltura, ai mestieri tradizionali, e che puntano a un tipo di sviluppo diverso, pi</w:t>
      </w:r>
      <w:r w:rsidR="003E01A4">
        <w:rPr>
          <w:rFonts w:ascii="Century Schoolbook" w:eastAsia="Times New Roman" w:hAnsi="Century Schoolbook" w:cs="Times New Roman"/>
          <w:color w:val="191919"/>
          <w:sz w:val="22"/>
          <w:szCs w:val="22"/>
          <w:lang w:eastAsia="it-IT"/>
        </w:rPr>
        <w:t>ù</w:t>
      </w:r>
      <w:r w:rsidR="003E01A4" w:rsidRPr="001646E3">
        <w:rPr>
          <w:rFonts w:ascii="Century Schoolbook" w:eastAsia="Times New Roman" w:hAnsi="Century Schoolbook" w:cs="Times New Roman"/>
          <w:color w:val="191919"/>
          <w:sz w:val="22"/>
          <w:szCs w:val="22"/>
          <w:lang w:eastAsia="it-IT"/>
        </w:rPr>
        <w:t xml:space="preserve"> equilibrato, basato sulla filiera eno-gastronomica di eccellenza, sull’agriturismo, sullo sviluppo di modi nuovi di abitare, sulla rivitalizzazione degli antichi borghi, e perci</w:t>
      </w:r>
      <w:r w:rsidR="003E01A4">
        <w:rPr>
          <w:rFonts w:ascii="Century Schoolbook" w:eastAsia="Times New Roman" w:hAnsi="Century Schoolbook" w:cs="Times New Roman"/>
          <w:color w:val="191919"/>
          <w:sz w:val="22"/>
          <w:szCs w:val="22"/>
          <w:lang w:eastAsia="it-IT"/>
        </w:rPr>
        <w:t>ò</w:t>
      </w:r>
      <w:r w:rsidR="003E01A4" w:rsidRPr="001646E3">
        <w:rPr>
          <w:rFonts w:ascii="Century Schoolbook" w:eastAsia="Times New Roman" w:hAnsi="Century Schoolbook" w:cs="Times New Roman"/>
          <w:color w:val="191919"/>
          <w:sz w:val="22"/>
          <w:szCs w:val="22"/>
          <w:lang w:eastAsia="it-IT"/>
        </w:rPr>
        <w:t xml:space="preserve"> difendono il contesto paesaggistico che esprime e rispecchia questa cultura tradizionale</w:t>
      </w:r>
      <w:r w:rsidR="003E01A4" w:rsidRPr="003E01A4">
        <w:rPr>
          <w:rFonts w:ascii="Century Schoolbook" w:eastAsia="Times New Roman" w:hAnsi="Century Schoolbook" w:cs="Times New Roman"/>
          <w:color w:val="191919"/>
          <w:sz w:val="22"/>
          <w:szCs w:val="22"/>
          <w:lang w:eastAsia="it-IT"/>
        </w:rPr>
        <w:t>».</w:t>
      </w:r>
    </w:p>
    <w:p w14:paraId="00C523AB" w14:textId="7C25AA42" w:rsidR="00940DDB" w:rsidRDefault="002C7B34" w:rsidP="00940DDB">
      <w:pPr>
        <w:spacing w:line="360" w:lineRule="auto"/>
        <w:ind w:firstLine="708"/>
        <w:contextualSpacing/>
        <w:jc w:val="both"/>
        <w:rPr>
          <w:rFonts w:ascii="Century Schoolbook" w:eastAsia="Times New Roman" w:hAnsi="Century Schoolbook" w:cs="Times New Roman"/>
          <w:color w:val="191919"/>
          <w:sz w:val="22"/>
          <w:szCs w:val="22"/>
          <w:lang w:eastAsia="it-IT"/>
        </w:rPr>
      </w:pPr>
      <w:r>
        <w:rPr>
          <w:rFonts w:ascii="Century Schoolbook" w:eastAsia="Times New Roman" w:hAnsi="Century Schoolbook" w:cs="Times New Roman"/>
          <w:color w:val="191919"/>
          <w:sz w:val="22"/>
          <w:szCs w:val="22"/>
          <w:lang w:eastAsia="it-IT"/>
        </w:rPr>
        <w:t xml:space="preserve">Il diritto arriva dopo, senza poter guidare o arbitrare la contesa. I giuristi possono forse fare una cosa: smascherare </w:t>
      </w:r>
      <w:r w:rsidR="00451F12">
        <w:rPr>
          <w:rFonts w:ascii="Century Schoolbook" w:eastAsia="Times New Roman" w:hAnsi="Century Schoolbook" w:cs="Times New Roman"/>
          <w:color w:val="191919"/>
          <w:sz w:val="22"/>
          <w:szCs w:val="22"/>
          <w:lang w:eastAsia="it-IT"/>
        </w:rPr>
        <w:t xml:space="preserve">i tentativi – sempre più numerosi, come abbiam visto – di gabellare per progresso </w:t>
      </w:r>
      <w:r w:rsidR="006E334B">
        <w:rPr>
          <w:rFonts w:ascii="Century Schoolbook" w:eastAsia="Times New Roman" w:hAnsi="Century Schoolbook" w:cs="Times New Roman"/>
          <w:color w:val="191919"/>
          <w:sz w:val="22"/>
          <w:szCs w:val="22"/>
          <w:lang w:eastAsia="it-IT"/>
        </w:rPr>
        <w:t xml:space="preserve">“sostenibile” </w:t>
      </w:r>
      <w:r w:rsidR="00451F12">
        <w:rPr>
          <w:rFonts w:ascii="Century Schoolbook" w:eastAsia="Times New Roman" w:hAnsi="Century Schoolbook" w:cs="Times New Roman"/>
          <w:color w:val="191919"/>
          <w:sz w:val="22"/>
          <w:szCs w:val="22"/>
          <w:lang w:eastAsia="it-IT"/>
        </w:rPr>
        <w:t>il sacco</w:t>
      </w:r>
      <w:r w:rsidR="00940DDB">
        <w:rPr>
          <w:rFonts w:ascii="Century Schoolbook" w:eastAsia="Times New Roman" w:hAnsi="Century Schoolbook" w:cs="Times New Roman"/>
          <w:color w:val="191919"/>
          <w:sz w:val="22"/>
          <w:szCs w:val="22"/>
          <w:lang w:eastAsia="it-IT"/>
        </w:rPr>
        <w:t xml:space="preserve"> del territorio che si va perpetuando (e perpetrando) per ragioni di profitto.</w:t>
      </w:r>
      <w:r w:rsidR="00451F12">
        <w:rPr>
          <w:rFonts w:ascii="Century Schoolbook" w:eastAsia="Times New Roman" w:hAnsi="Century Schoolbook" w:cs="Times New Roman"/>
          <w:color w:val="191919"/>
          <w:sz w:val="22"/>
          <w:szCs w:val="22"/>
          <w:lang w:eastAsia="it-IT"/>
        </w:rPr>
        <w:t xml:space="preserve"> </w:t>
      </w:r>
    </w:p>
    <w:p w14:paraId="2E345A45" w14:textId="2325EB6B" w:rsidR="00AB025C" w:rsidRPr="00940DDB" w:rsidRDefault="00761EE7" w:rsidP="00940DDB">
      <w:pPr>
        <w:spacing w:line="360" w:lineRule="auto"/>
        <w:ind w:firstLine="708"/>
        <w:contextualSpacing/>
        <w:jc w:val="both"/>
        <w:rPr>
          <w:rFonts w:ascii="Century Schoolbook" w:eastAsia="Times New Roman" w:hAnsi="Century Schoolbook" w:cs="Times New Roman"/>
          <w:color w:val="191919"/>
          <w:sz w:val="22"/>
          <w:szCs w:val="22"/>
          <w:lang w:eastAsia="it-IT"/>
        </w:rPr>
      </w:pPr>
      <w:r w:rsidRPr="003E01A4">
        <w:rPr>
          <w:rFonts w:ascii="Century Schoolbook" w:hAnsi="Century Schoolbook"/>
          <w:sz w:val="22"/>
          <w:szCs w:val="22"/>
        </w:rPr>
        <w:t xml:space="preserve">Da qualche parte, in Cina, han costruito la </w:t>
      </w:r>
      <w:r w:rsidRPr="003E01A4">
        <w:rPr>
          <w:rFonts w:ascii="Century Schoolbook" w:hAnsi="Century Schoolbook"/>
          <w:i/>
          <w:iCs/>
          <w:sz w:val="22"/>
          <w:szCs w:val="22"/>
        </w:rPr>
        <w:t>Taihang solar farm</w:t>
      </w:r>
      <w:r w:rsidRPr="003E01A4">
        <w:rPr>
          <w:rFonts w:ascii="Century Schoolbook" w:hAnsi="Century Schoolbook"/>
          <w:sz w:val="22"/>
          <w:szCs w:val="22"/>
        </w:rPr>
        <w:t xml:space="preserve">. </w:t>
      </w:r>
      <w:r w:rsidR="00754BD3" w:rsidRPr="003E01A4">
        <w:rPr>
          <w:rFonts w:ascii="Century Schoolbook" w:hAnsi="Century Schoolbook"/>
          <w:sz w:val="22"/>
          <w:szCs w:val="22"/>
        </w:rPr>
        <w:t xml:space="preserve">Si stima che 220mila tonnellate circa di anidride carbonica non saranno immesse in atmosfera. Molto bene. </w:t>
      </w:r>
      <w:r w:rsidR="009C6906" w:rsidRPr="003E01A4">
        <w:rPr>
          <w:rFonts w:ascii="Century Schoolbook" w:hAnsi="Century Schoolbook"/>
          <w:sz w:val="22"/>
          <w:szCs w:val="22"/>
        </w:rPr>
        <w:t xml:space="preserve"> </w:t>
      </w:r>
      <w:r w:rsidR="00754BD3" w:rsidRPr="003E01A4">
        <w:rPr>
          <w:rFonts w:ascii="Century Schoolbook" w:hAnsi="Century Schoolbook"/>
          <w:sz w:val="22"/>
          <w:szCs w:val="22"/>
        </w:rPr>
        <w:t xml:space="preserve">Ora però </w:t>
      </w:r>
      <w:r w:rsidR="009C6906" w:rsidRPr="003E01A4">
        <w:rPr>
          <w:rFonts w:ascii="Century Schoolbook" w:hAnsi="Century Schoolbook"/>
          <w:sz w:val="22"/>
          <w:szCs w:val="22"/>
        </w:rPr>
        <w:t>i</w:t>
      </w:r>
      <w:r w:rsidRPr="003E01A4">
        <w:rPr>
          <w:rFonts w:ascii="Century Schoolbook" w:hAnsi="Century Schoolbook"/>
          <w:sz w:val="22"/>
          <w:szCs w:val="22"/>
        </w:rPr>
        <w:t xml:space="preserve"> pannelli fotovoltaici</w:t>
      </w:r>
      <w:r w:rsidR="00754BD3" w:rsidRPr="003E01A4">
        <w:rPr>
          <w:rFonts w:ascii="Century Schoolbook" w:hAnsi="Century Schoolbook"/>
          <w:sz w:val="22"/>
          <w:szCs w:val="22"/>
        </w:rPr>
        <w:t>, a perdita d’occhio,</w:t>
      </w:r>
      <w:r w:rsidRPr="003E01A4">
        <w:rPr>
          <w:rFonts w:ascii="Century Schoolbook" w:hAnsi="Century Schoolbook"/>
          <w:sz w:val="22"/>
          <w:szCs w:val="22"/>
        </w:rPr>
        <w:t xml:space="preserve"> si adeguano all’andamento orografico d</w:t>
      </w:r>
      <w:r w:rsidR="00277516" w:rsidRPr="003E01A4">
        <w:rPr>
          <w:rFonts w:ascii="Century Schoolbook" w:hAnsi="Century Schoolbook"/>
          <w:sz w:val="22"/>
          <w:szCs w:val="22"/>
        </w:rPr>
        <w:t>i quei</w:t>
      </w:r>
      <w:r w:rsidRPr="003E01A4">
        <w:rPr>
          <w:rFonts w:ascii="Century Schoolbook" w:hAnsi="Century Schoolbook"/>
          <w:sz w:val="22"/>
          <w:szCs w:val="22"/>
        </w:rPr>
        <w:t xml:space="preserve"> luog</w:t>
      </w:r>
      <w:r w:rsidR="00277516" w:rsidRPr="003E01A4">
        <w:rPr>
          <w:rFonts w:ascii="Century Schoolbook" w:hAnsi="Century Schoolbook"/>
          <w:sz w:val="22"/>
          <w:szCs w:val="22"/>
        </w:rPr>
        <w:t>hi</w:t>
      </w:r>
      <w:r w:rsidRPr="003E01A4">
        <w:rPr>
          <w:rFonts w:ascii="Century Schoolbook" w:hAnsi="Century Schoolbook"/>
          <w:sz w:val="22"/>
          <w:szCs w:val="22"/>
        </w:rPr>
        <w:t xml:space="preserve">, </w:t>
      </w:r>
      <w:r w:rsidR="009C6906" w:rsidRPr="003E01A4">
        <w:rPr>
          <w:rFonts w:ascii="Century Schoolbook" w:hAnsi="Century Schoolbook"/>
          <w:sz w:val="22"/>
          <w:szCs w:val="22"/>
        </w:rPr>
        <w:t>e</w:t>
      </w:r>
      <w:r w:rsidRPr="003E01A4">
        <w:rPr>
          <w:rFonts w:ascii="Century Schoolbook" w:hAnsi="Century Schoolbook"/>
          <w:sz w:val="22"/>
          <w:szCs w:val="22"/>
        </w:rPr>
        <w:t xml:space="preserve"> </w:t>
      </w:r>
      <w:r w:rsidR="00754BD3" w:rsidRPr="003E01A4">
        <w:rPr>
          <w:rFonts w:ascii="Century Schoolbook" w:hAnsi="Century Schoolbook"/>
          <w:sz w:val="22"/>
          <w:szCs w:val="22"/>
        </w:rPr>
        <w:t xml:space="preserve">si </w:t>
      </w:r>
      <w:r w:rsidRPr="003E01A4">
        <w:rPr>
          <w:rFonts w:ascii="Century Schoolbook" w:hAnsi="Century Schoolbook"/>
          <w:sz w:val="22"/>
          <w:szCs w:val="22"/>
        </w:rPr>
        <w:t>sostituis</w:t>
      </w:r>
      <w:r w:rsidR="00754BD3" w:rsidRPr="003E01A4">
        <w:rPr>
          <w:rFonts w:ascii="Century Schoolbook" w:hAnsi="Century Schoolbook"/>
          <w:sz w:val="22"/>
          <w:szCs w:val="22"/>
        </w:rPr>
        <w:t>cono</w:t>
      </w:r>
      <w:r w:rsidRPr="003E01A4">
        <w:rPr>
          <w:rFonts w:ascii="Century Schoolbook" w:hAnsi="Century Schoolbook"/>
          <w:sz w:val="22"/>
          <w:szCs w:val="22"/>
        </w:rPr>
        <w:t xml:space="preserve"> </w:t>
      </w:r>
      <w:r w:rsidR="009C6906" w:rsidRPr="003E01A4">
        <w:rPr>
          <w:rFonts w:ascii="Century Schoolbook" w:hAnsi="Century Schoolbook"/>
          <w:sz w:val="22"/>
          <w:szCs w:val="22"/>
        </w:rPr>
        <w:t>esattamente – gelidi e fedeli – a</w:t>
      </w:r>
      <w:r w:rsidRPr="003E01A4">
        <w:rPr>
          <w:rFonts w:ascii="Century Schoolbook" w:hAnsi="Century Schoolbook"/>
          <w:sz w:val="22"/>
          <w:szCs w:val="22"/>
        </w:rPr>
        <w:t xml:space="preserve">ll’avvicendarsi naturale di clivi e </w:t>
      </w:r>
      <w:r w:rsidR="009C6906" w:rsidRPr="003E01A4">
        <w:rPr>
          <w:rFonts w:ascii="Century Schoolbook" w:hAnsi="Century Schoolbook"/>
          <w:sz w:val="22"/>
          <w:szCs w:val="22"/>
        </w:rPr>
        <w:t>pianure</w:t>
      </w:r>
      <w:r w:rsidRPr="003E01A4">
        <w:rPr>
          <w:rFonts w:ascii="Century Schoolbook" w:hAnsi="Century Schoolbook"/>
          <w:sz w:val="22"/>
          <w:szCs w:val="22"/>
        </w:rPr>
        <w:t>.</w:t>
      </w:r>
    </w:p>
    <w:p w14:paraId="7FA1E5CD" w14:textId="2B23A4F9" w:rsidR="009C6906" w:rsidRPr="003E01A4" w:rsidRDefault="009C6906"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Mi domando</w:t>
      </w:r>
      <w:r w:rsidR="00A90FCE" w:rsidRPr="003E01A4">
        <w:rPr>
          <w:rFonts w:ascii="Century Schoolbook" w:hAnsi="Century Schoolbook"/>
          <w:sz w:val="22"/>
          <w:szCs w:val="22"/>
        </w:rPr>
        <w:t>, allora,</w:t>
      </w:r>
      <w:r w:rsidRPr="003E01A4">
        <w:rPr>
          <w:rFonts w:ascii="Century Schoolbook" w:hAnsi="Century Schoolbook"/>
          <w:sz w:val="22"/>
          <w:szCs w:val="22"/>
        </w:rPr>
        <w:t xml:space="preserve"> se </w:t>
      </w:r>
      <w:r w:rsidR="00BD45B8" w:rsidRPr="003E01A4">
        <w:rPr>
          <w:rFonts w:ascii="Century Schoolbook" w:hAnsi="Century Schoolbook"/>
          <w:sz w:val="22"/>
          <w:szCs w:val="22"/>
        </w:rPr>
        <w:t>ci attende</w:t>
      </w:r>
      <w:r w:rsidRPr="003E01A4">
        <w:rPr>
          <w:rFonts w:ascii="Century Schoolbook" w:hAnsi="Century Schoolbook"/>
          <w:sz w:val="22"/>
          <w:szCs w:val="22"/>
        </w:rPr>
        <w:t xml:space="preserve"> un altro tempo. Fatto di una </w:t>
      </w:r>
      <w:r w:rsidR="00754BD3" w:rsidRPr="003E01A4">
        <w:rPr>
          <w:rFonts w:ascii="Century Schoolbook" w:hAnsi="Century Schoolbook"/>
          <w:sz w:val="22"/>
          <w:szCs w:val="22"/>
        </w:rPr>
        <w:t xml:space="preserve">nuova, immite </w:t>
      </w:r>
      <w:r w:rsidRPr="003E01A4">
        <w:rPr>
          <w:rFonts w:ascii="Century Schoolbook" w:hAnsi="Century Schoolbook"/>
          <w:sz w:val="22"/>
          <w:szCs w:val="22"/>
        </w:rPr>
        <w:t>normalità. E di una bellezza</w:t>
      </w:r>
      <w:r w:rsidR="00457CAC" w:rsidRPr="003E01A4">
        <w:rPr>
          <w:rFonts w:ascii="Century Schoolbook" w:hAnsi="Century Schoolbook"/>
          <w:sz w:val="22"/>
          <w:szCs w:val="22"/>
        </w:rPr>
        <w:t xml:space="preserve"> </w:t>
      </w:r>
      <w:r w:rsidR="00A90FCE" w:rsidRPr="003E01A4">
        <w:rPr>
          <w:rFonts w:ascii="Century Schoolbook" w:hAnsi="Century Schoolbook"/>
          <w:sz w:val="22"/>
          <w:szCs w:val="22"/>
        </w:rPr>
        <w:t>i</w:t>
      </w:r>
      <w:r w:rsidR="00277516" w:rsidRPr="003E01A4">
        <w:rPr>
          <w:rFonts w:ascii="Century Schoolbook" w:hAnsi="Century Schoolbook"/>
          <w:sz w:val="22"/>
          <w:szCs w:val="22"/>
        </w:rPr>
        <w:t>nnaturale</w:t>
      </w:r>
      <w:r w:rsidRPr="003E01A4">
        <w:rPr>
          <w:rFonts w:ascii="Century Schoolbook" w:hAnsi="Century Schoolbook"/>
          <w:sz w:val="22"/>
          <w:szCs w:val="22"/>
        </w:rPr>
        <w:t>.</w:t>
      </w:r>
    </w:p>
    <w:p w14:paraId="73CCB2B6" w14:textId="49F723AD" w:rsidR="00D41A8B" w:rsidRPr="003E01A4" w:rsidRDefault="009C6906" w:rsidP="002B4988">
      <w:pPr>
        <w:pStyle w:val="Testonotaapidipagina"/>
        <w:spacing w:line="360" w:lineRule="auto"/>
        <w:ind w:firstLine="708"/>
        <w:contextualSpacing/>
        <w:jc w:val="both"/>
        <w:rPr>
          <w:rFonts w:ascii="Century Schoolbook" w:hAnsi="Century Schoolbook"/>
          <w:sz w:val="22"/>
          <w:szCs w:val="22"/>
        </w:rPr>
      </w:pPr>
      <w:r w:rsidRPr="003E01A4">
        <w:rPr>
          <w:rFonts w:ascii="Century Schoolbook" w:hAnsi="Century Schoolbook"/>
          <w:sz w:val="22"/>
          <w:szCs w:val="22"/>
        </w:rPr>
        <w:t>Ma</w:t>
      </w:r>
      <w:r w:rsidR="00457CAC" w:rsidRPr="003E01A4">
        <w:rPr>
          <w:rFonts w:ascii="Century Schoolbook" w:hAnsi="Century Schoolbook"/>
          <w:sz w:val="22"/>
          <w:szCs w:val="22"/>
        </w:rPr>
        <w:t xml:space="preserve"> </w:t>
      </w:r>
      <w:r w:rsidRPr="003E01A4">
        <w:rPr>
          <w:rFonts w:ascii="Century Schoolbook" w:hAnsi="Century Schoolbook"/>
          <w:sz w:val="22"/>
          <w:szCs w:val="22"/>
        </w:rPr>
        <w:t>e</w:t>
      </w:r>
      <w:r w:rsidR="00813812" w:rsidRPr="003E01A4">
        <w:rPr>
          <w:rFonts w:ascii="Century Schoolbook" w:hAnsi="Century Schoolbook"/>
          <w:sz w:val="22"/>
          <w:szCs w:val="22"/>
        </w:rPr>
        <w:t>sagero nei timori</w:t>
      </w:r>
      <w:r w:rsidR="00754BD3" w:rsidRPr="003E01A4">
        <w:rPr>
          <w:rFonts w:ascii="Century Schoolbook" w:hAnsi="Century Schoolbook"/>
          <w:sz w:val="22"/>
          <w:szCs w:val="22"/>
        </w:rPr>
        <w:t>,</w:t>
      </w:r>
      <w:r w:rsidR="00813812" w:rsidRPr="003E01A4">
        <w:rPr>
          <w:rFonts w:ascii="Century Schoolbook" w:hAnsi="Century Schoolbook"/>
          <w:sz w:val="22"/>
          <w:szCs w:val="22"/>
        </w:rPr>
        <w:t xml:space="preserve"> </w:t>
      </w:r>
      <w:r w:rsidR="00754BD3" w:rsidRPr="003E01A4">
        <w:rPr>
          <w:rFonts w:ascii="Century Schoolbook" w:hAnsi="Century Schoolbook"/>
          <w:sz w:val="22"/>
          <w:szCs w:val="22"/>
        </w:rPr>
        <w:t>f</w:t>
      </w:r>
      <w:r w:rsidR="00813812" w:rsidRPr="003E01A4">
        <w:rPr>
          <w:rFonts w:ascii="Century Schoolbook" w:hAnsi="Century Schoolbook"/>
          <w:sz w:val="22"/>
          <w:szCs w:val="22"/>
        </w:rPr>
        <w:t>orse.</w:t>
      </w:r>
    </w:p>
    <w:p w14:paraId="2920893A" w14:textId="603D46B1" w:rsidR="009F0CFD" w:rsidRPr="00036FE6" w:rsidRDefault="009F0CFD" w:rsidP="002B4988">
      <w:pPr>
        <w:pStyle w:val="Testonotaapidipagina"/>
        <w:spacing w:line="360" w:lineRule="auto"/>
        <w:ind w:firstLine="708"/>
        <w:contextualSpacing/>
        <w:jc w:val="both"/>
        <w:rPr>
          <w:rFonts w:ascii="Century Schoolbook" w:hAnsi="Century Schoolbook"/>
          <w:sz w:val="28"/>
          <w:szCs w:val="28"/>
        </w:rPr>
      </w:pPr>
    </w:p>
    <w:p w14:paraId="012E1CAC" w14:textId="77777777" w:rsidR="00036FE6" w:rsidRPr="00036FE6" w:rsidRDefault="00036FE6" w:rsidP="00036FE6">
      <w:pPr>
        <w:spacing w:line="20" w:lineRule="atLeast"/>
        <w:jc w:val="right"/>
        <w:rPr>
          <w:rFonts w:ascii="Century Schoolbook" w:eastAsia="Times New Roman" w:hAnsi="Century Schoolbook" w:cs="Times New Roman"/>
          <w:b/>
          <w:bCs/>
          <w:sz w:val="28"/>
          <w:szCs w:val="28"/>
          <w:lang w:eastAsia="it-IT"/>
        </w:rPr>
      </w:pPr>
      <w:r w:rsidRPr="00036FE6">
        <w:rPr>
          <w:rFonts w:ascii="Century Schoolbook" w:eastAsia="Times New Roman" w:hAnsi="Century Schoolbook" w:cs="Times New Roman"/>
          <w:b/>
          <w:bCs/>
          <w:sz w:val="28"/>
          <w:szCs w:val="28"/>
          <w:lang w:eastAsia="it-IT"/>
        </w:rPr>
        <w:t>Pier Luigi Portaluri</w:t>
      </w:r>
    </w:p>
    <w:p w14:paraId="610EA8CE" w14:textId="77777777" w:rsidR="00036FE6" w:rsidRPr="00DD1F82" w:rsidRDefault="00036FE6" w:rsidP="00036FE6">
      <w:pPr>
        <w:spacing w:line="20" w:lineRule="atLeast"/>
        <w:jc w:val="right"/>
        <w:rPr>
          <w:rFonts w:ascii="Century Schoolbook" w:eastAsia="Times New Roman" w:hAnsi="Century Schoolbook" w:cs="Times New Roman"/>
          <w:i/>
          <w:iCs/>
          <w:sz w:val="18"/>
          <w:szCs w:val="18"/>
          <w:lang w:eastAsia="it-IT"/>
        </w:rPr>
      </w:pPr>
      <w:r w:rsidRPr="00DD1F82">
        <w:rPr>
          <w:rFonts w:ascii="Century Schoolbook" w:eastAsia="Times New Roman" w:hAnsi="Century Schoolbook" w:cs="Times New Roman"/>
          <w:i/>
          <w:iCs/>
          <w:sz w:val="18"/>
          <w:szCs w:val="18"/>
          <w:lang w:eastAsia="it-IT"/>
        </w:rPr>
        <w:t>Ordinario di Diritto amministrativo</w:t>
      </w:r>
    </w:p>
    <w:p w14:paraId="0A6EDB21" w14:textId="77777777" w:rsidR="00036FE6" w:rsidRPr="00DD1F82" w:rsidRDefault="00036FE6" w:rsidP="00036FE6">
      <w:pPr>
        <w:spacing w:line="20" w:lineRule="atLeast"/>
        <w:jc w:val="right"/>
        <w:rPr>
          <w:rFonts w:ascii="Century Schoolbook" w:eastAsia="Times New Roman" w:hAnsi="Century Schoolbook" w:cs="Times New Roman"/>
          <w:i/>
          <w:iCs/>
          <w:sz w:val="18"/>
          <w:szCs w:val="18"/>
          <w:lang w:eastAsia="it-IT"/>
        </w:rPr>
      </w:pPr>
      <w:r w:rsidRPr="00DD1F82">
        <w:rPr>
          <w:rFonts w:ascii="Century Schoolbook" w:eastAsia="Times New Roman" w:hAnsi="Century Schoolbook" w:cs="Times New Roman"/>
          <w:i/>
          <w:iCs/>
          <w:sz w:val="18"/>
          <w:szCs w:val="18"/>
          <w:lang w:eastAsia="it-IT"/>
        </w:rPr>
        <w:t>nel Dipartimento di Scienze giuridiche</w:t>
      </w:r>
    </w:p>
    <w:p w14:paraId="59D93C55" w14:textId="77777777" w:rsidR="00036FE6" w:rsidRPr="00DD1F82" w:rsidRDefault="00036FE6" w:rsidP="00036FE6">
      <w:pPr>
        <w:spacing w:line="20" w:lineRule="atLeast"/>
        <w:jc w:val="right"/>
        <w:rPr>
          <w:rFonts w:ascii="Century Schoolbook" w:eastAsia="Times New Roman" w:hAnsi="Century Schoolbook" w:cs="Times New Roman"/>
          <w:i/>
          <w:iCs/>
          <w:sz w:val="18"/>
          <w:szCs w:val="18"/>
          <w:lang w:eastAsia="it-IT"/>
        </w:rPr>
      </w:pPr>
      <w:r w:rsidRPr="00DD1F82">
        <w:rPr>
          <w:rFonts w:ascii="Century Schoolbook" w:eastAsia="Times New Roman" w:hAnsi="Century Schoolbook" w:cs="Times New Roman"/>
          <w:i/>
          <w:iCs/>
          <w:sz w:val="18"/>
          <w:szCs w:val="18"/>
          <w:lang w:eastAsia="it-IT"/>
        </w:rPr>
        <w:t xml:space="preserve">dell’Università del Salento </w:t>
      </w:r>
    </w:p>
    <w:p w14:paraId="7DEC5D52" w14:textId="77777777" w:rsidR="00036FE6" w:rsidRDefault="00036FE6" w:rsidP="00036FE6">
      <w:pPr>
        <w:spacing w:before="100" w:beforeAutospacing="1" w:after="100" w:afterAutospacing="1"/>
        <w:jc w:val="both"/>
        <w:rPr>
          <w:rFonts w:ascii="Century Schoolbook" w:eastAsia="Times New Roman" w:hAnsi="Century Schoolbook" w:cs="Times New Roman"/>
          <w:b/>
          <w:bCs/>
          <w:sz w:val="18"/>
          <w:szCs w:val="18"/>
          <w:lang w:eastAsia="it-IT"/>
        </w:rPr>
      </w:pPr>
    </w:p>
    <w:p w14:paraId="29CDDF3A" w14:textId="23CE364F" w:rsidR="009F0CFD" w:rsidRDefault="009F0CFD" w:rsidP="002B4988">
      <w:pPr>
        <w:pStyle w:val="Testonotaapidipagina"/>
        <w:spacing w:line="360" w:lineRule="auto"/>
        <w:ind w:firstLine="708"/>
        <w:contextualSpacing/>
        <w:jc w:val="both"/>
        <w:rPr>
          <w:rFonts w:ascii="Century Schoolbook" w:hAnsi="Century Schoolbook"/>
          <w:sz w:val="22"/>
          <w:szCs w:val="22"/>
        </w:rPr>
      </w:pPr>
    </w:p>
    <w:p w14:paraId="39064A0B" w14:textId="4E83C821" w:rsidR="00036FE6" w:rsidRDefault="00036FE6" w:rsidP="002B4988">
      <w:pPr>
        <w:pStyle w:val="Testonotaapidipagina"/>
        <w:spacing w:line="360" w:lineRule="auto"/>
        <w:ind w:firstLine="708"/>
        <w:contextualSpacing/>
        <w:jc w:val="both"/>
        <w:rPr>
          <w:rFonts w:ascii="Century Schoolbook" w:hAnsi="Century Schoolbook"/>
          <w:sz w:val="22"/>
          <w:szCs w:val="22"/>
        </w:rPr>
      </w:pPr>
    </w:p>
    <w:p w14:paraId="30A17939" w14:textId="760A8396" w:rsidR="00036FE6" w:rsidRPr="003E01A4" w:rsidRDefault="00036FE6" w:rsidP="00036FE6">
      <w:pPr>
        <w:pStyle w:val="Testonotaapidipagina"/>
        <w:spacing w:line="360" w:lineRule="auto"/>
        <w:ind w:firstLine="708"/>
        <w:contextualSpacing/>
        <w:jc w:val="right"/>
        <w:rPr>
          <w:rFonts w:ascii="Century Schoolbook" w:hAnsi="Century Schoolbook"/>
          <w:sz w:val="22"/>
          <w:szCs w:val="22"/>
        </w:rPr>
      </w:pPr>
      <w:r>
        <w:rPr>
          <w:rFonts w:ascii="Century Schoolbook" w:hAnsi="Century Schoolbook"/>
          <w:sz w:val="22"/>
          <w:szCs w:val="22"/>
        </w:rPr>
        <w:t>pubblicato il 10 gennaio 2022</w:t>
      </w:r>
    </w:p>
    <w:sectPr w:rsidR="00036FE6" w:rsidRPr="003E01A4" w:rsidSect="006D7646">
      <w:footerReference w:type="even" r:id="rId7"/>
      <w:footerReference w:type="default" r:id="rId8"/>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D9990" w14:textId="77777777" w:rsidR="009E0B6A" w:rsidRDefault="009E0B6A" w:rsidP="006D7646">
      <w:r>
        <w:separator/>
      </w:r>
    </w:p>
  </w:endnote>
  <w:endnote w:type="continuationSeparator" w:id="0">
    <w:p w14:paraId="27ED13C8" w14:textId="77777777" w:rsidR="009E0B6A" w:rsidRDefault="009E0B6A" w:rsidP="006D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6974180"/>
      <w:docPartObj>
        <w:docPartGallery w:val="Page Numbers (Bottom of Page)"/>
        <w:docPartUnique/>
      </w:docPartObj>
    </w:sdtPr>
    <w:sdtEndPr>
      <w:rPr>
        <w:rStyle w:val="Numeropagina"/>
      </w:rPr>
    </w:sdtEndPr>
    <w:sdtContent>
      <w:p w14:paraId="5F951E6E" w14:textId="77777777" w:rsidR="006D7646" w:rsidRDefault="006D7646" w:rsidP="00AF025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6BD3FC5" w14:textId="77777777" w:rsidR="006D7646" w:rsidRDefault="006D76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990095029"/>
      <w:docPartObj>
        <w:docPartGallery w:val="Page Numbers (Bottom of Page)"/>
        <w:docPartUnique/>
      </w:docPartObj>
    </w:sdtPr>
    <w:sdtEndPr>
      <w:rPr>
        <w:rStyle w:val="Numeropagina"/>
      </w:rPr>
    </w:sdtEndPr>
    <w:sdtContent>
      <w:p w14:paraId="3915C61D" w14:textId="18982DD8" w:rsidR="006D7646" w:rsidRDefault="006D7646" w:rsidP="00AF025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36FE6">
          <w:rPr>
            <w:rStyle w:val="Numeropagina"/>
            <w:noProof/>
          </w:rPr>
          <w:t>3</w:t>
        </w:r>
        <w:r>
          <w:rPr>
            <w:rStyle w:val="Numeropagina"/>
          </w:rPr>
          <w:fldChar w:fldCharType="end"/>
        </w:r>
      </w:p>
    </w:sdtContent>
  </w:sdt>
  <w:p w14:paraId="135E0939" w14:textId="77777777" w:rsidR="006D7646" w:rsidRDefault="006D76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F1BA8" w14:textId="77777777" w:rsidR="009E0B6A" w:rsidRDefault="009E0B6A" w:rsidP="006D7646">
      <w:r>
        <w:separator/>
      </w:r>
    </w:p>
  </w:footnote>
  <w:footnote w:type="continuationSeparator" w:id="0">
    <w:p w14:paraId="2E56B56D" w14:textId="77777777" w:rsidR="009E0B6A" w:rsidRDefault="009E0B6A" w:rsidP="006D7646">
      <w:r>
        <w:continuationSeparator/>
      </w:r>
    </w:p>
  </w:footnote>
  <w:footnote w:id="1">
    <w:p w14:paraId="00652356" w14:textId="65619F19" w:rsidR="00671965" w:rsidRPr="00940DDB" w:rsidRDefault="00671965"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Tar Lecce, 18 luglio 2002, n. 3479, purtroppo inedita</w:t>
      </w:r>
      <w:r w:rsidR="00B9749A" w:rsidRPr="00940DDB">
        <w:rPr>
          <w:rFonts w:ascii="Century Schoolbook" w:hAnsi="Century Schoolbook"/>
          <w:color w:val="000000" w:themeColor="text1"/>
          <w:sz w:val="16"/>
          <w:szCs w:val="16"/>
        </w:rPr>
        <w:t>.</w:t>
      </w:r>
    </w:p>
  </w:footnote>
  <w:footnote w:id="2">
    <w:p w14:paraId="4738AFF8" w14:textId="6D21673C" w:rsidR="00671965" w:rsidRPr="00940DDB" w:rsidRDefault="00671965"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In </w:t>
      </w:r>
      <w:r w:rsidRPr="00940DDB">
        <w:rPr>
          <w:rFonts w:ascii="Century Schoolbook" w:hAnsi="Century Schoolbook"/>
          <w:i/>
          <w:iCs/>
          <w:color w:val="000000" w:themeColor="text1"/>
          <w:sz w:val="16"/>
          <w:szCs w:val="16"/>
        </w:rPr>
        <w:t>Ed. terr.</w:t>
      </w:r>
      <w:r w:rsidRPr="00940DDB">
        <w:rPr>
          <w:rFonts w:ascii="Century Schoolbook" w:hAnsi="Century Schoolbook"/>
          <w:color w:val="000000" w:themeColor="text1"/>
          <w:sz w:val="16"/>
          <w:szCs w:val="16"/>
        </w:rPr>
        <w:t>, 1999, n. 23, p. 9 ss., spec. p. 11</w:t>
      </w:r>
      <w:r w:rsidR="00B9749A" w:rsidRPr="00940DDB">
        <w:rPr>
          <w:rFonts w:ascii="Century Schoolbook" w:hAnsi="Century Schoolbook"/>
          <w:color w:val="000000" w:themeColor="text1"/>
          <w:sz w:val="16"/>
          <w:szCs w:val="16"/>
        </w:rPr>
        <w:t>.</w:t>
      </w:r>
    </w:p>
  </w:footnote>
  <w:footnote w:id="3">
    <w:p w14:paraId="63C41068" w14:textId="110E7BC6" w:rsidR="00671965" w:rsidRPr="00940DDB" w:rsidRDefault="00671965"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M. Mordenti – P. Monea, </w:t>
      </w:r>
      <w:r w:rsidRPr="00940DDB">
        <w:rPr>
          <w:rFonts w:ascii="Century Schoolbook" w:hAnsi="Century Schoolbook"/>
          <w:i/>
          <w:iCs/>
          <w:color w:val="000000" w:themeColor="text1"/>
          <w:sz w:val="16"/>
          <w:szCs w:val="16"/>
        </w:rPr>
        <w:t>Ora l’impresa risparmia sui tempi e il Comune riorganizza gli uffici</w:t>
      </w:r>
      <w:r w:rsidRPr="00940DDB">
        <w:rPr>
          <w:rFonts w:ascii="Century Schoolbook" w:hAnsi="Century Schoolbook"/>
          <w:color w:val="000000" w:themeColor="text1"/>
          <w:sz w:val="16"/>
          <w:szCs w:val="16"/>
        </w:rPr>
        <w:t xml:space="preserve">, in </w:t>
      </w:r>
      <w:r w:rsidRPr="00940DDB">
        <w:rPr>
          <w:rFonts w:ascii="Century Schoolbook" w:hAnsi="Century Schoolbook"/>
          <w:i/>
          <w:iCs/>
          <w:color w:val="000000" w:themeColor="text1"/>
          <w:sz w:val="16"/>
          <w:szCs w:val="16"/>
        </w:rPr>
        <w:t>Guida agli Enti locali</w:t>
      </w:r>
      <w:r w:rsidRPr="00940DDB">
        <w:rPr>
          <w:rFonts w:ascii="Century Schoolbook" w:hAnsi="Century Schoolbook"/>
          <w:color w:val="000000" w:themeColor="text1"/>
          <w:sz w:val="16"/>
          <w:szCs w:val="16"/>
        </w:rPr>
        <w:t>, 1999, n. 3, p. 37 ss., spec. p.40</w:t>
      </w:r>
    </w:p>
  </w:footnote>
  <w:footnote w:id="4">
    <w:p w14:paraId="78E89016" w14:textId="2801A569" w:rsidR="005D29F2" w:rsidRPr="00940DDB" w:rsidRDefault="005D29F2" w:rsidP="003A5A9D">
      <w:pPr>
        <w:pStyle w:val="Testonotaapidipagina"/>
        <w:ind w:firstLine="708"/>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Ho aggiunto i corsivi.</w:t>
      </w:r>
    </w:p>
  </w:footnote>
  <w:footnote w:id="5">
    <w:p w14:paraId="0158B161" w14:textId="548163F4" w:rsidR="00851462" w:rsidRPr="00940DDB" w:rsidRDefault="00851462"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Le «Linee guida per l’autorizzazione degli impianti alimentati da fonti rinnovabili», approvate dal Ministro dello sviluppo economico co</w:t>
      </w:r>
      <w:r w:rsidR="00027D33" w:rsidRPr="00940DDB">
        <w:rPr>
          <w:rFonts w:ascii="Century Schoolbook" w:hAnsi="Century Schoolbook"/>
          <w:sz w:val="16"/>
          <w:szCs w:val="16"/>
        </w:rPr>
        <w:t>l</w:t>
      </w:r>
      <w:r w:rsidRPr="00940DDB">
        <w:rPr>
          <w:rFonts w:ascii="Century Schoolbook" w:hAnsi="Century Schoolbook"/>
          <w:sz w:val="16"/>
          <w:szCs w:val="16"/>
        </w:rPr>
        <w:t xml:space="preserve"> decreto 10 settembre 2010, </w:t>
      </w:r>
      <w:r w:rsidR="00AB6887" w:rsidRPr="00940DDB">
        <w:rPr>
          <w:rFonts w:ascii="Century Schoolbook" w:hAnsi="Century Schoolbook"/>
          <w:sz w:val="16"/>
          <w:szCs w:val="16"/>
        </w:rPr>
        <w:t>precisano</w:t>
      </w:r>
      <w:r w:rsidRPr="00940DDB">
        <w:rPr>
          <w:rFonts w:ascii="Century Schoolbook" w:hAnsi="Century Schoolbook"/>
          <w:sz w:val="16"/>
          <w:szCs w:val="16"/>
        </w:rPr>
        <w:t xml:space="preserve"> che</w:t>
      </w:r>
      <w:r w:rsidR="00AB6887" w:rsidRPr="00940DDB">
        <w:rPr>
          <w:rFonts w:ascii="Century Schoolbook" w:hAnsi="Century Schoolbook"/>
          <w:sz w:val="16"/>
          <w:szCs w:val="16"/>
        </w:rPr>
        <w:t xml:space="preserve"> «ove occorra, l’autorizzazione unica costituisce </w:t>
      </w:r>
      <w:r w:rsidR="00AB6887" w:rsidRPr="00940DDB">
        <w:rPr>
          <w:rFonts w:ascii="Century Schoolbook" w:hAnsi="Century Schoolbook"/>
          <w:i/>
          <w:iCs/>
          <w:sz w:val="16"/>
          <w:szCs w:val="16"/>
        </w:rPr>
        <w:t>di per se</w:t>
      </w:r>
      <w:r w:rsidR="00AB6887" w:rsidRPr="00940DDB">
        <w:rPr>
          <w:rFonts w:ascii="Century Schoolbook" w:hAnsi="Century Schoolbook"/>
          <w:sz w:val="16"/>
          <w:szCs w:val="16"/>
        </w:rPr>
        <w:t xml:space="preserve"> variante allo strumento urbanistico» (ho aggiunto il corsivo): </w:t>
      </w:r>
      <w:r w:rsidR="00B1076F" w:rsidRPr="00940DDB">
        <w:rPr>
          <w:rFonts w:ascii="Century Schoolbook" w:hAnsi="Century Schoolbook"/>
          <w:sz w:val="16"/>
          <w:szCs w:val="16"/>
        </w:rPr>
        <w:t xml:space="preserve">nessuna coda procedimentale è </w:t>
      </w:r>
      <w:r w:rsidR="00027D33" w:rsidRPr="00940DDB">
        <w:rPr>
          <w:rFonts w:ascii="Century Schoolbook" w:hAnsi="Century Schoolbook"/>
          <w:sz w:val="16"/>
          <w:szCs w:val="16"/>
        </w:rPr>
        <w:t>dunque necessaria</w:t>
      </w:r>
      <w:r w:rsidR="00B1076F" w:rsidRPr="00940DDB">
        <w:rPr>
          <w:rFonts w:ascii="Century Schoolbook" w:hAnsi="Century Schoolbook"/>
          <w:sz w:val="16"/>
          <w:szCs w:val="16"/>
        </w:rPr>
        <w:t xml:space="preserve"> </w:t>
      </w:r>
      <w:r w:rsidR="00027D33" w:rsidRPr="00940DDB">
        <w:rPr>
          <w:rFonts w:ascii="Century Schoolbook" w:hAnsi="Century Schoolbook"/>
          <w:sz w:val="16"/>
          <w:szCs w:val="16"/>
        </w:rPr>
        <w:t xml:space="preserve">al fine di </w:t>
      </w:r>
      <w:r w:rsidR="00B1076F" w:rsidRPr="00940DDB">
        <w:rPr>
          <w:rFonts w:ascii="Century Schoolbook" w:hAnsi="Century Schoolbook"/>
          <w:sz w:val="16"/>
          <w:szCs w:val="16"/>
        </w:rPr>
        <w:t>produrre quell’effetto giuridico</w:t>
      </w:r>
      <w:r w:rsidR="00AB6887" w:rsidRPr="00940DDB">
        <w:rPr>
          <w:rFonts w:ascii="Century Schoolbook" w:hAnsi="Century Schoolbook"/>
          <w:sz w:val="16"/>
          <w:szCs w:val="16"/>
        </w:rPr>
        <w:t>.</w:t>
      </w:r>
    </w:p>
    <w:p w14:paraId="708C3097" w14:textId="66DAE7A7" w:rsidR="00605372" w:rsidRPr="00940DDB" w:rsidRDefault="00605372" w:rsidP="004B25C8">
      <w:pPr>
        <w:pStyle w:val="Testonotaapidipagina"/>
        <w:ind w:firstLine="708"/>
        <w:contextualSpacing/>
        <w:jc w:val="both"/>
        <w:rPr>
          <w:rFonts w:ascii="Century Schoolbook" w:hAnsi="Century Schoolbook"/>
          <w:sz w:val="16"/>
          <w:szCs w:val="16"/>
        </w:rPr>
      </w:pPr>
      <w:r w:rsidRPr="00940DDB">
        <w:rPr>
          <w:rFonts w:ascii="Century Schoolbook" w:hAnsi="Century Schoolbook"/>
          <w:sz w:val="16"/>
          <w:szCs w:val="16"/>
        </w:rPr>
        <w:t>Cfr. Tar Abruzzo, 14 giugno 2021, n. 328: «l’autorizzazione alla realizzazione di un impianto di energia elettrica alimentato da fonti rinnovabili in una zona in cui per i divieti contenuti negli strumenti urbanistici tale opera non sarebbe realizzabile determina la variazione della destinazione urbanistica della zona e rende conforme alle disposizioni urbanistiche la localizzazione dell’impianto (Cons. Stato, V, 15 gennaio 2020, n. 377; V, 13 marzo 2014, n. 1180, anche in presenza di parere negativo del Comune), senza la necessità di alcun ulteriore provvedimento di assenso all’attività privata. Tale effetto legale non comporta deroga al riparto di competenze e, segnatamente, alle competenze dei Comuni nel governo del territorio necessariamente coinvolti, invece, nella conferenza di servizi e tenuti in detta sede ad esercitare le prerogative di tutela dell'ordinato assetto urbanistico (e, in generale, degli interessi della comunità di riferimento), senza, però, che ne possa per ciò solo venire paralizzata l’azione amministrativa, nel caso, come quello qui esaminato, in cui il Comune opponga ragioni di impedimento superabili dall</w:t>
      </w:r>
      <w:r w:rsidR="00B262CB" w:rsidRPr="00940DDB">
        <w:rPr>
          <w:rFonts w:ascii="Century Schoolbook" w:hAnsi="Century Schoolbook"/>
          <w:sz w:val="16"/>
          <w:szCs w:val="16"/>
        </w:rPr>
        <w:t>’</w:t>
      </w:r>
      <w:r w:rsidRPr="00940DDB">
        <w:rPr>
          <w:rFonts w:ascii="Century Schoolbook" w:hAnsi="Century Schoolbook"/>
          <w:sz w:val="16"/>
          <w:szCs w:val="16"/>
        </w:rPr>
        <w:t>Autorità procedente (Consiglio di Stato sez. V, 29/04/2020, n.</w:t>
      </w:r>
      <w:r w:rsidR="002E7BD0" w:rsidRPr="00940DDB">
        <w:rPr>
          <w:rFonts w:ascii="Century Schoolbook" w:hAnsi="Century Schoolbook"/>
          <w:sz w:val="16"/>
          <w:szCs w:val="16"/>
        </w:rPr>
        <w:t xml:space="preserve"> </w:t>
      </w:r>
      <w:r w:rsidRPr="00940DDB">
        <w:rPr>
          <w:rFonts w:ascii="Century Schoolbook" w:hAnsi="Century Schoolbook"/>
          <w:sz w:val="16"/>
          <w:szCs w:val="16"/>
        </w:rPr>
        <w:t>2724). […] il parere negativo, eventualmente espresso dal Comune, [ha] rilevanza solo se motivato su presupposti diversi da quelli che giustificano le scelte generali di governo del territorio».</w:t>
      </w:r>
    </w:p>
  </w:footnote>
  <w:footnote w:id="6">
    <w:p w14:paraId="72DAE848" w14:textId="16CF6388" w:rsidR="00F70556" w:rsidRPr="00940DDB" w:rsidRDefault="00F70556" w:rsidP="00415291">
      <w:pPr>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4B25C8" w:rsidRPr="00940DDB">
        <w:rPr>
          <w:rFonts w:ascii="Century Schoolbook" w:hAnsi="Century Schoolbook"/>
          <w:sz w:val="16"/>
          <w:szCs w:val="16"/>
        </w:rPr>
        <w:t>Cfr. Tar Pescara, 14 giugno 2021, n. 328: «</w:t>
      </w:r>
      <w:r w:rsidRPr="00940DDB">
        <w:rPr>
          <w:rFonts w:ascii="Century Schoolbook" w:hAnsi="Century Schoolbook"/>
          <w:sz w:val="16"/>
          <w:szCs w:val="16"/>
        </w:rPr>
        <w:t>Occorre in proposito dar conto dell’orientamento, ormai costante, della giurisprudenza secondo il quale l</w:t>
      </w:r>
      <w:r w:rsidR="004B25C8" w:rsidRPr="00940DDB">
        <w:rPr>
          <w:rFonts w:ascii="Century Schoolbook" w:hAnsi="Century Schoolbook"/>
          <w:sz w:val="16"/>
          <w:szCs w:val="16"/>
        </w:rPr>
        <w:t>’</w:t>
      </w:r>
      <w:r w:rsidRPr="00940DDB">
        <w:rPr>
          <w:rFonts w:ascii="Century Schoolbook" w:hAnsi="Century Schoolbook"/>
          <w:sz w:val="16"/>
          <w:szCs w:val="16"/>
        </w:rPr>
        <w:t>autorizzazione alla realizzazione di un impianto di energia elettrica alimentato da fonti rinnovabili in una zona in cui per i divieti contenuti negli strumenti urbanistici tale opera non sarebbe realizzabile determina la variazione della destinazione urbanistica della zona e rende conforme alle disposizioni urbanistiche la localizzazione dell</w:t>
      </w:r>
      <w:r w:rsidR="004B25C8" w:rsidRPr="00940DDB">
        <w:rPr>
          <w:rFonts w:ascii="Century Schoolbook" w:hAnsi="Century Schoolbook"/>
          <w:sz w:val="16"/>
          <w:szCs w:val="16"/>
        </w:rPr>
        <w:t>’</w:t>
      </w:r>
      <w:r w:rsidRPr="00940DDB">
        <w:rPr>
          <w:rFonts w:ascii="Century Schoolbook" w:hAnsi="Century Schoolbook"/>
          <w:sz w:val="16"/>
          <w:szCs w:val="16"/>
        </w:rPr>
        <w:t>impianto (Cons. Stato, V, 15 gennaio 2020, n. 377; V, 13 marzo 2014, n. 1180, anche in presenza di parere negativo del Comune), senza la necessità di alcun ulteriore provvedimento di assenso all'attività privata. Tale effetto legale non comporta deroga al riparto di competenze e, segnatamente, alle competenze dei Comuni nel governo del territorio necessariamente coinvolti, invece, nella conferenza di servizi e tenuti in detta sede ad esercitare le prerogative di tutela dell</w:t>
      </w:r>
      <w:r w:rsidR="004B25C8" w:rsidRPr="00940DDB">
        <w:rPr>
          <w:rFonts w:ascii="Century Schoolbook" w:hAnsi="Century Schoolbook"/>
          <w:sz w:val="16"/>
          <w:szCs w:val="16"/>
        </w:rPr>
        <w:t>’</w:t>
      </w:r>
      <w:r w:rsidRPr="00940DDB">
        <w:rPr>
          <w:rFonts w:ascii="Century Schoolbook" w:hAnsi="Century Schoolbook"/>
          <w:sz w:val="16"/>
          <w:szCs w:val="16"/>
        </w:rPr>
        <w:t>ordinato assetto urbanistico (e, in generale, degli interessi della comunità di riferimento), senza, però, che ne possa per ciò solo venire paralizzata l'azione amministrativa, nel caso, come quello qui esaminato, in cui il Comune opponga ragioni di impedimento superabili dall</w:t>
      </w:r>
      <w:r w:rsidR="004B25C8" w:rsidRPr="00940DDB">
        <w:rPr>
          <w:rFonts w:ascii="Century Schoolbook" w:hAnsi="Century Schoolbook"/>
          <w:sz w:val="16"/>
          <w:szCs w:val="16"/>
        </w:rPr>
        <w:t>’</w:t>
      </w:r>
      <w:r w:rsidRPr="00940DDB">
        <w:rPr>
          <w:rFonts w:ascii="Century Schoolbook" w:hAnsi="Century Schoolbook"/>
          <w:sz w:val="16"/>
          <w:szCs w:val="16"/>
        </w:rPr>
        <w:t>Autorità procedente (Consiglio di Stato</w:t>
      </w:r>
      <w:r w:rsidR="004B25C8" w:rsidRPr="00940DDB">
        <w:rPr>
          <w:rFonts w:ascii="Century Schoolbook" w:hAnsi="Century Schoolbook"/>
          <w:sz w:val="16"/>
          <w:szCs w:val="16"/>
        </w:rPr>
        <w:t>,</w:t>
      </w:r>
      <w:r w:rsidRPr="00940DDB">
        <w:rPr>
          <w:rFonts w:ascii="Century Schoolbook" w:hAnsi="Century Schoolbook"/>
          <w:sz w:val="16"/>
          <w:szCs w:val="16"/>
        </w:rPr>
        <w:t xml:space="preserve"> sez. V, 29/04/2020, n.</w:t>
      </w:r>
      <w:r w:rsidR="004B25C8" w:rsidRPr="00940DDB">
        <w:rPr>
          <w:rFonts w:ascii="Century Schoolbook" w:hAnsi="Century Schoolbook"/>
          <w:sz w:val="16"/>
          <w:szCs w:val="16"/>
        </w:rPr>
        <w:t xml:space="preserve"> </w:t>
      </w:r>
      <w:r w:rsidRPr="00940DDB">
        <w:rPr>
          <w:rFonts w:ascii="Century Schoolbook" w:hAnsi="Century Schoolbook"/>
          <w:sz w:val="16"/>
          <w:szCs w:val="16"/>
        </w:rPr>
        <w:t>2724).</w:t>
      </w:r>
      <w:r w:rsidR="004B25C8" w:rsidRPr="00940DDB">
        <w:rPr>
          <w:rFonts w:ascii="Century Schoolbook" w:hAnsi="Century Schoolbook"/>
          <w:sz w:val="16"/>
          <w:szCs w:val="16"/>
        </w:rPr>
        <w:t xml:space="preserve"> </w:t>
      </w:r>
      <w:r w:rsidRPr="00940DDB">
        <w:rPr>
          <w:rFonts w:ascii="Century Schoolbook" w:hAnsi="Century Schoolbook"/>
          <w:sz w:val="16"/>
          <w:szCs w:val="16"/>
        </w:rPr>
        <w:t>Conferma la tesi accolta in giurisprudenza il fatto che l’individuazione delle “aree non idonee” all’insediamento degli impianti alimentati da fonti rinnovabili è sottratta alla competenza dei Comuni in quanto, ai sensi del paragrafo 1.2. del d.m. 10.9.2010 (Linee guida per l'autorizzazione degli impianti alimentati da fonti rinnovabili) le sole Regioni e Province autonome possono porre limitazioni e divieti in atti di tipo programmatorio o pianificatorio per l</w:t>
      </w:r>
      <w:r w:rsidR="004B25C8" w:rsidRPr="00940DDB">
        <w:rPr>
          <w:rFonts w:ascii="Century Schoolbook" w:hAnsi="Century Schoolbook"/>
          <w:sz w:val="16"/>
          <w:szCs w:val="16"/>
        </w:rPr>
        <w:t>’</w:t>
      </w:r>
      <w:r w:rsidRPr="00940DDB">
        <w:rPr>
          <w:rFonts w:ascii="Century Schoolbook" w:hAnsi="Century Schoolbook"/>
          <w:sz w:val="16"/>
          <w:szCs w:val="16"/>
        </w:rPr>
        <w:t>installazione di specifiche tipologie di impianti alimentati da fonti rinnovabili ed esclusivamente nell</w:t>
      </w:r>
      <w:r w:rsidR="004B25C8" w:rsidRPr="00940DDB">
        <w:rPr>
          <w:rFonts w:ascii="Century Schoolbook" w:hAnsi="Century Schoolbook"/>
          <w:sz w:val="16"/>
          <w:szCs w:val="16"/>
        </w:rPr>
        <w:t>’</w:t>
      </w:r>
      <w:r w:rsidRPr="00940DDB">
        <w:rPr>
          <w:rFonts w:ascii="Century Schoolbook" w:hAnsi="Century Schoolbook"/>
          <w:sz w:val="16"/>
          <w:szCs w:val="16"/>
        </w:rPr>
        <w:t xml:space="preserve">ambito e con le modalità di cui al paragrafo 17. La disposizione, da leggersi unitamente all’art. 12 del d.lgs. 387/2003, che attribuisce al provvedimento di autorizzazione unica l’effetto di variante allo strumento urbanistico generale, pone chiaramente un limite, nei sensi sopra spiegati, alla competenza pianificatoria dei Comuni in materia di localizzazione di impianti di produzione di biometano e spiega perché il parere negativo, eventualmente espresso dal Comune, abbia rilevanza solo se motivato su presupposti diversi da quelli che giustificano le scelte generali di governo del territorio. Se dunque non è consentito al Comune di individuare le “aree non idonee” in sede di pianificazione, </w:t>
      </w:r>
      <w:r w:rsidRPr="00940DDB">
        <w:rPr>
          <w:rFonts w:ascii="Century Schoolbook" w:hAnsi="Century Schoolbook"/>
          <w:i/>
          <w:iCs/>
          <w:sz w:val="16"/>
          <w:szCs w:val="16"/>
        </w:rPr>
        <w:t>a fortiori</w:t>
      </w:r>
      <w:r w:rsidRPr="00940DDB">
        <w:rPr>
          <w:rFonts w:ascii="Century Schoolbook" w:hAnsi="Century Schoolbook"/>
          <w:sz w:val="16"/>
          <w:szCs w:val="16"/>
        </w:rPr>
        <w:t>, esso non può opporre un divieto di localizzazione in sede di esame del singolo progetto esprimendo parere negativo</w:t>
      </w:r>
      <w:r w:rsidR="004B25C8" w:rsidRPr="00940DDB">
        <w:rPr>
          <w:rFonts w:ascii="Century Schoolbook" w:hAnsi="Century Schoolbook"/>
          <w:sz w:val="16"/>
          <w:szCs w:val="16"/>
        </w:rPr>
        <w:t>»</w:t>
      </w:r>
      <w:r w:rsidRPr="00940DDB">
        <w:rPr>
          <w:rFonts w:ascii="Century Schoolbook" w:hAnsi="Century Schoolbook"/>
          <w:sz w:val="16"/>
          <w:szCs w:val="16"/>
        </w:rPr>
        <w:t>.</w:t>
      </w:r>
    </w:p>
  </w:footnote>
  <w:footnote w:id="7">
    <w:p w14:paraId="7C58940C" w14:textId="215F7085" w:rsidR="00415291" w:rsidRPr="00940DDB" w:rsidRDefault="00415291" w:rsidP="00415291">
      <w:pPr>
        <w:pStyle w:val="Testonotaapidipagina"/>
        <w:ind w:firstLine="708"/>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Il corsivo non è ovviamente originale.</w:t>
      </w:r>
    </w:p>
  </w:footnote>
  <w:footnote w:id="8">
    <w:p w14:paraId="2DB4C857" w14:textId="6867F6C8" w:rsidR="00C06BE6" w:rsidRPr="00940DDB" w:rsidRDefault="00116CB5" w:rsidP="004642C0">
      <w:pPr>
        <w:ind w:firstLine="708"/>
        <w:contextualSpacing/>
        <w:jc w:val="both"/>
        <w:rPr>
          <w:rFonts w:ascii="Century Schoolbook" w:eastAsia="Times New Roman" w:hAnsi="Century Schoolbook" w:cs="Times New Roman"/>
          <w:i/>
          <w:iCs/>
          <w:sz w:val="16"/>
          <w:szCs w:val="16"/>
          <w:lang w:eastAsia="it-IT"/>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C06BE6" w:rsidRPr="00940DDB">
        <w:rPr>
          <w:rFonts w:ascii="Century Schoolbook" w:eastAsia="Times New Roman" w:hAnsi="Century Schoolbook" w:cs="Times New Roman"/>
          <w:sz w:val="16"/>
          <w:szCs w:val="16"/>
          <w:lang w:eastAsia="it-IT"/>
        </w:rPr>
        <w:t>Tar Venezia, 1° giugno 2</w:t>
      </w:r>
      <w:r w:rsidR="00662BDB" w:rsidRPr="00940DDB">
        <w:rPr>
          <w:rFonts w:ascii="Century Schoolbook" w:eastAsia="Times New Roman" w:hAnsi="Century Schoolbook" w:cs="Times New Roman"/>
          <w:sz w:val="16"/>
          <w:szCs w:val="16"/>
          <w:lang w:eastAsia="it-IT"/>
        </w:rPr>
        <w:t>0</w:t>
      </w:r>
      <w:r w:rsidR="00C06BE6" w:rsidRPr="00940DDB">
        <w:rPr>
          <w:rFonts w:ascii="Century Schoolbook" w:eastAsia="Times New Roman" w:hAnsi="Century Schoolbook" w:cs="Times New Roman"/>
          <w:sz w:val="16"/>
          <w:szCs w:val="16"/>
          <w:lang w:eastAsia="it-IT"/>
        </w:rPr>
        <w:t>17, n. 549</w:t>
      </w:r>
      <w:r w:rsidR="00C83121" w:rsidRPr="00940DDB">
        <w:rPr>
          <w:rFonts w:ascii="Century Schoolbook" w:eastAsia="Times New Roman" w:hAnsi="Century Schoolbook" w:cs="Times New Roman"/>
          <w:sz w:val="16"/>
          <w:szCs w:val="16"/>
          <w:lang w:eastAsia="it-IT"/>
        </w:rPr>
        <w:t xml:space="preserve"> – che nega l’esistenza di un </w:t>
      </w:r>
      <w:r w:rsidR="00C83121" w:rsidRPr="001C3150">
        <w:rPr>
          <w:rFonts w:ascii="Century Schoolbook" w:eastAsia="Times New Roman" w:hAnsi="Century Schoolbook" w:cs="Times New Roman"/>
          <w:i/>
          <w:iCs/>
          <w:sz w:val="16"/>
          <w:szCs w:val="16"/>
          <w:lang w:val="de-DE" w:eastAsia="it-IT"/>
        </w:rPr>
        <w:t>Wesensgehalt</w:t>
      </w:r>
      <w:r w:rsidR="00C83121" w:rsidRPr="00940DDB">
        <w:rPr>
          <w:rFonts w:ascii="Century Schoolbook" w:eastAsia="Times New Roman" w:hAnsi="Century Schoolbook" w:cs="Times New Roman"/>
          <w:sz w:val="16"/>
          <w:szCs w:val="16"/>
          <w:lang w:eastAsia="it-IT"/>
        </w:rPr>
        <w:t xml:space="preserve"> comunale</w:t>
      </w:r>
      <w:r w:rsidR="00C06BE6" w:rsidRPr="00940DDB">
        <w:rPr>
          <w:rFonts w:ascii="Century Schoolbook" w:eastAsia="Times New Roman" w:hAnsi="Century Schoolbook" w:cs="Times New Roman"/>
          <w:sz w:val="16"/>
          <w:szCs w:val="16"/>
          <w:lang w:eastAsia="it-IT"/>
        </w:rPr>
        <w:t xml:space="preserve"> </w:t>
      </w:r>
      <w:r w:rsidR="00C83121" w:rsidRPr="00940DDB">
        <w:rPr>
          <w:rFonts w:ascii="Century Schoolbook" w:eastAsia="Times New Roman" w:hAnsi="Century Schoolbook" w:cs="Times New Roman"/>
          <w:sz w:val="16"/>
          <w:szCs w:val="16"/>
          <w:lang w:eastAsia="it-IT"/>
        </w:rPr>
        <w:t xml:space="preserve">in materia – </w:t>
      </w:r>
      <w:r w:rsidR="00C06BE6" w:rsidRPr="00940DDB">
        <w:rPr>
          <w:rFonts w:ascii="Century Schoolbook" w:eastAsia="Times New Roman" w:hAnsi="Century Schoolbook" w:cs="Times New Roman"/>
          <w:sz w:val="16"/>
          <w:szCs w:val="16"/>
          <w:lang w:eastAsia="it-IT"/>
        </w:rPr>
        <w:t>illustra bene l</w:t>
      </w:r>
      <w:r w:rsidR="004642C0" w:rsidRPr="00940DDB">
        <w:rPr>
          <w:rFonts w:ascii="Century Schoolbook" w:eastAsia="Times New Roman" w:hAnsi="Century Schoolbook" w:cs="Times New Roman"/>
          <w:sz w:val="16"/>
          <w:szCs w:val="16"/>
          <w:lang w:eastAsia="it-IT"/>
        </w:rPr>
        <w:t>e incertezze giurisprudenziali sul punto</w:t>
      </w:r>
      <w:r w:rsidR="00C06BE6" w:rsidRPr="00940DDB">
        <w:rPr>
          <w:rFonts w:ascii="Century Schoolbook" w:eastAsia="Times New Roman" w:hAnsi="Century Schoolbook" w:cs="Times New Roman"/>
          <w:sz w:val="16"/>
          <w:szCs w:val="16"/>
          <w:lang w:eastAsia="it-IT"/>
        </w:rPr>
        <w:t xml:space="preserve"> e merita </w:t>
      </w:r>
      <w:r w:rsidR="004642C0" w:rsidRPr="00940DDB">
        <w:rPr>
          <w:rFonts w:ascii="Century Schoolbook" w:eastAsia="Times New Roman" w:hAnsi="Century Schoolbook" w:cs="Times New Roman"/>
          <w:sz w:val="16"/>
          <w:szCs w:val="16"/>
          <w:lang w:eastAsia="it-IT"/>
        </w:rPr>
        <w:t xml:space="preserve">dunque </w:t>
      </w:r>
      <w:r w:rsidR="00C06BE6" w:rsidRPr="00940DDB">
        <w:rPr>
          <w:rFonts w:ascii="Century Schoolbook" w:eastAsia="Times New Roman" w:hAnsi="Century Schoolbook" w:cs="Times New Roman"/>
          <w:sz w:val="16"/>
          <w:szCs w:val="16"/>
          <w:lang w:eastAsia="it-IT"/>
        </w:rPr>
        <w:t>la trascrizione</w:t>
      </w:r>
      <w:r w:rsidR="00983355" w:rsidRPr="00940DDB">
        <w:rPr>
          <w:rFonts w:ascii="Century Schoolbook" w:eastAsia="Times New Roman" w:hAnsi="Century Schoolbook" w:cs="Times New Roman"/>
          <w:sz w:val="16"/>
          <w:szCs w:val="16"/>
          <w:lang w:eastAsia="it-IT"/>
        </w:rPr>
        <w:t xml:space="preserve"> </w:t>
      </w:r>
      <w:r w:rsidR="00C06BE6" w:rsidRPr="00940DDB">
        <w:rPr>
          <w:rFonts w:ascii="Century Schoolbook" w:eastAsia="Times New Roman" w:hAnsi="Century Schoolbook" w:cs="Times New Roman"/>
          <w:sz w:val="16"/>
          <w:szCs w:val="16"/>
          <w:lang w:eastAsia="it-IT"/>
        </w:rPr>
        <w:t>di alcuni suoi passi</w:t>
      </w:r>
      <w:r w:rsidR="00983355" w:rsidRPr="00940DDB">
        <w:rPr>
          <w:rFonts w:ascii="Century Schoolbook" w:eastAsia="Times New Roman" w:hAnsi="Century Schoolbook" w:cs="Times New Roman"/>
          <w:sz w:val="16"/>
          <w:szCs w:val="16"/>
          <w:lang w:eastAsia="it-IT"/>
        </w:rPr>
        <w:t xml:space="preserve">. «[…] si pone il problema di stabilire se, ed eventualmente con quale sforzo motivazionale, la Provincia […] potesse autorizzare, con effetto di variante urbanistica, l’ampliamento e il potenziamento dell’impianto di recupero rifiuti […], nonostante il dissenso espresso dal Comune nell’ambito della Conferenza dei servizi […]. </w:t>
      </w:r>
      <w:r w:rsidR="00983355" w:rsidRPr="00940DDB">
        <w:rPr>
          <w:rFonts w:ascii="Century Schoolbook" w:eastAsia="Times New Roman" w:hAnsi="Century Schoolbook" w:cs="Times New Roman"/>
          <w:i/>
          <w:iCs/>
          <w:sz w:val="16"/>
          <w:szCs w:val="16"/>
          <w:lang w:eastAsia="it-IT"/>
        </w:rPr>
        <w:t>Sul tema la giurisprudenza amministrativa non è univoca, fronteggiandosi due opposti orientamenti</w:t>
      </w:r>
      <w:r w:rsidR="00983355" w:rsidRPr="00940DDB">
        <w:rPr>
          <w:rFonts w:ascii="Century Schoolbook" w:eastAsia="Times New Roman" w:hAnsi="Century Schoolbook" w:cs="Times New Roman"/>
          <w:sz w:val="16"/>
          <w:szCs w:val="16"/>
          <w:lang w:eastAsia="it-IT"/>
        </w:rPr>
        <w:t xml:space="preserve">. […] Secondo un </w:t>
      </w:r>
      <w:r w:rsidR="00983355" w:rsidRPr="00940DDB">
        <w:rPr>
          <w:rFonts w:ascii="Century Schoolbook" w:eastAsia="Times New Roman" w:hAnsi="Century Schoolbook" w:cs="Times New Roman"/>
          <w:i/>
          <w:iCs/>
          <w:sz w:val="16"/>
          <w:szCs w:val="16"/>
          <w:lang w:eastAsia="it-IT"/>
        </w:rPr>
        <w:t>primo indirizzo</w:t>
      </w:r>
      <w:r w:rsidR="00983355" w:rsidRPr="00940DDB">
        <w:rPr>
          <w:rFonts w:ascii="Century Schoolbook" w:eastAsia="Times New Roman" w:hAnsi="Century Schoolbook" w:cs="Times New Roman"/>
          <w:sz w:val="16"/>
          <w:szCs w:val="16"/>
          <w:lang w:eastAsia="it-IT"/>
        </w:rPr>
        <w:t xml:space="preserve"> (Tar Piemonte n. 480/2017; Tar Parma </w:t>
      </w:r>
      <w:r w:rsidR="00662BDB" w:rsidRPr="00940DDB">
        <w:rPr>
          <w:rFonts w:ascii="Century Schoolbook" w:eastAsia="Times New Roman" w:hAnsi="Century Schoolbook" w:cs="Times New Roman"/>
          <w:sz w:val="16"/>
          <w:szCs w:val="16"/>
          <w:lang w:eastAsia="it-IT"/>
        </w:rPr>
        <w:t xml:space="preserve">n. </w:t>
      </w:r>
      <w:r w:rsidR="00983355" w:rsidRPr="00940DDB">
        <w:rPr>
          <w:rFonts w:ascii="Century Schoolbook" w:eastAsia="Times New Roman" w:hAnsi="Century Schoolbook" w:cs="Times New Roman"/>
          <w:sz w:val="16"/>
          <w:szCs w:val="16"/>
          <w:lang w:eastAsia="it-IT"/>
        </w:rPr>
        <w:t xml:space="preserve">196 del 2015; Tar Catanzaro </w:t>
      </w:r>
      <w:r w:rsidR="00662BDB" w:rsidRPr="00940DDB">
        <w:rPr>
          <w:rFonts w:ascii="Century Schoolbook" w:eastAsia="Times New Roman" w:hAnsi="Century Schoolbook" w:cs="Times New Roman"/>
          <w:sz w:val="16"/>
          <w:szCs w:val="16"/>
          <w:lang w:eastAsia="it-IT"/>
        </w:rPr>
        <w:t xml:space="preserve">n. </w:t>
      </w:r>
      <w:r w:rsidR="00983355" w:rsidRPr="00940DDB">
        <w:rPr>
          <w:rFonts w:ascii="Century Schoolbook" w:eastAsia="Times New Roman" w:hAnsi="Century Schoolbook" w:cs="Times New Roman"/>
          <w:sz w:val="16"/>
          <w:szCs w:val="16"/>
          <w:lang w:eastAsia="it-IT"/>
        </w:rPr>
        <w:t>929/2013) la Conferenza di servizi prevista dalle leggi regionali e statali (es. art. 27 del d.lgs. n. 22/1997; art. 208 del d.lgs. 152/2006) succedutesi in materia di autorizzazione d’impianti per trattamento e recupero di rifiuti si presenta come un particolare modulo procedimentale che ha l</w:t>
      </w:r>
      <w:r w:rsidR="000D10DF"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effetto di concentrare i pareri, i nulla osta e gli assensi in un unico contesto formale, mantenendo però immutate le competenze riservate dalla legge alle varie Amministrazioni.</w:t>
      </w:r>
      <w:r w:rsidR="000D10DF"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sz w:val="16"/>
          <w:szCs w:val="16"/>
          <w:lang w:eastAsia="it-IT"/>
        </w:rPr>
        <w:t>In tale ottica, seppure l</w:t>
      </w:r>
      <w:r w:rsidR="000D10DF"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atto finale del rilascio dell</w:t>
      </w:r>
      <w:r w:rsidR="00662BDB"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autorizzazione risulta di competenza della Provincia o della Regione, la stessa non potrebbe però invadere competenze riservate ad altri enti e, in particolare, non potrebbe invadere la competenza relativa alla pianificazione urbanistica riservata al Comune, deliberando un</w:t>
      </w:r>
      <w:r w:rsidR="000D10DF"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autorizzazione comportante una variante al PRG contro il parere di quest</w:t>
      </w:r>
      <w:r w:rsidR="000D10DF"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ultimo motivato dal contrasto con le prescrizioni urbanistiche sulla destinazione delle aree comunali.</w:t>
      </w:r>
      <w:r w:rsidR="000D10DF"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i/>
          <w:iCs/>
          <w:sz w:val="16"/>
          <w:szCs w:val="16"/>
          <w:lang w:eastAsia="it-IT"/>
        </w:rPr>
        <w:t>In altri termini le norme in discorso, dettando il modulo procedimentale della conferenza di servizi, non hanno certamente sottratto al Comune la competenza, riservatagli in via esclusiva, ad esprimersi in ordine alle questioni di tipo urbanistico, ma ha inteso semplificare la procedura evitando, in caso di parere positivo del Comune, l</w:t>
      </w:r>
      <w:r w:rsidR="00BF20A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avvio dell</w:t>
      </w:r>
      <w:r w:rsidR="00F7055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ulteriore procedura di variante urbanistica.</w:t>
      </w:r>
      <w:r w:rsidR="000D10DF"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sz w:val="16"/>
          <w:szCs w:val="16"/>
          <w:lang w:eastAsia="it-IT"/>
        </w:rPr>
        <w:t xml:space="preserve">In particolare, lo specifico </w:t>
      </w:r>
      <w:r w:rsidR="00983355" w:rsidRPr="00940DDB">
        <w:rPr>
          <w:rFonts w:ascii="Century Schoolbook" w:eastAsia="Times New Roman" w:hAnsi="Century Schoolbook" w:cs="Times New Roman"/>
          <w:i/>
          <w:iCs/>
          <w:sz w:val="16"/>
          <w:szCs w:val="16"/>
          <w:lang w:eastAsia="it-IT"/>
        </w:rPr>
        <w:t>iter</w:t>
      </w:r>
      <w:r w:rsidR="00983355" w:rsidRPr="00940DDB">
        <w:rPr>
          <w:rFonts w:ascii="Century Schoolbook" w:eastAsia="Times New Roman" w:hAnsi="Century Schoolbook" w:cs="Times New Roman"/>
          <w:sz w:val="16"/>
          <w:szCs w:val="16"/>
          <w:lang w:eastAsia="it-IT"/>
        </w:rPr>
        <w:t xml:space="preserve"> procedimentale previsto dalle norme in commento, caratterizzato dall</w:t>
      </w:r>
      <w:r w:rsidR="00BF20A6"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indizione di una Conferenza di servizi provinciale o regionale, non avrebbe consentito alla P.A. procedente di rilasciare l</w:t>
      </w:r>
      <w:r w:rsidR="00B15863"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autorizzazione in presenza di un parere negativo del Comune che aveva evidenziato l</w:t>
      </w:r>
      <w:r w:rsidR="004642C0"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incompatibilità del progetto con gli strumenti di pianificazione urbanistica comunale, dando parere negativo. Diversamente opinando, si osserva, risulterebbe illegittimamente invasa una sfera di competenza amministrativa, quella della pianificazione urbanistica, prettamente comunale. La pianificazione urbanistica a livello locale rientrerebbe, difatti, nella sfera di competenza del Comune che le succitate norme, limitandosi a prevedere una Conferenza di servizi in sede istruttoria, non avrebbero modificato.</w:t>
      </w:r>
      <w:r w:rsidR="000D10DF"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sz w:val="16"/>
          <w:szCs w:val="16"/>
          <w:lang w:eastAsia="it-IT"/>
        </w:rPr>
        <w:t>E, invero, seppure alla Provincia è attribuita la competenza, previa convocazione di una Conferenza di servizi, relativa al rilascio dell</w:t>
      </w:r>
      <w:r w:rsidR="00B15863"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autorizzazione alla realizzazione dell</w:t>
      </w:r>
      <w:r w:rsidR="00B15863"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impianto, la Provincia stessa non potrebbe deliberare, senza l</w:t>
      </w:r>
      <w:r w:rsidR="00B15863"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assenso del Comune, la localizzazione dell</w:t>
      </w:r>
      <w:r w:rsidR="00C06BE6"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impianto in contrasto con le previsioni del PRG, stante la necessità di operare una variante allo strumento urbanistico (prevista peraltro come effetto automatico dell</w:t>
      </w:r>
      <w:r w:rsidR="00C83121"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intervenuta autorizzazione).</w:t>
      </w:r>
      <w:r w:rsidR="000D10DF"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i/>
          <w:iCs/>
          <w:sz w:val="16"/>
          <w:szCs w:val="16"/>
          <w:lang w:eastAsia="it-IT"/>
        </w:rPr>
        <w:t>Un opposto orientamento</w:t>
      </w:r>
      <w:r w:rsidR="00983355" w:rsidRPr="00940DDB">
        <w:rPr>
          <w:rFonts w:ascii="Century Schoolbook" w:eastAsia="Times New Roman" w:hAnsi="Century Schoolbook" w:cs="Times New Roman"/>
          <w:sz w:val="16"/>
          <w:szCs w:val="16"/>
          <w:lang w:eastAsia="it-IT"/>
        </w:rPr>
        <w:t>, ben patrocinato da Tar Liguria, n. 723 del 2012, reputa, invece, che la previsione espressa di una competenza decisoria in capo alla Provincia in ordine al rilascio dell</w:t>
      </w:r>
      <w:r w:rsidR="00B15863"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autorizzazione, accompagnata dalla previsione di una Conferenza di servizi per raccogliere i pareri degli altri Enti interessati, spieghi effetti sulle competenze amministrative.</w:t>
      </w:r>
      <w:r w:rsidR="000D10DF"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sz w:val="16"/>
          <w:szCs w:val="16"/>
          <w:lang w:eastAsia="it-IT"/>
        </w:rPr>
        <w:t>Le norme in questione impongono l</w:t>
      </w:r>
      <w:r w:rsidR="00C06BE6"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 xml:space="preserve">indizione obbligatoria di una Conferenza di servizi, dove tutti gli Enti interessati devono essere convocati, </w:t>
      </w:r>
      <w:r w:rsidR="00983355" w:rsidRPr="00940DDB">
        <w:rPr>
          <w:rFonts w:ascii="Century Schoolbook" w:eastAsia="Times New Roman" w:hAnsi="Century Schoolbook" w:cs="Times New Roman"/>
          <w:i/>
          <w:iCs/>
          <w:sz w:val="16"/>
          <w:szCs w:val="16"/>
          <w:lang w:eastAsia="it-IT"/>
        </w:rPr>
        <w:t>ma espressamente affidano alla Provincia la decisione finale sull</w:t>
      </w:r>
      <w:r w:rsidR="00C83121"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autorizzazione dell</w:t>
      </w:r>
      <w:r w:rsidR="00B15863"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impianto, sia pure all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esito della conferenza stessa.</w:t>
      </w:r>
      <w:r w:rsidR="000D10DF"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sz w:val="16"/>
          <w:szCs w:val="16"/>
          <w:lang w:eastAsia="it-IT"/>
        </w:rPr>
        <w:t>L</w:t>
      </w:r>
      <w:r w:rsidR="000D10DF"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attribuzione di tale potere di autorizzazione del progetto deve essere intesa, salvo espresse e specifiche previsioni derogatorie, come inerente a ogni aspetto autorizzatorio di localizzazione e realizzazione dell</w:t>
      </w:r>
      <w:r w:rsidR="000D10DF" w:rsidRPr="00940DDB">
        <w:rPr>
          <w:rFonts w:ascii="Century Schoolbook" w:eastAsia="Times New Roman" w:hAnsi="Century Schoolbook" w:cs="Times New Roman"/>
          <w:sz w:val="16"/>
          <w:szCs w:val="16"/>
          <w:lang w:eastAsia="it-IT"/>
        </w:rPr>
        <w:t>’</w:t>
      </w:r>
      <w:r w:rsidR="00983355" w:rsidRPr="00940DDB">
        <w:rPr>
          <w:rFonts w:ascii="Century Schoolbook" w:eastAsia="Times New Roman" w:hAnsi="Century Schoolbook" w:cs="Times New Roman"/>
          <w:sz w:val="16"/>
          <w:szCs w:val="16"/>
          <w:lang w:eastAsia="it-IT"/>
        </w:rPr>
        <w:t>impianto.</w:t>
      </w:r>
      <w:r w:rsidR="000D10DF" w:rsidRPr="00940DDB">
        <w:rPr>
          <w:rFonts w:ascii="Century Schoolbook" w:eastAsia="Times New Roman" w:hAnsi="Century Schoolbook" w:cs="Times New Roman"/>
          <w:sz w:val="16"/>
          <w:szCs w:val="16"/>
          <w:lang w:eastAsia="it-IT"/>
        </w:rPr>
        <w:t xml:space="preserve"> […]</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Al riguardo, la disposizione secondo cui l</w:t>
      </w:r>
      <w:r w:rsidR="00C83121"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approvazione del progetto costituisce variante urbanistica è idonea a svolgere effetti in ordine alle competenze sul governo del territorio.</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Tale previsione non si limita ad evitare ulteriori sub procedimenti, quali quello inerente all</w:t>
      </w:r>
      <w:r w:rsidR="0011464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approvazione di una variante al PRG nella mera ottica di concentrazione procedimentale, bensì si pone come norma che consente alla determinazione assunta in sede finale dalla Provincia di incidere direttamente sullo strumento urbanistico generale, ai fini della localizzazione dell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impianto.</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In sostanza, tale norma consente che la Provincia competente possa, all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esito della Conferenza di servizi, decidere anche in ordine alla variazione del PRG, fatta salva la necessità di motivare sul punto, in ossequio al principio generale dell</w:t>
      </w:r>
      <w:r w:rsidR="00307499"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obbligo di motivazione del provvedimento amministrativo.</w:t>
      </w:r>
      <w:r w:rsidR="00C06BE6" w:rsidRPr="00940DDB">
        <w:rPr>
          <w:rFonts w:ascii="Century Schoolbook" w:eastAsia="Times New Roman" w:hAnsi="Century Schoolbook" w:cs="Times New Roman"/>
          <w:i/>
          <w:iCs/>
          <w:sz w:val="16"/>
          <w:szCs w:val="16"/>
          <w:lang w:eastAsia="it-IT"/>
        </w:rPr>
        <w:t xml:space="preserve"> </w:t>
      </w:r>
      <w:r w:rsidR="00C06BE6"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i/>
          <w:iCs/>
          <w:sz w:val="16"/>
          <w:szCs w:val="16"/>
          <w:lang w:eastAsia="it-IT"/>
        </w:rPr>
        <w:t>Non può dirsi, inoltre, in generale, che il Comune abbia una competenza esclusiva sulla pianificazione territoriale essendo, in generale, affidati compiti di pianificazione locale anche alla Provincia (che elabora i piani territoriali di coordinamento provinciali) e alla Regione che, oltre a formare i piani territoriali di coordinamento regionali, interviene attivamente nel procedimento di formazione dei Piani Regolatori Generali e delle loro varianti, provvedendo alla loro approvazione finale ed, in tale sede, può alla luce della normativa attuale, addirittura imporre delle modifiche dei piani adottati.</w:t>
      </w:r>
      <w:r w:rsidR="00C06BE6" w:rsidRPr="00940DDB">
        <w:rPr>
          <w:rFonts w:ascii="Century Schoolbook" w:eastAsia="Times New Roman" w:hAnsi="Century Schoolbook" w:cs="Times New Roman"/>
          <w:sz w:val="16"/>
          <w:szCs w:val="16"/>
          <w:lang w:eastAsia="it-IT"/>
        </w:rPr>
        <w:t xml:space="preserve"> </w:t>
      </w:r>
      <w:r w:rsidR="00983355" w:rsidRPr="00940DDB">
        <w:rPr>
          <w:rFonts w:ascii="Century Schoolbook" w:eastAsia="Times New Roman" w:hAnsi="Century Schoolbook" w:cs="Times New Roman"/>
          <w:i/>
          <w:iCs/>
          <w:sz w:val="16"/>
          <w:szCs w:val="16"/>
          <w:lang w:eastAsia="it-IT"/>
        </w:rPr>
        <w:t>Ciò spiega come ben giustificata possa essere la lettura della norma in commento nel senso di attribuire la competenza finale della decisione sulla localizzazione in capo alla Provincia, senza necessità del consenso del Comune, pur nell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ipotesi di necessità di variante allo strumento urbanistico generale, salvo l</w:t>
      </w:r>
      <w:r w:rsidR="002F365D"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obbligo di motivazione.</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 xml:space="preserve">Si osserva, infine, come la stessa Corte Costituzionale ha rilevato che </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la garanzia costituzionale del principio autonomistico, previsto dall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art. 5 e 128 della Costituzione, può dirsi rispettata ogniqualvolta il procedimento finalizzato all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approvazione degli strumenti urbanistici sia articolato in modo tale da assicurare una sostanziale partecipazione allo stesso degli enti il cui assetto territoriale è determinato dagli strumenti urbanistici in questione, rilevando altresì che l</w:t>
      </w:r>
      <w:r w:rsidR="00BF20A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individuazione dei modi nei quali tale coinvolgimento può avvenire è rimesso alla discrezionalità del legislatore</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 xml:space="preserve"> (Corte costituzionale, 21 ottobre 1998, n. 357).</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Quello che appare essenziale è che il Comune non sia completamente pretermesso dalle scelte pianificatorie direttamente incidenti sul suo territorio, circostanza che non può affermarsi nel caso di specie essendo lo stesso legittimato a partecipare alla Conferenza di servizi.</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Inoltre la visione autonomistica, dedotta dal Comune a salvaguardia delle sue competenze, non può non tener conto dei preminenti principi di sussidiarietà ed adeguatezza, ormai sanciti a livello costituzionale nell</w:t>
      </w:r>
      <w:r w:rsidR="00B15863"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art. 118, che devono ispirare il riparto delle competenze amministrative a livello locale.</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Tali principi ben possono giustificare disposizioni di rango legislativo che prevedano l’intervento di un ente territoriale di livello superiore nell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iter di autorizzazione di un impianto come quello in questione, con effetto incidente anche sul piano delle competenze in materia a pianificazione urbanistica, in particolare, attribuendo alla Provincia la decisione finale per quanto riguarda una variante urbanistica necessaria per la localizzazione dell</w:t>
      </w:r>
      <w:r w:rsidR="00BF20A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impianto, nell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ambito di un procedimento in cui il Comune è comunque chiamato a intervenire, partecipando alla Conferenza di servizi.</w:t>
      </w:r>
      <w:r w:rsidR="00C06BE6" w:rsidRPr="00940DDB">
        <w:rPr>
          <w:rFonts w:ascii="Century Schoolbook" w:eastAsia="Times New Roman" w:hAnsi="Century Schoolbook" w:cs="Times New Roman"/>
          <w:i/>
          <w:iCs/>
          <w:sz w:val="16"/>
          <w:szCs w:val="16"/>
          <w:lang w:eastAsia="it-IT"/>
        </w:rPr>
        <w:t xml:space="preserve"> </w:t>
      </w:r>
      <w:r w:rsidR="00983355" w:rsidRPr="00940DDB">
        <w:rPr>
          <w:rFonts w:ascii="Century Schoolbook" w:eastAsia="Times New Roman" w:hAnsi="Century Schoolbook" w:cs="Times New Roman"/>
          <w:i/>
          <w:iCs/>
          <w:sz w:val="16"/>
          <w:szCs w:val="16"/>
          <w:lang w:eastAsia="it-IT"/>
        </w:rPr>
        <w:t>Tale ricostruzione, che non consente al Comune di porre un veto insuperabile alla localizzazione dell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impianto, risulta peraltro in linea con l</w:t>
      </w:r>
      <w:r w:rsidR="009C6E2E"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evoluzione della normativa sull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autorizzazione degli impianti di trattamento dei rifiuti di cui all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art. 208 (Autorizzazione unica per i nuovi impianti di smaltimento e di recupero dei rifiuti) del Decreto Legislativo 3 aprile 2006, n. 152 (Norme in materia ambientale), così come modificato dal Decreto Legislativo 3 dicembre 2010, n. 205, che attualmente prevede ancora la convocazione di una Conferenza di servizi (da parte della Regione), e che l</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approvazione alla realizzazione e la gestione dell</w:t>
      </w:r>
      <w:r w:rsidR="00BF20A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 xml:space="preserve">impianto, sostituisca ad </w:t>
      </w:r>
      <w:r w:rsidR="00C06BE6" w:rsidRPr="00940DDB">
        <w:rPr>
          <w:rFonts w:ascii="Century Schoolbook" w:eastAsia="Times New Roman" w:hAnsi="Century Schoolbook" w:cs="Times New Roman"/>
          <w:i/>
          <w:iCs/>
          <w:sz w:val="16"/>
          <w:szCs w:val="16"/>
          <w:lang w:eastAsia="it-IT"/>
        </w:rPr>
        <w:t>“</w:t>
      </w:r>
      <w:r w:rsidR="00983355" w:rsidRPr="00940DDB">
        <w:rPr>
          <w:rFonts w:ascii="Century Schoolbook" w:eastAsia="Times New Roman" w:hAnsi="Century Schoolbook" w:cs="Times New Roman"/>
          <w:i/>
          <w:iCs/>
          <w:sz w:val="16"/>
          <w:szCs w:val="16"/>
          <w:lang w:eastAsia="it-IT"/>
        </w:rPr>
        <w:t>ogni effetto visti, pareri, autorizzazioni e concessioni di organi regionali, provinciali e comunali, costituisce, ove occorra, variante allo strumento urbanistico e comporta la dichiarazione di pubblica utilità, urgenza ed indifferibilità dei lavori</w:t>
      </w:r>
      <w:r w:rsidR="00C06BE6" w:rsidRPr="00940DDB">
        <w:rPr>
          <w:rFonts w:ascii="Century Schoolbook" w:eastAsia="Times New Roman" w:hAnsi="Century Schoolbook" w:cs="Times New Roman"/>
          <w:i/>
          <w:iCs/>
          <w:sz w:val="16"/>
          <w:szCs w:val="16"/>
          <w:lang w:eastAsia="it-IT"/>
        </w:rPr>
        <w:t>”</w:t>
      </w:r>
      <w:r w:rsidR="00C06BE6" w:rsidRPr="00940DDB">
        <w:rPr>
          <w:rFonts w:ascii="Century Schoolbook" w:eastAsia="Times New Roman" w:hAnsi="Century Schoolbook" w:cs="Times New Roman"/>
          <w:sz w:val="16"/>
          <w:szCs w:val="16"/>
          <w:lang w:eastAsia="it-IT"/>
        </w:rPr>
        <w:t xml:space="preserve">» (i corsivi sono aggiunti da me). </w:t>
      </w:r>
    </w:p>
    <w:p w14:paraId="17C5FC6F" w14:textId="228B82AB" w:rsidR="00116CB5" w:rsidRPr="00940DDB" w:rsidRDefault="00C06BE6" w:rsidP="004B25C8">
      <w:pPr>
        <w:ind w:firstLine="708"/>
        <w:contextualSpacing/>
        <w:jc w:val="both"/>
        <w:rPr>
          <w:rFonts w:ascii="Century Schoolbook" w:hAnsi="Century Schoolbook"/>
          <w:sz w:val="16"/>
          <w:szCs w:val="16"/>
        </w:rPr>
      </w:pPr>
      <w:r w:rsidRPr="00940DDB">
        <w:rPr>
          <w:rFonts w:ascii="Century Schoolbook" w:hAnsi="Century Schoolbook"/>
          <w:sz w:val="16"/>
          <w:szCs w:val="16"/>
        </w:rPr>
        <w:t>La sentenza è stata confermata da</w:t>
      </w:r>
      <w:r w:rsidR="00116CB5" w:rsidRPr="00940DDB">
        <w:rPr>
          <w:rFonts w:ascii="Century Schoolbook" w:hAnsi="Century Schoolbook"/>
          <w:sz w:val="16"/>
          <w:szCs w:val="16"/>
        </w:rPr>
        <w:t xml:space="preserve"> Cons. Stato, 10 agosto 2020, n. 4991: «Va dunque condiviso il ragionamento seguito dal primo giudice, nella parte in cui ravvisa la necessità di motivare le ragioni di pubblico interesse sottese ad una scelta pianificatoria provinciale che si pone in aperto contrasto rispetto alla posizione assunta dal Comune in sede conferenziale, nonché rispetto alla formale variante urbanistica comunale, la quale denota la forte determinazione del Comune nel volere trasferire l’impianto in altro sito in considerazione del particolare contesto paesaggistico ed ambientale dell’area. Non è condivisibile la tesi difensiva propugnata dall’appellante, secondo cui il primo giudice avrebbe introdotto un onere di motivazione rafforzata che nemmeno la norma di legge prevede. Al contrario, la norma richiamata è significativa della volontà del legislatore di coordinare in modo armonico l’esercizio dei concorrenti poteri di pianificazione spettanti ai diversi livelli di governo del territorio e, secondo il consolidato indirizzo ermeneutico seguito dalla giurisprudenza costituzionale, appare anzi doverosa la leale collaborazione degli enti territoriali nel rispetto delle reciproche prerogative, anche costituzionalmente tutelate. La norma di legge àncora ad un preciso e predeterminato parametro di giudizio il contenuto dello sforzo di motivazione, pretendendo che la stessa sia adeguata. Nel caso all’esame, come rilevato dal primo giudice, il provvedimento provinciale impugnato è stato difettoso in punto di motivazione, perché ha mancato di illustrare, in modo per l’appunto adeguato, le ragioni per le quali il dissenso manifestato dal Comune di […] è superabile».</w:t>
      </w:r>
    </w:p>
    <w:p w14:paraId="5D209936" w14:textId="129EF0FE" w:rsidR="004642C0" w:rsidRPr="00940DDB" w:rsidRDefault="00C83121" w:rsidP="004B25C8">
      <w:pPr>
        <w:ind w:firstLine="708"/>
        <w:contextualSpacing/>
        <w:jc w:val="both"/>
        <w:rPr>
          <w:rFonts w:ascii="Century Schoolbook" w:eastAsia="Times New Roman" w:hAnsi="Century Schoolbook" w:cs="Times New Roman"/>
          <w:sz w:val="16"/>
          <w:szCs w:val="16"/>
          <w:lang w:eastAsia="it-IT"/>
        </w:rPr>
      </w:pPr>
      <w:r w:rsidRPr="00940DDB">
        <w:rPr>
          <w:rFonts w:ascii="Century Schoolbook" w:eastAsia="Times New Roman" w:hAnsi="Century Schoolbook" w:cs="Times New Roman"/>
          <w:sz w:val="16"/>
          <w:szCs w:val="16"/>
          <w:lang w:eastAsia="it-IT"/>
        </w:rPr>
        <w:t>Nello stesso senso anche Tar Napoli, 14 luglio 2020, n. 3086: «</w:t>
      </w:r>
      <w:r w:rsidR="004642C0" w:rsidRPr="00940DDB">
        <w:rPr>
          <w:rFonts w:ascii="Century Schoolbook" w:eastAsia="Times New Roman" w:hAnsi="Century Schoolbook" w:cs="Times New Roman"/>
          <w:sz w:val="16"/>
          <w:szCs w:val="16"/>
          <w:lang w:eastAsia="it-IT"/>
        </w:rPr>
        <w:t>la localizzazione dell’impianto può essere autorizzata anche su un’area incompatibile secondo le previsioni dello strume</w:t>
      </w:r>
      <w:r w:rsidRPr="00940DDB">
        <w:rPr>
          <w:rFonts w:ascii="Century Schoolbook" w:eastAsia="Times New Roman" w:hAnsi="Century Schoolbook" w:cs="Times New Roman"/>
          <w:sz w:val="16"/>
          <w:szCs w:val="16"/>
          <w:lang w:eastAsia="it-IT"/>
        </w:rPr>
        <w:t>n</w:t>
      </w:r>
      <w:r w:rsidR="004642C0" w:rsidRPr="00940DDB">
        <w:rPr>
          <w:rFonts w:ascii="Century Schoolbook" w:eastAsia="Times New Roman" w:hAnsi="Century Schoolbook" w:cs="Times New Roman"/>
          <w:sz w:val="16"/>
          <w:szCs w:val="16"/>
          <w:lang w:eastAsia="it-IT"/>
        </w:rPr>
        <w:t>to urbanistico, il quale, in tal caso, resta automaticamente variato in senso conforme alla destinazione dell’impianto autorizzato, senza necessità di attivare previamente la complessa procedura dello strumento urbanistico prevista dalla normativa di settore</w:t>
      </w:r>
      <w:r w:rsidRPr="00940DDB">
        <w:rPr>
          <w:rFonts w:ascii="Century Schoolbook" w:eastAsia="Times New Roman" w:hAnsi="Century Schoolbook" w:cs="Times New Roman"/>
          <w:sz w:val="16"/>
          <w:szCs w:val="16"/>
          <w:lang w:eastAsia="it-IT"/>
        </w:rPr>
        <w:t>»</w:t>
      </w:r>
      <w:r w:rsidR="004642C0" w:rsidRPr="00940DDB">
        <w:rPr>
          <w:rFonts w:ascii="Century Schoolbook" w:eastAsia="Times New Roman" w:hAnsi="Century Schoolbook" w:cs="Times New Roman"/>
          <w:sz w:val="16"/>
          <w:szCs w:val="16"/>
          <w:lang w:eastAsia="it-IT"/>
        </w:rPr>
        <w:t>.</w:t>
      </w:r>
    </w:p>
  </w:footnote>
  <w:footnote w:id="9">
    <w:p w14:paraId="4E571D41" w14:textId="77777777" w:rsidR="00624E98" w:rsidRPr="00940DDB" w:rsidRDefault="00624E9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R. </w:t>
      </w:r>
      <w:r w:rsidRPr="00940DDB">
        <w:rPr>
          <w:rFonts w:ascii="Century Schoolbook" w:hAnsi="Century Schoolbook"/>
          <w:smallCaps/>
          <w:color w:val="000000" w:themeColor="text1"/>
          <w:sz w:val="16"/>
          <w:szCs w:val="16"/>
        </w:rPr>
        <w:t>Bin</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Piani territoriali e principio di sussidiarietà</w:t>
      </w:r>
      <w:r w:rsidRPr="00940DDB">
        <w:rPr>
          <w:rFonts w:ascii="Century Schoolbook" w:hAnsi="Century Schoolbook"/>
          <w:color w:val="000000" w:themeColor="text1"/>
          <w:sz w:val="16"/>
          <w:szCs w:val="16"/>
        </w:rPr>
        <w:t>,</w:t>
      </w:r>
      <w:r w:rsidRPr="00940DDB">
        <w:rPr>
          <w:rFonts w:ascii="Century Schoolbook" w:hAnsi="Century Schoolbook"/>
          <w:i/>
          <w:color w:val="000000" w:themeColor="text1"/>
          <w:sz w:val="16"/>
          <w:szCs w:val="16"/>
        </w:rPr>
        <w:t xml:space="preserve"> </w:t>
      </w:r>
      <w:r w:rsidRPr="00940DDB">
        <w:rPr>
          <w:rFonts w:ascii="Century Schoolbook" w:hAnsi="Century Schoolbook"/>
          <w:color w:val="000000" w:themeColor="text1"/>
          <w:sz w:val="16"/>
          <w:szCs w:val="16"/>
        </w:rPr>
        <w:t xml:space="preserve">in </w:t>
      </w:r>
      <w:r w:rsidRPr="00940DDB">
        <w:rPr>
          <w:rFonts w:ascii="Century Schoolbook" w:hAnsi="Century Schoolbook"/>
          <w:i/>
          <w:color w:val="000000" w:themeColor="text1"/>
          <w:sz w:val="16"/>
          <w:szCs w:val="16"/>
        </w:rPr>
        <w:t>Le Regioni</w:t>
      </w:r>
      <w:r w:rsidRPr="00940DDB">
        <w:rPr>
          <w:rFonts w:ascii="Century Schoolbook" w:hAnsi="Century Schoolbook"/>
          <w:color w:val="000000" w:themeColor="text1"/>
          <w:sz w:val="16"/>
          <w:szCs w:val="16"/>
        </w:rPr>
        <w:t>, 2001, n. 1, p. 114 ss., spec. p. 114.</w:t>
      </w:r>
    </w:p>
  </w:footnote>
  <w:footnote w:id="10">
    <w:p w14:paraId="152B5DC7" w14:textId="32F4A6D1" w:rsidR="00B71128" w:rsidRPr="00940DDB" w:rsidRDefault="00B71128" w:rsidP="004B25C8">
      <w:pPr>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Il che non esclude, peraltro, che possa essere la Regione ad insorgere avverso regolazioni (statali) che invadano competenze riservate a Comuni e Province, con ciò facendo valere la propria posizione di autonomia «garantita mediante l’attribuzione ad essa di una istituzionale competenza legislativa avente lo scopo di assicurare alla comunità regionale, </w:t>
      </w:r>
      <w:r w:rsidRPr="00940DDB">
        <w:rPr>
          <w:rFonts w:ascii="Century Schoolbook" w:hAnsi="Century Schoolbook"/>
          <w:i/>
          <w:color w:val="000000" w:themeColor="text1"/>
          <w:sz w:val="16"/>
          <w:szCs w:val="16"/>
        </w:rPr>
        <w:t>in via di regolamentazione ad opera del suo ente esponenziale</w:t>
      </w:r>
      <w:r w:rsidRPr="00940DDB">
        <w:rPr>
          <w:rFonts w:ascii="Century Schoolbook" w:hAnsi="Century Schoolbook"/>
          <w:color w:val="000000" w:themeColor="text1"/>
          <w:sz w:val="16"/>
          <w:szCs w:val="16"/>
        </w:rPr>
        <w:t xml:space="preserve"> – con valenza territoriale e per date materie – un trattamento normativo adeguato alle sue peculiarità» (C. cost. 12 giugno 1991, n. 276).</w:t>
      </w:r>
    </w:p>
    <w:p w14:paraId="6EB078CA" w14:textId="658CED7B" w:rsidR="009E623E" w:rsidRPr="00940DDB" w:rsidRDefault="009E623E" w:rsidP="00E62443">
      <w:pPr>
        <w:ind w:firstLine="709"/>
        <w:contextualSpacing/>
        <w:jc w:val="both"/>
        <w:rPr>
          <w:rFonts w:ascii="Century Schoolbook" w:hAnsi="Century Schoolbook"/>
          <w:color w:val="000000" w:themeColor="text1"/>
          <w:sz w:val="16"/>
          <w:szCs w:val="16"/>
        </w:rPr>
      </w:pPr>
      <w:r w:rsidRPr="00940DDB">
        <w:rPr>
          <w:rFonts w:ascii="Century Schoolbook" w:hAnsi="Century Schoolbook"/>
          <w:color w:val="000000" w:themeColor="text1"/>
          <w:sz w:val="16"/>
          <w:szCs w:val="16"/>
        </w:rPr>
        <w:t xml:space="preserve">Diversa – ma connessa – questione </w:t>
      </w:r>
      <w:r w:rsidR="00E62443" w:rsidRPr="00940DDB">
        <w:rPr>
          <w:rFonts w:ascii="Century Schoolbook" w:hAnsi="Century Schoolbook"/>
          <w:color w:val="000000" w:themeColor="text1"/>
          <w:sz w:val="16"/>
          <w:szCs w:val="16"/>
        </w:rPr>
        <w:t xml:space="preserve">si pone nel caso in cui </w:t>
      </w:r>
      <w:r w:rsidRPr="00940DDB">
        <w:rPr>
          <w:rFonts w:ascii="Century Schoolbook" w:hAnsi="Century Schoolbook"/>
          <w:color w:val="000000" w:themeColor="text1"/>
          <w:sz w:val="16"/>
          <w:szCs w:val="16"/>
        </w:rPr>
        <w:t>una legge regionale</w:t>
      </w:r>
      <w:r w:rsidR="00E62443" w:rsidRPr="00940DDB">
        <w:rPr>
          <w:rFonts w:ascii="Century Schoolbook" w:hAnsi="Century Schoolbook"/>
          <w:color w:val="000000" w:themeColor="text1"/>
          <w:sz w:val="16"/>
          <w:szCs w:val="16"/>
        </w:rPr>
        <w:t xml:space="preserve">, </w:t>
      </w:r>
      <w:r w:rsidR="00A05953" w:rsidRPr="00940DDB">
        <w:rPr>
          <w:rFonts w:ascii="Century Schoolbook" w:hAnsi="Century Schoolbook"/>
          <w:color w:val="000000" w:themeColor="text1"/>
          <w:sz w:val="16"/>
          <w:szCs w:val="16"/>
        </w:rPr>
        <w:t>pure</w:t>
      </w:r>
      <w:r w:rsidR="00E62443" w:rsidRPr="00940DDB">
        <w:rPr>
          <w:rFonts w:ascii="Century Schoolbook" w:hAnsi="Century Schoolbook"/>
          <w:color w:val="000000" w:themeColor="text1"/>
          <w:sz w:val="16"/>
          <w:szCs w:val="16"/>
        </w:rPr>
        <w:t xml:space="preserve"> se meglio strutturata a protezione dell’interesse pubblico tutelato anche da una legge </w:t>
      </w:r>
      <w:r w:rsidR="00A05953" w:rsidRPr="00940DDB">
        <w:rPr>
          <w:rFonts w:ascii="Century Schoolbook" w:hAnsi="Century Schoolbook"/>
          <w:color w:val="000000" w:themeColor="text1"/>
          <w:sz w:val="16"/>
          <w:szCs w:val="16"/>
        </w:rPr>
        <w:t>dello Stato</w:t>
      </w:r>
      <w:r w:rsidR="00E62443" w:rsidRPr="00940DDB">
        <w:rPr>
          <w:rFonts w:ascii="Century Schoolbook" w:hAnsi="Century Schoolbook"/>
          <w:color w:val="000000" w:themeColor="text1"/>
          <w:sz w:val="16"/>
          <w:szCs w:val="16"/>
        </w:rPr>
        <w:t>, invada le competenze d</w:t>
      </w:r>
      <w:r w:rsidR="00A05953" w:rsidRPr="00940DDB">
        <w:rPr>
          <w:rFonts w:ascii="Century Schoolbook" w:hAnsi="Century Schoolbook"/>
          <w:color w:val="000000" w:themeColor="text1"/>
          <w:sz w:val="16"/>
          <w:szCs w:val="16"/>
        </w:rPr>
        <w:t>i quest’ultimo</w:t>
      </w:r>
      <w:r w:rsidR="00E62443" w:rsidRPr="00940DDB">
        <w:rPr>
          <w:rFonts w:ascii="Century Schoolbook" w:hAnsi="Century Schoolbook"/>
          <w:color w:val="000000" w:themeColor="text1"/>
          <w:sz w:val="16"/>
          <w:szCs w:val="16"/>
        </w:rPr>
        <w:t xml:space="preserve">: è il caso deciso da C. cost. </w:t>
      </w:r>
      <w:r w:rsidR="00E62443" w:rsidRPr="00940DDB">
        <w:rPr>
          <w:rFonts w:ascii="Century Schoolbook" w:hAnsi="Century Schoolbook"/>
          <w:sz w:val="16"/>
          <w:szCs w:val="16"/>
        </w:rPr>
        <w:t xml:space="preserve">16 luglio 2019, n. </w:t>
      </w:r>
      <w:r w:rsidR="00E62443" w:rsidRPr="00940DDB">
        <w:rPr>
          <w:rFonts w:ascii="Century Schoolbook" w:hAnsi="Century Schoolbook"/>
          <w:color w:val="000000" w:themeColor="text1"/>
          <w:sz w:val="16"/>
          <w:szCs w:val="16"/>
        </w:rPr>
        <w:t xml:space="preserve">179, di cui dirò più avanti. Su questi aspetti v. M. A. Sandulli, </w:t>
      </w:r>
      <w:r w:rsidR="00E62443" w:rsidRPr="00940DDB">
        <w:rPr>
          <w:rFonts w:ascii="Century Schoolbook" w:hAnsi="Century Schoolbook"/>
          <w:i/>
          <w:iCs/>
          <w:color w:val="000000" w:themeColor="text1"/>
          <w:sz w:val="16"/>
          <w:szCs w:val="16"/>
        </w:rPr>
        <w:t>Controlli sull’attività edilizia, sanzioni e poteri di autotutela</w:t>
      </w:r>
      <w:r w:rsidR="00E62443" w:rsidRPr="00940DDB">
        <w:rPr>
          <w:rFonts w:ascii="Century Schoolbook" w:hAnsi="Century Schoolbook"/>
          <w:color w:val="000000" w:themeColor="text1"/>
          <w:sz w:val="16"/>
          <w:szCs w:val="16"/>
        </w:rPr>
        <w:t xml:space="preserve">, in </w:t>
      </w:r>
      <w:r w:rsidR="00E62443" w:rsidRPr="00940DDB">
        <w:rPr>
          <w:rFonts w:ascii="Century Schoolbook" w:hAnsi="Century Schoolbook"/>
          <w:i/>
          <w:iCs/>
          <w:color w:val="000000" w:themeColor="text1"/>
          <w:sz w:val="16"/>
          <w:szCs w:val="16"/>
        </w:rPr>
        <w:t>federalismi.it</w:t>
      </w:r>
      <w:r w:rsidR="00E62443" w:rsidRPr="00940DDB">
        <w:rPr>
          <w:rFonts w:ascii="Century Schoolbook" w:hAnsi="Century Schoolbook"/>
          <w:color w:val="000000" w:themeColor="text1"/>
          <w:sz w:val="16"/>
          <w:szCs w:val="16"/>
        </w:rPr>
        <w:t>, p. 36.</w:t>
      </w:r>
    </w:p>
  </w:footnote>
  <w:footnote w:id="11">
    <w:p w14:paraId="3E958523" w14:textId="2C4DCCD4"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C. cost. 27 luglio 2000, n. 378, in </w:t>
      </w:r>
      <w:r w:rsidRPr="00940DDB">
        <w:rPr>
          <w:rFonts w:ascii="Century Schoolbook" w:hAnsi="Century Schoolbook"/>
          <w:i/>
          <w:color w:val="000000" w:themeColor="text1"/>
          <w:sz w:val="16"/>
          <w:szCs w:val="16"/>
        </w:rPr>
        <w:t>Urb. app.</w:t>
      </w:r>
      <w:r w:rsidRPr="00940DDB">
        <w:rPr>
          <w:rFonts w:ascii="Century Schoolbook" w:hAnsi="Century Schoolbook"/>
          <w:color w:val="000000" w:themeColor="text1"/>
          <w:sz w:val="16"/>
          <w:szCs w:val="16"/>
        </w:rPr>
        <w:t xml:space="preserve">, 2001, n. 11, p. 1183 ss. (con nota di G. </w:t>
      </w:r>
      <w:r w:rsidRPr="00940DDB">
        <w:rPr>
          <w:rFonts w:ascii="Century Schoolbook" w:hAnsi="Century Schoolbook"/>
          <w:smallCaps/>
          <w:color w:val="000000" w:themeColor="text1"/>
          <w:sz w:val="16"/>
          <w:szCs w:val="16"/>
        </w:rPr>
        <w:t>Manfredi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Efficacia dei piani urbanistici territoriali e vincoli paesistico-ambientali</w:t>
      </w:r>
      <w:r w:rsidRPr="00940DDB">
        <w:rPr>
          <w:rFonts w:ascii="Century Schoolbook" w:hAnsi="Century Schoolbook"/>
          <w:color w:val="000000" w:themeColor="text1"/>
          <w:sz w:val="16"/>
          <w:szCs w:val="16"/>
        </w:rPr>
        <w:t xml:space="preserve">); in </w:t>
      </w:r>
      <w:r w:rsidRPr="00940DDB">
        <w:rPr>
          <w:rFonts w:ascii="Century Schoolbook" w:hAnsi="Century Schoolbook"/>
          <w:i/>
          <w:color w:val="000000" w:themeColor="text1"/>
          <w:sz w:val="16"/>
          <w:szCs w:val="16"/>
        </w:rPr>
        <w:t>Le Regioni</w:t>
      </w:r>
      <w:r w:rsidRPr="00940DDB">
        <w:rPr>
          <w:rFonts w:ascii="Century Schoolbook" w:hAnsi="Century Schoolbook"/>
          <w:color w:val="000000" w:themeColor="text1"/>
          <w:sz w:val="16"/>
          <w:szCs w:val="16"/>
        </w:rPr>
        <w:t xml:space="preserve">, 2001, n. 1, p. 106 ss. (con nota di R. </w:t>
      </w:r>
      <w:r w:rsidRPr="00940DDB">
        <w:rPr>
          <w:rFonts w:ascii="Century Schoolbook" w:hAnsi="Century Schoolbook"/>
          <w:smallCaps/>
          <w:color w:val="000000" w:themeColor="text1"/>
          <w:sz w:val="16"/>
          <w:szCs w:val="16"/>
        </w:rPr>
        <w:t>Bin</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Piani territoriali e principio di sussidiarietà</w:t>
      </w:r>
      <w:r w:rsidRPr="00940DDB">
        <w:rPr>
          <w:rFonts w:ascii="Century Schoolbook" w:hAnsi="Century Schoolbook"/>
          <w:color w:val="000000" w:themeColor="text1"/>
          <w:sz w:val="16"/>
          <w:szCs w:val="16"/>
        </w:rPr>
        <w:t xml:space="preserve">, cit.; nonché di T. </w:t>
      </w:r>
      <w:r w:rsidRPr="00940DDB">
        <w:rPr>
          <w:rFonts w:ascii="Century Schoolbook" w:hAnsi="Century Schoolbook"/>
          <w:smallCaps/>
          <w:color w:val="000000" w:themeColor="text1"/>
          <w:sz w:val="16"/>
          <w:szCs w:val="16"/>
        </w:rPr>
        <w:t>Groppi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 xml:space="preserve">I rapporti Regioni </w:t>
      </w:r>
      <w:r w:rsidR="00394099" w:rsidRPr="00940DDB">
        <w:rPr>
          <w:rFonts w:ascii="Century Schoolbook" w:hAnsi="Century Schoolbook"/>
          <w:i/>
          <w:color w:val="000000" w:themeColor="text1"/>
          <w:sz w:val="16"/>
          <w:szCs w:val="16"/>
        </w:rPr>
        <w:t>–</w:t>
      </w:r>
      <w:r w:rsidRPr="00940DDB">
        <w:rPr>
          <w:rFonts w:ascii="Century Schoolbook" w:hAnsi="Century Schoolbook"/>
          <w:i/>
          <w:color w:val="000000" w:themeColor="text1"/>
          <w:sz w:val="16"/>
          <w:szCs w:val="16"/>
        </w:rPr>
        <w:t xml:space="preserve"> enti locali tra Corte costituzionale e giudici comuni</w:t>
      </w:r>
      <w:r w:rsidRPr="00940DDB">
        <w:rPr>
          <w:rFonts w:ascii="Century Schoolbook" w:hAnsi="Century Schoolbook"/>
          <w:color w:val="000000" w:themeColor="text1"/>
          <w:sz w:val="16"/>
          <w:szCs w:val="16"/>
        </w:rPr>
        <w:t xml:space="preserve">). </w:t>
      </w:r>
    </w:p>
  </w:footnote>
  <w:footnote w:id="12">
    <w:p w14:paraId="09215687" w14:textId="107DD5E4"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lang w:val="en-GB"/>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lang w:val="en-GB"/>
        </w:rPr>
        <w:t xml:space="preserve"> C. cost. n. 378/’00, cit.</w:t>
      </w:r>
    </w:p>
  </w:footnote>
  <w:footnote w:id="13">
    <w:p w14:paraId="541FFC0A" w14:textId="77777777"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C. cost. 4 aprile 1990, n. 157, in </w:t>
      </w:r>
      <w:r w:rsidRPr="00940DDB">
        <w:rPr>
          <w:rFonts w:ascii="Century Schoolbook" w:hAnsi="Century Schoolbook"/>
          <w:i/>
          <w:color w:val="000000" w:themeColor="text1"/>
          <w:sz w:val="16"/>
          <w:szCs w:val="16"/>
        </w:rPr>
        <w:t>Riv. giur. ed.</w:t>
      </w:r>
      <w:r w:rsidRPr="00940DDB">
        <w:rPr>
          <w:rFonts w:ascii="Century Schoolbook" w:hAnsi="Century Schoolbook"/>
          <w:color w:val="000000" w:themeColor="text1"/>
          <w:sz w:val="16"/>
          <w:szCs w:val="16"/>
        </w:rPr>
        <w:t xml:space="preserve">, 1990, I, p. 181 ss., nonché in </w:t>
      </w:r>
      <w:r w:rsidRPr="00940DDB">
        <w:rPr>
          <w:rFonts w:ascii="Century Schoolbook" w:hAnsi="Century Schoolbook"/>
          <w:i/>
          <w:color w:val="000000" w:themeColor="text1"/>
          <w:sz w:val="16"/>
          <w:szCs w:val="16"/>
        </w:rPr>
        <w:t>Le Regioni</w:t>
      </w:r>
      <w:r w:rsidRPr="00940DDB">
        <w:rPr>
          <w:rFonts w:ascii="Century Schoolbook" w:hAnsi="Century Schoolbook"/>
          <w:color w:val="000000" w:themeColor="text1"/>
          <w:sz w:val="16"/>
          <w:szCs w:val="16"/>
        </w:rPr>
        <w:t xml:space="preserve">, 1991, n. 3, p. 695 ss. (con nota di G. </w:t>
      </w:r>
      <w:r w:rsidRPr="00940DDB">
        <w:rPr>
          <w:rFonts w:ascii="Century Schoolbook" w:hAnsi="Century Schoolbook"/>
          <w:smallCaps/>
          <w:color w:val="000000" w:themeColor="text1"/>
          <w:sz w:val="16"/>
          <w:szCs w:val="16"/>
        </w:rPr>
        <w:t>Pastori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Legislazione regionale e competenze urbanistiche comunali</w:t>
      </w:r>
      <w:r w:rsidRPr="00940DDB">
        <w:rPr>
          <w:rFonts w:ascii="Century Schoolbook" w:hAnsi="Century Schoolbook"/>
          <w:color w:val="000000" w:themeColor="text1"/>
          <w:sz w:val="16"/>
          <w:szCs w:val="16"/>
        </w:rPr>
        <w:t>).</w:t>
      </w:r>
    </w:p>
  </w:footnote>
  <w:footnote w:id="14">
    <w:p w14:paraId="6A14DB94" w14:textId="77777777"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C. cost. n. 157/’90, cit.: in tal modo – prosegue la Corte – «la Regione, con l’approvazione dei progetti, assume in proprio l’esercizio di una competenza di natura provvedimentale attinente alla sfera edilizia che esula dall’ambito delle attribuzioni più generali relative all’uso del territorio, affidate alla stessa Regione dagli artt. 80 ss. del d.P.R. n. 616 del 1977».</w:t>
      </w:r>
    </w:p>
    <w:p w14:paraId="3D38B5B3" w14:textId="2BDD4C79"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Fonts w:ascii="Century Schoolbook" w:hAnsi="Century Schoolbook"/>
          <w:color w:val="000000" w:themeColor="text1"/>
          <w:sz w:val="16"/>
          <w:szCs w:val="16"/>
        </w:rPr>
        <w:t xml:space="preserve">L’inibizione all’esercizio di poteri regionali ordinati all’adozione di provvedimenti specifici è stata criticata da quella dottrina (G. </w:t>
      </w:r>
      <w:r w:rsidRPr="00940DDB">
        <w:rPr>
          <w:rFonts w:ascii="Century Schoolbook" w:hAnsi="Century Schoolbook"/>
          <w:smallCaps/>
          <w:color w:val="000000" w:themeColor="text1"/>
          <w:sz w:val="16"/>
          <w:szCs w:val="16"/>
        </w:rPr>
        <w:t>Pastori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Legislazione regionale e competenze urbanistiche comunali</w:t>
      </w:r>
      <w:r w:rsidRPr="00940DDB">
        <w:rPr>
          <w:rFonts w:ascii="Century Schoolbook" w:hAnsi="Century Schoolbook"/>
          <w:color w:val="000000" w:themeColor="text1"/>
          <w:sz w:val="16"/>
          <w:szCs w:val="16"/>
        </w:rPr>
        <w:t>, cit.) – certo non sospetta di posizioni antimunicipaliste – che, pur condividendo l’impianto di fondo della decisione, ne ha evidenziato gli eccessi, insiti nell</w:t>
      </w:r>
      <w:r w:rsidR="00F47F29" w:rsidRPr="00940DDB">
        <w:rPr>
          <w:rFonts w:ascii="Century Schoolbook" w:hAnsi="Century Schoolbook"/>
          <w:color w:val="000000" w:themeColor="text1"/>
          <w:sz w:val="16"/>
          <w:szCs w:val="16"/>
        </w:rPr>
        <w:t>’</w:t>
      </w:r>
      <w:r w:rsidRPr="00940DDB">
        <w:rPr>
          <w:rFonts w:ascii="Century Schoolbook" w:hAnsi="Century Schoolbook"/>
          <w:color w:val="000000" w:themeColor="text1"/>
          <w:sz w:val="16"/>
          <w:szCs w:val="16"/>
        </w:rPr>
        <w:t>immotivata e irrazionale preclusione per l’interesse regionale di «trovare adeguata proiezione, oltre che nelle attribuzioni di pianificazione generale, anche in attribuzioni di progettazione puntuale» (p. 704 s.).</w:t>
      </w:r>
    </w:p>
    <w:p w14:paraId="573DE432" w14:textId="79687F5C"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Fonts w:ascii="Century Schoolbook" w:hAnsi="Century Schoolbook"/>
          <w:color w:val="000000" w:themeColor="text1"/>
          <w:sz w:val="16"/>
          <w:szCs w:val="16"/>
        </w:rPr>
        <w:t xml:space="preserve">Sostanzialmente analoga la posizione della Corte nella successiva sentenza 24 maggio 1991, n. 212: la Consulta – ritenuta l’identità della fattispecie – richiama espressamente la propria precedente decisione n. 157/’90 cit., precisando altresì che «un potere che si atteggia nel modo sopra illustrato non può certo considerarsi equivalente al potere decisionale che spetta al diverso soggetto che rimane </w:t>
      </w:r>
      <w:r w:rsidRPr="00940DDB">
        <w:rPr>
          <w:rFonts w:ascii="Century Schoolbook" w:hAnsi="Century Schoolbook"/>
          <w:i/>
          <w:color w:val="000000" w:themeColor="text1"/>
          <w:sz w:val="16"/>
          <w:szCs w:val="16"/>
        </w:rPr>
        <w:t>dominus</w:t>
      </w:r>
      <w:r w:rsidRPr="00940DDB">
        <w:rPr>
          <w:rFonts w:ascii="Century Schoolbook" w:hAnsi="Century Schoolbook"/>
          <w:color w:val="000000" w:themeColor="text1"/>
          <w:sz w:val="16"/>
          <w:szCs w:val="16"/>
        </w:rPr>
        <w:t xml:space="preserve"> del procedimento e titolare dell’atto finale».</w:t>
      </w:r>
      <w:r w:rsidR="001F04BE" w:rsidRPr="00940DDB">
        <w:rPr>
          <w:rFonts w:ascii="Century Schoolbook" w:hAnsi="Century Schoolbook"/>
          <w:color w:val="000000" w:themeColor="text1"/>
          <w:sz w:val="16"/>
          <w:szCs w:val="16"/>
        </w:rPr>
        <w:t xml:space="preserve"> </w:t>
      </w:r>
      <w:r w:rsidRPr="00940DDB">
        <w:rPr>
          <w:rFonts w:ascii="Century Schoolbook" w:hAnsi="Century Schoolbook"/>
          <w:color w:val="000000" w:themeColor="text1"/>
          <w:sz w:val="16"/>
          <w:szCs w:val="16"/>
        </w:rPr>
        <w:t xml:space="preserve">Secondo la Corte, la garanzia del principio autonomistico previsto dagli artt. 5 e 128 Cost. impone «la necessità che il procedimento che incide sull’approvazione ovvero sulla modifica degli strumenti urbanistici si articoli in maniera tale da assicurare la sostanziale partecipazione, allo stesso, degli enti il cui assetto territoriale è determinato proprio dagli strumenti in questione» (C. cost., 24 febbraio 1994, n. 61, in </w:t>
      </w:r>
      <w:r w:rsidRPr="00940DDB">
        <w:rPr>
          <w:rFonts w:ascii="Century Schoolbook" w:hAnsi="Century Schoolbook"/>
          <w:i/>
          <w:color w:val="000000" w:themeColor="text1"/>
          <w:sz w:val="16"/>
          <w:szCs w:val="16"/>
        </w:rPr>
        <w:t>Riv. giur. amb.</w:t>
      </w:r>
      <w:r w:rsidRPr="00940DDB">
        <w:rPr>
          <w:rFonts w:ascii="Century Schoolbook" w:hAnsi="Century Schoolbook"/>
          <w:color w:val="000000" w:themeColor="text1"/>
          <w:sz w:val="16"/>
          <w:szCs w:val="16"/>
        </w:rPr>
        <w:t xml:space="preserve">, 1995, p. 54 ss, con nota di A.G. </w:t>
      </w:r>
      <w:r w:rsidRPr="00940DDB">
        <w:rPr>
          <w:rFonts w:ascii="Century Schoolbook" w:hAnsi="Century Schoolbook"/>
          <w:smallCaps/>
          <w:color w:val="000000" w:themeColor="text1"/>
          <w:sz w:val="16"/>
          <w:szCs w:val="16"/>
        </w:rPr>
        <w:t>Arabia</w:t>
      </w:r>
      <w:r w:rsidRPr="00940DDB">
        <w:rPr>
          <w:rFonts w:ascii="Century Schoolbook" w:hAnsi="Century Schoolbook"/>
          <w:color w:val="000000" w:themeColor="text1"/>
          <w:sz w:val="16"/>
          <w:szCs w:val="16"/>
        </w:rPr>
        <w:t>).</w:t>
      </w:r>
    </w:p>
  </w:footnote>
  <w:footnote w:id="15">
    <w:p w14:paraId="0C448A1C" w14:textId="4406B717"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lang w:val="en-US"/>
        </w:rPr>
        <w:t xml:space="preserve"> C. cost. 8 aprile 1997, n. 83, in </w:t>
      </w:r>
      <w:r w:rsidRPr="00940DDB">
        <w:rPr>
          <w:rFonts w:ascii="Century Schoolbook" w:hAnsi="Century Schoolbook"/>
          <w:i/>
          <w:color w:val="000000" w:themeColor="text1"/>
          <w:sz w:val="16"/>
          <w:szCs w:val="16"/>
          <w:lang w:val="en-US"/>
        </w:rPr>
        <w:t>Giur. cost.</w:t>
      </w:r>
      <w:r w:rsidRPr="00940DDB">
        <w:rPr>
          <w:rFonts w:ascii="Century Schoolbook" w:hAnsi="Century Schoolbook"/>
          <w:color w:val="000000" w:themeColor="text1"/>
          <w:sz w:val="16"/>
          <w:szCs w:val="16"/>
          <w:lang w:val="en-US"/>
        </w:rPr>
        <w:t xml:space="preserve">, 1997, p. 804 ss. </w:t>
      </w:r>
      <w:r w:rsidRPr="00940DDB">
        <w:rPr>
          <w:rFonts w:ascii="Century Schoolbook" w:hAnsi="Century Schoolbook"/>
          <w:color w:val="000000" w:themeColor="text1"/>
          <w:sz w:val="16"/>
          <w:szCs w:val="16"/>
        </w:rPr>
        <w:t xml:space="preserve">(con note di T. </w:t>
      </w:r>
      <w:r w:rsidRPr="00940DDB">
        <w:rPr>
          <w:rFonts w:ascii="Century Schoolbook" w:hAnsi="Century Schoolbook"/>
          <w:smallCaps/>
          <w:color w:val="000000" w:themeColor="text1"/>
          <w:sz w:val="16"/>
          <w:szCs w:val="16"/>
        </w:rPr>
        <w:t>Groppi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Principio costituzionale di autonomia locale e Regioni a statuto speciale: la Corte individua limiti al legislatore regionale validi anche per le leggi statali?</w:t>
      </w:r>
      <w:r w:rsidRPr="00940DDB">
        <w:rPr>
          <w:rFonts w:ascii="Century Schoolbook" w:hAnsi="Century Schoolbook"/>
          <w:color w:val="000000" w:themeColor="text1"/>
          <w:sz w:val="16"/>
          <w:szCs w:val="16"/>
        </w:rPr>
        <w:t xml:space="preserve"> e di M. </w:t>
      </w:r>
      <w:r w:rsidRPr="00940DDB">
        <w:rPr>
          <w:rFonts w:ascii="Century Schoolbook" w:hAnsi="Century Schoolbook"/>
          <w:smallCaps/>
          <w:color w:val="000000" w:themeColor="text1"/>
          <w:sz w:val="16"/>
          <w:szCs w:val="16"/>
        </w:rPr>
        <w:t>Esposito</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Autonomia comunale e governo del territorio</w:t>
      </w:r>
      <w:r w:rsidRPr="00940DDB">
        <w:rPr>
          <w:rFonts w:ascii="Century Schoolbook" w:hAnsi="Century Schoolbook"/>
          <w:color w:val="000000" w:themeColor="text1"/>
          <w:sz w:val="16"/>
          <w:szCs w:val="16"/>
        </w:rPr>
        <w:t>), la quale prosegue richiamando i propri (già citati nel testo) precedenti, e ribadendo dunque che «non potrebbero le Regioni disporre la trasformazione dei poteri comunali in ordine all’uso del territorio in funzioni meramente consultive prive di reale incidenza, o in funzioni di proposta o ancora in semplici attività esecutive (sent</w:t>
      </w:r>
      <w:r w:rsidR="006F5A23" w:rsidRPr="00940DDB">
        <w:rPr>
          <w:rFonts w:ascii="Century Schoolbook" w:hAnsi="Century Schoolbook"/>
          <w:color w:val="000000" w:themeColor="text1"/>
          <w:sz w:val="16"/>
          <w:szCs w:val="16"/>
        </w:rPr>
        <w:t>enze</w:t>
      </w:r>
      <w:r w:rsidRPr="00940DDB">
        <w:rPr>
          <w:rFonts w:ascii="Century Schoolbook" w:hAnsi="Century Schoolbook"/>
          <w:color w:val="000000" w:themeColor="text1"/>
          <w:sz w:val="16"/>
          <w:szCs w:val="16"/>
        </w:rPr>
        <w:t xml:space="preserve"> n. 61 del 1994 e n. 212 del 1991)».</w:t>
      </w:r>
    </w:p>
  </w:footnote>
  <w:footnote w:id="16">
    <w:p w14:paraId="3C730420" w14:textId="77777777"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Le sentenze n. 157/’90 e n. 212/’91 concernevano infatti procedimenti per l’approvazione di interventi per la realizzazione di insediamenti turistici e alberghieri in previsione dello svolgimento dei campionati mondiali di calcio del 1990.</w:t>
      </w:r>
    </w:p>
  </w:footnote>
  <w:footnote w:id="17">
    <w:p w14:paraId="2372230F" w14:textId="6103B55D" w:rsidR="00B71128" w:rsidRPr="00940DDB" w:rsidRDefault="00B71128"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Le </w:t>
      </w:r>
      <w:r w:rsidR="00C33CC7" w:rsidRPr="00940DDB">
        <w:rPr>
          <w:rFonts w:ascii="Century Schoolbook" w:hAnsi="Century Schoolbook"/>
          <w:color w:val="000000" w:themeColor="text1"/>
          <w:sz w:val="16"/>
          <w:szCs w:val="16"/>
        </w:rPr>
        <w:t>pronunce</w:t>
      </w:r>
      <w:r w:rsidRPr="00940DDB">
        <w:rPr>
          <w:rFonts w:ascii="Century Schoolbook" w:hAnsi="Century Schoolbook"/>
          <w:color w:val="000000" w:themeColor="text1"/>
          <w:sz w:val="16"/>
          <w:szCs w:val="16"/>
        </w:rPr>
        <w:t xml:space="preserve"> n. 61/’94 e n. 83/’97 riguardavano rispettivamente i procedimenti di individuazione, </w:t>
      </w:r>
      <w:r w:rsidR="001F04BE" w:rsidRPr="00940DDB">
        <w:rPr>
          <w:rFonts w:ascii="Century Schoolbook" w:hAnsi="Century Schoolbook"/>
          <w:color w:val="000000" w:themeColor="text1"/>
          <w:sz w:val="16"/>
          <w:szCs w:val="16"/>
        </w:rPr>
        <w:t>per</w:t>
      </w:r>
      <w:r w:rsidRPr="00940DDB">
        <w:rPr>
          <w:rFonts w:ascii="Century Schoolbook" w:hAnsi="Century Schoolbook"/>
          <w:color w:val="000000" w:themeColor="text1"/>
          <w:sz w:val="16"/>
          <w:szCs w:val="16"/>
        </w:rPr>
        <w:t xml:space="preserve"> opera della Regione, delle zone di protezione delle risorse idriche nonché di approvazione, da parte della Provincia di Trento, di programmi integrati per l’attuazione di interventi diretti alla riorganizzazione della mobilità.</w:t>
      </w:r>
    </w:p>
  </w:footnote>
  <w:footnote w:id="18">
    <w:p w14:paraId="547076ED" w14:textId="77777777" w:rsidR="001F696E" w:rsidRPr="00940DDB" w:rsidRDefault="001F696E"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Cfr. C. cost., 3 novembre 1988, n. 1010, in </w:t>
      </w:r>
      <w:r w:rsidRPr="00940DDB">
        <w:rPr>
          <w:rFonts w:ascii="Century Schoolbook" w:hAnsi="Century Schoolbook"/>
          <w:i/>
          <w:color w:val="000000" w:themeColor="text1"/>
          <w:sz w:val="16"/>
          <w:szCs w:val="16"/>
        </w:rPr>
        <w:t>Le Regioni</w:t>
      </w:r>
      <w:r w:rsidRPr="00940DDB">
        <w:rPr>
          <w:rFonts w:ascii="Century Schoolbook" w:hAnsi="Century Schoolbook"/>
          <w:color w:val="000000" w:themeColor="text1"/>
          <w:sz w:val="16"/>
          <w:szCs w:val="16"/>
        </w:rPr>
        <w:t xml:space="preserve">, 1990, n. 1, p. 195 ss. (con nota di D. </w:t>
      </w:r>
      <w:r w:rsidRPr="00940DDB">
        <w:rPr>
          <w:rFonts w:ascii="Century Schoolbook" w:hAnsi="Century Schoolbook"/>
          <w:smallCaps/>
          <w:color w:val="000000" w:themeColor="text1"/>
          <w:sz w:val="16"/>
          <w:szCs w:val="16"/>
        </w:rPr>
        <w:t>Corletto</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Procedimento di approvazione dei piani urbanistici e principio autonomistico</w:t>
      </w:r>
      <w:r w:rsidRPr="00940DDB">
        <w:rPr>
          <w:rFonts w:ascii="Century Schoolbook" w:hAnsi="Century Schoolbook"/>
          <w:color w:val="000000" w:themeColor="text1"/>
          <w:sz w:val="16"/>
          <w:szCs w:val="16"/>
        </w:rPr>
        <w:t>).</w:t>
      </w:r>
    </w:p>
  </w:footnote>
  <w:footnote w:id="19">
    <w:p w14:paraId="14A20589" w14:textId="6353A247" w:rsidR="006644C6" w:rsidRPr="00940DDB" w:rsidRDefault="006644C6"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w:t>
      </w:r>
      <w:r w:rsidR="00C86EBB" w:rsidRPr="00940DDB">
        <w:rPr>
          <w:rFonts w:ascii="Century Schoolbook" w:hAnsi="Century Schoolbook"/>
          <w:color w:val="000000" w:themeColor="text1"/>
          <w:sz w:val="16"/>
          <w:szCs w:val="16"/>
        </w:rPr>
        <w:t xml:space="preserve">D’altra parte, la legittimazione </w:t>
      </w:r>
      <w:r w:rsidR="00C86EBB" w:rsidRPr="00940DDB">
        <w:rPr>
          <w:rFonts w:ascii="Century Schoolbook" w:hAnsi="Century Schoolbook"/>
          <w:i/>
          <w:color w:val="000000" w:themeColor="text1"/>
          <w:sz w:val="16"/>
          <w:szCs w:val="16"/>
        </w:rPr>
        <w:t>generale</w:t>
      </w:r>
      <w:r w:rsidR="00C86EBB" w:rsidRPr="00940DDB">
        <w:rPr>
          <w:rFonts w:ascii="Century Schoolbook" w:hAnsi="Century Schoolbook"/>
          <w:color w:val="000000" w:themeColor="text1"/>
          <w:sz w:val="16"/>
          <w:szCs w:val="16"/>
        </w:rPr>
        <w:t xml:space="preserve"> di un siffatto </w:t>
      </w:r>
      <w:r w:rsidR="00C86EBB" w:rsidRPr="00940DDB">
        <w:rPr>
          <w:rFonts w:ascii="Century Schoolbook" w:hAnsi="Century Schoolbook"/>
          <w:i/>
          <w:color w:val="000000" w:themeColor="text1"/>
          <w:sz w:val="16"/>
          <w:szCs w:val="16"/>
        </w:rPr>
        <w:t>modus operandi</w:t>
      </w:r>
      <w:r w:rsidR="00C86EBB" w:rsidRPr="00940DDB">
        <w:rPr>
          <w:rFonts w:ascii="Century Schoolbook" w:hAnsi="Century Schoolbook"/>
          <w:color w:val="000000" w:themeColor="text1"/>
          <w:sz w:val="16"/>
          <w:szCs w:val="16"/>
        </w:rPr>
        <w:t xml:space="preserve"> delle Regioni </w:t>
      </w:r>
      <w:r w:rsidR="00BA74A3" w:rsidRPr="00940DDB">
        <w:rPr>
          <w:rFonts w:ascii="Century Schoolbook" w:hAnsi="Century Schoolbook"/>
          <w:color w:val="000000" w:themeColor="text1"/>
          <w:sz w:val="16"/>
          <w:szCs w:val="16"/>
        </w:rPr>
        <w:t>discende</w:t>
      </w:r>
      <w:r w:rsidR="00C86EBB" w:rsidRPr="00940DDB">
        <w:rPr>
          <w:rFonts w:ascii="Century Schoolbook" w:hAnsi="Century Schoolbook"/>
          <w:color w:val="000000" w:themeColor="text1"/>
          <w:sz w:val="16"/>
          <w:szCs w:val="16"/>
        </w:rPr>
        <w:t xml:space="preserve"> – nel pensiero della Corte – proprio dal «</w:t>
      </w:r>
      <w:r w:rsidR="00C86EBB" w:rsidRPr="00940DDB">
        <w:rPr>
          <w:rFonts w:ascii="Century Schoolbook" w:hAnsi="Century Schoolbook"/>
          <w:i/>
          <w:color w:val="000000" w:themeColor="text1"/>
          <w:sz w:val="16"/>
          <w:szCs w:val="16"/>
        </w:rPr>
        <w:t>ruolo di centralità</w:t>
      </w:r>
      <w:r w:rsidR="00C86EBB" w:rsidRPr="00940DDB">
        <w:rPr>
          <w:rFonts w:ascii="Century Schoolbook" w:hAnsi="Century Schoolbook"/>
          <w:color w:val="000000" w:themeColor="text1"/>
          <w:sz w:val="16"/>
          <w:szCs w:val="16"/>
        </w:rPr>
        <w:t xml:space="preserve"> che esse vengono ad assumere nel sistema delle autonomie locali (sent. n. 343 del 1991), in particolare mediante la pianificazione e la programmazione territoriale»: ne deriva, «una volta che il nuovo strumento è previsto da una legge dello Stato come un tipo uniforme di intervento nel territorio», che «lo stabilire in concreto i procedimenti per la sua formazione – in relazione alle finalità che quei programmi devono attuare e fatti salvi i principi fondamentali, ai sensi del primo comma dell’art. 117 della Costituzione – spetta alla legge regionale, che risulterebbe, altrimenti, svuotata di ogni significato». Questo, e i due</w:t>
      </w:r>
      <w:r w:rsidRPr="00940DDB">
        <w:rPr>
          <w:rFonts w:ascii="Century Schoolbook" w:hAnsi="Century Schoolbook"/>
          <w:color w:val="000000" w:themeColor="text1"/>
          <w:sz w:val="16"/>
          <w:szCs w:val="16"/>
        </w:rPr>
        <w:t xml:space="preserve"> passi riportati nel testo</w:t>
      </w:r>
      <w:r w:rsidR="00C86EBB" w:rsidRPr="00940DDB">
        <w:rPr>
          <w:rFonts w:ascii="Century Schoolbook" w:hAnsi="Century Schoolbook"/>
          <w:color w:val="000000" w:themeColor="text1"/>
          <w:sz w:val="16"/>
          <w:szCs w:val="16"/>
        </w:rPr>
        <w:t>,</w:t>
      </w:r>
      <w:r w:rsidRPr="00940DDB">
        <w:rPr>
          <w:rFonts w:ascii="Century Schoolbook" w:hAnsi="Century Schoolbook"/>
          <w:color w:val="000000" w:themeColor="text1"/>
          <w:sz w:val="16"/>
          <w:szCs w:val="16"/>
        </w:rPr>
        <w:t xml:space="preserve"> sono tratti da C. cost.</w:t>
      </w:r>
      <w:r w:rsidR="0025609C" w:rsidRPr="00940DDB">
        <w:rPr>
          <w:rFonts w:ascii="Century Schoolbook" w:hAnsi="Century Schoolbook"/>
          <w:color w:val="000000" w:themeColor="text1"/>
          <w:sz w:val="16"/>
          <w:szCs w:val="16"/>
        </w:rPr>
        <w:t>,</w:t>
      </w:r>
      <w:r w:rsidRPr="00940DDB">
        <w:rPr>
          <w:rFonts w:ascii="Century Schoolbook" w:hAnsi="Century Schoolbook"/>
          <w:color w:val="000000" w:themeColor="text1"/>
          <w:sz w:val="16"/>
          <w:szCs w:val="16"/>
        </w:rPr>
        <w:t xml:space="preserve"> </w:t>
      </w:r>
      <w:r w:rsidR="0025609C" w:rsidRPr="00940DDB">
        <w:rPr>
          <w:rFonts w:ascii="Century Schoolbook" w:hAnsi="Century Schoolbook"/>
          <w:color w:val="000000" w:themeColor="text1"/>
          <w:sz w:val="16"/>
          <w:szCs w:val="16"/>
        </w:rPr>
        <w:t>27 luglio 1995, n. 408</w:t>
      </w:r>
      <w:r w:rsidRPr="00940DDB">
        <w:rPr>
          <w:rFonts w:ascii="Century Schoolbook" w:hAnsi="Century Schoolbook"/>
          <w:color w:val="000000" w:themeColor="text1"/>
          <w:sz w:val="16"/>
          <w:szCs w:val="16"/>
        </w:rPr>
        <w:t>.</w:t>
      </w:r>
    </w:p>
  </w:footnote>
  <w:footnote w:id="20">
    <w:p w14:paraId="79D3EAED" w14:textId="38C418BA" w:rsidR="005016F7" w:rsidRPr="00940DDB" w:rsidRDefault="005016F7"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C. cost., 28 ottobre 2021, n. 202</w:t>
      </w:r>
      <w:r w:rsidR="00415291" w:rsidRPr="00940DDB">
        <w:rPr>
          <w:rFonts w:ascii="Century Schoolbook" w:hAnsi="Century Schoolbook"/>
          <w:sz w:val="16"/>
          <w:szCs w:val="16"/>
        </w:rPr>
        <w:t xml:space="preserve"> (corsivo aggiunto da me)</w:t>
      </w:r>
      <w:r w:rsidRPr="00940DDB">
        <w:rPr>
          <w:rFonts w:ascii="Century Schoolbook" w:hAnsi="Century Schoolbook"/>
          <w:sz w:val="16"/>
          <w:szCs w:val="16"/>
        </w:rPr>
        <w:t>.</w:t>
      </w:r>
    </w:p>
  </w:footnote>
  <w:footnote w:id="21">
    <w:p w14:paraId="25DECE7A" w14:textId="003262E0" w:rsidR="009207F6" w:rsidRPr="00940DDB" w:rsidRDefault="009207F6" w:rsidP="004B25C8">
      <w:pPr>
        <w:pStyle w:val="Testonotaapidipagina"/>
        <w:ind w:firstLine="709"/>
        <w:contextualSpacing/>
        <w:jc w:val="both"/>
        <w:rPr>
          <w:rFonts w:ascii="Century Schoolbook" w:hAnsi="Century Schoolbook"/>
          <w:color w:val="000000" w:themeColor="text1"/>
          <w:sz w:val="16"/>
          <w:szCs w:val="16"/>
          <w:lang w:val="en-GB"/>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lang w:val="en-GB"/>
        </w:rPr>
        <w:t xml:space="preserve"> C. cost. n. 378/’00, cit.</w:t>
      </w:r>
    </w:p>
  </w:footnote>
  <w:footnote w:id="22">
    <w:p w14:paraId="35B12CB8" w14:textId="5EAC093B" w:rsidR="006644C6" w:rsidRPr="00940DDB" w:rsidRDefault="006644C6" w:rsidP="004B25C8">
      <w:pPr>
        <w:pStyle w:val="Testonotaapidipagina"/>
        <w:ind w:firstLine="709"/>
        <w:contextualSpacing/>
        <w:jc w:val="both"/>
        <w:rPr>
          <w:rFonts w:ascii="Century Schoolbook" w:hAnsi="Century Schoolbook"/>
          <w:i/>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Il </w:t>
      </w:r>
      <w:r w:rsidRPr="00940DDB">
        <w:rPr>
          <w:rFonts w:ascii="Century Schoolbook" w:hAnsi="Century Schoolbook"/>
          <w:i/>
          <w:color w:val="000000" w:themeColor="text1"/>
          <w:sz w:val="16"/>
          <w:szCs w:val="16"/>
          <w:lang w:val="fr-FR"/>
        </w:rPr>
        <w:t>revirement</w:t>
      </w:r>
      <w:r w:rsidRPr="00940DDB">
        <w:rPr>
          <w:rFonts w:ascii="Century Schoolbook" w:hAnsi="Century Schoolbook"/>
          <w:i/>
          <w:color w:val="000000" w:themeColor="text1"/>
          <w:sz w:val="16"/>
          <w:szCs w:val="16"/>
        </w:rPr>
        <w:t xml:space="preserve"> </w:t>
      </w:r>
      <w:r w:rsidRPr="00940DDB">
        <w:rPr>
          <w:rFonts w:ascii="Century Schoolbook" w:hAnsi="Century Schoolbook"/>
          <w:color w:val="000000" w:themeColor="text1"/>
          <w:sz w:val="16"/>
          <w:szCs w:val="16"/>
        </w:rPr>
        <w:t xml:space="preserve">rispetto alle precedenti affermazioni della Corte non è sfuggito alla dottrina: cfr. R. </w:t>
      </w:r>
      <w:r w:rsidRPr="00940DDB">
        <w:rPr>
          <w:rFonts w:ascii="Century Schoolbook" w:hAnsi="Century Schoolbook"/>
          <w:smallCaps/>
          <w:color w:val="000000" w:themeColor="text1"/>
          <w:sz w:val="16"/>
          <w:szCs w:val="16"/>
        </w:rPr>
        <w:t>Bin</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Piani territoriali e principio di sussidiarietà</w:t>
      </w:r>
      <w:r w:rsidRPr="00940DDB">
        <w:rPr>
          <w:rFonts w:ascii="Century Schoolbook" w:hAnsi="Century Schoolbook"/>
          <w:color w:val="000000" w:themeColor="text1"/>
          <w:sz w:val="16"/>
          <w:szCs w:val="16"/>
        </w:rPr>
        <w:t xml:space="preserve">, cit., p. 119; A. </w:t>
      </w:r>
      <w:r w:rsidRPr="00940DDB">
        <w:rPr>
          <w:rFonts w:ascii="Century Schoolbook" w:hAnsi="Century Schoolbook"/>
          <w:smallCaps/>
          <w:color w:val="000000" w:themeColor="text1"/>
          <w:sz w:val="16"/>
          <w:szCs w:val="16"/>
        </w:rPr>
        <w:t>Barone</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 xml:space="preserve">La nuova </w:t>
      </w:r>
      <w:r w:rsidRPr="00940DDB">
        <w:rPr>
          <w:rFonts w:ascii="Century Schoolbook" w:hAnsi="Century Schoolbook"/>
          <w:color w:val="000000" w:themeColor="text1"/>
          <w:sz w:val="16"/>
          <w:szCs w:val="16"/>
        </w:rPr>
        <w:t>governance</w:t>
      </w:r>
      <w:r w:rsidRPr="00940DDB">
        <w:rPr>
          <w:rFonts w:ascii="Century Schoolbook" w:hAnsi="Century Schoolbook"/>
          <w:i/>
          <w:color w:val="000000" w:themeColor="text1"/>
          <w:sz w:val="16"/>
          <w:szCs w:val="16"/>
        </w:rPr>
        <w:t xml:space="preserve"> del territorio</w:t>
      </w:r>
      <w:r w:rsidRPr="00940DDB">
        <w:rPr>
          <w:rFonts w:ascii="Century Schoolbook" w:hAnsi="Century Schoolbook"/>
          <w:color w:val="000000" w:themeColor="text1"/>
          <w:sz w:val="16"/>
          <w:szCs w:val="16"/>
        </w:rPr>
        <w:t xml:space="preserve">, cit., p. 58 ss. </w:t>
      </w:r>
    </w:p>
  </w:footnote>
  <w:footnote w:id="23">
    <w:p w14:paraId="690D6589" w14:textId="77777777" w:rsidR="006644C6" w:rsidRPr="00940DDB" w:rsidRDefault="006644C6"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In quanto – puntualizza la Consulta nella decisione n. 378/’00 in esame – «caratterizzato dalla pressoché totale inutilizzazione dello strumento di coordinamento e da una modesta pianificazione urbanistica».</w:t>
      </w:r>
    </w:p>
  </w:footnote>
  <w:footnote w:id="24">
    <w:p w14:paraId="25A891DF" w14:textId="3D8B6A74" w:rsidR="006644C6" w:rsidRPr="00940DDB" w:rsidRDefault="006644C6"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w:t>
      </w:r>
      <w:r w:rsidR="00620B2B" w:rsidRPr="00940DDB">
        <w:rPr>
          <w:rFonts w:ascii="Century Schoolbook" w:hAnsi="Century Schoolbook"/>
          <w:color w:val="000000" w:themeColor="text1"/>
          <w:sz w:val="16"/>
          <w:szCs w:val="16"/>
        </w:rPr>
        <w:t xml:space="preserve">I tre passi riportati nel testo sono pure tratti da </w:t>
      </w:r>
      <w:r w:rsidRPr="00940DDB">
        <w:rPr>
          <w:rFonts w:ascii="Century Schoolbook" w:hAnsi="Century Schoolbook"/>
          <w:color w:val="000000" w:themeColor="text1"/>
          <w:sz w:val="16"/>
          <w:szCs w:val="16"/>
        </w:rPr>
        <w:t>C. cost. n. 378/’00, cit.</w:t>
      </w:r>
      <w:r w:rsidR="00D425D2" w:rsidRPr="00940DDB">
        <w:rPr>
          <w:rFonts w:ascii="Century Schoolbook" w:hAnsi="Century Schoolbook"/>
          <w:color w:val="000000" w:themeColor="text1"/>
          <w:sz w:val="16"/>
          <w:szCs w:val="16"/>
        </w:rPr>
        <w:t>: corsivazione non originale.</w:t>
      </w:r>
    </w:p>
  </w:footnote>
  <w:footnote w:id="25">
    <w:p w14:paraId="0FF07F43" w14:textId="0B8BD83E" w:rsidR="00BA74A3" w:rsidRPr="00940DDB" w:rsidRDefault="00BA74A3"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Rinvio per brevità al mio </w:t>
      </w:r>
      <w:r w:rsidRPr="00940DDB">
        <w:rPr>
          <w:rFonts w:ascii="Century Schoolbook" w:hAnsi="Century Schoolbook"/>
          <w:i/>
          <w:iCs/>
          <w:sz w:val="16"/>
          <w:szCs w:val="16"/>
        </w:rPr>
        <w:t>Contro il prossimalismo nel governo del territorio</w:t>
      </w:r>
      <w:r w:rsidR="00C81507" w:rsidRPr="00940DDB">
        <w:rPr>
          <w:rFonts w:ascii="Century Schoolbook" w:hAnsi="Century Schoolbook"/>
          <w:sz w:val="16"/>
          <w:szCs w:val="16"/>
        </w:rPr>
        <w:t xml:space="preserve">, in </w:t>
      </w:r>
      <w:r w:rsidR="00C81507" w:rsidRPr="00940DDB">
        <w:rPr>
          <w:rFonts w:ascii="Century Schoolbook" w:hAnsi="Century Schoolbook"/>
          <w:i/>
          <w:iCs/>
          <w:sz w:val="16"/>
          <w:szCs w:val="16"/>
        </w:rPr>
        <w:t>nuoveautonomie.it</w:t>
      </w:r>
      <w:r w:rsidR="00C81507" w:rsidRPr="00940DDB">
        <w:rPr>
          <w:rFonts w:ascii="Century Schoolbook" w:hAnsi="Century Schoolbook"/>
          <w:sz w:val="16"/>
          <w:szCs w:val="16"/>
        </w:rPr>
        <w:t xml:space="preserve">, 2021, p. 81 ss. e in </w:t>
      </w:r>
      <w:r w:rsidR="00C81507" w:rsidRPr="00940DDB">
        <w:rPr>
          <w:rFonts w:ascii="Century Schoolbook" w:hAnsi="Century Schoolbook"/>
          <w:i/>
          <w:iCs/>
          <w:sz w:val="16"/>
          <w:szCs w:val="16"/>
        </w:rPr>
        <w:t>giustizia-amministrativa.it</w:t>
      </w:r>
      <w:r w:rsidR="00C81507" w:rsidRPr="00940DDB">
        <w:rPr>
          <w:rFonts w:ascii="Century Schoolbook" w:hAnsi="Century Schoolbook"/>
          <w:sz w:val="16"/>
          <w:szCs w:val="16"/>
        </w:rPr>
        <w:t>.</w:t>
      </w:r>
    </w:p>
  </w:footnote>
  <w:footnote w:id="26">
    <w:p w14:paraId="59303F0F" w14:textId="3F0EECD6" w:rsidR="009F5309" w:rsidRPr="00940DDB" w:rsidRDefault="009F5309"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Non mi pare peraltro che nella sentenza del giudice </w:t>
      </w:r>
      <w:r w:rsidRPr="00940DDB">
        <w:rPr>
          <w:rFonts w:ascii="Century Schoolbook" w:hAnsi="Century Schoolbook"/>
          <w:i/>
          <w:iCs/>
          <w:sz w:val="16"/>
          <w:szCs w:val="16"/>
        </w:rPr>
        <w:t>a quo</w:t>
      </w:r>
      <w:r w:rsidRPr="00940DDB">
        <w:rPr>
          <w:rFonts w:ascii="Century Schoolbook" w:hAnsi="Century Schoolbook"/>
          <w:sz w:val="16"/>
          <w:szCs w:val="16"/>
        </w:rPr>
        <w:t xml:space="preserve"> (Consiglio di Stato n. 5711/’17) si legga </w:t>
      </w:r>
      <w:r w:rsidR="00280DF0" w:rsidRPr="00940DDB">
        <w:rPr>
          <w:rFonts w:ascii="Century Schoolbook" w:hAnsi="Century Schoolbook"/>
          <w:sz w:val="16"/>
          <w:szCs w:val="16"/>
        </w:rPr>
        <w:t xml:space="preserve">proprio </w:t>
      </w:r>
      <w:r w:rsidRPr="00940DDB">
        <w:rPr>
          <w:rFonts w:ascii="Century Schoolbook" w:hAnsi="Century Schoolbook"/>
          <w:sz w:val="16"/>
          <w:szCs w:val="16"/>
        </w:rPr>
        <w:t>questo.</w:t>
      </w:r>
    </w:p>
  </w:footnote>
  <w:footnote w:id="27">
    <w:p w14:paraId="7AA5FFFC" w14:textId="5A8B0803" w:rsidR="00B725F2" w:rsidRPr="00940DDB" w:rsidRDefault="00B725F2"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Entrambi i corsivi sono aggiunti da me.</w:t>
      </w:r>
    </w:p>
  </w:footnote>
  <w:footnote w:id="28">
    <w:p w14:paraId="0067025C" w14:textId="65E4BD20" w:rsidR="00490140" w:rsidRPr="00940DDB" w:rsidRDefault="00490140" w:rsidP="006E334B">
      <w:pPr>
        <w:pStyle w:val="Testonotaapidipagina"/>
        <w:ind w:firstLine="708"/>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3D3751" w:rsidRPr="00940DDB">
        <w:rPr>
          <w:rFonts w:ascii="Century Schoolbook" w:hAnsi="Century Schoolbook"/>
          <w:sz w:val="16"/>
          <w:szCs w:val="16"/>
        </w:rPr>
        <w:t xml:space="preserve">Cfr. </w:t>
      </w:r>
      <w:r w:rsidRPr="00940DDB">
        <w:rPr>
          <w:rFonts w:ascii="Century Schoolbook" w:hAnsi="Century Schoolbook"/>
          <w:sz w:val="16"/>
          <w:szCs w:val="16"/>
        </w:rPr>
        <w:t xml:space="preserve">G. Gardini, </w:t>
      </w:r>
      <w:r w:rsidRPr="00940DDB">
        <w:rPr>
          <w:rFonts w:ascii="Century Schoolbook" w:hAnsi="Century Schoolbook"/>
          <w:i/>
          <w:iCs/>
          <w:sz w:val="16"/>
          <w:szCs w:val="16"/>
        </w:rPr>
        <w:t>Riordino istituzionale e nuove forme di governo locale</w:t>
      </w:r>
      <w:r w:rsidRPr="00940DDB">
        <w:rPr>
          <w:rFonts w:ascii="Century Schoolbook" w:hAnsi="Century Schoolbook"/>
          <w:sz w:val="16"/>
          <w:szCs w:val="16"/>
        </w:rPr>
        <w:t xml:space="preserve">, in L. Vandelli, G. Gardini, C. Tubertini (a cura di), </w:t>
      </w:r>
      <w:r w:rsidRPr="00940DDB">
        <w:rPr>
          <w:rFonts w:ascii="Century Schoolbook" w:hAnsi="Century Schoolbook"/>
          <w:i/>
          <w:iCs/>
          <w:sz w:val="16"/>
          <w:szCs w:val="16"/>
        </w:rPr>
        <w:t>Le autonomie territoriali: trasformazioni e innovazioni dopo la crisi</w:t>
      </w:r>
      <w:r w:rsidRPr="00940DDB">
        <w:rPr>
          <w:rFonts w:ascii="Century Schoolbook" w:hAnsi="Century Schoolbook"/>
          <w:sz w:val="16"/>
          <w:szCs w:val="16"/>
        </w:rPr>
        <w:t xml:space="preserve">, Rimini, Maggioli, 2017, p. 67 ss., spec. p. 69. Con riferimento agli assetti ordinamentali </w:t>
      </w:r>
      <w:r w:rsidR="003D3751" w:rsidRPr="00940DDB">
        <w:rPr>
          <w:rFonts w:ascii="Century Schoolbook" w:hAnsi="Century Schoolbook"/>
          <w:sz w:val="16"/>
          <w:szCs w:val="16"/>
        </w:rPr>
        <w:t xml:space="preserve">(finalmente) più centralisti, </w:t>
      </w:r>
      <w:r w:rsidRPr="00940DDB">
        <w:rPr>
          <w:rFonts w:ascii="Century Schoolbook" w:hAnsi="Century Schoolbook"/>
          <w:sz w:val="16"/>
          <w:szCs w:val="16"/>
        </w:rPr>
        <w:t xml:space="preserve">conseguenti allo scenario di crisi economico-sociale iniziata negli anni dieci di questo secolo, Gardini nota che «l’autonomia cessa di essere una virtù e assume i contorni del vizio». A me pare invece che, in generale, né l’autonomia, né il centralismo possano essere </w:t>
      </w:r>
      <w:r w:rsidRPr="00940DDB">
        <w:rPr>
          <w:rFonts w:ascii="Century Schoolbook" w:hAnsi="Century Schoolbook"/>
          <w:i/>
          <w:iCs/>
          <w:sz w:val="16"/>
          <w:szCs w:val="16"/>
        </w:rPr>
        <w:t>a priori</w:t>
      </w:r>
      <w:r w:rsidRPr="00940DDB">
        <w:rPr>
          <w:rFonts w:ascii="Century Schoolbook" w:hAnsi="Century Schoolbook"/>
          <w:sz w:val="16"/>
          <w:szCs w:val="16"/>
        </w:rPr>
        <w:t xml:space="preserve"> qualificati assiologicamente in un senso o nell’altro. Se poi guardiamo, in particolare, al governo del territorio, avrei sì qualche difficoltà nel mantenere una posizione di indifferenza valutativa: ma orientandomi in senso opposto a quello indicato da Gardini.</w:t>
      </w:r>
    </w:p>
  </w:footnote>
  <w:footnote w:id="29">
    <w:p w14:paraId="4155044E" w14:textId="77777777" w:rsidR="003D3751" w:rsidRPr="00940DDB" w:rsidRDefault="003D3751" w:rsidP="006E334B">
      <w:pPr>
        <w:pStyle w:val="NormaleWeb"/>
        <w:spacing w:before="0" w:beforeAutospacing="0" w:after="0" w:afterAutospacing="0"/>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Puntualmente ignorati. L’antidoto, in Italia tradizionalmente inutilizzato, lo indica S. Settis, </w:t>
      </w:r>
      <w:r w:rsidRPr="00940DDB">
        <w:rPr>
          <w:rFonts w:ascii="Century Schoolbook" w:hAnsi="Century Schoolbook"/>
          <w:i/>
          <w:iCs/>
          <w:sz w:val="16"/>
          <w:szCs w:val="16"/>
        </w:rPr>
        <w:t>L’Italia delle fragilità</w:t>
      </w:r>
      <w:r w:rsidRPr="00940DDB">
        <w:rPr>
          <w:rFonts w:ascii="Century Schoolbook" w:hAnsi="Century Schoolbook"/>
          <w:sz w:val="16"/>
          <w:szCs w:val="16"/>
        </w:rPr>
        <w:t xml:space="preserve">, in </w:t>
      </w:r>
      <w:r w:rsidRPr="00940DDB">
        <w:rPr>
          <w:rFonts w:ascii="Century Schoolbook" w:hAnsi="Century Schoolbook"/>
          <w:i/>
          <w:iCs/>
          <w:sz w:val="16"/>
          <w:szCs w:val="16"/>
        </w:rPr>
        <w:t>La Stampa</w:t>
      </w:r>
      <w:r w:rsidRPr="00940DDB">
        <w:rPr>
          <w:rFonts w:ascii="Century Schoolbook" w:hAnsi="Century Schoolbook"/>
          <w:sz w:val="16"/>
          <w:szCs w:val="16"/>
        </w:rPr>
        <w:t xml:space="preserve">, 25 maggio 2021: «Non c’è sfera di cristallo, non c’è negromante da cui invocare risposte. Abbiamo (avremmo) uno strumento più efficace per interrogarci su questo tema, che compare e scompare nel discorso pubblico come un perenne, ostinato fiume carsico. Questo strumento è (sarebbe) la memoria». </w:t>
      </w:r>
    </w:p>
  </w:footnote>
  <w:footnote w:id="30">
    <w:p w14:paraId="3A7D4AAA" w14:textId="3EB55ABD" w:rsidR="00490140" w:rsidRPr="00940DDB" w:rsidRDefault="00490140" w:rsidP="006E334B">
      <w:pPr>
        <w:pStyle w:val="Testonotaapidipagina"/>
        <w:ind w:firstLine="708"/>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282B3D" w:rsidRPr="00940DDB">
        <w:rPr>
          <w:rFonts w:ascii="Century Schoolbook" w:hAnsi="Century Schoolbook"/>
          <w:sz w:val="16"/>
          <w:szCs w:val="16"/>
        </w:rPr>
        <w:t xml:space="preserve">Condivido il dissenso di </w:t>
      </w:r>
      <w:r w:rsidRPr="00940DDB">
        <w:rPr>
          <w:rFonts w:ascii="Century Schoolbook" w:hAnsi="Century Schoolbook"/>
          <w:sz w:val="16"/>
          <w:szCs w:val="16"/>
        </w:rPr>
        <w:t xml:space="preserve">M. Renna, </w:t>
      </w:r>
      <w:r w:rsidRPr="00940DDB">
        <w:rPr>
          <w:rFonts w:ascii="Century Schoolbook" w:hAnsi="Century Schoolbook"/>
          <w:i/>
          <w:iCs/>
          <w:sz w:val="16"/>
          <w:szCs w:val="16"/>
        </w:rPr>
        <w:t>L’allocazione delle funzioni normative e amministrative</w:t>
      </w:r>
      <w:r w:rsidRPr="00940DDB">
        <w:rPr>
          <w:rFonts w:ascii="Century Schoolbook" w:hAnsi="Century Schoolbook"/>
          <w:sz w:val="16"/>
          <w:szCs w:val="16"/>
        </w:rPr>
        <w:t xml:space="preserve">, in G. Rossi (a cura di), </w:t>
      </w:r>
      <w:r w:rsidRPr="00940DDB">
        <w:rPr>
          <w:rFonts w:ascii="Century Schoolbook" w:hAnsi="Century Schoolbook"/>
          <w:i/>
          <w:iCs/>
          <w:sz w:val="16"/>
          <w:szCs w:val="16"/>
        </w:rPr>
        <w:t>Diritto dell’ambiente</w:t>
      </w:r>
      <w:r w:rsidRPr="00940DDB">
        <w:rPr>
          <w:rFonts w:ascii="Century Schoolbook" w:hAnsi="Century Schoolbook"/>
          <w:sz w:val="16"/>
          <w:szCs w:val="16"/>
        </w:rPr>
        <w:t xml:space="preserve">, Torino, Giappichelli, 2021, p. 151: «Applicare il principio di sussidiarietà, invero, non significa affatto privilegiare incondizionatamente i livelli di governo locali nella distribuzione delle competenze. […] Insomma, il principio di sussidiarietà verticale ha in realtà una valenza intrinsecamente e fisiologicamente ambivalente, poiché, a seconda dell’ampiezza e della consistenza delle funzioni che devono essere conferite, la sua applicazione può sospingere dette funzioni sia “verso il basso” che “verso l’alto”. […] In materia ambientale, quindi, è proprio una rigorosa applicazione del principio di sussidiarietà che, per le ragioni sopra esposte, dovrebbe portare all’allocazione di funzioni di tutela a un livello mediamente “alto”». </w:t>
      </w:r>
    </w:p>
  </w:footnote>
  <w:footnote w:id="31">
    <w:p w14:paraId="73A62DCB" w14:textId="77777777" w:rsidR="00490140" w:rsidRPr="00940DDB" w:rsidRDefault="00490140" w:rsidP="006E334B">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Di regola medio-piccola, nel mosaico geoamministrativo italiano.</w:t>
      </w:r>
    </w:p>
  </w:footnote>
  <w:footnote w:id="32">
    <w:p w14:paraId="4937B1B1" w14:textId="77777777" w:rsidR="00490140" w:rsidRPr="00940DDB" w:rsidRDefault="00490140" w:rsidP="006E334B">
      <w:pPr>
        <w:pStyle w:val="Testonotaapidipagina"/>
        <w:ind w:firstLine="708"/>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Devo fare subito una precisazione, forse ovvia. La mia lettura antiprossimalista concerne la gestione </w:t>
      </w:r>
      <w:r w:rsidRPr="00940DDB">
        <w:rPr>
          <w:rFonts w:ascii="Century Schoolbook" w:hAnsi="Century Schoolbook"/>
          <w:i/>
          <w:iCs/>
          <w:sz w:val="16"/>
          <w:szCs w:val="16"/>
        </w:rPr>
        <w:t>ordinaria</w:t>
      </w:r>
      <w:r w:rsidRPr="00940DDB">
        <w:rPr>
          <w:rFonts w:ascii="Century Schoolbook" w:hAnsi="Century Schoolbook"/>
          <w:sz w:val="16"/>
          <w:szCs w:val="16"/>
        </w:rPr>
        <w:t xml:space="preserve"> dei processi reali relativi al territorio. Il quadro cambia se invece guardiamo a episodi trasformativi che sono caratterizzati da una doppia eccezionalità: la loro natura interventuale e – ancor più – la loro riferibilità ad agglomerati urbani di grandi dimensioni, come Roma o Milano. Mi riferisco alle riflessioni di P. Urbani, </w:t>
      </w:r>
      <w:r w:rsidRPr="00940DDB">
        <w:rPr>
          <w:rFonts w:ascii="Century Schoolbook" w:hAnsi="Century Schoolbook"/>
          <w:i/>
          <w:iCs/>
          <w:sz w:val="16"/>
          <w:szCs w:val="16"/>
        </w:rPr>
        <w:t>Ripensare la città o la città contemporanea? Note a margine</w:t>
      </w:r>
      <w:r w:rsidRPr="00940DDB">
        <w:rPr>
          <w:rFonts w:ascii="Century Schoolbook" w:hAnsi="Century Schoolbook"/>
          <w:sz w:val="16"/>
          <w:szCs w:val="16"/>
        </w:rPr>
        <w:t xml:space="preserve">, in </w:t>
      </w:r>
      <w:r w:rsidRPr="00940DDB">
        <w:rPr>
          <w:rFonts w:ascii="Century Schoolbook" w:hAnsi="Century Schoolbook"/>
          <w:i/>
          <w:iCs/>
          <w:sz w:val="16"/>
          <w:szCs w:val="16"/>
        </w:rPr>
        <w:t>Astrid</w:t>
      </w:r>
      <w:r w:rsidRPr="00940DDB">
        <w:rPr>
          <w:rFonts w:ascii="Century Schoolbook" w:hAnsi="Century Schoolbook"/>
          <w:sz w:val="16"/>
          <w:szCs w:val="16"/>
        </w:rPr>
        <w:t>, 2021, p. 7, secondo cui «il punto centrale delle recenti vicende urbanistiche è quello della riduzione della discrezionalità dell’amministrazione locale – favorito da interventi legislativi statali e regionali recenti – a vantaggio di interessi superlocali che spesso non hanno nulla a che fare con l’interesse pubblico sovraordinato, ma piuttosto, con interessi di parte per lo più privati che – qualora realizzati – contribuiscono ad aumentare le fratture urbane più che a risanarle, sotto le mentite spoglie della rigenerazione urbana». Peraltro, sempre con riferimenti a questi casi lo stesso Urbani subito dopo avverte: «non è sempre vero – come si è detto – che il comune sia espropriato di determinate funzioni in merito alla determinazione di un assetto condiviso del territorio. In realtà l’ente locale primario – come confermato più volte dalla Corte costituzionale riprendendo l’art. 114, 2° co. e l’art. 118 Cost. – dispone di tutti gli strumenti per governare il territorio, ma in molti casi mancano le politiche».</w:t>
      </w:r>
    </w:p>
  </w:footnote>
  <w:footnote w:id="33">
    <w:p w14:paraId="78A8B155" w14:textId="096BCFDB" w:rsidR="00490140" w:rsidRPr="00940DDB" w:rsidRDefault="00490140" w:rsidP="006E334B">
      <w:pPr>
        <w:pStyle w:val="Testonotaapidipagina"/>
        <w:ind w:firstLine="708"/>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B041A5" w:rsidRPr="00940DDB">
        <w:rPr>
          <w:rFonts w:ascii="Century Schoolbook" w:hAnsi="Century Schoolbook"/>
          <w:sz w:val="16"/>
          <w:szCs w:val="16"/>
        </w:rPr>
        <w:t>Lo riconosce</w:t>
      </w:r>
      <w:r w:rsidRPr="00940DDB">
        <w:rPr>
          <w:rFonts w:ascii="Century Schoolbook" w:hAnsi="Century Schoolbook"/>
          <w:sz w:val="16"/>
          <w:szCs w:val="16"/>
        </w:rPr>
        <w:t xml:space="preserve"> anche G. Gardini, </w:t>
      </w:r>
      <w:r w:rsidRPr="00940DDB">
        <w:rPr>
          <w:rFonts w:ascii="Century Schoolbook" w:hAnsi="Century Schoolbook"/>
          <w:i/>
          <w:iCs/>
          <w:sz w:val="16"/>
          <w:szCs w:val="16"/>
        </w:rPr>
        <w:t>Riordino istituzionale</w:t>
      </w:r>
      <w:r w:rsidRPr="00940DDB">
        <w:rPr>
          <w:rFonts w:ascii="Century Schoolbook" w:hAnsi="Century Schoolbook"/>
          <w:sz w:val="16"/>
          <w:szCs w:val="16"/>
        </w:rPr>
        <w:t xml:space="preserve">, cit., p. 75, </w:t>
      </w:r>
      <w:r w:rsidR="00B041A5" w:rsidRPr="00940DDB">
        <w:rPr>
          <w:rFonts w:ascii="Century Schoolbook" w:hAnsi="Century Schoolbook"/>
          <w:sz w:val="16"/>
          <w:szCs w:val="16"/>
        </w:rPr>
        <w:t>ancorché</w:t>
      </w:r>
      <w:r w:rsidRPr="00940DDB">
        <w:rPr>
          <w:rFonts w:ascii="Century Schoolbook" w:hAnsi="Century Schoolbook"/>
          <w:sz w:val="16"/>
          <w:szCs w:val="16"/>
        </w:rPr>
        <w:t xml:space="preserve"> in un quadro </w:t>
      </w:r>
      <w:r w:rsidR="00B041A5" w:rsidRPr="00940DDB">
        <w:rPr>
          <w:rFonts w:ascii="Century Schoolbook" w:hAnsi="Century Schoolbook"/>
          <w:sz w:val="16"/>
          <w:szCs w:val="16"/>
        </w:rPr>
        <w:t>valutativo</w:t>
      </w:r>
      <w:r w:rsidRPr="00940DDB">
        <w:rPr>
          <w:rFonts w:ascii="Century Schoolbook" w:hAnsi="Century Schoolbook"/>
          <w:sz w:val="16"/>
          <w:szCs w:val="16"/>
        </w:rPr>
        <w:t xml:space="preserve"> </w:t>
      </w:r>
      <w:r w:rsidRPr="00940DDB">
        <w:rPr>
          <w:rFonts w:ascii="Century Schoolbook" w:hAnsi="Century Schoolbook"/>
          <w:i/>
          <w:iCs/>
          <w:sz w:val="16"/>
          <w:szCs w:val="16"/>
        </w:rPr>
        <w:t>opposto</w:t>
      </w:r>
      <w:r w:rsidRPr="00940DDB">
        <w:rPr>
          <w:rFonts w:ascii="Century Schoolbook" w:hAnsi="Century Schoolbook"/>
          <w:sz w:val="16"/>
          <w:szCs w:val="16"/>
        </w:rPr>
        <w:t xml:space="preserve"> a</w:t>
      </w:r>
      <w:r w:rsidR="00B041A5" w:rsidRPr="00940DDB">
        <w:rPr>
          <w:rFonts w:ascii="Century Schoolbook" w:hAnsi="Century Schoolbook"/>
          <w:sz w:val="16"/>
          <w:szCs w:val="16"/>
        </w:rPr>
        <w:t>l mio</w:t>
      </w:r>
      <w:r w:rsidRPr="00940DDB">
        <w:rPr>
          <w:rFonts w:ascii="Century Schoolbook" w:hAnsi="Century Schoolbook"/>
          <w:sz w:val="16"/>
          <w:szCs w:val="16"/>
        </w:rPr>
        <w:t>: «l’idea posta a fondamento della riforma del Titolo V non era solo quella di potenziare l’autonomia dei territori, regioni in testa. A fianco di questo obiettivo, senz’altro prioritario, vi era anche l’idea di rompere l’uniformità amministrativa, riducendo la consistenza delle funzioni amministrative assegnate allo Stato, potenziando il profilo dei Comuni come enti amministrativi, valorizzando il ruolo regionale di programmazione e legislazione».</w:t>
      </w:r>
    </w:p>
  </w:footnote>
  <w:footnote w:id="34">
    <w:p w14:paraId="7AA80881" w14:textId="77777777" w:rsidR="00490140" w:rsidRPr="00940DDB" w:rsidRDefault="00490140" w:rsidP="006E334B">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V. De Lucia, </w:t>
      </w:r>
      <w:r w:rsidRPr="00940DDB">
        <w:rPr>
          <w:rFonts w:ascii="Century Schoolbook" w:hAnsi="Century Schoolbook"/>
          <w:i/>
          <w:iCs/>
          <w:sz w:val="16"/>
          <w:szCs w:val="16"/>
        </w:rPr>
        <w:t>Urbanistica sostenibile e non sostenibile. Un confronto tra città</w:t>
      </w:r>
      <w:r w:rsidRPr="00940DDB">
        <w:rPr>
          <w:rFonts w:ascii="Century Schoolbook" w:hAnsi="Century Schoolbook"/>
          <w:sz w:val="16"/>
          <w:szCs w:val="16"/>
        </w:rPr>
        <w:t xml:space="preserve">, in </w:t>
      </w:r>
      <w:r w:rsidRPr="00940DDB">
        <w:rPr>
          <w:rFonts w:ascii="Century Schoolbook" w:hAnsi="Century Schoolbook"/>
          <w:i/>
          <w:iCs/>
          <w:sz w:val="16"/>
          <w:szCs w:val="16"/>
        </w:rPr>
        <w:t>Meridiana</w:t>
      </w:r>
      <w:r w:rsidRPr="00940DDB">
        <w:rPr>
          <w:rFonts w:ascii="Century Schoolbook" w:hAnsi="Century Schoolbook"/>
          <w:sz w:val="16"/>
          <w:szCs w:val="16"/>
        </w:rPr>
        <w:t>, 2001, p. 45 ss., spec. p. 46: «Certamente, non può farsi di tutt’erba un fascio, Ferrara non è Agrigento, le coste della Toscana non sono quelle della Calabria. In nessuna città olandese, inglese, francese o tedesca ci sono quartieri come il Vomero o Monte Mario».</w:t>
      </w:r>
    </w:p>
  </w:footnote>
  <w:footnote w:id="35">
    <w:p w14:paraId="032E5F72" w14:textId="5B4918D3" w:rsidR="00A54D03" w:rsidRPr="00940DDB" w:rsidRDefault="00502BF1"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A063EF" w:rsidRPr="00940DDB">
        <w:rPr>
          <w:rFonts w:ascii="Century Schoolbook" w:hAnsi="Century Schoolbook"/>
          <w:sz w:val="16"/>
          <w:szCs w:val="16"/>
        </w:rPr>
        <w:t xml:space="preserve">P. Falletta, </w:t>
      </w:r>
      <w:r w:rsidRPr="00940DDB">
        <w:rPr>
          <w:rFonts w:ascii="Century Schoolbook" w:hAnsi="Century Schoolbook"/>
          <w:i/>
          <w:iCs/>
          <w:sz w:val="16"/>
          <w:szCs w:val="16"/>
        </w:rPr>
        <w:t>L</w:t>
      </w:r>
      <w:r w:rsidR="005D76DE" w:rsidRPr="00940DDB">
        <w:rPr>
          <w:rFonts w:ascii="Century Schoolbook" w:hAnsi="Century Schoolbook"/>
          <w:i/>
          <w:iCs/>
          <w:sz w:val="16"/>
          <w:szCs w:val="16"/>
        </w:rPr>
        <w:t>’</w:t>
      </w:r>
      <w:r w:rsidRPr="00940DDB">
        <w:rPr>
          <w:rFonts w:ascii="Century Schoolbook" w:hAnsi="Century Schoolbook"/>
          <w:i/>
          <w:iCs/>
          <w:sz w:val="16"/>
          <w:szCs w:val="16"/>
        </w:rPr>
        <w:t>irrisolto equilibrio tra regionalismo e municipalismo in materia di pianificazione urbanistica</w:t>
      </w:r>
      <w:r w:rsidR="00A063EF" w:rsidRPr="00940DDB">
        <w:rPr>
          <w:rFonts w:ascii="Century Schoolbook" w:hAnsi="Century Schoolbook"/>
          <w:sz w:val="16"/>
          <w:szCs w:val="16"/>
        </w:rPr>
        <w:t xml:space="preserve">, in </w:t>
      </w:r>
      <w:r w:rsidRPr="00940DDB">
        <w:rPr>
          <w:rFonts w:ascii="Century Schoolbook" w:hAnsi="Century Schoolbook"/>
          <w:i/>
          <w:iCs/>
          <w:sz w:val="16"/>
          <w:szCs w:val="16"/>
        </w:rPr>
        <w:t>Giur</w:t>
      </w:r>
      <w:r w:rsidR="00A063EF" w:rsidRPr="00940DDB">
        <w:rPr>
          <w:rFonts w:ascii="Century Schoolbook" w:hAnsi="Century Schoolbook"/>
          <w:i/>
          <w:iCs/>
          <w:sz w:val="16"/>
          <w:szCs w:val="16"/>
        </w:rPr>
        <w:t>. c</w:t>
      </w:r>
      <w:r w:rsidRPr="00940DDB">
        <w:rPr>
          <w:rFonts w:ascii="Century Schoolbook" w:hAnsi="Century Schoolbook"/>
          <w:i/>
          <w:iCs/>
          <w:sz w:val="16"/>
          <w:szCs w:val="16"/>
        </w:rPr>
        <w:t>ost</w:t>
      </w:r>
      <w:r w:rsidR="00A063EF" w:rsidRPr="00940DDB">
        <w:rPr>
          <w:rFonts w:ascii="Century Schoolbook" w:hAnsi="Century Schoolbook"/>
          <w:i/>
          <w:iCs/>
          <w:sz w:val="16"/>
          <w:szCs w:val="16"/>
        </w:rPr>
        <w:t>.</w:t>
      </w:r>
      <w:r w:rsidRPr="00940DDB">
        <w:rPr>
          <w:rFonts w:ascii="Century Schoolbook" w:hAnsi="Century Schoolbook"/>
          <w:sz w:val="16"/>
          <w:szCs w:val="16"/>
        </w:rPr>
        <w:t>, 2019, p. 2094</w:t>
      </w:r>
      <w:r w:rsidR="00A063EF" w:rsidRPr="00940DDB">
        <w:rPr>
          <w:rFonts w:ascii="Century Schoolbook" w:hAnsi="Century Schoolbook"/>
          <w:sz w:val="16"/>
          <w:szCs w:val="16"/>
        </w:rPr>
        <w:t xml:space="preserve"> ss., spec. p. 2101 s.</w:t>
      </w:r>
      <w:r w:rsidR="00D425D2" w:rsidRPr="00940DDB">
        <w:rPr>
          <w:rFonts w:ascii="Century Schoolbook" w:hAnsi="Century Schoolbook"/>
          <w:sz w:val="16"/>
          <w:szCs w:val="16"/>
        </w:rPr>
        <w:t>;</w:t>
      </w:r>
      <w:r w:rsidR="002119C4" w:rsidRPr="00940DDB">
        <w:rPr>
          <w:rFonts w:ascii="Century Schoolbook" w:hAnsi="Century Schoolbook"/>
          <w:sz w:val="16"/>
          <w:szCs w:val="16"/>
        </w:rPr>
        <w:t xml:space="preserve"> M. Gorlani, </w:t>
      </w:r>
      <w:r w:rsidR="002119C4" w:rsidRPr="00940DDB">
        <w:rPr>
          <w:rFonts w:ascii="Century Schoolbook" w:hAnsi="Century Schoolbook"/>
          <w:i/>
          <w:iCs/>
          <w:sz w:val="16"/>
          <w:szCs w:val="16"/>
        </w:rPr>
        <w:t>Il nucleo intangibile dell’autonomia costituzionale dei Comuni</w:t>
      </w:r>
      <w:r w:rsidR="002119C4" w:rsidRPr="00940DDB">
        <w:rPr>
          <w:rFonts w:ascii="Century Schoolbook" w:hAnsi="Century Schoolbook"/>
          <w:sz w:val="16"/>
          <w:szCs w:val="16"/>
        </w:rPr>
        <w:t xml:space="preserve">, in </w:t>
      </w:r>
      <w:r w:rsidR="002119C4" w:rsidRPr="00940DDB">
        <w:rPr>
          <w:rFonts w:ascii="Century Schoolbook" w:hAnsi="Century Schoolbook"/>
          <w:i/>
          <w:iCs/>
          <w:sz w:val="16"/>
          <w:szCs w:val="16"/>
        </w:rPr>
        <w:t>forumcostituzionale.it</w:t>
      </w:r>
      <w:r w:rsidR="002119C4" w:rsidRPr="00940DDB">
        <w:rPr>
          <w:rFonts w:ascii="Century Schoolbook" w:hAnsi="Century Schoolbook"/>
          <w:sz w:val="16"/>
          <w:szCs w:val="16"/>
        </w:rPr>
        <w:t>, 2020, n. 1, p. 1 ss., spec. p. 15 s., legge la sentenza in senso più protettivo delle prerogative comunali: «r</w:t>
      </w:r>
      <w:r w:rsidR="00A54D03" w:rsidRPr="00940DDB">
        <w:rPr>
          <w:rFonts w:ascii="Century Schoolbook" w:hAnsi="Century Schoolbook"/>
          <w:sz w:val="16"/>
          <w:szCs w:val="16"/>
        </w:rPr>
        <w:t>esta</w:t>
      </w:r>
      <w:r w:rsidR="002119C4" w:rsidRPr="00940DDB">
        <w:rPr>
          <w:rFonts w:ascii="Century Schoolbook" w:hAnsi="Century Schoolbook"/>
          <w:sz w:val="16"/>
          <w:szCs w:val="16"/>
        </w:rPr>
        <w:t xml:space="preserve"> </w:t>
      </w:r>
      <w:r w:rsidR="00A54D03" w:rsidRPr="00940DDB">
        <w:rPr>
          <w:rFonts w:ascii="Century Schoolbook" w:hAnsi="Century Schoolbook"/>
          <w:sz w:val="16"/>
          <w:szCs w:val="16"/>
        </w:rPr>
        <w:t xml:space="preserve">il prezioso monito della Corte costituzionale al legislatore regionale (ma anche a quello statale, per quel che si è detto) a varare normative maggiormente rispettose dell’autonomia degli enti locali, e a considerare questi come i naturali attuatori delle scelte politiche compiute a livello regionale, e non come </w:t>
      </w:r>
      <w:r w:rsidR="002119C4" w:rsidRPr="00940DDB">
        <w:rPr>
          <w:rFonts w:ascii="Century Schoolbook" w:hAnsi="Century Schoolbook"/>
          <w:sz w:val="16"/>
          <w:szCs w:val="16"/>
        </w:rPr>
        <w:t>“</w:t>
      </w:r>
      <w:r w:rsidR="00A54D03" w:rsidRPr="00940DDB">
        <w:rPr>
          <w:rFonts w:ascii="Century Schoolbook" w:hAnsi="Century Schoolbook"/>
          <w:sz w:val="16"/>
          <w:szCs w:val="16"/>
        </w:rPr>
        <w:t>controparti</w:t>
      </w:r>
      <w:r w:rsidR="002119C4" w:rsidRPr="00940DDB">
        <w:rPr>
          <w:rFonts w:ascii="Century Schoolbook" w:hAnsi="Century Schoolbook"/>
          <w:sz w:val="16"/>
          <w:szCs w:val="16"/>
        </w:rPr>
        <w:t>”</w:t>
      </w:r>
      <w:r w:rsidR="00A54D03" w:rsidRPr="00940DDB">
        <w:rPr>
          <w:rFonts w:ascii="Century Schoolbook" w:hAnsi="Century Schoolbook"/>
          <w:sz w:val="16"/>
          <w:szCs w:val="16"/>
        </w:rPr>
        <w:t xml:space="preserve"> da limitare come possibili oppositori di quelle stesse scelte</w:t>
      </w:r>
      <w:r w:rsidR="002119C4" w:rsidRPr="00940DDB">
        <w:rPr>
          <w:rFonts w:ascii="Century Schoolbook" w:hAnsi="Century Schoolbook"/>
          <w:sz w:val="16"/>
          <w:szCs w:val="16"/>
        </w:rPr>
        <w:t>».</w:t>
      </w:r>
    </w:p>
  </w:footnote>
  <w:footnote w:id="36">
    <w:p w14:paraId="1948926A" w14:textId="218EC84A" w:rsidR="004872A9" w:rsidRPr="00940DDB" w:rsidRDefault="004872A9" w:rsidP="00297C75">
      <w:pPr>
        <w:pStyle w:val="Testonotaapidipagina"/>
        <w:ind w:firstLine="708"/>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297C75" w:rsidRPr="00940DDB">
        <w:rPr>
          <w:rFonts w:ascii="Century Schoolbook" w:hAnsi="Century Schoolbook"/>
          <w:sz w:val="16"/>
          <w:szCs w:val="16"/>
        </w:rPr>
        <w:t>Cfr.</w:t>
      </w:r>
      <w:r w:rsidRPr="00940DDB">
        <w:rPr>
          <w:rFonts w:ascii="Century Schoolbook" w:hAnsi="Century Schoolbook"/>
          <w:sz w:val="16"/>
          <w:szCs w:val="16"/>
        </w:rPr>
        <w:t xml:space="preserve"> S. Tuccillo, </w:t>
      </w:r>
      <w:r w:rsidRPr="00940DDB">
        <w:rPr>
          <w:rFonts w:ascii="Century Schoolbook" w:hAnsi="Century Schoolbook"/>
          <w:i/>
          <w:iCs/>
          <w:sz w:val="16"/>
          <w:szCs w:val="16"/>
        </w:rPr>
        <w:t>La Corte costituzionale e i limiti all’autonomia regionale nella disciplina degli istituti del procedimento amministrativo. Livelli essenziali delle prestazioni e strumenti di semplificazione</w:t>
      </w:r>
      <w:r w:rsidRPr="00940DDB">
        <w:rPr>
          <w:rFonts w:ascii="Century Schoolbook" w:hAnsi="Century Schoolbook"/>
          <w:sz w:val="16"/>
          <w:szCs w:val="16"/>
        </w:rPr>
        <w:t xml:space="preserve">, in M.A. Sandulli (a cura di), </w:t>
      </w:r>
      <w:r w:rsidRPr="00940DDB">
        <w:rPr>
          <w:rFonts w:ascii="Century Schoolbook" w:hAnsi="Century Schoolbook"/>
          <w:i/>
          <w:iCs/>
          <w:sz w:val="16"/>
          <w:szCs w:val="16"/>
        </w:rPr>
        <w:t>Princìpi e regole dell’azione amministrativa</w:t>
      </w:r>
      <w:r w:rsidRPr="00940DDB">
        <w:rPr>
          <w:rFonts w:ascii="Century Schoolbook" w:hAnsi="Century Schoolbook"/>
          <w:sz w:val="16"/>
          <w:szCs w:val="16"/>
        </w:rPr>
        <w:t>, Milano, Giuffrè, 2020, p. 171 ss., spec. p. 174: «</w:t>
      </w:r>
      <w:r w:rsidR="00D425D2" w:rsidRPr="00940DDB">
        <w:rPr>
          <w:rFonts w:ascii="Century Schoolbook" w:hAnsi="Century Schoolbook"/>
          <w:sz w:val="16"/>
          <w:szCs w:val="16"/>
        </w:rPr>
        <w:t>l</w:t>
      </w:r>
      <w:r w:rsidR="00297C75" w:rsidRPr="00940DDB">
        <w:rPr>
          <w:rFonts w:ascii="Century Schoolbook" w:hAnsi="Century Schoolbook"/>
          <w:sz w:val="16"/>
          <w:szCs w:val="16"/>
        </w:rPr>
        <w:t xml:space="preserve">’iter argomentativo della Consulta si è appuntato su considerazioni di ordine sistematico sulla </w:t>
      </w:r>
      <w:r w:rsidR="00297C75" w:rsidRPr="00940DDB">
        <w:rPr>
          <w:rFonts w:ascii="Century Schoolbook" w:hAnsi="Century Schoolbook"/>
          <w:i/>
          <w:iCs/>
          <w:sz w:val="16"/>
          <w:szCs w:val="16"/>
        </w:rPr>
        <w:t>ratio</w:t>
      </w:r>
      <w:r w:rsidR="00297C75" w:rsidRPr="00940DDB">
        <w:rPr>
          <w:rFonts w:ascii="Century Schoolbook" w:hAnsi="Century Schoolbook"/>
          <w:sz w:val="16"/>
          <w:szCs w:val="16"/>
        </w:rPr>
        <w:t xml:space="preserve"> fondante l’istituto per poi giungere ad affermare che, in quanto strumento di semplificazione riconducibile ai LEP, la conferenza non può subire modifiche da parte del legislatore regionale se non nei limiti in cui le stesse siano idonee a introdurre ulteriori livelli di tutela e dunque, nella specie, ad accrescere il tasso di semplificazione/accelerazione procedurale</w:t>
      </w:r>
      <w:r w:rsidRPr="00940DDB">
        <w:rPr>
          <w:rFonts w:ascii="Century Schoolbook" w:hAnsi="Century Schoolbook"/>
          <w:sz w:val="16"/>
          <w:szCs w:val="16"/>
        </w:rPr>
        <w:t>»</w:t>
      </w:r>
      <w:r w:rsidR="00297C75" w:rsidRPr="00940DDB">
        <w:rPr>
          <w:rFonts w:ascii="Century Schoolbook" w:hAnsi="Century Schoolbook"/>
          <w:sz w:val="16"/>
          <w:szCs w:val="16"/>
        </w:rPr>
        <w:t>.</w:t>
      </w:r>
    </w:p>
  </w:footnote>
  <w:footnote w:id="37">
    <w:p w14:paraId="75DB8155" w14:textId="67CEF692" w:rsidR="007A2ED7" w:rsidRPr="00940DDB" w:rsidRDefault="007A2ED7"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O, se si preferisce, caratterizzata da una discrezionalità amministrativa latissima.</w:t>
      </w:r>
    </w:p>
  </w:footnote>
  <w:footnote w:id="38">
    <w:p w14:paraId="1B7EE5F2" w14:textId="6F938927" w:rsidR="00357452" w:rsidRPr="00940DDB" w:rsidRDefault="00357452"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F947EB" w:rsidRPr="00940DDB">
        <w:rPr>
          <w:rFonts w:ascii="Century Schoolbook" w:hAnsi="Century Schoolbook"/>
          <w:sz w:val="16"/>
          <w:szCs w:val="16"/>
        </w:rPr>
        <w:t xml:space="preserve">Cfr. Cons. Stato, </w:t>
      </w:r>
      <w:r w:rsidR="00B8542F" w:rsidRPr="00940DDB">
        <w:rPr>
          <w:rFonts w:ascii="Century Schoolbook" w:hAnsi="Century Schoolbook"/>
          <w:sz w:val="16"/>
          <w:szCs w:val="16"/>
        </w:rPr>
        <w:t xml:space="preserve">18 febbraio </w:t>
      </w:r>
      <w:r w:rsidR="008B25EA" w:rsidRPr="00940DDB">
        <w:rPr>
          <w:rFonts w:ascii="Century Schoolbook" w:hAnsi="Century Schoolbook"/>
          <w:sz w:val="16"/>
          <w:szCs w:val="16"/>
        </w:rPr>
        <w:t>2016, n. 650</w:t>
      </w:r>
      <w:r w:rsidR="00F947EB" w:rsidRPr="00940DDB">
        <w:rPr>
          <w:rFonts w:ascii="Century Schoolbook" w:hAnsi="Century Schoolbook"/>
          <w:sz w:val="16"/>
          <w:szCs w:val="16"/>
        </w:rPr>
        <w:t>:</w:t>
      </w:r>
      <w:r w:rsidR="008B25EA" w:rsidRPr="00940DDB">
        <w:rPr>
          <w:rFonts w:ascii="Century Schoolbook" w:hAnsi="Century Schoolbook"/>
          <w:sz w:val="16"/>
          <w:szCs w:val="16"/>
        </w:rPr>
        <w:t xml:space="preserve"> </w:t>
      </w:r>
      <w:r w:rsidR="00F947EB" w:rsidRPr="00940DDB">
        <w:rPr>
          <w:rFonts w:ascii="Century Schoolbook" w:hAnsi="Century Schoolbook"/>
          <w:sz w:val="16"/>
          <w:szCs w:val="16"/>
        </w:rPr>
        <w:t>«</w:t>
      </w:r>
      <w:r w:rsidR="008B25EA" w:rsidRPr="00940DDB">
        <w:rPr>
          <w:rFonts w:ascii="Century Schoolbook" w:hAnsi="Century Schoolbook"/>
          <w:sz w:val="16"/>
          <w:szCs w:val="16"/>
        </w:rPr>
        <w:t xml:space="preserve">Al riguardo, la Sezione ritiene di dover aderire al prevalente indirizzo giurisprudenziale secondo cui, Cons. Stato in tema di variante semplificata </w:t>
      </w:r>
      <w:r w:rsidR="008B25EA" w:rsidRPr="00940DDB">
        <w:rPr>
          <w:rFonts w:ascii="Century Schoolbook" w:hAnsi="Century Schoolbook"/>
          <w:i/>
          <w:iCs/>
          <w:sz w:val="16"/>
          <w:szCs w:val="16"/>
        </w:rPr>
        <w:t>ex</w:t>
      </w:r>
      <w:r w:rsidR="008B25EA" w:rsidRPr="00940DDB">
        <w:rPr>
          <w:rFonts w:ascii="Century Schoolbook" w:hAnsi="Century Schoolbook"/>
          <w:sz w:val="16"/>
          <w:szCs w:val="16"/>
        </w:rPr>
        <w:t xml:space="preserve"> art. 5 del d.P.R. nr. 447/1998, </w:t>
      </w:r>
      <w:r w:rsidR="008B25EA" w:rsidRPr="00940DDB">
        <w:rPr>
          <w:rFonts w:ascii="Century Schoolbook" w:hAnsi="Century Schoolbook"/>
          <w:i/>
          <w:iCs/>
          <w:sz w:val="16"/>
          <w:szCs w:val="16"/>
        </w:rPr>
        <w:t>l’eventuale esito positivo della Conferenza di servizi non è in alcun modo vincolante per il Consiglio Comunale, il quale, siccome organo titolare della potestà pianificatoria, resta pienamente padrone della propria autonomia e discrezionalità, potendo discostarsi dalla proposta di variante e respingerla senza alcun dovere di motivazione puntuale o “rafforzata”, in quanto l’esito della Conferenza non comporta il sorgere di alcun affidamento né di aspettative qualificate in capo al proponente</w:t>
      </w:r>
      <w:r w:rsidR="008B25EA" w:rsidRPr="00940DDB">
        <w:rPr>
          <w:rFonts w:ascii="Century Schoolbook" w:hAnsi="Century Schoolbook"/>
          <w:sz w:val="16"/>
          <w:szCs w:val="16"/>
        </w:rPr>
        <w:t xml:space="preserve"> (cfr. Cons. Stato, sez. VI, 4 novembre 2013, nr. 5292; id., sez. IV, 19 ottobre 2007, nr. 5471; id., 27 giugno 2007, nr. 3772; id., sez. VI, 26 giugno 2007, nr. 3593; id., sez. IV, 14 aprile 2006, nr. 2170).</w:t>
      </w:r>
      <w:r w:rsidR="00F947EB" w:rsidRPr="00940DDB">
        <w:rPr>
          <w:rFonts w:ascii="Century Schoolbook" w:hAnsi="Century Schoolbook"/>
          <w:sz w:val="16"/>
          <w:szCs w:val="16"/>
        </w:rPr>
        <w:t xml:space="preserve"> </w:t>
      </w:r>
      <w:r w:rsidR="008B25EA" w:rsidRPr="00940DDB">
        <w:rPr>
          <w:rFonts w:ascii="Century Schoolbook" w:hAnsi="Century Schoolbook"/>
          <w:sz w:val="16"/>
          <w:szCs w:val="16"/>
        </w:rPr>
        <w:t xml:space="preserve">Si aggiunge altresì che </w:t>
      </w:r>
      <w:r w:rsidR="008B25EA" w:rsidRPr="00940DDB">
        <w:rPr>
          <w:rFonts w:ascii="Century Schoolbook" w:hAnsi="Century Schoolbook"/>
          <w:i/>
          <w:iCs/>
          <w:sz w:val="16"/>
          <w:szCs w:val="16"/>
        </w:rPr>
        <w:t>tali conclusioni non mutano neanche per il fatto che nel corso della Conferenza il rappresentante del Comune abbia assunto posizione favorevole alla variante, circostanza che comunque non limita in alcun modo l’organo consiliare nelle sue determinazioni</w:t>
      </w:r>
      <w:r w:rsidR="008B25EA" w:rsidRPr="00940DDB">
        <w:rPr>
          <w:rFonts w:ascii="Century Schoolbook" w:hAnsi="Century Schoolbook"/>
          <w:sz w:val="16"/>
          <w:szCs w:val="16"/>
        </w:rPr>
        <w:t xml:space="preserve"> (cfr. Cons. Stato, sez. VI, 27 luglio 2011, nr. 4498).</w:t>
      </w:r>
      <w:r w:rsidR="00F947EB" w:rsidRPr="00940DDB">
        <w:rPr>
          <w:rFonts w:ascii="Century Schoolbook" w:hAnsi="Century Schoolbook"/>
          <w:sz w:val="16"/>
          <w:szCs w:val="16"/>
        </w:rPr>
        <w:t xml:space="preserve"> </w:t>
      </w:r>
      <w:r w:rsidR="008B25EA" w:rsidRPr="00940DDB">
        <w:rPr>
          <w:rFonts w:ascii="Century Schoolbook" w:hAnsi="Century Schoolbook"/>
          <w:sz w:val="16"/>
          <w:szCs w:val="16"/>
        </w:rPr>
        <w:t>Tale rigoroso indirizzo appare del tutto condivisibile, perché coerente con la natura di mera “proposta di variante” che il legislatore attribuisce alla determinazione conclusiva della Conferenza, e quindi con l’ordinario assetto dei rapporti fra proposta e approvazione in sede di pianificazione urbanistica, laddove è appunto al Consiglio Comunale che è di regola riconosciuta la valutazione globale e definitiva; d’altra parte, il nucleo della potestà pianificatoria non può essere limitato a mere valutazioni tecniche circa la compatibilità di determinate destinazioni urbanistiche con le caratteristiche di una specifica area, involgendo più complessive e globali scelte di governo del territorio, estese anche al suo assetto generale ed al suo sviluppo de futuro ed involgenti giudizi latamente discrezionali: di modo che risulterebbe illogico e contraddittorio, proprio in ipotesi di variante “semplificata” (e, quindi, connotata da procedura accelerata e meno garantita) menomare tale potestà riducendola alla sola possibilità di confutare nel merito le valutazioni tecniche della Conferenza di servizi</w:t>
      </w:r>
      <w:r w:rsidR="00F947EB" w:rsidRPr="00940DDB">
        <w:rPr>
          <w:rFonts w:ascii="Century Schoolbook" w:hAnsi="Century Schoolbook"/>
          <w:sz w:val="16"/>
          <w:szCs w:val="16"/>
        </w:rPr>
        <w:t>» (ho aggiunto il corsivo)</w:t>
      </w:r>
      <w:r w:rsidR="008B25EA" w:rsidRPr="00940DDB">
        <w:rPr>
          <w:rFonts w:ascii="Century Schoolbook" w:hAnsi="Century Schoolbook"/>
          <w:sz w:val="16"/>
          <w:szCs w:val="16"/>
        </w:rPr>
        <w:t>.</w:t>
      </w:r>
    </w:p>
  </w:footnote>
  <w:footnote w:id="39">
    <w:p w14:paraId="12C24D9E" w14:textId="70C25558" w:rsidR="000C1D24" w:rsidRPr="00940DDB" w:rsidRDefault="000C1D24"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A questo proposito potrei valorizzare, in via secondaria, anche un dato letterale. L’art. 8 parla di «Raccordi procedimentali con strumenti urbanistici»; ancor più chiara e significativa è la rubrica dell’antesignano art. 5, d.P.R. n. 447/’98: «Progetto comportante la variazione di strumenti urbanistici». Più pudicamente dichiarato nella norma del 2010, invece esplicito in quella del 1998, il fine di conseguire la variante coagula </w:t>
      </w:r>
      <w:r w:rsidR="00A81E1D" w:rsidRPr="00940DDB">
        <w:rPr>
          <w:rFonts w:ascii="Century Schoolbook" w:hAnsi="Century Schoolbook"/>
          <w:sz w:val="16"/>
          <w:szCs w:val="16"/>
        </w:rPr>
        <w:t xml:space="preserve">– </w:t>
      </w:r>
      <w:r w:rsidRPr="00940DDB">
        <w:rPr>
          <w:rFonts w:ascii="Century Schoolbook" w:hAnsi="Century Schoolbook"/>
          <w:sz w:val="16"/>
          <w:szCs w:val="16"/>
        </w:rPr>
        <w:t>unifica</w:t>
      </w:r>
      <w:r w:rsidR="00A81E1D" w:rsidRPr="00940DDB">
        <w:rPr>
          <w:rFonts w:ascii="Century Schoolbook" w:hAnsi="Century Schoolbook"/>
          <w:sz w:val="16"/>
          <w:szCs w:val="16"/>
        </w:rPr>
        <w:t xml:space="preserve"> appunto </w:t>
      </w:r>
      <w:r w:rsidR="00394576" w:rsidRPr="00940DDB">
        <w:rPr>
          <w:rFonts w:ascii="Century Schoolbook" w:hAnsi="Century Schoolbook"/>
          <w:sz w:val="16"/>
          <w:szCs w:val="16"/>
        </w:rPr>
        <w:t>–</w:t>
      </w:r>
      <w:r w:rsidR="00A81E1D" w:rsidRPr="00940DDB">
        <w:rPr>
          <w:rFonts w:ascii="Century Schoolbook" w:hAnsi="Century Schoolbook"/>
          <w:sz w:val="16"/>
          <w:szCs w:val="16"/>
        </w:rPr>
        <w:t xml:space="preserve"> </w:t>
      </w:r>
      <w:r w:rsidR="00394576" w:rsidRPr="00940DDB">
        <w:rPr>
          <w:rFonts w:ascii="Century Schoolbook" w:hAnsi="Century Schoolbook"/>
          <w:sz w:val="16"/>
          <w:szCs w:val="16"/>
        </w:rPr>
        <w:t>le previsioni racchiuse nei due articoli.</w:t>
      </w:r>
      <w:r w:rsidRPr="00940DDB">
        <w:rPr>
          <w:rFonts w:ascii="Century Schoolbook" w:hAnsi="Century Schoolbook"/>
          <w:sz w:val="16"/>
          <w:szCs w:val="16"/>
        </w:rPr>
        <w:t xml:space="preserve"> </w:t>
      </w:r>
    </w:p>
  </w:footnote>
  <w:footnote w:id="40">
    <w:p w14:paraId="3A9468AF" w14:textId="7756A231" w:rsidR="001D626B" w:rsidRPr="00940DDB" w:rsidRDefault="001D626B"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Ecco i due passi: «la circostanza che l’esito della conferenza prevista all’art. 8 del d.P.R. 160 del 2010 richieda un successivo procedimento di variante urbanistica, nel quale interverrà la relativa determinazione dell’organo politico, non altera la struttura della conferenza, </w:t>
      </w:r>
      <w:r w:rsidRPr="00940DDB">
        <w:rPr>
          <w:rFonts w:ascii="Century Schoolbook" w:hAnsi="Century Schoolbook"/>
          <w:i/>
          <w:iCs/>
          <w:sz w:val="16"/>
          <w:szCs w:val="16"/>
        </w:rPr>
        <w:t>alla quale l’organo politico nondimeno partecipa</w:t>
      </w:r>
      <w:r w:rsidRPr="00940DDB">
        <w:rPr>
          <w:rFonts w:ascii="Century Schoolbook" w:hAnsi="Century Schoolbook"/>
          <w:sz w:val="16"/>
          <w:szCs w:val="16"/>
        </w:rPr>
        <w:t xml:space="preserve">. […] Così considerata, dunque, la deliberazione del Consiglio comunale non costituisce affatto una fase ulteriore del medesimo procedimento ma inerisce, come detto, a un procedimento distinto, </w:t>
      </w:r>
      <w:r w:rsidRPr="00940DDB">
        <w:rPr>
          <w:rFonts w:ascii="Century Schoolbook" w:hAnsi="Century Schoolbook"/>
          <w:i/>
          <w:iCs/>
          <w:sz w:val="16"/>
          <w:szCs w:val="16"/>
        </w:rPr>
        <w:t>il quale del resto non elide la necessità della partecipazione dello stesso organo politico alla previa conferenza di servizi</w:t>
      </w:r>
      <w:r w:rsidRPr="00940DDB">
        <w:rPr>
          <w:rFonts w:ascii="Century Schoolbook" w:hAnsi="Century Schoolbook"/>
          <w:sz w:val="16"/>
          <w:szCs w:val="16"/>
        </w:rPr>
        <w:t>» (corsivi aggiunti da me).</w:t>
      </w:r>
    </w:p>
  </w:footnote>
  <w:footnote w:id="41">
    <w:p w14:paraId="5113352F" w14:textId="77777777" w:rsidR="006644C6" w:rsidRPr="00940DDB" w:rsidRDefault="006644C6"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R. </w:t>
      </w:r>
      <w:r w:rsidRPr="00940DDB">
        <w:rPr>
          <w:rFonts w:ascii="Century Schoolbook" w:hAnsi="Century Schoolbook"/>
          <w:smallCaps/>
          <w:color w:val="000000" w:themeColor="text1"/>
          <w:sz w:val="16"/>
          <w:szCs w:val="16"/>
        </w:rPr>
        <w:t>Bin</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Piani territoriali e principio di sussidiarietà</w:t>
      </w:r>
      <w:r w:rsidRPr="00940DDB">
        <w:rPr>
          <w:rFonts w:ascii="Century Schoolbook" w:hAnsi="Century Schoolbook"/>
          <w:color w:val="000000" w:themeColor="text1"/>
          <w:sz w:val="16"/>
          <w:szCs w:val="16"/>
        </w:rPr>
        <w:t>, cit., p. 117.</w:t>
      </w:r>
    </w:p>
  </w:footnote>
  <w:footnote w:id="42">
    <w:p w14:paraId="68EC3AD1" w14:textId="77777777" w:rsidR="006644C6" w:rsidRPr="00940DDB" w:rsidRDefault="006644C6"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R. </w:t>
      </w:r>
      <w:r w:rsidRPr="00940DDB">
        <w:rPr>
          <w:rFonts w:ascii="Century Schoolbook" w:hAnsi="Century Schoolbook"/>
          <w:smallCaps/>
          <w:color w:val="000000" w:themeColor="text1"/>
          <w:sz w:val="16"/>
          <w:szCs w:val="16"/>
        </w:rPr>
        <w:t>Bin</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Piani territoriali e principio di sussidiarietà</w:t>
      </w:r>
      <w:r w:rsidRPr="00940DDB">
        <w:rPr>
          <w:rFonts w:ascii="Century Schoolbook" w:hAnsi="Century Schoolbook"/>
          <w:color w:val="000000" w:themeColor="text1"/>
          <w:sz w:val="16"/>
          <w:szCs w:val="16"/>
        </w:rPr>
        <w:t>, cit., p. 118.</w:t>
      </w:r>
    </w:p>
  </w:footnote>
  <w:footnote w:id="43">
    <w:p w14:paraId="29BA310D" w14:textId="6EC42F4F" w:rsidR="00F601CD" w:rsidRPr="00940DDB" w:rsidRDefault="00F601CD" w:rsidP="004B25C8">
      <w:pPr>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00FE1EFB" w:rsidRPr="00940DDB">
        <w:rPr>
          <w:rFonts w:ascii="Century Schoolbook" w:hAnsi="Century Schoolbook"/>
          <w:color w:val="000000" w:themeColor="text1"/>
          <w:sz w:val="16"/>
          <w:szCs w:val="16"/>
        </w:rPr>
        <w:t xml:space="preserve"> L’</w:t>
      </w:r>
      <w:r w:rsidR="00FE1EFB" w:rsidRPr="00940DDB">
        <w:rPr>
          <w:rFonts w:ascii="Century Schoolbook" w:hAnsi="Century Schoolbook"/>
          <w:i/>
          <w:color w:val="000000" w:themeColor="text1"/>
          <w:sz w:val="16"/>
          <w:szCs w:val="16"/>
        </w:rPr>
        <w:t>ordo produ</w:t>
      </w:r>
      <w:r w:rsidR="00F77972" w:rsidRPr="00940DDB">
        <w:rPr>
          <w:rFonts w:ascii="Century Schoolbook" w:hAnsi="Century Schoolbook"/>
          <w:i/>
          <w:color w:val="000000" w:themeColor="text1"/>
          <w:sz w:val="16"/>
          <w:szCs w:val="16"/>
        </w:rPr>
        <w:t>c</w:t>
      </w:r>
      <w:r w:rsidR="00FE1EFB" w:rsidRPr="00940DDB">
        <w:rPr>
          <w:rFonts w:ascii="Century Schoolbook" w:hAnsi="Century Schoolbook"/>
          <w:i/>
          <w:color w:val="000000" w:themeColor="text1"/>
          <w:sz w:val="16"/>
          <w:szCs w:val="16"/>
        </w:rPr>
        <w:t>tionis</w:t>
      </w:r>
      <w:r w:rsidR="00FE1EFB" w:rsidRPr="00940DDB">
        <w:rPr>
          <w:rFonts w:ascii="Century Schoolbook" w:hAnsi="Century Schoolbook"/>
          <w:color w:val="000000" w:themeColor="text1"/>
          <w:sz w:val="16"/>
          <w:szCs w:val="16"/>
        </w:rPr>
        <w:t xml:space="preserve"> sarebbe così esposto a rischi di paralisi causati – proprio come negli ambiti settoriali asseritamente unicisti che stiamo ripercorrendo – da poteri comunali di veto: il che equivale ad affermare l’illegittimità costituzionale di modelli che affidino la regolazione di interessi di livello sovra- o metacomunale solo a intese </w:t>
      </w:r>
      <w:r w:rsidR="00FE1EFB" w:rsidRPr="00940DDB">
        <w:rPr>
          <w:rFonts w:ascii="Century Schoolbook" w:hAnsi="Century Schoolbook"/>
          <w:i/>
          <w:iCs/>
          <w:color w:val="000000" w:themeColor="text1"/>
          <w:sz w:val="16"/>
          <w:szCs w:val="16"/>
        </w:rPr>
        <w:t>forti</w:t>
      </w:r>
      <w:r w:rsidR="00FE1EFB" w:rsidRPr="00940DDB">
        <w:rPr>
          <w:rFonts w:ascii="Century Schoolbook" w:hAnsi="Century Schoolbook"/>
          <w:color w:val="000000" w:themeColor="text1"/>
          <w:sz w:val="16"/>
          <w:szCs w:val="16"/>
        </w:rPr>
        <w:t xml:space="preserve"> con gli enti “minori” (cfr. in termini C. cost. n. 83/’97 e n. 357/’98).</w:t>
      </w:r>
    </w:p>
  </w:footnote>
  <w:footnote w:id="44">
    <w:p w14:paraId="2EEA2CB0" w14:textId="7410B5D7" w:rsidR="00F601CD" w:rsidRPr="00940DDB" w:rsidRDefault="00F601CD"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Così A. </w:t>
      </w:r>
      <w:r w:rsidRPr="00940DDB">
        <w:rPr>
          <w:rFonts w:ascii="Century Schoolbook" w:hAnsi="Century Schoolbook"/>
          <w:smallCaps/>
          <w:color w:val="000000" w:themeColor="text1"/>
          <w:sz w:val="16"/>
          <w:szCs w:val="16"/>
        </w:rPr>
        <w:t>Ruggeri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Ragionevolezza e valori,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attraverso il prisma della giustizia costituzionale</w:t>
      </w:r>
      <w:r w:rsidRPr="00940DDB">
        <w:rPr>
          <w:rFonts w:ascii="Century Schoolbook" w:hAnsi="Century Schoolbook"/>
          <w:color w:val="000000" w:themeColor="text1"/>
          <w:sz w:val="16"/>
          <w:szCs w:val="16"/>
        </w:rPr>
        <w:t xml:space="preserve">, </w:t>
      </w:r>
      <w:r w:rsidR="00437AD8" w:rsidRPr="00940DDB">
        <w:rPr>
          <w:rFonts w:ascii="Century Schoolbook" w:hAnsi="Century Schoolbook"/>
          <w:color w:val="000000" w:themeColor="text1"/>
          <w:sz w:val="16"/>
          <w:szCs w:val="16"/>
        </w:rPr>
        <w:t xml:space="preserve">in </w:t>
      </w:r>
      <w:r w:rsidR="00437AD8" w:rsidRPr="00940DDB">
        <w:rPr>
          <w:rFonts w:ascii="Century Schoolbook" w:hAnsi="Century Schoolbook"/>
          <w:i/>
          <w:iCs/>
          <w:color w:val="000000" w:themeColor="text1"/>
          <w:sz w:val="16"/>
          <w:szCs w:val="16"/>
        </w:rPr>
        <w:t>Diritto e società</w:t>
      </w:r>
      <w:r w:rsidR="00437AD8" w:rsidRPr="00940DDB">
        <w:rPr>
          <w:rFonts w:ascii="Century Schoolbook" w:hAnsi="Century Schoolbook"/>
          <w:color w:val="000000" w:themeColor="text1"/>
          <w:sz w:val="16"/>
          <w:szCs w:val="16"/>
        </w:rPr>
        <w:t>, 2000, p. 569 ss.,</w:t>
      </w:r>
      <w:r w:rsidRPr="00940DDB">
        <w:rPr>
          <w:rFonts w:ascii="Century Schoolbook" w:hAnsi="Century Schoolbook"/>
          <w:color w:val="000000" w:themeColor="text1"/>
          <w:sz w:val="16"/>
          <w:szCs w:val="16"/>
        </w:rPr>
        <w:t xml:space="preserve"> </w:t>
      </w:r>
      <w:r w:rsidR="00437AD8" w:rsidRPr="00940DDB">
        <w:rPr>
          <w:rFonts w:ascii="Century Schoolbook" w:hAnsi="Century Schoolbook"/>
          <w:color w:val="000000" w:themeColor="text1"/>
          <w:sz w:val="16"/>
          <w:szCs w:val="16"/>
        </w:rPr>
        <w:t>spec.</w:t>
      </w:r>
      <w:r w:rsidRPr="00940DDB">
        <w:rPr>
          <w:rFonts w:ascii="Century Schoolbook" w:hAnsi="Century Schoolbook"/>
          <w:color w:val="000000" w:themeColor="text1"/>
          <w:sz w:val="16"/>
          <w:szCs w:val="16"/>
        </w:rPr>
        <w:t xml:space="preserve"> </w:t>
      </w:r>
      <w:r w:rsidR="00437AD8" w:rsidRPr="00940DDB">
        <w:rPr>
          <w:rFonts w:ascii="Century Schoolbook" w:hAnsi="Century Schoolbook"/>
          <w:color w:val="000000" w:themeColor="text1"/>
          <w:sz w:val="16"/>
          <w:szCs w:val="16"/>
        </w:rPr>
        <w:t xml:space="preserve">p. </w:t>
      </w:r>
      <w:r w:rsidRPr="00940DDB">
        <w:rPr>
          <w:rFonts w:ascii="Century Schoolbook" w:hAnsi="Century Schoolbook"/>
          <w:color w:val="000000" w:themeColor="text1"/>
          <w:sz w:val="16"/>
          <w:szCs w:val="16"/>
        </w:rPr>
        <w:t>586.</w:t>
      </w:r>
    </w:p>
  </w:footnote>
  <w:footnote w:id="45">
    <w:p w14:paraId="68C116FB" w14:textId="322A98F5" w:rsidR="00F601CD" w:rsidRPr="00940DDB" w:rsidRDefault="00F601CD"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A. </w:t>
      </w:r>
      <w:r w:rsidRPr="00940DDB">
        <w:rPr>
          <w:rFonts w:ascii="Century Schoolbook" w:hAnsi="Century Schoolbook"/>
          <w:smallCaps/>
          <w:color w:val="000000" w:themeColor="text1"/>
          <w:sz w:val="16"/>
          <w:szCs w:val="16"/>
        </w:rPr>
        <w:t>Ruggeri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Ragionevolezza e valori</w:t>
      </w:r>
      <w:r w:rsidRPr="00940DDB">
        <w:rPr>
          <w:rFonts w:ascii="Century Schoolbook" w:hAnsi="Century Schoolbook"/>
          <w:color w:val="000000" w:themeColor="text1"/>
          <w:sz w:val="16"/>
          <w:szCs w:val="16"/>
        </w:rPr>
        <w:t>, cit., p. 586, il quale – nel quadro della sua impostazione, come riassunta nel testo – precisa che un metodo siffatto d</w:t>
      </w:r>
      <w:r w:rsidR="00394099" w:rsidRPr="00940DDB">
        <w:rPr>
          <w:rFonts w:ascii="Century Schoolbook" w:hAnsi="Century Schoolbook"/>
          <w:color w:val="000000" w:themeColor="text1"/>
          <w:sz w:val="16"/>
          <w:szCs w:val="16"/>
        </w:rPr>
        <w:t>’</w:t>
      </w:r>
      <w:r w:rsidRPr="00940DDB">
        <w:rPr>
          <w:rFonts w:ascii="Century Schoolbook" w:hAnsi="Century Schoolbook"/>
          <w:color w:val="000000" w:themeColor="text1"/>
          <w:sz w:val="16"/>
          <w:szCs w:val="16"/>
        </w:rPr>
        <w:t>inquadramento della problematica si risolverebbe in una «prospettiva formale-astratta», assai riduttiva poiché inidonea «a cogliere, il più delle volte, se non la crosta delle questioni di diritto costituzionale sottoposte al giudizio della Corte».</w:t>
      </w:r>
    </w:p>
  </w:footnote>
  <w:footnote w:id="46">
    <w:p w14:paraId="529B7A1E" w14:textId="77777777" w:rsidR="00F601CD" w:rsidRPr="00940DDB" w:rsidRDefault="00F601CD"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A. </w:t>
      </w:r>
      <w:r w:rsidRPr="00940DDB">
        <w:rPr>
          <w:rFonts w:ascii="Century Schoolbook" w:hAnsi="Century Schoolbook"/>
          <w:smallCaps/>
          <w:color w:val="000000" w:themeColor="text1"/>
          <w:sz w:val="16"/>
          <w:szCs w:val="16"/>
        </w:rPr>
        <w:t>Ruggeri</w:t>
      </w:r>
      <w:r w:rsidRPr="00940DDB">
        <w:rPr>
          <w:rFonts w:ascii="Century Schoolbook" w:hAnsi="Century Schoolbook"/>
          <w:color w:val="000000" w:themeColor="text1"/>
          <w:sz w:val="16"/>
          <w:szCs w:val="16"/>
        </w:rPr>
        <w:t xml:space="preserve">, </w:t>
      </w:r>
      <w:r w:rsidRPr="00940DDB">
        <w:rPr>
          <w:rFonts w:ascii="Century Schoolbook" w:hAnsi="Century Schoolbook"/>
          <w:i/>
          <w:color w:val="000000" w:themeColor="text1"/>
          <w:sz w:val="16"/>
          <w:szCs w:val="16"/>
        </w:rPr>
        <w:t>Ragionevolezza e valori</w:t>
      </w:r>
      <w:r w:rsidRPr="00940DDB">
        <w:rPr>
          <w:rFonts w:ascii="Century Schoolbook" w:hAnsi="Century Schoolbook"/>
          <w:color w:val="000000" w:themeColor="text1"/>
          <w:sz w:val="16"/>
          <w:szCs w:val="16"/>
        </w:rPr>
        <w:t>, cit., p. 587.</w:t>
      </w:r>
    </w:p>
  </w:footnote>
  <w:footnote w:id="47">
    <w:p w14:paraId="31A8B00F" w14:textId="793C8207" w:rsidR="00F601CD" w:rsidRPr="00940DDB" w:rsidRDefault="00F601CD" w:rsidP="004B25C8">
      <w:pPr>
        <w:pStyle w:val="Testonotaapidipagina"/>
        <w:ind w:firstLine="709"/>
        <w:contextualSpacing/>
        <w:jc w:val="both"/>
        <w:rPr>
          <w:rFonts w:ascii="Century Schoolbook" w:hAnsi="Century Schoolbook"/>
          <w:color w:val="000000" w:themeColor="text1"/>
          <w:sz w:val="16"/>
          <w:szCs w:val="16"/>
        </w:rPr>
      </w:pPr>
      <w:r w:rsidRPr="00940DDB">
        <w:rPr>
          <w:rStyle w:val="Rimandonotaapidipagina"/>
          <w:rFonts w:ascii="Century Schoolbook" w:hAnsi="Century Schoolbook"/>
          <w:color w:val="000000" w:themeColor="text1"/>
          <w:sz w:val="16"/>
          <w:szCs w:val="16"/>
        </w:rPr>
        <w:footnoteRef/>
      </w:r>
      <w:r w:rsidRPr="00940DDB">
        <w:rPr>
          <w:rFonts w:ascii="Century Schoolbook" w:hAnsi="Century Schoolbook"/>
          <w:color w:val="000000" w:themeColor="text1"/>
          <w:sz w:val="16"/>
          <w:szCs w:val="16"/>
        </w:rPr>
        <w:t xml:space="preserve"> La prospettiva, cioè, presa in esame dalla ricordata giurisprudenza costituzionale che ha in qualche modo consentito l’elaborazione di uno statuto del principio di cooperazione sul versante Regioni - enti </w:t>
      </w:r>
      <w:r w:rsidR="00BB53B1" w:rsidRPr="00940DDB">
        <w:rPr>
          <w:rFonts w:ascii="Century Schoolbook" w:hAnsi="Century Schoolbook"/>
          <w:color w:val="000000" w:themeColor="text1"/>
          <w:sz w:val="16"/>
          <w:szCs w:val="16"/>
        </w:rPr>
        <w:t>territoriali</w:t>
      </w:r>
      <w:r w:rsidRPr="00940DDB">
        <w:rPr>
          <w:rFonts w:ascii="Century Schoolbook" w:hAnsi="Century Schoolbook"/>
          <w:color w:val="000000" w:themeColor="text1"/>
          <w:sz w:val="16"/>
          <w:szCs w:val="16"/>
        </w:rPr>
        <w:t>.</w:t>
      </w:r>
    </w:p>
  </w:footnote>
  <w:footnote w:id="48">
    <w:p w14:paraId="4D0EA4A7" w14:textId="353C49BF" w:rsidR="0027656D" w:rsidRPr="00940DDB" w:rsidRDefault="0027656D"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Profilo diverso è, ovviamente, quello che concerne la regolazione dei procedimenti successivi che hanno una funzione </w:t>
      </w:r>
      <w:r w:rsidRPr="00940DDB">
        <w:rPr>
          <w:rFonts w:ascii="Century Schoolbook" w:hAnsi="Century Schoolbook"/>
          <w:i/>
          <w:iCs/>
          <w:sz w:val="16"/>
          <w:szCs w:val="16"/>
        </w:rPr>
        <w:t>oppositiva</w:t>
      </w:r>
      <w:r w:rsidRPr="00940DDB">
        <w:rPr>
          <w:rFonts w:ascii="Century Schoolbook" w:hAnsi="Century Schoolbook"/>
          <w:sz w:val="16"/>
          <w:szCs w:val="16"/>
        </w:rPr>
        <w:t xml:space="preserve"> nei confronti della decisione finale. Si tratta di procedimenti ad attivazione solo eventuale </w:t>
      </w:r>
      <w:r w:rsidR="009062AE" w:rsidRPr="00940DDB">
        <w:rPr>
          <w:rFonts w:ascii="Century Schoolbook" w:hAnsi="Century Schoolbook"/>
          <w:sz w:val="16"/>
          <w:szCs w:val="16"/>
        </w:rPr>
        <w:t>e con legittimazione attiva limitata:</w:t>
      </w:r>
      <w:r w:rsidRPr="00940DDB">
        <w:rPr>
          <w:rFonts w:ascii="Century Schoolbook" w:hAnsi="Century Schoolbook"/>
          <w:sz w:val="16"/>
          <w:szCs w:val="16"/>
        </w:rPr>
        <w:t xml:space="preserve"> quindi distinti, pur se connessi, a quello cui sono collegati </w:t>
      </w:r>
      <w:r w:rsidR="009062AE" w:rsidRPr="00940DDB">
        <w:rPr>
          <w:rFonts w:ascii="Century Schoolbook" w:hAnsi="Century Schoolbook"/>
          <w:sz w:val="16"/>
          <w:szCs w:val="16"/>
        </w:rPr>
        <w:t>da</w:t>
      </w:r>
      <w:r w:rsidRPr="00940DDB">
        <w:rPr>
          <w:rFonts w:ascii="Century Schoolbook" w:hAnsi="Century Schoolbook"/>
          <w:sz w:val="16"/>
          <w:szCs w:val="16"/>
        </w:rPr>
        <w:t xml:space="preserve"> un</w:t>
      </w:r>
      <w:r w:rsidR="009062AE" w:rsidRPr="00940DDB">
        <w:rPr>
          <w:rFonts w:ascii="Century Schoolbook" w:hAnsi="Century Schoolbook"/>
          <w:sz w:val="16"/>
          <w:szCs w:val="16"/>
        </w:rPr>
        <w:t xml:space="preserve"> nesso</w:t>
      </w:r>
      <w:r w:rsidRPr="00940DDB">
        <w:rPr>
          <w:rFonts w:ascii="Century Schoolbook" w:hAnsi="Century Schoolbook"/>
          <w:sz w:val="16"/>
          <w:szCs w:val="16"/>
        </w:rPr>
        <w:t xml:space="preserve"> diciamo così “rimediale”. </w:t>
      </w:r>
    </w:p>
  </w:footnote>
  <w:footnote w:id="49">
    <w:p w14:paraId="0E2A543E" w14:textId="5C315659" w:rsidR="003F3BA9" w:rsidRPr="00940DDB" w:rsidRDefault="003F3BA9"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Recante «</w:t>
      </w:r>
      <w:r w:rsidRPr="00940DDB">
        <w:rPr>
          <w:rFonts w:ascii="Century Schoolbook" w:hAnsi="Century Schoolbook"/>
          <w:i/>
          <w:iCs/>
          <w:sz w:val="16"/>
          <w:szCs w:val="16"/>
        </w:rPr>
        <w:t>Governance del Piano nazionale di ripresa e resilienza e prime misure di rafforzamento delle strutture amministrative e di accelerazione e snellimento delle procedure</w:t>
      </w:r>
      <w:r w:rsidRPr="00940DDB">
        <w:rPr>
          <w:rFonts w:ascii="Century Schoolbook" w:hAnsi="Century Schoolbook"/>
          <w:sz w:val="16"/>
          <w:szCs w:val="16"/>
        </w:rPr>
        <w:t>»</w:t>
      </w:r>
      <w:r w:rsidR="00CF4562" w:rsidRPr="00940DDB">
        <w:rPr>
          <w:rFonts w:ascii="Century Schoolbook" w:hAnsi="Century Schoolbook"/>
          <w:sz w:val="16"/>
          <w:szCs w:val="16"/>
        </w:rPr>
        <w:t>, c</w:t>
      </w:r>
      <w:r w:rsidRPr="00940DDB">
        <w:rPr>
          <w:rFonts w:ascii="Century Schoolbook" w:hAnsi="Century Schoolbook"/>
          <w:sz w:val="16"/>
          <w:szCs w:val="16"/>
        </w:rPr>
        <w:t>onvertito dalla l. 29 luglio</w:t>
      </w:r>
      <w:r w:rsidR="00CF4562" w:rsidRPr="00940DDB">
        <w:rPr>
          <w:rFonts w:ascii="Century Schoolbook" w:hAnsi="Century Schoolbook"/>
          <w:sz w:val="16"/>
          <w:szCs w:val="16"/>
        </w:rPr>
        <w:t xml:space="preserve"> </w:t>
      </w:r>
      <w:r w:rsidRPr="00940DDB">
        <w:rPr>
          <w:rFonts w:ascii="Century Schoolbook" w:hAnsi="Century Schoolbook"/>
          <w:sz w:val="16"/>
          <w:szCs w:val="16"/>
        </w:rPr>
        <w:t>2021, n. 108</w:t>
      </w:r>
      <w:r w:rsidR="00CF4562" w:rsidRPr="00940DDB">
        <w:rPr>
          <w:rFonts w:ascii="Century Schoolbook" w:hAnsi="Century Schoolbook"/>
          <w:sz w:val="16"/>
          <w:szCs w:val="16"/>
        </w:rPr>
        <w:t>.</w:t>
      </w:r>
    </w:p>
  </w:footnote>
  <w:footnote w:id="50">
    <w:p w14:paraId="6C1DFD87" w14:textId="38ABFCA9" w:rsidR="003D68FF" w:rsidRPr="00940DDB" w:rsidRDefault="003D68FF"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991227" w:rsidRPr="00940DDB">
        <w:rPr>
          <w:rFonts w:ascii="Century Schoolbook" w:hAnsi="Century Schoolbook"/>
          <w:sz w:val="16"/>
          <w:szCs w:val="16"/>
        </w:rPr>
        <w:t xml:space="preserve">L’art. 8 cit. si limita a stabilire che «qualora l’esito della conferenza di servizi comporti la variazione dello strumento urbanistico, ove sussista l’assenso della Regione espresso in quella sede, il verbale è trasmesso al Sindaco ovvero al Presidente del Consiglio comunale, ove esistente, che lo sottopone alla votazione del Consiglio nella prima seduta utile». Come si vede, non è espressamente prevista una fase partecipativa, </w:t>
      </w:r>
      <w:r w:rsidR="009177F8" w:rsidRPr="00940DDB">
        <w:rPr>
          <w:rFonts w:ascii="Century Schoolbook" w:hAnsi="Century Schoolbook"/>
          <w:sz w:val="16"/>
          <w:szCs w:val="16"/>
        </w:rPr>
        <w:t>che comunque la prassi riteneva pacifico svolgere a valle della decisione conferenziale.</w:t>
      </w:r>
      <w:r w:rsidR="002859E9" w:rsidRPr="00940DDB">
        <w:rPr>
          <w:rFonts w:ascii="Century Schoolbook" w:hAnsi="Century Schoolbook"/>
          <w:sz w:val="16"/>
          <w:szCs w:val="16"/>
        </w:rPr>
        <w:t xml:space="preserve"> </w:t>
      </w:r>
      <w:r w:rsidR="009177F8" w:rsidRPr="00940DDB">
        <w:rPr>
          <w:rFonts w:ascii="Century Schoolbook" w:hAnsi="Century Schoolbook"/>
          <w:sz w:val="16"/>
          <w:szCs w:val="16"/>
        </w:rPr>
        <w:t>L</w:t>
      </w:r>
      <w:r w:rsidR="00991227" w:rsidRPr="00940DDB">
        <w:rPr>
          <w:rFonts w:ascii="Century Schoolbook" w:hAnsi="Century Schoolbook"/>
          <w:sz w:val="16"/>
          <w:szCs w:val="16"/>
        </w:rPr>
        <w:t xml:space="preserve">’antesignano art. 5, d.P.R. n. 447/’98 </w:t>
      </w:r>
      <w:r w:rsidR="00BB53B1" w:rsidRPr="00940DDB">
        <w:rPr>
          <w:rFonts w:ascii="Century Schoolbook" w:hAnsi="Century Schoolbook"/>
          <w:sz w:val="16"/>
          <w:szCs w:val="16"/>
        </w:rPr>
        <w:t xml:space="preserve">cit. </w:t>
      </w:r>
      <w:r w:rsidR="00991227" w:rsidRPr="00940DDB">
        <w:rPr>
          <w:rFonts w:ascii="Century Schoolbook" w:hAnsi="Century Schoolbook"/>
          <w:sz w:val="16"/>
          <w:szCs w:val="16"/>
        </w:rPr>
        <w:t xml:space="preserve">prevedeva </w:t>
      </w:r>
      <w:r w:rsidR="009177F8" w:rsidRPr="00940DDB">
        <w:rPr>
          <w:rFonts w:ascii="Century Schoolbook" w:hAnsi="Century Schoolbook"/>
          <w:sz w:val="16"/>
          <w:szCs w:val="16"/>
        </w:rPr>
        <w:t xml:space="preserve">invece </w:t>
      </w:r>
      <w:r w:rsidR="00991227" w:rsidRPr="00940DDB">
        <w:rPr>
          <w:rFonts w:ascii="Century Schoolbook" w:hAnsi="Century Schoolbook"/>
          <w:sz w:val="16"/>
          <w:szCs w:val="16"/>
        </w:rPr>
        <w:t xml:space="preserve">che «qualora l’esito della conferenza di servizi comporti la variazione dello strumento urbanistico, la determinazione costituisce proposta di variante sulla quale, </w:t>
      </w:r>
      <w:r w:rsidR="00991227" w:rsidRPr="00940DDB">
        <w:rPr>
          <w:rFonts w:ascii="Century Schoolbook" w:hAnsi="Century Schoolbook"/>
          <w:i/>
          <w:iCs/>
          <w:sz w:val="16"/>
          <w:szCs w:val="16"/>
        </w:rPr>
        <w:t>tenuto conto delle osservazioni, proposte e opposizioni</w:t>
      </w:r>
      <w:r w:rsidR="00991227" w:rsidRPr="00940DDB">
        <w:rPr>
          <w:rFonts w:ascii="Century Schoolbook" w:hAnsi="Century Schoolbook"/>
          <w:sz w:val="16"/>
          <w:szCs w:val="16"/>
        </w:rPr>
        <w:t xml:space="preserve"> formulate dagli aventi titolo ai sensi della legge 17 agosto 1942, n. 1150»</w:t>
      </w:r>
      <w:r w:rsidR="006A6F06" w:rsidRPr="00940DDB">
        <w:rPr>
          <w:rFonts w:ascii="Century Schoolbook" w:hAnsi="Century Schoolbook"/>
          <w:sz w:val="16"/>
          <w:szCs w:val="16"/>
        </w:rPr>
        <w:t xml:space="preserve"> (corsivo ovviamente</w:t>
      </w:r>
      <w:r w:rsidR="00CF2C07" w:rsidRPr="00940DDB">
        <w:rPr>
          <w:rFonts w:ascii="Century Schoolbook" w:hAnsi="Century Schoolbook"/>
          <w:sz w:val="16"/>
          <w:szCs w:val="16"/>
        </w:rPr>
        <w:t xml:space="preserve"> aggiunto da me)</w:t>
      </w:r>
      <w:r w:rsidR="009177F8" w:rsidRPr="00940DDB">
        <w:rPr>
          <w:rFonts w:ascii="Century Schoolbook" w:hAnsi="Century Schoolbook"/>
          <w:sz w:val="16"/>
          <w:szCs w:val="16"/>
        </w:rPr>
        <w:t>: in entrambi gli schemi la fase dialogica è quindi esoconferenziale.</w:t>
      </w:r>
    </w:p>
  </w:footnote>
  <w:footnote w:id="51">
    <w:p w14:paraId="46186D93" w14:textId="7BDB1982" w:rsidR="00752070" w:rsidRPr="00940DDB" w:rsidRDefault="00752070"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Per le opere pubbliche o di pubblica utilità, gli interventi d’ampliamento e ristrutturazione di fabbricati adibiti all’esercizio d’impresa, gli impianti produttivi di cui al d.P.R. n. 160/’10 cit.</w:t>
      </w:r>
    </w:p>
  </w:footnote>
  <w:footnote w:id="52">
    <w:p w14:paraId="561A063B" w14:textId="3B6B5AC3" w:rsidR="006325B1" w:rsidRPr="00940DDB" w:rsidRDefault="006325B1"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Qui torna il tema della riserva di pianificazione urbanistica a favore delle </w:t>
      </w:r>
      <w:r w:rsidRPr="00940DDB">
        <w:rPr>
          <w:rFonts w:ascii="Century Schoolbook" w:hAnsi="Century Schoolbook"/>
          <w:i/>
          <w:iCs/>
          <w:sz w:val="16"/>
          <w:szCs w:val="16"/>
        </w:rPr>
        <w:t>figurae</w:t>
      </w:r>
      <w:r w:rsidRPr="00940DDB">
        <w:rPr>
          <w:rFonts w:ascii="Century Schoolbook" w:hAnsi="Century Schoolbook"/>
          <w:sz w:val="16"/>
          <w:szCs w:val="16"/>
        </w:rPr>
        <w:t xml:space="preserve"> prossimali: la legge regionale in esame si mostra molto protettiva </w:t>
      </w:r>
      <w:r w:rsidR="000F3568" w:rsidRPr="00940DDB">
        <w:rPr>
          <w:rFonts w:ascii="Century Schoolbook" w:hAnsi="Century Schoolbook"/>
          <w:sz w:val="16"/>
          <w:szCs w:val="16"/>
        </w:rPr>
        <w:t>nei loro confronti</w:t>
      </w:r>
      <w:r w:rsidRPr="00940DDB">
        <w:rPr>
          <w:rFonts w:ascii="Century Schoolbook" w:hAnsi="Century Schoolbook"/>
          <w:sz w:val="16"/>
          <w:szCs w:val="16"/>
        </w:rPr>
        <w:t>, richiedendo</w:t>
      </w:r>
      <w:r w:rsidR="00865726" w:rsidRPr="00940DDB">
        <w:rPr>
          <w:rFonts w:ascii="Century Schoolbook" w:hAnsi="Century Schoolbook"/>
          <w:sz w:val="16"/>
          <w:szCs w:val="16"/>
        </w:rPr>
        <w:t>ne</w:t>
      </w:r>
      <w:r w:rsidRPr="00940DDB">
        <w:rPr>
          <w:rFonts w:ascii="Century Schoolbook" w:hAnsi="Century Schoolbook"/>
          <w:sz w:val="16"/>
          <w:szCs w:val="16"/>
        </w:rPr>
        <w:t xml:space="preserve"> l’assenso per riconoscere al PAUR efficacia di variante. </w:t>
      </w:r>
      <w:r w:rsidR="000F3568" w:rsidRPr="00940DDB">
        <w:rPr>
          <w:rFonts w:ascii="Century Schoolbook" w:hAnsi="Century Schoolbook"/>
          <w:sz w:val="16"/>
          <w:szCs w:val="16"/>
        </w:rPr>
        <w:t xml:space="preserve">Scelta discutibile, visto </w:t>
      </w:r>
      <w:r w:rsidRPr="00940DDB">
        <w:rPr>
          <w:rFonts w:ascii="Century Schoolbook" w:hAnsi="Century Schoolbook"/>
          <w:sz w:val="16"/>
          <w:szCs w:val="16"/>
        </w:rPr>
        <w:t xml:space="preserve">che il diritto giurisprudenziale si va </w:t>
      </w:r>
      <w:r w:rsidR="00865726" w:rsidRPr="00940DDB">
        <w:rPr>
          <w:rFonts w:ascii="Century Schoolbook" w:hAnsi="Century Schoolbook"/>
          <w:sz w:val="16"/>
          <w:szCs w:val="16"/>
        </w:rPr>
        <w:t xml:space="preserve">in generale </w:t>
      </w:r>
      <w:r w:rsidRPr="00940DDB">
        <w:rPr>
          <w:rFonts w:ascii="Century Schoolbook" w:hAnsi="Century Schoolbook"/>
          <w:sz w:val="16"/>
          <w:szCs w:val="16"/>
        </w:rPr>
        <w:t xml:space="preserve">assestando su posizioni meno sensibili </w:t>
      </w:r>
      <w:r w:rsidR="00865726" w:rsidRPr="00940DDB">
        <w:rPr>
          <w:rFonts w:ascii="Century Schoolbook" w:hAnsi="Century Schoolbook"/>
          <w:sz w:val="16"/>
          <w:szCs w:val="16"/>
        </w:rPr>
        <w:t>nei confronti di un autonomismo territoriale siffatto.</w:t>
      </w:r>
    </w:p>
  </w:footnote>
  <w:footnote w:id="53">
    <w:p w14:paraId="162B7479" w14:textId="713F8BA6" w:rsidR="00E41618" w:rsidRPr="00940DDB" w:rsidRDefault="00E41618"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0D44D2" w:rsidRPr="00940DDB">
        <w:rPr>
          <w:rFonts w:ascii="Century Schoolbook" w:hAnsi="Century Schoolbook"/>
          <w:color w:val="000000" w:themeColor="text1"/>
          <w:sz w:val="16"/>
          <w:szCs w:val="16"/>
        </w:rPr>
        <w:t xml:space="preserve">Consultabili all’indirizzo </w:t>
      </w:r>
      <w:hyperlink r:id="rId1" w:history="1">
        <w:r w:rsidR="000D44D2" w:rsidRPr="00940DDB">
          <w:rPr>
            <w:rStyle w:val="Collegamentoipertestuale"/>
            <w:rFonts w:ascii="Century Schoolbook" w:hAnsi="Century Schoolbook"/>
            <w:i/>
            <w:iCs/>
            <w:color w:val="000000" w:themeColor="text1"/>
            <w:sz w:val="16"/>
            <w:szCs w:val="16"/>
            <w:u w:val="none"/>
          </w:rPr>
          <w:t>https://va.minambiente.it/it-IT/Comunicazione/DettaglioDirezione/1849</w:t>
        </w:r>
      </w:hyperlink>
      <w:r w:rsidR="000D44D2" w:rsidRPr="00940DDB">
        <w:rPr>
          <w:rFonts w:ascii="Century Schoolbook" w:hAnsi="Century Schoolbook"/>
          <w:sz w:val="16"/>
          <w:szCs w:val="16"/>
        </w:rPr>
        <w:t>.</w:t>
      </w:r>
      <w:r w:rsidR="00F45151" w:rsidRPr="00940DDB">
        <w:rPr>
          <w:rFonts w:ascii="Century Schoolbook" w:hAnsi="Century Schoolbook"/>
          <w:sz w:val="16"/>
          <w:szCs w:val="16"/>
        </w:rPr>
        <w:t xml:space="preserve"> </w:t>
      </w:r>
    </w:p>
  </w:footnote>
  <w:footnote w:id="54">
    <w:p w14:paraId="4D03EB5A" w14:textId="592BFFAA" w:rsidR="00F94728" w:rsidRPr="00940DDB" w:rsidRDefault="00F94728"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Pr="00940DDB">
        <w:rPr>
          <w:rFonts w:ascii="Century Schoolbook" w:hAnsi="Century Schoolbook"/>
          <w:i/>
          <w:iCs/>
          <w:sz w:val="16"/>
          <w:szCs w:val="16"/>
        </w:rPr>
        <w:t>Indirizzi operativi</w:t>
      </w:r>
      <w:r w:rsidRPr="00940DDB">
        <w:rPr>
          <w:rFonts w:ascii="Century Schoolbook" w:hAnsi="Century Schoolbook"/>
          <w:sz w:val="16"/>
          <w:szCs w:val="16"/>
        </w:rPr>
        <w:t xml:space="preserve">, cit., p. 9 (ho aggiunto io il corsivo). </w:t>
      </w:r>
    </w:p>
  </w:footnote>
  <w:footnote w:id="55">
    <w:p w14:paraId="707A3E77" w14:textId="05F5EEF0" w:rsidR="00D01DFF" w:rsidRPr="00940DDB" w:rsidRDefault="00D01DFF"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Pr="00940DDB">
        <w:rPr>
          <w:rFonts w:ascii="Century Schoolbook" w:hAnsi="Century Schoolbook"/>
          <w:i/>
          <w:iCs/>
          <w:sz w:val="16"/>
          <w:szCs w:val="16"/>
        </w:rPr>
        <w:t>Indirizzi operativi</w:t>
      </w:r>
      <w:r w:rsidRPr="00940DDB">
        <w:rPr>
          <w:rFonts w:ascii="Century Schoolbook" w:hAnsi="Century Schoolbook"/>
          <w:sz w:val="16"/>
          <w:szCs w:val="16"/>
        </w:rPr>
        <w:t>, cit., p. 13</w:t>
      </w:r>
      <w:r w:rsidR="00B0313B" w:rsidRPr="00940DDB">
        <w:rPr>
          <w:rFonts w:ascii="Century Schoolbook" w:hAnsi="Century Schoolbook"/>
          <w:sz w:val="16"/>
          <w:szCs w:val="16"/>
        </w:rPr>
        <w:t xml:space="preserve"> s</w:t>
      </w:r>
      <w:r w:rsidRPr="00940DDB">
        <w:rPr>
          <w:rFonts w:ascii="Century Schoolbook" w:hAnsi="Century Schoolbook"/>
          <w:sz w:val="16"/>
          <w:szCs w:val="16"/>
        </w:rPr>
        <w:t>.</w:t>
      </w:r>
    </w:p>
  </w:footnote>
  <w:footnote w:id="56">
    <w:p w14:paraId="5506569E" w14:textId="41B4183E" w:rsidR="005226CF" w:rsidRPr="00940DDB" w:rsidRDefault="005226CF"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Pr="00940DDB">
        <w:rPr>
          <w:rFonts w:ascii="Century Schoolbook" w:hAnsi="Century Schoolbook"/>
          <w:i/>
          <w:iCs/>
          <w:sz w:val="16"/>
          <w:szCs w:val="16"/>
        </w:rPr>
        <w:t>Indirizzi operativi</w:t>
      </w:r>
      <w:r w:rsidRPr="00940DDB">
        <w:rPr>
          <w:rFonts w:ascii="Century Schoolbook" w:hAnsi="Century Schoolbook"/>
          <w:sz w:val="16"/>
          <w:szCs w:val="16"/>
        </w:rPr>
        <w:t>, cit., p. 13.</w:t>
      </w:r>
    </w:p>
  </w:footnote>
  <w:footnote w:id="57">
    <w:p w14:paraId="21220D0B" w14:textId="77777777" w:rsidR="00491F80" w:rsidRPr="00940DDB" w:rsidRDefault="0013520D"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521088" w:rsidRPr="00940DDB">
        <w:rPr>
          <w:rFonts w:ascii="Century Schoolbook" w:hAnsi="Century Schoolbook"/>
          <w:sz w:val="16"/>
          <w:szCs w:val="16"/>
        </w:rPr>
        <w:t>S</w:t>
      </w:r>
      <w:r w:rsidRPr="00940DDB">
        <w:rPr>
          <w:rFonts w:ascii="Century Schoolbook" w:hAnsi="Century Schoolbook"/>
          <w:sz w:val="16"/>
          <w:szCs w:val="16"/>
        </w:rPr>
        <w:t>i può aggiungere l’art. 19, commi 2-4, t.u. sugli espropri per utilità pubblica: «2. L’approvazione del progetto preliminare o definitivo da parte del consiglio comunale, costituisce adozione della variante allo strumento urbanistico. 3. Se l’opera non è di competenza comunale, l</w:t>
      </w:r>
      <w:r w:rsidR="00E5629F" w:rsidRPr="00940DDB">
        <w:rPr>
          <w:rFonts w:ascii="Century Schoolbook" w:hAnsi="Century Schoolbook"/>
          <w:sz w:val="16"/>
          <w:szCs w:val="16"/>
        </w:rPr>
        <w:t>’</w:t>
      </w:r>
      <w:r w:rsidRPr="00940DDB">
        <w:rPr>
          <w:rFonts w:ascii="Century Schoolbook" w:hAnsi="Century Schoolbook"/>
          <w:sz w:val="16"/>
          <w:szCs w:val="16"/>
        </w:rPr>
        <w:t>atto di approvazione del progetto preliminare o definitivo da parte della autorità competente è trasmesso al consiglio comunale, che può disporre l</w:t>
      </w:r>
      <w:r w:rsidR="00E5629F" w:rsidRPr="00940DDB">
        <w:rPr>
          <w:rFonts w:ascii="Century Schoolbook" w:hAnsi="Century Schoolbook"/>
          <w:sz w:val="16"/>
          <w:szCs w:val="16"/>
        </w:rPr>
        <w:t>’</w:t>
      </w:r>
      <w:r w:rsidRPr="00940DDB">
        <w:rPr>
          <w:rFonts w:ascii="Century Schoolbook" w:hAnsi="Century Schoolbook"/>
          <w:sz w:val="16"/>
          <w:szCs w:val="16"/>
        </w:rPr>
        <w:t>adozione della corrispondente variante allo strumento urbanistico. 4. Nei casi previsti dai commi 2 e 3, se la Regione o l</w:t>
      </w:r>
      <w:r w:rsidR="00E5629F" w:rsidRPr="00940DDB">
        <w:rPr>
          <w:rFonts w:ascii="Century Schoolbook" w:hAnsi="Century Schoolbook"/>
          <w:sz w:val="16"/>
          <w:szCs w:val="16"/>
        </w:rPr>
        <w:t>’</w:t>
      </w:r>
      <w:r w:rsidRPr="00940DDB">
        <w:rPr>
          <w:rFonts w:ascii="Century Schoolbook" w:hAnsi="Century Schoolbook"/>
          <w:sz w:val="16"/>
          <w:szCs w:val="16"/>
        </w:rPr>
        <w:t>ente da questa delegato all</w:t>
      </w:r>
      <w:r w:rsidR="00E5629F" w:rsidRPr="00940DDB">
        <w:rPr>
          <w:rFonts w:ascii="Century Schoolbook" w:hAnsi="Century Schoolbook"/>
          <w:sz w:val="16"/>
          <w:szCs w:val="16"/>
        </w:rPr>
        <w:t>’</w:t>
      </w:r>
      <w:r w:rsidRPr="00940DDB">
        <w:rPr>
          <w:rFonts w:ascii="Century Schoolbook" w:hAnsi="Century Schoolbook"/>
          <w:sz w:val="16"/>
          <w:szCs w:val="16"/>
        </w:rPr>
        <w:t>approvazione del piano urbanistico comunale non manifesta il proprio dissenso entro il termine di novanta giorni, decorrente dalla ricezione della delibera del consiglio comunale e della relativa completa documentazione, si intende approvata la determinazione del consiglio comunale, che in una successiva seduta ne dispone l</w:t>
      </w:r>
      <w:r w:rsidR="00E5629F" w:rsidRPr="00940DDB">
        <w:rPr>
          <w:rFonts w:ascii="Century Schoolbook" w:hAnsi="Century Schoolbook"/>
          <w:sz w:val="16"/>
          <w:szCs w:val="16"/>
        </w:rPr>
        <w:t>’</w:t>
      </w:r>
      <w:r w:rsidRPr="00940DDB">
        <w:rPr>
          <w:rFonts w:ascii="Century Schoolbook" w:hAnsi="Century Schoolbook"/>
          <w:sz w:val="16"/>
          <w:szCs w:val="16"/>
        </w:rPr>
        <w:t>efficacia».</w:t>
      </w:r>
    </w:p>
    <w:p w14:paraId="3E658197" w14:textId="28678B30" w:rsidR="0013520D" w:rsidRPr="00940DDB" w:rsidRDefault="00E1619B" w:rsidP="004B25C8">
      <w:pPr>
        <w:pStyle w:val="Testonotaapidipagina"/>
        <w:ind w:firstLine="708"/>
        <w:contextualSpacing/>
        <w:jc w:val="both"/>
        <w:rPr>
          <w:rFonts w:ascii="Century Schoolbook" w:hAnsi="Century Schoolbook"/>
          <w:sz w:val="16"/>
          <w:szCs w:val="16"/>
        </w:rPr>
      </w:pPr>
      <w:r w:rsidRPr="00940DDB">
        <w:rPr>
          <w:rFonts w:ascii="Century Schoolbook" w:hAnsi="Century Schoolbook"/>
          <w:sz w:val="16"/>
          <w:szCs w:val="16"/>
        </w:rPr>
        <w:t xml:space="preserve">Da notare la previsione del silenzio assenso regionale che – pur non alterando lo schema tradizionale a doppia battuta – lo declina tuttavia in una versione più snella: questo modello potremmo categorizzarlo quindi come variante non (solo) semplificata, ma (anche) </w:t>
      </w:r>
      <w:r w:rsidRPr="00940DDB">
        <w:rPr>
          <w:rFonts w:ascii="Century Schoolbook" w:hAnsi="Century Schoolbook"/>
          <w:i/>
          <w:iCs/>
          <w:sz w:val="16"/>
          <w:szCs w:val="16"/>
        </w:rPr>
        <w:t>accelerata</w:t>
      </w:r>
      <w:r w:rsidRPr="00940DDB">
        <w:rPr>
          <w:rFonts w:ascii="Century Schoolbook" w:hAnsi="Century Schoolbook"/>
          <w:sz w:val="16"/>
          <w:szCs w:val="16"/>
        </w:rPr>
        <w:t>.</w:t>
      </w:r>
    </w:p>
  </w:footnote>
  <w:footnote w:id="58">
    <w:p w14:paraId="04EB7223" w14:textId="3D8B6834" w:rsidR="00D24DE4" w:rsidRPr="00940DDB" w:rsidRDefault="00D24DE4"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C10E01" w:rsidRPr="00940DDB">
        <w:rPr>
          <w:rFonts w:ascii="Century Schoolbook" w:hAnsi="Century Schoolbook"/>
          <w:sz w:val="16"/>
          <w:szCs w:val="16"/>
        </w:rPr>
        <w:t>Ecco il testo dell’a</w:t>
      </w:r>
      <w:r w:rsidRPr="00940DDB">
        <w:rPr>
          <w:rFonts w:ascii="Century Schoolbook" w:hAnsi="Century Schoolbook"/>
          <w:sz w:val="16"/>
          <w:szCs w:val="16"/>
        </w:rPr>
        <w:t>rt. 31</w:t>
      </w:r>
      <w:r w:rsidR="002C5470" w:rsidRPr="00940DDB">
        <w:rPr>
          <w:rFonts w:ascii="Century Schoolbook" w:hAnsi="Century Schoolbook"/>
          <w:sz w:val="16"/>
          <w:szCs w:val="16"/>
        </w:rPr>
        <w:t>-</w:t>
      </w:r>
      <w:r w:rsidRPr="00940DDB">
        <w:rPr>
          <w:rFonts w:ascii="Century Schoolbook" w:hAnsi="Century Schoolbook"/>
          <w:i/>
          <w:iCs/>
          <w:sz w:val="16"/>
          <w:szCs w:val="16"/>
        </w:rPr>
        <w:t>bis</w:t>
      </w:r>
      <w:r w:rsidR="007345F6" w:rsidRPr="00940DDB">
        <w:rPr>
          <w:rFonts w:ascii="Century Schoolbook" w:hAnsi="Century Schoolbook"/>
          <w:sz w:val="16"/>
          <w:szCs w:val="16"/>
        </w:rPr>
        <w:t xml:space="preserve"> («Misure di semplificazione per gli impianti di biogas e di biometano»)</w:t>
      </w:r>
      <w:r w:rsidR="002C5470" w:rsidRPr="00940DDB">
        <w:rPr>
          <w:rFonts w:ascii="Century Schoolbook" w:hAnsi="Century Schoolbook"/>
          <w:sz w:val="16"/>
          <w:szCs w:val="16"/>
        </w:rPr>
        <w:t>:</w:t>
      </w:r>
      <w:r w:rsidR="00E53E5C" w:rsidRPr="00940DDB">
        <w:rPr>
          <w:rFonts w:ascii="Century Schoolbook" w:hAnsi="Century Schoolbook"/>
          <w:sz w:val="16"/>
          <w:szCs w:val="16"/>
        </w:rPr>
        <w:t xml:space="preserve"> </w:t>
      </w:r>
      <w:r w:rsidR="00C10E01" w:rsidRPr="00940DDB">
        <w:rPr>
          <w:rFonts w:ascii="Century Schoolbook" w:hAnsi="Century Schoolbook"/>
          <w:sz w:val="16"/>
          <w:szCs w:val="16"/>
        </w:rPr>
        <w:t>«</w:t>
      </w:r>
      <w:r w:rsidRPr="00940DDB">
        <w:rPr>
          <w:rFonts w:ascii="Century Schoolbook" w:hAnsi="Century Schoolbook"/>
          <w:sz w:val="16"/>
          <w:szCs w:val="16"/>
        </w:rPr>
        <w:t xml:space="preserve">1. </w:t>
      </w:r>
      <w:r w:rsidR="00C10E01" w:rsidRPr="00940DDB">
        <w:rPr>
          <w:rFonts w:ascii="Century Schoolbook" w:hAnsi="Century Schoolbook"/>
          <w:sz w:val="16"/>
          <w:szCs w:val="16"/>
        </w:rPr>
        <w:t xml:space="preserve">[…]. </w:t>
      </w:r>
      <w:r w:rsidRPr="00940DDB">
        <w:rPr>
          <w:rFonts w:ascii="Century Schoolbook" w:hAnsi="Century Schoolbook"/>
          <w:sz w:val="16"/>
          <w:szCs w:val="16"/>
        </w:rPr>
        <w:t>2. Le disposizioni dell'articolo 12 del decreto legislativo 29</w:t>
      </w:r>
      <w:r w:rsidR="00A339A3" w:rsidRPr="00940DDB">
        <w:rPr>
          <w:rFonts w:ascii="Century Schoolbook" w:hAnsi="Century Schoolbook"/>
          <w:sz w:val="16"/>
          <w:szCs w:val="16"/>
        </w:rPr>
        <w:t xml:space="preserve"> </w:t>
      </w:r>
      <w:r w:rsidRPr="00940DDB">
        <w:rPr>
          <w:rFonts w:ascii="Century Schoolbook" w:hAnsi="Century Schoolbook"/>
          <w:sz w:val="16"/>
          <w:szCs w:val="16"/>
        </w:rPr>
        <w:t>dicembre 2003, n. 387, si applicano anche a tutte le opere</w:t>
      </w:r>
      <w:r w:rsidR="00A339A3" w:rsidRPr="00940DDB">
        <w:rPr>
          <w:rFonts w:ascii="Century Schoolbook" w:hAnsi="Century Schoolbook"/>
          <w:sz w:val="16"/>
          <w:szCs w:val="16"/>
        </w:rPr>
        <w:t xml:space="preserve"> </w:t>
      </w:r>
      <w:r w:rsidRPr="00940DDB">
        <w:rPr>
          <w:rFonts w:ascii="Century Schoolbook" w:hAnsi="Century Schoolbook"/>
          <w:sz w:val="16"/>
          <w:szCs w:val="16"/>
        </w:rPr>
        <w:t>infrastrutturali necessarie all</w:t>
      </w:r>
      <w:r w:rsidR="004B0488" w:rsidRPr="00940DDB">
        <w:rPr>
          <w:rFonts w:ascii="Century Schoolbook" w:hAnsi="Century Schoolbook"/>
          <w:sz w:val="16"/>
          <w:szCs w:val="16"/>
        </w:rPr>
        <w:t>’</w:t>
      </w:r>
      <w:r w:rsidRPr="00940DDB">
        <w:rPr>
          <w:rFonts w:ascii="Century Schoolbook" w:hAnsi="Century Schoolbook"/>
          <w:sz w:val="16"/>
          <w:szCs w:val="16"/>
        </w:rPr>
        <w:t>immissione del biometano nella rete</w:t>
      </w:r>
      <w:r w:rsidR="00A339A3" w:rsidRPr="00940DDB">
        <w:rPr>
          <w:rFonts w:ascii="Century Schoolbook" w:hAnsi="Century Schoolbook"/>
          <w:sz w:val="16"/>
          <w:szCs w:val="16"/>
        </w:rPr>
        <w:t xml:space="preserve"> </w:t>
      </w:r>
      <w:r w:rsidRPr="00940DDB">
        <w:rPr>
          <w:rFonts w:ascii="Century Schoolbook" w:hAnsi="Century Schoolbook"/>
          <w:sz w:val="16"/>
          <w:szCs w:val="16"/>
        </w:rPr>
        <w:t>esistente di trasporto e di distribuzione del gas naturale, per le</w:t>
      </w:r>
      <w:r w:rsidR="00A339A3" w:rsidRPr="00940DDB">
        <w:rPr>
          <w:rFonts w:ascii="Century Schoolbook" w:hAnsi="Century Schoolbook"/>
          <w:sz w:val="16"/>
          <w:szCs w:val="16"/>
        </w:rPr>
        <w:t xml:space="preserve"> </w:t>
      </w:r>
      <w:r w:rsidRPr="00940DDB">
        <w:rPr>
          <w:rFonts w:ascii="Century Schoolbook" w:hAnsi="Century Schoolbook"/>
          <w:sz w:val="16"/>
          <w:szCs w:val="16"/>
        </w:rPr>
        <w:t>quali il provvedimento finale deve prevedere anche l</w:t>
      </w:r>
      <w:r w:rsidR="006705DF" w:rsidRPr="00940DDB">
        <w:rPr>
          <w:rFonts w:ascii="Century Schoolbook" w:hAnsi="Century Schoolbook"/>
          <w:sz w:val="16"/>
          <w:szCs w:val="16"/>
        </w:rPr>
        <w:t>’</w:t>
      </w:r>
      <w:r w:rsidRPr="00940DDB">
        <w:rPr>
          <w:rFonts w:ascii="Century Schoolbook" w:hAnsi="Century Schoolbook"/>
          <w:sz w:val="16"/>
          <w:szCs w:val="16"/>
        </w:rPr>
        <w:t>apposizione del</w:t>
      </w:r>
      <w:r w:rsidR="00A339A3" w:rsidRPr="00940DDB">
        <w:rPr>
          <w:rFonts w:ascii="Century Schoolbook" w:hAnsi="Century Schoolbook"/>
          <w:sz w:val="16"/>
          <w:szCs w:val="16"/>
        </w:rPr>
        <w:t xml:space="preserve"> </w:t>
      </w:r>
      <w:r w:rsidRPr="00940DDB">
        <w:rPr>
          <w:rFonts w:ascii="Century Schoolbook" w:hAnsi="Century Schoolbook"/>
          <w:sz w:val="16"/>
          <w:szCs w:val="16"/>
        </w:rPr>
        <w:t>vincolo preordinato all</w:t>
      </w:r>
      <w:r w:rsidR="006705DF" w:rsidRPr="00940DDB">
        <w:rPr>
          <w:rFonts w:ascii="Century Schoolbook" w:hAnsi="Century Schoolbook"/>
          <w:sz w:val="16"/>
          <w:szCs w:val="16"/>
        </w:rPr>
        <w:t>’</w:t>
      </w:r>
      <w:r w:rsidRPr="00940DDB">
        <w:rPr>
          <w:rFonts w:ascii="Century Schoolbook" w:hAnsi="Century Schoolbook"/>
          <w:sz w:val="16"/>
          <w:szCs w:val="16"/>
        </w:rPr>
        <w:t>esproprio dei beni in esso compresi nonch</w:t>
      </w:r>
      <w:r w:rsidR="006705DF" w:rsidRPr="00940DDB">
        <w:rPr>
          <w:rFonts w:ascii="Century Schoolbook" w:hAnsi="Century Schoolbook"/>
          <w:sz w:val="16"/>
          <w:szCs w:val="16"/>
        </w:rPr>
        <w:t>é</w:t>
      </w:r>
      <w:r w:rsidR="00A339A3" w:rsidRPr="00940DDB">
        <w:rPr>
          <w:rFonts w:ascii="Century Schoolbook" w:hAnsi="Century Schoolbook"/>
          <w:sz w:val="16"/>
          <w:szCs w:val="16"/>
        </w:rPr>
        <w:t xml:space="preserve"> </w:t>
      </w:r>
      <w:r w:rsidRPr="00940DDB">
        <w:rPr>
          <w:rFonts w:ascii="Century Schoolbook" w:hAnsi="Century Schoolbook"/>
          <w:sz w:val="16"/>
          <w:szCs w:val="16"/>
        </w:rPr>
        <w:t>la variazione degli strumenti urbanistici ai sensi del testo unico</w:t>
      </w:r>
      <w:r w:rsidR="00A339A3" w:rsidRPr="00940DDB">
        <w:rPr>
          <w:rFonts w:ascii="Century Schoolbook" w:hAnsi="Century Schoolbook"/>
          <w:sz w:val="16"/>
          <w:szCs w:val="16"/>
        </w:rPr>
        <w:t xml:space="preserve"> </w:t>
      </w:r>
      <w:r w:rsidRPr="00940DDB">
        <w:rPr>
          <w:rFonts w:ascii="Century Schoolbook" w:hAnsi="Century Schoolbook"/>
          <w:sz w:val="16"/>
          <w:szCs w:val="16"/>
        </w:rPr>
        <w:t>delle disposizioni legislative e regolamentari</w:t>
      </w:r>
      <w:r w:rsidR="006705DF" w:rsidRPr="00940DDB">
        <w:rPr>
          <w:rFonts w:ascii="Century Schoolbook" w:hAnsi="Century Schoolbook"/>
          <w:sz w:val="16"/>
          <w:szCs w:val="16"/>
        </w:rPr>
        <w:t xml:space="preserve"> </w:t>
      </w:r>
      <w:r w:rsidRPr="00940DDB">
        <w:rPr>
          <w:rFonts w:ascii="Century Schoolbook" w:hAnsi="Century Schoolbook"/>
          <w:sz w:val="16"/>
          <w:szCs w:val="16"/>
        </w:rPr>
        <w:t>in materia di</w:t>
      </w:r>
      <w:r w:rsidR="00A339A3" w:rsidRPr="00940DDB">
        <w:rPr>
          <w:rFonts w:ascii="Century Schoolbook" w:hAnsi="Century Schoolbook"/>
          <w:sz w:val="16"/>
          <w:szCs w:val="16"/>
        </w:rPr>
        <w:t xml:space="preserve"> </w:t>
      </w:r>
      <w:r w:rsidRPr="00940DDB">
        <w:rPr>
          <w:rFonts w:ascii="Century Schoolbook" w:hAnsi="Century Schoolbook"/>
          <w:sz w:val="16"/>
          <w:szCs w:val="16"/>
        </w:rPr>
        <w:t>espropriazione per</w:t>
      </w:r>
      <w:r w:rsidR="006705DF" w:rsidRPr="00940DDB">
        <w:rPr>
          <w:rFonts w:ascii="Century Schoolbook" w:hAnsi="Century Schoolbook"/>
          <w:sz w:val="16"/>
          <w:szCs w:val="16"/>
        </w:rPr>
        <w:t xml:space="preserve"> </w:t>
      </w:r>
      <w:r w:rsidRPr="00940DDB">
        <w:rPr>
          <w:rFonts w:ascii="Century Schoolbook" w:hAnsi="Century Schoolbook"/>
          <w:sz w:val="16"/>
          <w:szCs w:val="16"/>
        </w:rPr>
        <w:t>pubblica utilit</w:t>
      </w:r>
      <w:r w:rsidR="006705DF" w:rsidRPr="00940DDB">
        <w:rPr>
          <w:rFonts w:ascii="Century Schoolbook" w:hAnsi="Century Schoolbook"/>
          <w:sz w:val="16"/>
          <w:szCs w:val="16"/>
        </w:rPr>
        <w:t>à</w:t>
      </w:r>
      <w:r w:rsidRPr="00940DDB">
        <w:rPr>
          <w:rFonts w:ascii="Century Schoolbook" w:hAnsi="Century Schoolbook"/>
          <w:sz w:val="16"/>
          <w:szCs w:val="16"/>
        </w:rPr>
        <w:t>, di</w:t>
      </w:r>
      <w:r w:rsidR="006705DF" w:rsidRPr="00940DDB">
        <w:rPr>
          <w:rFonts w:ascii="Century Schoolbook" w:hAnsi="Century Schoolbook"/>
          <w:sz w:val="16"/>
          <w:szCs w:val="16"/>
        </w:rPr>
        <w:t xml:space="preserve"> </w:t>
      </w:r>
      <w:r w:rsidRPr="00940DDB">
        <w:rPr>
          <w:rFonts w:ascii="Century Schoolbook" w:hAnsi="Century Schoolbook"/>
          <w:sz w:val="16"/>
          <w:szCs w:val="16"/>
        </w:rPr>
        <w:t>cui al decreto del</w:t>
      </w:r>
      <w:r w:rsidR="00A339A3" w:rsidRPr="00940DDB">
        <w:rPr>
          <w:rFonts w:ascii="Century Schoolbook" w:hAnsi="Century Schoolbook"/>
          <w:sz w:val="16"/>
          <w:szCs w:val="16"/>
        </w:rPr>
        <w:t xml:space="preserve"> </w:t>
      </w:r>
      <w:r w:rsidRPr="00940DDB">
        <w:rPr>
          <w:rFonts w:ascii="Century Schoolbook" w:hAnsi="Century Schoolbook"/>
          <w:sz w:val="16"/>
          <w:szCs w:val="16"/>
        </w:rPr>
        <w:t>Presidente della Repubblica 8 giugno 2001, n. 327</w:t>
      </w:r>
      <w:r w:rsidR="002C5470" w:rsidRPr="00940DDB">
        <w:rPr>
          <w:rFonts w:ascii="Century Schoolbook" w:hAnsi="Century Schoolbook"/>
          <w:sz w:val="16"/>
          <w:szCs w:val="16"/>
        </w:rPr>
        <w:t>»</w:t>
      </w:r>
      <w:r w:rsidRPr="00940DDB">
        <w:rPr>
          <w:rFonts w:ascii="Century Schoolbook" w:hAnsi="Century Schoolbook"/>
          <w:sz w:val="16"/>
          <w:szCs w:val="16"/>
        </w:rPr>
        <w:t>.</w:t>
      </w:r>
      <w:r w:rsidR="00D420A1" w:rsidRPr="00940DDB">
        <w:rPr>
          <w:rFonts w:ascii="Century Schoolbook" w:hAnsi="Century Schoolbook"/>
          <w:sz w:val="16"/>
          <w:szCs w:val="16"/>
        </w:rPr>
        <w:t xml:space="preserve"> </w:t>
      </w:r>
    </w:p>
  </w:footnote>
  <w:footnote w:id="59">
    <w:p w14:paraId="280A6FA7" w14:textId="1DF0874F" w:rsidR="005D6978" w:rsidRPr="00940DDB" w:rsidRDefault="005D6978" w:rsidP="004B25C8">
      <w:pPr>
        <w:pStyle w:val="Testonotaapidipagina"/>
        <w:ind w:firstLine="708"/>
        <w:contextualSpacing/>
        <w:jc w:val="both"/>
        <w:rPr>
          <w:rFonts w:ascii="Century Schoolbook" w:hAnsi="Century Schoolbook"/>
          <w:sz w:val="16"/>
          <w:szCs w:val="16"/>
          <w:lang w:val="en-US"/>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lang w:val="en-US"/>
        </w:rPr>
        <w:t xml:space="preserve"> Art. 12, comma 4, d.lgs. n. 387/’03 cit.</w:t>
      </w:r>
    </w:p>
  </w:footnote>
  <w:footnote w:id="60">
    <w:p w14:paraId="24B44B1D" w14:textId="71B968C7" w:rsidR="005D6978" w:rsidRPr="00940DDB" w:rsidRDefault="005D6978" w:rsidP="004B25C8">
      <w:pPr>
        <w:pStyle w:val="Testonotaapidipagina"/>
        <w:ind w:firstLine="708"/>
        <w:contextualSpacing/>
        <w:jc w:val="both"/>
        <w:rPr>
          <w:rFonts w:ascii="Century Schoolbook" w:hAnsi="Century Schoolbook"/>
          <w:sz w:val="16"/>
          <w:szCs w:val="16"/>
          <w:lang w:val="en-US"/>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lang w:val="en-US"/>
        </w:rPr>
        <w:t xml:space="preserve"> Art. 12, comma 3, d.lgs. n. 387/’03 cit.</w:t>
      </w:r>
    </w:p>
  </w:footnote>
  <w:footnote w:id="61">
    <w:p w14:paraId="4F390DE5" w14:textId="1AE4225C" w:rsidR="005D6978" w:rsidRPr="00940DDB" w:rsidRDefault="005D6978" w:rsidP="004B25C8">
      <w:pPr>
        <w:pStyle w:val="Testonotaapidipagina"/>
        <w:ind w:firstLine="708"/>
        <w:contextualSpacing/>
        <w:jc w:val="both"/>
        <w:rPr>
          <w:rFonts w:ascii="Century Schoolbook" w:hAnsi="Century Schoolbook"/>
          <w:sz w:val="16"/>
          <w:szCs w:val="16"/>
          <w:lang w:val="en-US"/>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lang w:val="en-US"/>
        </w:rPr>
        <w:t xml:space="preserve"> Art. 12, comma 4, d.lgs. n. 387/’03 cit.</w:t>
      </w:r>
    </w:p>
  </w:footnote>
  <w:footnote w:id="62">
    <w:p w14:paraId="5C2330E0" w14:textId="7A5A8006" w:rsidR="007B7CED" w:rsidRPr="00940DDB" w:rsidRDefault="007B7CED"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Per esempio, Cons. Stato, V, 25 maggio 2018, n. 3109.</w:t>
      </w:r>
      <w:r w:rsidR="009035EE" w:rsidRPr="00940DDB">
        <w:rPr>
          <w:rFonts w:ascii="Century Schoolbook" w:hAnsi="Century Schoolbook"/>
          <w:sz w:val="16"/>
          <w:szCs w:val="16"/>
        </w:rPr>
        <w:t xml:space="preserve"> Il caso deciso concerneva </w:t>
      </w:r>
      <w:r w:rsidR="005F38A1" w:rsidRPr="00940DDB">
        <w:rPr>
          <w:rFonts w:ascii="Century Schoolbook" w:hAnsi="Century Schoolbook"/>
          <w:sz w:val="16"/>
          <w:szCs w:val="16"/>
        </w:rPr>
        <w:t xml:space="preserve">un’autorizzazione unica </w:t>
      </w:r>
      <w:r w:rsidR="005F38A1" w:rsidRPr="00940DDB">
        <w:rPr>
          <w:rFonts w:ascii="Century Schoolbook" w:hAnsi="Century Schoolbook"/>
          <w:i/>
          <w:iCs/>
          <w:sz w:val="16"/>
          <w:szCs w:val="16"/>
        </w:rPr>
        <w:t>ex</w:t>
      </w:r>
      <w:r w:rsidR="005F38A1" w:rsidRPr="00940DDB">
        <w:rPr>
          <w:rFonts w:ascii="Century Schoolbook" w:hAnsi="Century Schoolbook"/>
          <w:sz w:val="16"/>
          <w:szCs w:val="16"/>
        </w:rPr>
        <w:t xml:space="preserve"> art. 12, comma 3, d.lgs. n. 387/</w:t>
      </w:r>
      <w:r w:rsidR="00006298" w:rsidRPr="00940DDB">
        <w:rPr>
          <w:rFonts w:ascii="Century Schoolbook" w:hAnsi="Century Schoolbook"/>
          <w:sz w:val="16"/>
          <w:szCs w:val="16"/>
        </w:rPr>
        <w:t>’</w:t>
      </w:r>
      <w:r w:rsidR="005F38A1" w:rsidRPr="00940DDB">
        <w:rPr>
          <w:rFonts w:ascii="Century Schoolbook" w:hAnsi="Century Schoolbook"/>
          <w:sz w:val="16"/>
          <w:szCs w:val="16"/>
        </w:rPr>
        <w:t xml:space="preserve">03 ed </w:t>
      </w:r>
      <w:r w:rsidR="005F38A1" w:rsidRPr="00940DDB">
        <w:rPr>
          <w:rFonts w:ascii="Century Schoolbook" w:hAnsi="Century Schoolbook"/>
          <w:i/>
          <w:iCs/>
          <w:sz w:val="16"/>
          <w:szCs w:val="16"/>
        </w:rPr>
        <w:t>ex</w:t>
      </w:r>
      <w:r w:rsidR="005F38A1" w:rsidRPr="00940DDB">
        <w:rPr>
          <w:rFonts w:ascii="Century Schoolbook" w:hAnsi="Century Schoolbook"/>
          <w:sz w:val="16"/>
          <w:szCs w:val="16"/>
        </w:rPr>
        <w:t xml:space="preserve"> art. 208, d.lgs. n. 152/</w:t>
      </w:r>
      <w:r w:rsidR="00006298" w:rsidRPr="00940DDB">
        <w:rPr>
          <w:rFonts w:ascii="Century Schoolbook" w:hAnsi="Century Schoolbook"/>
          <w:sz w:val="16"/>
          <w:szCs w:val="16"/>
        </w:rPr>
        <w:t>’</w:t>
      </w:r>
      <w:r w:rsidR="005F38A1" w:rsidRPr="00940DDB">
        <w:rPr>
          <w:rFonts w:ascii="Century Schoolbook" w:hAnsi="Century Schoolbook"/>
          <w:sz w:val="16"/>
          <w:szCs w:val="16"/>
        </w:rPr>
        <w:t>06.</w:t>
      </w:r>
    </w:p>
  </w:footnote>
  <w:footnote w:id="63">
    <w:p w14:paraId="1EBFA26A" w14:textId="631C7483" w:rsidR="007B7CED" w:rsidRPr="00940DDB" w:rsidRDefault="007B7CED"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Cons. Stato n. 3109/’18, cit.</w:t>
      </w:r>
    </w:p>
  </w:footnote>
  <w:footnote w:id="64">
    <w:p w14:paraId="0F181EA4" w14:textId="05054582" w:rsidR="00AD4A36" w:rsidRPr="00940DDB" w:rsidRDefault="00AD4A36"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D. Gambetta, </w:t>
      </w:r>
      <w:r w:rsidRPr="00940DDB">
        <w:rPr>
          <w:rFonts w:ascii="Century Schoolbook" w:hAnsi="Century Schoolbook"/>
          <w:i/>
          <w:iCs/>
          <w:sz w:val="16"/>
          <w:szCs w:val="16"/>
        </w:rPr>
        <w:t>L’autorizzazione “in variante” per impianti di smaltimento e di recupero di rifiuti ex art. 208 codice dell’ambiente e i relativi rapporti con la competenza comunale in materia di pianificazione urbanistica</w:t>
      </w:r>
      <w:r w:rsidRPr="00940DDB">
        <w:rPr>
          <w:rFonts w:ascii="Century Schoolbook" w:hAnsi="Century Schoolbook"/>
          <w:sz w:val="16"/>
          <w:szCs w:val="16"/>
        </w:rPr>
        <w:t xml:space="preserve">, in </w:t>
      </w:r>
      <w:r w:rsidRPr="00940DDB">
        <w:rPr>
          <w:rFonts w:ascii="Century Schoolbook" w:hAnsi="Century Schoolbook"/>
          <w:i/>
          <w:iCs/>
          <w:sz w:val="16"/>
          <w:szCs w:val="16"/>
        </w:rPr>
        <w:t>diritto.it</w:t>
      </w:r>
      <w:r w:rsidRPr="00940DDB">
        <w:rPr>
          <w:rFonts w:ascii="Century Schoolbook" w:hAnsi="Century Schoolbook"/>
          <w:sz w:val="16"/>
          <w:szCs w:val="16"/>
        </w:rPr>
        <w:t>, 2020.</w:t>
      </w:r>
    </w:p>
  </w:footnote>
  <w:footnote w:id="65">
    <w:p w14:paraId="65A06C45" w14:textId="77777777" w:rsidR="00D62107" w:rsidRPr="00940DDB" w:rsidRDefault="00D62107"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Queste le opere indicate nell’allegato IV: «1) Realizzazione asse ferroviario Palermo-Catania-Messina; 2) Potenziamento linea ferroviaria Verona-Brennero (opere di adduzione); 3) Realizzazione della linea ferroviaria Salerno-Reggio Calabria; 4) Realizzazione della linea ferroviaria Battipaglia-Potenza-Taranto; 5) Realizzazione della linea ferroviaria Roma-Pescara; 6) Potenziamento della linea ferroviaria Orte-Falconara; 7) Realizzazione delle opere di derivazione della Diga di Campolattaro (Campania); 8) Messa in sicurezza e ammodernamento del sistema idrico del Peschiera (Lazio); 9) Interventi di potenziamento delle infrastrutture del Porto di Trieste (progetto Adriagateway); 10) Realizzazione della Diga foranea di Genova».</w:t>
      </w:r>
    </w:p>
  </w:footnote>
  <w:footnote w:id="66">
    <w:p w14:paraId="67D3379E" w14:textId="10246102" w:rsidR="007C1461" w:rsidRPr="00940DDB" w:rsidRDefault="007C1461"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Art. 44, comma 4: «In relazione agli interventi di cui all</w:t>
      </w:r>
      <w:r w:rsidR="00B15863" w:rsidRPr="00940DDB">
        <w:rPr>
          <w:rFonts w:ascii="Century Schoolbook" w:hAnsi="Century Schoolbook"/>
          <w:sz w:val="16"/>
          <w:szCs w:val="16"/>
        </w:rPr>
        <w:t>’</w:t>
      </w:r>
      <w:r w:rsidRPr="00940DDB">
        <w:rPr>
          <w:rFonts w:ascii="Century Schoolbook" w:hAnsi="Century Schoolbook"/>
          <w:sz w:val="16"/>
          <w:szCs w:val="16"/>
        </w:rPr>
        <w:t>Allegato IV del presente decreto, decorsi quindici giorni dalla</w:t>
      </w:r>
      <w:r w:rsidR="00B7532C" w:rsidRPr="00940DDB">
        <w:rPr>
          <w:rFonts w:ascii="Century Schoolbook" w:hAnsi="Century Schoolbook"/>
          <w:sz w:val="16"/>
          <w:szCs w:val="16"/>
        </w:rPr>
        <w:t xml:space="preserve"> </w:t>
      </w:r>
      <w:r w:rsidRPr="00940DDB">
        <w:rPr>
          <w:rFonts w:ascii="Century Schoolbook" w:hAnsi="Century Schoolbook"/>
          <w:sz w:val="16"/>
          <w:szCs w:val="16"/>
        </w:rPr>
        <w:t>trasmissione al Consiglio superiore dei lavori pubblici del progetto di fattibilità tecnica ed economica, ove non sia stato restituito ai sensi del secondo periodo del comma 1, ovvero contestualmente alla trasmissione al citato Consiglio del progetto modificato nei termini dallo stesso richiesti, la stazione appaltante convoca la conferenza di servizi per l</w:t>
      </w:r>
      <w:r w:rsidR="00B15863" w:rsidRPr="00940DDB">
        <w:rPr>
          <w:rFonts w:ascii="Century Schoolbook" w:hAnsi="Century Schoolbook"/>
          <w:sz w:val="16"/>
          <w:szCs w:val="16"/>
        </w:rPr>
        <w:t>’</w:t>
      </w:r>
      <w:r w:rsidRPr="00940DDB">
        <w:rPr>
          <w:rFonts w:ascii="Century Schoolbook" w:hAnsi="Century Schoolbook"/>
          <w:sz w:val="16"/>
          <w:szCs w:val="16"/>
        </w:rPr>
        <w:t>approvazione del progetto ai sensi dell’articolo 27, comma 3, del decreto legislativo n. 50 del 2016. La conferenza di servizi è svolta in forma semplificata ai sensi dell’articolo 14-</w:t>
      </w:r>
      <w:r w:rsidRPr="00940DDB">
        <w:rPr>
          <w:rFonts w:ascii="Century Schoolbook" w:hAnsi="Century Schoolbook"/>
          <w:i/>
          <w:iCs/>
          <w:sz w:val="16"/>
          <w:szCs w:val="16"/>
        </w:rPr>
        <w:t>bis</w:t>
      </w:r>
      <w:r w:rsidRPr="00940DDB">
        <w:rPr>
          <w:rFonts w:ascii="Century Schoolbook" w:hAnsi="Century Schoolbook"/>
          <w:sz w:val="16"/>
          <w:szCs w:val="16"/>
        </w:rPr>
        <w:t xml:space="preserve"> della legge 7 agosto 1990, n. 241 e nel corso di essa, ferme restando le prerogative dell’autorità competente in materia di VIA, sono acquisite e valutate le eventuali prescrizioni e direttive adottate dal Consiglio superiore dei lavori pubblici ai sensi del secondo periodo del comma 1, nonché gli esiti del dibattito pubblico e le osservazioni raccolte secondo le modalità di cui all'articolo 46 del presente decreto, della verifica preventiva dell’interesse archeologico e della valutazione di impatto ambientale. La determinazione conclusiva della conferenza approva il progetto e tiene luogo dei pareri, nulla osta e autorizzazioni necessari ai fini della localizzazione dell’opera, della conformità urbanistica e paesaggistica dell’intervento, della risoluzione delle interferenze e delle relative opere mitigatrici e compensative. La determinazione conclusiva della conferenza perfeziona, ad ogni fine urbanistico ed edilizio, l’intesa tra Stato e regione o provincia autonoma, in ordine alla localizzazione dell’opera, ha effetto di variante degli strumenti urbanistici vigenti e comprende il provvedimento di VIA e i titoli abilitativi rilasciati per la realizzazione e l</w:t>
      </w:r>
      <w:r w:rsidR="00B15863" w:rsidRPr="00940DDB">
        <w:rPr>
          <w:rFonts w:ascii="Century Schoolbook" w:hAnsi="Century Schoolbook"/>
          <w:sz w:val="16"/>
          <w:szCs w:val="16"/>
        </w:rPr>
        <w:t>’</w:t>
      </w:r>
      <w:r w:rsidRPr="00940DDB">
        <w:rPr>
          <w:rFonts w:ascii="Century Schoolbook" w:hAnsi="Century Schoolbook"/>
          <w:sz w:val="16"/>
          <w:szCs w:val="16"/>
        </w:rPr>
        <w:t>esercizio del progetto, recandone l’indicazione esplicita. La variante urbanistica, conseguente alla determinazione conclusiva della conferenza, comporta l’assoggettamento dell</w:t>
      </w:r>
      <w:r w:rsidR="00B15863" w:rsidRPr="00940DDB">
        <w:rPr>
          <w:rFonts w:ascii="Century Schoolbook" w:hAnsi="Century Schoolbook"/>
          <w:sz w:val="16"/>
          <w:szCs w:val="16"/>
        </w:rPr>
        <w:t>’</w:t>
      </w:r>
      <w:r w:rsidRPr="00940DDB">
        <w:rPr>
          <w:rFonts w:ascii="Century Schoolbook" w:hAnsi="Century Schoolbook"/>
          <w:sz w:val="16"/>
          <w:szCs w:val="16"/>
        </w:rPr>
        <w:t>area a vincolo preordinato all</w:t>
      </w:r>
      <w:r w:rsidR="00B15863" w:rsidRPr="00940DDB">
        <w:rPr>
          <w:rFonts w:ascii="Century Schoolbook" w:hAnsi="Century Schoolbook"/>
          <w:sz w:val="16"/>
          <w:szCs w:val="16"/>
        </w:rPr>
        <w:t>’</w:t>
      </w:r>
      <w:r w:rsidRPr="00940DDB">
        <w:rPr>
          <w:rFonts w:ascii="Century Schoolbook" w:hAnsi="Century Schoolbook"/>
          <w:sz w:val="16"/>
          <w:szCs w:val="16"/>
        </w:rPr>
        <w:t>esproprio ai sensi dell</w:t>
      </w:r>
      <w:r w:rsidR="00B15863" w:rsidRPr="00940DDB">
        <w:rPr>
          <w:rFonts w:ascii="Century Schoolbook" w:hAnsi="Century Schoolbook"/>
          <w:sz w:val="16"/>
          <w:szCs w:val="16"/>
        </w:rPr>
        <w:t>’</w:t>
      </w:r>
      <w:r w:rsidRPr="00940DDB">
        <w:rPr>
          <w:rFonts w:ascii="Century Schoolbook" w:hAnsi="Century Schoolbook"/>
          <w:sz w:val="16"/>
          <w:szCs w:val="16"/>
        </w:rPr>
        <w:t>articolo 10 del decreto del Presidente della Repubblica 8 giugno 2001, n. 327, e le comunicazioni agli interessati di cui all’articolo 14, comma 5, della legge n. 241 del1990 tengono luogo della fase partecipativa di cui all’articolo 11 del predetto decreto del Presidente della Repubblica n. 327 del 2001. Gli enti locali provvedono alle necessarie misure di salvaguardia delle aree interessate e delle relative fasce di rispetto e non possono autorizzare interventi edilizi incompatibili con la localizzazione dell'opera».</w:t>
      </w:r>
    </w:p>
  </w:footnote>
  <w:footnote w:id="67">
    <w:p w14:paraId="674FFA64" w14:textId="48066EB4" w:rsidR="00AA409B" w:rsidRPr="00940DDB" w:rsidRDefault="00AA409B" w:rsidP="004B25C8">
      <w:pPr>
        <w:pStyle w:val="Testonotaapidipagina"/>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1F4BE8" w:rsidRPr="00940DDB">
        <w:rPr>
          <w:rFonts w:ascii="Century Schoolbook" w:hAnsi="Century Schoolbook"/>
          <w:sz w:val="16"/>
          <w:szCs w:val="16"/>
        </w:rPr>
        <w:t>Ecco</w:t>
      </w:r>
      <w:r w:rsidR="00540F41" w:rsidRPr="00940DDB">
        <w:rPr>
          <w:rFonts w:ascii="Century Schoolbook" w:hAnsi="Century Schoolbook"/>
          <w:sz w:val="16"/>
          <w:szCs w:val="16"/>
        </w:rPr>
        <w:t xml:space="preserve"> il testo dell’a</w:t>
      </w:r>
      <w:r w:rsidRPr="00940DDB">
        <w:rPr>
          <w:rFonts w:ascii="Century Schoolbook" w:hAnsi="Century Schoolbook"/>
          <w:sz w:val="16"/>
          <w:szCs w:val="16"/>
        </w:rPr>
        <w:t>rt. 5-</w:t>
      </w:r>
      <w:r w:rsidRPr="00940DDB">
        <w:rPr>
          <w:rFonts w:ascii="Century Schoolbook" w:hAnsi="Century Schoolbook"/>
          <w:i/>
          <w:iCs/>
          <w:sz w:val="16"/>
          <w:szCs w:val="16"/>
        </w:rPr>
        <w:t>bis</w:t>
      </w:r>
      <w:r w:rsidRPr="00940DDB">
        <w:rPr>
          <w:rFonts w:ascii="Century Schoolbook" w:hAnsi="Century Schoolbook"/>
          <w:sz w:val="16"/>
          <w:szCs w:val="16"/>
        </w:rPr>
        <w:t>: «1. Fatto salvo quanto previsto dalle norme vigenti in materia di autorizzazione di impianti e infrastrutture energetiche ed in materia di opere ed altre attività ricadenti nella competenza territoriale delle Autorità di sistema portuale e degli aeroporti, le opere per la realizzazione di progetti infrastrutturali nelle zone economiche speciali (ZES) da parte di soggetti pubblici e privati sono di pubblica utilit</w:t>
      </w:r>
      <w:r w:rsidR="00540F41" w:rsidRPr="00940DDB">
        <w:rPr>
          <w:rFonts w:ascii="Century Schoolbook" w:hAnsi="Century Schoolbook"/>
          <w:sz w:val="16"/>
          <w:szCs w:val="16"/>
        </w:rPr>
        <w:t>à</w:t>
      </w:r>
      <w:r w:rsidRPr="00940DDB">
        <w:rPr>
          <w:rFonts w:ascii="Century Schoolbook" w:hAnsi="Century Schoolbook"/>
          <w:sz w:val="16"/>
          <w:szCs w:val="16"/>
        </w:rPr>
        <w:t>, indifferibili ed urgenti. 2. I progetti inerenti alle attività economiche ovvero all</w:t>
      </w:r>
      <w:r w:rsidR="00B15863" w:rsidRPr="00940DDB">
        <w:rPr>
          <w:rFonts w:ascii="Century Schoolbook" w:hAnsi="Century Schoolbook"/>
          <w:sz w:val="16"/>
          <w:szCs w:val="16"/>
        </w:rPr>
        <w:t>’</w:t>
      </w:r>
      <w:r w:rsidRPr="00940DDB">
        <w:rPr>
          <w:rFonts w:ascii="Century Schoolbook" w:hAnsi="Century Schoolbook"/>
          <w:sz w:val="16"/>
          <w:szCs w:val="16"/>
        </w:rPr>
        <w:t>insediamento di attività industriali, produttive e logistiche all</w:t>
      </w:r>
      <w:r w:rsidR="00B15863" w:rsidRPr="00940DDB">
        <w:rPr>
          <w:rFonts w:ascii="Century Schoolbook" w:hAnsi="Century Schoolbook"/>
          <w:sz w:val="16"/>
          <w:szCs w:val="16"/>
        </w:rPr>
        <w:t>’</w:t>
      </w:r>
      <w:r w:rsidRPr="00940DDB">
        <w:rPr>
          <w:rFonts w:ascii="Century Schoolbook" w:hAnsi="Century Schoolbook"/>
          <w:sz w:val="16"/>
          <w:szCs w:val="16"/>
        </w:rPr>
        <w:t>interno delle ZES, non soggetti a segnalazione certificata di inizio attività, sono soggetti ad autorizzazione unica, nel rispetto delle normative vigenti in materia di valutazione di impatto ambientale. L</w:t>
      </w:r>
      <w:r w:rsidR="00B15863" w:rsidRPr="00940DDB">
        <w:rPr>
          <w:rFonts w:ascii="Century Schoolbook" w:hAnsi="Century Schoolbook"/>
          <w:sz w:val="16"/>
          <w:szCs w:val="16"/>
        </w:rPr>
        <w:t>’</w:t>
      </w:r>
      <w:r w:rsidRPr="00940DDB">
        <w:rPr>
          <w:rFonts w:ascii="Century Schoolbook" w:hAnsi="Century Schoolbook"/>
          <w:sz w:val="16"/>
          <w:szCs w:val="16"/>
        </w:rPr>
        <w:t>autorizzazione unica, ove necessario, costituisce variante agli strumenti urbanistici e di pianificazione territoriale, ad eccezione del piano paesaggistico regionale. 3. L</w:t>
      </w:r>
      <w:r w:rsidR="00540F41" w:rsidRPr="00940DDB">
        <w:rPr>
          <w:rFonts w:ascii="Century Schoolbook" w:hAnsi="Century Schoolbook"/>
          <w:sz w:val="16"/>
          <w:szCs w:val="16"/>
        </w:rPr>
        <w:t>’</w:t>
      </w:r>
      <w:r w:rsidRPr="00940DDB">
        <w:rPr>
          <w:rFonts w:ascii="Century Schoolbook" w:hAnsi="Century Schoolbook"/>
          <w:sz w:val="16"/>
          <w:szCs w:val="16"/>
        </w:rPr>
        <w:t>autorizzazione unica, nella quale confluiscono tutti gli atti di autorizzazione, assenso e nulla osta comunque denominati, previsti dalla vigente legislazione in relazione all</w:t>
      </w:r>
      <w:r w:rsidR="00B15863" w:rsidRPr="00940DDB">
        <w:rPr>
          <w:rFonts w:ascii="Century Schoolbook" w:hAnsi="Century Schoolbook"/>
          <w:sz w:val="16"/>
          <w:szCs w:val="16"/>
        </w:rPr>
        <w:t>’</w:t>
      </w:r>
      <w:r w:rsidRPr="00940DDB">
        <w:rPr>
          <w:rFonts w:ascii="Century Schoolbook" w:hAnsi="Century Schoolbook"/>
          <w:sz w:val="16"/>
          <w:szCs w:val="16"/>
        </w:rPr>
        <w:t>opera da eseguire, al progetto da approvare o all</w:t>
      </w:r>
      <w:r w:rsidR="00B15863" w:rsidRPr="00940DDB">
        <w:rPr>
          <w:rFonts w:ascii="Century Schoolbook" w:hAnsi="Century Schoolbook"/>
          <w:sz w:val="16"/>
          <w:szCs w:val="16"/>
        </w:rPr>
        <w:t>’</w:t>
      </w:r>
      <w:r w:rsidRPr="00940DDB">
        <w:rPr>
          <w:rFonts w:ascii="Century Schoolbook" w:hAnsi="Century Schoolbook"/>
          <w:sz w:val="16"/>
          <w:szCs w:val="16"/>
        </w:rPr>
        <w:t>attività da intraprendere, è rilasciata dal Commissario straordinario della ZES, di cui all</w:t>
      </w:r>
      <w:r w:rsidR="00B15863" w:rsidRPr="00940DDB">
        <w:rPr>
          <w:rFonts w:ascii="Century Schoolbook" w:hAnsi="Century Schoolbook"/>
          <w:sz w:val="16"/>
          <w:szCs w:val="16"/>
        </w:rPr>
        <w:t>’</w:t>
      </w:r>
      <w:r w:rsidRPr="00940DDB">
        <w:rPr>
          <w:rFonts w:ascii="Century Schoolbook" w:hAnsi="Century Schoolbook"/>
          <w:sz w:val="16"/>
          <w:szCs w:val="16"/>
        </w:rPr>
        <w:t>articolo 4, comma 6, in esito ad apposita conferenza di servizi, in applicazione dell</w:t>
      </w:r>
      <w:r w:rsidR="00B15863" w:rsidRPr="00940DDB">
        <w:rPr>
          <w:rFonts w:ascii="Century Schoolbook" w:hAnsi="Century Schoolbook"/>
          <w:sz w:val="16"/>
          <w:szCs w:val="16"/>
        </w:rPr>
        <w:t>’</w:t>
      </w:r>
      <w:r w:rsidRPr="00940DDB">
        <w:rPr>
          <w:rFonts w:ascii="Century Schoolbook" w:hAnsi="Century Schoolbook"/>
          <w:sz w:val="16"/>
          <w:szCs w:val="16"/>
        </w:rPr>
        <w:t>articolo 14-</w:t>
      </w:r>
      <w:r w:rsidRPr="00940DDB">
        <w:rPr>
          <w:rFonts w:ascii="Century Schoolbook" w:hAnsi="Century Schoolbook"/>
          <w:i/>
          <w:iCs/>
          <w:sz w:val="16"/>
          <w:szCs w:val="16"/>
        </w:rPr>
        <w:t>bis</w:t>
      </w:r>
      <w:r w:rsidRPr="00940DDB">
        <w:rPr>
          <w:rFonts w:ascii="Century Schoolbook" w:hAnsi="Century Schoolbook"/>
          <w:sz w:val="16"/>
          <w:szCs w:val="16"/>
        </w:rPr>
        <w:t xml:space="preserve"> della legge 7 agosto 1990, n. 241. 4. Alla conferenza di servizi sono convocate tutte le amministrazioni competenti, anche per la tutela ambientale, paesaggistico-territoriale, dei beni culturali, demaniale, antincendio, della salute dei cittadini e preposte alla disciplina doganale. 5. Il rilascio dell</w:t>
      </w:r>
      <w:r w:rsidR="00B15863" w:rsidRPr="00940DDB">
        <w:rPr>
          <w:rFonts w:ascii="Century Schoolbook" w:hAnsi="Century Schoolbook"/>
          <w:sz w:val="16"/>
          <w:szCs w:val="16"/>
        </w:rPr>
        <w:t>’</w:t>
      </w:r>
      <w:r w:rsidRPr="00940DDB">
        <w:rPr>
          <w:rFonts w:ascii="Century Schoolbook" w:hAnsi="Century Schoolbook"/>
          <w:sz w:val="16"/>
          <w:szCs w:val="16"/>
        </w:rPr>
        <w:t>autorizzazione unica sostituisce ogni altra autorizzazione, approvazione e parere comunque denominati e consente la realizzazione di tutte le opere, prestazioni e attività previste nel progetto. 6. Le previsioni di cui ai commi da 2 a 5 si applicano altres</w:t>
      </w:r>
      <w:r w:rsidR="00540F41" w:rsidRPr="00940DDB">
        <w:rPr>
          <w:rFonts w:ascii="Century Schoolbook" w:hAnsi="Century Schoolbook"/>
          <w:sz w:val="16"/>
          <w:szCs w:val="16"/>
        </w:rPr>
        <w:t>ì</w:t>
      </w:r>
      <w:r w:rsidRPr="00940DDB">
        <w:rPr>
          <w:rFonts w:ascii="Century Schoolbook" w:hAnsi="Century Schoolbook"/>
          <w:sz w:val="16"/>
          <w:szCs w:val="16"/>
        </w:rPr>
        <w:t xml:space="preserve"> alle opere e altre attivit</w:t>
      </w:r>
      <w:r w:rsidR="00540F41" w:rsidRPr="00940DDB">
        <w:rPr>
          <w:rFonts w:ascii="Century Schoolbook" w:hAnsi="Century Schoolbook"/>
          <w:sz w:val="16"/>
          <w:szCs w:val="16"/>
        </w:rPr>
        <w:t>à</w:t>
      </w:r>
      <w:r w:rsidRPr="00940DDB">
        <w:rPr>
          <w:rFonts w:ascii="Century Schoolbook" w:hAnsi="Century Schoolbook"/>
          <w:sz w:val="16"/>
          <w:szCs w:val="16"/>
        </w:rPr>
        <w:t xml:space="preserve"> all</w:t>
      </w:r>
      <w:r w:rsidR="00B15863" w:rsidRPr="00940DDB">
        <w:rPr>
          <w:rFonts w:ascii="Century Schoolbook" w:hAnsi="Century Schoolbook"/>
          <w:sz w:val="16"/>
          <w:szCs w:val="16"/>
        </w:rPr>
        <w:t>’</w:t>
      </w:r>
      <w:r w:rsidRPr="00940DDB">
        <w:rPr>
          <w:rFonts w:ascii="Century Schoolbook" w:hAnsi="Century Schoolbook"/>
          <w:sz w:val="16"/>
          <w:szCs w:val="16"/>
        </w:rPr>
        <w:t>interno delle ZES e ricadenti nella competenza territoriale delle Autorit</w:t>
      </w:r>
      <w:r w:rsidR="00540F41" w:rsidRPr="00940DDB">
        <w:rPr>
          <w:rFonts w:ascii="Century Schoolbook" w:hAnsi="Century Schoolbook"/>
          <w:sz w:val="16"/>
          <w:szCs w:val="16"/>
        </w:rPr>
        <w:t>à</w:t>
      </w:r>
      <w:r w:rsidRPr="00940DDB">
        <w:rPr>
          <w:rFonts w:ascii="Century Schoolbook" w:hAnsi="Century Schoolbook"/>
          <w:sz w:val="16"/>
          <w:szCs w:val="16"/>
        </w:rPr>
        <w:t xml:space="preserve"> di sistema portuali e, in tal caso, l</w:t>
      </w:r>
      <w:r w:rsidR="00B15863" w:rsidRPr="00940DDB">
        <w:rPr>
          <w:rFonts w:ascii="Century Schoolbook" w:hAnsi="Century Schoolbook"/>
          <w:sz w:val="16"/>
          <w:szCs w:val="16"/>
        </w:rPr>
        <w:t>’</w:t>
      </w:r>
      <w:r w:rsidRPr="00940DDB">
        <w:rPr>
          <w:rFonts w:ascii="Century Schoolbook" w:hAnsi="Century Schoolbook"/>
          <w:sz w:val="16"/>
          <w:szCs w:val="16"/>
        </w:rPr>
        <w:t xml:space="preserve">autorizzazione unica prevista dai citati commi </w:t>
      </w:r>
      <w:r w:rsidR="00540F41" w:rsidRPr="00940DDB">
        <w:rPr>
          <w:rFonts w:ascii="Century Schoolbook" w:hAnsi="Century Schoolbook"/>
          <w:sz w:val="16"/>
          <w:szCs w:val="16"/>
        </w:rPr>
        <w:t>è</w:t>
      </w:r>
      <w:r w:rsidRPr="00940DDB">
        <w:rPr>
          <w:rFonts w:ascii="Century Schoolbook" w:hAnsi="Century Schoolbook"/>
          <w:sz w:val="16"/>
          <w:szCs w:val="16"/>
        </w:rPr>
        <w:t xml:space="preserve"> rilasciata dall</w:t>
      </w:r>
      <w:r w:rsidR="00B15863" w:rsidRPr="00940DDB">
        <w:rPr>
          <w:rFonts w:ascii="Century Schoolbook" w:hAnsi="Century Schoolbook"/>
          <w:sz w:val="16"/>
          <w:szCs w:val="16"/>
        </w:rPr>
        <w:t>’</w:t>
      </w:r>
      <w:r w:rsidRPr="00940DDB">
        <w:rPr>
          <w:rFonts w:ascii="Century Schoolbook" w:hAnsi="Century Schoolbook"/>
          <w:sz w:val="16"/>
          <w:szCs w:val="16"/>
        </w:rPr>
        <w:t>Autorit</w:t>
      </w:r>
      <w:r w:rsidR="00540F41" w:rsidRPr="00940DDB">
        <w:rPr>
          <w:rFonts w:ascii="Century Schoolbook" w:hAnsi="Century Schoolbook"/>
          <w:sz w:val="16"/>
          <w:szCs w:val="16"/>
        </w:rPr>
        <w:t>à</w:t>
      </w:r>
      <w:r w:rsidRPr="00940DDB">
        <w:rPr>
          <w:rFonts w:ascii="Century Schoolbook" w:hAnsi="Century Schoolbook"/>
          <w:sz w:val="16"/>
          <w:szCs w:val="16"/>
        </w:rPr>
        <w:t xml:space="preserve"> di sistema portuale».</w:t>
      </w:r>
    </w:p>
  </w:footnote>
  <w:footnote w:id="68">
    <w:p w14:paraId="33AE5D19" w14:textId="2051B816" w:rsidR="006463B5" w:rsidRPr="00940DDB" w:rsidRDefault="006463B5" w:rsidP="00206C7D">
      <w:pPr>
        <w:pStyle w:val="Testonotaapidipagina"/>
        <w:ind w:firstLine="708"/>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B16E21" w:rsidRPr="00940DDB">
        <w:rPr>
          <w:rFonts w:ascii="Century Schoolbook" w:hAnsi="Century Schoolbook"/>
          <w:sz w:val="16"/>
          <w:szCs w:val="16"/>
        </w:rPr>
        <w:t xml:space="preserve">Opposta la posizione di F. Merloni, </w:t>
      </w:r>
      <w:r w:rsidR="00B16E21" w:rsidRPr="00940DDB">
        <w:rPr>
          <w:rFonts w:ascii="Century Schoolbook" w:hAnsi="Century Schoolbook"/>
          <w:i/>
          <w:iCs/>
          <w:sz w:val="16"/>
          <w:szCs w:val="16"/>
        </w:rPr>
        <w:t>Il Titolo V, le Regioni e le riforme delle autonomie territoriali</w:t>
      </w:r>
      <w:r w:rsidR="00B16E21" w:rsidRPr="00940DDB">
        <w:rPr>
          <w:rFonts w:ascii="Century Schoolbook" w:hAnsi="Century Schoolbook"/>
          <w:sz w:val="16"/>
          <w:szCs w:val="16"/>
        </w:rPr>
        <w:t xml:space="preserve">, in </w:t>
      </w:r>
      <w:r w:rsidR="00B16E21" w:rsidRPr="00940DDB">
        <w:rPr>
          <w:rFonts w:ascii="Century Schoolbook" w:hAnsi="Century Schoolbook"/>
          <w:i/>
          <w:iCs/>
          <w:sz w:val="16"/>
          <w:szCs w:val="16"/>
        </w:rPr>
        <w:t>Istituzioni del federalismo</w:t>
      </w:r>
      <w:r w:rsidR="00B16E21" w:rsidRPr="00940DDB">
        <w:rPr>
          <w:rFonts w:ascii="Century Schoolbook" w:hAnsi="Century Schoolbook"/>
          <w:sz w:val="16"/>
          <w:szCs w:val="16"/>
        </w:rPr>
        <w:t xml:space="preserve">, 2021, p. 7 ss., spec. p. 16: «Si deve ripartire, quindi, da un’affermazione di fondo: la pubblica amministrazione, lo strumento che la Costituzione pone a garanzia dei diritti fondamentali dei cittadini, resta </w:t>
      </w:r>
      <w:r w:rsidR="00B16E21" w:rsidRPr="00940DDB">
        <w:rPr>
          <w:rFonts w:ascii="Century Schoolbook" w:hAnsi="Century Schoolbook"/>
          <w:i/>
          <w:iCs/>
          <w:sz w:val="16"/>
          <w:szCs w:val="16"/>
        </w:rPr>
        <w:t>l’amministrazione locale</w:t>
      </w:r>
      <w:r w:rsidR="00B16E21" w:rsidRPr="00940DDB">
        <w:rPr>
          <w:rFonts w:ascii="Century Schoolbook" w:hAnsi="Century Schoolbook"/>
          <w:sz w:val="16"/>
          <w:szCs w:val="16"/>
        </w:rPr>
        <w:t>, con due livelli di enti, i Comuni e le Province, titolari della gran parte delle funzioni di amministrazione attiva.</w:t>
      </w:r>
      <w:r w:rsidR="00206C7D" w:rsidRPr="00940DDB">
        <w:rPr>
          <w:rFonts w:ascii="Century Schoolbook" w:hAnsi="Century Schoolbook"/>
          <w:sz w:val="16"/>
          <w:szCs w:val="16"/>
        </w:rPr>
        <w:t xml:space="preserve"> Funzioni operative possono esser affidate a superiori livelli di governo, ma si deve trattare di eccezioni, strettamente motivate dall’impossibilità di un loro affidamento ai livelli di governo locale</w:t>
      </w:r>
      <w:r w:rsidR="00B16E21" w:rsidRPr="00940DDB">
        <w:rPr>
          <w:rFonts w:ascii="Century Schoolbook" w:hAnsi="Century Schoolbook"/>
          <w:sz w:val="16"/>
          <w:szCs w:val="16"/>
        </w:rPr>
        <w:t xml:space="preserve">». </w:t>
      </w:r>
      <w:r w:rsidR="00206C7D" w:rsidRPr="00940DDB">
        <w:rPr>
          <w:rFonts w:ascii="Century Schoolbook" w:hAnsi="Century Schoolbook"/>
          <w:sz w:val="16"/>
          <w:szCs w:val="16"/>
        </w:rPr>
        <w:t xml:space="preserve">Credo che la diversità di opinioni dipenda in modo decisivo dal punto geografico di osservazione: se – come nel mio caso – si guarda da sud, quelle eccezioni sono in realtà la regola. </w:t>
      </w:r>
    </w:p>
  </w:footnote>
  <w:footnote w:id="69">
    <w:p w14:paraId="2067B38F" w14:textId="0B9AA5A4" w:rsidR="00D62107" w:rsidRPr="00940DDB" w:rsidRDefault="00D62107" w:rsidP="004B25C8">
      <w:pPr>
        <w:ind w:firstLine="708"/>
        <w:contextualSpacing/>
        <w:jc w:val="both"/>
        <w:rPr>
          <w:rFonts w:ascii="Century Schoolbook" w:hAnsi="Century Schoolbook" w:cs="Times New Roman"/>
          <w:color w:val="000000"/>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7E276A" w:rsidRPr="00940DDB">
        <w:rPr>
          <w:rFonts w:ascii="Century Schoolbook" w:hAnsi="Century Schoolbook"/>
          <w:sz w:val="16"/>
          <w:szCs w:val="16"/>
        </w:rPr>
        <w:t>Come si legge nella relazione illustrativa al decreto legge in esame (cfr. p. 9), l</w:t>
      </w:r>
      <w:r w:rsidRPr="00940DDB">
        <w:rPr>
          <w:rFonts w:ascii="Century Schoolbook" w:hAnsi="Century Schoolbook"/>
          <w:sz w:val="16"/>
          <w:szCs w:val="16"/>
        </w:rPr>
        <w:t>a disposizione è finalizzata ad attuare la riforma 1.2 della Missione M3C1-2</w:t>
      </w:r>
      <w:r w:rsidR="007E276A" w:rsidRPr="00940DDB">
        <w:rPr>
          <w:rFonts w:ascii="Century Schoolbook" w:hAnsi="Century Schoolbook"/>
          <w:sz w:val="16"/>
          <w:szCs w:val="16"/>
        </w:rPr>
        <w:t>, concernente</w:t>
      </w:r>
      <w:r w:rsidRPr="00940DDB">
        <w:rPr>
          <w:rFonts w:ascii="Century Schoolbook" w:hAnsi="Century Schoolbook"/>
          <w:sz w:val="16"/>
          <w:szCs w:val="16"/>
        </w:rPr>
        <w:t xml:space="preserve"> </w:t>
      </w:r>
      <w:r w:rsidR="007E276A" w:rsidRPr="00940DDB">
        <w:rPr>
          <w:rFonts w:ascii="Century Schoolbook" w:hAnsi="Century Schoolbook"/>
          <w:sz w:val="16"/>
          <w:szCs w:val="16"/>
        </w:rPr>
        <w:t>l’</w:t>
      </w:r>
      <w:r w:rsidR="005E2317" w:rsidRPr="00940DDB">
        <w:rPr>
          <w:rFonts w:ascii="Century Schoolbook" w:hAnsi="Century Schoolbook"/>
          <w:sz w:val="16"/>
          <w:szCs w:val="16"/>
        </w:rPr>
        <w:t>«</w:t>
      </w:r>
      <w:r w:rsidRPr="00940DDB">
        <w:rPr>
          <w:rFonts w:ascii="Century Schoolbook" w:hAnsi="Century Schoolbook"/>
          <w:sz w:val="16"/>
          <w:szCs w:val="16"/>
        </w:rPr>
        <w:t>Accelerazione dell</w:t>
      </w:r>
      <w:r w:rsidR="007E276A" w:rsidRPr="00940DDB">
        <w:rPr>
          <w:rFonts w:ascii="Century Schoolbook" w:hAnsi="Century Schoolbook"/>
          <w:sz w:val="16"/>
          <w:szCs w:val="16"/>
        </w:rPr>
        <w:t>’</w:t>
      </w:r>
      <w:r w:rsidRPr="00940DDB">
        <w:rPr>
          <w:rFonts w:ascii="Century Schoolbook" w:hAnsi="Century Schoolbook"/>
          <w:i/>
          <w:iCs/>
          <w:sz w:val="16"/>
          <w:szCs w:val="16"/>
        </w:rPr>
        <w:t>iter</w:t>
      </w:r>
      <w:r w:rsidRPr="00940DDB">
        <w:rPr>
          <w:rFonts w:ascii="Century Schoolbook" w:hAnsi="Century Schoolbook"/>
          <w:sz w:val="16"/>
          <w:szCs w:val="16"/>
        </w:rPr>
        <w:t xml:space="preserve"> di approvazione dei progetti ferroviari</w:t>
      </w:r>
      <w:r w:rsidR="005E2317" w:rsidRPr="00940DDB">
        <w:rPr>
          <w:rFonts w:ascii="Century Schoolbook" w:hAnsi="Century Schoolbook"/>
          <w:sz w:val="16"/>
          <w:szCs w:val="16"/>
        </w:rPr>
        <w:t>». Questo il contenuto dell’a</w:t>
      </w:r>
      <w:r w:rsidRPr="00940DDB">
        <w:rPr>
          <w:rFonts w:ascii="Century Schoolbook" w:hAnsi="Century Schoolbook"/>
          <w:sz w:val="16"/>
          <w:szCs w:val="16"/>
        </w:rPr>
        <w:t>rt. 6, d.l. n. 152/’21, citato nel testo:</w:t>
      </w:r>
      <w:r w:rsidRPr="00940DDB">
        <w:rPr>
          <w:rFonts w:ascii="Century Schoolbook" w:hAnsi="Century Schoolbook" w:cs="Times New Roman"/>
          <w:color w:val="000000"/>
          <w:sz w:val="16"/>
          <w:szCs w:val="16"/>
        </w:rPr>
        <w:t xml:space="preserve"> «1. Al decreto-legge 31 maggio 2021, n. 77, convertito, con modificazioni, dalla legge 29 luglio 2021, n. 108, dopo l’articolo 48 è inserito il seguente: “Art. 48-</w:t>
      </w:r>
      <w:r w:rsidRPr="00940DDB">
        <w:rPr>
          <w:rFonts w:ascii="Century Schoolbook" w:hAnsi="Century Schoolbook" w:cs="Times New Roman"/>
          <w:i/>
          <w:iCs/>
          <w:color w:val="000000"/>
          <w:sz w:val="16"/>
          <w:szCs w:val="16"/>
        </w:rPr>
        <w:t>bis</w:t>
      </w:r>
      <w:r w:rsidRPr="00940DDB">
        <w:rPr>
          <w:rFonts w:ascii="Century Schoolbook" w:hAnsi="Century Schoolbook" w:cs="Times New Roman"/>
          <w:color w:val="000000"/>
          <w:sz w:val="16"/>
          <w:szCs w:val="16"/>
        </w:rPr>
        <w:t xml:space="preserve"> (Disposizioni urgenti in materia di infrastrutture ferroviarie e di edilizia giudiziaria). - 1. Al fine di ridurre, in attuazione delle previsioni del PNRR, i tempi di realizzazione degli interventi relativi alle infrastrutture ferroviarie, nonché degli interventi relativi alla edilizia giudiziaria e alle relative infrastrutture di supporto, ivi compresi gli interventi finanziati con risorse diverse da quelle previste dal PNRR e dal PNC e dai programmi cofinanziati dai fondi strutturali dell’Unione europea, l’affidamento della progettazione ed esecuzione dei relativi lavori può avvenire anche sulla base del progetto di fattibilità tecnica ed economica di cui all</w:t>
      </w:r>
      <w:r w:rsidR="002D3BAF" w:rsidRPr="00940DDB">
        <w:rPr>
          <w:rFonts w:ascii="Century Schoolbook" w:hAnsi="Century Schoolbook" w:cs="Times New Roman"/>
          <w:color w:val="000000"/>
          <w:sz w:val="16"/>
          <w:szCs w:val="16"/>
        </w:rPr>
        <w:t>’</w:t>
      </w:r>
      <w:r w:rsidRPr="00940DDB">
        <w:rPr>
          <w:rFonts w:ascii="Century Schoolbook" w:hAnsi="Century Schoolbook" w:cs="Times New Roman"/>
          <w:color w:val="000000"/>
          <w:sz w:val="16"/>
          <w:szCs w:val="16"/>
        </w:rPr>
        <w:t>articolo 23, comma 5, del decreto legislativo 18 aprile 2016, n. 50, a condizione che detto progetto sia redatto secondo le modalità e le indicazioni di cui all</w:t>
      </w:r>
      <w:r w:rsidR="00B21E11" w:rsidRPr="00940DDB">
        <w:rPr>
          <w:rFonts w:ascii="Century Schoolbook" w:hAnsi="Century Schoolbook" w:cs="Times New Roman"/>
          <w:color w:val="000000"/>
          <w:sz w:val="16"/>
          <w:szCs w:val="16"/>
        </w:rPr>
        <w:t>’</w:t>
      </w:r>
      <w:r w:rsidRPr="00940DDB">
        <w:rPr>
          <w:rFonts w:ascii="Century Schoolbook" w:hAnsi="Century Schoolbook" w:cs="Times New Roman"/>
          <w:color w:val="000000"/>
          <w:sz w:val="16"/>
          <w:szCs w:val="16"/>
        </w:rPr>
        <w:t>articolo 48, comma 7, quarto periodo. In tali casi, la conferenza di servizi di cui all’articolo 27, comma 3, del citato decreto legislativo n. 50 del 2016 è svolta in forma semplificata ai sensi dell’articolo 14-</w:t>
      </w:r>
      <w:r w:rsidRPr="00940DDB">
        <w:rPr>
          <w:rFonts w:ascii="Century Schoolbook" w:hAnsi="Century Schoolbook" w:cs="Times New Roman"/>
          <w:i/>
          <w:iCs/>
          <w:color w:val="000000"/>
          <w:sz w:val="16"/>
          <w:szCs w:val="16"/>
        </w:rPr>
        <w:t>bis</w:t>
      </w:r>
      <w:r w:rsidRPr="00940DDB">
        <w:rPr>
          <w:rFonts w:ascii="Century Schoolbook" w:hAnsi="Century Schoolbook" w:cs="Times New Roman"/>
          <w:color w:val="000000"/>
          <w:sz w:val="16"/>
          <w:szCs w:val="16"/>
        </w:rPr>
        <w:t xml:space="preserve"> della legge 7 agosto 1990, n. 241, e la determinazione conclusiva della stessa approva il progetto, determina la dichiarazione di pubblica utilità dell'opera ai sensi dell’articolo 12 del decreto del Presidente della Repubblica 8 giugno 2001, n. 237 e tiene luogo dei pareri, nulla osta e autorizzazioni necessari ai fini della localizzazione dell’opera, della conformità urbanistica e paesaggistica dell</w:t>
      </w:r>
      <w:r w:rsidR="00E87B39" w:rsidRPr="00940DDB">
        <w:rPr>
          <w:rFonts w:ascii="Century Schoolbook" w:hAnsi="Century Schoolbook" w:cs="Times New Roman"/>
          <w:color w:val="000000"/>
          <w:sz w:val="16"/>
          <w:szCs w:val="16"/>
        </w:rPr>
        <w:t>’</w:t>
      </w:r>
      <w:r w:rsidRPr="00940DDB">
        <w:rPr>
          <w:rFonts w:ascii="Century Schoolbook" w:hAnsi="Century Schoolbook" w:cs="Times New Roman"/>
          <w:color w:val="000000"/>
          <w:sz w:val="16"/>
          <w:szCs w:val="16"/>
        </w:rPr>
        <w:t>intervento, della risoluzione delle interferenze e delle relative opere mitigatrici e compensative. Resta ferma l’applicazione delle disposizioni di cui all’articolo 14-</w:t>
      </w:r>
      <w:r w:rsidRPr="00940DDB">
        <w:rPr>
          <w:rFonts w:ascii="Century Schoolbook" w:hAnsi="Century Schoolbook" w:cs="Times New Roman"/>
          <w:i/>
          <w:iCs/>
          <w:color w:val="000000"/>
          <w:sz w:val="16"/>
          <w:szCs w:val="16"/>
        </w:rPr>
        <w:t>quinquies</w:t>
      </w:r>
      <w:r w:rsidRPr="00940DDB">
        <w:rPr>
          <w:rFonts w:ascii="Century Schoolbook" w:hAnsi="Century Schoolbook" w:cs="Times New Roman"/>
          <w:color w:val="000000"/>
          <w:sz w:val="16"/>
          <w:szCs w:val="16"/>
        </w:rPr>
        <w:t xml:space="preserve"> della legge 7 agosto 1990, n. 241. La determinazione conclusiva della conferenza perfeziona, altresì, ad ogni fine urbanistico ed edilizio, l’intesa tra Stato e regione o provincia autonoma, in ordine alla localizzazione dell’opera, ha effetto di variante degli strumenti urbanistici vigenti e comprende i titoli abilitativi rilasciati per la realizzazione e l’esercizio del progetto, recandone l’indicazione esplicita. La variante urbanistica, conseguente alla determinazione conclusiva della conferenza, comporta l’assoggettamento dell’area a vincolo preordinato all’esproprio ai sensi dell</w:t>
      </w:r>
      <w:r w:rsidR="00E87B39" w:rsidRPr="00940DDB">
        <w:rPr>
          <w:rFonts w:ascii="Century Schoolbook" w:hAnsi="Century Schoolbook" w:cs="Times New Roman"/>
          <w:color w:val="000000"/>
          <w:sz w:val="16"/>
          <w:szCs w:val="16"/>
        </w:rPr>
        <w:t>’</w:t>
      </w:r>
      <w:r w:rsidRPr="00940DDB">
        <w:rPr>
          <w:rFonts w:ascii="Century Schoolbook" w:hAnsi="Century Schoolbook" w:cs="Times New Roman"/>
          <w:color w:val="000000"/>
          <w:sz w:val="16"/>
          <w:szCs w:val="16"/>
        </w:rPr>
        <w:t>articolo 10 del decreto del Presidente della Repubblica 8 giugno 2001, n. 327, le comunicazioni agli interessati di cui all’articolo 14, comma 5, della legge n. 241 del 1990 tengono luogo della fase partecipativa di cui all’articolo 11 del predetto decreto del Presidente della Repubblica n. 327 del 2001. Gli enti locali provvedono alle necessarie misure di salvaguardia delle aree interessate e delle relative fasce di rispetto e non possono autorizzare interventi edilizi incompatibili con la localizzazione dell’opera. 2. […]”».</w:t>
      </w:r>
    </w:p>
  </w:footnote>
  <w:footnote w:id="70">
    <w:p w14:paraId="78ACC9F2" w14:textId="00805453" w:rsidR="00F76E3B" w:rsidRPr="00940DDB" w:rsidRDefault="00F76E3B"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Il d.d.l. AC 3354, recante conversione del d.l. n. 152/’21, è stato presentato alla Camera il 6 novembre scorso.</w:t>
      </w:r>
    </w:p>
  </w:footnote>
  <w:footnote w:id="71">
    <w:p w14:paraId="1E09B915" w14:textId="43EAD3A0" w:rsidR="000D6ABD" w:rsidRPr="00940DDB" w:rsidRDefault="000D6ABD" w:rsidP="004B25C8">
      <w:pPr>
        <w:pStyle w:val="NormaleWeb"/>
        <w:spacing w:before="0" w:beforeAutospacing="0" w:after="0" w:afterAutospacing="0"/>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DD4CD7" w:rsidRPr="00940DDB">
        <w:rPr>
          <w:rFonts w:ascii="Century Schoolbook" w:hAnsi="Century Schoolbook"/>
          <w:sz w:val="16"/>
          <w:szCs w:val="16"/>
        </w:rPr>
        <w:t>Di seguito i</w:t>
      </w:r>
      <w:r w:rsidRPr="00940DDB">
        <w:rPr>
          <w:rFonts w:ascii="Century Schoolbook" w:hAnsi="Century Schoolbook"/>
          <w:sz w:val="16"/>
          <w:szCs w:val="16"/>
        </w:rPr>
        <w:t>l testo dell’art. 48-</w:t>
      </w:r>
      <w:r w:rsidRPr="00940DDB">
        <w:rPr>
          <w:rFonts w:ascii="Century Schoolbook" w:hAnsi="Century Schoolbook"/>
          <w:i/>
          <w:iCs/>
          <w:sz w:val="16"/>
          <w:szCs w:val="16"/>
        </w:rPr>
        <w:t>bis</w:t>
      </w:r>
      <w:r w:rsidRPr="00940DDB">
        <w:rPr>
          <w:rFonts w:ascii="Century Schoolbook" w:hAnsi="Century Schoolbook"/>
          <w:sz w:val="16"/>
          <w:szCs w:val="16"/>
        </w:rPr>
        <w:t xml:space="preserve"> (</w:t>
      </w:r>
      <w:r w:rsidRPr="00940DDB">
        <w:rPr>
          <w:rFonts w:ascii="Century Schoolbook" w:hAnsi="Century Schoolbook"/>
          <w:i/>
          <w:iCs/>
          <w:sz w:val="16"/>
          <w:szCs w:val="16"/>
        </w:rPr>
        <w:t>Interventi sulle infrastrutture energetiche lineari</w:t>
      </w:r>
      <w:r w:rsidRPr="00940DDB">
        <w:rPr>
          <w:rFonts w:ascii="Century Schoolbook" w:hAnsi="Century Schoolbook"/>
          <w:sz w:val="16"/>
          <w:szCs w:val="16"/>
        </w:rPr>
        <w:t>). «1. Per gli interventi infrastrutturali ferroviari rientranti nelle disposizioni di cui agli articoli 44 e 48, che ai fini della loro funzionalità necessitano di connessione alle infrastrutture lineari energetiche, le procedure autorizzatorie di cui ai predetti articoli possono applicarsi anche alla progettazione degli interventi di modifica, potenziamento, rifacimento totale o parziale o nuova realizzazione di tali infrastrutture, ove queste siano strettamente connesse e funzionali all’infrastruttura ferroviaria. In tali casi, il procedimento si svolge mediante unica conferenza di servizi alla quale partecipano tutte le amministrazioni competenti all’adozione di provvedimenti, pareri, visti, nulla osta e intese relativi all’infrastruttura ferroviaria e alle opere di connessione. La determinazione conclusiva della conferenza dispone l’approvazione del progetto ferroviario e l’autorizzazione alla costruzione e all’esercizio delle opere di connessione elettriche in favore del soggetto gestore dell’infrastruttura lineare energetica, ai sensi degli articoli 52-</w:t>
      </w:r>
      <w:r w:rsidRPr="00940DDB">
        <w:rPr>
          <w:rFonts w:ascii="Century Schoolbook" w:hAnsi="Century Schoolbook"/>
          <w:i/>
          <w:iCs/>
          <w:sz w:val="16"/>
          <w:szCs w:val="16"/>
        </w:rPr>
        <w:t>bis</w:t>
      </w:r>
      <w:r w:rsidRPr="00940DDB">
        <w:rPr>
          <w:rFonts w:ascii="Century Schoolbook" w:hAnsi="Century Schoolbook"/>
          <w:sz w:val="16"/>
          <w:szCs w:val="16"/>
        </w:rPr>
        <w:t xml:space="preserve"> e seguenti del testo unico delle disposizioni legislative e regolamentari in materia di espropriazione per pubblica utilità, di cui al decreto del Presidente della Repubblica 8 giugno 2001, n. 327. Con tale determinazione, le connessioni elettriche alle infrastrutture di cui al primo periodo sono dichiarate di pubblica utilità e inamovibili ai sensi dell’articolo 52-</w:t>
      </w:r>
      <w:r w:rsidRPr="00940DDB">
        <w:rPr>
          <w:rFonts w:ascii="Century Schoolbook" w:hAnsi="Century Schoolbook"/>
          <w:i/>
          <w:iCs/>
          <w:sz w:val="16"/>
          <w:szCs w:val="16"/>
        </w:rPr>
        <w:t>quater</w:t>
      </w:r>
      <w:r w:rsidRPr="00940DDB">
        <w:rPr>
          <w:rFonts w:ascii="Century Schoolbook" w:hAnsi="Century Schoolbook"/>
          <w:sz w:val="16"/>
          <w:szCs w:val="16"/>
        </w:rPr>
        <w:t>, commi 1 e 5, del citato testo unico di cui al decreto del Presidente della Repubblica n. 327 del 2001 e la loro localizzazione, in caso di difformità dallo strumento urbanistico vigente, ha effetto di variante con contestuale imposizione del vincolo preordinato all’esproprio, con attribuzione del relativo potere espropriativo al soggetto gestore dell’infrastruttura lineare energetica».</w:t>
      </w:r>
    </w:p>
  </w:footnote>
  <w:footnote w:id="72">
    <w:p w14:paraId="7BCBEDA9" w14:textId="08F05792" w:rsidR="006B6BB9" w:rsidRPr="00940DDB" w:rsidRDefault="006B6BB9" w:rsidP="004B25C8">
      <w:pPr>
        <w:pStyle w:val="NormaleWeb"/>
        <w:spacing w:before="0" w:beforeAutospacing="0" w:after="0" w:afterAutospacing="0"/>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Ancora lui, il gran solitario di Plettenberg. Rinvio, per una veduta più ampia del pensiero schmittiano sulla questione dei valori, al mio </w:t>
      </w:r>
      <w:r w:rsidRPr="00940DDB">
        <w:rPr>
          <w:rFonts w:ascii="Century Schoolbook" w:hAnsi="Century Schoolbook"/>
          <w:i/>
          <w:iCs/>
          <w:sz w:val="16"/>
          <w:szCs w:val="16"/>
        </w:rPr>
        <w:t>La cambiale di Forsthoff. Creazionismo giurisprudenziale e diritto al giudice amministrativo</w:t>
      </w:r>
      <w:r w:rsidRPr="00940DDB">
        <w:rPr>
          <w:rFonts w:ascii="Century Schoolbook" w:hAnsi="Century Schoolbook"/>
          <w:sz w:val="16"/>
          <w:szCs w:val="16"/>
        </w:rPr>
        <w:t>, Napoli, ESI, 2021.</w:t>
      </w:r>
      <w:r w:rsidR="002323E1" w:rsidRPr="00940DDB">
        <w:rPr>
          <w:rFonts w:ascii="Century Schoolbook" w:hAnsi="Century Schoolbook"/>
          <w:sz w:val="16"/>
          <w:szCs w:val="16"/>
        </w:rPr>
        <w:t xml:space="preserve"> </w:t>
      </w:r>
      <w:r w:rsidR="00C74992">
        <w:rPr>
          <w:rFonts w:ascii="Century Schoolbook" w:hAnsi="Century Schoolbook"/>
          <w:sz w:val="16"/>
          <w:szCs w:val="16"/>
        </w:rPr>
        <w:t>Qui r</w:t>
      </w:r>
      <w:r w:rsidR="002323E1" w:rsidRPr="00940DDB">
        <w:rPr>
          <w:rFonts w:ascii="Century Schoolbook" w:hAnsi="Century Schoolbook"/>
          <w:sz w:val="16"/>
          <w:szCs w:val="16"/>
        </w:rPr>
        <w:t>icord</w:t>
      </w:r>
      <w:r w:rsidR="00E64F72" w:rsidRPr="00940DDB">
        <w:rPr>
          <w:rFonts w:ascii="Century Schoolbook" w:hAnsi="Century Schoolbook"/>
          <w:sz w:val="16"/>
          <w:szCs w:val="16"/>
        </w:rPr>
        <w:t>o</w:t>
      </w:r>
      <w:r w:rsidR="002323E1" w:rsidRPr="00940DDB">
        <w:rPr>
          <w:rFonts w:ascii="Century Schoolbook" w:hAnsi="Century Schoolbook"/>
          <w:sz w:val="16"/>
          <w:szCs w:val="16"/>
        </w:rPr>
        <w:t xml:space="preserve"> </w:t>
      </w:r>
      <w:r w:rsidR="00C74992">
        <w:rPr>
          <w:rFonts w:ascii="Century Schoolbook" w:hAnsi="Century Schoolbook"/>
          <w:sz w:val="16"/>
          <w:szCs w:val="16"/>
        </w:rPr>
        <w:t xml:space="preserve">solo </w:t>
      </w:r>
      <w:r w:rsidR="002323E1" w:rsidRPr="00940DDB">
        <w:rPr>
          <w:rFonts w:ascii="Century Schoolbook" w:hAnsi="Century Schoolbook"/>
          <w:sz w:val="16"/>
          <w:szCs w:val="16"/>
        </w:rPr>
        <w:t>l’acre finale</w:t>
      </w:r>
      <w:r w:rsidR="00E64F72" w:rsidRPr="00940DDB">
        <w:rPr>
          <w:rFonts w:ascii="Century Schoolbook" w:hAnsi="Century Schoolbook"/>
          <w:sz w:val="16"/>
          <w:szCs w:val="16"/>
        </w:rPr>
        <w:t xml:space="preserve"> della </w:t>
      </w:r>
      <w:r w:rsidR="00E64F72" w:rsidRPr="00940DDB">
        <w:rPr>
          <w:rFonts w:ascii="Century Schoolbook" w:hAnsi="Century Schoolbook"/>
          <w:i/>
          <w:iCs/>
          <w:sz w:val="16"/>
          <w:szCs w:val="16"/>
          <w:lang w:val="de-DE"/>
        </w:rPr>
        <w:t>Tyrannei</w:t>
      </w:r>
      <w:r w:rsidR="002323E1" w:rsidRPr="00940DDB">
        <w:rPr>
          <w:rFonts w:ascii="Century Schoolbook" w:hAnsi="Century Schoolbook"/>
          <w:sz w:val="16"/>
          <w:szCs w:val="16"/>
        </w:rPr>
        <w:t xml:space="preserve">, pieno di sarcasmo dolente e di timore non sopito nei confronti di </w:t>
      </w:r>
      <w:r w:rsidR="00C74992">
        <w:rPr>
          <w:rFonts w:ascii="Century Schoolbook" w:hAnsi="Century Schoolbook"/>
          <w:sz w:val="16"/>
          <w:szCs w:val="16"/>
        </w:rPr>
        <w:t xml:space="preserve">tutti i detentori di potere </w:t>
      </w:r>
      <w:r w:rsidR="002323E1" w:rsidRPr="00940DDB">
        <w:rPr>
          <w:rFonts w:ascii="Century Schoolbook" w:hAnsi="Century Schoolbook"/>
          <w:sz w:val="16"/>
          <w:szCs w:val="16"/>
        </w:rPr>
        <w:t>che si erga</w:t>
      </w:r>
      <w:r w:rsidR="00700E42" w:rsidRPr="00940DDB">
        <w:rPr>
          <w:rFonts w:ascii="Century Schoolbook" w:hAnsi="Century Schoolbook"/>
          <w:sz w:val="16"/>
          <w:szCs w:val="16"/>
        </w:rPr>
        <w:t>no</w:t>
      </w:r>
      <w:r w:rsidR="002323E1" w:rsidRPr="00940DDB">
        <w:rPr>
          <w:rFonts w:ascii="Century Schoolbook" w:hAnsi="Century Schoolbook"/>
          <w:sz w:val="16"/>
          <w:szCs w:val="16"/>
        </w:rPr>
        <w:t xml:space="preserve"> ad attuator</w:t>
      </w:r>
      <w:r w:rsidR="00700E42" w:rsidRPr="00940DDB">
        <w:rPr>
          <w:rFonts w:ascii="Century Schoolbook" w:hAnsi="Century Schoolbook"/>
          <w:sz w:val="16"/>
          <w:szCs w:val="16"/>
        </w:rPr>
        <w:t>i</w:t>
      </w:r>
      <w:r w:rsidR="002323E1" w:rsidRPr="00940DDB">
        <w:rPr>
          <w:rFonts w:ascii="Century Schoolbook" w:hAnsi="Century Schoolbook"/>
          <w:sz w:val="16"/>
          <w:szCs w:val="16"/>
        </w:rPr>
        <w:t xml:space="preserve"> </w:t>
      </w:r>
      <w:r w:rsidR="002323E1" w:rsidRPr="00940DDB">
        <w:rPr>
          <w:rFonts w:ascii="Century Schoolbook" w:hAnsi="Century Schoolbook"/>
          <w:i/>
          <w:iCs/>
          <w:sz w:val="16"/>
          <w:szCs w:val="16"/>
        </w:rPr>
        <w:t>immediat</w:t>
      </w:r>
      <w:r w:rsidR="00700E42" w:rsidRPr="00940DDB">
        <w:rPr>
          <w:rFonts w:ascii="Century Schoolbook" w:hAnsi="Century Schoolbook"/>
          <w:i/>
          <w:iCs/>
          <w:sz w:val="16"/>
          <w:szCs w:val="16"/>
        </w:rPr>
        <w:t>i</w:t>
      </w:r>
      <w:r w:rsidR="002323E1" w:rsidRPr="00940DDB">
        <w:rPr>
          <w:rFonts w:ascii="Century Schoolbook" w:hAnsi="Century Schoolbook"/>
          <w:i/>
          <w:iCs/>
          <w:sz w:val="16"/>
          <w:szCs w:val="16"/>
        </w:rPr>
        <w:t xml:space="preserve"> </w:t>
      </w:r>
      <w:r w:rsidR="002323E1" w:rsidRPr="00940DDB">
        <w:rPr>
          <w:rFonts w:ascii="Century Schoolbook" w:hAnsi="Century Schoolbook"/>
          <w:sz w:val="16"/>
          <w:szCs w:val="16"/>
        </w:rPr>
        <w:t>di valori («</w:t>
      </w:r>
      <w:r w:rsidR="002323E1" w:rsidRPr="00940DDB">
        <w:rPr>
          <w:rFonts w:ascii="Century Schoolbook" w:hAnsi="Century Schoolbook"/>
          <w:sz w:val="16"/>
          <w:szCs w:val="16"/>
          <w:lang w:val="de-DE"/>
        </w:rPr>
        <w:t>unmittelbarer Wertvollzieher</w:t>
      </w:r>
      <w:r w:rsidR="002323E1" w:rsidRPr="00940DDB">
        <w:rPr>
          <w:rFonts w:ascii="Century Schoolbook" w:hAnsi="Century Schoolbook"/>
          <w:sz w:val="16"/>
          <w:szCs w:val="16"/>
        </w:rPr>
        <w:t xml:space="preserve">») senza </w:t>
      </w:r>
      <w:r w:rsidR="00700E42" w:rsidRPr="00940DDB">
        <w:rPr>
          <w:rFonts w:ascii="Century Schoolbook" w:hAnsi="Century Schoolbook"/>
          <w:sz w:val="16"/>
          <w:szCs w:val="16"/>
        </w:rPr>
        <w:t>curarsi de</w:t>
      </w:r>
      <w:r w:rsidR="002323E1" w:rsidRPr="00940DDB">
        <w:rPr>
          <w:rFonts w:ascii="Century Schoolbook" w:hAnsi="Century Schoolbook"/>
          <w:sz w:val="16"/>
          <w:szCs w:val="16"/>
        </w:rPr>
        <w:t>i rischi che ci</w:t>
      </w:r>
      <w:r w:rsidR="00700E42" w:rsidRPr="00940DDB">
        <w:rPr>
          <w:rFonts w:ascii="Century Schoolbook" w:hAnsi="Century Schoolbook"/>
          <w:sz w:val="16"/>
          <w:szCs w:val="16"/>
        </w:rPr>
        <w:t>ò</w:t>
      </w:r>
      <w:r w:rsidR="002323E1" w:rsidRPr="00940DDB">
        <w:rPr>
          <w:rFonts w:ascii="Century Schoolbook" w:hAnsi="Century Schoolbook"/>
          <w:sz w:val="16"/>
          <w:szCs w:val="16"/>
        </w:rPr>
        <w:t xml:space="preserve"> comporta: sopra tutto quando questo ruolo di </w:t>
      </w:r>
      <w:r w:rsidR="00700E42" w:rsidRPr="00940DDB">
        <w:rPr>
          <w:rFonts w:ascii="Century Schoolbook" w:hAnsi="Century Schoolbook"/>
          <w:sz w:val="16"/>
          <w:szCs w:val="16"/>
        </w:rPr>
        <w:t>«</w:t>
      </w:r>
      <w:r w:rsidR="002323E1" w:rsidRPr="00940DDB">
        <w:rPr>
          <w:rFonts w:ascii="Century Schoolbook" w:hAnsi="Century Schoolbook"/>
          <w:sz w:val="16"/>
          <w:szCs w:val="16"/>
        </w:rPr>
        <w:t>valutatore, trasvalutatore, rivalutatore o svalutatore</w:t>
      </w:r>
      <w:r w:rsidR="00700E42" w:rsidRPr="00940DDB">
        <w:rPr>
          <w:rFonts w:ascii="Century Schoolbook" w:hAnsi="Century Schoolbook"/>
          <w:sz w:val="16"/>
          <w:szCs w:val="16"/>
        </w:rPr>
        <w:t>»</w:t>
      </w:r>
      <w:r w:rsidR="002323E1" w:rsidRPr="00940DDB">
        <w:rPr>
          <w:rFonts w:ascii="Century Schoolbook" w:hAnsi="Century Schoolbook"/>
          <w:sz w:val="16"/>
          <w:szCs w:val="16"/>
        </w:rPr>
        <w:t xml:space="preserve"> («Werter, Umwerter, Aufwerter </w:t>
      </w:r>
      <w:r w:rsidR="002323E1" w:rsidRPr="00940DDB">
        <w:rPr>
          <w:rFonts w:ascii="Century Schoolbook" w:hAnsi="Century Schoolbook"/>
          <w:sz w:val="16"/>
          <w:szCs w:val="16"/>
          <w:lang w:val="de-DE"/>
        </w:rPr>
        <w:t>oder</w:t>
      </w:r>
      <w:r w:rsidR="002323E1" w:rsidRPr="00940DDB">
        <w:rPr>
          <w:rFonts w:ascii="Century Schoolbook" w:hAnsi="Century Schoolbook"/>
          <w:sz w:val="16"/>
          <w:szCs w:val="16"/>
        </w:rPr>
        <w:t xml:space="preserve"> Abwerter») si traduca nello stabilire</w:t>
      </w:r>
      <w:r w:rsidR="00700E42" w:rsidRPr="00940DDB">
        <w:rPr>
          <w:rFonts w:ascii="Century Schoolbook" w:hAnsi="Century Schoolbook"/>
          <w:sz w:val="16"/>
          <w:szCs w:val="16"/>
        </w:rPr>
        <w:t xml:space="preserve"> più</w:t>
      </w:r>
      <w:r w:rsidR="002323E1" w:rsidRPr="00940DDB">
        <w:rPr>
          <w:rFonts w:ascii="Century Schoolbook" w:hAnsi="Century Schoolbook"/>
          <w:sz w:val="16"/>
          <w:szCs w:val="16"/>
        </w:rPr>
        <w:t xml:space="preserve"> o meno arbitrariamente una gerarchia di valori («</w:t>
      </w:r>
      <w:r w:rsidR="002323E1" w:rsidRPr="00940DDB">
        <w:rPr>
          <w:rFonts w:ascii="Century Schoolbook" w:hAnsi="Century Schoolbook"/>
          <w:sz w:val="16"/>
          <w:szCs w:val="16"/>
          <w:lang w:val="de-DE"/>
        </w:rPr>
        <w:t>Wertstufenordnung</w:t>
      </w:r>
      <w:r w:rsidR="002323E1" w:rsidRPr="00940DDB">
        <w:rPr>
          <w:rFonts w:ascii="Century Schoolbook" w:hAnsi="Century Schoolbook"/>
          <w:sz w:val="16"/>
          <w:szCs w:val="16"/>
        </w:rPr>
        <w:t>»).</w:t>
      </w:r>
    </w:p>
  </w:footnote>
  <w:footnote w:id="73">
    <w:p w14:paraId="447CC198" w14:textId="647F2037" w:rsidR="00C57556" w:rsidRPr="00940DDB" w:rsidRDefault="00C57556" w:rsidP="004B25C8">
      <w:pPr>
        <w:pStyle w:val="NormaleWeb"/>
        <w:spacing w:before="0" w:beforeAutospacing="0" w:after="0" w:afterAutospacing="0"/>
        <w:ind w:firstLine="709"/>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P. Carpentieri, </w:t>
      </w:r>
      <w:r w:rsidRPr="00940DDB">
        <w:rPr>
          <w:rFonts w:ascii="Century Schoolbook" w:hAnsi="Century Schoolbook"/>
          <w:i/>
          <w:iCs/>
          <w:color w:val="191919"/>
          <w:sz w:val="16"/>
          <w:szCs w:val="16"/>
        </w:rPr>
        <w:t>Paesaggio, ambiente e transizione ecologica</w:t>
      </w:r>
      <w:r w:rsidRPr="00940DDB">
        <w:rPr>
          <w:rFonts w:ascii="Century Schoolbook" w:hAnsi="Century Schoolbook"/>
          <w:color w:val="191919"/>
          <w:sz w:val="16"/>
          <w:szCs w:val="16"/>
        </w:rPr>
        <w:t xml:space="preserve">, in </w:t>
      </w:r>
      <w:r w:rsidRPr="00940DDB">
        <w:rPr>
          <w:rFonts w:ascii="Century Schoolbook" w:hAnsi="Century Schoolbook"/>
          <w:i/>
          <w:iCs/>
          <w:color w:val="191919"/>
          <w:sz w:val="16"/>
          <w:szCs w:val="16"/>
        </w:rPr>
        <w:t>giustiziainsieme.it</w:t>
      </w:r>
      <w:r w:rsidRPr="00940DDB">
        <w:rPr>
          <w:rFonts w:ascii="Century Schoolbook" w:hAnsi="Century Schoolbook"/>
          <w:color w:val="191919"/>
          <w:sz w:val="16"/>
          <w:szCs w:val="16"/>
        </w:rPr>
        <w:t>, 2021.</w:t>
      </w:r>
    </w:p>
  </w:footnote>
  <w:footnote w:id="74">
    <w:p w14:paraId="63E15A57" w14:textId="77777777" w:rsidR="00E24DD7" w:rsidRPr="00940DDB" w:rsidRDefault="003D1F2D"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F. De Leonardis, </w:t>
      </w:r>
      <w:r w:rsidRPr="00940DDB">
        <w:rPr>
          <w:rFonts w:ascii="Century Schoolbook" w:hAnsi="Century Schoolbook"/>
          <w:i/>
          <w:iCs/>
          <w:sz w:val="16"/>
          <w:szCs w:val="16"/>
        </w:rPr>
        <w:t>Il silenzio assenso in materia ambientale: considerazioni critiche sull’art. 17-bis introdotto dalla cd. riforma Madia</w:t>
      </w:r>
      <w:r w:rsidRPr="00940DDB">
        <w:rPr>
          <w:rFonts w:ascii="Century Schoolbook" w:hAnsi="Century Schoolbook"/>
          <w:sz w:val="16"/>
          <w:szCs w:val="16"/>
        </w:rPr>
        <w:t xml:space="preserve">, in </w:t>
      </w:r>
      <w:r w:rsidRPr="00940DDB">
        <w:rPr>
          <w:rFonts w:ascii="Century Schoolbook" w:hAnsi="Century Schoolbook"/>
          <w:i/>
          <w:iCs/>
          <w:sz w:val="16"/>
          <w:szCs w:val="16"/>
        </w:rPr>
        <w:t>federalismi.it</w:t>
      </w:r>
      <w:r w:rsidRPr="00940DDB">
        <w:rPr>
          <w:rFonts w:ascii="Century Schoolbook" w:hAnsi="Century Schoolbook"/>
          <w:sz w:val="16"/>
          <w:szCs w:val="16"/>
        </w:rPr>
        <w:t>, 2015, p. 3.</w:t>
      </w:r>
      <w:r w:rsidR="00E24DD7" w:rsidRPr="00940DDB">
        <w:rPr>
          <w:rFonts w:ascii="Century Schoolbook" w:hAnsi="Century Schoolbook"/>
          <w:sz w:val="16"/>
          <w:szCs w:val="16"/>
        </w:rPr>
        <w:t xml:space="preserve"> </w:t>
      </w:r>
    </w:p>
    <w:p w14:paraId="1D414760" w14:textId="3D28CE6C" w:rsidR="003D1F2D" w:rsidRPr="00940DDB" w:rsidRDefault="003E1E70" w:rsidP="004B25C8">
      <w:pPr>
        <w:pStyle w:val="Testonotaapidipagina"/>
        <w:ind w:firstLine="708"/>
        <w:contextualSpacing/>
        <w:jc w:val="both"/>
        <w:rPr>
          <w:rFonts w:ascii="Century Schoolbook" w:hAnsi="Century Schoolbook"/>
          <w:sz w:val="16"/>
          <w:szCs w:val="16"/>
        </w:rPr>
      </w:pPr>
      <w:r w:rsidRPr="00940DDB">
        <w:rPr>
          <w:rFonts w:ascii="Century Schoolbook" w:hAnsi="Century Schoolbook"/>
          <w:sz w:val="16"/>
          <w:szCs w:val="16"/>
        </w:rPr>
        <w:t xml:space="preserve">Nello stesso senso A. Bonomo, </w:t>
      </w:r>
      <w:r w:rsidRPr="00940DDB">
        <w:rPr>
          <w:rFonts w:ascii="Century Schoolbook" w:hAnsi="Century Schoolbook"/>
          <w:i/>
          <w:iCs/>
          <w:sz w:val="16"/>
          <w:szCs w:val="16"/>
        </w:rPr>
        <w:t>La semplificazione degli assensi ambientali come soluzione alla lentezza dell’amministrazione: riflessioni critiche</w:t>
      </w:r>
      <w:r w:rsidRPr="00940DDB">
        <w:rPr>
          <w:rFonts w:ascii="Century Schoolbook" w:hAnsi="Century Schoolbook"/>
          <w:sz w:val="16"/>
          <w:szCs w:val="16"/>
        </w:rPr>
        <w:t xml:space="preserve">, in A. Bonomo, L. Tafaro, A. F. Uricchio (a cura di), </w:t>
      </w:r>
      <w:r w:rsidRPr="00940DDB">
        <w:rPr>
          <w:rFonts w:ascii="Century Schoolbook" w:hAnsi="Century Schoolbook"/>
          <w:i/>
          <w:iCs/>
          <w:sz w:val="16"/>
          <w:szCs w:val="16"/>
        </w:rPr>
        <w:t>Le nuove frontiere dell’eco-diritto</w:t>
      </w:r>
      <w:r w:rsidRPr="00940DDB">
        <w:rPr>
          <w:rFonts w:ascii="Century Schoolbook" w:hAnsi="Century Schoolbook"/>
          <w:sz w:val="16"/>
          <w:szCs w:val="16"/>
        </w:rPr>
        <w:t xml:space="preserve">, Bari, Cacucci, 2021, p. 203 ss., spec. p. 206: </w:t>
      </w:r>
      <w:r w:rsidR="00E24DD7" w:rsidRPr="00940DDB">
        <w:rPr>
          <w:rFonts w:ascii="Century Schoolbook" w:hAnsi="Century Schoolbook"/>
          <w:sz w:val="16"/>
          <w:szCs w:val="16"/>
        </w:rPr>
        <w:t>«La codificazione degli ultimi anni, a partire dalla legge Madia fino al recente decreto semplificazioni […] ha esteso l’applicazione di alcuni istituti di semplificazione procedimentale anche alle amministrazioni ambientali tradizionalmente immuni dal virus semplificatorio, in base all’esigenza di maggiore protezione degli interessi coinvolti. Nel conflitto tra i due interessi, quello alla protezione “rafforzata” dell’ambiente all’interno del procedimento e quello dell’accelerazione, attraverso lo snellimento delle dinamiche procedimentali, sembra invece che gradualmente il legislatore, sulla spinta delle pressioni provenienti dal mondo delle imprese, stia optando a favore del secondo».</w:t>
      </w:r>
      <w:r w:rsidRPr="00940DDB">
        <w:rPr>
          <w:rFonts w:ascii="Century Schoolbook" w:hAnsi="Century Schoolbook"/>
          <w:sz w:val="16"/>
          <w:szCs w:val="16"/>
        </w:rPr>
        <w:t xml:space="preserve"> E ancora:</w:t>
      </w:r>
      <w:r w:rsidR="00E24DD7" w:rsidRPr="00940DDB">
        <w:rPr>
          <w:rFonts w:ascii="Century Schoolbook" w:hAnsi="Century Schoolbook"/>
          <w:sz w:val="16"/>
          <w:szCs w:val="16"/>
        </w:rPr>
        <w:t xml:space="preserve"> «Nel momento in cui il legislatore sembra gradualmente accettare che nella ponderazione tra l’interesse dell’istante (e del mercato) alla celerità e quello alla protezione dell’ambiente prevalga il primo, il sospetto è che l’esigenza di semplificazione possa rappresentare solo un modo per mascherare la preferenza nei confronti del valore connesso allo sviluppo e alla crescita economica, rendendo l’accelerazione dei procedimenti amministrativi un vero e proprio interesse pubblico autonomo» </w:t>
      </w:r>
      <w:r w:rsidRPr="00940DDB">
        <w:rPr>
          <w:rFonts w:ascii="Century Schoolbook" w:hAnsi="Century Schoolbook"/>
          <w:sz w:val="16"/>
          <w:szCs w:val="16"/>
        </w:rPr>
        <w:t>(</w:t>
      </w:r>
      <w:r w:rsidR="00E24DD7" w:rsidRPr="00940DDB">
        <w:rPr>
          <w:rFonts w:ascii="Century Schoolbook" w:hAnsi="Century Schoolbook"/>
          <w:sz w:val="16"/>
          <w:szCs w:val="16"/>
        </w:rPr>
        <w:t>p. 209</w:t>
      </w:r>
      <w:r w:rsidRPr="00940DDB">
        <w:rPr>
          <w:rFonts w:ascii="Century Schoolbook" w:hAnsi="Century Schoolbook"/>
          <w:sz w:val="16"/>
          <w:szCs w:val="16"/>
        </w:rPr>
        <w:t>).</w:t>
      </w:r>
    </w:p>
  </w:footnote>
  <w:footnote w:id="75">
    <w:p w14:paraId="1468C1A7" w14:textId="29CCD1EB" w:rsidR="00C739B9" w:rsidRPr="00940DDB" w:rsidRDefault="00C739B9"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Corsivo ovviamente aggiunto.</w:t>
      </w:r>
    </w:p>
  </w:footnote>
  <w:footnote w:id="76">
    <w:p w14:paraId="3B73E58A" w14:textId="11F4A764" w:rsidR="000E57B0" w:rsidRPr="00940DDB" w:rsidRDefault="000E57B0"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4267FA" w:rsidRPr="00940DDB">
        <w:rPr>
          <w:rFonts w:ascii="Century Schoolbook" w:hAnsi="Century Schoolbook"/>
          <w:sz w:val="16"/>
          <w:szCs w:val="16"/>
        </w:rPr>
        <w:t>Ad avviso, invece, di</w:t>
      </w:r>
      <w:r w:rsidR="008E1E63" w:rsidRPr="00940DDB">
        <w:rPr>
          <w:rFonts w:ascii="Century Schoolbook" w:hAnsi="Century Schoolbook"/>
          <w:sz w:val="16"/>
          <w:szCs w:val="16"/>
        </w:rPr>
        <w:t xml:space="preserve"> </w:t>
      </w:r>
      <w:r w:rsidRPr="00940DDB">
        <w:rPr>
          <w:rFonts w:ascii="Century Schoolbook" w:hAnsi="Century Schoolbook"/>
          <w:sz w:val="16"/>
          <w:szCs w:val="16"/>
        </w:rPr>
        <w:t xml:space="preserve">S. Amorosino, </w:t>
      </w:r>
      <w:r w:rsidRPr="00940DDB">
        <w:rPr>
          <w:rFonts w:ascii="Century Schoolbook" w:hAnsi="Century Schoolbook"/>
          <w:i/>
          <w:iCs/>
          <w:sz w:val="16"/>
          <w:szCs w:val="16"/>
        </w:rPr>
        <w:t>La conversione energetica delle centrali elettriche quale misura di attuazione del PNIEC e nel PNRR</w:t>
      </w:r>
      <w:r w:rsidRPr="00940DDB">
        <w:rPr>
          <w:rFonts w:ascii="Century Schoolbook" w:hAnsi="Century Schoolbook"/>
          <w:sz w:val="16"/>
          <w:szCs w:val="16"/>
        </w:rPr>
        <w:t xml:space="preserve">  </w:t>
      </w:r>
      <w:r w:rsidR="008E1E63" w:rsidRPr="00940DDB">
        <w:rPr>
          <w:rFonts w:ascii="Century Schoolbook" w:hAnsi="Century Schoolbook"/>
          <w:sz w:val="16"/>
          <w:szCs w:val="16"/>
        </w:rPr>
        <w:t>(</w:t>
      </w:r>
      <w:r w:rsidRPr="00940DDB">
        <w:rPr>
          <w:rFonts w:ascii="Century Schoolbook" w:hAnsi="Century Schoolbook"/>
          <w:sz w:val="16"/>
          <w:szCs w:val="16"/>
        </w:rPr>
        <w:t xml:space="preserve">relazione al convegno </w:t>
      </w:r>
      <w:r w:rsidR="00BA4461" w:rsidRPr="00940DDB">
        <w:rPr>
          <w:rFonts w:ascii="Century Schoolbook" w:hAnsi="Century Schoolbook"/>
          <w:sz w:val="16"/>
          <w:szCs w:val="16"/>
        </w:rPr>
        <w:t xml:space="preserve">AIDA – Associazione italiana di Diritto dell’ambiente del </w:t>
      </w:r>
      <w:r w:rsidRPr="00940DDB">
        <w:rPr>
          <w:rFonts w:ascii="Century Schoolbook" w:hAnsi="Century Schoolbook"/>
          <w:sz w:val="16"/>
          <w:szCs w:val="16"/>
        </w:rPr>
        <w:t>25 giugno 2021</w:t>
      </w:r>
      <w:r w:rsidR="00BA4461" w:rsidRPr="00940DDB">
        <w:rPr>
          <w:rFonts w:ascii="Century Schoolbook" w:hAnsi="Century Schoolbook"/>
          <w:sz w:val="16"/>
          <w:szCs w:val="16"/>
        </w:rPr>
        <w:t xml:space="preserve"> su </w:t>
      </w:r>
      <w:r w:rsidRPr="00940DDB">
        <w:rPr>
          <w:rFonts w:ascii="Century Schoolbook" w:hAnsi="Century Schoolbook"/>
          <w:i/>
          <w:iCs/>
          <w:sz w:val="16"/>
          <w:szCs w:val="16"/>
        </w:rPr>
        <w:t>Le energie rinnovabili nel PNRR</w:t>
      </w:r>
      <w:r w:rsidR="008E1E63" w:rsidRPr="00940DDB">
        <w:rPr>
          <w:rFonts w:ascii="Century Schoolbook" w:hAnsi="Century Schoolbook"/>
          <w:sz w:val="16"/>
          <w:szCs w:val="16"/>
        </w:rPr>
        <w:t>)</w:t>
      </w:r>
      <w:r w:rsidR="00BA4461" w:rsidRPr="00940DDB">
        <w:rPr>
          <w:rFonts w:ascii="Century Schoolbook" w:hAnsi="Century Schoolbook"/>
          <w:sz w:val="16"/>
          <w:szCs w:val="16"/>
        </w:rPr>
        <w:t xml:space="preserve"> </w:t>
      </w:r>
      <w:r w:rsidR="008E1E63" w:rsidRPr="00940DDB">
        <w:rPr>
          <w:rFonts w:ascii="Century Schoolbook" w:hAnsi="Century Schoolbook"/>
          <w:sz w:val="16"/>
          <w:szCs w:val="16"/>
        </w:rPr>
        <w:t>«</w:t>
      </w:r>
      <w:r w:rsidRPr="00940DDB">
        <w:rPr>
          <w:rFonts w:ascii="Century Schoolbook" w:hAnsi="Century Schoolbook"/>
          <w:sz w:val="16"/>
          <w:szCs w:val="16"/>
        </w:rPr>
        <w:t xml:space="preserve">la costituzione di una Soprintendenza speciale unica, per i progetti PNIEC/PNRR, presso la D.g. Archeologia, Belle Arti e Paesaggio del Ministero della Cultura </w:t>
      </w:r>
      <w:r w:rsidR="008E1E63" w:rsidRPr="00940DDB">
        <w:rPr>
          <w:rFonts w:ascii="Century Schoolbook" w:hAnsi="Century Schoolbook"/>
          <w:sz w:val="16"/>
          <w:szCs w:val="16"/>
        </w:rPr>
        <w:t>[ha il]</w:t>
      </w:r>
      <w:r w:rsidRPr="00940DDB">
        <w:rPr>
          <w:rFonts w:ascii="Century Schoolbook" w:hAnsi="Century Schoolbook"/>
          <w:sz w:val="16"/>
          <w:szCs w:val="16"/>
        </w:rPr>
        <w:t xml:space="preserve"> fine di accentrare ed uniformare le decisioni, sottraendole agli erratici e sovente ostativi orientamenti delle singole Soprintendenze</w:t>
      </w:r>
      <w:r w:rsidR="008E1E63" w:rsidRPr="00940DDB">
        <w:rPr>
          <w:rFonts w:ascii="Century Schoolbook" w:hAnsi="Century Schoolbook"/>
          <w:sz w:val="16"/>
          <w:szCs w:val="16"/>
        </w:rPr>
        <w:t>».</w:t>
      </w:r>
      <w:r w:rsidR="000D0312" w:rsidRPr="00940DDB">
        <w:rPr>
          <w:rFonts w:ascii="Century Schoolbook" w:hAnsi="Century Schoolbook"/>
          <w:sz w:val="16"/>
          <w:szCs w:val="16"/>
        </w:rPr>
        <w:t xml:space="preserve"> Soggiunge Amorosino: «l</w:t>
      </w:r>
      <w:r w:rsidRPr="00940DDB">
        <w:rPr>
          <w:rFonts w:ascii="Century Schoolbook" w:hAnsi="Century Schoolbook"/>
          <w:sz w:val="16"/>
          <w:szCs w:val="16"/>
        </w:rPr>
        <w:t>a questione, al di là dell’“ancoraggio” normativo, è politica e, prima ancora, culturale</w:t>
      </w:r>
      <w:r w:rsidR="00BA4461" w:rsidRPr="00940DDB">
        <w:rPr>
          <w:rFonts w:ascii="Century Schoolbook" w:hAnsi="Century Schoolbook"/>
          <w:sz w:val="16"/>
          <w:szCs w:val="16"/>
        </w:rPr>
        <w:t>;</w:t>
      </w:r>
      <w:r w:rsidRPr="00940DDB">
        <w:rPr>
          <w:rFonts w:ascii="Century Schoolbook" w:hAnsi="Century Schoolbook"/>
          <w:sz w:val="16"/>
          <w:szCs w:val="16"/>
        </w:rPr>
        <w:t xml:space="preserve"> ed è complicata da una giurisprudenza del Consiglio di Stato (e, “a ruota”, di alcuni TAR) che – benché ispirata al meritorio criterio della massima tutela dei beni paesaggistici – il più delle volte avalla i frequenti provvedimenti ostativi delle Soprintendenze.</w:t>
      </w:r>
      <w:r w:rsidR="000D0312" w:rsidRPr="00940DDB">
        <w:rPr>
          <w:rFonts w:ascii="Century Schoolbook" w:hAnsi="Century Schoolbook"/>
          <w:sz w:val="16"/>
          <w:szCs w:val="16"/>
        </w:rPr>
        <w:t xml:space="preserve"> </w:t>
      </w:r>
      <w:r w:rsidRPr="00940DDB">
        <w:rPr>
          <w:rFonts w:ascii="Century Schoolbook" w:hAnsi="Century Schoolbook"/>
          <w:sz w:val="16"/>
          <w:szCs w:val="16"/>
        </w:rPr>
        <w:t>In altre parole: l’equiordinazione concettuale dei due interessi di rilevanza costituzionale – la tutela dell’ambiente e la tutela del paesaggio – nel diritto vivente è apparsa talora un po</w:t>
      </w:r>
      <w:r w:rsidR="00BA4461" w:rsidRPr="00940DDB">
        <w:rPr>
          <w:rFonts w:ascii="Century Schoolbook" w:hAnsi="Century Schoolbook"/>
          <w:sz w:val="16"/>
          <w:szCs w:val="16"/>
        </w:rPr>
        <w:t>’</w:t>
      </w:r>
      <w:r w:rsidRPr="00940DDB">
        <w:rPr>
          <w:rFonts w:ascii="Century Schoolbook" w:hAnsi="Century Schoolbook"/>
          <w:sz w:val="16"/>
          <w:szCs w:val="16"/>
        </w:rPr>
        <w:t xml:space="preserve"> sbilanciata; non solo – è da aggiungere – per gli orientamenti giurisprudenziali, ma anche per l’acquiescenza, in sede di Consiglio dei Ministri, ai </w:t>
      </w:r>
      <w:r w:rsidRPr="00940DDB">
        <w:rPr>
          <w:rFonts w:ascii="Century Schoolbook" w:hAnsi="Century Schoolbook"/>
          <w:i/>
          <w:iCs/>
          <w:sz w:val="16"/>
          <w:szCs w:val="16"/>
        </w:rPr>
        <w:t>niet</w:t>
      </w:r>
      <w:r w:rsidRPr="00940DDB">
        <w:rPr>
          <w:rFonts w:ascii="Century Schoolbook" w:hAnsi="Century Schoolbook"/>
          <w:sz w:val="16"/>
          <w:szCs w:val="16"/>
        </w:rPr>
        <w:t xml:space="preserve"> del Ministro dei Beni e delle Attività Culturali».</w:t>
      </w:r>
    </w:p>
  </w:footnote>
  <w:footnote w:id="77">
    <w:p w14:paraId="1539AD08" w14:textId="0D908F92" w:rsidR="00DD6E57" w:rsidRPr="00940DDB" w:rsidRDefault="00DD6E57" w:rsidP="00DD6E57">
      <w:pPr>
        <w:pStyle w:val="Testonotaapidipagina"/>
        <w:ind w:firstLine="708"/>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Gli dei benigni che proteggono la lingua nostra ci scampino qui da </w:t>
      </w:r>
      <w:r w:rsidRPr="00940DDB">
        <w:rPr>
          <w:rFonts w:ascii="Century Schoolbook" w:hAnsi="Century Schoolbook"/>
          <w:i/>
          <w:iCs/>
          <w:sz w:val="16"/>
          <w:szCs w:val="16"/>
        </w:rPr>
        <w:t>horribilia</w:t>
      </w:r>
      <w:r w:rsidRPr="00940DDB">
        <w:rPr>
          <w:rFonts w:ascii="Century Schoolbook" w:hAnsi="Century Schoolbook"/>
          <w:sz w:val="16"/>
          <w:szCs w:val="16"/>
        </w:rPr>
        <w:t xml:space="preserve"> come il sintagma «mettere a terra».</w:t>
      </w:r>
    </w:p>
  </w:footnote>
  <w:footnote w:id="78">
    <w:p w14:paraId="23DD60F8" w14:textId="68665D68" w:rsidR="00CF4ECA" w:rsidRPr="00940DDB" w:rsidRDefault="00CF4ECA"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M. G. Palladino - E. Rossi,</w:t>
      </w:r>
      <w:r w:rsidRPr="00940DDB">
        <w:rPr>
          <w:rFonts w:ascii="Century Schoolbook" w:hAnsi="Century Schoolbook"/>
          <w:i/>
          <w:iCs/>
          <w:sz w:val="16"/>
          <w:szCs w:val="16"/>
        </w:rPr>
        <w:t xml:space="preserve"> Costruzioni a rischio ingorgo</w:t>
      </w:r>
      <w:r w:rsidRPr="00940DDB">
        <w:rPr>
          <w:rFonts w:ascii="Century Schoolbook" w:hAnsi="Century Schoolbook"/>
          <w:sz w:val="16"/>
          <w:szCs w:val="16"/>
        </w:rPr>
        <w:t xml:space="preserve">, in </w:t>
      </w:r>
      <w:r w:rsidRPr="00940DDB">
        <w:rPr>
          <w:rFonts w:ascii="Century Schoolbook" w:hAnsi="Century Schoolbook"/>
          <w:i/>
          <w:iCs/>
          <w:sz w:val="16"/>
          <w:szCs w:val="16"/>
        </w:rPr>
        <w:t>lavoce.info</w:t>
      </w:r>
      <w:r w:rsidRPr="00940DDB">
        <w:rPr>
          <w:rFonts w:ascii="Century Schoolbook" w:hAnsi="Century Schoolbook"/>
          <w:sz w:val="16"/>
          <w:szCs w:val="16"/>
        </w:rPr>
        <w:t>, 9 novembre 2021</w:t>
      </w:r>
      <w:r w:rsidR="000C48C0" w:rsidRPr="00940DDB">
        <w:rPr>
          <w:rFonts w:ascii="Century Schoolbook" w:hAnsi="Century Schoolbook"/>
          <w:sz w:val="16"/>
          <w:szCs w:val="16"/>
        </w:rPr>
        <w:t>: «Nella quantificazione dell’allocazione diretta spicca la quota destinata a “costruzioni”: oltre il 40 per cento del totale dei fondi resi disponibili dal Piano (81,2 miliardi di euro) transitano in prima battuta da questo settore». «La destinazione prevalente al settore “costruzioni” – proseguono Palladino e Rossi – potrebbe creare un rischio di forte sovraffollamento di progetti, sia nel comparto residenziale che in quello infrastrutturale. Il programma pubblicato del ministero delle Infrastrutture e Mobilità sostenibili, che analizza l’orizzonte temporale degli investimenti nel settore, tende a smorzare il rischio, prevedendo scadenze “allungate” per buona parte delle voci di spesa che riguardano le costruzioni. Tuttavia, anche se distribuito su alcuni anni, un ammontare di risorse pari a 81,2 miliardi in progetti da gestire, con relativi percorsi autorizzativi e identificazione dei migliori fornitori potrebbe determinare un surriscaldamento del settore […]».</w:t>
      </w:r>
    </w:p>
  </w:footnote>
  <w:footnote w:id="79">
    <w:p w14:paraId="4B025087" w14:textId="0F70F179" w:rsidR="008202C7" w:rsidRPr="00940DDB" w:rsidRDefault="008202C7" w:rsidP="004B25C8">
      <w:pPr>
        <w:pStyle w:val="Testonotaapidipagina"/>
        <w:ind w:firstLine="708"/>
        <w:contextualSpacing/>
        <w:jc w:val="both"/>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w:t>
      </w:r>
      <w:r w:rsidR="00F26856" w:rsidRPr="00940DDB">
        <w:rPr>
          <w:rFonts w:ascii="Century Schoolbook" w:hAnsi="Century Schoolbook"/>
          <w:sz w:val="16"/>
          <w:szCs w:val="16"/>
        </w:rPr>
        <w:t>Ancorché</w:t>
      </w:r>
      <w:r w:rsidRPr="00940DDB">
        <w:rPr>
          <w:rFonts w:ascii="Century Schoolbook" w:hAnsi="Century Schoolbook"/>
          <w:sz w:val="16"/>
          <w:szCs w:val="16"/>
        </w:rPr>
        <w:t xml:space="preserve"> con </w:t>
      </w:r>
      <w:r w:rsidR="008254D4" w:rsidRPr="00940DDB">
        <w:rPr>
          <w:rFonts w:ascii="Century Schoolbook" w:hAnsi="Century Schoolbook"/>
          <w:sz w:val="16"/>
          <w:szCs w:val="16"/>
        </w:rPr>
        <w:t xml:space="preserve">gli eccessi </w:t>
      </w:r>
      <w:r w:rsidR="00F26856" w:rsidRPr="00940DDB">
        <w:rPr>
          <w:rFonts w:ascii="Century Schoolbook" w:hAnsi="Century Schoolbook"/>
          <w:sz w:val="16"/>
          <w:szCs w:val="16"/>
        </w:rPr>
        <w:t xml:space="preserve">protettivi </w:t>
      </w:r>
      <w:r w:rsidR="008254D4" w:rsidRPr="00940DDB">
        <w:rPr>
          <w:rFonts w:ascii="Century Schoolbook" w:hAnsi="Century Schoolbook"/>
          <w:sz w:val="16"/>
          <w:szCs w:val="16"/>
        </w:rPr>
        <w:t xml:space="preserve">e i modelli indecisionistici che pure abbiam ricordato.  </w:t>
      </w:r>
    </w:p>
  </w:footnote>
  <w:footnote w:id="80">
    <w:p w14:paraId="6E416AA1" w14:textId="6D5FBF7C" w:rsidR="003E01A4" w:rsidRPr="00940DDB" w:rsidRDefault="003E01A4" w:rsidP="003E01A4">
      <w:pPr>
        <w:pStyle w:val="Testonotaapidipagina"/>
        <w:ind w:firstLine="708"/>
        <w:rPr>
          <w:rFonts w:ascii="Century Schoolbook" w:hAnsi="Century Schoolbook"/>
          <w:sz w:val="16"/>
          <w:szCs w:val="16"/>
        </w:rPr>
      </w:pPr>
      <w:r w:rsidRPr="00940DDB">
        <w:rPr>
          <w:rStyle w:val="Rimandonotaapidipagina"/>
          <w:rFonts w:ascii="Century Schoolbook" w:hAnsi="Century Schoolbook"/>
          <w:sz w:val="16"/>
          <w:szCs w:val="16"/>
        </w:rPr>
        <w:footnoteRef/>
      </w:r>
      <w:r w:rsidRPr="00940DDB">
        <w:rPr>
          <w:rFonts w:ascii="Century Schoolbook" w:hAnsi="Century Schoolbook"/>
          <w:sz w:val="16"/>
          <w:szCs w:val="16"/>
        </w:rPr>
        <w:t xml:space="preserve"> P. Carpentieri, </w:t>
      </w:r>
      <w:r w:rsidRPr="00940DDB">
        <w:rPr>
          <w:rFonts w:ascii="Century Schoolbook" w:hAnsi="Century Schoolbook"/>
          <w:i/>
          <w:iCs/>
          <w:color w:val="191919"/>
          <w:sz w:val="16"/>
          <w:szCs w:val="16"/>
        </w:rPr>
        <w:t>Paesaggio, ambiente e transizione ecologica</w:t>
      </w:r>
      <w:r w:rsidRPr="00940DDB">
        <w:rPr>
          <w:rFonts w:ascii="Century Schoolbook" w:hAnsi="Century Schoolbook"/>
          <w:color w:val="191919"/>
          <w:sz w:val="16"/>
          <w:szCs w:val="16"/>
        </w:rPr>
        <w:t>,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9397B"/>
    <w:multiLevelType w:val="hybridMultilevel"/>
    <w:tmpl w:val="1FFA352C"/>
    <w:lvl w:ilvl="0" w:tplc="56DA476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2044058D"/>
    <w:multiLevelType w:val="hybridMultilevel"/>
    <w:tmpl w:val="D6A2873E"/>
    <w:lvl w:ilvl="0" w:tplc="BB9CD84E">
      <w:start w:val="3"/>
      <w:numFmt w:val="bullet"/>
      <w:lvlText w:val="-"/>
      <w:lvlJc w:val="left"/>
      <w:pPr>
        <w:ind w:left="1428" w:hanging="360"/>
      </w:pPr>
      <w:rPr>
        <w:rFonts w:ascii="Century Schoolbook" w:eastAsiaTheme="minorHAnsi" w:hAnsi="Century Schoolbook"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49B0346A"/>
    <w:multiLevelType w:val="hybridMultilevel"/>
    <w:tmpl w:val="90743940"/>
    <w:lvl w:ilvl="0" w:tplc="968AA716">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73BE0FB9"/>
    <w:multiLevelType w:val="hybridMultilevel"/>
    <w:tmpl w:val="F0CA1706"/>
    <w:lvl w:ilvl="0" w:tplc="4DEA73AC">
      <w:start w:val="1"/>
      <w:numFmt w:val="decimal"/>
      <w:lvlText w:val="%1."/>
      <w:lvlJc w:val="left"/>
      <w:pPr>
        <w:ind w:left="502" w:hanging="360"/>
      </w:pPr>
      <w:rPr>
        <w:rFonts w:hint="default"/>
        <w:color w:val="auto"/>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7F401311"/>
    <w:multiLevelType w:val="hybridMultilevel"/>
    <w:tmpl w:val="A120E5CA"/>
    <w:lvl w:ilvl="0" w:tplc="07EE917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46"/>
    <w:rsid w:val="00005C34"/>
    <w:rsid w:val="00006298"/>
    <w:rsid w:val="000072F3"/>
    <w:rsid w:val="00011695"/>
    <w:rsid w:val="00023E95"/>
    <w:rsid w:val="00027D33"/>
    <w:rsid w:val="00027DB9"/>
    <w:rsid w:val="00036FE6"/>
    <w:rsid w:val="00037D6B"/>
    <w:rsid w:val="00041974"/>
    <w:rsid w:val="0004347C"/>
    <w:rsid w:val="000478E3"/>
    <w:rsid w:val="000512E1"/>
    <w:rsid w:val="00054C19"/>
    <w:rsid w:val="00054E54"/>
    <w:rsid w:val="00061ED8"/>
    <w:rsid w:val="000632C0"/>
    <w:rsid w:val="00066199"/>
    <w:rsid w:val="000838FD"/>
    <w:rsid w:val="000A1566"/>
    <w:rsid w:val="000A1748"/>
    <w:rsid w:val="000B0CDF"/>
    <w:rsid w:val="000B1478"/>
    <w:rsid w:val="000B194F"/>
    <w:rsid w:val="000B31E2"/>
    <w:rsid w:val="000B4475"/>
    <w:rsid w:val="000C0360"/>
    <w:rsid w:val="000C1D24"/>
    <w:rsid w:val="000C4467"/>
    <w:rsid w:val="000C48C0"/>
    <w:rsid w:val="000C5CE7"/>
    <w:rsid w:val="000C63B3"/>
    <w:rsid w:val="000D0312"/>
    <w:rsid w:val="000D10DF"/>
    <w:rsid w:val="000D32FE"/>
    <w:rsid w:val="000D38B0"/>
    <w:rsid w:val="000D44D2"/>
    <w:rsid w:val="000D6ABD"/>
    <w:rsid w:val="000E4035"/>
    <w:rsid w:val="000E4A94"/>
    <w:rsid w:val="000E50E5"/>
    <w:rsid w:val="000E57B0"/>
    <w:rsid w:val="000F03B0"/>
    <w:rsid w:val="000F2F57"/>
    <w:rsid w:val="000F3568"/>
    <w:rsid w:val="000F37F8"/>
    <w:rsid w:val="00103A87"/>
    <w:rsid w:val="00105437"/>
    <w:rsid w:val="00110887"/>
    <w:rsid w:val="00110DD7"/>
    <w:rsid w:val="00114646"/>
    <w:rsid w:val="00116CB5"/>
    <w:rsid w:val="00124E83"/>
    <w:rsid w:val="00125E59"/>
    <w:rsid w:val="00126F42"/>
    <w:rsid w:val="001277DB"/>
    <w:rsid w:val="0013520D"/>
    <w:rsid w:val="001411D3"/>
    <w:rsid w:val="0014429F"/>
    <w:rsid w:val="00156561"/>
    <w:rsid w:val="001608CA"/>
    <w:rsid w:val="00161D3F"/>
    <w:rsid w:val="00162818"/>
    <w:rsid w:val="001646E3"/>
    <w:rsid w:val="00171491"/>
    <w:rsid w:val="00174316"/>
    <w:rsid w:val="00182F02"/>
    <w:rsid w:val="00193E94"/>
    <w:rsid w:val="00196069"/>
    <w:rsid w:val="00197DCE"/>
    <w:rsid w:val="001A6093"/>
    <w:rsid w:val="001B5442"/>
    <w:rsid w:val="001B6201"/>
    <w:rsid w:val="001C3150"/>
    <w:rsid w:val="001D626B"/>
    <w:rsid w:val="001F04BE"/>
    <w:rsid w:val="001F06AD"/>
    <w:rsid w:val="001F4BE8"/>
    <w:rsid w:val="001F6807"/>
    <w:rsid w:val="001F696E"/>
    <w:rsid w:val="002001A4"/>
    <w:rsid w:val="00206C7D"/>
    <w:rsid w:val="002119C4"/>
    <w:rsid w:val="0022146A"/>
    <w:rsid w:val="002309B7"/>
    <w:rsid w:val="002323E1"/>
    <w:rsid w:val="002348CB"/>
    <w:rsid w:val="00241236"/>
    <w:rsid w:val="00241AB1"/>
    <w:rsid w:val="002430DF"/>
    <w:rsid w:val="00245BD7"/>
    <w:rsid w:val="002542CE"/>
    <w:rsid w:val="0025609C"/>
    <w:rsid w:val="00256264"/>
    <w:rsid w:val="00273F23"/>
    <w:rsid w:val="00275E19"/>
    <w:rsid w:val="0027656D"/>
    <w:rsid w:val="00277294"/>
    <w:rsid w:val="00277516"/>
    <w:rsid w:val="00280DF0"/>
    <w:rsid w:val="0028133E"/>
    <w:rsid w:val="00282ADE"/>
    <w:rsid w:val="00282B3D"/>
    <w:rsid w:val="002859E9"/>
    <w:rsid w:val="00291054"/>
    <w:rsid w:val="00297C75"/>
    <w:rsid w:val="002A09AD"/>
    <w:rsid w:val="002A1A1F"/>
    <w:rsid w:val="002A61A0"/>
    <w:rsid w:val="002B3941"/>
    <w:rsid w:val="002B4988"/>
    <w:rsid w:val="002B6E07"/>
    <w:rsid w:val="002C08FC"/>
    <w:rsid w:val="002C1009"/>
    <w:rsid w:val="002C5470"/>
    <w:rsid w:val="002C7B34"/>
    <w:rsid w:val="002D3BAF"/>
    <w:rsid w:val="002D654D"/>
    <w:rsid w:val="002E227C"/>
    <w:rsid w:val="002E7AB6"/>
    <w:rsid w:val="002E7BD0"/>
    <w:rsid w:val="002F365D"/>
    <w:rsid w:val="002F56B5"/>
    <w:rsid w:val="002F77A0"/>
    <w:rsid w:val="00300688"/>
    <w:rsid w:val="00306AC2"/>
    <w:rsid w:val="00306E94"/>
    <w:rsid w:val="003073E1"/>
    <w:rsid w:val="00307499"/>
    <w:rsid w:val="003131F0"/>
    <w:rsid w:val="00315765"/>
    <w:rsid w:val="00320149"/>
    <w:rsid w:val="0032631A"/>
    <w:rsid w:val="00331815"/>
    <w:rsid w:val="00340F9D"/>
    <w:rsid w:val="003437B3"/>
    <w:rsid w:val="00356529"/>
    <w:rsid w:val="00357452"/>
    <w:rsid w:val="003613C6"/>
    <w:rsid w:val="00363D1D"/>
    <w:rsid w:val="00374944"/>
    <w:rsid w:val="003878B5"/>
    <w:rsid w:val="00394099"/>
    <w:rsid w:val="00394576"/>
    <w:rsid w:val="003961A7"/>
    <w:rsid w:val="003A5A9D"/>
    <w:rsid w:val="003A70EE"/>
    <w:rsid w:val="003B115E"/>
    <w:rsid w:val="003B408C"/>
    <w:rsid w:val="003B7F26"/>
    <w:rsid w:val="003C1D18"/>
    <w:rsid w:val="003C24E4"/>
    <w:rsid w:val="003C6826"/>
    <w:rsid w:val="003D1F2D"/>
    <w:rsid w:val="003D3751"/>
    <w:rsid w:val="003D459B"/>
    <w:rsid w:val="003D45F5"/>
    <w:rsid w:val="003D68FF"/>
    <w:rsid w:val="003E01A4"/>
    <w:rsid w:val="003E0E94"/>
    <w:rsid w:val="003E1E70"/>
    <w:rsid w:val="003F0DA4"/>
    <w:rsid w:val="003F375B"/>
    <w:rsid w:val="003F3BA9"/>
    <w:rsid w:val="00401458"/>
    <w:rsid w:val="00404CFC"/>
    <w:rsid w:val="00407FEB"/>
    <w:rsid w:val="00414FB8"/>
    <w:rsid w:val="00415291"/>
    <w:rsid w:val="004267FA"/>
    <w:rsid w:val="0043039A"/>
    <w:rsid w:val="00431685"/>
    <w:rsid w:val="00432B4D"/>
    <w:rsid w:val="00434BA4"/>
    <w:rsid w:val="004364F5"/>
    <w:rsid w:val="00436CA9"/>
    <w:rsid w:val="00437AD8"/>
    <w:rsid w:val="00437D17"/>
    <w:rsid w:val="00451F12"/>
    <w:rsid w:val="00455056"/>
    <w:rsid w:val="00457CAC"/>
    <w:rsid w:val="00461655"/>
    <w:rsid w:val="004642C0"/>
    <w:rsid w:val="0047116D"/>
    <w:rsid w:val="00475BD6"/>
    <w:rsid w:val="00476C8F"/>
    <w:rsid w:val="00477786"/>
    <w:rsid w:val="0048078C"/>
    <w:rsid w:val="004872A9"/>
    <w:rsid w:val="00487439"/>
    <w:rsid w:val="00490140"/>
    <w:rsid w:val="00491F80"/>
    <w:rsid w:val="00494AB7"/>
    <w:rsid w:val="00495F37"/>
    <w:rsid w:val="00497293"/>
    <w:rsid w:val="004B0488"/>
    <w:rsid w:val="004B25C8"/>
    <w:rsid w:val="004C48C6"/>
    <w:rsid w:val="004E06FD"/>
    <w:rsid w:val="004E64B3"/>
    <w:rsid w:val="004F08BD"/>
    <w:rsid w:val="004F5C9A"/>
    <w:rsid w:val="005016F7"/>
    <w:rsid w:val="00502BF1"/>
    <w:rsid w:val="005069E3"/>
    <w:rsid w:val="00521088"/>
    <w:rsid w:val="00521267"/>
    <w:rsid w:val="005226CF"/>
    <w:rsid w:val="00524B6B"/>
    <w:rsid w:val="005324EF"/>
    <w:rsid w:val="00532C8F"/>
    <w:rsid w:val="00536019"/>
    <w:rsid w:val="005367B3"/>
    <w:rsid w:val="00540F41"/>
    <w:rsid w:val="0054247F"/>
    <w:rsid w:val="00543AEB"/>
    <w:rsid w:val="00543FB0"/>
    <w:rsid w:val="005468D2"/>
    <w:rsid w:val="005537D8"/>
    <w:rsid w:val="00553E8F"/>
    <w:rsid w:val="00553FE6"/>
    <w:rsid w:val="00570156"/>
    <w:rsid w:val="00572C4D"/>
    <w:rsid w:val="005736E6"/>
    <w:rsid w:val="00576772"/>
    <w:rsid w:val="00577C6D"/>
    <w:rsid w:val="00591A00"/>
    <w:rsid w:val="00593649"/>
    <w:rsid w:val="005940A0"/>
    <w:rsid w:val="0059418F"/>
    <w:rsid w:val="00597197"/>
    <w:rsid w:val="005A45AE"/>
    <w:rsid w:val="005A4C03"/>
    <w:rsid w:val="005A5B4C"/>
    <w:rsid w:val="005A7372"/>
    <w:rsid w:val="005C420F"/>
    <w:rsid w:val="005D29F2"/>
    <w:rsid w:val="005D56EA"/>
    <w:rsid w:val="005D6978"/>
    <w:rsid w:val="005D7072"/>
    <w:rsid w:val="005D76B7"/>
    <w:rsid w:val="005D76DE"/>
    <w:rsid w:val="005D7FC3"/>
    <w:rsid w:val="005E2317"/>
    <w:rsid w:val="005E73B1"/>
    <w:rsid w:val="005F38A1"/>
    <w:rsid w:val="00601743"/>
    <w:rsid w:val="00605372"/>
    <w:rsid w:val="00605E3F"/>
    <w:rsid w:val="00611A49"/>
    <w:rsid w:val="00613F08"/>
    <w:rsid w:val="006149BD"/>
    <w:rsid w:val="00620B2B"/>
    <w:rsid w:val="00624E98"/>
    <w:rsid w:val="006325B1"/>
    <w:rsid w:val="006463B5"/>
    <w:rsid w:val="00655EF0"/>
    <w:rsid w:val="00656F27"/>
    <w:rsid w:val="00657496"/>
    <w:rsid w:val="0066128A"/>
    <w:rsid w:val="0066161F"/>
    <w:rsid w:val="00662594"/>
    <w:rsid w:val="00662BDB"/>
    <w:rsid w:val="00663F17"/>
    <w:rsid w:val="006644C6"/>
    <w:rsid w:val="006705DF"/>
    <w:rsid w:val="00670880"/>
    <w:rsid w:val="00671965"/>
    <w:rsid w:val="00671E18"/>
    <w:rsid w:val="006805BB"/>
    <w:rsid w:val="00685667"/>
    <w:rsid w:val="00690BB5"/>
    <w:rsid w:val="006913BD"/>
    <w:rsid w:val="006A3BC4"/>
    <w:rsid w:val="006A66CA"/>
    <w:rsid w:val="006A6F06"/>
    <w:rsid w:val="006B062A"/>
    <w:rsid w:val="006B3ED7"/>
    <w:rsid w:val="006B6305"/>
    <w:rsid w:val="006B6BB9"/>
    <w:rsid w:val="006C1C1D"/>
    <w:rsid w:val="006C21DF"/>
    <w:rsid w:val="006C4BBA"/>
    <w:rsid w:val="006D1F3A"/>
    <w:rsid w:val="006D4CDA"/>
    <w:rsid w:val="006D7646"/>
    <w:rsid w:val="006D7D76"/>
    <w:rsid w:val="006D7F43"/>
    <w:rsid w:val="006E0104"/>
    <w:rsid w:val="006E334B"/>
    <w:rsid w:val="006E4307"/>
    <w:rsid w:val="006F2DFC"/>
    <w:rsid w:val="006F3581"/>
    <w:rsid w:val="006F5A23"/>
    <w:rsid w:val="006F5FC5"/>
    <w:rsid w:val="006F7CDC"/>
    <w:rsid w:val="00700E42"/>
    <w:rsid w:val="00700EE7"/>
    <w:rsid w:val="00705D79"/>
    <w:rsid w:val="00707F6F"/>
    <w:rsid w:val="00714C5F"/>
    <w:rsid w:val="00720A29"/>
    <w:rsid w:val="0072371D"/>
    <w:rsid w:val="0072758E"/>
    <w:rsid w:val="00730580"/>
    <w:rsid w:val="007345F6"/>
    <w:rsid w:val="007345F9"/>
    <w:rsid w:val="00744EB9"/>
    <w:rsid w:val="007454F7"/>
    <w:rsid w:val="00752070"/>
    <w:rsid w:val="00753376"/>
    <w:rsid w:val="00754A2A"/>
    <w:rsid w:val="00754BD3"/>
    <w:rsid w:val="0075554A"/>
    <w:rsid w:val="00756AD2"/>
    <w:rsid w:val="00761EE7"/>
    <w:rsid w:val="00764B8E"/>
    <w:rsid w:val="00765B80"/>
    <w:rsid w:val="00774477"/>
    <w:rsid w:val="007831CA"/>
    <w:rsid w:val="007867AA"/>
    <w:rsid w:val="00794826"/>
    <w:rsid w:val="00795881"/>
    <w:rsid w:val="007A15BF"/>
    <w:rsid w:val="007A2ED7"/>
    <w:rsid w:val="007A4C31"/>
    <w:rsid w:val="007B5879"/>
    <w:rsid w:val="007B7CED"/>
    <w:rsid w:val="007C1461"/>
    <w:rsid w:val="007C37D4"/>
    <w:rsid w:val="007D0F7E"/>
    <w:rsid w:val="007E18D0"/>
    <w:rsid w:val="007E276A"/>
    <w:rsid w:val="007E30A4"/>
    <w:rsid w:val="0080047E"/>
    <w:rsid w:val="008021CC"/>
    <w:rsid w:val="00804F2D"/>
    <w:rsid w:val="00805C62"/>
    <w:rsid w:val="00810D04"/>
    <w:rsid w:val="00813812"/>
    <w:rsid w:val="00815A2B"/>
    <w:rsid w:val="008202C7"/>
    <w:rsid w:val="00822FB7"/>
    <w:rsid w:val="008254D4"/>
    <w:rsid w:val="00826AA1"/>
    <w:rsid w:val="00830ACB"/>
    <w:rsid w:val="00834C69"/>
    <w:rsid w:val="00836A3D"/>
    <w:rsid w:val="0084075F"/>
    <w:rsid w:val="008438C0"/>
    <w:rsid w:val="00850B3A"/>
    <w:rsid w:val="00851462"/>
    <w:rsid w:val="00853635"/>
    <w:rsid w:val="0085773E"/>
    <w:rsid w:val="00862BF1"/>
    <w:rsid w:val="00865726"/>
    <w:rsid w:val="00872320"/>
    <w:rsid w:val="0089798E"/>
    <w:rsid w:val="008A6E4B"/>
    <w:rsid w:val="008B25EA"/>
    <w:rsid w:val="008B52DE"/>
    <w:rsid w:val="008C12D7"/>
    <w:rsid w:val="008C2013"/>
    <w:rsid w:val="008C60BF"/>
    <w:rsid w:val="008D3F40"/>
    <w:rsid w:val="008E1E63"/>
    <w:rsid w:val="008E44BE"/>
    <w:rsid w:val="008F02F1"/>
    <w:rsid w:val="009035EE"/>
    <w:rsid w:val="009062AE"/>
    <w:rsid w:val="00911150"/>
    <w:rsid w:val="0091171F"/>
    <w:rsid w:val="00916B1F"/>
    <w:rsid w:val="009177F8"/>
    <w:rsid w:val="009207F6"/>
    <w:rsid w:val="00926795"/>
    <w:rsid w:val="00927859"/>
    <w:rsid w:val="00927940"/>
    <w:rsid w:val="00935CE3"/>
    <w:rsid w:val="00940DDB"/>
    <w:rsid w:val="00944152"/>
    <w:rsid w:val="009503B7"/>
    <w:rsid w:val="00951312"/>
    <w:rsid w:val="00952567"/>
    <w:rsid w:val="0096113E"/>
    <w:rsid w:val="0097320E"/>
    <w:rsid w:val="00973861"/>
    <w:rsid w:val="00983274"/>
    <w:rsid w:val="00983355"/>
    <w:rsid w:val="0098423B"/>
    <w:rsid w:val="00991227"/>
    <w:rsid w:val="009954E4"/>
    <w:rsid w:val="00996CBA"/>
    <w:rsid w:val="009B1F53"/>
    <w:rsid w:val="009B3143"/>
    <w:rsid w:val="009B4A92"/>
    <w:rsid w:val="009C2E1B"/>
    <w:rsid w:val="009C6726"/>
    <w:rsid w:val="009C6906"/>
    <w:rsid w:val="009C6E2E"/>
    <w:rsid w:val="009D442B"/>
    <w:rsid w:val="009D75AB"/>
    <w:rsid w:val="009E0B6A"/>
    <w:rsid w:val="009E17FE"/>
    <w:rsid w:val="009E23F7"/>
    <w:rsid w:val="009E268A"/>
    <w:rsid w:val="009E3291"/>
    <w:rsid w:val="009E361D"/>
    <w:rsid w:val="009E623E"/>
    <w:rsid w:val="009F0CFD"/>
    <w:rsid w:val="009F5309"/>
    <w:rsid w:val="009F57B6"/>
    <w:rsid w:val="009F6048"/>
    <w:rsid w:val="00A0059B"/>
    <w:rsid w:val="00A02012"/>
    <w:rsid w:val="00A0306A"/>
    <w:rsid w:val="00A05953"/>
    <w:rsid w:val="00A063EF"/>
    <w:rsid w:val="00A064FA"/>
    <w:rsid w:val="00A0693A"/>
    <w:rsid w:val="00A216B4"/>
    <w:rsid w:val="00A23346"/>
    <w:rsid w:val="00A30DE1"/>
    <w:rsid w:val="00A339A3"/>
    <w:rsid w:val="00A47C7C"/>
    <w:rsid w:val="00A5102B"/>
    <w:rsid w:val="00A5304D"/>
    <w:rsid w:val="00A54D03"/>
    <w:rsid w:val="00A661B8"/>
    <w:rsid w:val="00A7125A"/>
    <w:rsid w:val="00A73290"/>
    <w:rsid w:val="00A741AF"/>
    <w:rsid w:val="00A80021"/>
    <w:rsid w:val="00A80B54"/>
    <w:rsid w:val="00A81E1D"/>
    <w:rsid w:val="00A905C7"/>
    <w:rsid w:val="00A908E2"/>
    <w:rsid w:val="00A90FCE"/>
    <w:rsid w:val="00A9395E"/>
    <w:rsid w:val="00AA133E"/>
    <w:rsid w:val="00AA2C31"/>
    <w:rsid w:val="00AA409B"/>
    <w:rsid w:val="00AA64F6"/>
    <w:rsid w:val="00AB025C"/>
    <w:rsid w:val="00AB0730"/>
    <w:rsid w:val="00AB1439"/>
    <w:rsid w:val="00AB28DA"/>
    <w:rsid w:val="00AB6887"/>
    <w:rsid w:val="00AC32ED"/>
    <w:rsid w:val="00AD0F60"/>
    <w:rsid w:val="00AD4A36"/>
    <w:rsid w:val="00AD79DD"/>
    <w:rsid w:val="00AE0259"/>
    <w:rsid w:val="00AF0258"/>
    <w:rsid w:val="00AF0F12"/>
    <w:rsid w:val="00AF3FA9"/>
    <w:rsid w:val="00AF6EA2"/>
    <w:rsid w:val="00AF79EF"/>
    <w:rsid w:val="00B000AE"/>
    <w:rsid w:val="00B0313B"/>
    <w:rsid w:val="00B041A5"/>
    <w:rsid w:val="00B1076F"/>
    <w:rsid w:val="00B13BA3"/>
    <w:rsid w:val="00B15863"/>
    <w:rsid w:val="00B16E21"/>
    <w:rsid w:val="00B21E11"/>
    <w:rsid w:val="00B262CB"/>
    <w:rsid w:val="00B274A1"/>
    <w:rsid w:val="00B3610E"/>
    <w:rsid w:val="00B4127D"/>
    <w:rsid w:val="00B44E06"/>
    <w:rsid w:val="00B47A5B"/>
    <w:rsid w:val="00B52F47"/>
    <w:rsid w:val="00B562DF"/>
    <w:rsid w:val="00B6518C"/>
    <w:rsid w:val="00B658F2"/>
    <w:rsid w:val="00B664E6"/>
    <w:rsid w:val="00B70741"/>
    <w:rsid w:val="00B71128"/>
    <w:rsid w:val="00B725F2"/>
    <w:rsid w:val="00B7532C"/>
    <w:rsid w:val="00B77F7F"/>
    <w:rsid w:val="00B82932"/>
    <w:rsid w:val="00B8542F"/>
    <w:rsid w:val="00B860FF"/>
    <w:rsid w:val="00B87654"/>
    <w:rsid w:val="00B90072"/>
    <w:rsid w:val="00B90A80"/>
    <w:rsid w:val="00B93AD3"/>
    <w:rsid w:val="00B94842"/>
    <w:rsid w:val="00B9749A"/>
    <w:rsid w:val="00BA0EF3"/>
    <w:rsid w:val="00BA1492"/>
    <w:rsid w:val="00BA2EDA"/>
    <w:rsid w:val="00BA4461"/>
    <w:rsid w:val="00BA74A3"/>
    <w:rsid w:val="00BB53B1"/>
    <w:rsid w:val="00BC7998"/>
    <w:rsid w:val="00BD3BCA"/>
    <w:rsid w:val="00BD45B8"/>
    <w:rsid w:val="00BD57E6"/>
    <w:rsid w:val="00BE4510"/>
    <w:rsid w:val="00BF20A6"/>
    <w:rsid w:val="00BF3CCB"/>
    <w:rsid w:val="00C030BA"/>
    <w:rsid w:val="00C035B5"/>
    <w:rsid w:val="00C06BE6"/>
    <w:rsid w:val="00C10E01"/>
    <w:rsid w:val="00C11A84"/>
    <w:rsid w:val="00C259CA"/>
    <w:rsid w:val="00C32F68"/>
    <w:rsid w:val="00C33CC7"/>
    <w:rsid w:val="00C44AFE"/>
    <w:rsid w:val="00C50E49"/>
    <w:rsid w:val="00C52CA8"/>
    <w:rsid w:val="00C56781"/>
    <w:rsid w:val="00C57556"/>
    <w:rsid w:val="00C6725B"/>
    <w:rsid w:val="00C67322"/>
    <w:rsid w:val="00C70411"/>
    <w:rsid w:val="00C739B9"/>
    <w:rsid w:val="00C74992"/>
    <w:rsid w:val="00C75996"/>
    <w:rsid w:val="00C81397"/>
    <w:rsid w:val="00C81507"/>
    <w:rsid w:val="00C83121"/>
    <w:rsid w:val="00C86EBB"/>
    <w:rsid w:val="00C960FA"/>
    <w:rsid w:val="00CA2144"/>
    <w:rsid w:val="00CA36F4"/>
    <w:rsid w:val="00CB2B38"/>
    <w:rsid w:val="00CB40FB"/>
    <w:rsid w:val="00CB4D81"/>
    <w:rsid w:val="00CB7057"/>
    <w:rsid w:val="00CB724D"/>
    <w:rsid w:val="00CC10E0"/>
    <w:rsid w:val="00CC1649"/>
    <w:rsid w:val="00CC74CC"/>
    <w:rsid w:val="00CC7B48"/>
    <w:rsid w:val="00CF2A52"/>
    <w:rsid w:val="00CF2C07"/>
    <w:rsid w:val="00CF4562"/>
    <w:rsid w:val="00CF4ECA"/>
    <w:rsid w:val="00D01DFF"/>
    <w:rsid w:val="00D0463B"/>
    <w:rsid w:val="00D07115"/>
    <w:rsid w:val="00D10D45"/>
    <w:rsid w:val="00D17324"/>
    <w:rsid w:val="00D177D6"/>
    <w:rsid w:val="00D20401"/>
    <w:rsid w:val="00D24DE4"/>
    <w:rsid w:val="00D3688D"/>
    <w:rsid w:val="00D41A8B"/>
    <w:rsid w:val="00D41ECE"/>
    <w:rsid w:val="00D420A1"/>
    <w:rsid w:val="00D425D2"/>
    <w:rsid w:val="00D44F46"/>
    <w:rsid w:val="00D4570D"/>
    <w:rsid w:val="00D55F6A"/>
    <w:rsid w:val="00D6022D"/>
    <w:rsid w:val="00D60D1A"/>
    <w:rsid w:val="00D62107"/>
    <w:rsid w:val="00D62307"/>
    <w:rsid w:val="00D670F7"/>
    <w:rsid w:val="00D833AA"/>
    <w:rsid w:val="00D9087C"/>
    <w:rsid w:val="00D95FF2"/>
    <w:rsid w:val="00DA1BE3"/>
    <w:rsid w:val="00DA2598"/>
    <w:rsid w:val="00DA3051"/>
    <w:rsid w:val="00DA79D5"/>
    <w:rsid w:val="00DA7FAC"/>
    <w:rsid w:val="00DB5250"/>
    <w:rsid w:val="00DC27C5"/>
    <w:rsid w:val="00DC2DDC"/>
    <w:rsid w:val="00DC716B"/>
    <w:rsid w:val="00DC7BA4"/>
    <w:rsid w:val="00DD1F82"/>
    <w:rsid w:val="00DD2475"/>
    <w:rsid w:val="00DD4CD7"/>
    <w:rsid w:val="00DD6E57"/>
    <w:rsid w:val="00DE083A"/>
    <w:rsid w:val="00DE6480"/>
    <w:rsid w:val="00DE669F"/>
    <w:rsid w:val="00DF0E81"/>
    <w:rsid w:val="00DF12FF"/>
    <w:rsid w:val="00DF40D6"/>
    <w:rsid w:val="00DF43E9"/>
    <w:rsid w:val="00DF63A9"/>
    <w:rsid w:val="00E0330D"/>
    <w:rsid w:val="00E04687"/>
    <w:rsid w:val="00E11757"/>
    <w:rsid w:val="00E14997"/>
    <w:rsid w:val="00E1619B"/>
    <w:rsid w:val="00E20780"/>
    <w:rsid w:val="00E24DD7"/>
    <w:rsid w:val="00E41618"/>
    <w:rsid w:val="00E43BE6"/>
    <w:rsid w:val="00E43ED1"/>
    <w:rsid w:val="00E4588E"/>
    <w:rsid w:val="00E527FD"/>
    <w:rsid w:val="00E53E5C"/>
    <w:rsid w:val="00E5629F"/>
    <w:rsid w:val="00E579F1"/>
    <w:rsid w:val="00E603CA"/>
    <w:rsid w:val="00E62443"/>
    <w:rsid w:val="00E624CC"/>
    <w:rsid w:val="00E64E0C"/>
    <w:rsid w:val="00E64F72"/>
    <w:rsid w:val="00E664FE"/>
    <w:rsid w:val="00E84126"/>
    <w:rsid w:val="00E87B39"/>
    <w:rsid w:val="00E91E1E"/>
    <w:rsid w:val="00E9273C"/>
    <w:rsid w:val="00E96CF0"/>
    <w:rsid w:val="00EA0D34"/>
    <w:rsid w:val="00EA45B7"/>
    <w:rsid w:val="00EB55E6"/>
    <w:rsid w:val="00EC11C6"/>
    <w:rsid w:val="00ED3656"/>
    <w:rsid w:val="00ED561C"/>
    <w:rsid w:val="00ED6A15"/>
    <w:rsid w:val="00EE3594"/>
    <w:rsid w:val="00EE3DB2"/>
    <w:rsid w:val="00EE6EDD"/>
    <w:rsid w:val="00EE7C11"/>
    <w:rsid w:val="00EF3469"/>
    <w:rsid w:val="00EF75D6"/>
    <w:rsid w:val="00F0115C"/>
    <w:rsid w:val="00F04895"/>
    <w:rsid w:val="00F05CD1"/>
    <w:rsid w:val="00F26856"/>
    <w:rsid w:val="00F279D0"/>
    <w:rsid w:val="00F310C9"/>
    <w:rsid w:val="00F350B1"/>
    <w:rsid w:val="00F45151"/>
    <w:rsid w:val="00F47F29"/>
    <w:rsid w:val="00F57AEB"/>
    <w:rsid w:val="00F601CD"/>
    <w:rsid w:val="00F62B96"/>
    <w:rsid w:val="00F70556"/>
    <w:rsid w:val="00F7491F"/>
    <w:rsid w:val="00F76E3B"/>
    <w:rsid w:val="00F77972"/>
    <w:rsid w:val="00F80181"/>
    <w:rsid w:val="00F82198"/>
    <w:rsid w:val="00F8312F"/>
    <w:rsid w:val="00F85C4F"/>
    <w:rsid w:val="00F87728"/>
    <w:rsid w:val="00F94728"/>
    <w:rsid w:val="00F947EB"/>
    <w:rsid w:val="00F9490D"/>
    <w:rsid w:val="00FA7731"/>
    <w:rsid w:val="00FA7A60"/>
    <w:rsid w:val="00FA7B45"/>
    <w:rsid w:val="00FB1155"/>
    <w:rsid w:val="00FB5083"/>
    <w:rsid w:val="00FB701B"/>
    <w:rsid w:val="00FD4619"/>
    <w:rsid w:val="00FD5523"/>
    <w:rsid w:val="00FE1EFB"/>
    <w:rsid w:val="00FF44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6822"/>
  <w15:docId w15:val="{2E3E6A0D-35C8-584D-B65F-E20B91DD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repubblica">
    <w:name w:val="repubblica"/>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innome">
    <w:name w:val="innome"/>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sezione">
    <w:name w:val="sezione"/>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tabula">
    <w:name w:val="tabula"/>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popolo">
    <w:name w:val="popolo"/>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contro">
    <w:name w:val="contro"/>
    <w:basedOn w:val="Normale"/>
    <w:rsid w:val="006D7646"/>
    <w:pPr>
      <w:spacing w:before="100" w:beforeAutospacing="1" w:after="100" w:afterAutospacing="1"/>
    </w:pPr>
    <w:rPr>
      <w:rFonts w:ascii="Times New Roman" w:eastAsia="Times New Roman" w:hAnsi="Times New Roman" w:cs="Times New Roman"/>
      <w:lang w:eastAsia="it-IT"/>
    </w:rPr>
  </w:style>
  <w:style w:type="paragraph" w:customStyle="1" w:styleId="fatto">
    <w:name w:val="fatto"/>
    <w:basedOn w:val="Normale"/>
    <w:rsid w:val="006D7646"/>
    <w:pPr>
      <w:spacing w:before="100" w:beforeAutospacing="1" w:after="100" w:afterAutospacing="1"/>
    </w:pPr>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6D7646"/>
    <w:pPr>
      <w:tabs>
        <w:tab w:val="center" w:pos="4819"/>
        <w:tab w:val="right" w:pos="9638"/>
      </w:tabs>
    </w:pPr>
  </w:style>
  <w:style w:type="character" w:customStyle="1" w:styleId="PidipaginaCarattere">
    <w:name w:val="Piè di pagina Carattere"/>
    <w:basedOn w:val="Carpredefinitoparagrafo"/>
    <w:link w:val="Pidipagina"/>
    <w:uiPriority w:val="99"/>
    <w:rsid w:val="006D7646"/>
  </w:style>
  <w:style w:type="character" w:styleId="Numeropagina">
    <w:name w:val="page number"/>
    <w:basedOn w:val="Carpredefinitoparagrafo"/>
    <w:uiPriority w:val="99"/>
    <w:semiHidden/>
    <w:unhideWhenUsed/>
    <w:rsid w:val="006D7646"/>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BE4510"/>
    <w:pPr>
      <w:ind w:left="720"/>
      <w:contextualSpacing/>
    </w:pPr>
  </w:style>
  <w:style w:type="paragraph" w:styleId="Testonotaapidipagina">
    <w:name w:val="footnote text"/>
    <w:basedOn w:val="Normale"/>
    <w:link w:val="TestonotaapidipaginaCarattere"/>
    <w:uiPriority w:val="99"/>
    <w:rsid w:val="00810D04"/>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810D04"/>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810D04"/>
    <w:rPr>
      <w:vertAlign w:val="superscript"/>
    </w:rPr>
  </w:style>
  <w:style w:type="paragraph" w:styleId="Corpotesto">
    <w:name w:val="Body Text"/>
    <w:basedOn w:val="Normale"/>
    <w:link w:val="CorpotestoCarattere"/>
    <w:rsid w:val="00810D04"/>
    <w:pPr>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810D04"/>
    <w:rPr>
      <w:rFonts w:ascii="Times New Roman" w:eastAsia="Times New Roman" w:hAnsi="Times New Roman" w:cs="Times New Roman"/>
      <w:lang w:eastAsia="it-IT"/>
    </w:rPr>
  </w:style>
  <w:style w:type="paragraph" w:customStyle="1" w:styleId="Note">
    <w:name w:val="Note"/>
    <w:basedOn w:val="Testonotaapidipagina"/>
    <w:rsid w:val="00810D04"/>
    <w:pPr>
      <w:ind w:firstLine="709"/>
      <w:jc w:val="both"/>
    </w:pPr>
    <w:rPr>
      <w:rFonts w:ascii="Century Schoolbook" w:hAnsi="Century Schoolbook"/>
    </w:rPr>
  </w:style>
  <w:style w:type="paragraph" w:styleId="Intestazione">
    <w:name w:val="header"/>
    <w:basedOn w:val="Normale"/>
    <w:link w:val="IntestazioneCarattere"/>
    <w:uiPriority w:val="99"/>
    <w:unhideWhenUsed/>
    <w:rsid w:val="003878B5"/>
    <w:pPr>
      <w:tabs>
        <w:tab w:val="center" w:pos="4819"/>
        <w:tab w:val="right" w:pos="9638"/>
      </w:tabs>
    </w:pPr>
  </w:style>
  <w:style w:type="character" w:customStyle="1" w:styleId="IntestazioneCarattere">
    <w:name w:val="Intestazione Carattere"/>
    <w:basedOn w:val="Carpredefinitoparagrafo"/>
    <w:link w:val="Intestazione"/>
    <w:uiPriority w:val="99"/>
    <w:rsid w:val="003878B5"/>
  </w:style>
  <w:style w:type="character" w:styleId="Collegamentoipertestuale">
    <w:name w:val="Hyperlink"/>
    <w:basedOn w:val="Carpredefinitoparagrafo"/>
    <w:uiPriority w:val="99"/>
    <w:unhideWhenUsed/>
    <w:rsid w:val="000D44D2"/>
    <w:rPr>
      <w:color w:val="0563C1" w:themeColor="hyperlink"/>
      <w:u w:val="single"/>
    </w:rPr>
  </w:style>
  <w:style w:type="character" w:customStyle="1" w:styleId="UnresolvedMention">
    <w:name w:val="Unresolved Mention"/>
    <w:basedOn w:val="Carpredefinitoparagrafo"/>
    <w:uiPriority w:val="99"/>
    <w:semiHidden/>
    <w:unhideWhenUsed/>
    <w:rsid w:val="000D44D2"/>
    <w:rPr>
      <w:color w:val="605E5C"/>
      <w:shd w:val="clear" w:color="auto" w:fill="E1DFDD"/>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765B80"/>
  </w:style>
  <w:style w:type="character" w:customStyle="1" w:styleId="linkneltesto">
    <w:name w:val="link_nel_testo"/>
    <w:basedOn w:val="Carpredefinitoparagrafo"/>
    <w:rsid w:val="00765B80"/>
    <w:rPr>
      <w:i/>
      <w:iCs/>
    </w:rPr>
  </w:style>
  <w:style w:type="paragraph" w:styleId="NormaleWeb">
    <w:name w:val="Normal (Web)"/>
    <w:basedOn w:val="Normale"/>
    <w:uiPriority w:val="99"/>
    <w:unhideWhenUsed/>
    <w:rsid w:val="009B1F53"/>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243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44332">
      <w:bodyDiv w:val="1"/>
      <w:marLeft w:val="0"/>
      <w:marRight w:val="0"/>
      <w:marTop w:val="0"/>
      <w:marBottom w:val="0"/>
      <w:divBdr>
        <w:top w:val="none" w:sz="0" w:space="0" w:color="auto"/>
        <w:left w:val="none" w:sz="0" w:space="0" w:color="auto"/>
        <w:bottom w:val="none" w:sz="0" w:space="0" w:color="auto"/>
        <w:right w:val="none" w:sz="0" w:space="0" w:color="auto"/>
      </w:divBdr>
      <w:divsChild>
        <w:div w:id="146749903">
          <w:marLeft w:val="0"/>
          <w:marRight w:val="0"/>
          <w:marTop w:val="0"/>
          <w:marBottom w:val="0"/>
          <w:divBdr>
            <w:top w:val="none" w:sz="0" w:space="0" w:color="auto"/>
            <w:left w:val="none" w:sz="0" w:space="0" w:color="auto"/>
            <w:bottom w:val="none" w:sz="0" w:space="0" w:color="auto"/>
            <w:right w:val="none" w:sz="0" w:space="0" w:color="auto"/>
          </w:divBdr>
        </w:div>
        <w:div w:id="1382289616">
          <w:marLeft w:val="0"/>
          <w:marRight w:val="0"/>
          <w:marTop w:val="0"/>
          <w:marBottom w:val="0"/>
          <w:divBdr>
            <w:top w:val="none" w:sz="0" w:space="0" w:color="auto"/>
            <w:left w:val="none" w:sz="0" w:space="0" w:color="auto"/>
            <w:bottom w:val="none" w:sz="0" w:space="0" w:color="auto"/>
            <w:right w:val="none" w:sz="0" w:space="0" w:color="auto"/>
          </w:divBdr>
        </w:div>
        <w:div w:id="1984576828">
          <w:marLeft w:val="0"/>
          <w:marRight w:val="0"/>
          <w:marTop w:val="0"/>
          <w:marBottom w:val="0"/>
          <w:divBdr>
            <w:top w:val="none" w:sz="0" w:space="0" w:color="auto"/>
            <w:left w:val="none" w:sz="0" w:space="0" w:color="auto"/>
            <w:bottom w:val="none" w:sz="0" w:space="0" w:color="auto"/>
            <w:right w:val="none" w:sz="0" w:space="0" w:color="auto"/>
          </w:divBdr>
        </w:div>
        <w:div w:id="1224373587">
          <w:marLeft w:val="0"/>
          <w:marRight w:val="0"/>
          <w:marTop w:val="0"/>
          <w:marBottom w:val="0"/>
          <w:divBdr>
            <w:top w:val="none" w:sz="0" w:space="0" w:color="auto"/>
            <w:left w:val="none" w:sz="0" w:space="0" w:color="auto"/>
            <w:bottom w:val="none" w:sz="0" w:space="0" w:color="auto"/>
            <w:right w:val="none" w:sz="0" w:space="0" w:color="auto"/>
          </w:divBdr>
        </w:div>
        <w:div w:id="524254773">
          <w:marLeft w:val="0"/>
          <w:marRight w:val="0"/>
          <w:marTop w:val="0"/>
          <w:marBottom w:val="0"/>
          <w:divBdr>
            <w:top w:val="none" w:sz="0" w:space="0" w:color="auto"/>
            <w:left w:val="none" w:sz="0" w:space="0" w:color="auto"/>
            <w:bottom w:val="none" w:sz="0" w:space="0" w:color="auto"/>
            <w:right w:val="none" w:sz="0" w:space="0" w:color="auto"/>
          </w:divBdr>
        </w:div>
        <w:div w:id="1708526692">
          <w:marLeft w:val="0"/>
          <w:marRight w:val="0"/>
          <w:marTop w:val="0"/>
          <w:marBottom w:val="0"/>
          <w:divBdr>
            <w:top w:val="none" w:sz="0" w:space="0" w:color="auto"/>
            <w:left w:val="none" w:sz="0" w:space="0" w:color="auto"/>
            <w:bottom w:val="none" w:sz="0" w:space="0" w:color="auto"/>
            <w:right w:val="none" w:sz="0" w:space="0" w:color="auto"/>
          </w:divBdr>
        </w:div>
        <w:div w:id="1880825416">
          <w:marLeft w:val="0"/>
          <w:marRight w:val="0"/>
          <w:marTop w:val="0"/>
          <w:marBottom w:val="0"/>
          <w:divBdr>
            <w:top w:val="none" w:sz="0" w:space="0" w:color="auto"/>
            <w:left w:val="none" w:sz="0" w:space="0" w:color="auto"/>
            <w:bottom w:val="none" w:sz="0" w:space="0" w:color="auto"/>
            <w:right w:val="none" w:sz="0" w:space="0" w:color="auto"/>
          </w:divBdr>
        </w:div>
        <w:div w:id="1202936951">
          <w:marLeft w:val="0"/>
          <w:marRight w:val="0"/>
          <w:marTop w:val="0"/>
          <w:marBottom w:val="0"/>
          <w:divBdr>
            <w:top w:val="none" w:sz="0" w:space="0" w:color="auto"/>
            <w:left w:val="none" w:sz="0" w:space="0" w:color="auto"/>
            <w:bottom w:val="none" w:sz="0" w:space="0" w:color="auto"/>
            <w:right w:val="none" w:sz="0" w:space="0" w:color="auto"/>
          </w:divBdr>
        </w:div>
        <w:div w:id="2008046320">
          <w:marLeft w:val="0"/>
          <w:marRight w:val="0"/>
          <w:marTop w:val="0"/>
          <w:marBottom w:val="0"/>
          <w:divBdr>
            <w:top w:val="none" w:sz="0" w:space="0" w:color="auto"/>
            <w:left w:val="none" w:sz="0" w:space="0" w:color="auto"/>
            <w:bottom w:val="none" w:sz="0" w:space="0" w:color="auto"/>
            <w:right w:val="none" w:sz="0" w:space="0" w:color="auto"/>
          </w:divBdr>
        </w:div>
        <w:div w:id="1059474864">
          <w:marLeft w:val="0"/>
          <w:marRight w:val="0"/>
          <w:marTop w:val="0"/>
          <w:marBottom w:val="0"/>
          <w:divBdr>
            <w:top w:val="none" w:sz="0" w:space="0" w:color="auto"/>
            <w:left w:val="none" w:sz="0" w:space="0" w:color="auto"/>
            <w:bottom w:val="none" w:sz="0" w:space="0" w:color="auto"/>
            <w:right w:val="none" w:sz="0" w:space="0" w:color="auto"/>
          </w:divBdr>
        </w:div>
        <w:div w:id="2102022239">
          <w:marLeft w:val="0"/>
          <w:marRight w:val="0"/>
          <w:marTop w:val="0"/>
          <w:marBottom w:val="0"/>
          <w:divBdr>
            <w:top w:val="none" w:sz="0" w:space="0" w:color="auto"/>
            <w:left w:val="none" w:sz="0" w:space="0" w:color="auto"/>
            <w:bottom w:val="none" w:sz="0" w:space="0" w:color="auto"/>
            <w:right w:val="none" w:sz="0" w:space="0" w:color="auto"/>
          </w:divBdr>
        </w:div>
        <w:div w:id="1971519629">
          <w:marLeft w:val="0"/>
          <w:marRight w:val="0"/>
          <w:marTop w:val="0"/>
          <w:marBottom w:val="0"/>
          <w:divBdr>
            <w:top w:val="none" w:sz="0" w:space="0" w:color="auto"/>
            <w:left w:val="none" w:sz="0" w:space="0" w:color="auto"/>
            <w:bottom w:val="none" w:sz="0" w:space="0" w:color="auto"/>
            <w:right w:val="none" w:sz="0" w:space="0" w:color="auto"/>
          </w:divBdr>
        </w:div>
        <w:div w:id="736590473">
          <w:marLeft w:val="0"/>
          <w:marRight w:val="0"/>
          <w:marTop w:val="0"/>
          <w:marBottom w:val="0"/>
          <w:divBdr>
            <w:top w:val="none" w:sz="0" w:space="0" w:color="auto"/>
            <w:left w:val="none" w:sz="0" w:space="0" w:color="auto"/>
            <w:bottom w:val="none" w:sz="0" w:space="0" w:color="auto"/>
            <w:right w:val="none" w:sz="0" w:space="0" w:color="auto"/>
          </w:divBdr>
        </w:div>
        <w:div w:id="265505001">
          <w:marLeft w:val="0"/>
          <w:marRight w:val="0"/>
          <w:marTop w:val="0"/>
          <w:marBottom w:val="0"/>
          <w:divBdr>
            <w:top w:val="none" w:sz="0" w:space="0" w:color="auto"/>
            <w:left w:val="none" w:sz="0" w:space="0" w:color="auto"/>
            <w:bottom w:val="none" w:sz="0" w:space="0" w:color="auto"/>
            <w:right w:val="none" w:sz="0" w:space="0" w:color="auto"/>
          </w:divBdr>
        </w:div>
        <w:div w:id="509951042">
          <w:marLeft w:val="0"/>
          <w:marRight w:val="0"/>
          <w:marTop w:val="0"/>
          <w:marBottom w:val="0"/>
          <w:divBdr>
            <w:top w:val="none" w:sz="0" w:space="0" w:color="auto"/>
            <w:left w:val="none" w:sz="0" w:space="0" w:color="auto"/>
            <w:bottom w:val="none" w:sz="0" w:space="0" w:color="auto"/>
            <w:right w:val="none" w:sz="0" w:space="0" w:color="auto"/>
          </w:divBdr>
        </w:div>
        <w:div w:id="1006791446">
          <w:marLeft w:val="0"/>
          <w:marRight w:val="0"/>
          <w:marTop w:val="0"/>
          <w:marBottom w:val="0"/>
          <w:divBdr>
            <w:top w:val="none" w:sz="0" w:space="0" w:color="auto"/>
            <w:left w:val="none" w:sz="0" w:space="0" w:color="auto"/>
            <w:bottom w:val="none" w:sz="0" w:space="0" w:color="auto"/>
            <w:right w:val="none" w:sz="0" w:space="0" w:color="auto"/>
          </w:divBdr>
        </w:div>
        <w:div w:id="1626501183">
          <w:marLeft w:val="0"/>
          <w:marRight w:val="0"/>
          <w:marTop w:val="0"/>
          <w:marBottom w:val="0"/>
          <w:divBdr>
            <w:top w:val="none" w:sz="0" w:space="0" w:color="auto"/>
            <w:left w:val="none" w:sz="0" w:space="0" w:color="auto"/>
            <w:bottom w:val="none" w:sz="0" w:space="0" w:color="auto"/>
            <w:right w:val="none" w:sz="0" w:space="0" w:color="auto"/>
          </w:divBdr>
        </w:div>
        <w:div w:id="1224946797">
          <w:marLeft w:val="0"/>
          <w:marRight w:val="0"/>
          <w:marTop w:val="0"/>
          <w:marBottom w:val="0"/>
          <w:divBdr>
            <w:top w:val="none" w:sz="0" w:space="0" w:color="auto"/>
            <w:left w:val="none" w:sz="0" w:space="0" w:color="auto"/>
            <w:bottom w:val="none" w:sz="0" w:space="0" w:color="auto"/>
            <w:right w:val="none" w:sz="0" w:space="0" w:color="auto"/>
          </w:divBdr>
        </w:div>
        <w:div w:id="1313679555">
          <w:marLeft w:val="0"/>
          <w:marRight w:val="0"/>
          <w:marTop w:val="0"/>
          <w:marBottom w:val="0"/>
          <w:divBdr>
            <w:top w:val="none" w:sz="0" w:space="0" w:color="auto"/>
            <w:left w:val="none" w:sz="0" w:space="0" w:color="auto"/>
            <w:bottom w:val="none" w:sz="0" w:space="0" w:color="auto"/>
            <w:right w:val="none" w:sz="0" w:space="0" w:color="auto"/>
          </w:divBdr>
        </w:div>
        <w:div w:id="1169950114">
          <w:marLeft w:val="0"/>
          <w:marRight w:val="0"/>
          <w:marTop w:val="0"/>
          <w:marBottom w:val="0"/>
          <w:divBdr>
            <w:top w:val="none" w:sz="0" w:space="0" w:color="auto"/>
            <w:left w:val="none" w:sz="0" w:space="0" w:color="auto"/>
            <w:bottom w:val="none" w:sz="0" w:space="0" w:color="auto"/>
            <w:right w:val="none" w:sz="0" w:space="0" w:color="auto"/>
          </w:divBdr>
        </w:div>
        <w:div w:id="400905527">
          <w:marLeft w:val="0"/>
          <w:marRight w:val="0"/>
          <w:marTop w:val="0"/>
          <w:marBottom w:val="0"/>
          <w:divBdr>
            <w:top w:val="none" w:sz="0" w:space="0" w:color="auto"/>
            <w:left w:val="none" w:sz="0" w:space="0" w:color="auto"/>
            <w:bottom w:val="none" w:sz="0" w:space="0" w:color="auto"/>
            <w:right w:val="none" w:sz="0" w:space="0" w:color="auto"/>
          </w:divBdr>
        </w:div>
        <w:div w:id="1064184160">
          <w:marLeft w:val="0"/>
          <w:marRight w:val="0"/>
          <w:marTop w:val="0"/>
          <w:marBottom w:val="0"/>
          <w:divBdr>
            <w:top w:val="none" w:sz="0" w:space="0" w:color="auto"/>
            <w:left w:val="none" w:sz="0" w:space="0" w:color="auto"/>
            <w:bottom w:val="none" w:sz="0" w:space="0" w:color="auto"/>
            <w:right w:val="none" w:sz="0" w:space="0" w:color="auto"/>
          </w:divBdr>
        </w:div>
        <w:div w:id="1358120051">
          <w:marLeft w:val="0"/>
          <w:marRight w:val="0"/>
          <w:marTop w:val="0"/>
          <w:marBottom w:val="0"/>
          <w:divBdr>
            <w:top w:val="none" w:sz="0" w:space="0" w:color="auto"/>
            <w:left w:val="none" w:sz="0" w:space="0" w:color="auto"/>
            <w:bottom w:val="none" w:sz="0" w:space="0" w:color="auto"/>
            <w:right w:val="none" w:sz="0" w:space="0" w:color="auto"/>
          </w:divBdr>
        </w:div>
        <w:div w:id="2102723977">
          <w:marLeft w:val="0"/>
          <w:marRight w:val="0"/>
          <w:marTop w:val="0"/>
          <w:marBottom w:val="0"/>
          <w:divBdr>
            <w:top w:val="none" w:sz="0" w:space="0" w:color="auto"/>
            <w:left w:val="none" w:sz="0" w:space="0" w:color="auto"/>
            <w:bottom w:val="none" w:sz="0" w:space="0" w:color="auto"/>
            <w:right w:val="none" w:sz="0" w:space="0" w:color="auto"/>
          </w:divBdr>
        </w:div>
        <w:div w:id="1759715100">
          <w:marLeft w:val="0"/>
          <w:marRight w:val="0"/>
          <w:marTop w:val="0"/>
          <w:marBottom w:val="0"/>
          <w:divBdr>
            <w:top w:val="none" w:sz="0" w:space="0" w:color="auto"/>
            <w:left w:val="none" w:sz="0" w:space="0" w:color="auto"/>
            <w:bottom w:val="none" w:sz="0" w:space="0" w:color="auto"/>
            <w:right w:val="none" w:sz="0" w:space="0" w:color="auto"/>
          </w:divBdr>
        </w:div>
        <w:div w:id="61417834">
          <w:marLeft w:val="0"/>
          <w:marRight w:val="0"/>
          <w:marTop w:val="0"/>
          <w:marBottom w:val="0"/>
          <w:divBdr>
            <w:top w:val="none" w:sz="0" w:space="0" w:color="auto"/>
            <w:left w:val="none" w:sz="0" w:space="0" w:color="auto"/>
            <w:bottom w:val="none" w:sz="0" w:space="0" w:color="auto"/>
            <w:right w:val="none" w:sz="0" w:space="0" w:color="auto"/>
          </w:divBdr>
        </w:div>
        <w:div w:id="1682780271">
          <w:marLeft w:val="0"/>
          <w:marRight w:val="0"/>
          <w:marTop w:val="0"/>
          <w:marBottom w:val="0"/>
          <w:divBdr>
            <w:top w:val="none" w:sz="0" w:space="0" w:color="auto"/>
            <w:left w:val="none" w:sz="0" w:space="0" w:color="auto"/>
            <w:bottom w:val="none" w:sz="0" w:space="0" w:color="auto"/>
            <w:right w:val="none" w:sz="0" w:space="0" w:color="auto"/>
          </w:divBdr>
        </w:div>
        <w:div w:id="970987610">
          <w:marLeft w:val="0"/>
          <w:marRight w:val="0"/>
          <w:marTop w:val="0"/>
          <w:marBottom w:val="0"/>
          <w:divBdr>
            <w:top w:val="none" w:sz="0" w:space="0" w:color="auto"/>
            <w:left w:val="none" w:sz="0" w:space="0" w:color="auto"/>
            <w:bottom w:val="none" w:sz="0" w:space="0" w:color="auto"/>
            <w:right w:val="none" w:sz="0" w:space="0" w:color="auto"/>
          </w:divBdr>
        </w:div>
        <w:div w:id="1149133233">
          <w:marLeft w:val="0"/>
          <w:marRight w:val="0"/>
          <w:marTop w:val="0"/>
          <w:marBottom w:val="0"/>
          <w:divBdr>
            <w:top w:val="none" w:sz="0" w:space="0" w:color="auto"/>
            <w:left w:val="none" w:sz="0" w:space="0" w:color="auto"/>
            <w:bottom w:val="none" w:sz="0" w:space="0" w:color="auto"/>
            <w:right w:val="none" w:sz="0" w:space="0" w:color="auto"/>
          </w:divBdr>
        </w:div>
        <w:div w:id="1908999892">
          <w:marLeft w:val="0"/>
          <w:marRight w:val="0"/>
          <w:marTop w:val="0"/>
          <w:marBottom w:val="0"/>
          <w:divBdr>
            <w:top w:val="none" w:sz="0" w:space="0" w:color="auto"/>
            <w:left w:val="none" w:sz="0" w:space="0" w:color="auto"/>
            <w:bottom w:val="none" w:sz="0" w:space="0" w:color="auto"/>
            <w:right w:val="none" w:sz="0" w:space="0" w:color="auto"/>
          </w:divBdr>
        </w:div>
        <w:div w:id="1847820006">
          <w:marLeft w:val="0"/>
          <w:marRight w:val="0"/>
          <w:marTop w:val="0"/>
          <w:marBottom w:val="0"/>
          <w:divBdr>
            <w:top w:val="none" w:sz="0" w:space="0" w:color="auto"/>
            <w:left w:val="none" w:sz="0" w:space="0" w:color="auto"/>
            <w:bottom w:val="none" w:sz="0" w:space="0" w:color="auto"/>
            <w:right w:val="none" w:sz="0" w:space="0" w:color="auto"/>
          </w:divBdr>
        </w:div>
        <w:div w:id="1987196473">
          <w:marLeft w:val="0"/>
          <w:marRight w:val="0"/>
          <w:marTop w:val="0"/>
          <w:marBottom w:val="0"/>
          <w:divBdr>
            <w:top w:val="none" w:sz="0" w:space="0" w:color="auto"/>
            <w:left w:val="none" w:sz="0" w:space="0" w:color="auto"/>
            <w:bottom w:val="none" w:sz="0" w:space="0" w:color="auto"/>
            <w:right w:val="none" w:sz="0" w:space="0" w:color="auto"/>
          </w:divBdr>
        </w:div>
        <w:div w:id="780412905">
          <w:marLeft w:val="0"/>
          <w:marRight w:val="0"/>
          <w:marTop w:val="0"/>
          <w:marBottom w:val="0"/>
          <w:divBdr>
            <w:top w:val="none" w:sz="0" w:space="0" w:color="auto"/>
            <w:left w:val="none" w:sz="0" w:space="0" w:color="auto"/>
            <w:bottom w:val="none" w:sz="0" w:space="0" w:color="auto"/>
            <w:right w:val="none" w:sz="0" w:space="0" w:color="auto"/>
          </w:divBdr>
        </w:div>
        <w:div w:id="433937513">
          <w:marLeft w:val="0"/>
          <w:marRight w:val="0"/>
          <w:marTop w:val="0"/>
          <w:marBottom w:val="0"/>
          <w:divBdr>
            <w:top w:val="none" w:sz="0" w:space="0" w:color="auto"/>
            <w:left w:val="none" w:sz="0" w:space="0" w:color="auto"/>
            <w:bottom w:val="none" w:sz="0" w:space="0" w:color="auto"/>
            <w:right w:val="none" w:sz="0" w:space="0" w:color="auto"/>
          </w:divBdr>
        </w:div>
        <w:div w:id="1559902712">
          <w:marLeft w:val="0"/>
          <w:marRight w:val="0"/>
          <w:marTop w:val="0"/>
          <w:marBottom w:val="0"/>
          <w:divBdr>
            <w:top w:val="none" w:sz="0" w:space="0" w:color="auto"/>
            <w:left w:val="none" w:sz="0" w:space="0" w:color="auto"/>
            <w:bottom w:val="none" w:sz="0" w:space="0" w:color="auto"/>
            <w:right w:val="none" w:sz="0" w:space="0" w:color="auto"/>
          </w:divBdr>
        </w:div>
        <w:div w:id="120535375">
          <w:marLeft w:val="0"/>
          <w:marRight w:val="0"/>
          <w:marTop w:val="0"/>
          <w:marBottom w:val="0"/>
          <w:divBdr>
            <w:top w:val="none" w:sz="0" w:space="0" w:color="auto"/>
            <w:left w:val="none" w:sz="0" w:space="0" w:color="auto"/>
            <w:bottom w:val="none" w:sz="0" w:space="0" w:color="auto"/>
            <w:right w:val="none" w:sz="0" w:space="0" w:color="auto"/>
          </w:divBdr>
        </w:div>
        <w:div w:id="407074676">
          <w:marLeft w:val="0"/>
          <w:marRight w:val="0"/>
          <w:marTop w:val="0"/>
          <w:marBottom w:val="0"/>
          <w:divBdr>
            <w:top w:val="none" w:sz="0" w:space="0" w:color="auto"/>
            <w:left w:val="none" w:sz="0" w:space="0" w:color="auto"/>
            <w:bottom w:val="none" w:sz="0" w:space="0" w:color="auto"/>
            <w:right w:val="none" w:sz="0" w:space="0" w:color="auto"/>
          </w:divBdr>
        </w:div>
        <w:div w:id="1365474125">
          <w:marLeft w:val="0"/>
          <w:marRight w:val="0"/>
          <w:marTop w:val="0"/>
          <w:marBottom w:val="0"/>
          <w:divBdr>
            <w:top w:val="none" w:sz="0" w:space="0" w:color="auto"/>
            <w:left w:val="none" w:sz="0" w:space="0" w:color="auto"/>
            <w:bottom w:val="none" w:sz="0" w:space="0" w:color="auto"/>
            <w:right w:val="none" w:sz="0" w:space="0" w:color="auto"/>
          </w:divBdr>
        </w:div>
        <w:div w:id="1973242861">
          <w:marLeft w:val="0"/>
          <w:marRight w:val="0"/>
          <w:marTop w:val="0"/>
          <w:marBottom w:val="0"/>
          <w:divBdr>
            <w:top w:val="none" w:sz="0" w:space="0" w:color="auto"/>
            <w:left w:val="none" w:sz="0" w:space="0" w:color="auto"/>
            <w:bottom w:val="none" w:sz="0" w:space="0" w:color="auto"/>
            <w:right w:val="none" w:sz="0" w:space="0" w:color="auto"/>
          </w:divBdr>
        </w:div>
        <w:div w:id="1783303070">
          <w:marLeft w:val="0"/>
          <w:marRight w:val="0"/>
          <w:marTop w:val="0"/>
          <w:marBottom w:val="0"/>
          <w:divBdr>
            <w:top w:val="none" w:sz="0" w:space="0" w:color="auto"/>
            <w:left w:val="none" w:sz="0" w:space="0" w:color="auto"/>
            <w:bottom w:val="none" w:sz="0" w:space="0" w:color="auto"/>
            <w:right w:val="none" w:sz="0" w:space="0" w:color="auto"/>
          </w:divBdr>
        </w:div>
        <w:div w:id="731779230">
          <w:marLeft w:val="0"/>
          <w:marRight w:val="0"/>
          <w:marTop w:val="0"/>
          <w:marBottom w:val="0"/>
          <w:divBdr>
            <w:top w:val="none" w:sz="0" w:space="0" w:color="auto"/>
            <w:left w:val="none" w:sz="0" w:space="0" w:color="auto"/>
            <w:bottom w:val="none" w:sz="0" w:space="0" w:color="auto"/>
            <w:right w:val="none" w:sz="0" w:space="0" w:color="auto"/>
          </w:divBdr>
        </w:div>
        <w:div w:id="2060393161">
          <w:marLeft w:val="0"/>
          <w:marRight w:val="0"/>
          <w:marTop w:val="0"/>
          <w:marBottom w:val="0"/>
          <w:divBdr>
            <w:top w:val="none" w:sz="0" w:space="0" w:color="auto"/>
            <w:left w:val="none" w:sz="0" w:space="0" w:color="auto"/>
            <w:bottom w:val="none" w:sz="0" w:space="0" w:color="auto"/>
            <w:right w:val="none" w:sz="0" w:space="0" w:color="auto"/>
          </w:divBdr>
        </w:div>
        <w:div w:id="830486221">
          <w:marLeft w:val="0"/>
          <w:marRight w:val="0"/>
          <w:marTop w:val="0"/>
          <w:marBottom w:val="0"/>
          <w:divBdr>
            <w:top w:val="none" w:sz="0" w:space="0" w:color="auto"/>
            <w:left w:val="none" w:sz="0" w:space="0" w:color="auto"/>
            <w:bottom w:val="none" w:sz="0" w:space="0" w:color="auto"/>
            <w:right w:val="none" w:sz="0" w:space="0" w:color="auto"/>
          </w:divBdr>
        </w:div>
        <w:div w:id="1922832982">
          <w:marLeft w:val="0"/>
          <w:marRight w:val="0"/>
          <w:marTop w:val="0"/>
          <w:marBottom w:val="0"/>
          <w:divBdr>
            <w:top w:val="none" w:sz="0" w:space="0" w:color="auto"/>
            <w:left w:val="none" w:sz="0" w:space="0" w:color="auto"/>
            <w:bottom w:val="none" w:sz="0" w:space="0" w:color="auto"/>
            <w:right w:val="none" w:sz="0" w:space="0" w:color="auto"/>
          </w:divBdr>
        </w:div>
        <w:div w:id="1992709508">
          <w:marLeft w:val="0"/>
          <w:marRight w:val="0"/>
          <w:marTop w:val="0"/>
          <w:marBottom w:val="0"/>
          <w:divBdr>
            <w:top w:val="none" w:sz="0" w:space="0" w:color="auto"/>
            <w:left w:val="none" w:sz="0" w:space="0" w:color="auto"/>
            <w:bottom w:val="none" w:sz="0" w:space="0" w:color="auto"/>
            <w:right w:val="none" w:sz="0" w:space="0" w:color="auto"/>
          </w:divBdr>
        </w:div>
        <w:div w:id="1464543279">
          <w:marLeft w:val="0"/>
          <w:marRight w:val="0"/>
          <w:marTop w:val="0"/>
          <w:marBottom w:val="0"/>
          <w:divBdr>
            <w:top w:val="none" w:sz="0" w:space="0" w:color="auto"/>
            <w:left w:val="none" w:sz="0" w:space="0" w:color="auto"/>
            <w:bottom w:val="none" w:sz="0" w:space="0" w:color="auto"/>
            <w:right w:val="none" w:sz="0" w:space="0" w:color="auto"/>
          </w:divBdr>
        </w:div>
        <w:div w:id="946691262">
          <w:marLeft w:val="0"/>
          <w:marRight w:val="0"/>
          <w:marTop w:val="0"/>
          <w:marBottom w:val="0"/>
          <w:divBdr>
            <w:top w:val="none" w:sz="0" w:space="0" w:color="auto"/>
            <w:left w:val="none" w:sz="0" w:space="0" w:color="auto"/>
            <w:bottom w:val="none" w:sz="0" w:space="0" w:color="auto"/>
            <w:right w:val="none" w:sz="0" w:space="0" w:color="auto"/>
          </w:divBdr>
        </w:div>
        <w:div w:id="7143934">
          <w:marLeft w:val="0"/>
          <w:marRight w:val="0"/>
          <w:marTop w:val="0"/>
          <w:marBottom w:val="0"/>
          <w:divBdr>
            <w:top w:val="none" w:sz="0" w:space="0" w:color="auto"/>
            <w:left w:val="none" w:sz="0" w:space="0" w:color="auto"/>
            <w:bottom w:val="none" w:sz="0" w:space="0" w:color="auto"/>
            <w:right w:val="none" w:sz="0" w:space="0" w:color="auto"/>
          </w:divBdr>
        </w:div>
        <w:div w:id="135145684">
          <w:marLeft w:val="0"/>
          <w:marRight w:val="0"/>
          <w:marTop w:val="0"/>
          <w:marBottom w:val="0"/>
          <w:divBdr>
            <w:top w:val="none" w:sz="0" w:space="0" w:color="auto"/>
            <w:left w:val="none" w:sz="0" w:space="0" w:color="auto"/>
            <w:bottom w:val="none" w:sz="0" w:space="0" w:color="auto"/>
            <w:right w:val="none" w:sz="0" w:space="0" w:color="auto"/>
          </w:divBdr>
        </w:div>
        <w:div w:id="1379429695">
          <w:marLeft w:val="0"/>
          <w:marRight w:val="0"/>
          <w:marTop w:val="0"/>
          <w:marBottom w:val="0"/>
          <w:divBdr>
            <w:top w:val="none" w:sz="0" w:space="0" w:color="auto"/>
            <w:left w:val="none" w:sz="0" w:space="0" w:color="auto"/>
            <w:bottom w:val="none" w:sz="0" w:space="0" w:color="auto"/>
            <w:right w:val="none" w:sz="0" w:space="0" w:color="auto"/>
          </w:divBdr>
        </w:div>
        <w:div w:id="805322013">
          <w:marLeft w:val="0"/>
          <w:marRight w:val="0"/>
          <w:marTop w:val="0"/>
          <w:marBottom w:val="0"/>
          <w:divBdr>
            <w:top w:val="none" w:sz="0" w:space="0" w:color="auto"/>
            <w:left w:val="none" w:sz="0" w:space="0" w:color="auto"/>
            <w:bottom w:val="none" w:sz="0" w:space="0" w:color="auto"/>
            <w:right w:val="none" w:sz="0" w:space="0" w:color="auto"/>
          </w:divBdr>
        </w:div>
        <w:div w:id="377972839">
          <w:marLeft w:val="0"/>
          <w:marRight w:val="0"/>
          <w:marTop w:val="0"/>
          <w:marBottom w:val="0"/>
          <w:divBdr>
            <w:top w:val="none" w:sz="0" w:space="0" w:color="auto"/>
            <w:left w:val="none" w:sz="0" w:space="0" w:color="auto"/>
            <w:bottom w:val="none" w:sz="0" w:space="0" w:color="auto"/>
            <w:right w:val="none" w:sz="0" w:space="0" w:color="auto"/>
          </w:divBdr>
        </w:div>
        <w:div w:id="1604222501">
          <w:marLeft w:val="0"/>
          <w:marRight w:val="0"/>
          <w:marTop w:val="0"/>
          <w:marBottom w:val="0"/>
          <w:divBdr>
            <w:top w:val="none" w:sz="0" w:space="0" w:color="auto"/>
            <w:left w:val="none" w:sz="0" w:space="0" w:color="auto"/>
            <w:bottom w:val="none" w:sz="0" w:space="0" w:color="auto"/>
            <w:right w:val="none" w:sz="0" w:space="0" w:color="auto"/>
          </w:divBdr>
        </w:div>
        <w:div w:id="1824540749">
          <w:marLeft w:val="0"/>
          <w:marRight w:val="0"/>
          <w:marTop w:val="0"/>
          <w:marBottom w:val="0"/>
          <w:divBdr>
            <w:top w:val="none" w:sz="0" w:space="0" w:color="auto"/>
            <w:left w:val="none" w:sz="0" w:space="0" w:color="auto"/>
            <w:bottom w:val="none" w:sz="0" w:space="0" w:color="auto"/>
            <w:right w:val="none" w:sz="0" w:space="0" w:color="auto"/>
          </w:divBdr>
        </w:div>
        <w:div w:id="1205753662">
          <w:marLeft w:val="0"/>
          <w:marRight w:val="0"/>
          <w:marTop w:val="0"/>
          <w:marBottom w:val="0"/>
          <w:divBdr>
            <w:top w:val="none" w:sz="0" w:space="0" w:color="auto"/>
            <w:left w:val="none" w:sz="0" w:space="0" w:color="auto"/>
            <w:bottom w:val="none" w:sz="0" w:space="0" w:color="auto"/>
            <w:right w:val="none" w:sz="0" w:space="0" w:color="auto"/>
          </w:divBdr>
        </w:div>
        <w:div w:id="281615522">
          <w:marLeft w:val="0"/>
          <w:marRight w:val="0"/>
          <w:marTop w:val="0"/>
          <w:marBottom w:val="0"/>
          <w:divBdr>
            <w:top w:val="none" w:sz="0" w:space="0" w:color="auto"/>
            <w:left w:val="none" w:sz="0" w:space="0" w:color="auto"/>
            <w:bottom w:val="none" w:sz="0" w:space="0" w:color="auto"/>
            <w:right w:val="none" w:sz="0" w:space="0" w:color="auto"/>
          </w:divBdr>
        </w:div>
        <w:div w:id="327944340">
          <w:marLeft w:val="0"/>
          <w:marRight w:val="0"/>
          <w:marTop w:val="0"/>
          <w:marBottom w:val="0"/>
          <w:divBdr>
            <w:top w:val="none" w:sz="0" w:space="0" w:color="auto"/>
            <w:left w:val="none" w:sz="0" w:space="0" w:color="auto"/>
            <w:bottom w:val="none" w:sz="0" w:space="0" w:color="auto"/>
            <w:right w:val="none" w:sz="0" w:space="0" w:color="auto"/>
          </w:divBdr>
        </w:div>
        <w:div w:id="834877881">
          <w:marLeft w:val="0"/>
          <w:marRight w:val="0"/>
          <w:marTop w:val="0"/>
          <w:marBottom w:val="0"/>
          <w:divBdr>
            <w:top w:val="none" w:sz="0" w:space="0" w:color="auto"/>
            <w:left w:val="none" w:sz="0" w:space="0" w:color="auto"/>
            <w:bottom w:val="none" w:sz="0" w:space="0" w:color="auto"/>
            <w:right w:val="none" w:sz="0" w:space="0" w:color="auto"/>
          </w:divBdr>
        </w:div>
        <w:div w:id="2016227054">
          <w:marLeft w:val="0"/>
          <w:marRight w:val="0"/>
          <w:marTop w:val="0"/>
          <w:marBottom w:val="0"/>
          <w:divBdr>
            <w:top w:val="none" w:sz="0" w:space="0" w:color="auto"/>
            <w:left w:val="none" w:sz="0" w:space="0" w:color="auto"/>
            <w:bottom w:val="none" w:sz="0" w:space="0" w:color="auto"/>
            <w:right w:val="none" w:sz="0" w:space="0" w:color="auto"/>
          </w:divBdr>
        </w:div>
        <w:div w:id="3214278">
          <w:marLeft w:val="0"/>
          <w:marRight w:val="0"/>
          <w:marTop w:val="0"/>
          <w:marBottom w:val="0"/>
          <w:divBdr>
            <w:top w:val="none" w:sz="0" w:space="0" w:color="auto"/>
            <w:left w:val="none" w:sz="0" w:space="0" w:color="auto"/>
            <w:bottom w:val="none" w:sz="0" w:space="0" w:color="auto"/>
            <w:right w:val="none" w:sz="0" w:space="0" w:color="auto"/>
          </w:divBdr>
        </w:div>
        <w:div w:id="1012682739">
          <w:marLeft w:val="0"/>
          <w:marRight w:val="0"/>
          <w:marTop w:val="0"/>
          <w:marBottom w:val="0"/>
          <w:divBdr>
            <w:top w:val="none" w:sz="0" w:space="0" w:color="auto"/>
            <w:left w:val="none" w:sz="0" w:space="0" w:color="auto"/>
            <w:bottom w:val="none" w:sz="0" w:space="0" w:color="auto"/>
            <w:right w:val="none" w:sz="0" w:space="0" w:color="auto"/>
          </w:divBdr>
        </w:div>
        <w:div w:id="1028220872">
          <w:marLeft w:val="0"/>
          <w:marRight w:val="0"/>
          <w:marTop w:val="0"/>
          <w:marBottom w:val="0"/>
          <w:divBdr>
            <w:top w:val="none" w:sz="0" w:space="0" w:color="auto"/>
            <w:left w:val="none" w:sz="0" w:space="0" w:color="auto"/>
            <w:bottom w:val="none" w:sz="0" w:space="0" w:color="auto"/>
            <w:right w:val="none" w:sz="0" w:space="0" w:color="auto"/>
          </w:divBdr>
        </w:div>
        <w:div w:id="2139103844">
          <w:marLeft w:val="0"/>
          <w:marRight w:val="0"/>
          <w:marTop w:val="0"/>
          <w:marBottom w:val="0"/>
          <w:divBdr>
            <w:top w:val="none" w:sz="0" w:space="0" w:color="auto"/>
            <w:left w:val="none" w:sz="0" w:space="0" w:color="auto"/>
            <w:bottom w:val="none" w:sz="0" w:space="0" w:color="auto"/>
            <w:right w:val="none" w:sz="0" w:space="0" w:color="auto"/>
          </w:divBdr>
        </w:div>
        <w:div w:id="1621259674">
          <w:marLeft w:val="0"/>
          <w:marRight w:val="0"/>
          <w:marTop w:val="0"/>
          <w:marBottom w:val="0"/>
          <w:divBdr>
            <w:top w:val="none" w:sz="0" w:space="0" w:color="auto"/>
            <w:left w:val="none" w:sz="0" w:space="0" w:color="auto"/>
            <w:bottom w:val="none" w:sz="0" w:space="0" w:color="auto"/>
            <w:right w:val="none" w:sz="0" w:space="0" w:color="auto"/>
          </w:divBdr>
        </w:div>
        <w:div w:id="888108286">
          <w:marLeft w:val="0"/>
          <w:marRight w:val="0"/>
          <w:marTop w:val="0"/>
          <w:marBottom w:val="0"/>
          <w:divBdr>
            <w:top w:val="none" w:sz="0" w:space="0" w:color="auto"/>
            <w:left w:val="none" w:sz="0" w:space="0" w:color="auto"/>
            <w:bottom w:val="none" w:sz="0" w:space="0" w:color="auto"/>
            <w:right w:val="none" w:sz="0" w:space="0" w:color="auto"/>
          </w:divBdr>
        </w:div>
        <w:div w:id="1675181688">
          <w:marLeft w:val="0"/>
          <w:marRight w:val="0"/>
          <w:marTop w:val="0"/>
          <w:marBottom w:val="0"/>
          <w:divBdr>
            <w:top w:val="none" w:sz="0" w:space="0" w:color="auto"/>
            <w:left w:val="none" w:sz="0" w:space="0" w:color="auto"/>
            <w:bottom w:val="none" w:sz="0" w:space="0" w:color="auto"/>
            <w:right w:val="none" w:sz="0" w:space="0" w:color="auto"/>
          </w:divBdr>
        </w:div>
        <w:div w:id="369568837">
          <w:marLeft w:val="0"/>
          <w:marRight w:val="0"/>
          <w:marTop w:val="0"/>
          <w:marBottom w:val="0"/>
          <w:divBdr>
            <w:top w:val="none" w:sz="0" w:space="0" w:color="auto"/>
            <w:left w:val="none" w:sz="0" w:space="0" w:color="auto"/>
            <w:bottom w:val="none" w:sz="0" w:space="0" w:color="auto"/>
            <w:right w:val="none" w:sz="0" w:space="0" w:color="auto"/>
          </w:divBdr>
        </w:div>
        <w:div w:id="2023435577">
          <w:marLeft w:val="0"/>
          <w:marRight w:val="0"/>
          <w:marTop w:val="0"/>
          <w:marBottom w:val="0"/>
          <w:divBdr>
            <w:top w:val="none" w:sz="0" w:space="0" w:color="auto"/>
            <w:left w:val="none" w:sz="0" w:space="0" w:color="auto"/>
            <w:bottom w:val="none" w:sz="0" w:space="0" w:color="auto"/>
            <w:right w:val="none" w:sz="0" w:space="0" w:color="auto"/>
          </w:divBdr>
        </w:div>
        <w:div w:id="183253059">
          <w:marLeft w:val="0"/>
          <w:marRight w:val="0"/>
          <w:marTop w:val="0"/>
          <w:marBottom w:val="0"/>
          <w:divBdr>
            <w:top w:val="none" w:sz="0" w:space="0" w:color="auto"/>
            <w:left w:val="none" w:sz="0" w:space="0" w:color="auto"/>
            <w:bottom w:val="none" w:sz="0" w:space="0" w:color="auto"/>
            <w:right w:val="none" w:sz="0" w:space="0" w:color="auto"/>
          </w:divBdr>
        </w:div>
        <w:div w:id="2127652183">
          <w:marLeft w:val="0"/>
          <w:marRight w:val="0"/>
          <w:marTop w:val="0"/>
          <w:marBottom w:val="0"/>
          <w:divBdr>
            <w:top w:val="none" w:sz="0" w:space="0" w:color="auto"/>
            <w:left w:val="none" w:sz="0" w:space="0" w:color="auto"/>
            <w:bottom w:val="none" w:sz="0" w:space="0" w:color="auto"/>
            <w:right w:val="none" w:sz="0" w:space="0" w:color="auto"/>
          </w:divBdr>
        </w:div>
        <w:div w:id="1828741456">
          <w:marLeft w:val="0"/>
          <w:marRight w:val="0"/>
          <w:marTop w:val="0"/>
          <w:marBottom w:val="0"/>
          <w:divBdr>
            <w:top w:val="none" w:sz="0" w:space="0" w:color="auto"/>
            <w:left w:val="none" w:sz="0" w:space="0" w:color="auto"/>
            <w:bottom w:val="none" w:sz="0" w:space="0" w:color="auto"/>
            <w:right w:val="none" w:sz="0" w:space="0" w:color="auto"/>
          </w:divBdr>
        </w:div>
        <w:div w:id="1446268271">
          <w:marLeft w:val="0"/>
          <w:marRight w:val="0"/>
          <w:marTop w:val="0"/>
          <w:marBottom w:val="0"/>
          <w:divBdr>
            <w:top w:val="none" w:sz="0" w:space="0" w:color="auto"/>
            <w:left w:val="none" w:sz="0" w:space="0" w:color="auto"/>
            <w:bottom w:val="none" w:sz="0" w:space="0" w:color="auto"/>
            <w:right w:val="none" w:sz="0" w:space="0" w:color="auto"/>
          </w:divBdr>
        </w:div>
        <w:div w:id="714932392">
          <w:marLeft w:val="0"/>
          <w:marRight w:val="0"/>
          <w:marTop w:val="0"/>
          <w:marBottom w:val="0"/>
          <w:divBdr>
            <w:top w:val="none" w:sz="0" w:space="0" w:color="auto"/>
            <w:left w:val="none" w:sz="0" w:space="0" w:color="auto"/>
            <w:bottom w:val="none" w:sz="0" w:space="0" w:color="auto"/>
            <w:right w:val="none" w:sz="0" w:space="0" w:color="auto"/>
          </w:divBdr>
        </w:div>
        <w:div w:id="919296010">
          <w:marLeft w:val="0"/>
          <w:marRight w:val="0"/>
          <w:marTop w:val="0"/>
          <w:marBottom w:val="0"/>
          <w:divBdr>
            <w:top w:val="none" w:sz="0" w:space="0" w:color="auto"/>
            <w:left w:val="none" w:sz="0" w:space="0" w:color="auto"/>
            <w:bottom w:val="none" w:sz="0" w:space="0" w:color="auto"/>
            <w:right w:val="none" w:sz="0" w:space="0" w:color="auto"/>
          </w:divBdr>
        </w:div>
        <w:div w:id="675573453">
          <w:marLeft w:val="0"/>
          <w:marRight w:val="0"/>
          <w:marTop w:val="0"/>
          <w:marBottom w:val="0"/>
          <w:divBdr>
            <w:top w:val="none" w:sz="0" w:space="0" w:color="auto"/>
            <w:left w:val="none" w:sz="0" w:space="0" w:color="auto"/>
            <w:bottom w:val="none" w:sz="0" w:space="0" w:color="auto"/>
            <w:right w:val="none" w:sz="0" w:space="0" w:color="auto"/>
          </w:divBdr>
        </w:div>
        <w:div w:id="1167131513">
          <w:marLeft w:val="0"/>
          <w:marRight w:val="0"/>
          <w:marTop w:val="0"/>
          <w:marBottom w:val="0"/>
          <w:divBdr>
            <w:top w:val="none" w:sz="0" w:space="0" w:color="auto"/>
            <w:left w:val="none" w:sz="0" w:space="0" w:color="auto"/>
            <w:bottom w:val="none" w:sz="0" w:space="0" w:color="auto"/>
            <w:right w:val="none" w:sz="0" w:space="0" w:color="auto"/>
          </w:divBdr>
        </w:div>
        <w:div w:id="848104793">
          <w:marLeft w:val="0"/>
          <w:marRight w:val="0"/>
          <w:marTop w:val="0"/>
          <w:marBottom w:val="0"/>
          <w:divBdr>
            <w:top w:val="none" w:sz="0" w:space="0" w:color="auto"/>
            <w:left w:val="none" w:sz="0" w:space="0" w:color="auto"/>
            <w:bottom w:val="none" w:sz="0" w:space="0" w:color="auto"/>
            <w:right w:val="none" w:sz="0" w:space="0" w:color="auto"/>
          </w:divBdr>
        </w:div>
        <w:div w:id="151064415">
          <w:marLeft w:val="0"/>
          <w:marRight w:val="0"/>
          <w:marTop w:val="0"/>
          <w:marBottom w:val="0"/>
          <w:divBdr>
            <w:top w:val="none" w:sz="0" w:space="0" w:color="auto"/>
            <w:left w:val="none" w:sz="0" w:space="0" w:color="auto"/>
            <w:bottom w:val="none" w:sz="0" w:space="0" w:color="auto"/>
            <w:right w:val="none" w:sz="0" w:space="0" w:color="auto"/>
          </w:divBdr>
        </w:div>
        <w:div w:id="1067386735">
          <w:marLeft w:val="0"/>
          <w:marRight w:val="0"/>
          <w:marTop w:val="0"/>
          <w:marBottom w:val="0"/>
          <w:divBdr>
            <w:top w:val="none" w:sz="0" w:space="0" w:color="auto"/>
            <w:left w:val="none" w:sz="0" w:space="0" w:color="auto"/>
            <w:bottom w:val="none" w:sz="0" w:space="0" w:color="auto"/>
            <w:right w:val="none" w:sz="0" w:space="0" w:color="auto"/>
          </w:divBdr>
        </w:div>
        <w:div w:id="788430528">
          <w:marLeft w:val="0"/>
          <w:marRight w:val="0"/>
          <w:marTop w:val="0"/>
          <w:marBottom w:val="0"/>
          <w:divBdr>
            <w:top w:val="none" w:sz="0" w:space="0" w:color="auto"/>
            <w:left w:val="none" w:sz="0" w:space="0" w:color="auto"/>
            <w:bottom w:val="none" w:sz="0" w:space="0" w:color="auto"/>
            <w:right w:val="none" w:sz="0" w:space="0" w:color="auto"/>
          </w:divBdr>
        </w:div>
        <w:div w:id="767774343">
          <w:marLeft w:val="0"/>
          <w:marRight w:val="0"/>
          <w:marTop w:val="0"/>
          <w:marBottom w:val="0"/>
          <w:divBdr>
            <w:top w:val="none" w:sz="0" w:space="0" w:color="auto"/>
            <w:left w:val="none" w:sz="0" w:space="0" w:color="auto"/>
            <w:bottom w:val="none" w:sz="0" w:space="0" w:color="auto"/>
            <w:right w:val="none" w:sz="0" w:space="0" w:color="auto"/>
          </w:divBdr>
        </w:div>
        <w:div w:id="1062411343">
          <w:marLeft w:val="0"/>
          <w:marRight w:val="0"/>
          <w:marTop w:val="0"/>
          <w:marBottom w:val="0"/>
          <w:divBdr>
            <w:top w:val="none" w:sz="0" w:space="0" w:color="auto"/>
            <w:left w:val="none" w:sz="0" w:space="0" w:color="auto"/>
            <w:bottom w:val="none" w:sz="0" w:space="0" w:color="auto"/>
            <w:right w:val="none" w:sz="0" w:space="0" w:color="auto"/>
          </w:divBdr>
        </w:div>
        <w:div w:id="556160224">
          <w:marLeft w:val="0"/>
          <w:marRight w:val="0"/>
          <w:marTop w:val="0"/>
          <w:marBottom w:val="0"/>
          <w:divBdr>
            <w:top w:val="none" w:sz="0" w:space="0" w:color="auto"/>
            <w:left w:val="none" w:sz="0" w:space="0" w:color="auto"/>
            <w:bottom w:val="none" w:sz="0" w:space="0" w:color="auto"/>
            <w:right w:val="none" w:sz="0" w:space="0" w:color="auto"/>
          </w:divBdr>
        </w:div>
        <w:div w:id="732705323">
          <w:marLeft w:val="0"/>
          <w:marRight w:val="0"/>
          <w:marTop w:val="0"/>
          <w:marBottom w:val="0"/>
          <w:divBdr>
            <w:top w:val="none" w:sz="0" w:space="0" w:color="auto"/>
            <w:left w:val="none" w:sz="0" w:space="0" w:color="auto"/>
            <w:bottom w:val="none" w:sz="0" w:space="0" w:color="auto"/>
            <w:right w:val="none" w:sz="0" w:space="0" w:color="auto"/>
          </w:divBdr>
        </w:div>
        <w:div w:id="943658402">
          <w:marLeft w:val="0"/>
          <w:marRight w:val="0"/>
          <w:marTop w:val="0"/>
          <w:marBottom w:val="0"/>
          <w:divBdr>
            <w:top w:val="none" w:sz="0" w:space="0" w:color="auto"/>
            <w:left w:val="none" w:sz="0" w:space="0" w:color="auto"/>
            <w:bottom w:val="none" w:sz="0" w:space="0" w:color="auto"/>
            <w:right w:val="none" w:sz="0" w:space="0" w:color="auto"/>
          </w:divBdr>
        </w:div>
        <w:div w:id="1987583309">
          <w:marLeft w:val="0"/>
          <w:marRight w:val="0"/>
          <w:marTop w:val="0"/>
          <w:marBottom w:val="0"/>
          <w:divBdr>
            <w:top w:val="none" w:sz="0" w:space="0" w:color="auto"/>
            <w:left w:val="none" w:sz="0" w:space="0" w:color="auto"/>
            <w:bottom w:val="none" w:sz="0" w:space="0" w:color="auto"/>
            <w:right w:val="none" w:sz="0" w:space="0" w:color="auto"/>
          </w:divBdr>
        </w:div>
        <w:div w:id="290671410">
          <w:marLeft w:val="0"/>
          <w:marRight w:val="0"/>
          <w:marTop w:val="0"/>
          <w:marBottom w:val="0"/>
          <w:divBdr>
            <w:top w:val="none" w:sz="0" w:space="0" w:color="auto"/>
            <w:left w:val="none" w:sz="0" w:space="0" w:color="auto"/>
            <w:bottom w:val="none" w:sz="0" w:space="0" w:color="auto"/>
            <w:right w:val="none" w:sz="0" w:space="0" w:color="auto"/>
          </w:divBdr>
        </w:div>
        <w:div w:id="1413041010">
          <w:marLeft w:val="0"/>
          <w:marRight w:val="0"/>
          <w:marTop w:val="0"/>
          <w:marBottom w:val="0"/>
          <w:divBdr>
            <w:top w:val="none" w:sz="0" w:space="0" w:color="auto"/>
            <w:left w:val="none" w:sz="0" w:space="0" w:color="auto"/>
            <w:bottom w:val="none" w:sz="0" w:space="0" w:color="auto"/>
            <w:right w:val="none" w:sz="0" w:space="0" w:color="auto"/>
          </w:divBdr>
        </w:div>
        <w:div w:id="1911497914">
          <w:marLeft w:val="0"/>
          <w:marRight w:val="0"/>
          <w:marTop w:val="0"/>
          <w:marBottom w:val="0"/>
          <w:divBdr>
            <w:top w:val="none" w:sz="0" w:space="0" w:color="auto"/>
            <w:left w:val="none" w:sz="0" w:space="0" w:color="auto"/>
            <w:bottom w:val="none" w:sz="0" w:space="0" w:color="auto"/>
            <w:right w:val="none" w:sz="0" w:space="0" w:color="auto"/>
          </w:divBdr>
        </w:div>
        <w:div w:id="2110157324">
          <w:marLeft w:val="0"/>
          <w:marRight w:val="0"/>
          <w:marTop w:val="0"/>
          <w:marBottom w:val="0"/>
          <w:divBdr>
            <w:top w:val="none" w:sz="0" w:space="0" w:color="auto"/>
            <w:left w:val="none" w:sz="0" w:space="0" w:color="auto"/>
            <w:bottom w:val="none" w:sz="0" w:space="0" w:color="auto"/>
            <w:right w:val="none" w:sz="0" w:space="0" w:color="auto"/>
          </w:divBdr>
        </w:div>
        <w:div w:id="1596326933">
          <w:marLeft w:val="0"/>
          <w:marRight w:val="0"/>
          <w:marTop w:val="0"/>
          <w:marBottom w:val="0"/>
          <w:divBdr>
            <w:top w:val="none" w:sz="0" w:space="0" w:color="auto"/>
            <w:left w:val="none" w:sz="0" w:space="0" w:color="auto"/>
            <w:bottom w:val="none" w:sz="0" w:space="0" w:color="auto"/>
            <w:right w:val="none" w:sz="0" w:space="0" w:color="auto"/>
          </w:divBdr>
        </w:div>
        <w:div w:id="843858452">
          <w:marLeft w:val="0"/>
          <w:marRight w:val="0"/>
          <w:marTop w:val="0"/>
          <w:marBottom w:val="0"/>
          <w:divBdr>
            <w:top w:val="none" w:sz="0" w:space="0" w:color="auto"/>
            <w:left w:val="none" w:sz="0" w:space="0" w:color="auto"/>
            <w:bottom w:val="none" w:sz="0" w:space="0" w:color="auto"/>
            <w:right w:val="none" w:sz="0" w:space="0" w:color="auto"/>
          </w:divBdr>
        </w:div>
        <w:div w:id="631329828">
          <w:marLeft w:val="0"/>
          <w:marRight w:val="0"/>
          <w:marTop w:val="0"/>
          <w:marBottom w:val="0"/>
          <w:divBdr>
            <w:top w:val="none" w:sz="0" w:space="0" w:color="auto"/>
            <w:left w:val="none" w:sz="0" w:space="0" w:color="auto"/>
            <w:bottom w:val="none" w:sz="0" w:space="0" w:color="auto"/>
            <w:right w:val="none" w:sz="0" w:space="0" w:color="auto"/>
          </w:divBdr>
        </w:div>
        <w:div w:id="130365300">
          <w:marLeft w:val="0"/>
          <w:marRight w:val="0"/>
          <w:marTop w:val="0"/>
          <w:marBottom w:val="0"/>
          <w:divBdr>
            <w:top w:val="none" w:sz="0" w:space="0" w:color="auto"/>
            <w:left w:val="none" w:sz="0" w:space="0" w:color="auto"/>
            <w:bottom w:val="none" w:sz="0" w:space="0" w:color="auto"/>
            <w:right w:val="none" w:sz="0" w:space="0" w:color="auto"/>
          </w:divBdr>
        </w:div>
        <w:div w:id="2066445259">
          <w:marLeft w:val="0"/>
          <w:marRight w:val="0"/>
          <w:marTop w:val="0"/>
          <w:marBottom w:val="0"/>
          <w:divBdr>
            <w:top w:val="none" w:sz="0" w:space="0" w:color="auto"/>
            <w:left w:val="none" w:sz="0" w:space="0" w:color="auto"/>
            <w:bottom w:val="none" w:sz="0" w:space="0" w:color="auto"/>
            <w:right w:val="none" w:sz="0" w:space="0" w:color="auto"/>
          </w:divBdr>
        </w:div>
        <w:div w:id="1468936059">
          <w:marLeft w:val="0"/>
          <w:marRight w:val="0"/>
          <w:marTop w:val="0"/>
          <w:marBottom w:val="0"/>
          <w:divBdr>
            <w:top w:val="none" w:sz="0" w:space="0" w:color="auto"/>
            <w:left w:val="none" w:sz="0" w:space="0" w:color="auto"/>
            <w:bottom w:val="none" w:sz="0" w:space="0" w:color="auto"/>
            <w:right w:val="none" w:sz="0" w:space="0" w:color="auto"/>
          </w:divBdr>
        </w:div>
        <w:div w:id="375471382">
          <w:marLeft w:val="0"/>
          <w:marRight w:val="0"/>
          <w:marTop w:val="0"/>
          <w:marBottom w:val="0"/>
          <w:divBdr>
            <w:top w:val="none" w:sz="0" w:space="0" w:color="auto"/>
            <w:left w:val="none" w:sz="0" w:space="0" w:color="auto"/>
            <w:bottom w:val="none" w:sz="0" w:space="0" w:color="auto"/>
            <w:right w:val="none" w:sz="0" w:space="0" w:color="auto"/>
          </w:divBdr>
        </w:div>
        <w:div w:id="93215298">
          <w:marLeft w:val="0"/>
          <w:marRight w:val="0"/>
          <w:marTop w:val="0"/>
          <w:marBottom w:val="0"/>
          <w:divBdr>
            <w:top w:val="none" w:sz="0" w:space="0" w:color="auto"/>
            <w:left w:val="none" w:sz="0" w:space="0" w:color="auto"/>
            <w:bottom w:val="none" w:sz="0" w:space="0" w:color="auto"/>
            <w:right w:val="none" w:sz="0" w:space="0" w:color="auto"/>
          </w:divBdr>
        </w:div>
        <w:div w:id="853225011">
          <w:marLeft w:val="0"/>
          <w:marRight w:val="0"/>
          <w:marTop w:val="0"/>
          <w:marBottom w:val="0"/>
          <w:divBdr>
            <w:top w:val="none" w:sz="0" w:space="0" w:color="auto"/>
            <w:left w:val="none" w:sz="0" w:space="0" w:color="auto"/>
            <w:bottom w:val="none" w:sz="0" w:space="0" w:color="auto"/>
            <w:right w:val="none" w:sz="0" w:space="0" w:color="auto"/>
          </w:divBdr>
        </w:div>
        <w:div w:id="1593391994">
          <w:marLeft w:val="0"/>
          <w:marRight w:val="0"/>
          <w:marTop w:val="0"/>
          <w:marBottom w:val="0"/>
          <w:divBdr>
            <w:top w:val="none" w:sz="0" w:space="0" w:color="auto"/>
            <w:left w:val="none" w:sz="0" w:space="0" w:color="auto"/>
            <w:bottom w:val="none" w:sz="0" w:space="0" w:color="auto"/>
            <w:right w:val="none" w:sz="0" w:space="0" w:color="auto"/>
          </w:divBdr>
        </w:div>
        <w:div w:id="1661541380">
          <w:marLeft w:val="0"/>
          <w:marRight w:val="0"/>
          <w:marTop w:val="0"/>
          <w:marBottom w:val="0"/>
          <w:divBdr>
            <w:top w:val="none" w:sz="0" w:space="0" w:color="auto"/>
            <w:left w:val="none" w:sz="0" w:space="0" w:color="auto"/>
            <w:bottom w:val="none" w:sz="0" w:space="0" w:color="auto"/>
            <w:right w:val="none" w:sz="0" w:space="0" w:color="auto"/>
          </w:divBdr>
        </w:div>
        <w:div w:id="1265697963">
          <w:marLeft w:val="0"/>
          <w:marRight w:val="0"/>
          <w:marTop w:val="0"/>
          <w:marBottom w:val="0"/>
          <w:divBdr>
            <w:top w:val="none" w:sz="0" w:space="0" w:color="auto"/>
            <w:left w:val="none" w:sz="0" w:space="0" w:color="auto"/>
            <w:bottom w:val="none" w:sz="0" w:space="0" w:color="auto"/>
            <w:right w:val="none" w:sz="0" w:space="0" w:color="auto"/>
          </w:divBdr>
        </w:div>
        <w:div w:id="388966165">
          <w:marLeft w:val="0"/>
          <w:marRight w:val="0"/>
          <w:marTop w:val="0"/>
          <w:marBottom w:val="0"/>
          <w:divBdr>
            <w:top w:val="none" w:sz="0" w:space="0" w:color="auto"/>
            <w:left w:val="none" w:sz="0" w:space="0" w:color="auto"/>
            <w:bottom w:val="none" w:sz="0" w:space="0" w:color="auto"/>
            <w:right w:val="none" w:sz="0" w:space="0" w:color="auto"/>
          </w:divBdr>
        </w:div>
        <w:div w:id="1721201644">
          <w:marLeft w:val="0"/>
          <w:marRight w:val="0"/>
          <w:marTop w:val="0"/>
          <w:marBottom w:val="0"/>
          <w:divBdr>
            <w:top w:val="none" w:sz="0" w:space="0" w:color="auto"/>
            <w:left w:val="none" w:sz="0" w:space="0" w:color="auto"/>
            <w:bottom w:val="none" w:sz="0" w:space="0" w:color="auto"/>
            <w:right w:val="none" w:sz="0" w:space="0" w:color="auto"/>
          </w:divBdr>
        </w:div>
        <w:div w:id="1114789892">
          <w:marLeft w:val="0"/>
          <w:marRight w:val="0"/>
          <w:marTop w:val="0"/>
          <w:marBottom w:val="0"/>
          <w:divBdr>
            <w:top w:val="none" w:sz="0" w:space="0" w:color="auto"/>
            <w:left w:val="none" w:sz="0" w:space="0" w:color="auto"/>
            <w:bottom w:val="none" w:sz="0" w:space="0" w:color="auto"/>
            <w:right w:val="none" w:sz="0" w:space="0" w:color="auto"/>
          </w:divBdr>
        </w:div>
        <w:div w:id="930821664">
          <w:marLeft w:val="0"/>
          <w:marRight w:val="0"/>
          <w:marTop w:val="0"/>
          <w:marBottom w:val="0"/>
          <w:divBdr>
            <w:top w:val="none" w:sz="0" w:space="0" w:color="auto"/>
            <w:left w:val="none" w:sz="0" w:space="0" w:color="auto"/>
            <w:bottom w:val="none" w:sz="0" w:space="0" w:color="auto"/>
            <w:right w:val="none" w:sz="0" w:space="0" w:color="auto"/>
          </w:divBdr>
        </w:div>
        <w:div w:id="58410106">
          <w:marLeft w:val="0"/>
          <w:marRight w:val="0"/>
          <w:marTop w:val="0"/>
          <w:marBottom w:val="0"/>
          <w:divBdr>
            <w:top w:val="none" w:sz="0" w:space="0" w:color="auto"/>
            <w:left w:val="none" w:sz="0" w:space="0" w:color="auto"/>
            <w:bottom w:val="none" w:sz="0" w:space="0" w:color="auto"/>
            <w:right w:val="none" w:sz="0" w:space="0" w:color="auto"/>
          </w:divBdr>
        </w:div>
        <w:div w:id="735906687">
          <w:marLeft w:val="0"/>
          <w:marRight w:val="0"/>
          <w:marTop w:val="0"/>
          <w:marBottom w:val="0"/>
          <w:divBdr>
            <w:top w:val="none" w:sz="0" w:space="0" w:color="auto"/>
            <w:left w:val="none" w:sz="0" w:space="0" w:color="auto"/>
            <w:bottom w:val="none" w:sz="0" w:space="0" w:color="auto"/>
            <w:right w:val="none" w:sz="0" w:space="0" w:color="auto"/>
          </w:divBdr>
        </w:div>
        <w:div w:id="486480361">
          <w:marLeft w:val="0"/>
          <w:marRight w:val="0"/>
          <w:marTop w:val="0"/>
          <w:marBottom w:val="0"/>
          <w:divBdr>
            <w:top w:val="none" w:sz="0" w:space="0" w:color="auto"/>
            <w:left w:val="none" w:sz="0" w:space="0" w:color="auto"/>
            <w:bottom w:val="none" w:sz="0" w:space="0" w:color="auto"/>
            <w:right w:val="none" w:sz="0" w:space="0" w:color="auto"/>
          </w:divBdr>
        </w:div>
        <w:div w:id="490223047">
          <w:marLeft w:val="0"/>
          <w:marRight w:val="0"/>
          <w:marTop w:val="0"/>
          <w:marBottom w:val="0"/>
          <w:divBdr>
            <w:top w:val="none" w:sz="0" w:space="0" w:color="auto"/>
            <w:left w:val="none" w:sz="0" w:space="0" w:color="auto"/>
            <w:bottom w:val="none" w:sz="0" w:space="0" w:color="auto"/>
            <w:right w:val="none" w:sz="0" w:space="0" w:color="auto"/>
          </w:divBdr>
        </w:div>
        <w:div w:id="908157107">
          <w:marLeft w:val="0"/>
          <w:marRight w:val="0"/>
          <w:marTop w:val="0"/>
          <w:marBottom w:val="0"/>
          <w:divBdr>
            <w:top w:val="none" w:sz="0" w:space="0" w:color="auto"/>
            <w:left w:val="none" w:sz="0" w:space="0" w:color="auto"/>
            <w:bottom w:val="none" w:sz="0" w:space="0" w:color="auto"/>
            <w:right w:val="none" w:sz="0" w:space="0" w:color="auto"/>
          </w:divBdr>
        </w:div>
        <w:div w:id="1737850701">
          <w:marLeft w:val="0"/>
          <w:marRight w:val="0"/>
          <w:marTop w:val="0"/>
          <w:marBottom w:val="0"/>
          <w:divBdr>
            <w:top w:val="none" w:sz="0" w:space="0" w:color="auto"/>
            <w:left w:val="none" w:sz="0" w:space="0" w:color="auto"/>
            <w:bottom w:val="none" w:sz="0" w:space="0" w:color="auto"/>
            <w:right w:val="none" w:sz="0" w:space="0" w:color="auto"/>
          </w:divBdr>
        </w:div>
        <w:div w:id="1236890189">
          <w:marLeft w:val="0"/>
          <w:marRight w:val="0"/>
          <w:marTop w:val="0"/>
          <w:marBottom w:val="0"/>
          <w:divBdr>
            <w:top w:val="none" w:sz="0" w:space="0" w:color="auto"/>
            <w:left w:val="none" w:sz="0" w:space="0" w:color="auto"/>
            <w:bottom w:val="none" w:sz="0" w:space="0" w:color="auto"/>
            <w:right w:val="none" w:sz="0" w:space="0" w:color="auto"/>
          </w:divBdr>
        </w:div>
      </w:divsChild>
    </w:div>
    <w:div w:id="664666752">
      <w:bodyDiv w:val="1"/>
      <w:marLeft w:val="0"/>
      <w:marRight w:val="0"/>
      <w:marTop w:val="0"/>
      <w:marBottom w:val="0"/>
      <w:divBdr>
        <w:top w:val="none" w:sz="0" w:space="0" w:color="auto"/>
        <w:left w:val="none" w:sz="0" w:space="0" w:color="auto"/>
        <w:bottom w:val="none" w:sz="0" w:space="0" w:color="auto"/>
        <w:right w:val="none" w:sz="0" w:space="0" w:color="auto"/>
      </w:divBdr>
    </w:div>
    <w:div w:id="775174026">
      <w:bodyDiv w:val="1"/>
      <w:marLeft w:val="0"/>
      <w:marRight w:val="0"/>
      <w:marTop w:val="0"/>
      <w:marBottom w:val="0"/>
      <w:divBdr>
        <w:top w:val="none" w:sz="0" w:space="0" w:color="auto"/>
        <w:left w:val="none" w:sz="0" w:space="0" w:color="auto"/>
        <w:bottom w:val="none" w:sz="0" w:space="0" w:color="auto"/>
        <w:right w:val="none" w:sz="0" w:space="0" w:color="auto"/>
      </w:divBdr>
      <w:divsChild>
        <w:div w:id="220600339">
          <w:marLeft w:val="0"/>
          <w:marRight w:val="0"/>
          <w:marTop w:val="0"/>
          <w:marBottom w:val="0"/>
          <w:divBdr>
            <w:top w:val="none" w:sz="0" w:space="0" w:color="auto"/>
            <w:left w:val="none" w:sz="0" w:space="0" w:color="auto"/>
            <w:bottom w:val="none" w:sz="0" w:space="0" w:color="auto"/>
            <w:right w:val="none" w:sz="0" w:space="0" w:color="auto"/>
          </w:divBdr>
          <w:divsChild>
            <w:div w:id="1445347506">
              <w:marLeft w:val="0"/>
              <w:marRight w:val="0"/>
              <w:marTop w:val="0"/>
              <w:marBottom w:val="0"/>
              <w:divBdr>
                <w:top w:val="none" w:sz="0" w:space="0" w:color="auto"/>
                <w:left w:val="none" w:sz="0" w:space="0" w:color="auto"/>
                <w:bottom w:val="none" w:sz="0" w:space="0" w:color="auto"/>
                <w:right w:val="none" w:sz="0" w:space="0" w:color="auto"/>
              </w:divBdr>
              <w:divsChild>
                <w:div w:id="16404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15506">
      <w:bodyDiv w:val="1"/>
      <w:marLeft w:val="0"/>
      <w:marRight w:val="0"/>
      <w:marTop w:val="0"/>
      <w:marBottom w:val="0"/>
      <w:divBdr>
        <w:top w:val="none" w:sz="0" w:space="0" w:color="auto"/>
        <w:left w:val="none" w:sz="0" w:space="0" w:color="auto"/>
        <w:bottom w:val="none" w:sz="0" w:space="0" w:color="auto"/>
        <w:right w:val="none" w:sz="0" w:space="0" w:color="auto"/>
      </w:divBdr>
      <w:divsChild>
        <w:div w:id="908072389">
          <w:marLeft w:val="0"/>
          <w:marRight w:val="0"/>
          <w:marTop w:val="0"/>
          <w:marBottom w:val="0"/>
          <w:divBdr>
            <w:top w:val="none" w:sz="0" w:space="0" w:color="auto"/>
            <w:left w:val="none" w:sz="0" w:space="0" w:color="auto"/>
            <w:bottom w:val="none" w:sz="0" w:space="0" w:color="auto"/>
            <w:right w:val="none" w:sz="0" w:space="0" w:color="auto"/>
          </w:divBdr>
          <w:divsChild>
            <w:div w:id="1290473761">
              <w:marLeft w:val="0"/>
              <w:marRight w:val="0"/>
              <w:marTop w:val="0"/>
              <w:marBottom w:val="0"/>
              <w:divBdr>
                <w:top w:val="none" w:sz="0" w:space="0" w:color="auto"/>
                <w:left w:val="none" w:sz="0" w:space="0" w:color="auto"/>
                <w:bottom w:val="none" w:sz="0" w:space="0" w:color="auto"/>
                <w:right w:val="none" w:sz="0" w:space="0" w:color="auto"/>
              </w:divBdr>
              <w:divsChild>
                <w:div w:id="18073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4552">
      <w:bodyDiv w:val="1"/>
      <w:marLeft w:val="0"/>
      <w:marRight w:val="0"/>
      <w:marTop w:val="0"/>
      <w:marBottom w:val="0"/>
      <w:divBdr>
        <w:top w:val="none" w:sz="0" w:space="0" w:color="auto"/>
        <w:left w:val="none" w:sz="0" w:space="0" w:color="auto"/>
        <w:bottom w:val="none" w:sz="0" w:space="0" w:color="auto"/>
        <w:right w:val="none" w:sz="0" w:space="0" w:color="auto"/>
      </w:divBdr>
      <w:divsChild>
        <w:div w:id="399209895">
          <w:marLeft w:val="0"/>
          <w:marRight w:val="0"/>
          <w:marTop w:val="0"/>
          <w:marBottom w:val="0"/>
          <w:divBdr>
            <w:top w:val="none" w:sz="0" w:space="0" w:color="auto"/>
            <w:left w:val="none" w:sz="0" w:space="0" w:color="auto"/>
            <w:bottom w:val="none" w:sz="0" w:space="0" w:color="auto"/>
            <w:right w:val="none" w:sz="0" w:space="0" w:color="auto"/>
          </w:divBdr>
          <w:divsChild>
            <w:div w:id="1762263427">
              <w:marLeft w:val="0"/>
              <w:marRight w:val="0"/>
              <w:marTop w:val="0"/>
              <w:marBottom w:val="0"/>
              <w:divBdr>
                <w:top w:val="none" w:sz="0" w:space="0" w:color="auto"/>
                <w:left w:val="none" w:sz="0" w:space="0" w:color="auto"/>
                <w:bottom w:val="none" w:sz="0" w:space="0" w:color="auto"/>
                <w:right w:val="none" w:sz="0" w:space="0" w:color="auto"/>
              </w:divBdr>
              <w:divsChild>
                <w:div w:id="12453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350">
      <w:bodyDiv w:val="1"/>
      <w:marLeft w:val="0"/>
      <w:marRight w:val="0"/>
      <w:marTop w:val="0"/>
      <w:marBottom w:val="0"/>
      <w:divBdr>
        <w:top w:val="none" w:sz="0" w:space="0" w:color="auto"/>
        <w:left w:val="none" w:sz="0" w:space="0" w:color="auto"/>
        <w:bottom w:val="none" w:sz="0" w:space="0" w:color="auto"/>
        <w:right w:val="none" w:sz="0" w:space="0" w:color="auto"/>
      </w:divBdr>
      <w:divsChild>
        <w:div w:id="435835421">
          <w:marLeft w:val="0"/>
          <w:marRight w:val="0"/>
          <w:marTop w:val="0"/>
          <w:marBottom w:val="0"/>
          <w:divBdr>
            <w:top w:val="none" w:sz="0" w:space="0" w:color="auto"/>
            <w:left w:val="none" w:sz="0" w:space="0" w:color="auto"/>
            <w:bottom w:val="none" w:sz="0" w:space="0" w:color="auto"/>
            <w:right w:val="none" w:sz="0" w:space="0" w:color="auto"/>
          </w:divBdr>
          <w:divsChild>
            <w:div w:id="408618639">
              <w:marLeft w:val="0"/>
              <w:marRight w:val="0"/>
              <w:marTop w:val="0"/>
              <w:marBottom w:val="0"/>
              <w:divBdr>
                <w:top w:val="none" w:sz="0" w:space="0" w:color="auto"/>
                <w:left w:val="none" w:sz="0" w:space="0" w:color="auto"/>
                <w:bottom w:val="none" w:sz="0" w:space="0" w:color="auto"/>
                <w:right w:val="none" w:sz="0" w:space="0" w:color="auto"/>
              </w:divBdr>
              <w:divsChild>
                <w:div w:id="15103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16572">
      <w:bodyDiv w:val="1"/>
      <w:marLeft w:val="0"/>
      <w:marRight w:val="0"/>
      <w:marTop w:val="0"/>
      <w:marBottom w:val="0"/>
      <w:divBdr>
        <w:top w:val="none" w:sz="0" w:space="0" w:color="auto"/>
        <w:left w:val="none" w:sz="0" w:space="0" w:color="auto"/>
        <w:bottom w:val="none" w:sz="0" w:space="0" w:color="auto"/>
        <w:right w:val="none" w:sz="0" w:space="0" w:color="auto"/>
      </w:divBdr>
      <w:divsChild>
        <w:div w:id="135806295">
          <w:marLeft w:val="0"/>
          <w:marRight w:val="0"/>
          <w:marTop w:val="0"/>
          <w:marBottom w:val="0"/>
          <w:divBdr>
            <w:top w:val="none" w:sz="0" w:space="0" w:color="auto"/>
            <w:left w:val="none" w:sz="0" w:space="0" w:color="auto"/>
            <w:bottom w:val="none" w:sz="0" w:space="0" w:color="auto"/>
            <w:right w:val="none" w:sz="0" w:space="0" w:color="auto"/>
          </w:divBdr>
        </w:div>
        <w:div w:id="411124473">
          <w:marLeft w:val="0"/>
          <w:marRight w:val="0"/>
          <w:marTop w:val="0"/>
          <w:marBottom w:val="0"/>
          <w:divBdr>
            <w:top w:val="none" w:sz="0" w:space="0" w:color="auto"/>
            <w:left w:val="none" w:sz="0" w:space="0" w:color="auto"/>
            <w:bottom w:val="none" w:sz="0" w:space="0" w:color="auto"/>
            <w:right w:val="none" w:sz="0" w:space="0" w:color="auto"/>
          </w:divBdr>
        </w:div>
        <w:div w:id="1455441755">
          <w:marLeft w:val="0"/>
          <w:marRight w:val="0"/>
          <w:marTop w:val="0"/>
          <w:marBottom w:val="0"/>
          <w:divBdr>
            <w:top w:val="none" w:sz="0" w:space="0" w:color="auto"/>
            <w:left w:val="none" w:sz="0" w:space="0" w:color="auto"/>
            <w:bottom w:val="none" w:sz="0" w:space="0" w:color="auto"/>
            <w:right w:val="none" w:sz="0" w:space="0" w:color="auto"/>
          </w:divBdr>
        </w:div>
      </w:divsChild>
    </w:div>
    <w:div w:id="1365249424">
      <w:bodyDiv w:val="1"/>
      <w:marLeft w:val="0"/>
      <w:marRight w:val="0"/>
      <w:marTop w:val="0"/>
      <w:marBottom w:val="0"/>
      <w:divBdr>
        <w:top w:val="none" w:sz="0" w:space="0" w:color="auto"/>
        <w:left w:val="none" w:sz="0" w:space="0" w:color="auto"/>
        <w:bottom w:val="none" w:sz="0" w:space="0" w:color="auto"/>
        <w:right w:val="none" w:sz="0" w:space="0" w:color="auto"/>
      </w:divBdr>
      <w:divsChild>
        <w:div w:id="165217829">
          <w:marLeft w:val="0"/>
          <w:marRight w:val="0"/>
          <w:marTop w:val="0"/>
          <w:marBottom w:val="0"/>
          <w:divBdr>
            <w:top w:val="none" w:sz="0" w:space="0" w:color="auto"/>
            <w:left w:val="none" w:sz="0" w:space="0" w:color="auto"/>
            <w:bottom w:val="none" w:sz="0" w:space="0" w:color="auto"/>
            <w:right w:val="none" w:sz="0" w:space="0" w:color="auto"/>
          </w:divBdr>
          <w:divsChild>
            <w:div w:id="974876587">
              <w:marLeft w:val="0"/>
              <w:marRight w:val="0"/>
              <w:marTop w:val="0"/>
              <w:marBottom w:val="0"/>
              <w:divBdr>
                <w:top w:val="none" w:sz="0" w:space="0" w:color="auto"/>
                <w:left w:val="none" w:sz="0" w:space="0" w:color="auto"/>
                <w:bottom w:val="none" w:sz="0" w:space="0" w:color="auto"/>
                <w:right w:val="none" w:sz="0" w:space="0" w:color="auto"/>
              </w:divBdr>
              <w:divsChild>
                <w:div w:id="1224415609">
                  <w:marLeft w:val="0"/>
                  <w:marRight w:val="0"/>
                  <w:marTop w:val="0"/>
                  <w:marBottom w:val="0"/>
                  <w:divBdr>
                    <w:top w:val="none" w:sz="0" w:space="0" w:color="auto"/>
                    <w:left w:val="none" w:sz="0" w:space="0" w:color="auto"/>
                    <w:bottom w:val="none" w:sz="0" w:space="0" w:color="auto"/>
                    <w:right w:val="none" w:sz="0" w:space="0" w:color="auto"/>
                  </w:divBdr>
                  <w:divsChild>
                    <w:div w:id="17429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03122">
      <w:bodyDiv w:val="1"/>
      <w:marLeft w:val="0"/>
      <w:marRight w:val="0"/>
      <w:marTop w:val="0"/>
      <w:marBottom w:val="0"/>
      <w:divBdr>
        <w:top w:val="none" w:sz="0" w:space="0" w:color="auto"/>
        <w:left w:val="none" w:sz="0" w:space="0" w:color="auto"/>
        <w:bottom w:val="none" w:sz="0" w:space="0" w:color="auto"/>
        <w:right w:val="none" w:sz="0" w:space="0" w:color="auto"/>
      </w:divBdr>
      <w:divsChild>
        <w:div w:id="688338099">
          <w:marLeft w:val="0"/>
          <w:marRight w:val="0"/>
          <w:marTop w:val="0"/>
          <w:marBottom w:val="0"/>
          <w:divBdr>
            <w:top w:val="none" w:sz="0" w:space="0" w:color="auto"/>
            <w:left w:val="none" w:sz="0" w:space="0" w:color="auto"/>
            <w:bottom w:val="none" w:sz="0" w:space="0" w:color="auto"/>
            <w:right w:val="none" w:sz="0" w:space="0" w:color="auto"/>
          </w:divBdr>
          <w:divsChild>
            <w:div w:id="223611395">
              <w:marLeft w:val="0"/>
              <w:marRight w:val="0"/>
              <w:marTop w:val="0"/>
              <w:marBottom w:val="0"/>
              <w:divBdr>
                <w:top w:val="none" w:sz="0" w:space="0" w:color="auto"/>
                <w:left w:val="none" w:sz="0" w:space="0" w:color="auto"/>
                <w:bottom w:val="none" w:sz="0" w:space="0" w:color="auto"/>
                <w:right w:val="none" w:sz="0" w:space="0" w:color="auto"/>
              </w:divBdr>
              <w:divsChild>
                <w:div w:id="46488577">
                  <w:marLeft w:val="0"/>
                  <w:marRight w:val="0"/>
                  <w:marTop w:val="0"/>
                  <w:marBottom w:val="0"/>
                  <w:divBdr>
                    <w:top w:val="none" w:sz="0" w:space="0" w:color="auto"/>
                    <w:left w:val="none" w:sz="0" w:space="0" w:color="auto"/>
                    <w:bottom w:val="none" w:sz="0" w:space="0" w:color="auto"/>
                    <w:right w:val="none" w:sz="0" w:space="0" w:color="auto"/>
                  </w:divBdr>
                </w:div>
                <w:div w:id="12222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957">
      <w:bodyDiv w:val="1"/>
      <w:marLeft w:val="0"/>
      <w:marRight w:val="0"/>
      <w:marTop w:val="0"/>
      <w:marBottom w:val="0"/>
      <w:divBdr>
        <w:top w:val="none" w:sz="0" w:space="0" w:color="auto"/>
        <w:left w:val="none" w:sz="0" w:space="0" w:color="auto"/>
        <w:bottom w:val="none" w:sz="0" w:space="0" w:color="auto"/>
        <w:right w:val="none" w:sz="0" w:space="0" w:color="auto"/>
      </w:divBdr>
      <w:divsChild>
        <w:div w:id="645085080">
          <w:marLeft w:val="0"/>
          <w:marRight w:val="0"/>
          <w:marTop w:val="0"/>
          <w:marBottom w:val="0"/>
          <w:divBdr>
            <w:top w:val="none" w:sz="0" w:space="0" w:color="auto"/>
            <w:left w:val="none" w:sz="0" w:space="0" w:color="auto"/>
            <w:bottom w:val="none" w:sz="0" w:space="0" w:color="auto"/>
            <w:right w:val="none" w:sz="0" w:space="0" w:color="auto"/>
          </w:divBdr>
          <w:divsChild>
            <w:div w:id="481848015">
              <w:marLeft w:val="0"/>
              <w:marRight w:val="0"/>
              <w:marTop w:val="0"/>
              <w:marBottom w:val="0"/>
              <w:divBdr>
                <w:top w:val="none" w:sz="0" w:space="0" w:color="auto"/>
                <w:left w:val="none" w:sz="0" w:space="0" w:color="auto"/>
                <w:bottom w:val="none" w:sz="0" w:space="0" w:color="auto"/>
                <w:right w:val="none" w:sz="0" w:space="0" w:color="auto"/>
              </w:divBdr>
              <w:divsChild>
                <w:div w:id="18335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5901">
      <w:bodyDiv w:val="1"/>
      <w:marLeft w:val="0"/>
      <w:marRight w:val="0"/>
      <w:marTop w:val="0"/>
      <w:marBottom w:val="0"/>
      <w:divBdr>
        <w:top w:val="none" w:sz="0" w:space="0" w:color="auto"/>
        <w:left w:val="none" w:sz="0" w:space="0" w:color="auto"/>
        <w:bottom w:val="none" w:sz="0" w:space="0" w:color="auto"/>
        <w:right w:val="none" w:sz="0" w:space="0" w:color="auto"/>
      </w:divBdr>
      <w:divsChild>
        <w:div w:id="920218461">
          <w:marLeft w:val="0"/>
          <w:marRight w:val="0"/>
          <w:marTop w:val="0"/>
          <w:marBottom w:val="0"/>
          <w:divBdr>
            <w:top w:val="none" w:sz="0" w:space="0" w:color="auto"/>
            <w:left w:val="none" w:sz="0" w:space="0" w:color="auto"/>
            <w:bottom w:val="none" w:sz="0" w:space="0" w:color="auto"/>
            <w:right w:val="none" w:sz="0" w:space="0" w:color="auto"/>
          </w:divBdr>
        </w:div>
        <w:div w:id="15211662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a.minambiente.it/it-IT/Comunicazione/DettaglioDirezione/184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12005</Words>
  <Characters>68433</Characters>
  <Application>Microsoft Office Word</Application>
  <DocSecurity>0</DocSecurity>
  <Lines>570</Lines>
  <Paragraphs>160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2</cp:revision>
  <cp:lastPrinted>2022-01-10T12:44:00Z</cp:lastPrinted>
  <dcterms:created xsi:type="dcterms:W3CDTF">2022-01-10T14:25:00Z</dcterms:created>
  <dcterms:modified xsi:type="dcterms:W3CDTF">2022-01-10T14:25:00Z</dcterms:modified>
</cp:coreProperties>
</file>