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3B5" w:rsidRPr="00D10C0F" w:rsidRDefault="00D833B5" w:rsidP="00306146">
      <w:pPr>
        <w:jc w:val="center"/>
        <w:rPr>
          <w:b/>
        </w:rPr>
      </w:pPr>
      <w:bookmarkStart w:id="0" w:name="_GoBack"/>
      <w:r w:rsidRPr="00306146">
        <w:rPr>
          <w:b/>
          <w:sz w:val="36"/>
          <w:szCs w:val="36"/>
        </w:rPr>
        <w:t xml:space="preserve">Il concorso tra norme amministrative e penali: il problema del </w:t>
      </w:r>
      <w:r w:rsidRPr="00306146">
        <w:rPr>
          <w:b/>
          <w:i/>
          <w:sz w:val="36"/>
          <w:szCs w:val="36"/>
        </w:rPr>
        <w:t>ne bis in idem</w:t>
      </w:r>
      <w:r w:rsidRPr="00306146">
        <w:rPr>
          <w:b/>
          <w:sz w:val="36"/>
          <w:szCs w:val="36"/>
        </w:rPr>
        <w:t xml:space="preserve"> alla luce della sentenza della Corte costituzionale n. 149 del 2022</w:t>
      </w:r>
      <w:r w:rsidR="00563527">
        <w:rPr>
          <w:b/>
        </w:rPr>
        <w:t xml:space="preserve"> </w:t>
      </w:r>
      <w:bookmarkEnd w:id="0"/>
      <w:r w:rsidR="00563527" w:rsidRPr="00563527">
        <w:rPr>
          <w:vertAlign w:val="superscript"/>
        </w:rPr>
        <w:t>(*)</w:t>
      </w:r>
    </w:p>
    <w:p w:rsidR="00D833B5" w:rsidRDefault="00D833B5" w:rsidP="007C0A0D">
      <w:pPr>
        <w:jc w:val="both"/>
      </w:pPr>
    </w:p>
    <w:p w:rsidR="004270F0" w:rsidRPr="00D10C0F" w:rsidRDefault="004270F0" w:rsidP="004270F0">
      <w:pPr>
        <w:pStyle w:val="Paragrafoelenco"/>
        <w:numPr>
          <w:ilvl w:val="0"/>
          <w:numId w:val="3"/>
        </w:numPr>
        <w:jc w:val="both"/>
        <w:rPr>
          <w:b/>
        </w:rPr>
      </w:pPr>
      <w:r w:rsidRPr="00D10C0F">
        <w:rPr>
          <w:b/>
        </w:rPr>
        <w:t>La questione devoluta ed il sindacato della Corte costituzionale.</w:t>
      </w:r>
    </w:p>
    <w:p w:rsidR="008A493B" w:rsidRPr="00B91020" w:rsidRDefault="003F005F" w:rsidP="000D17A1">
      <w:pPr>
        <w:jc w:val="both"/>
      </w:pPr>
      <w:r>
        <w:t>Il dubbio,</w:t>
      </w:r>
      <w:r w:rsidR="005F2386">
        <w:t xml:space="preserve"> </w:t>
      </w:r>
      <w:r>
        <w:t xml:space="preserve">sollevato </w:t>
      </w:r>
      <w:r w:rsidR="005F2386">
        <w:t xml:space="preserve">dal </w:t>
      </w:r>
      <w:hyperlink r:id="rId8" w:tooltip="Cons. St., sez. VI, ordinanza 7 gennaio 2022, n. 68" w:history="1">
        <w:r w:rsidR="008A493B" w:rsidRPr="00B91020">
          <w:t>Cons</w:t>
        </w:r>
        <w:r w:rsidR="008A493B">
          <w:t>iglio di Stato</w:t>
        </w:r>
        <w:r>
          <w:t>, riguarda</w:t>
        </w:r>
        <w:r w:rsidR="008A493B" w:rsidRPr="00B91020">
          <w:t xml:space="preserve"> </w:t>
        </w:r>
      </w:hyperlink>
      <w:r>
        <w:t>la</w:t>
      </w:r>
      <w:r w:rsidR="008A493B">
        <w:t xml:space="preserve"> costituzion</w:t>
      </w:r>
      <w:r>
        <w:t>alità</w:t>
      </w:r>
      <w:r w:rsidR="008A493B">
        <w:t xml:space="preserve"> </w:t>
      </w:r>
      <w:r>
        <w:t>de</w:t>
      </w:r>
      <w:r w:rsidR="00BE39A5">
        <w:t xml:space="preserve">l cumulo di procedimenti e di sanzioni derivante </w:t>
      </w:r>
      <w:r w:rsidR="008A493B" w:rsidRPr="00B91020">
        <w:t>d</w:t>
      </w:r>
      <w:r w:rsidR="00BE39A5">
        <w:t>a</w:t>
      </w:r>
      <w:r w:rsidR="008A493B" w:rsidRPr="00B91020">
        <w:t>l</w:t>
      </w:r>
      <w:r>
        <w:t xml:space="preserve"> combinato disposto </w:t>
      </w:r>
      <w:r w:rsidR="00BE39A5">
        <w:t xml:space="preserve">degli </w:t>
      </w:r>
      <w:r w:rsidR="008A493B" w:rsidRPr="00B91020">
        <w:t>ar</w:t>
      </w:r>
      <w:r w:rsidR="00BE39A5">
        <w:t>t</w:t>
      </w:r>
      <w:r w:rsidR="008A493B" w:rsidRPr="00B91020">
        <w:t>t. 174-</w:t>
      </w:r>
      <w:r w:rsidR="008A493B" w:rsidRPr="002E022A">
        <w:rPr>
          <w:i/>
        </w:rPr>
        <w:t>bis</w:t>
      </w:r>
      <w:r w:rsidR="008A493B" w:rsidRPr="00B91020">
        <w:t xml:space="preserve"> </w:t>
      </w:r>
      <w:r w:rsidR="00BE39A5">
        <w:t xml:space="preserve">e </w:t>
      </w:r>
      <w:r w:rsidR="00BE39A5" w:rsidRPr="00B91020">
        <w:t>174-</w:t>
      </w:r>
      <w:r w:rsidR="00BE39A5">
        <w:rPr>
          <w:i/>
        </w:rPr>
        <w:t>ter</w:t>
      </w:r>
      <w:r w:rsidR="00BE39A5" w:rsidRPr="00B91020">
        <w:t xml:space="preserve"> </w:t>
      </w:r>
      <w:r w:rsidR="008A493B" w:rsidRPr="00B91020">
        <w:t>della legge n. 633 del 1941</w:t>
      </w:r>
      <w:r w:rsidR="008A493B">
        <w:t xml:space="preserve"> che, in tema di </w:t>
      </w:r>
      <w:r w:rsidR="008A493B" w:rsidRPr="00791720">
        <w:t>pratiche commerciali scorrette,</w:t>
      </w:r>
      <w:r w:rsidR="008A493B" w:rsidRPr="00B91020">
        <w:t xml:space="preserve"> </w:t>
      </w:r>
      <w:r w:rsidR="000D17A1">
        <w:t>consent</w:t>
      </w:r>
      <w:r w:rsidR="005F2386">
        <w:t>e</w:t>
      </w:r>
      <w:r w:rsidR="008A493B">
        <w:t xml:space="preserve"> </w:t>
      </w:r>
      <w:r w:rsidR="00680AE7">
        <w:t xml:space="preserve">lo svolgimento di due procedimenti e </w:t>
      </w:r>
      <w:r w:rsidR="00561D0F">
        <w:t xml:space="preserve">l’irrogazione di </w:t>
      </w:r>
      <w:r w:rsidR="00680AE7">
        <w:t>due</w:t>
      </w:r>
      <w:r w:rsidR="008A493B" w:rsidRPr="00B91020">
        <w:t xml:space="preserve"> sanzion</w:t>
      </w:r>
      <w:r w:rsidR="00680AE7">
        <w:t>i,</w:t>
      </w:r>
      <w:r w:rsidR="008A493B" w:rsidRPr="00B91020">
        <w:t xml:space="preserve"> </w:t>
      </w:r>
      <w:r w:rsidR="00680AE7">
        <w:t xml:space="preserve">una </w:t>
      </w:r>
      <w:r w:rsidR="005F2386">
        <w:t>penale</w:t>
      </w:r>
      <w:r w:rsidR="00680AE7">
        <w:t xml:space="preserve"> e</w:t>
      </w:r>
      <w:r w:rsidR="005F2386">
        <w:t>d una</w:t>
      </w:r>
      <w:r w:rsidR="005F2386" w:rsidRPr="00B91020">
        <w:t xml:space="preserve"> </w:t>
      </w:r>
      <w:r w:rsidR="008A493B" w:rsidRPr="00B91020">
        <w:t xml:space="preserve">amministrativa </w:t>
      </w:r>
      <w:r w:rsidR="000D17A1">
        <w:t>“sostanzialmente penale”, in violazione de</w:t>
      </w:r>
      <w:r w:rsidR="008A493B">
        <w:t>l divieto di essere giudicato o punito due volte per lo stesso reato</w:t>
      </w:r>
      <w:r w:rsidR="005F2386" w:rsidRPr="005F2386">
        <w:rPr>
          <w:rStyle w:val="Rimandonotaapidipagina"/>
        </w:rPr>
        <w:footnoteReference w:id="1"/>
      </w:r>
      <w:r w:rsidR="00100FB1">
        <w:t>.</w:t>
      </w:r>
    </w:p>
    <w:p w:rsidR="00680AE7" w:rsidRPr="006E2B41" w:rsidRDefault="00680AE7" w:rsidP="00680AE7">
      <w:pPr>
        <w:spacing w:after="120"/>
        <w:jc w:val="both"/>
      </w:pPr>
      <w:r>
        <w:t>La garanzia de</w:t>
      </w:r>
      <w:r w:rsidRPr="006E2B41">
        <w:t xml:space="preserve">l </w:t>
      </w:r>
      <w:r w:rsidRPr="00FA20E7">
        <w:rPr>
          <w:i/>
        </w:rPr>
        <w:t xml:space="preserve">ne bis in idem </w:t>
      </w:r>
      <w:r w:rsidRPr="006E2B41">
        <w:t xml:space="preserve">è </w:t>
      </w:r>
      <w:r>
        <w:t>contempla</w:t>
      </w:r>
      <w:r w:rsidRPr="006E2B41">
        <w:t>t</w:t>
      </w:r>
      <w:r>
        <w:t>a</w:t>
      </w:r>
      <w:r w:rsidRPr="006E2B41">
        <w:t xml:space="preserve"> </w:t>
      </w:r>
      <w:r>
        <w:t>a</w:t>
      </w:r>
      <w:r w:rsidRPr="006E2B41">
        <w:t>ll’art. 50 della Carta di Nizza</w:t>
      </w:r>
      <w:r>
        <w:t xml:space="preserve"> ed</w:t>
      </w:r>
      <w:r w:rsidRPr="006E2B41">
        <w:t xml:space="preserve"> </w:t>
      </w:r>
      <w:r>
        <w:t>a</w:t>
      </w:r>
      <w:r w:rsidRPr="006E2B41">
        <w:t xml:space="preserve">ll’art. 4 del </w:t>
      </w:r>
      <w:r>
        <w:t>P</w:t>
      </w:r>
      <w:r w:rsidRPr="006E2B41">
        <w:t>rotocollo n. 7</w:t>
      </w:r>
      <w:r w:rsidR="008F36C1">
        <w:t>,</w:t>
      </w:r>
      <w:r w:rsidRPr="006E2B41">
        <w:t xml:space="preserve"> </w:t>
      </w:r>
      <w:r w:rsidR="008F36C1">
        <w:t xml:space="preserve">§ 1, </w:t>
      </w:r>
      <w:r w:rsidRPr="006E2B41">
        <w:t xml:space="preserve">della Convenzione Europea, </w:t>
      </w:r>
      <w:r>
        <w:t>con norme sostanzialmente sovrapponibili,</w:t>
      </w:r>
      <w:r w:rsidRPr="006E2B41">
        <w:t xml:space="preserve"> che affermano il principio </w:t>
      </w:r>
      <w:r>
        <w:t>secondo cui</w:t>
      </w:r>
      <w:r w:rsidRPr="006E2B41">
        <w:t xml:space="preserve"> nessuno può essere perseguito (cioè</w:t>
      </w:r>
      <w:r>
        <w:t>,</w:t>
      </w:r>
      <w:r w:rsidRPr="006E2B41">
        <w:t xml:space="preserve"> processato) o condannato (cioè</w:t>
      </w:r>
      <w:r>
        <w:t>,</w:t>
      </w:r>
      <w:r w:rsidRPr="006E2B41">
        <w:t xml:space="preserve"> punito) per un reato per il quale è già stato assolto o condannato conformemente alla legge.</w:t>
      </w:r>
    </w:p>
    <w:p w:rsidR="00680AE7" w:rsidRDefault="00680AE7" w:rsidP="00680AE7">
      <w:pPr>
        <w:spacing w:after="120"/>
        <w:jc w:val="both"/>
      </w:pPr>
      <w:r>
        <w:t>I</w:t>
      </w:r>
      <w:r w:rsidRPr="006E2B41">
        <w:t xml:space="preserve">l principio </w:t>
      </w:r>
      <w:r>
        <w:t xml:space="preserve">ha una duplice connotazione, </w:t>
      </w:r>
      <w:r w:rsidRPr="006E2B41">
        <w:t>sostanziale</w:t>
      </w:r>
      <w:r>
        <w:t xml:space="preserve"> e processuale</w:t>
      </w:r>
      <w:r w:rsidRPr="00F041CA">
        <w:t xml:space="preserve"> </w:t>
      </w:r>
      <w:r>
        <w:t>insieme</w:t>
      </w:r>
      <w:r>
        <w:rPr>
          <w:rStyle w:val="Rimandonotaapidipagina"/>
        </w:rPr>
        <w:footnoteReference w:id="2"/>
      </w:r>
      <w:r>
        <w:t>.</w:t>
      </w:r>
    </w:p>
    <w:p w:rsidR="00680AE7" w:rsidRDefault="00680AE7" w:rsidP="00680AE7">
      <w:pPr>
        <w:spacing w:after="120"/>
        <w:jc w:val="both"/>
      </w:pPr>
      <w:r>
        <w:t>Sotto il primo profilo</w:t>
      </w:r>
      <w:r w:rsidRPr="006E2B41">
        <w:t xml:space="preserve">, </w:t>
      </w:r>
      <w:r>
        <w:t xml:space="preserve">esso </w:t>
      </w:r>
      <w:r w:rsidRPr="006E2B41">
        <w:t>è ispirato dall</w:t>
      </w:r>
      <w:r>
        <w:t>’</w:t>
      </w:r>
      <w:r w:rsidRPr="006E2B41">
        <w:t>esigenza di garantire la proporzionalità/equità del trattamento punitivo, evita</w:t>
      </w:r>
      <w:r>
        <w:t>ndo, attraverso più processi o procedimenti,</w:t>
      </w:r>
      <w:r w:rsidRPr="006E2B41">
        <w:t xml:space="preserve"> la duplicazione della sanzione per il medesimo fatto illecito addebitato allo stesso soggetto</w:t>
      </w:r>
      <w:r>
        <w:t>; sotto il secondo</w:t>
      </w:r>
      <w:r w:rsidRPr="006E2B41">
        <w:t>, è i</w:t>
      </w:r>
      <w:r>
        <w:t>spir</w:t>
      </w:r>
      <w:r w:rsidRPr="006E2B41">
        <w:t xml:space="preserve">ato </w:t>
      </w:r>
      <w:r>
        <w:t>da</w:t>
      </w:r>
      <w:r w:rsidRPr="006E2B41">
        <w:t>lla necessità di evitare la duplicazione</w:t>
      </w:r>
      <w:r>
        <w:t>,</w:t>
      </w:r>
      <w:r w:rsidRPr="006E2B41">
        <w:t xml:space="preserve"> </w:t>
      </w:r>
      <w:r>
        <w:t>ed anche la potenziale antinomia, tra</w:t>
      </w:r>
      <w:r w:rsidRPr="006E2B41">
        <w:t xml:space="preserve"> giudizi.</w:t>
      </w:r>
    </w:p>
    <w:p w:rsidR="008A493B" w:rsidRDefault="00680AE7" w:rsidP="002E022A">
      <w:pPr>
        <w:jc w:val="both"/>
      </w:pPr>
      <w:r>
        <w:t>Preliminarmente</w:t>
      </w:r>
      <w:r w:rsidR="00D833B5">
        <w:t xml:space="preserve">, </w:t>
      </w:r>
      <w:r w:rsidR="007C0A0D">
        <w:t xml:space="preserve">la Corte </w:t>
      </w:r>
      <w:r w:rsidR="002E022A">
        <w:t xml:space="preserve">costituzionale ha dovuto </w:t>
      </w:r>
      <w:r>
        <w:t>risolvere</w:t>
      </w:r>
      <w:r w:rsidR="003B1179">
        <w:t xml:space="preserve"> </w:t>
      </w:r>
      <w:r w:rsidR="008A493B">
        <w:t>una questione di rito</w:t>
      </w:r>
      <w:r w:rsidR="002E022A">
        <w:t xml:space="preserve">, </w:t>
      </w:r>
      <w:r w:rsidR="001250BD">
        <w:t>insorta</w:t>
      </w:r>
      <w:r w:rsidR="002E022A">
        <w:t xml:space="preserve"> </w:t>
      </w:r>
      <w:r>
        <w:t>per il fatto che</w:t>
      </w:r>
      <w:r w:rsidR="002E022A">
        <w:t xml:space="preserve"> i</w:t>
      </w:r>
      <w:r w:rsidR="008A493B">
        <w:t xml:space="preserve">l parametro di legittimità </w:t>
      </w:r>
      <w:r w:rsidR="002E022A">
        <w:t xml:space="preserve">invocato </w:t>
      </w:r>
      <w:r w:rsidR="007C0A0D">
        <w:t xml:space="preserve">è </w:t>
      </w:r>
      <w:r w:rsidR="002E022A">
        <w:t>rappresenta</w:t>
      </w:r>
      <w:r w:rsidR="008A493B">
        <w:t xml:space="preserve">to da una norma </w:t>
      </w:r>
      <w:r>
        <w:t xml:space="preserve">euro-unitaria </w:t>
      </w:r>
      <w:r w:rsidR="008A493B" w:rsidRPr="00B91020">
        <w:t>avente effetto diretto</w:t>
      </w:r>
      <w:r w:rsidR="008A493B">
        <w:t xml:space="preserve"> sull’ordinamento nazionale, </w:t>
      </w:r>
      <w:r w:rsidR="002E022A">
        <w:t>la qual</w:t>
      </w:r>
      <w:r w:rsidR="008A493B">
        <w:t xml:space="preserve">e </w:t>
      </w:r>
      <w:r w:rsidR="002E022A">
        <w:t xml:space="preserve">già di per sé </w:t>
      </w:r>
      <w:r w:rsidR="007C0A0D">
        <w:t>obblig</w:t>
      </w:r>
      <w:r w:rsidR="008A493B">
        <w:t>a</w:t>
      </w:r>
      <w:r w:rsidR="007C0A0D">
        <w:t xml:space="preserve"> i</w:t>
      </w:r>
      <w:r w:rsidR="008A493B">
        <w:t xml:space="preserve">l giudice </w:t>
      </w:r>
      <w:r w:rsidR="002E022A">
        <w:t xml:space="preserve">comune </w:t>
      </w:r>
      <w:r w:rsidR="008A493B">
        <w:t>a disapplica</w:t>
      </w:r>
      <w:r w:rsidR="007C0A0D">
        <w:t>r</w:t>
      </w:r>
      <w:r w:rsidR="008A493B">
        <w:t>e l</w:t>
      </w:r>
      <w:r w:rsidR="002E022A">
        <w:t>a</w:t>
      </w:r>
      <w:r w:rsidR="008A493B">
        <w:t xml:space="preserve"> disposizion</w:t>
      </w:r>
      <w:r w:rsidR="002E022A">
        <w:t>e</w:t>
      </w:r>
      <w:r w:rsidR="008A493B">
        <w:t xml:space="preserve"> intern</w:t>
      </w:r>
      <w:r w:rsidR="002E022A">
        <w:t>a</w:t>
      </w:r>
      <w:r w:rsidR="008A493B">
        <w:t xml:space="preserve"> </w:t>
      </w:r>
      <w:r w:rsidR="00225732">
        <w:t xml:space="preserve">ritenuta </w:t>
      </w:r>
      <w:r w:rsidR="008A493B">
        <w:t xml:space="preserve">in contrasto e </w:t>
      </w:r>
      <w:r w:rsidR="007C0A0D">
        <w:t xml:space="preserve">ad </w:t>
      </w:r>
      <w:r w:rsidR="008A493B">
        <w:t>applica</w:t>
      </w:r>
      <w:r w:rsidR="007C0A0D">
        <w:t>re direttam</w:t>
      </w:r>
      <w:r w:rsidR="008A493B">
        <w:t>e</w:t>
      </w:r>
      <w:r w:rsidR="007C0A0D">
        <w:t xml:space="preserve">nte </w:t>
      </w:r>
      <w:r w:rsidR="008A493B">
        <w:t>la norma pattizia</w:t>
      </w:r>
      <w:r w:rsidR="00AF3DE2">
        <w:rPr>
          <w:rStyle w:val="Rimandonotaapidipagina"/>
        </w:rPr>
        <w:footnoteReference w:id="3"/>
      </w:r>
      <w:r w:rsidR="008A493B">
        <w:t>.</w:t>
      </w:r>
    </w:p>
    <w:p w:rsidR="008A493B" w:rsidRDefault="002E022A" w:rsidP="007C0A0D">
      <w:pPr>
        <w:jc w:val="both"/>
      </w:pPr>
      <w:r>
        <w:t>Sul punto</w:t>
      </w:r>
      <w:r w:rsidR="008A493B">
        <w:t xml:space="preserve">, la </w:t>
      </w:r>
      <w:r w:rsidR="008A493B" w:rsidRPr="00B91020">
        <w:t>C</w:t>
      </w:r>
      <w:r w:rsidR="008A493B">
        <w:t xml:space="preserve">orte </w:t>
      </w:r>
      <w:r>
        <w:t xml:space="preserve">ha </w:t>
      </w:r>
      <w:r w:rsidR="004270F0">
        <w:t>esclu</w:t>
      </w:r>
      <w:r>
        <w:t>so</w:t>
      </w:r>
      <w:r w:rsidR="008A493B">
        <w:t xml:space="preserve"> che</w:t>
      </w:r>
      <w:r w:rsidR="00FA20E7">
        <w:t>, in materia di</w:t>
      </w:r>
      <w:r w:rsidR="00FA20E7" w:rsidRPr="00FA20E7">
        <w:t xml:space="preserve"> </w:t>
      </w:r>
      <w:r w:rsidR="00FA20E7" w:rsidRPr="00B91020">
        <w:t>di</w:t>
      </w:r>
      <w:r w:rsidR="00FA20E7">
        <w:t>ritti fondamentali,</w:t>
      </w:r>
      <w:r w:rsidR="008A493B">
        <w:t xml:space="preserve"> </w:t>
      </w:r>
      <w:r w:rsidR="0072122B">
        <w:t>i</w:t>
      </w:r>
      <w:r w:rsidR="008A493B">
        <w:t xml:space="preserve"> </w:t>
      </w:r>
      <w:r w:rsidR="00AF3DE2">
        <w:t>rimedi</w:t>
      </w:r>
      <w:r w:rsidR="0072122B">
        <w:t xml:space="preserve"> del </w:t>
      </w:r>
      <w:r w:rsidR="00AF3DE2" w:rsidRPr="00B91020">
        <w:t xml:space="preserve">sindacato accentrato </w:t>
      </w:r>
      <w:r w:rsidR="00AF3DE2">
        <w:t>e del sindacato diffuso</w:t>
      </w:r>
      <w:r w:rsidR="00AF3DE2" w:rsidRPr="00B91020">
        <w:t xml:space="preserve"> di costituzionalità</w:t>
      </w:r>
      <w:r w:rsidR="00AF3DE2">
        <w:t xml:space="preserve"> siano tra loro incompatibili</w:t>
      </w:r>
      <w:r w:rsidR="008A493B">
        <w:t>,</w:t>
      </w:r>
      <w:r w:rsidR="007C0A0D">
        <w:t xml:space="preserve"> </w:t>
      </w:r>
      <w:r w:rsidR="00AF3DE2">
        <w:t>valendo</w:t>
      </w:r>
      <w:r w:rsidR="0072122B">
        <w:t xml:space="preserve"> </w:t>
      </w:r>
      <w:r w:rsidR="00AF3DE2">
        <w:t xml:space="preserve">piuttosto </w:t>
      </w:r>
      <w:r w:rsidR="007C0A0D">
        <w:t xml:space="preserve">la </w:t>
      </w:r>
      <w:r w:rsidR="00AF3DE2">
        <w:t xml:space="preserve">regola </w:t>
      </w:r>
      <w:r w:rsidR="000541FC">
        <w:t xml:space="preserve">opposta </w:t>
      </w:r>
      <w:r w:rsidR="00AF3DE2">
        <w:t>della concorrenza</w:t>
      </w:r>
      <w:r w:rsidR="007C0A0D">
        <w:t xml:space="preserve"> </w:t>
      </w:r>
      <w:r w:rsidR="00AF3DE2">
        <w:t>tra le</w:t>
      </w:r>
      <w:r w:rsidR="008A493B" w:rsidRPr="00B91020">
        <w:t xml:space="preserve"> </w:t>
      </w:r>
      <w:r w:rsidR="00AF3DE2">
        <w:t xml:space="preserve">varie forme </w:t>
      </w:r>
      <w:r w:rsidR="008A493B" w:rsidRPr="00B91020">
        <w:t>di tutela</w:t>
      </w:r>
      <w:r w:rsidR="003B1179">
        <w:t xml:space="preserve">, </w:t>
      </w:r>
      <w:r w:rsidR="00AF3DE2">
        <w:t>essendo</w:t>
      </w:r>
      <w:r w:rsidR="00FA20E7">
        <w:t>,</w:t>
      </w:r>
      <w:r w:rsidR="00AF3DE2">
        <w:t xml:space="preserve"> tanto</w:t>
      </w:r>
      <w:r w:rsidR="007C0A0D" w:rsidRPr="00B91020">
        <w:t xml:space="preserve"> il giudice comune quanto </w:t>
      </w:r>
      <w:r w:rsidR="007C0A0D">
        <w:t>il giudice</w:t>
      </w:r>
      <w:r w:rsidR="007C0A0D" w:rsidRPr="00B91020">
        <w:t xml:space="preserve"> </w:t>
      </w:r>
      <w:r w:rsidR="007C0A0D">
        <w:t>cos</w:t>
      </w:r>
      <w:r w:rsidR="007C0A0D" w:rsidRPr="00B91020">
        <w:t>t</w:t>
      </w:r>
      <w:r w:rsidR="007C0A0D">
        <w:t>ituzional</w:t>
      </w:r>
      <w:r w:rsidR="007C0A0D" w:rsidRPr="00B91020">
        <w:t>e</w:t>
      </w:r>
      <w:r w:rsidR="0072122B">
        <w:t>,</w:t>
      </w:r>
      <w:r w:rsidR="003B1179">
        <w:t xml:space="preserve"> </w:t>
      </w:r>
      <w:r w:rsidR="007C0A0D">
        <w:t>“</w:t>
      </w:r>
      <w:r w:rsidR="007C0A0D" w:rsidRPr="00B91020">
        <w:t>impegnati a dare attuazione al diritto dell’Unione europea nell’ordinamento italiano, ciascuno con i propri strumenti e ciascuno nell’ambito delle rispettive competenze</w:t>
      </w:r>
      <w:r w:rsidR="007C0A0D">
        <w:t>”</w:t>
      </w:r>
      <w:r w:rsidR="00561D0F">
        <w:rPr>
          <w:rStyle w:val="Rimandonotaapidipagina"/>
        </w:rPr>
        <w:footnoteReference w:id="4"/>
      </w:r>
      <w:r w:rsidR="007C0A0D">
        <w:t>.</w:t>
      </w:r>
    </w:p>
    <w:p w:rsidR="008A493B" w:rsidRPr="00B91020" w:rsidRDefault="00680AE7" w:rsidP="007C0A0D">
      <w:pPr>
        <w:jc w:val="both"/>
      </w:pPr>
      <w:r>
        <w:t>Nel merito</w:t>
      </w:r>
      <w:r w:rsidR="008A493B" w:rsidRPr="00B91020">
        <w:t xml:space="preserve">, la Corte costituzionale </w:t>
      </w:r>
      <w:r w:rsidR="001250BD">
        <w:t xml:space="preserve">ha </w:t>
      </w:r>
      <w:r w:rsidR="00FA20E7">
        <w:t>premesso</w:t>
      </w:r>
      <w:r w:rsidR="00D10C0F">
        <w:t xml:space="preserve"> </w:t>
      </w:r>
      <w:r w:rsidR="008A493B" w:rsidRPr="00B91020">
        <w:t xml:space="preserve">che la garanzia convenzionale del </w:t>
      </w:r>
      <w:r w:rsidR="008A493B" w:rsidRPr="003D0F34">
        <w:rPr>
          <w:i/>
        </w:rPr>
        <w:t>ne bis in idem</w:t>
      </w:r>
      <w:r w:rsidR="008A493B" w:rsidRPr="00B91020">
        <w:t xml:space="preserve"> mira a tutelare </w:t>
      </w:r>
      <w:r>
        <w:t>il soggetto,</w:t>
      </w:r>
      <w:r w:rsidR="008A493B" w:rsidRPr="00B91020">
        <w:t xml:space="preserve"> </w:t>
      </w:r>
      <w:r w:rsidR="001250BD" w:rsidRPr="00B91020">
        <w:t>non sol</w:t>
      </w:r>
      <w:r w:rsidR="000541FC">
        <w:t>tant</w:t>
      </w:r>
      <w:r w:rsidR="001250BD" w:rsidRPr="00B91020">
        <w:t xml:space="preserve">o </w:t>
      </w:r>
      <w:r w:rsidR="008A493B" w:rsidRPr="00B91020">
        <w:t>contro la prospettiva di una seconda pena, ma</w:t>
      </w:r>
      <w:r w:rsidR="003D0F34">
        <w:t>,</w:t>
      </w:r>
      <w:r w:rsidR="008A493B" w:rsidRPr="00B91020">
        <w:t xml:space="preserve"> ancor prima</w:t>
      </w:r>
      <w:r w:rsidR="003D0F34">
        <w:t>,</w:t>
      </w:r>
      <w:r w:rsidR="008A493B" w:rsidRPr="00B91020">
        <w:t xml:space="preserve"> contro la prospettiva di un secondo processo</w:t>
      </w:r>
      <w:r w:rsidR="000541FC">
        <w:t>/procedimento</w:t>
      </w:r>
      <w:r w:rsidR="008A493B" w:rsidRPr="00B91020">
        <w:t xml:space="preserve"> per il medesimo fatto</w:t>
      </w:r>
      <w:r w:rsidR="000541FC">
        <w:t>,</w:t>
      </w:r>
      <w:r w:rsidR="008A493B" w:rsidRPr="00B91020">
        <w:t xml:space="preserve"> e ciò a prescindere dall’esito del primo, che potrebbe essersi concluso </w:t>
      </w:r>
      <w:r w:rsidR="001250BD" w:rsidRPr="00B91020">
        <w:t xml:space="preserve">anche </w:t>
      </w:r>
      <w:r w:rsidR="00F041CA">
        <w:t>con un’assoluzione: l</w:t>
      </w:r>
      <w:r w:rsidR="008A493B" w:rsidRPr="00B91020">
        <w:t xml:space="preserve">a </w:t>
      </w:r>
      <w:r w:rsidR="008A493B" w:rsidRPr="003D0F34">
        <w:rPr>
          <w:i/>
        </w:rPr>
        <w:t>ratio</w:t>
      </w:r>
      <w:r w:rsidR="008A493B" w:rsidRPr="00B91020">
        <w:t xml:space="preserve"> è </w:t>
      </w:r>
      <w:r w:rsidR="001250BD">
        <w:t xml:space="preserve">infatti </w:t>
      </w:r>
      <w:r w:rsidR="008A493B" w:rsidRPr="00B91020">
        <w:t>quella di evit</w:t>
      </w:r>
      <w:r w:rsidR="001250BD">
        <w:t>are l’ulteriore sofferenza</w:t>
      </w:r>
      <w:r w:rsidR="008A493B" w:rsidRPr="00B91020">
        <w:t xml:space="preserve"> e</w:t>
      </w:r>
      <w:r w:rsidR="001250BD">
        <w:t>d i costi economici</w:t>
      </w:r>
      <w:r w:rsidR="008A493B" w:rsidRPr="00B91020">
        <w:t xml:space="preserve"> determinati da un nuovo processo</w:t>
      </w:r>
      <w:r w:rsidR="000541FC">
        <w:t>/procedimento,</w:t>
      </w:r>
      <w:r w:rsidR="008A493B" w:rsidRPr="00B91020">
        <w:t xml:space="preserve"> in relazione a fatti per i quali quella persona sia già stata giudicata. </w:t>
      </w:r>
    </w:p>
    <w:p w:rsidR="008A493B" w:rsidRPr="00B91020" w:rsidRDefault="008A493B" w:rsidP="007C0A0D">
      <w:pPr>
        <w:jc w:val="both"/>
      </w:pPr>
      <w:r w:rsidRPr="00B91020">
        <w:t xml:space="preserve">Il </w:t>
      </w:r>
      <w:r w:rsidRPr="003D0F34">
        <w:rPr>
          <w:i/>
        </w:rPr>
        <w:t>ne bis in idem</w:t>
      </w:r>
      <w:r w:rsidRPr="00B91020">
        <w:t xml:space="preserve"> non si oppone, invece, alla possibilità che l’imputato sia sottoposto, in esito a</w:t>
      </w:r>
      <w:r w:rsidR="00D10C0F">
        <w:t>l</w:t>
      </w:r>
      <w:r w:rsidRPr="00B91020">
        <w:t xml:space="preserve"> medesimo procedimento, a due o più sanzioni distinte per il medesimo fatto (ad esempio, a pene detentive, pecuniarie </w:t>
      </w:r>
      <w:r w:rsidRPr="00B91020">
        <w:lastRenderedPageBreak/>
        <w:t>e</w:t>
      </w:r>
      <w:r w:rsidR="003D0F34">
        <w:t xml:space="preserve">d </w:t>
      </w:r>
      <w:proofErr w:type="spellStart"/>
      <w:r w:rsidRPr="00B91020">
        <w:t>interdittive</w:t>
      </w:r>
      <w:proofErr w:type="spellEnd"/>
      <w:r w:rsidRPr="00B91020">
        <w:t xml:space="preserve">), ferma </w:t>
      </w:r>
      <w:r w:rsidR="00BD3474">
        <w:t>restando il rispetto</w:t>
      </w:r>
      <w:r w:rsidRPr="00B91020">
        <w:t xml:space="preserve"> d</w:t>
      </w:r>
      <w:r w:rsidR="00BD3474">
        <w:t>e</w:t>
      </w:r>
      <w:r w:rsidRPr="00B91020">
        <w:t xml:space="preserve">lla </w:t>
      </w:r>
      <w:r w:rsidR="00BD3474">
        <w:t xml:space="preserve">regola di </w:t>
      </w:r>
      <w:r w:rsidRPr="00B91020">
        <w:t>proporzionalità della pena</w:t>
      </w:r>
      <w:r w:rsidR="003D0F34">
        <w:t xml:space="preserve"> complessiva</w:t>
      </w:r>
      <w:r w:rsidRPr="00B91020">
        <w:t xml:space="preserve">, </w:t>
      </w:r>
      <w:r w:rsidR="00BD3474">
        <w:t>sancito</w:t>
      </w:r>
      <w:r w:rsidR="00524B46">
        <w:t xml:space="preserve"> d</w:t>
      </w:r>
      <w:r w:rsidR="00BD3474">
        <w:t>a</w:t>
      </w:r>
      <w:r w:rsidRPr="00B91020">
        <w:t xml:space="preserve">gli artt. 3 e 27 </w:t>
      </w:r>
      <w:proofErr w:type="spellStart"/>
      <w:r w:rsidRPr="00B91020">
        <w:t>Cost</w:t>
      </w:r>
      <w:proofErr w:type="spellEnd"/>
      <w:r w:rsidRPr="00B91020">
        <w:t xml:space="preserve">. e </w:t>
      </w:r>
      <w:r w:rsidR="00524B46">
        <w:t>d</w:t>
      </w:r>
      <w:r w:rsidR="00BD3474">
        <w:t>a</w:t>
      </w:r>
      <w:r w:rsidRPr="00B91020">
        <w:t xml:space="preserve">ll’art. 49, </w:t>
      </w:r>
      <w:r w:rsidR="003D0F34">
        <w:t>§</w:t>
      </w:r>
      <w:r w:rsidRPr="00B91020">
        <w:t xml:space="preserve"> 3, CDFUE</w:t>
      </w:r>
      <w:r w:rsidR="00561D0F">
        <w:t>.</w:t>
      </w:r>
    </w:p>
    <w:p w:rsidR="008A493B" w:rsidRPr="00B91020" w:rsidRDefault="00BD3474" w:rsidP="007C0A0D">
      <w:pPr>
        <w:jc w:val="both"/>
      </w:pPr>
      <w:r>
        <w:t>Quindi, s</w:t>
      </w:r>
      <w:r w:rsidR="00561D0F">
        <w:t>econdo la Corte,</w:t>
      </w:r>
      <w:r w:rsidR="00561D0F" w:rsidRPr="00B91020">
        <w:t xml:space="preserve"> </w:t>
      </w:r>
      <w:r w:rsidR="00524B46">
        <w:t>ai</w:t>
      </w:r>
      <w:r w:rsidR="008A493B" w:rsidRPr="00B91020">
        <w:t xml:space="preserve"> </w:t>
      </w:r>
      <w:r w:rsidR="00524B46">
        <w:t>fini del</w:t>
      </w:r>
      <w:r w:rsidR="008A493B" w:rsidRPr="00B91020">
        <w:t xml:space="preserve">l’operatività del </w:t>
      </w:r>
      <w:r w:rsidR="008A493B" w:rsidRPr="003D0F34">
        <w:rPr>
          <w:i/>
        </w:rPr>
        <w:t>ne bis in idem</w:t>
      </w:r>
      <w:r w:rsidR="00524B46">
        <w:t xml:space="preserve"> </w:t>
      </w:r>
      <w:r w:rsidR="008A493B" w:rsidRPr="00B91020">
        <w:t>devono ricorrere</w:t>
      </w:r>
      <w:r w:rsidR="003D0F34">
        <w:t xml:space="preserve"> </w:t>
      </w:r>
      <w:r w:rsidR="008A493B" w:rsidRPr="00B91020">
        <w:t>i seguenti presupposti:</w:t>
      </w:r>
    </w:p>
    <w:p w:rsidR="008A493B" w:rsidRPr="00B91020" w:rsidRDefault="00524B46" w:rsidP="00524B46">
      <w:pPr>
        <w:jc w:val="both"/>
      </w:pPr>
      <w:r w:rsidRPr="00B91020">
        <w:t xml:space="preserve">– </w:t>
      </w:r>
      <w:r w:rsidR="008A493B" w:rsidRPr="00B91020">
        <w:t xml:space="preserve">un </w:t>
      </w:r>
      <w:r w:rsidR="008A493B" w:rsidRPr="00524B46">
        <w:rPr>
          <w:i/>
        </w:rPr>
        <w:t>idem factum</w:t>
      </w:r>
      <w:r w:rsidR="00D2313B" w:rsidRPr="00B91020">
        <w:t xml:space="preserve"> material</w:t>
      </w:r>
      <w:r w:rsidR="00D2313B">
        <w:t>e</w:t>
      </w:r>
      <w:r w:rsidR="00157E54">
        <w:t>, indipendentemente dall</w:t>
      </w:r>
      <w:r w:rsidR="001D623F">
        <w:t>a</w:t>
      </w:r>
      <w:r w:rsidR="00D2313B" w:rsidRPr="00B91020">
        <w:t xml:space="preserve"> diversa qualificazione giuridica</w:t>
      </w:r>
      <w:r w:rsidR="00561D0F">
        <w:rPr>
          <w:rStyle w:val="Rimandonotaapidipagina"/>
        </w:rPr>
        <w:footnoteReference w:id="5"/>
      </w:r>
      <w:r w:rsidR="00157E54">
        <w:t>;</w:t>
      </w:r>
    </w:p>
    <w:p w:rsidR="008A493B" w:rsidRPr="00B91020" w:rsidRDefault="00524B46" w:rsidP="00524B46">
      <w:pPr>
        <w:jc w:val="both"/>
      </w:pPr>
      <w:r w:rsidRPr="00B91020">
        <w:t xml:space="preserve">– </w:t>
      </w:r>
      <w:r w:rsidR="008A493B" w:rsidRPr="00B91020">
        <w:t>una previa decisione</w:t>
      </w:r>
      <w:r w:rsidR="00D2313B" w:rsidRPr="00D2313B">
        <w:t xml:space="preserve"> </w:t>
      </w:r>
      <w:r w:rsidR="00D2313B" w:rsidRPr="00B91020">
        <w:t>irrevocabile</w:t>
      </w:r>
      <w:r w:rsidR="008A493B" w:rsidRPr="00B91020">
        <w:t>, non importa se di condanna o di assoluzione, concern</w:t>
      </w:r>
      <w:r w:rsidR="001D623F">
        <w:t>ente</w:t>
      </w:r>
      <w:r w:rsidR="008A493B" w:rsidRPr="00B91020">
        <w:t xml:space="preserve"> il merito della responsabilità </w:t>
      </w:r>
      <w:r w:rsidR="00561D0F">
        <w:t>dell’imputato</w:t>
      </w:r>
      <w:r w:rsidR="00561D0F">
        <w:rPr>
          <w:rStyle w:val="Rimandonotaapidipagina"/>
        </w:rPr>
        <w:footnoteReference w:id="6"/>
      </w:r>
      <w:r w:rsidR="00157E54">
        <w:t>;</w:t>
      </w:r>
    </w:p>
    <w:p w:rsidR="008A493B" w:rsidRDefault="008A493B" w:rsidP="007C0A0D">
      <w:pPr>
        <w:jc w:val="both"/>
      </w:pPr>
      <w:r w:rsidRPr="00B91020">
        <w:t>–</w:t>
      </w:r>
      <w:r w:rsidR="00C50E6E">
        <w:t xml:space="preserve"> </w:t>
      </w:r>
      <w:r w:rsidRPr="00B91020">
        <w:t xml:space="preserve">un </w:t>
      </w:r>
      <w:r w:rsidRPr="00D2313B">
        <w:rPr>
          <w:i/>
        </w:rPr>
        <w:t>bis</w:t>
      </w:r>
      <w:r w:rsidRPr="00B91020">
        <w:t xml:space="preserve">, ossia di un secondo </w:t>
      </w:r>
      <w:r w:rsidR="00BD3474" w:rsidRPr="00B91020">
        <w:t>processo penale</w:t>
      </w:r>
      <w:r w:rsidR="00BD3474">
        <w:t>,</w:t>
      </w:r>
      <w:r w:rsidR="00BD3474" w:rsidRPr="00B91020">
        <w:t xml:space="preserve"> o</w:t>
      </w:r>
      <w:r w:rsidR="00BD3474">
        <w:t>d un</w:t>
      </w:r>
      <w:r w:rsidR="00BD3474" w:rsidRPr="00B91020">
        <w:t xml:space="preserve"> secondo </w:t>
      </w:r>
      <w:r w:rsidRPr="00B91020">
        <w:t>procedimento</w:t>
      </w:r>
      <w:r w:rsidR="00BD3474">
        <w:t xml:space="preserve"> amministrativo volto all’irrogazione di</w:t>
      </w:r>
      <w:r w:rsidRPr="00B91020">
        <w:t xml:space="preserve"> </w:t>
      </w:r>
      <w:r w:rsidR="00BD3474">
        <w:t xml:space="preserve">una sanzione </w:t>
      </w:r>
      <w:r w:rsidRPr="00B91020">
        <w:t xml:space="preserve">di carattere </w:t>
      </w:r>
      <w:r w:rsidR="00BD3474">
        <w:t xml:space="preserve">sostanzialmente </w:t>
      </w:r>
      <w:r w:rsidRPr="00B91020">
        <w:t>penale</w:t>
      </w:r>
      <w:r w:rsidR="00561D0F">
        <w:t>,</w:t>
      </w:r>
      <w:r w:rsidRPr="00B91020">
        <w:t xml:space="preserve"> per que</w:t>
      </w:r>
      <w:r w:rsidR="001D623F">
        <w:t>l</w:t>
      </w:r>
      <w:r w:rsidRPr="00B91020">
        <w:t xml:space="preserve"> medesim</w:t>
      </w:r>
      <w:r w:rsidR="001D623F">
        <w:t>o</w:t>
      </w:r>
      <w:r w:rsidRPr="00B91020">
        <w:t xml:space="preserve"> fatt</w:t>
      </w:r>
      <w:r w:rsidR="001D623F">
        <w:t>o</w:t>
      </w:r>
      <w:r w:rsidRPr="00B91020">
        <w:t>.</w:t>
      </w:r>
    </w:p>
    <w:p w:rsidR="00A4775D" w:rsidRDefault="00A4775D" w:rsidP="007C0A0D">
      <w:pPr>
        <w:jc w:val="both"/>
      </w:pPr>
    </w:p>
    <w:p w:rsidR="00D10C0F" w:rsidRPr="00D10C0F" w:rsidRDefault="00B24FF6" w:rsidP="00D10C0F">
      <w:pPr>
        <w:pStyle w:val="Paragrafoelenco"/>
        <w:numPr>
          <w:ilvl w:val="0"/>
          <w:numId w:val="3"/>
        </w:numPr>
        <w:jc w:val="both"/>
        <w:rPr>
          <w:b/>
        </w:rPr>
      </w:pPr>
      <w:r>
        <w:rPr>
          <w:b/>
        </w:rPr>
        <w:t>L</w:t>
      </w:r>
      <w:r w:rsidR="00D10C0F" w:rsidRPr="00D10C0F">
        <w:rPr>
          <w:rStyle w:val="normaltextrun"/>
          <w:b/>
        </w:rPr>
        <w:t>a natura “sostanzialmente penale” della</w:t>
      </w:r>
      <w:r w:rsidR="00D10C0F" w:rsidRPr="00D10C0F">
        <w:rPr>
          <w:b/>
        </w:rPr>
        <w:t xml:space="preserve"> sanzione.</w:t>
      </w:r>
    </w:p>
    <w:p w:rsidR="00561D0F" w:rsidRDefault="007D177B" w:rsidP="007D177B">
      <w:pPr>
        <w:jc w:val="both"/>
      </w:pPr>
      <w:r>
        <w:t>Per verificare se l</w:t>
      </w:r>
      <w:r>
        <w:rPr>
          <w:rStyle w:val="normaltextrun"/>
        </w:rPr>
        <w:t>a</w:t>
      </w:r>
      <w:r w:rsidRPr="000B0296">
        <w:t xml:space="preserve"> </w:t>
      </w:r>
      <w:r w:rsidRPr="00B91020">
        <w:t>sanzion</w:t>
      </w:r>
      <w:r>
        <w:t>e</w:t>
      </w:r>
      <w:r>
        <w:rPr>
          <w:rStyle w:val="normaltextrun"/>
        </w:rPr>
        <w:t xml:space="preserve"> </w:t>
      </w:r>
      <w:r w:rsidR="00F041CA">
        <w:rPr>
          <w:rStyle w:val="normaltextrun"/>
        </w:rPr>
        <w:t>h</w:t>
      </w:r>
      <w:r>
        <w:rPr>
          <w:rStyle w:val="normaltextrun"/>
        </w:rPr>
        <w:t>a natura “sostanzialmente penale”,</w:t>
      </w:r>
      <w:r w:rsidRPr="000B0296">
        <w:t xml:space="preserve"> </w:t>
      </w:r>
      <w:r>
        <w:t xml:space="preserve">occorre rifarsi ai </w:t>
      </w:r>
      <w:r w:rsidRPr="00B91020">
        <w:t xml:space="preserve">criteri </w:t>
      </w:r>
      <w:r>
        <w:rPr>
          <w:rStyle w:val="normaltextrun"/>
        </w:rPr>
        <w:t>enunciati</w:t>
      </w:r>
      <w:r w:rsidR="00561D0F" w:rsidRPr="00561D0F">
        <w:rPr>
          <w:rStyle w:val="normaltextrun"/>
        </w:rPr>
        <w:t xml:space="preserve"> </w:t>
      </w:r>
      <w:r w:rsidR="00561D0F">
        <w:rPr>
          <w:rStyle w:val="normaltextrun"/>
        </w:rPr>
        <w:t>dalla CEDU</w:t>
      </w:r>
      <w:r w:rsidR="00A33DDB">
        <w:rPr>
          <w:rStyle w:val="normaltextrun"/>
        </w:rPr>
        <w:t>,</w:t>
      </w:r>
      <w:r w:rsidR="00E1314A">
        <w:rPr>
          <w:rStyle w:val="normaltextrun"/>
        </w:rPr>
        <w:t xml:space="preserve"> </w:t>
      </w:r>
      <w:r w:rsidR="00A33DDB">
        <w:rPr>
          <w:rStyle w:val="normaltextrun"/>
        </w:rPr>
        <w:t>in relazione all’art. 6</w:t>
      </w:r>
      <w:r w:rsidR="00A33DDB" w:rsidRPr="000B0296">
        <w:rPr>
          <w:rStyle w:val="normaltextrun"/>
        </w:rPr>
        <w:t>, § 1,</w:t>
      </w:r>
      <w:r w:rsidR="00A33DDB">
        <w:rPr>
          <w:rStyle w:val="normaltextrun"/>
        </w:rPr>
        <w:t xml:space="preserve"> della Convenzione, sin da</w:t>
      </w:r>
      <w:r w:rsidR="00E1314A">
        <w:rPr>
          <w:rStyle w:val="normaltextrun"/>
        </w:rPr>
        <w:t xml:space="preserve">lla nota sentenza </w:t>
      </w:r>
      <w:r w:rsidR="00E1314A" w:rsidRPr="00BD3474">
        <w:rPr>
          <w:rStyle w:val="normaltextrun"/>
          <w:i/>
        </w:rPr>
        <w:t>Engel</w:t>
      </w:r>
      <w:r w:rsidR="00561D0F">
        <w:rPr>
          <w:rStyle w:val="Rimandonotaapidipagina"/>
        </w:rPr>
        <w:footnoteReference w:id="7"/>
      </w:r>
      <w:r w:rsidR="00A33DDB">
        <w:rPr>
          <w:rStyle w:val="normaltextrun"/>
        </w:rPr>
        <w:t>,</w:t>
      </w:r>
      <w:r>
        <w:rPr>
          <w:rStyle w:val="normaltextrun"/>
        </w:rPr>
        <w:t xml:space="preserve"> </w:t>
      </w:r>
      <w:r>
        <w:t>poi</w:t>
      </w:r>
      <w:r w:rsidRPr="00B91020">
        <w:t xml:space="preserve"> </w:t>
      </w:r>
      <w:r>
        <w:t xml:space="preserve">ripresi </w:t>
      </w:r>
      <w:r w:rsidRPr="00B91020">
        <w:t>d</w:t>
      </w:r>
      <w:r>
        <w:t>a</w:t>
      </w:r>
      <w:r w:rsidRPr="00B91020">
        <w:t xml:space="preserve">lla giurisprudenza </w:t>
      </w:r>
      <w:r>
        <w:t xml:space="preserve">della Corte </w:t>
      </w:r>
      <w:r w:rsidRPr="00B91020">
        <w:t>costituzionale</w:t>
      </w:r>
      <w:r w:rsidR="00561D0F">
        <w:rPr>
          <w:rStyle w:val="Rimandonotaapidipagina"/>
        </w:rPr>
        <w:footnoteReference w:id="8"/>
      </w:r>
      <w:r w:rsidR="00561D0F">
        <w:t>.</w:t>
      </w:r>
    </w:p>
    <w:p w:rsidR="007D177B" w:rsidRDefault="00561D0F" w:rsidP="007D177B">
      <w:pPr>
        <w:jc w:val="both"/>
        <w:rPr>
          <w:rFonts w:ascii="Segoe UI" w:hAnsi="Segoe UI" w:cs="Segoe UI"/>
          <w:sz w:val="18"/>
          <w:szCs w:val="18"/>
        </w:rPr>
      </w:pPr>
      <w:r>
        <w:t xml:space="preserve">Essi </w:t>
      </w:r>
      <w:r w:rsidR="007D177B">
        <w:t>s</w:t>
      </w:r>
      <w:r w:rsidR="007D177B">
        <w:rPr>
          <w:rStyle w:val="normaltextrun"/>
        </w:rPr>
        <w:t>ono:</w:t>
      </w:r>
      <w:r w:rsidR="007D177B">
        <w:rPr>
          <w:rStyle w:val="eop"/>
        </w:rPr>
        <w:t> </w:t>
      </w:r>
    </w:p>
    <w:p w:rsidR="007D177B" w:rsidRPr="000B0296" w:rsidRDefault="007D177B" w:rsidP="007D177B">
      <w:pPr>
        <w:jc w:val="both"/>
        <w:rPr>
          <w:rStyle w:val="normaltextrun"/>
        </w:rPr>
      </w:pPr>
      <w:r>
        <w:rPr>
          <w:rStyle w:val="normaltextrun"/>
        </w:rPr>
        <w:t>a) la qualificazione giuridica interna</w:t>
      </w:r>
      <w:r w:rsidRPr="000B0296">
        <w:rPr>
          <w:rStyle w:val="normaltextrun"/>
        </w:rPr>
        <w:t xml:space="preserve"> </w:t>
      </w:r>
      <w:r>
        <w:rPr>
          <w:rStyle w:val="normaltextrun"/>
        </w:rPr>
        <w:t xml:space="preserve">dell’illecito </w:t>
      </w:r>
      <w:r w:rsidR="00A33DDB">
        <w:rPr>
          <w:rStyle w:val="normaltextrun"/>
        </w:rPr>
        <w:t>ne</w:t>
      </w:r>
      <w:r>
        <w:rPr>
          <w:rStyle w:val="normaltextrun"/>
        </w:rPr>
        <w:t xml:space="preserve">lla sfera del diritto penale, disciplinare o </w:t>
      </w:r>
      <w:r w:rsidR="00A33DDB">
        <w:rPr>
          <w:rStyle w:val="normaltextrun"/>
        </w:rPr>
        <w:t xml:space="preserve">di </w:t>
      </w:r>
      <w:r>
        <w:rPr>
          <w:rStyle w:val="normaltextrun"/>
        </w:rPr>
        <w:t>entramb</w:t>
      </w:r>
      <w:r w:rsidR="00A33DDB">
        <w:rPr>
          <w:rStyle w:val="normaltextrun"/>
        </w:rPr>
        <w:t>e</w:t>
      </w:r>
      <w:r>
        <w:rPr>
          <w:rStyle w:val="normaltextrun"/>
        </w:rPr>
        <w:t xml:space="preserve"> assieme;</w:t>
      </w:r>
      <w:r w:rsidRPr="000B0296">
        <w:rPr>
          <w:rStyle w:val="normaltextrun"/>
        </w:rPr>
        <w:t> </w:t>
      </w:r>
    </w:p>
    <w:p w:rsidR="007D177B" w:rsidRPr="000B0296" w:rsidRDefault="007D177B" w:rsidP="007D177B">
      <w:pPr>
        <w:jc w:val="both"/>
        <w:rPr>
          <w:rStyle w:val="normaltextrun"/>
        </w:rPr>
      </w:pPr>
      <w:r>
        <w:rPr>
          <w:rStyle w:val="normaltextrun"/>
        </w:rPr>
        <w:t>b) la natura dell’illecito e la funzione del conseguente provvedimento sanzionatorio, che dev</w:t>
      </w:r>
      <w:r w:rsidR="00F041CA">
        <w:rPr>
          <w:rStyle w:val="normaltextrun"/>
        </w:rPr>
        <w:t>’</w:t>
      </w:r>
      <w:r>
        <w:rPr>
          <w:rStyle w:val="normaltextrun"/>
        </w:rPr>
        <w:t>essere applicabile in modo generale ed avere scopo preventivo e repressivo; </w:t>
      </w:r>
    </w:p>
    <w:p w:rsidR="007D177B" w:rsidRPr="000B0296" w:rsidRDefault="007D177B" w:rsidP="007D177B">
      <w:pPr>
        <w:jc w:val="both"/>
        <w:rPr>
          <w:rStyle w:val="normaltextrun"/>
        </w:rPr>
      </w:pPr>
      <w:r>
        <w:rPr>
          <w:rStyle w:val="normaltextrun"/>
        </w:rPr>
        <w:t>c) la gravità della sanzione</w:t>
      </w:r>
      <w:r w:rsidR="00A33DDB">
        <w:rPr>
          <w:rStyle w:val="normaltextrun"/>
        </w:rPr>
        <w:t>,</w:t>
      </w:r>
      <w:r>
        <w:rPr>
          <w:rStyle w:val="normaltextrun"/>
        </w:rPr>
        <w:t xml:space="preserve"> che deve essere particolarmente afflittiva</w:t>
      </w:r>
      <w:r w:rsidR="0030145D">
        <w:rPr>
          <w:rStyle w:val="normaltextrun"/>
        </w:rPr>
        <w:t>, anche se non</w:t>
      </w:r>
      <w:r w:rsidR="0030145D" w:rsidRPr="0030145D">
        <w:rPr>
          <w:rStyle w:val="normaltextrun"/>
          <w:color w:val="000000"/>
          <w:shd w:val="clear" w:color="auto" w:fill="FFFFFF"/>
        </w:rPr>
        <w:t xml:space="preserve"> </w:t>
      </w:r>
      <w:r w:rsidR="0030145D">
        <w:rPr>
          <w:rStyle w:val="normaltextrun"/>
          <w:color w:val="000000"/>
          <w:shd w:val="clear" w:color="auto" w:fill="FFFFFF"/>
        </w:rPr>
        <w:t>necessariamente privativa della libertà personale</w:t>
      </w:r>
      <w:r w:rsidR="0030145D">
        <w:rPr>
          <w:rStyle w:val="Rimandonotaapidipagina"/>
          <w:color w:val="000000"/>
          <w:shd w:val="clear" w:color="auto" w:fill="FFFFFF"/>
        </w:rPr>
        <w:footnoteReference w:id="9"/>
      </w:r>
      <w:r>
        <w:rPr>
          <w:rStyle w:val="normaltextrun"/>
        </w:rPr>
        <w:t>.</w:t>
      </w:r>
    </w:p>
    <w:p w:rsidR="007D177B" w:rsidRDefault="00A33DDB" w:rsidP="007D177B">
      <w:pPr>
        <w:jc w:val="both"/>
        <w:rPr>
          <w:rStyle w:val="normaltextrun"/>
        </w:rPr>
      </w:pPr>
      <w:r>
        <w:rPr>
          <w:rStyle w:val="normaltextrun"/>
        </w:rPr>
        <w:t>Conseguentemente,</w:t>
      </w:r>
      <w:r w:rsidR="007D177B">
        <w:rPr>
          <w:rStyle w:val="normaltextrun"/>
        </w:rPr>
        <w:t xml:space="preserve"> pronunciandosi sulla sanzione disciplinare irrogata ad un militare, </w:t>
      </w:r>
      <w:r>
        <w:rPr>
          <w:rStyle w:val="normaltextrun"/>
        </w:rPr>
        <w:t xml:space="preserve">la sentenza </w:t>
      </w:r>
      <w:r w:rsidRPr="00F041CA">
        <w:rPr>
          <w:rStyle w:val="normaltextrun"/>
          <w:i/>
        </w:rPr>
        <w:t>Engel</w:t>
      </w:r>
      <w:r>
        <w:rPr>
          <w:rStyle w:val="normaltextrun"/>
        </w:rPr>
        <w:t xml:space="preserve"> </w:t>
      </w:r>
      <w:r w:rsidR="007D177B">
        <w:rPr>
          <w:rStyle w:val="normaltextrun"/>
        </w:rPr>
        <w:t>ha affermato che “appartengono alla sfera del diritto penale tutte le privazioni della libertà che siano applicate quali sanzioni, con l’eccezione di quelle che per natura, durata o modalità di esecuzione non siano significativamente afflittive”.</w:t>
      </w:r>
    </w:p>
    <w:p w:rsidR="00E1314A" w:rsidRDefault="007D177B" w:rsidP="007D177B">
      <w:pPr>
        <w:jc w:val="both"/>
        <w:rPr>
          <w:rStyle w:val="normaltextrun"/>
        </w:rPr>
      </w:pPr>
      <w:r>
        <w:rPr>
          <w:rStyle w:val="normaltextrun"/>
        </w:rPr>
        <w:t xml:space="preserve">Uguali princìpi si ritrovano nella </w:t>
      </w:r>
      <w:r w:rsidR="00E1314A">
        <w:rPr>
          <w:rStyle w:val="normaltextrun"/>
        </w:rPr>
        <w:t>successiva giurisprudenza CEDU</w:t>
      </w:r>
      <w:r w:rsidR="00E1314A">
        <w:rPr>
          <w:rStyle w:val="Rimandonotaapidipagina"/>
        </w:rPr>
        <w:footnoteReference w:id="10"/>
      </w:r>
      <w:r w:rsidR="00E1314A">
        <w:rPr>
          <w:rStyle w:val="normaltextrun"/>
        </w:rPr>
        <w:t xml:space="preserve"> ed in particolare nella sentenza</w:t>
      </w:r>
      <w:r w:rsidR="00E1314A" w:rsidRPr="00E1314A">
        <w:rPr>
          <w:rStyle w:val="normaltextrun"/>
        </w:rPr>
        <w:t xml:space="preserve"> </w:t>
      </w:r>
      <w:r w:rsidR="00E1314A" w:rsidRPr="00F041CA">
        <w:rPr>
          <w:rStyle w:val="normaltextrun"/>
          <w:i/>
        </w:rPr>
        <w:t>Grande Stevens</w:t>
      </w:r>
      <w:r w:rsidR="00E1314A">
        <w:rPr>
          <w:rStyle w:val="Rimandonotaapidipagina"/>
        </w:rPr>
        <w:footnoteReference w:id="11"/>
      </w:r>
      <w:r w:rsidR="00E1314A">
        <w:rPr>
          <w:rStyle w:val="normaltextrun"/>
        </w:rPr>
        <w:t>,</w:t>
      </w:r>
      <w:r>
        <w:rPr>
          <w:rStyle w:val="normaltextrun"/>
        </w:rPr>
        <w:t xml:space="preserve"> </w:t>
      </w:r>
      <w:r w:rsidR="00F041CA">
        <w:rPr>
          <w:rStyle w:val="normaltextrun"/>
        </w:rPr>
        <w:t>che ha</w:t>
      </w:r>
      <w:r>
        <w:rPr>
          <w:rStyle w:val="normaltextrun"/>
        </w:rPr>
        <w:t xml:space="preserve"> precisato </w:t>
      </w:r>
      <w:r w:rsidR="00F041CA">
        <w:rPr>
          <w:rStyle w:val="normaltextrun"/>
        </w:rPr>
        <w:t>la natura alternativa e non cumulativa de</w:t>
      </w:r>
      <w:r>
        <w:rPr>
          <w:rStyle w:val="normaltextrun"/>
        </w:rPr>
        <w:t xml:space="preserve">gli </w:t>
      </w:r>
      <w:r w:rsidRPr="000B0296">
        <w:rPr>
          <w:rStyle w:val="normaltextrun"/>
        </w:rPr>
        <w:t xml:space="preserve">Engel </w:t>
      </w:r>
      <w:proofErr w:type="spellStart"/>
      <w:r w:rsidRPr="00254392">
        <w:rPr>
          <w:rStyle w:val="normaltextrun"/>
          <w:i/>
        </w:rPr>
        <w:t>criteria</w:t>
      </w:r>
      <w:proofErr w:type="spellEnd"/>
      <w:r w:rsidR="00E1314A">
        <w:rPr>
          <w:rStyle w:val="normaltextrun"/>
        </w:rPr>
        <w:t>.</w:t>
      </w:r>
    </w:p>
    <w:p w:rsidR="007D177B" w:rsidRPr="000B0296" w:rsidRDefault="0030145D" w:rsidP="007D177B">
      <w:pPr>
        <w:jc w:val="both"/>
        <w:rPr>
          <w:rStyle w:val="normaltextrun"/>
        </w:rPr>
      </w:pPr>
      <w:r>
        <w:rPr>
          <w:rStyle w:val="normaltextrun"/>
        </w:rPr>
        <w:t>In sintesi</w:t>
      </w:r>
      <w:r w:rsidR="00E1314A">
        <w:rPr>
          <w:rStyle w:val="normaltextrun"/>
        </w:rPr>
        <w:t>,</w:t>
      </w:r>
      <w:r w:rsidR="007D177B">
        <w:rPr>
          <w:rStyle w:val="normaltextrun"/>
        </w:rPr>
        <w:t xml:space="preserve"> affinché “si possa parlare di «accusa in materia penale» ai sensi dell’art. 6</w:t>
      </w:r>
      <w:r w:rsidR="007D177B" w:rsidRPr="000B0296">
        <w:rPr>
          <w:rStyle w:val="normaltextrun"/>
        </w:rPr>
        <w:t xml:space="preserve">, § 1, </w:t>
      </w:r>
      <w:r w:rsidR="00AB0582">
        <w:rPr>
          <w:rStyle w:val="normaltextrun"/>
        </w:rPr>
        <w:t>della C</w:t>
      </w:r>
      <w:r>
        <w:rPr>
          <w:rStyle w:val="normaltextrun"/>
        </w:rPr>
        <w:t>EDU,</w:t>
      </w:r>
      <w:r w:rsidR="00AB0582" w:rsidRPr="000B0296">
        <w:rPr>
          <w:rStyle w:val="normaltextrun"/>
        </w:rPr>
        <w:t xml:space="preserve"> </w:t>
      </w:r>
      <w:r w:rsidR="007D177B" w:rsidRPr="000B0296">
        <w:rPr>
          <w:rStyle w:val="normaltextrun"/>
        </w:rPr>
        <w:t>è sufficiente che il reato in causa sia di natura «penale» rispetto alla Convenzione, o abbia esposto l</w:t>
      </w:r>
      <w:r w:rsidR="007D177B">
        <w:rPr>
          <w:rStyle w:val="normaltextrun"/>
        </w:rPr>
        <w:t>’interessato a una sanzione che, per natura e livello di gravità, rientri in linea generale nell’ambito della «materia penale»”. </w:t>
      </w:r>
    </w:p>
    <w:p w:rsidR="007D177B" w:rsidRDefault="0030145D" w:rsidP="007D177B">
      <w:pPr>
        <w:jc w:val="both"/>
        <w:rPr>
          <w:rStyle w:val="normaltextrun"/>
          <w:color w:val="000000"/>
          <w:shd w:val="clear" w:color="auto" w:fill="FFFFFF"/>
        </w:rPr>
      </w:pPr>
      <w:r>
        <w:rPr>
          <w:rStyle w:val="normaltextrun"/>
        </w:rPr>
        <w:t>I</w:t>
      </w:r>
      <w:r w:rsidR="007D177B">
        <w:rPr>
          <w:rStyle w:val="normaltextrun"/>
        </w:rPr>
        <w:t>l ricorrere di uno solo di questi</w:t>
      </w:r>
      <w:r>
        <w:rPr>
          <w:rStyle w:val="normaltextrun"/>
        </w:rPr>
        <w:t xml:space="preserve"> elementi</w:t>
      </w:r>
      <w:r w:rsidR="007D177B">
        <w:rPr>
          <w:rStyle w:val="normaltextrun"/>
        </w:rPr>
        <w:t xml:space="preserve"> </w:t>
      </w:r>
      <w:r>
        <w:rPr>
          <w:rStyle w:val="normaltextrun"/>
        </w:rPr>
        <w:t xml:space="preserve">rende </w:t>
      </w:r>
      <w:r w:rsidR="007D177B">
        <w:rPr>
          <w:rStyle w:val="normaltextrun"/>
        </w:rPr>
        <w:t>configurabi</w:t>
      </w:r>
      <w:r>
        <w:rPr>
          <w:rStyle w:val="normaltextrun"/>
        </w:rPr>
        <w:t>le la</w:t>
      </w:r>
      <w:r w:rsidR="007D177B">
        <w:rPr>
          <w:rStyle w:val="normaltextrun"/>
        </w:rPr>
        <w:t xml:space="preserve"> sanzione </w:t>
      </w:r>
      <w:r>
        <w:rPr>
          <w:rStyle w:val="normaltextrun"/>
        </w:rPr>
        <w:t>come “</w:t>
      </w:r>
      <w:r w:rsidR="007D177B">
        <w:rPr>
          <w:rStyle w:val="normaltextrun"/>
        </w:rPr>
        <w:t>sostanzialmente penale</w:t>
      </w:r>
      <w:r>
        <w:rPr>
          <w:rStyle w:val="normaltextrun"/>
        </w:rPr>
        <w:t>”</w:t>
      </w:r>
      <w:r w:rsidR="007D177B">
        <w:rPr>
          <w:rStyle w:val="normaltextrun"/>
        </w:rPr>
        <w:t>.</w:t>
      </w:r>
      <w:r w:rsidR="007D177B" w:rsidRPr="000B0296">
        <w:rPr>
          <w:rStyle w:val="normaltextrun"/>
        </w:rPr>
        <w:t> </w:t>
      </w:r>
      <w:r>
        <w:t>Se la sanzione è qualificata</w:t>
      </w:r>
      <w:r w:rsidR="007D177B">
        <w:rPr>
          <w:rStyle w:val="normaltextrun"/>
        </w:rPr>
        <w:t xml:space="preserve"> </w:t>
      </w:r>
      <w:r>
        <w:rPr>
          <w:rStyle w:val="normaltextrun"/>
        </w:rPr>
        <w:t xml:space="preserve">come “penale” nell’ordinamento nazionale, tale dato </w:t>
      </w:r>
      <w:r w:rsidR="007D177B">
        <w:rPr>
          <w:rStyle w:val="normaltextrun"/>
        </w:rPr>
        <w:t xml:space="preserve">è vincolante </w:t>
      </w:r>
      <w:r>
        <w:rPr>
          <w:rStyle w:val="normaltextrun"/>
        </w:rPr>
        <w:t>per l’interprete che, d</w:t>
      </w:r>
      <w:r w:rsidR="007D177B">
        <w:rPr>
          <w:rStyle w:val="normaltextrun"/>
          <w:color w:val="000000"/>
          <w:shd w:val="clear" w:color="auto" w:fill="FFFFFF"/>
        </w:rPr>
        <w:t>iversamente, dovrà verificar</w:t>
      </w:r>
      <w:r>
        <w:rPr>
          <w:rStyle w:val="normaltextrun"/>
          <w:color w:val="000000"/>
          <w:shd w:val="clear" w:color="auto" w:fill="FFFFFF"/>
        </w:rPr>
        <w:t xml:space="preserve">ne </w:t>
      </w:r>
      <w:r w:rsidR="007D177B">
        <w:rPr>
          <w:rStyle w:val="normaltextrun"/>
          <w:color w:val="000000"/>
          <w:shd w:val="clear" w:color="auto" w:fill="FFFFFF"/>
        </w:rPr>
        <w:t xml:space="preserve">la natura concreta </w:t>
      </w:r>
      <w:r>
        <w:rPr>
          <w:rStyle w:val="normaltextrun"/>
          <w:color w:val="000000"/>
          <w:shd w:val="clear" w:color="auto" w:fill="FFFFFF"/>
        </w:rPr>
        <w:t>in base agli altri elementi</w:t>
      </w:r>
      <w:r w:rsidR="007D177B">
        <w:rPr>
          <w:rStyle w:val="normaltextrun"/>
          <w:color w:val="000000"/>
          <w:shd w:val="clear" w:color="auto" w:fill="FFFFFF"/>
        </w:rPr>
        <w:t>.</w:t>
      </w:r>
    </w:p>
    <w:p w:rsidR="00A4775D" w:rsidRDefault="00A4775D" w:rsidP="007D177B">
      <w:pPr>
        <w:jc w:val="both"/>
        <w:rPr>
          <w:rStyle w:val="normaltextrun"/>
          <w:color w:val="000000"/>
          <w:shd w:val="clear" w:color="auto" w:fill="FFFFFF"/>
        </w:rPr>
      </w:pPr>
    </w:p>
    <w:p w:rsidR="00B24FF6" w:rsidRPr="00B24FF6" w:rsidRDefault="00B24FF6" w:rsidP="00B24FF6">
      <w:pPr>
        <w:pStyle w:val="Paragrafoelenco"/>
        <w:numPr>
          <w:ilvl w:val="0"/>
          <w:numId w:val="3"/>
        </w:numPr>
        <w:jc w:val="both"/>
        <w:rPr>
          <w:rStyle w:val="normaltextrun"/>
          <w:b/>
        </w:rPr>
      </w:pPr>
      <w:r w:rsidRPr="00B24FF6">
        <w:rPr>
          <w:b/>
        </w:rPr>
        <w:t>L’</w:t>
      </w:r>
      <w:r w:rsidRPr="00B24FF6">
        <w:rPr>
          <w:b/>
          <w:i/>
        </w:rPr>
        <w:t>idem factum.</w:t>
      </w:r>
    </w:p>
    <w:p w:rsidR="007D177B" w:rsidRDefault="00EA2969" w:rsidP="00AB0582">
      <w:pPr>
        <w:spacing w:after="120"/>
        <w:jc w:val="both"/>
      </w:pPr>
      <w:r>
        <w:t>Per verificare che</w:t>
      </w:r>
      <w:r w:rsidR="00734F21">
        <w:t xml:space="preserve"> l’illecito per cui si procede contro l’imputato già giudicato sia </w:t>
      </w:r>
      <w:r w:rsidR="00F07160">
        <w:t xml:space="preserve">il </w:t>
      </w:r>
      <w:r w:rsidR="00F07160" w:rsidRPr="00F07160">
        <w:rPr>
          <w:i/>
        </w:rPr>
        <w:t>bis</w:t>
      </w:r>
      <w:r w:rsidR="00F07160">
        <w:t xml:space="preserve"> </w:t>
      </w:r>
      <w:r w:rsidR="00734F21">
        <w:t xml:space="preserve">del precedente, il criterio da applicare è quello </w:t>
      </w:r>
      <w:r w:rsidR="00734F21" w:rsidRPr="006E2B41">
        <w:t>del</w:t>
      </w:r>
      <w:r w:rsidR="00734F21">
        <w:t xml:space="preserve"> c.d. </w:t>
      </w:r>
      <w:r w:rsidR="00734F21" w:rsidRPr="006E2B41">
        <w:rPr>
          <w:i/>
        </w:rPr>
        <w:t>idem factum</w:t>
      </w:r>
      <w:r w:rsidR="00734F21" w:rsidRPr="006E2B41">
        <w:t>,</w:t>
      </w:r>
      <w:r w:rsidR="00734F21">
        <w:t xml:space="preserve"> affermato dalla CEDU </w:t>
      </w:r>
      <w:r w:rsidR="00AB0582">
        <w:t>nel</w:t>
      </w:r>
      <w:r w:rsidR="00734F21" w:rsidRPr="006E2B41">
        <w:t>l</w:t>
      </w:r>
      <w:r w:rsidR="00734F21">
        <w:t xml:space="preserve">a sentenza </w:t>
      </w:r>
      <w:proofErr w:type="spellStart"/>
      <w:r w:rsidR="00734F21" w:rsidRPr="00EA2969">
        <w:rPr>
          <w:i/>
        </w:rPr>
        <w:t>Zolotukhin</w:t>
      </w:r>
      <w:proofErr w:type="spellEnd"/>
      <w:r>
        <w:t>:</w:t>
      </w:r>
      <w:r w:rsidR="00AB0582">
        <w:t xml:space="preserve"> </w:t>
      </w:r>
      <w:r w:rsidR="00F07160">
        <w:t>i</w:t>
      </w:r>
      <w:r w:rsidR="00734F21" w:rsidRPr="006E2B41">
        <w:t xml:space="preserve"> </w:t>
      </w:r>
      <w:r w:rsidR="007D177B">
        <w:t xml:space="preserve">due </w:t>
      </w:r>
      <w:r w:rsidR="00734F21" w:rsidRPr="006E2B41">
        <w:t>fatt</w:t>
      </w:r>
      <w:r w:rsidR="007D177B">
        <w:t>i</w:t>
      </w:r>
      <w:r w:rsidR="00734F21" w:rsidRPr="006E2B41">
        <w:t xml:space="preserve"> </w:t>
      </w:r>
      <w:r w:rsidR="00F07160" w:rsidRPr="006E2B41">
        <w:t>riferi</w:t>
      </w:r>
      <w:r w:rsidR="00C82ED1">
        <w:t>t</w:t>
      </w:r>
      <w:r w:rsidR="00F07160" w:rsidRPr="006E2B41">
        <w:t xml:space="preserve">i allo stesso soggetto </w:t>
      </w:r>
      <w:r w:rsidR="00734F21" w:rsidRPr="006E2B41">
        <w:t>va</w:t>
      </w:r>
      <w:r w:rsidR="007D177B">
        <w:t>nno</w:t>
      </w:r>
      <w:r w:rsidR="00734F21" w:rsidRPr="006E2B41">
        <w:t xml:space="preserve"> </w:t>
      </w:r>
      <w:r>
        <w:t>valutati nel loro significato</w:t>
      </w:r>
      <w:r w:rsidR="00734F21" w:rsidRPr="006E2B41">
        <w:t xml:space="preserve"> storico-naturalistica</w:t>
      </w:r>
      <w:r>
        <w:t>,</w:t>
      </w:r>
      <w:r w:rsidR="007D177B">
        <w:t xml:space="preserve"> me</w:t>
      </w:r>
      <w:r>
        <w:t>ttendone</w:t>
      </w:r>
      <w:r w:rsidR="007D177B">
        <w:t xml:space="preserve"> a confronto</w:t>
      </w:r>
      <w:r w:rsidR="00734F21" w:rsidRPr="006E2B41">
        <w:t xml:space="preserve"> la condotta, l’evento e</w:t>
      </w:r>
      <w:r w:rsidR="007D177B">
        <w:t>d</w:t>
      </w:r>
      <w:r w:rsidR="00734F21" w:rsidRPr="006E2B41">
        <w:t xml:space="preserve"> </w:t>
      </w:r>
      <w:r w:rsidR="007D177B">
        <w:t>i</w:t>
      </w:r>
      <w:r w:rsidR="00734F21" w:rsidRPr="006E2B41">
        <w:t>l nesso causale</w:t>
      </w:r>
      <w:r w:rsidR="00F07160">
        <w:t>,</w:t>
      </w:r>
      <w:r w:rsidR="007D177B" w:rsidRPr="007D177B">
        <w:t xml:space="preserve"> </w:t>
      </w:r>
      <w:r>
        <w:t>senza che rilevi</w:t>
      </w:r>
      <w:r w:rsidR="007D177B" w:rsidRPr="006E2B41">
        <w:t xml:space="preserve"> la diversa qualificazione giuridica</w:t>
      </w:r>
      <w:r w:rsidR="00734F21" w:rsidRPr="006E2B41">
        <w:t>.</w:t>
      </w:r>
    </w:p>
    <w:p w:rsidR="00F07160" w:rsidRDefault="00156500" w:rsidP="0020469E">
      <w:pPr>
        <w:spacing w:after="120"/>
        <w:jc w:val="both"/>
      </w:pPr>
      <w:r>
        <w:t>S</w:t>
      </w:r>
      <w:r w:rsidR="00AB0582">
        <w:t>e</w:t>
      </w:r>
      <w:r w:rsidR="0035793C">
        <w:t xml:space="preserve">condo la </w:t>
      </w:r>
      <w:r>
        <w:t>sentenza</w:t>
      </w:r>
      <w:r w:rsidR="00E1314A">
        <w:t xml:space="preserve"> </w:t>
      </w:r>
      <w:r w:rsidR="00E1314A" w:rsidRPr="00156500">
        <w:rPr>
          <w:i/>
        </w:rPr>
        <w:t>A&amp;B</w:t>
      </w:r>
      <w:r w:rsidR="00E1314A" w:rsidRPr="006E2B41">
        <w:t xml:space="preserve"> c</w:t>
      </w:r>
      <w:r>
        <w:t>ontro</w:t>
      </w:r>
      <w:r w:rsidR="00E1314A" w:rsidRPr="006E2B41">
        <w:t xml:space="preserve"> Norvegia</w:t>
      </w:r>
      <w:r w:rsidR="0035793C">
        <w:t>,</w:t>
      </w:r>
      <w:r w:rsidR="00AB0582">
        <w:t xml:space="preserve"> è </w:t>
      </w:r>
      <w:r>
        <w:t>comunque possibile</w:t>
      </w:r>
      <w:r w:rsidR="00AB0582">
        <w:t xml:space="preserve"> p</w:t>
      </w:r>
      <w:r>
        <w:t>rocedere</w:t>
      </w:r>
      <w:r w:rsidR="00AB0582">
        <w:t xml:space="preserve"> in sede</w:t>
      </w:r>
      <w:r w:rsidR="0035793C">
        <w:t xml:space="preserve"> penale ed amministrativ</w:t>
      </w:r>
      <w:r>
        <w:t>a</w:t>
      </w:r>
      <w:r w:rsidR="00F07160">
        <w:t xml:space="preserve"> </w:t>
      </w:r>
      <w:r w:rsidR="00E1314A">
        <w:t>a carico</w:t>
      </w:r>
      <w:r w:rsidR="00F07160" w:rsidRPr="006E2B41">
        <w:t xml:space="preserve"> dello stesso soggetto </w:t>
      </w:r>
      <w:r>
        <w:t xml:space="preserve">e </w:t>
      </w:r>
      <w:r w:rsidR="00F07160" w:rsidRPr="006E2B41">
        <w:t>per il medesimo fatto</w:t>
      </w:r>
      <w:r w:rsidR="0035793C">
        <w:t>,</w:t>
      </w:r>
      <w:r w:rsidR="00F07160">
        <w:t xml:space="preserve"> </w:t>
      </w:r>
      <w:r>
        <w:t>se</w:t>
      </w:r>
      <w:r w:rsidR="00AB0582">
        <w:t xml:space="preserve"> i due procedimenti o processi</w:t>
      </w:r>
      <w:r w:rsidR="00F07160">
        <w:t xml:space="preserve"> </w:t>
      </w:r>
      <w:r w:rsidR="00AB0582">
        <w:t>s</w:t>
      </w:r>
      <w:r>
        <w:t>o</w:t>
      </w:r>
      <w:r w:rsidR="00AB0582">
        <w:t xml:space="preserve">no legati da </w:t>
      </w:r>
      <w:r w:rsidR="0020469E" w:rsidRPr="006E2B41">
        <w:t>una stretta connessione sostanziale e temporale</w:t>
      </w:r>
      <w:r w:rsidR="00F07160" w:rsidRPr="00F07160">
        <w:t xml:space="preserve"> </w:t>
      </w:r>
      <w:r w:rsidR="0020469E">
        <w:t>e</w:t>
      </w:r>
      <w:r>
        <w:t>d</w:t>
      </w:r>
      <w:r w:rsidR="0020469E">
        <w:t xml:space="preserve"> </w:t>
      </w:r>
      <w:r>
        <w:t>è</w:t>
      </w:r>
      <w:r w:rsidR="0020469E">
        <w:t xml:space="preserve"> rispettata </w:t>
      </w:r>
      <w:r w:rsidR="00F07160" w:rsidRPr="006E2B41">
        <w:t>la necessaria proporzion</w:t>
      </w:r>
      <w:r>
        <w:t>alità</w:t>
      </w:r>
      <w:r w:rsidR="00F07160" w:rsidRPr="006E2B41">
        <w:t xml:space="preserve"> del trattamento sanzionatorio complessivamente inflitto.</w:t>
      </w:r>
    </w:p>
    <w:p w:rsidR="008433CC" w:rsidRPr="006E2B41" w:rsidRDefault="0035793C" w:rsidP="00F07160">
      <w:pPr>
        <w:spacing w:after="120"/>
        <w:jc w:val="both"/>
      </w:pPr>
      <w:r>
        <w:t>Sono dunque necessari i seguenti presupposti</w:t>
      </w:r>
      <w:r w:rsidR="008433CC" w:rsidRPr="006E2B41">
        <w:t>:</w:t>
      </w:r>
    </w:p>
    <w:p w:rsidR="008433CC" w:rsidRPr="006E2B41" w:rsidRDefault="008433CC" w:rsidP="0035793C">
      <w:pPr>
        <w:spacing w:after="120"/>
        <w:jc w:val="both"/>
      </w:pPr>
      <w:r w:rsidRPr="006E2B41">
        <w:t xml:space="preserve">a) la prevedibilità </w:t>
      </w:r>
      <w:r w:rsidRPr="006E2B41">
        <w:rPr>
          <w:i/>
        </w:rPr>
        <w:t>ex ante</w:t>
      </w:r>
      <w:r w:rsidRPr="006E2B41">
        <w:t xml:space="preserve"> dei procedimenti penale e</w:t>
      </w:r>
      <w:r w:rsidR="00D84314">
        <w:t>d</w:t>
      </w:r>
      <w:r w:rsidRPr="006E2B41">
        <w:t xml:space="preserve"> amministrativo, </w:t>
      </w:r>
      <w:r w:rsidR="0035793C">
        <w:t>disciplina</w:t>
      </w:r>
      <w:r w:rsidRPr="006E2B41">
        <w:t>ta da regole chiare e precise;</w:t>
      </w:r>
    </w:p>
    <w:p w:rsidR="008433CC" w:rsidRPr="006E2B41" w:rsidRDefault="008433CC" w:rsidP="0035793C">
      <w:pPr>
        <w:spacing w:after="120"/>
        <w:jc w:val="both"/>
      </w:pPr>
      <w:r w:rsidRPr="006E2B41">
        <w:t>b) la funzione comple</w:t>
      </w:r>
      <w:r w:rsidR="00D84314">
        <w:t>mentare delle sanzioni irrogate</w:t>
      </w:r>
      <w:r w:rsidRPr="006E2B41">
        <w:t xml:space="preserve"> ne</w:t>
      </w:r>
      <w:r w:rsidR="0035793C">
        <w:t>i due</w:t>
      </w:r>
      <w:r w:rsidRPr="006E2B41">
        <w:t xml:space="preserve"> procediment</w:t>
      </w:r>
      <w:r w:rsidR="0035793C">
        <w:t>i</w:t>
      </w:r>
      <w:r w:rsidRPr="006E2B41">
        <w:t>, che devono essere connesse ad aspetti diversi della condotta illecita, in quanto l’una non deve essere la mera duplicazione dell’altra;</w:t>
      </w:r>
    </w:p>
    <w:p w:rsidR="008433CC" w:rsidRPr="006E2B41" w:rsidRDefault="008433CC" w:rsidP="0035793C">
      <w:pPr>
        <w:spacing w:after="120"/>
        <w:jc w:val="both"/>
      </w:pPr>
      <w:r w:rsidRPr="006E2B41">
        <w:t>c) una connessione temporale tra i procedimenti, che debbono avere per lunghi tratti uno svolgimento parallelo;</w:t>
      </w:r>
    </w:p>
    <w:p w:rsidR="008433CC" w:rsidRPr="006E2B41" w:rsidRDefault="008433CC" w:rsidP="0035793C">
      <w:pPr>
        <w:spacing w:after="120"/>
        <w:jc w:val="both"/>
      </w:pPr>
      <w:r w:rsidRPr="006E2B41">
        <w:t>d) la raccolta e la valutazione della prova in maniera coordinata e, quindi, sostanzialmente unitaria;</w:t>
      </w:r>
    </w:p>
    <w:p w:rsidR="008433CC" w:rsidRPr="006E2B41" w:rsidRDefault="008433CC" w:rsidP="0035793C">
      <w:pPr>
        <w:spacing w:after="120"/>
        <w:jc w:val="both"/>
      </w:pPr>
      <w:r w:rsidRPr="006E2B41">
        <w:t>e) la proporzionalità del trattamento sanzionatorio complessivo.</w:t>
      </w:r>
    </w:p>
    <w:p w:rsidR="00E26FFF" w:rsidRDefault="00DB5F2C" w:rsidP="009F2BA4">
      <w:pPr>
        <w:spacing w:after="120"/>
        <w:jc w:val="both"/>
      </w:pPr>
      <w:r>
        <w:t xml:space="preserve">Ulteriori precisazioni </w:t>
      </w:r>
      <w:r w:rsidR="00156500">
        <w:t>al riguardo</w:t>
      </w:r>
      <w:r w:rsidR="00156500" w:rsidRPr="00156500">
        <w:t xml:space="preserve"> </w:t>
      </w:r>
      <w:r w:rsidR="00156500" w:rsidRPr="00D84314">
        <w:t>provengono</w:t>
      </w:r>
      <w:r w:rsidR="00D84314" w:rsidRPr="00D84314">
        <w:t xml:space="preserve"> dalla giurisprudenza CGUE</w:t>
      </w:r>
      <w:r w:rsidR="00D84314">
        <w:rPr>
          <w:rStyle w:val="Rimandonotaapidipagina"/>
        </w:rPr>
        <w:footnoteReference w:id="12"/>
      </w:r>
      <w:r w:rsidR="00D84314">
        <w:t>, la quale</w:t>
      </w:r>
      <w:r w:rsidR="009F2BA4">
        <w:t xml:space="preserve"> ha </w:t>
      </w:r>
      <w:r w:rsidR="00E26FFF">
        <w:t>precisa</w:t>
      </w:r>
      <w:r w:rsidR="009F2BA4">
        <w:t>to</w:t>
      </w:r>
      <w:r w:rsidR="00E26FFF">
        <w:t xml:space="preserve"> che il </w:t>
      </w:r>
      <w:r w:rsidRPr="00D84314">
        <w:t>cumulo di procedimenti sanzionatori penal</w:t>
      </w:r>
      <w:r>
        <w:t>i</w:t>
      </w:r>
      <w:r w:rsidRPr="00D84314">
        <w:t xml:space="preserve"> ed amministrativ</w:t>
      </w:r>
      <w:r>
        <w:t>i</w:t>
      </w:r>
      <w:r w:rsidRPr="00D84314">
        <w:t xml:space="preserve"> (in specie ad opera della Consob)</w:t>
      </w:r>
      <w:r>
        <w:t xml:space="preserve"> è consentito</w:t>
      </w:r>
      <w:r w:rsidR="00E26FFF">
        <w:t>:</w:t>
      </w:r>
    </w:p>
    <w:p w:rsidR="00E26FFF" w:rsidRDefault="00E26FFF" w:rsidP="00E26FFF">
      <w:pPr>
        <w:spacing w:after="120"/>
        <w:jc w:val="both"/>
      </w:pPr>
      <w:r>
        <w:t xml:space="preserve">a) </w:t>
      </w:r>
      <w:r w:rsidR="00156500">
        <w:t xml:space="preserve">nel </w:t>
      </w:r>
      <w:r w:rsidRPr="00E26FFF">
        <w:t>perseguimento di un obiettivo di c</w:t>
      </w:r>
      <w:r>
        <w:t>arattere generale riconosciuto</w:t>
      </w:r>
      <w:r w:rsidR="00156500">
        <w:t xml:space="preserve"> dall’ordinamento</w:t>
      </w:r>
      <w:r>
        <w:t>;</w:t>
      </w:r>
    </w:p>
    <w:p w:rsidR="00E26FFF" w:rsidRDefault="00E26FFF" w:rsidP="00E26FFF">
      <w:pPr>
        <w:spacing w:after="120"/>
        <w:jc w:val="both"/>
      </w:pPr>
      <w:r>
        <w:t>b</w:t>
      </w:r>
      <w:r w:rsidRPr="00E26FFF">
        <w:t xml:space="preserve">) </w:t>
      </w:r>
      <w:r w:rsidR="00DB5F2C">
        <w:t xml:space="preserve">se è </w:t>
      </w:r>
      <w:r w:rsidRPr="00E26FFF">
        <w:t>previsto da norme chiare e precise;</w:t>
      </w:r>
    </w:p>
    <w:p w:rsidR="00D84314" w:rsidRDefault="00E26FFF" w:rsidP="009F2BA4">
      <w:pPr>
        <w:spacing w:after="120"/>
        <w:jc w:val="both"/>
      </w:pPr>
      <w:r>
        <w:t>c</w:t>
      </w:r>
      <w:r w:rsidRPr="00E26FFF">
        <w:t xml:space="preserve">) </w:t>
      </w:r>
      <w:r w:rsidR="00DB5F2C">
        <w:t>s</w:t>
      </w:r>
      <w:r w:rsidRPr="00E26FFF">
        <w:t xml:space="preserve">e gli oneri risultanti </w:t>
      </w:r>
      <w:r w:rsidR="00DB5F2C">
        <w:t xml:space="preserve">per l’interessato </w:t>
      </w:r>
      <w:r w:rsidRPr="00E26FFF">
        <w:t>s</w:t>
      </w:r>
      <w:r w:rsidR="00C14A9A">
        <w:t>o</w:t>
      </w:r>
      <w:r w:rsidRPr="00E26FFF">
        <w:t xml:space="preserve">no limitati allo stretto necessario per realizzare </w:t>
      </w:r>
      <w:r w:rsidR="00156500">
        <w:t>l’obiettivo</w:t>
      </w:r>
      <w:r w:rsidRPr="00E26FFF">
        <w:t xml:space="preserve"> di interesse generale</w:t>
      </w:r>
      <w:r w:rsidR="00D84314" w:rsidRPr="00D84314">
        <w:t>.</w:t>
      </w:r>
    </w:p>
    <w:p w:rsidR="00A4775D" w:rsidRDefault="00A4775D" w:rsidP="009F2BA4">
      <w:pPr>
        <w:spacing w:after="120"/>
        <w:jc w:val="both"/>
      </w:pPr>
    </w:p>
    <w:p w:rsidR="00D833B5" w:rsidRPr="0043711C" w:rsidRDefault="0043711C" w:rsidP="0043711C">
      <w:pPr>
        <w:pStyle w:val="Paragrafoelenco"/>
        <w:numPr>
          <w:ilvl w:val="0"/>
          <w:numId w:val="3"/>
        </w:numPr>
        <w:spacing w:after="120"/>
        <w:jc w:val="both"/>
        <w:rPr>
          <w:rStyle w:val="normaltextrun"/>
          <w:b/>
        </w:rPr>
      </w:pPr>
      <w:r w:rsidRPr="0043711C">
        <w:rPr>
          <w:rStyle w:val="normaltextrun"/>
          <w:b/>
        </w:rPr>
        <w:t>La soluzione della questione rimessa.</w:t>
      </w:r>
    </w:p>
    <w:p w:rsidR="008A493B" w:rsidRPr="00B91020" w:rsidRDefault="00864A13" w:rsidP="007C0A0D">
      <w:pPr>
        <w:jc w:val="both"/>
      </w:pPr>
      <w:r>
        <w:t>La</w:t>
      </w:r>
      <w:r w:rsidR="002E265C">
        <w:t xml:space="preserve"> Corte costituzionale</w:t>
      </w:r>
      <w:r w:rsidR="00AE2A54">
        <w:t xml:space="preserve"> ha</w:t>
      </w:r>
      <w:r w:rsidR="002E265C">
        <w:t xml:space="preserve"> conclu</w:t>
      </w:r>
      <w:r w:rsidR="00AE2A54">
        <w:t>so</w:t>
      </w:r>
      <w:r w:rsidR="002E265C">
        <w:t xml:space="preserve"> nel senso che la</w:t>
      </w:r>
      <w:r w:rsidR="00157E54" w:rsidRPr="00B91020">
        <w:t xml:space="preserve"> sanzion</w:t>
      </w:r>
      <w:r>
        <w:t>e</w:t>
      </w:r>
      <w:r w:rsidR="00157E54" w:rsidRPr="00B91020">
        <w:t xml:space="preserve"> d</w:t>
      </w:r>
      <w:r>
        <w:t xml:space="preserve">i cui </w:t>
      </w:r>
      <w:r w:rsidR="00157E54" w:rsidRPr="00B91020">
        <w:t>all’art. 174-</w:t>
      </w:r>
      <w:r w:rsidR="00157E54" w:rsidRPr="002E265C">
        <w:rPr>
          <w:i/>
        </w:rPr>
        <w:t>bis</w:t>
      </w:r>
      <w:r w:rsidR="00157E54" w:rsidRPr="00B91020">
        <w:t xml:space="preserve"> della legge n. 633 del 1941</w:t>
      </w:r>
      <w:r w:rsidR="00AE2A54" w:rsidRPr="00AE2A54">
        <w:t xml:space="preserve"> </w:t>
      </w:r>
      <w:r w:rsidR="00AE2A54">
        <w:t>h</w:t>
      </w:r>
      <w:r w:rsidR="00AE2A54" w:rsidRPr="00B91020">
        <w:t>a</w:t>
      </w:r>
      <w:r w:rsidR="002E265C">
        <w:t>, per scopo ed entità,</w:t>
      </w:r>
      <w:r w:rsidR="00157E54" w:rsidRPr="00B91020">
        <w:t xml:space="preserve"> </w:t>
      </w:r>
      <w:r w:rsidR="008A493B" w:rsidRPr="00B91020">
        <w:t>natura punitiva</w:t>
      </w:r>
      <w:r w:rsidRPr="00B91020">
        <w:t>.</w:t>
      </w:r>
    </w:p>
    <w:p w:rsidR="008A493B" w:rsidRPr="00B91020" w:rsidRDefault="002E265C" w:rsidP="007C0A0D">
      <w:pPr>
        <w:jc w:val="both"/>
      </w:pPr>
      <w:r>
        <w:t>Essa, infatti,</w:t>
      </w:r>
      <w:r w:rsidR="008A493B" w:rsidRPr="00B91020">
        <w:t xml:space="preserve"> è determinata </w:t>
      </w:r>
      <w:r>
        <w:t>sulla</w:t>
      </w:r>
      <w:r w:rsidR="008A493B" w:rsidRPr="00B91020">
        <w:t xml:space="preserve"> base del calcolo il doppio del prezzo di mercato dell’opera o del supporto oggetto della violazione, moltiplicato per il numero di esemplari abusivamente duplicati o replicati, in modo da infliggere al trasgressore un sacrificio economico superiore al profitto ricavato dall’illecito</w:t>
      </w:r>
      <w:r>
        <w:t xml:space="preserve"> e</w:t>
      </w:r>
      <w:r w:rsidR="008A493B" w:rsidRPr="00B91020">
        <w:t xml:space="preserve"> </w:t>
      </w:r>
      <w:r>
        <w:t>c</w:t>
      </w:r>
      <w:r w:rsidR="008A493B" w:rsidRPr="00B91020">
        <w:t xml:space="preserve">iò rende evidente la funzione accentuatamente dissuasiva della sanzione e </w:t>
      </w:r>
      <w:r>
        <w:t>l</w:t>
      </w:r>
      <w:r w:rsidR="008A493B" w:rsidRPr="00B91020">
        <w:t xml:space="preserve">a finalità in tutto e per tutto sovrapponibile a quella caratteristica delle sanzioni penali. </w:t>
      </w:r>
    </w:p>
    <w:p w:rsidR="008A493B" w:rsidRPr="00B91020" w:rsidRDefault="008A493B" w:rsidP="002E265C">
      <w:pPr>
        <w:jc w:val="both"/>
      </w:pPr>
      <w:r w:rsidRPr="00B91020">
        <w:t>N</w:t>
      </w:r>
      <w:r w:rsidR="00AE2A54">
        <w:t>é</w:t>
      </w:r>
      <w:r w:rsidR="002E265C">
        <w:t xml:space="preserve"> </w:t>
      </w:r>
      <w:r w:rsidRPr="00B91020">
        <w:t xml:space="preserve">può ritenersi che i due procedimenti perseguano scopi complementari, o concernano diversi aspetti del comportamento illecito. </w:t>
      </w:r>
    </w:p>
    <w:p w:rsidR="002E265C" w:rsidRDefault="00AE2A54" w:rsidP="007C0A0D">
      <w:pPr>
        <w:jc w:val="both"/>
      </w:pPr>
      <w:r>
        <w:t>Infine, non</w:t>
      </w:r>
      <w:r w:rsidR="008A493B" w:rsidRPr="00B91020">
        <w:t xml:space="preserve"> è previsto alcun meccanismo che consenta al giudice penale (ovvero all’autorità amministrativa</w:t>
      </w:r>
      <w:r w:rsidR="002E265C">
        <w:t>,</w:t>
      </w:r>
      <w:r w:rsidR="008A493B" w:rsidRPr="00B91020">
        <w:t xml:space="preserve"> in caso di formazione anticipata</w:t>
      </w:r>
      <w:r w:rsidR="00156500">
        <w:t xml:space="preserve"> del giudicato penale) di tener</w:t>
      </w:r>
      <w:r w:rsidR="008A493B" w:rsidRPr="00B91020">
        <w:t xml:space="preserve"> conto della sanzione già irrogata ai fini della commisurazione della pena, </w:t>
      </w:r>
      <w:r w:rsidR="00156500">
        <w:t>così</w:t>
      </w:r>
      <w:r w:rsidR="008A493B" w:rsidRPr="00B91020">
        <w:t xml:space="preserve"> da evitare che una medesima condotta sia</w:t>
      </w:r>
      <w:r w:rsidR="002E265C">
        <w:t xml:space="preserve"> punita in modo sproporzionato.</w:t>
      </w:r>
    </w:p>
    <w:p w:rsidR="008A493B" w:rsidRPr="00B91020" w:rsidRDefault="00AE2A54" w:rsidP="007C0A0D">
      <w:pPr>
        <w:jc w:val="both"/>
      </w:pPr>
      <w:r>
        <w:t xml:space="preserve">Ed </w:t>
      </w:r>
      <w:r w:rsidRPr="00B91020">
        <w:t xml:space="preserve">infatti, </w:t>
      </w:r>
      <w:r>
        <w:t>l</w:t>
      </w:r>
      <w:r w:rsidR="002E265C">
        <w:t xml:space="preserve">a </w:t>
      </w:r>
      <w:r w:rsidR="008A493B" w:rsidRPr="00B91020">
        <w:t>severa multa che il giudice penale è tenuto a</w:t>
      </w:r>
      <w:r w:rsidR="00156500">
        <w:t>d</w:t>
      </w:r>
      <w:r w:rsidR="008A493B" w:rsidRPr="00B91020">
        <w:t xml:space="preserve"> irrogare viene a sovrapporsi alla già gravosa sanzione pecuniaria amministrativa, senza che si possa discernere una qualsiasi autonomia di </w:t>
      </w:r>
      <w:r w:rsidR="008A493B" w:rsidRPr="00156500">
        <w:rPr>
          <w:i/>
        </w:rPr>
        <w:t>ratio</w:t>
      </w:r>
      <w:r w:rsidR="008A493B" w:rsidRPr="00B91020">
        <w:t xml:space="preserve">, né alcun coordinamento funzionale, tra di esse. </w:t>
      </w:r>
    </w:p>
    <w:p w:rsidR="00AE2A54" w:rsidRDefault="008A493B" w:rsidP="00AE2A54">
      <w:pPr>
        <w:jc w:val="both"/>
      </w:pPr>
      <w:r w:rsidRPr="00B91020">
        <w:t>Da tutto ciò discende che il sistema di “doppio binario” in esame non è normativamente congegnato in modo da assicurare che i due procedimenti sanzionatori apprestino una risposta sostanzialmente unitaria a</w:t>
      </w:r>
      <w:r w:rsidR="00AE2A54">
        <w:t>ll’</w:t>
      </w:r>
      <w:r w:rsidRPr="00B91020">
        <w:t>illecit</w:t>
      </w:r>
      <w:r w:rsidR="00AE2A54">
        <w:t>o.</w:t>
      </w:r>
    </w:p>
    <w:p w:rsidR="008A493B" w:rsidRPr="00B91020" w:rsidRDefault="00AE2A54" w:rsidP="00AE2A54">
      <w:pPr>
        <w:jc w:val="both"/>
      </w:pPr>
      <w:r>
        <w:t>Essi</w:t>
      </w:r>
      <w:r w:rsidR="00156500">
        <w:t>, invero, pur</w:t>
      </w:r>
      <w:r>
        <w:t xml:space="preserve"> </w:t>
      </w:r>
      <w:r w:rsidR="008A493B" w:rsidRPr="00B91020">
        <w:t>originan</w:t>
      </w:r>
      <w:r w:rsidR="00156500">
        <w:t>d</w:t>
      </w:r>
      <w:r w:rsidR="008A493B" w:rsidRPr="00B91020">
        <w:t>o dalla medesima condotta, seguono poi percorsi autonomi, che non si intersecano</w:t>
      </w:r>
      <w:r>
        <w:t>,</w:t>
      </w:r>
      <w:r w:rsidR="008A493B" w:rsidRPr="00B91020">
        <w:t xml:space="preserve"> né si coordinano reciprocamente in alcun modo, creando così inevitabilmente le condizioni per il verificarsi di violazioni sistemiche del diritto al </w:t>
      </w:r>
      <w:proofErr w:type="gramStart"/>
      <w:r w:rsidR="008A493B" w:rsidRPr="00D54922">
        <w:rPr>
          <w:i/>
        </w:rPr>
        <w:t>ne</w:t>
      </w:r>
      <w:proofErr w:type="gramEnd"/>
      <w:r w:rsidR="008A493B" w:rsidRPr="00D54922">
        <w:rPr>
          <w:i/>
        </w:rPr>
        <w:t xml:space="preserve"> bis in idem</w:t>
      </w:r>
      <w:r w:rsidR="008A493B" w:rsidRPr="00B91020">
        <w:t>.</w:t>
      </w:r>
    </w:p>
    <w:p w:rsidR="008A493B" w:rsidRDefault="008A493B" w:rsidP="007C0A0D">
      <w:pPr>
        <w:jc w:val="both"/>
      </w:pPr>
      <w:r w:rsidRPr="00B91020">
        <w:t>Per questi motivi</w:t>
      </w:r>
      <w:r w:rsidR="00156500">
        <w:t>,</w:t>
      </w:r>
      <w:r w:rsidRPr="00B91020">
        <w:t xml:space="preserve"> la Corte costituzionale ha dichiarato l’illegittimità costituzionale dell’art. 649 </w:t>
      </w:r>
      <w:r w:rsidR="00A22EE0">
        <w:t>c.p.p.</w:t>
      </w:r>
      <w:r w:rsidRPr="00B91020">
        <w:t>, nella parte in cui non prevede che il giudice pronunci sentenza di proscioglimento o di non luogo a procedere nei confronti di un imputato per uno dei delitti previsti dall’art. 171-</w:t>
      </w:r>
      <w:r w:rsidRPr="00A22EE0">
        <w:rPr>
          <w:i/>
        </w:rPr>
        <w:t>ter</w:t>
      </w:r>
      <w:r w:rsidRPr="00B91020">
        <w:t xml:space="preserve"> della legge </w:t>
      </w:r>
      <w:r w:rsidR="00A22EE0" w:rsidRPr="00B91020">
        <w:t xml:space="preserve">n. 633 </w:t>
      </w:r>
      <w:r w:rsidR="00A22EE0">
        <w:t xml:space="preserve">del </w:t>
      </w:r>
      <w:r w:rsidR="00156500">
        <w:t>1941</w:t>
      </w:r>
      <w:r w:rsidRPr="00B91020">
        <w:t xml:space="preserve"> che, in relazione al medesimo fatto, sia già stato sottoposto a procedimento, definitivamente conclusosi, per l’illecito amministrativo di cui all’art. 174-</w:t>
      </w:r>
      <w:r w:rsidRPr="00A22EE0">
        <w:rPr>
          <w:i/>
        </w:rPr>
        <w:t>bis</w:t>
      </w:r>
      <w:r w:rsidRPr="00B91020">
        <w:t xml:space="preserve"> della medesima legge.</w:t>
      </w:r>
    </w:p>
    <w:p w:rsidR="00CF2BA2" w:rsidRDefault="00CF2BA2" w:rsidP="007C0A0D">
      <w:pPr>
        <w:jc w:val="both"/>
      </w:pPr>
    </w:p>
    <w:p w:rsidR="000F26A9" w:rsidRPr="00CF2BA2" w:rsidRDefault="005A03AA" w:rsidP="00CF2BA2">
      <w:pPr>
        <w:pStyle w:val="Paragrafoelenco"/>
        <w:numPr>
          <w:ilvl w:val="0"/>
          <w:numId w:val="3"/>
        </w:numPr>
        <w:jc w:val="both"/>
        <w:rPr>
          <w:b/>
        </w:rPr>
      </w:pPr>
      <w:r>
        <w:rPr>
          <w:b/>
        </w:rPr>
        <w:t>Provvisorie c</w:t>
      </w:r>
      <w:r w:rsidR="00CF2BA2" w:rsidRPr="00CF2BA2">
        <w:rPr>
          <w:b/>
        </w:rPr>
        <w:t>onclusioni</w:t>
      </w:r>
      <w:r>
        <w:rPr>
          <w:b/>
        </w:rPr>
        <w:t xml:space="preserve"> sul versante del diritto tributario</w:t>
      </w:r>
      <w:r w:rsidR="00CF2BA2" w:rsidRPr="00CF2BA2">
        <w:rPr>
          <w:b/>
        </w:rPr>
        <w:t>.</w:t>
      </w:r>
    </w:p>
    <w:p w:rsidR="00CF2BA2" w:rsidRDefault="00CF2BA2" w:rsidP="00CF2BA2">
      <w:pPr>
        <w:jc w:val="both"/>
      </w:pPr>
      <w:r>
        <w:t xml:space="preserve">Non è dato sapere se la sentenza in esame resterà una </w:t>
      </w:r>
      <w:r w:rsidRPr="00E27B0B">
        <w:rPr>
          <w:i/>
        </w:rPr>
        <w:t>monade</w:t>
      </w:r>
      <w:r w:rsidR="00E27B0B" w:rsidRPr="00E27B0B">
        <w:t>,</w:t>
      </w:r>
      <w:r>
        <w:t xml:space="preserve"> o </w:t>
      </w:r>
      <w:r w:rsidR="00361783">
        <w:t>d</w:t>
      </w:r>
      <w:r>
        <w:t>arà il via</w:t>
      </w:r>
      <w:r w:rsidR="006B3D5A">
        <w:t xml:space="preserve"> </w:t>
      </w:r>
      <w:r w:rsidR="00361783">
        <w:t>a</w:t>
      </w:r>
      <w:r>
        <w:t xml:space="preserve">d un vasto ripensamento del sistema del “doppio binario” sanzionatorio, molto diffuso in Italia, anche e soprattutto a seguito della caduta </w:t>
      </w:r>
      <w:r w:rsidR="006B3D5A">
        <w:t>di due</w:t>
      </w:r>
      <w:r>
        <w:t xml:space="preserve"> </w:t>
      </w:r>
      <w:r w:rsidRPr="00CF2BA2">
        <w:rPr>
          <w:i/>
        </w:rPr>
        <w:t>mit</w:t>
      </w:r>
      <w:r w:rsidR="006B3D5A">
        <w:rPr>
          <w:i/>
        </w:rPr>
        <w:t>i</w:t>
      </w:r>
      <w:r w:rsidR="006B3D5A">
        <w:t xml:space="preserve">: </w:t>
      </w:r>
      <w:r w:rsidR="00361783">
        <w:t xml:space="preserve">- </w:t>
      </w:r>
      <w:r w:rsidR="006B3D5A">
        <w:t>quello de</w:t>
      </w:r>
      <w:r>
        <w:t>lla pregiudizialità</w:t>
      </w:r>
      <w:r w:rsidR="006B3D5A">
        <w:t xml:space="preserve"> (o primazia)</w:t>
      </w:r>
      <w:r>
        <w:t xml:space="preserve"> penale</w:t>
      </w:r>
      <w:r w:rsidR="00E27B0B">
        <w:t xml:space="preserve">, ovverosia </w:t>
      </w:r>
      <w:r w:rsidR="00E546AB">
        <w:t>del</w:t>
      </w:r>
      <w:r w:rsidR="00E27B0B">
        <w:t>la prerogativa</w:t>
      </w:r>
      <w:r w:rsidR="006B3D5A">
        <w:t>,</w:t>
      </w:r>
      <w:r w:rsidR="00E27B0B">
        <w:t xml:space="preserve"> </w:t>
      </w:r>
      <w:r w:rsidR="006B3D5A">
        <w:t>concess</w:t>
      </w:r>
      <w:r w:rsidR="00E27B0B">
        <w:t>a al giudice penale</w:t>
      </w:r>
      <w:r w:rsidR="006B3D5A">
        <w:t>,</w:t>
      </w:r>
      <w:r w:rsidR="00E27B0B">
        <w:t xml:space="preserve"> di accerta</w:t>
      </w:r>
      <w:r w:rsidR="00E27B0B" w:rsidRPr="00E27B0B">
        <w:t xml:space="preserve">re la questione </w:t>
      </w:r>
      <w:r w:rsidR="00E27B0B">
        <w:t xml:space="preserve">di fatto </w:t>
      </w:r>
      <w:r w:rsidR="00E27B0B" w:rsidRPr="00E27B0B">
        <w:t xml:space="preserve">con </w:t>
      </w:r>
      <w:r w:rsidR="00E27B0B">
        <w:t xml:space="preserve">tendenziale </w:t>
      </w:r>
      <w:r w:rsidR="00E27B0B" w:rsidRPr="00E27B0B">
        <w:t>efficacia di </w:t>
      </w:r>
      <w:hyperlink r:id="rId9" w:history="1">
        <w:r w:rsidR="00E27B0B" w:rsidRPr="00E27B0B">
          <w:t>giudicato</w:t>
        </w:r>
      </w:hyperlink>
      <w:r w:rsidR="00E27B0B" w:rsidRPr="00E27B0B">
        <w:t> </w:t>
      </w:r>
      <w:r w:rsidR="00E27B0B">
        <w:t>su</w:t>
      </w:r>
      <w:r w:rsidR="006B3D5A">
        <w:t>gli</w:t>
      </w:r>
      <w:r w:rsidR="00E27B0B">
        <w:t xml:space="preserve"> altri processi o procedimenti</w:t>
      </w:r>
      <w:r w:rsidR="006B3D5A">
        <w:t xml:space="preserve"> convergenti; </w:t>
      </w:r>
      <w:r w:rsidR="00361783">
        <w:t>-</w:t>
      </w:r>
      <w:r w:rsidR="006B3D5A">
        <w:t xml:space="preserve"> quello della specialità, </w:t>
      </w:r>
      <w:r w:rsidR="006B3D5A" w:rsidRPr="006B3D5A">
        <w:t>quale criterio di composizione del concorso tra norme</w:t>
      </w:r>
    </w:p>
    <w:p w:rsidR="00CF2BA2" w:rsidRDefault="006B3D5A" w:rsidP="00CF2BA2">
      <w:pPr>
        <w:jc w:val="both"/>
      </w:pPr>
      <w:r>
        <w:t xml:space="preserve">Le ripercussioni, nel secondo caso, potrebbero interessare certamente l’ordinamento tributario, dove, per lo stesso illecito, il contribuente si trova esposto sovente ad un processo penale </w:t>
      </w:r>
      <w:proofErr w:type="gramStart"/>
      <w:r>
        <w:t>ed</w:t>
      </w:r>
      <w:proofErr w:type="gramEnd"/>
      <w:r>
        <w:t xml:space="preserve"> ad un procedimento fiscale, con rischio di comminatoria di un doppia onerosa sanzione.</w:t>
      </w:r>
    </w:p>
    <w:p w:rsidR="006B3D5A" w:rsidRDefault="006B3D5A" w:rsidP="006B3D5A">
      <w:pPr>
        <w:jc w:val="both"/>
      </w:pPr>
      <w:r>
        <w:t xml:space="preserve">Non a caso, in dottrina si è sostenuto che </w:t>
      </w:r>
      <w:r>
        <w:rPr>
          <w:rFonts w:cstheme="minorHAnsi"/>
        </w:rPr>
        <w:t>«</w:t>
      </w:r>
      <w:r w:rsidRPr="006B3D5A">
        <w:t xml:space="preserve">un’applicazione rigorosa del principio del </w:t>
      </w:r>
      <w:r w:rsidRPr="006B3D5A">
        <w:rPr>
          <w:i/>
        </w:rPr>
        <w:t>ne bis in idem</w:t>
      </w:r>
      <w:r w:rsidRPr="006B3D5A">
        <w:t xml:space="preserve"> come si</w:t>
      </w:r>
      <w:r>
        <w:t xml:space="preserve"> </w:t>
      </w:r>
      <w:r w:rsidRPr="006B3D5A">
        <w:t>sta delineando nella giurisprudenza della Corte EDU e della Corte di</w:t>
      </w:r>
      <w:r>
        <w:t xml:space="preserve"> </w:t>
      </w:r>
      <w:r w:rsidRPr="006B3D5A">
        <w:t>Giustizia, combinato alla presa d’atto che le sanzioni amministrative</w:t>
      </w:r>
      <w:r>
        <w:t xml:space="preserve"> </w:t>
      </w:r>
      <w:r w:rsidRPr="006B3D5A">
        <w:t>tributarie vanno annoverate nel novero delle sanzioni afflittive e quindi</w:t>
      </w:r>
      <w:r>
        <w:t xml:space="preserve"> </w:t>
      </w:r>
      <w:r w:rsidRPr="006B3D5A">
        <w:t>“penali”, potrebbe condurre ad un modello sanzionatorio dove, di fatto,</w:t>
      </w:r>
      <w:r>
        <w:t xml:space="preserve"> </w:t>
      </w:r>
      <w:r w:rsidRPr="006B3D5A">
        <w:t>resta espunta la reazione penale, a favore di quella amministrativa</w:t>
      </w:r>
      <w:r>
        <w:rPr>
          <w:rFonts w:cstheme="minorHAnsi"/>
        </w:rPr>
        <w:t>»</w:t>
      </w:r>
      <w:r>
        <w:rPr>
          <w:rStyle w:val="Rimandonotaapidipagina"/>
          <w:rFonts w:cstheme="minorHAnsi"/>
        </w:rPr>
        <w:footnoteReference w:id="13"/>
      </w:r>
      <w:r w:rsidRPr="006B3D5A">
        <w:t>.</w:t>
      </w:r>
    </w:p>
    <w:p w:rsidR="005A03AA" w:rsidRDefault="005A03AA" w:rsidP="005A03AA">
      <w:pPr>
        <w:jc w:val="both"/>
        <w:rPr>
          <w:rFonts w:cstheme="minorHAnsi"/>
        </w:rPr>
      </w:pPr>
      <w:r>
        <w:t xml:space="preserve">Per vero, </w:t>
      </w:r>
      <w:r>
        <w:rPr>
          <w:rFonts w:cstheme="minorHAnsi"/>
        </w:rPr>
        <w:t>«</w:t>
      </w:r>
      <w:r>
        <w:t>l</w:t>
      </w:r>
      <w:r w:rsidRPr="005A03AA">
        <w:t>a regola di specialità conduce ad individuare una relazione di genere a</w:t>
      </w:r>
      <w:r>
        <w:t xml:space="preserve"> </w:t>
      </w:r>
      <w:r w:rsidRPr="005A03AA">
        <w:t>specie tra due disposizioni, dove una (quella c</w:t>
      </w:r>
      <w:r>
        <w:t>.</w:t>
      </w:r>
      <w:r w:rsidRPr="005A03AA">
        <w:t>d. speciale) contiene tutti</w:t>
      </w:r>
      <w:r>
        <w:t xml:space="preserve"> </w:t>
      </w:r>
      <w:r w:rsidRPr="005A03AA">
        <w:t>gli elementi dell’altra (c</w:t>
      </w:r>
      <w:r>
        <w:t>.</w:t>
      </w:r>
      <w:r w:rsidRPr="005A03AA">
        <w:t>d. generale), oltre ad elementi ulteriori</w:t>
      </w:r>
      <w:r>
        <w:t xml:space="preserve"> </w:t>
      </w:r>
      <w:r w:rsidRPr="005A03AA">
        <w:t>specializzanti. In questo modo</w:t>
      </w:r>
      <w:r>
        <w:t>,</w:t>
      </w:r>
      <w:r w:rsidRPr="005A03AA">
        <w:t xml:space="preserve"> diventa possibile pervenire all’applicazione</w:t>
      </w:r>
      <w:r>
        <w:t xml:space="preserve"> </w:t>
      </w:r>
      <w:r w:rsidRPr="005A03AA">
        <w:t>della sola disposizione speciale. Quest’ultima, in ragione degli elementi</w:t>
      </w:r>
      <w:r>
        <w:t xml:space="preserve"> </w:t>
      </w:r>
      <w:r w:rsidRPr="005A03AA">
        <w:t>specializzanti, è in grado</w:t>
      </w:r>
      <w:r>
        <w:t xml:space="preserve"> </w:t>
      </w:r>
      <w:r w:rsidRPr="005A03AA">
        <w:t>di cogliere con maggiore precisione il disvalore</w:t>
      </w:r>
      <w:r>
        <w:t xml:space="preserve"> </w:t>
      </w:r>
      <w:r w:rsidRPr="005A03AA">
        <w:t>della singola condotta. Disvalore, che, e proprio in ragione del rapporto di</w:t>
      </w:r>
      <w:r>
        <w:t xml:space="preserve"> </w:t>
      </w:r>
      <w:r w:rsidRPr="005A03AA">
        <w:t>specialità, è tuttavia il medesimo sotteso alla fattispecie generale, la</w:t>
      </w:r>
      <w:r>
        <w:t xml:space="preserve"> </w:t>
      </w:r>
      <w:r w:rsidRPr="005A03AA">
        <w:t>quale, conseguentemente, può non essere applicata, così scongiurando una</w:t>
      </w:r>
      <w:r>
        <w:t xml:space="preserve"> </w:t>
      </w:r>
      <w:r w:rsidRPr="005A03AA">
        <w:t>sostanziale duplicazione nella reazione sanzionatoria ordinamentale al</w:t>
      </w:r>
      <w:r>
        <w:t xml:space="preserve"> </w:t>
      </w:r>
      <w:r w:rsidRPr="005A03AA">
        <w:t>medesimo disvalore. Da qui, l’effetto proprio della specialità di permettere</w:t>
      </w:r>
      <w:r>
        <w:t xml:space="preserve"> </w:t>
      </w:r>
      <w:r w:rsidRPr="005A03AA">
        <w:t>e prevedere un’unica sanzione nonostante l’astratta applicabilità di più</w:t>
      </w:r>
      <w:r>
        <w:t xml:space="preserve"> </w:t>
      </w:r>
      <w:r w:rsidRPr="005A03AA">
        <w:t>previsioni, stante l’identità dei disvalori assunti dalle rispettive</w:t>
      </w:r>
      <w:r>
        <w:t xml:space="preserve"> </w:t>
      </w:r>
      <w:r w:rsidRPr="005A03AA">
        <w:t>fattispecie (quella generale e quella speciale)</w:t>
      </w:r>
      <w:r>
        <w:rPr>
          <w:rFonts w:cstheme="minorHAnsi"/>
        </w:rPr>
        <w:t>»</w:t>
      </w:r>
      <w:r w:rsidR="00361783">
        <w:rPr>
          <w:rStyle w:val="Rimandonotaapidipagina"/>
          <w:rFonts w:cstheme="minorHAnsi"/>
        </w:rPr>
        <w:footnoteReference w:id="14"/>
      </w:r>
      <w:r>
        <w:rPr>
          <w:rFonts w:cstheme="minorHAnsi"/>
        </w:rPr>
        <w:t>.</w:t>
      </w:r>
    </w:p>
    <w:p w:rsidR="00C50E6E" w:rsidRDefault="00C50E6E" w:rsidP="00C50E6E">
      <w:pPr>
        <w:jc w:val="both"/>
        <w:rPr>
          <w:rFonts w:cstheme="minorHAnsi"/>
        </w:rPr>
      </w:pPr>
      <w:r>
        <w:rPr>
          <w:rFonts w:cstheme="minorHAnsi"/>
        </w:rPr>
        <w:t xml:space="preserve">In particolare, la scelta effettuata dalla Corte costituzionale </w:t>
      </w:r>
      <w:r w:rsidR="00B84A2B">
        <w:rPr>
          <w:rFonts w:cstheme="minorHAnsi"/>
        </w:rPr>
        <w:t>di dichiarare incostituzionale la norma</w:t>
      </w:r>
      <w:r w:rsidR="00B84A2B">
        <w:t xml:space="preserve"> </w:t>
      </w:r>
      <w:proofErr w:type="spellStart"/>
      <w:r w:rsidR="00B84A2B">
        <w:t>violativa</w:t>
      </w:r>
      <w:proofErr w:type="spellEnd"/>
      <w:r w:rsidR="00B84A2B">
        <w:t xml:space="preserve"> degli </w:t>
      </w:r>
      <w:r w:rsidR="00B84A2B" w:rsidRPr="00B84A2B">
        <w:rPr>
          <w:i/>
        </w:rPr>
        <w:t xml:space="preserve">Engel </w:t>
      </w:r>
      <w:proofErr w:type="spellStart"/>
      <w:r w:rsidR="00B84A2B" w:rsidRPr="00B84A2B">
        <w:rPr>
          <w:i/>
        </w:rPr>
        <w:t>criteria</w:t>
      </w:r>
      <w:proofErr w:type="spellEnd"/>
      <w:r w:rsidR="00B84A2B">
        <w:t xml:space="preserve"> </w:t>
      </w:r>
      <w:r>
        <w:rPr>
          <w:rFonts w:cstheme="minorHAnsi"/>
        </w:rPr>
        <w:t xml:space="preserve">potrebbe mettere in crisi </w:t>
      </w:r>
      <w:r w:rsidR="008F36C1">
        <w:rPr>
          <w:rFonts w:cstheme="minorHAnsi"/>
        </w:rPr>
        <w:t xml:space="preserve">anche </w:t>
      </w:r>
      <w:r>
        <w:rPr>
          <w:rFonts w:cstheme="minorHAnsi"/>
        </w:rPr>
        <w:t>l’orientamento</w:t>
      </w:r>
      <w:r w:rsidR="00B84A2B">
        <w:rPr>
          <w:rFonts w:cstheme="minorHAnsi"/>
        </w:rPr>
        <w:t xml:space="preserve"> </w:t>
      </w:r>
      <w:r w:rsidR="009704F6">
        <w:rPr>
          <w:rFonts w:cstheme="minorHAnsi"/>
        </w:rPr>
        <w:t xml:space="preserve">ermeneutico </w:t>
      </w:r>
      <w:r w:rsidR="00B84A2B">
        <w:rPr>
          <w:rFonts w:cstheme="minorHAnsi"/>
        </w:rPr>
        <w:t>prudenzialmente assunto</w:t>
      </w:r>
      <w:r>
        <w:rPr>
          <w:rFonts w:cstheme="minorHAnsi"/>
        </w:rPr>
        <w:t xml:space="preserve"> d</w:t>
      </w:r>
      <w:r w:rsidR="00B84A2B">
        <w:rPr>
          <w:rFonts w:cstheme="minorHAnsi"/>
        </w:rPr>
        <w:t>a</w:t>
      </w:r>
      <w:r>
        <w:rPr>
          <w:rFonts w:cstheme="minorHAnsi"/>
        </w:rPr>
        <w:t>ll</w:t>
      </w:r>
      <w:r w:rsidR="00B84A2B">
        <w:rPr>
          <w:rFonts w:cstheme="minorHAnsi"/>
        </w:rPr>
        <w:t>e più recenti decisioni dell</w:t>
      </w:r>
      <w:r>
        <w:rPr>
          <w:rFonts w:cstheme="minorHAnsi"/>
        </w:rPr>
        <w:t>a Suprema Corte</w:t>
      </w:r>
      <w:r w:rsidR="00B84A2B">
        <w:rPr>
          <w:rStyle w:val="Rimandonotaapidipagina"/>
          <w:rFonts w:cstheme="minorHAnsi"/>
        </w:rPr>
        <w:footnoteReference w:id="15"/>
      </w:r>
      <w:r>
        <w:rPr>
          <w:rFonts w:cstheme="minorHAnsi"/>
        </w:rPr>
        <w:t xml:space="preserve">, secondo cui </w:t>
      </w:r>
      <w:r w:rsidR="00B84A2B">
        <w:rPr>
          <w:rFonts w:cstheme="minorHAnsi"/>
        </w:rPr>
        <w:t>«</w:t>
      </w:r>
      <w:r w:rsidRPr="00C50E6E">
        <w:rPr>
          <w:rFonts w:cstheme="minorHAnsi"/>
        </w:rPr>
        <w:t>non sussiste violazione del divi</w:t>
      </w:r>
      <w:r>
        <w:rPr>
          <w:rFonts w:cstheme="minorHAnsi"/>
        </w:rPr>
        <w:t xml:space="preserve">eto di </w:t>
      </w:r>
      <w:r w:rsidRPr="00B84A2B">
        <w:rPr>
          <w:rFonts w:cstheme="minorHAnsi"/>
          <w:i/>
        </w:rPr>
        <w:t>bis in idem</w:t>
      </w:r>
      <w:r w:rsidRPr="00C50E6E">
        <w:rPr>
          <w:rFonts w:cstheme="minorHAnsi"/>
        </w:rPr>
        <w:t xml:space="preserve"> di cui all’art. 4, § 1, Protocollo n. 7 alla Convenzione EDU, nei casi di litispendenza, quando cioè una medesima persona sia perseguita o sottoposta contemporaneamente a più procedimenti per il medesimo fatto storico e per l’applicazione di sanzioni formalmente o sostanzialmente penali, oppure quando tra i procedimenti vi sia una stretta connessione sostanziale e procedurale</w:t>
      </w:r>
      <w:r w:rsidR="00B84A2B">
        <w:rPr>
          <w:rFonts w:cstheme="minorHAnsi"/>
        </w:rPr>
        <w:t>».</w:t>
      </w:r>
    </w:p>
    <w:p w:rsidR="00C50E6E" w:rsidRDefault="00C50E6E" w:rsidP="00C50E6E">
      <w:pPr>
        <w:jc w:val="both"/>
        <w:rPr>
          <w:rFonts w:cstheme="minorHAnsi"/>
        </w:rPr>
      </w:pPr>
      <w:r>
        <w:rPr>
          <w:rFonts w:cstheme="minorHAnsi"/>
        </w:rPr>
        <w:t xml:space="preserve">Detta </w:t>
      </w:r>
      <w:r w:rsidRPr="00C50E6E">
        <w:rPr>
          <w:rFonts w:cstheme="minorHAnsi"/>
        </w:rPr>
        <w:t>connessione sosta</w:t>
      </w:r>
      <w:r>
        <w:rPr>
          <w:rFonts w:cstheme="minorHAnsi"/>
        </w:rPr>
        <w:t>nziale sussiste ogni qual volta</w:t>
      </w:r>
      <w:r w:rsidRPr="00C50E6E">
        <w:rPr>
          <w:rFonts w:cstheme="minorHAnsi"/>
        </w:rPr>
        <w:t xml:space="preserve"> il provvedimento amministrativo viene applicato </w:t>
      </w:r>
      <w:r w:rsidRPr="00C50E6E">
        <w:rPr>
          <w:rFonts w:cstheme="minorHAnsi"/>
          <w:i/>
        </w:rPr>
        <w:t xml:space="preserve">ex </w:t>
      </w:r>
      <w:proofErr w:type="spellStart"/>
      <w:r w:rsidRPr="00C50E6E">
        <w:rPr>
          <w:rFonts w:cstheme="minorHAnsi"/>
          <w:i/>
        </w:rPr>
        <w:t>lege</w:t>
      </w:r>
      <w:proofErr w:type="spellEnd"/>
      <w:r w:rsidRPr="00C50E6E">
        <w:rPr>
          <w:rFonts w:cstheme="minorHAnsi"/>
        </w:rPr>
        <w:t xml:space="preserve"> in conseguenza della condanna penale</w:t>
      </w:r>
      <w:r w:rsidR="00B84A2B">
        <w:rPr>
          <w:rFonts w:cstheme="minorHAnsi"/>
        </w:rPr>
        <w:t>,</w:t>
      </w:r>
      <w:r w:rsidRPr="00C50E6E">
        <w:rPr>
          <w:rFonts w:cstheme="minorHAnsi"/>
        </w:rPr>
        <w:t xml:space="preserve"> o quando la pluralità di procedimenti sia funzionale ad applicare </w:t>
      </w:r>
      <w:r w:rsidR="009704F6" w:rsidRPr="00C50E6E">
        <w:rPr>
          <w:rFonts w:cstheme="minorHAnsi"/>
        </w:rPr>
        <w:t xml:space="preserve">per lo stesso fatto </w:t>
      </w:r>
      <w:r w:rsidR="009704F6">
        <w:rPr>
          <w:rFonts w:cstheme="minorHAnsi"/>
        </w:rPr>
        <w:t xml:space="preserve">più </w:t>
      </w:r>
      <w:r w:rsidRPr="00C50E6E">
        <w:rPr>
          <w:rFonts w:cstheme="minorHAnsi"/>
        </w:rPr>
        <w:t xml:space="preserve">sanzioni complementari, </w:t>
      </w:r>
      <w:r w:rsidR="00B84A2B">
        <w:rPr>
          <w:rFonts w:cstheme="minorHAnsi"/>
        </w:rPr>
        <w:t xml:space="preserve">le quali costituiscono </w:t>
      </w:r>
      <w:r w:rsidRPr="00C50E6E">
        <w:rPr>
          <w:rFonts w:cstheme="minorHAnsi"/>
        </w:rPr>
        <w:t>la risposta integrata dell’ordinamento all’illecito commesso. La connessione temp</w:t>
      </w:r>
      <w:r>
        <w:rPr>
          <w:rFonts w:cstheme="minorHAnsi"/>
        </w:rPr>
        <w:t>orale sussiste sia nei casi di </w:t>
      </w:r>
      <w:r w:rsidRPr="00C50E6E">
        <w:rPr>
          <w:rFonts w:cstheme="minorHAnsi"/>
        </w:rPr>
        <w:t>celebrazione simultanea dei procedimenti, sia quando il secondo procedimento si celebri e si concluda entro un tempo non eccessivamente lontano dalla conclusione del primo procedimento, essendo necessario scongiurare che il procedimento “integrat</w:t>
      </w:r>
      <w:r>
        <w:rPr>
          <w:rFonts w:cstheme="minorHAnsi"/>
        </w:rPr>
        <w:t>o” si protragga eccessivamente nel tempo.</w:t>
      </w:r>
    </w:p>
    <w:p w:rsidR="00C50E6E" w:rsidRPr="00C50E6E" w:rsidRDefault="00C50E6E" w:rsidP="00C50E6E">
      <w:pPr>
        <w:jc w:val="both"/>
        <w:rPr>
          <w:rFonts w:cstheme="minorHAnsi"/>
        </w:rPr>
      </w:pPr>
      <w:r>
        <w:rPr>
          <w:rFonts w:cstheme="minorHAnsi"/>
        </w:rPr>
        <w:t>In particolare, t</w:t>
      </w:r>
      <w:r w:rsidRPr="00C50E6E">
        <w:rPr>
          <w:rFonts w:cstheme="minorHAnsi"/>
        </w:rPr>
        <w:t xml:space="preserve">ale connessione temporale </w:t>
      </w:r>
      <w:r>
        <w:rPr>
          <w:rFonts w:cstheme="minorHAnsi"/>
        </w:rPr>
        <w:t xml:space="preserve">è stata ritenuta </w:t>
      </w:r>
      <w:r w:rsidRPr="00C50E6E">
        <w:rPr>
          <w:rFonts w:cstheme="minorHAnsi"/>
        </w:rPr>
        <w:t xml:space="preserve">soddisfatta </w:t>
      </w:r>
      <w:r>
        <w:rPr>
          <w:rFonts w:cstheme="minorHAnsi"/>
        </w:rPr>
        <w:t>in un</w:t>
      </w:r>
      <w:r w:rsidRPr="00C50E6E">
        <w:rPr>
          <w:rFonts w:cstheme="minorHAnsi"/>
        </w:rPr>
        <w:t xml:space="preserve"> caso</w:t>
      </w:r>
      <w:r>
        <w:rPr>
          <w:rFonts w:cstheme="minorHAnsi"/>
        </w:rPr>
        <w:t xml:space="preserve"> </w:t>
      </w:r>
      <w:r w:rsidRPr="00C50E6E">
        <w:rPr>
          <w:rFonts w:cstheme="minorHAnsi"/>
        </w:rPr>
        <w:t xml:space="preserve">nel quale la durata del procedimento penale si è prolungata per ulteriori due anni dalla conclusione del procedimento tributario, per una durata complessiva dei </w:t>
      </w:r>
      <w:r>
        <w:rPr>
          <w:rFonts w:cstheme="minorHAnsi"/>
        </w:rPr>
        <w:t>due procedimenti pari ad anni 6.</w:t>
      </w:r>
    </w:p>
    <w:p w:rsidR="00C50E6E" w:rsidRDefault="00C50E6E" w:rsidP="00C50E6E">
      <w:pPr>
        <w:jc w:val="both"/>
        <w:rPr>
          <w:rFonts w:cstheme="minorHAnsi"/>
        </w:rPr>
      </w:pPr>
      <w:r>
        <w:rPr>
          <w:rFonts w:cstheme="minorHAnsi"/>
        </w:rPr>
        <w:t>Ad ogni modo, n</w:t>
      </w:r>
      <w:r w:rsidRPr="00C50E6E">
        <w:rPr>
          <w:rFonts w:cstheme="minorHAnsi"/>
        </w:rPr>
        <w:t>ei casi nei quali la sanzione amministrativa prevista ed applic</w:t>
      </w:r>
      <w:r>
        <w:rPr>
          <w:rFonts w:cstheme="minorHAnsi"/>
        </w:rPr>
        <w:t>ata per il reato commesso abbia</w:t>
      </w:r>
      <w:r w:rsidRPr="00C50E6E">
        <w:rPr>
          <w:rFonts w:cstheme="minorHAnsi"/>
        </w:rPr>
        <w:t xml:space="preserve"> natura sostanzialmente penale, </w:t>
      </w:r>
      <w:r w:rsidR="00B84A2B">
        <w:rPr>
          <w:rFonts w:cstheme="minorHAnsi"/>
        </w:rPr>
        <w:t>«</w:t>
      </w:r>
      <w:r w:rsidRPr="00C50E6E">
        <w:rPr>
          <w:rFonts w:cstheme="minorHAnsi"/>
        </w:rPr>
        <w:t>deve essere garantito un meccanismo di compensazione che consenta di tener conto, in sede di irrogazione della seconda sanzione, degli effetti della prima così da evitare che la sanzione complessivamente irrogata sia sproporzionata</w:t>
      </w:r>
      <w:r w:rsidR="00B84A2B">
        <w:rPr>
          <w:rFonts w:cstheme="minorHAnsi"/>
        </w:rPr>
        <w:t>»</w:t>
      </w:r>
      <w:r w:rsidRPr="00C50E6E">
        <w:rPr>
          <w:rFonts w:cstheme="minorHAnsi"/>
        </w:rPr>
        <w:t>.</w:t>
      </w:r>
    </w:p>
    <w:p w:rsidR="00B84A2B" w:rsidRDefault="00C50E6E" w:rsidP="00C50E6E">
      <w:pPr>
        <w:jc w:val="both"/>
        <w:rPr>
          <w:rFonts w:cstheme="minorHAnsi"/>
        </w:rPr>
      </w:pPr>
      <w:r>
        <w:rPr>
          <w:rFonts w:cstheme="minorHAnsi"/>
        </w:rPr>
        <w:t>A tal fine,</w:t>
      </w:r>
      <w:r w:rsidRPr="00C50E6E">
        <w:rPr>
          <w:rFonts w:cstheme="minorHAnsi"/>
        </w:rPr>
        <w:t xml:space="preserve"> </w:t>
      </w:r>
      <w:r w:rsidR="00A673E2">
        <w:rPr>
          <w:rFonts w:cstheme="minorHAnsi"/>
        </w:rPr>
        <w:t>deve</w:t>
      </w:r>
      <w:r w:rsidRPr="00C50E6E">
        <w:rPr>
          <w:rFonts w:cstheme="minorHAnsi"/>
        </w:rPr>
        <w:t xml:space="preserve"> far</w:t>
      </w:r>
      <w:r w:rsidR="00A673E2">
        <w:rPr>
          <w:rFonts w:cstheme="minorHAnsi"/>
        </w:rPr>
        <w:t>si</w:t>
      </w:r>
      <w:r w:rsidRPr="00C50E6E">
        <w:rPr>
          <w:rFonts w:cstheme="minorHAnsi"/>
        </w:rPr>
        <w:t xml:space="preserve"> </w:t>
      </w:r>
      <w:r w:rsidR="009704F6">
        <w:rPr>
          <w:rFonts w:cstheme="minorHAnsi"/>
        </w:rPr>
        <w:t>utilizzo</w:t>
      </w:r>
      <w:r w:rsidR="00B84A2B">
        <w:rPr>
          <w:rFonts w:cstheme="minorHAnsi"/>
        </w:rPr>
        <w:t xml:space="preserve"> de</w:t>
      </w:r>
      <w:r w:rsidRPr="00C50E6E">
        <w:rPr>
          <w:rFonts w:cstheme="minorHAnsi"/>
        </w:rPr>
        <w:t>ll’art. 135 c.p.</w:t>
      </w:r>
      <w:r w:rsidR="00B84A2B">
        <w:rPr>
          <w:rFonts w:cstheme="minorHAnsi"/>
        </w:rPr>
        <w:t>,</w:t>
      </w:r>
      <w:r>
        <w:rPr>
          <w:rFonts w:cstheme="minorHAnsi"/>
        </w:rPr>
        <w:t xml:space="preserve"> </w:t>
      </w:r>
      <w:r w:rsidRPr="00C50E6E">
        <w:rPr>
          <w:rFonts w:cstheme="minorHAnsi"/>
        </w:rPr>
        <w:t>che fornisce l’unità di misura (</w:t>
      </w:r>
      <w:r w:rsidR="00B84A2B">
        <w:rPr>
          <w:rFonts w:cstheme="minorHAnsi"/>
        </w:rPr>
        <w:t xml:space="preserve">pari ad </w:t>
      </w:r>
      <w:r w:rsidRPr="00C50E6E">
        <w:rPr>
          <w:rFonts w:cstheme="minorHAnsi"/>
        </w:rPr>
        <w:t>€ 250,00 per ogni giorno di detenzione) della sanzione applicabile in sede penale</w:t>
      </w:r>
      <w:r w:rsidR="008F36C1">
        <w:rPr>
          <w:rFonts w:cstheme="minorHAnsi"/>
        </w:rPr>
        <w:t>,</w:t>
      </w:r>
      <w:r w:rsidRPr="00C50E6E">
        <w:rPr>
          <w:rFonts w:cstheme="minorHAnsi"/>
        </w:rPr>
        <w:t xml:space="preserve"> converte</w:t>
      </w:r>
      <w:r w:rsidR="008F36C1">
        <w:rPr>
          <w:rFonts w:cstheme="minorHAnsi"/>
        </w:rPr>
        <w:t>ndo</w:t>
      </w:r>
      <w:r w:rsidRPr="00C50E6E">
        <w:rPr>
          <w:rFonts w:cstheme="minorHAnsi"/>
        </w:rPr>
        <w:t xml:space="preserve"> in giorni di detenzione l’ammontare della sanzione pecuniaria amministrativa</w:t>
      </w:r>
      <w:r w:rsidR="009704F6">
        <w:rPr>
          <w:rFonts w:cstheme="minorHAnsi"/>
        </w:rPr>
        <w:t>,</w:t>
      </w:r>
      <w:r w:rsidR="00B84A2B" w:rsidRPr="00C50E6E">
        <w:rPr>
          <w:rFonts w:cstheme="minorHAnsi"/>
        </w:rPr>
        <w:t xml:space="preserve"> </w:t>
      </w:r>
      <w:r w:rsidR="009704F6">
        <w:rPr>
          <w:rFonts w:cstheme="minorHAnsi"/>
        </w:rPr>
        <w:t>riconosce</w:t>
      </w:r>
      <w:r w:rsidR="00B84A2B" w:rsidRPr="00C50E6E">
        <w:rPr>
          <w:rFonts w:cstheme="minorHAnsi"/>
        </w:rPr>
        <w:t xml:space="preserve">ndo, </w:t>
      </w:r>
      <w:r w:rsidR="008F36C1">
        <w:rPr>
          <w:rFonts w:cstheme="minorHAnsi"/>
        </w:rPr>
        <w:t>ove occorra</w:t>
      </w:r>
      <w:r w:rsidR="00B84A2B" w:rsidRPr="00C50E6E">
        <w:rPr>
          <w:rFonts w:cstheme="minorHAnsi"/>
        </w:rPr>
        <w:t>, le circostanze attenuanti generiche e valutando le condizioni economiche del reo</w:t>
      </w:r>
      <w:r w:rsidRPr="00C50E6E">
        <w:rPr>
          <w:rFonts w:cstheme="minorHAnsi"/>
        </w:rPr>
        <w:t>.</w:t>
      </w:r>
    </w:p>
    <w:p w:rsidR="00C50E6E" w:rsidRDefault="00C50E6E" w:rsidP="005A03AA">
      <w:pPr>
        <w:jc w:val="both"/>
        <w:rPr>
          <w:rFonts w:cstheme="minorHAnsi"/>
        </w:rPr>
      </w:pPr>
      <w:r>
        <w:rPr>
          <w:rFonts w:cstheme="minorHAnsi"/>
        </w:rPr>
        <w:t>T</w:t>
      </w:r>
      <w:r w:rsidR="00B84A2B">
        <w:rPr>
          <w:rFonts w:cstheme="minorHAnsi"/>
        </w:rPr>
        <w:t xml:space="preserve">ale </w:t>
      </w:r>
      <w:r w:rsidRPr="00C50E6E">
        <w:rPr>
          <w:rFonts w:cstheme="minorHAnsi"/>
        </w:rPr>
        <w:t>meccanismo di compensazione</w:t>
      </w:r>
      <w:r w:rsidR="00B84A2B">
        <w:rPr>
          <w:rFonts w:cstheme="minorHAnsi"/>
        </w:rPr>
        <w:t xml:space="preserve"> </w:t>
      </w:r>
      <w:r w:rsidR="00A673E2" w:rsidRPr="00C50E6E">
        <w:rPr>
          <w:rFonts w:cstheme="minorHAnsi"/>
        </w:rPr>
        <w:t>non si applica</w:t>
      </w:r>
      <w:r w:rsidR="00A673E2">
        <w:rPr>
          <w:rFonts w:cstheme="minorHAnsi"/>
        </w:rPr>
        <w:t>,</w:t>
      </w:r>
      <w:r w:rsidR="00A673E2" w:rsidRPr="00C50E6E">
        <w:rPr>
          <w:rFonts w:cstheme="minorHAnsi"/>
        </w:rPr>
        <w:t xml:space="preserve"> </w:t>
      </w:r>
      <w:r w:rsidR="00B84A2B">
        <w:rPr>
          <w:rFonts w:cstheme="minorHAnsi"/>
        </w:rPr>
        <w:t>tuttavia</w:t>
      </w:r>
      <w:r w:rsidR="00A673E2">
        <w:rPr>
          <w:rFonts w:cstheme="minorHAnsi"/>
        </w:rPr>
        <w:t>,</w:t>
      </w:r>
      <w:r w:rsidRPr="00C50E6E">
        <w:rPr>
          <w:rFonts w:cstheme="minorHAnsi"/>
        </w:rPr>
        <w:t xml:space="preserve"> se la sanzione amministrativa è stata precedentemente pagata da persona diversa dal</w:t>
      </w:r>
      <w:r w:rsidR="00A673E2">
        <w:rPr>
          <w:rFonts w:cstheme="minorHAnsi"/>
        </w:rPr>
        <w:t>l’imputato</w:t>
      </w:r>
      <w:r>
        <w:rPr>
          <w:rFonts w:cstheme="minorHAnsi"/>
        </w:rPr>
        <w:t>.</w:t>
      </w:r>
    </w:p>
    <w:p w:rsidR="008F36C1" w:rsidRDefault="008F36C1" w:rsidP="005A03AA">
      <w:pPr>
        <w:jc w:val="both"/>
        <w:rPr>
          <w:rFonts w:cstheme="minorHAnsi"/>
        </w:rPr>
      </w:pPr>
    </w:p>
    <w:p w:rsidR="008F36C1" w:rsidRDefault="00A673E2" w:rsidP="008F36C1">
      <w:pPr>
        <w:spacing w:line="240" w:lineRule="auto"/>
        <w:ind w:left="4956" w:firstLine="708"/>
        <w:jc w:val="both"/>
        <w:rPr>
          <w:rFonts w:cstheme="minorHAnsi"/>
        </w:rPr>
      </w:pPr>
      <w:r>
        <w:rPr>
          <w:rFonts w:cstheme="minorHAnsi"/>
        </w:rPr>
        <w:t xml:space="preserve">      </w:t>
      </w:r>
      <w:r w:rsidR="008F36C1">
        <w:rPr>
          <w:rFonts w:cstheme="minorHAnsi"/>
        </w:rPr>
        <w:t>Nicola Durante</w:t>
      </w:r>
    </w:p>
    <w:p w:rsidR="008F36C1" w:rsidRDefault="008F36C1" w:rsidP="008F36C1">
      <w:pPr>
        <w:spacing w:line="240" w:lineRule="auto"/>
        <w:ind w:left="4956" w:firstLine="708"/>
        <w:jc w:val="both"/>
        <w:rPr>
          <w:rFonts w:cstheme="minorHAnsi"/>
        </w:rPr>
      </w:pPr>
      <w:proofErr w:type="spellStart"/>
      <w:r>
        <w:rPr>
          <w:rFonts w:cstheme="minorHAnsi"/>
        </w:rPr>
        <w:t>Pres</w:t>
      </w:r>
      <w:proofErr w:type="spellEnd"/>
      <w:r>
        <w:rPr>
          <w:rFonts w:cstheme="minorHAnsi"/>
        </w:rPr>
        <w:t>. Sez. TAR Salerno</w:t>
      </w:r>
    </w:p>
    <w:p w:rsidR="008F36C1" w:rsidRPr="00C50E6E" w:rsidRDefault="008F36C1" w:rsidP="008F36C1">
      <w:pPr>
        <w:spacing w:line="240" w:lineRule="auto"/>
        <w:ind w:left="4956" w:firstLine="708"/>
        <w:jc w:val="both"/>
        <w:rPr>
          <w:rFonts w:cstheme="minorHAnsi"/>
        </w:rPr>
      </w:pPr>
      <w:proofErr w:type="spellStart"/>
      <w:r>
        <w:rPr>
          <w:rFonts w:cstheme="minorHAnsi"/>
        </w:rPr>
        <w:t>Pres</w:t>
      </w:r>
      <w:proofErr w:type="spellEnd"/>
      <w:r>
        <w:rPr>
          <w:rFonts w:cstheme="minorHAnsi"/>
        </w:rPr>
        <w:t>. Sez. CTP Cosenza</w:t>
      </w:r>
    </w:p>
    <w:sectPr w:rsidR="008F36C1" w:rsidRPr="00C50E6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D2A" w:rsidRDefault="00D87D2A" w:rsidP="008433CC">
      <w:pPr>
        <w:spacing w:after="0" w:line="240" w:lineRule="auto"/>
      </w:pPr>
      <w:r>
        <w:separator/>
      </w:r>
    </w:p>
  </w:endnote>
  <w:endnote w:type="continuationSeparator" w:id="0">
    <w:p w:rsidR="00D87D2A" w:rsidRDefault="00D87D2A" w:rsidP="0084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D2A" w:rsidRDefault="00D87D2A" w:rsidP="008433CC">
      <w:pPr>
        <w:spacing w:after="0" w:line="240" w:lineRule="auto"/>
      </w:pPr>
      <w:r>
        <w:separator/>
      </w:r>
    </w:p>
  </w:footnote>
  <w:footnote w:type="continuationSeparator" w:id="0">
    <w:p w:rsidR="00D87D2A" w:rsidRDefault="00D87D2A" w:rsidP="008433CC">
      <w:pPr>
        <w:spacing w:after="0" w:line="240" w:lineRule="auto"/>
      </w:pPr>
      <w:r>
        <w:continuationSeparator/>
      </w:r>
    </w:p>
  </w:footnote>
  <w:footnote w:id="1">
    <w:p w:rsidR="00563527" w:rsidRDefault="00563527" w:rsidP="005F2386">
      <w:pPr>
        <w:pStyle w:val="Testonotaapidipagina"/>
        <w:jc w:val="both"/>
        <w:rPr>
          <w:sz w:val="18"/>
          <w:szCs w:val="18"/>
        </w:rPr>
      </w:pPr>
      <w:r w:rsidRPr="00563527">
        <w:rPr>
          <w:vertAlign w:val="superscript"/>
        </w:rPr>
        <w:t>(*)</w:t>
      </w:r>
      <w:r>
        <w:rPr>
          <w:sz w:val="18"/>
          <w:szCs w:val="18"/>
        </w:rPr>
        <w:t xml:space="preserve"> Relazione svolta al convegno di studi sul tema “Rapporti tra fattispecie tributaria e fattispecie penale: profili processuali e sanzionatori”</w:t>
      </w:r>
      <w:r w:rsidR="00A4775D">
        <w:rPr>
          <w:sz w:val="18"/>
          <w:szCs w:val="18"/>
        </w:rPr>
        <w:t xml:space="preserve">, </w:t>
      </w:r>
      <w:r w:rsidR="00A4775D" w:rsidRPr="00A4775D">
        <w:rPr>
          <w:sz w:val="18"/>
          <w:szCs w:val="18"/>
        </w:rPr>
        <w:t xml:space="preserve">organizzato dall’Università di Catanzaro, dall’Associazione nazionale </w:t>
      </w:r>
      <w:r w:rsidR="00A4775D">
        <w:rPr>
          <w:sz w:val="18"/>
          <w:szCs w:val="18"/>
        </w:rPr>
        <w:t xml:space="preserve">dei </w:t>
      </w:r>
      <w:r w:rsidR="00A4775D" w:rsidRPr="00A4775D">
        <w:rPr>
          <w:sz w:val="18"/>
          <w:szCs w:val="18"/>
        </w:rPr>
        <w:t>tributaristi italiani, Sezione Calabria, dalla Camera penale di Catanzaro e dal Centro di diritto penale tributario, Gruppo Calabria, il 13 luglio 2022</w:t>
      </w:r>
      <w:r w:rsidR="00A4775D">
        <w:rPr>
          <w:sz w:val="18"/>
          <w:szCs w:val="18"/>
        </w:rPr>
        <w:t>.</w:t>
      </w:r>
    </w:p>
    <w:p w:rsidR="005F2386" w:rsidRPr="005F2386" w:rsidRDefault="005F2386" w:rsidP="005F2386">
      <w:pPr>
        <w:pStyle w:val="Testonotaapidipagina"/>
        <w:jc w:val="both"/>
        <w:rPr>
          <w:sz w:val="18"/>
          <w:szCs w:val="18"/>
        </w:rPr>
      </w:pPr>
      <w:r w:rsidRPr="005F2386">
        <w:rPr>
          <w:rStyle w:val="Rimandonotaapidipagina"/>
          <w:sz w:val="18"/>
          <w:szCs w:val="18"/>
        </w:rPr>
        <w:footnoteRef/>
      </w:r>
      <w:r w:rsidRPr="005F2386">
        <w:rPr>
          <w:sz w:val="18"/>
          <w:szCs w:val="18"/>
        </w:rPr>
        <w:t xml:space="preserve"> Cons. Stato, </w:t>
      </w:r>
      <w:r>
        <w:rPr>
          <w:sz w:val="18"/>
          <w:szCs w:val="18"/>
        </w:rPr>
        <w:t>S</w:t>
      </w:r>
      <w:r w:rsidRPr="005F2386">
        <w:rPr>
          <w:sz w:val="18"/>
          <w:szCs w:val="18"/>
        </w:rPr>
        <w:t xml:space="preserve">ez. VI, </w:t>
      </w:r>
      <w:proofErr w:type="spellStart"/>
      <w:r w:rsidRPr="005F2386">
        <w:rPr>
          <w:sz w:val="18"/>
          <w:szCs w:val="18"/>
        </w:rPr>
        <w:t>ord</w:t>
      </w:r>
      <w:proofErr w:type="spellEnd"/>
      <w:r w:rsidRPr="005F2386">
        <w:rPr>
          <w:sz w:val="18"/>
          <w:szCs w:val="18"/>
        </w:rPr>
        <w:t>. 7 gennaio 2022, n. 68.</w:t>
      </w:r>
    </w:p>
  </w:footnote>
  <w:footnote w:id="2">
    <w:p w:rsidR="00680AE7" w:rsidRPr="000B5F3A" w:rsidRDefault="00680AE7" w:rsidP="00680AE7">
      <w:pPr>
        <w:pStyle w:val="Testonotaapidipagina"/>
        <w:jc w:val="both"/>
        <w:rPr>
          <w:rFonts w:cstheme="minorHAnsi"/>
          <w:sz w:val="18"/>
          <w:szCs w:val="18"/>
        </w:rPr>
      </w:pPr>
      <w:r w:rsidRPr="000B5F3A">
        <w:rPr>
          <w:rStyle w:val="Rimandonotaapidipagina"/>
          <w:rFonts w:cstheme="minorHAnsi"/>
          <w:sz w:val="18"/>
          <w:szCs w:val="18"/>
        </w:rPr>
        <w:footnoteRef/>
      </w:r>
      <w:r w:rsidRPr="000B5F3A">
        <w:rPr>
          <w:rFonts w:cstheme="minorHAnsi"/>
          <w:sz w:val="18"/>
          <w:szCs w:val="18"/>
        </w:rPr>
        <w:t xml:space="preserve"> G. </w:t>
      </w:r>
      <w:proofErr w:type="spellStart"/>
      <w:r w:rsidRPr="000B5F3A">
        <w:rPr>
          <w:rFonts w:cstheme="minorHAnsi"/>
          <w:sz w:val="18"/>
          <w:szCs w:val="18"/>
        </w:rPr>
        <w:t>Prosperetti</w:t>
      </w:r>
      <w:proofErr w:type="spellEnd"/>
      <w:r w:rsidRPr="000B5F3A">
        <w:rPr>
          <w:rFonts w:cstheme="minorHAnsi"/>
          <w:sz w:val="18"/>
          <w:szCs w:val="18"/>
        </w:rPr>
        <w:t xml:space="preserve">, </w:t>
      </w:r>
      <w:r w:rsidRPr="000B5F3A">
        <w:rPr>
          <w:rFonts w:cstheme="minorHAnsi"/>
          <w:i/>
          <w:sz w:val="18"/>
          <w:szCs w:val="18"/>
        </w:rPr>
        <w:t xml:space="preserve">La problematica applicazione del </w:t>
      </w:r>
      <w:r w:rsidRPr="000B5F3A">
        <w:rPr>
          <w:rFonts w:cstheme="minorHAnsi"/>
          <w:sz w:val="18"/>
          <w:szCs w:val="18"/>
        </w:rPr>
        <w:t>ne bis in idem</w:t>
      </w:r>
      <w:r w:rsidRPr="000B5F3A">
        <w:rPr>
          <w:rFonts w:cstheme="minorHAnsi"/>
          <w:i/>
          <w:sz w:val="18"/>
          <w:szCs w:val="18"/>
        </w:rPr>
        <w:t xml:space="preserve"> nell’ordinamento italiano</w:t>
      </w:r>
      <w:r w:rsidRPr="000B5F3A">
        <w:rPr>
          <w:rFonts w:cstheme="minorHAnsi"/>
          <w:sz w:val="18"/>
          <w:szCs w:val="18"/>
        </w:rPr>
        <w:t xml:space="preserve">, in </w:t>
      </w:r>
      <w:r>
        <w:rPr>
          <w:rFonts w:cstheme="minorHAnsi"/>
          <w:sz w:val="18"/>
          <w:szCs w:val="18"/>
        </w:rPr>
        <w:t>www.c</w:t>
      </w:r>
      <w:r w:rsidRPr="000B5F3A">
        <w:rPr>
          <w:rFonts w:cstheme="minorHAnsi"/>
          <w:sz w:val="18"/>
          <w:szCs w:val="18"/>
        </w:rPr>
        <w:t>orte costituzionale</w:t>
      </w:r>
      <w:r>
        <w:rPr>
          <w:rFonts w:cstheme="minorHAnsi"/>
          <w:sz w:val="18"/>
          <w:szCs w:val="18"/>
        </w:rPr>
        <w:t>.it, 3 ottobre 2019</w:t>
      </w:r>
      <w:r w:rsidRPr="000B5F3A">
        <w:rPr>
          <w:rFonts w:cstheme="minorHAnsi"/>
          <w:sz w:val="18"/>
          <w:szCs w:val="18"/>
        </w:rPr>
        <w:t>.</w:t>
      </w:r>
    </w:p>
  </w:footnote>
  <w:footnote w:id="3">
    <w:p w:rsidR="00AF3DE2" w:rsidRPr="000B5F3A" w:rsidRDefault="00AF3DE2" w:rsidP="00AF3DE2">
      <w:pPr>
        <w:pStyle w:val="Testonotaapidipagina"/>
        <w:jc w:val="both"/>
        <w:rPr>
          <w:rFonts w:cstheme="minorHAnsi"/>
          <w:sz w:val="18"/>
          <w:szCs w:val="18"/>
        </w:rPr>
      </w:pPr>
      <w:r w:rsidRPr="000B5F3A">
        <w:rPr>
          <w:rStyle w:val="Rimandonotaapidipagina"/>
          <w:rFonts w:cstheme="minorHAnsi"/>
          <w:sz w:val="18"/>
          <w:szCs w:val="18"/>
        </w:rPr>
        <w:footnoteRef/>
      </w:r>
      <w:r>
        <w:rPr>
          <w:rFonts w:cstheme="minorHAnsi"/>
          <w:sz w:val="18"/>
          <w:szCs w:val="18"/>
        </w:rPr>
        <w:t xml:space="preserve"> C. </w:t>
      </w:r>
      <w:proofErr w:type="spellStart"/>
      <w:r>
        <w:rPr>
          <w:rFonts w:cstheme="minorHAnsi"/>
          <w:sz w:val="18"/>
          <w:szCs w:val="18"/>
        </w:rPr>
        <w:t>cost</w:t>
      </w:r>
      <w:proofErr w:type="spellEnd"/>
      <w:r>
        <w:rPr>
          <w:rFonts w:cstheme="minorHAnsi"/>
          <w:sz w:val="18"/>
          <w:szCs w:val="18"/>
        </w:rPr>
        <w:t>.</w:t>
      </w:r>
      <w:r w:rsidRPr="000B5F3A">
        <w:rPr>
          <w:rFonts w:cstheme="minorHAnsi"/>
          <w:sz w:val="18"/>
          <w:szCs w:val="18"/>
        </w:rPr>
        <w:t xml:space="preserve"> 16 giugno 2022, n. 149.</w:t>
      </w:r>
    </w:p>
  </w:footnote>
  <w:footnote w:id="4">
    <w:p w:rsidR="00561D0F" w:rsidRPr="000B5F3A" w:rsidRDefault="00561D0F" w:rsidP="000B5F3A">
      <w:pPr>
        <w:pStyle w:val="Testonotaapidipagina"/>
        <w:jc w:val="both"/>
        <w:rPr>
          <w:rFonts w:cstheme="minorHAnsi"/>
          <w:sz w:val="18"/>
          <w:szCs w:val="18"/>
        </w:rPr>
      </w:pPr>
      <w:r w:rsidRPr="000B5F3A">
        <w:rPr>
          <w:rStyle w:val="Rimandonotaapidipagina"/>
          <w:rFonts w:cstheme="minorHAnsi"/>
          <w:sz w:val="18"/>
          <w:szCs w:val="18"/>
        </w:rPr>
        <w:footnoteRef/>
      </w:r>
      <w:r w:rsidRPr="000B5F3A">
        <w:rPr>
          <w:rFonts w:cstheme="minorHAnsi"/>
          <w:sz w:val="18"/>
          <w:szCs w:val="18"/>
        </w:rPr>
        <w:t xml:space="preserve"> </w:t>
      </w:r>
      <w:r w:rsidR="004F109B">
        <w:rPr>
          <w:rFonts w:cstheme="minorHAnsi"/>
          <w:sz w:val="18"/>
          <w:szCs w:val="18"/>
        </w:rPr>
        <w:t xml:space="preserve">C. </w:t>
      </w:r>
      <w:proofErr w:type="spellStart"/>
      <w:r w:rsidR="004F109B">
        <w:rPr>
          <w:rFonts w:cstheme="minorHAnsi"/>
          <w:sz w:val="18"/>
          <w:szCs w:val="18"/>
        </w:rPr>
        <w:t>cost</w:t>
      </w:r>
      <w:proofErr w:type="spellEnd"/>
      <w:r w:rsidR="004F109B">
        <w:rPr>
          <w:rFonts w:cstheme="minorHAnsi"/>
          <w:sz w:val="18"/>
          <w:szCs w:val="18"/>
        </w:rPr>
        <w:t xml:space="preserve">. </w:t>
      </w:r>
      <w:r w:rsidR="002E022A">
        <w:rPr>
          <w:rFonts w:cstheme="minorHAnsi"/>
          <w:sz w:val="18"/>
          <w:szCs w:val="18"/>
        </w:rPr>
        <w:t xml:space="preserve">21 febbraio 2019, </w:t>
      </w:r>
      <w:r w:rsidRPr="000B5F3A">
        <w:rPr>
          <w:rFonts w:cstheme="minorHAnsi"/>
          <w:sz w:val="18"/>
          <w:szCs w:val="18"/>
        </w:rPr>
        <w:t>n. 20.</w:t>
      </w:r>
    </w:p>
  </w:footnote>
  <w:footnote w:id="5">
    <w:p w:rsidR="00561D0F" w:rsidRPr="000B5F3A" w:rsidRDefault="00561D0F" w:rsidP="000B5F3A">
      <w:pPr>
        <w:pStyle w:val="Testonotaapidipagina"/>
        <w:jc w:val="both"/>
        <w:rPr>
          <w:rFonts w:cstheme="minorHAnsi"/>
          <w:sz w:val="18"/>
          <w:szCs w:val="18"/>
        </w:rPr>
      </w:pPr>
      <w:r w:rsidRPr="000B5F3A">
        <w:rPr>
          <w:rStyle w:val="Rimandonotaapidipagina"/>
          <w:rFonts w:cstheme="minorHAnsi"/>
          <w:sz w:val="18"/>
          <w:szCs w:val="18"/>
        </w:rPr>
        <w:footnoteRef/>
      </w:r>
      <w:r w:rsidRPr="000B5F3A">
        <w:rPr>
          <w:rFonts w:cstheme="minorHAnsi"/>
          <w:sz w:val="18"/>
          <w:szCs w:val="18"/>
        </w:rPr>
        <w:t xml:space="preserve"> CEDU, </w:t>
      </w:r>
      <w:r w:rsidR="002E022A">
        <w:rPr>
          <w:rFonts w:cstheme="minorHAnsi"/>
          <w:sz w:val="18"/>
          <w:szCs w:val="18"/>
        </w:rPr>
        <w:t>G</w:t>
      </w:r>
      <w:r w:rsidRPr="000B5F3A">
        <w:rPr>
          <w:rFonts w:cstheme="minorHAnsi"/>
          <w:sz w:val="18"/>
          <w:szCs w:val="18"/>
        </w:rPr>
        <w:t xml:space="preserve">rande </w:t>
      </w:r>
      <w:r w:rsidR="002E022A">
        <w:rPr>
          <w:rFonts w:cstheme="minorHAnsi"/>
          <w:sz w:val="18"/>
          <w:szCs w:val="18"/>
        </w:rPr>
        <w:t>C</w:t>
      </w:r>
      <w:r w:rsidRPr="000B5F3A">
        <w:rPr>
          <w:rFonts w:cstheme="minorHAnsi"/>
          <w:sz w:val="18"/>
          <w:szCs w:val="18"/>
        </w:rPr>
        <w:t>amera,</w:t>
      </w:r>
      <w:r w:rsidR="002E022A">
        <w:rPr>
          <w:rFonts w:cstheme="minorHAnsi"/>
          <w:sz w:val="18"/>
          <w:szCs w:val="18"/>
        </w:rPr>
        <w:t xml:space="preserve"> 10 febbraio 2009, </w:t>
      </w:r>
      <w:proofErr w:type="spellStart"/>
      <w:r w:rsidR="002E022A" w:rsidRPr="00BD3474">
        <w:rPr>
          <w:rFonts w:cstheme="minorHAnsi"/>
          <w:i/>
          <w:sz w:val="18"/>
          <w:szCs w:val="18"/>
        </w:rPr>
        <w:t>Zolotoukhin</w:t>
      </w:r>
      <w:proofErr w:type="spellEnd"/>
      <w:r w:rsidRPr="000B5F3A">
        <w:rPr>
          <w:rFonts w:cstheme="minorHAnsi"/>
          <w:sz w:val="18"/>
          <w:szCs w:val="18"/>
        </w:rPr>
        <w:t xml:space="preserve"> contro Russia</w:t>
      </w:r>
      <w:r w:rsidR="002E022A">
        <w:rPr>
          <w:rFonts w:cstheme="minorHAnsi"/>
          <w:sz w:val="18"/>
          <w:szCs w:val="18"/>
        </w:rPr>
        <w:t xml:space="preserve">, </w:t>
      </w:r>
      <w:r w:rsidRPr="000B5F3A">
        <w:rPr>
          <w:rFonts w:cstheme="minorHAnsi"/>
          <w:sz w:val="18"/>
          <w:szCs w:val="18"/>
        </w:rPr>
        <w:t>§ 79-84.</w:t>
      </w:r>
    </w:p>
  </w:footnote>
  <w:footnote w:id="6">
    <w:p w:rsidR="00561D0F" w:rsidRPr="000B5F3A" w:rsidRDefault="00561D0F" w:rsidP="000B5F3A">
      <w:pPr>
        <w:pStyle w:val="Testonotaapidipagina"/>
        <w:jc w:val="both"/>
        <w:rPr>
          <w:rFonts w:cstheme="minorHAnsi"/>
          <w:sz w:val="18"/>
          <w:szCs w:val="18"/>
        </w:rPr>
      </w:pPr>
      <w:r w:rsidRPr="000B5F3A">
        <w:rPr>
          <w:rStyle w:val="Rimandonotaapidipagina"/>
          <w:rFonts w:cstheme="minorHAnsi"/>
          <w:sz w:val="18"/>
          <w:szCs w:val="18"/>
        </w:rPr>
        <w:footnoteRef/>
      </w:r>
      <w:r w:rsidRPr="000B5F3A">
        <w:rPr>
          <w:rFonts w:cstheme="minorHAnsi"/>
          <w:sz w:val="18"/>
          <w:szCs w:val="18"/>
        </w:rPr>
        <w:t xml:space="preserve"> </w:t>
      </w:r>
      <w:r w:rsidR="002E022A" w:rsidRPr="002E022A">
        <w:rPr>
          <w:rFonts w:cstheme="minorHAnsi"/>
          <w:i/>
          <w:sz w:val="18"/>
          <w:szCs w:val="18"/>
        </w:rPr>
        <w:t>Idem</w:t>
      </w:r>
      <w:r w:rsidRPr="000B5F3A">
        <w:rPr>
          <w:rFonts w:cstheme="minorHAnsi"/>
          <w:sz w:val="18"/>
          <w:szCs w:val="18"/>
        </w:rPr>
        <w:t>, § 107.</w:t>
      </w:r>
    </w:p>
  </w:footnote>
  <w:footnote w:id="7">
    <w:p w:rsidR="00561D0F" w:rsidRPr="000B5F3A" w:rsidRDefault="00561D0F" w:rsidP="000B5F3A">
      <w:pPr>
        <w:pStyle w:val="Testonotaapidipagina"/>
        <w:jc w:val="both"/>
        <w:rPr>
          <w:rFonts w:cstheme="minorHAnsi"/>
          <w:sz w:val="18"/>
          <w:szCs w:val="18"/>
        </w:rPr>
      </w:pPr>
      <w:r w:rsidRPr="000B5F3A">
        <w:rPr>
          <w:rStyle w:val="Rimandonotaapidipagina"/>
          <w:rFonts w:cstheme="minorHAnsi"/>
          <w:sz w:val="18"/>
          <w:szCs w:val="18"/>
        </w:rPr>
        <w:footnoteRef/>
      </w:r>
      <w:r w:rsidRPr="000B5F3A">
        <w:rPr>
          <w:rFonts w:cstheme="minorHAnsi"/>
          <w:sz w:val="18"/>
          <w:szCs w:val="18"/>
        </w:rPr>
        <w:t xml:space="preserve"> </w:t>
      </w:r>
      <w:r w:rsidR="00AB0582">
        <w:rPr>
          <w:rStyle w:val="normaltextrun"/>
          <w:rFonts w:cstheme="minorHAnsi"/>
          <w:sz w:val="18"/>
          <w:szCs w:val="18"/>
        </w:rPr>
        <w:t>CEDU,</w:t>
      </w:r>
      <w:r w:rsidRPr="000B5F3A">
        <w:rPr>
          <w:rStyle w:val="normaltextrun"/>
          <w:rFonts w:cstheme="minorHAnsi"/>
          <w:sz w:val="18"/>
          <w:szCs w:val="18"/>
        </w:rPr>
        <w:t xml:space="preserve"> </w:t>
      </w:r>
      <w:r w:rsidR="002E022A">
        <w:rPr>
          <w:rStyle w:val="normaltextrun"/>
          <w:rFonts w:cstheme="minorHAnsi"/>
          <w:sz w:val="18"/>
          <w:szCs w:val="18"/>
        </w:rPr>
        <w:t xml:space="preserve">Grande Camera, </w:t>
      </w:r>
      <w:r w:rsidRPr="000B5F3A">
        <w:rPr>
          <w:rStyle w:val="normaltextrun"/>
          <w:rFonts w:cstheme="minorHAnsi"/>
          <w:sz w:val="18"/>
          <w:szCs w:val="18"/>
        </w:rPr>
        <w:t xml:space="preserve">8 giugno 1976, </w:t>
      </w:r>
      <w:r w:rsidRPr="00BD3474">
        <w:rPr>
          <w:rStyle w:val="normaltextrun"/>
          <w:rFonts w:cstheme="minorHAnsi"/>
          <w:i/>
          <w:sz w:val="18"/>
          <w:szCs w:val="18"/>
        </w:rPr>
        <w:t>Engel</w:t>
      </w:r>
      <w:r w:rsidRPr="000B5F3A">
        <w:rPr>
          <w:rStyle w:val="normaltextrun"/>
          <w:rFonts w:cstheme="minorHAnsi"/>
          <w:sz w:val="18"/>
          <w:szCs w:val="18"/>
        </w:rPr>
        <w:t xml:space="preserve"> contro Paesi Bassi.</w:t>
      </w:r>
    </w:p>
  </w:footnote>
  <w:footnote w:id="8">
    <w:p w:rsidR="00561D0F" w:rsidRPr="000B5F3A" w:rsidRDefault="00561D0F" w:rsidP="000B5F3A">
      <w:pPr>
        <w:pStyle w:val="Testonotaapidipagina"/>
        <w:jc w:val="both"/>
        <w:rPr>
          <w:rFonts w:cstheme="minorHAnsi"/>
          <w:sz w:val="18"/>
          <w:szCs w:val="18"/>
        </w:rPr>
      </w:pPr>
      <w:r w:rsidRPr="000B5F3A">
        <w:rPr>
          <w:rStyle w:val="Rimandonotaapidipagina"/>
          <w:rFonts w:cstheme="minorHAnsi"/>
          <w:sz w:val="18"/>
          <w:szCs w:val="18"/>
        </w:rPr>
        <w:footnoteRef/>
      </w:r>
      <w:r w:rsidRPr="000B5F3A">
        <w:rPr>
          <w:rFonts w:cstheme="minorHAnsi"/>
          <w:sz w:val="18"/>
          <w:szCs w:val="18"/>
        </w:rPr>
        <w:t xml:space="preserve"> </w:t>
      </w:r>
      <w:r w:rsidR="00AB0582">
        <w:rPr>
          <w:rFonts w:cstheme="minorHAnsi"/>
          <w:sz w:val="18"/>
          <w:szCs w:val="18"/>
        </w:rPr>
        <w:t xml:space="preserve">C. </w:t>
      </w:r>
      <w:proofErr w:type="spellStart"/>
      <w:r w:rsidR="00AB0582">
        <w:rPr>
          <w:rFonts w:cstheme="minorHAnsi"/>
          <w:sz w:val="18"/>
          <w:szCs w:val="18"/>
        </w:rPr>
        <w:t>cost</w:t>
      </w:r>
      <w:proofErr w:type="spellEnd"/>
      <w:r w:rsidR="00AB0582">
        <w:rPr>
          <w:rFonts w:cstheme="minorHAnsi"/>
          <w:sz w:val="18"/>
          <w:szCs w:val="18"/>
        </w:rPr>
        <w:t xml:space="preserve">. </w:t>
      </w:r>
      <w:r w:rsidR="002E022A">
        <w:rPr>
          <w:rFonts w:cstheme="minorHAnsi"/>
          <w:sz w:val="18"/>
          <w:szCs w:val="18"/>
        </w:rPr>
        <w:t xml:space="preserve">26 maggio 2010, </w:t>
      </w:r>
      <w:r w:rsidRPr="000B5F3A">
        <w:rPr>
          <w:rFonts w:cstheme="minorHAnsi"/>
          <w:sz w:val="18"/>
          <w:szCs w:val="18"/>
        </w:rPr>
        <w:t>n. 196</w:t>
      </w:r>
      <w:r w:rsidR="002E022A">
        <w:rPr>
          <w:rFonts w:cstheme="minorHAnsi"/>
          <w:sz w:val="18"/>
          <w:szCs w:val="18"/>
        </w:rPr>
        <w:t>;</w:t>
      </w:r>
      <w:r w:rsidRPr="000B5F3A">
        <w:rPr>
          <w:rFonts w:cstheme="minorHAnsi"/>
          <w:sz w:val="18"/>
          <w:szCs w:val="18"/>
        </w:rPr>
        <w:t xml:space="preserve"> </w:t>
      </w:r>
      <w:r w:rsidR="008C57A3" w:rsidRPr="008C57A3">
        <w:rPr>
          <w:rFonts w:cstheme="minorHAnsi"/>
          <w:i/>
          <w:sz w:val="18"/>
          <w:szCs w:val="18"/>
        </w:rPr>
        <w:t>idem</w:t>
      </w:r>
      <w:r w:rsidR="008C57A3">
        <w:rPr>
          <w:rFonts w:cstheme="minorHAnsi"/>
          <w:sz w:val="18"/>
          <w:szCs w:val="18"/>
        </w:rPr>
        <w:t xml:space="preserve">, 16 aprile </w:t>
      </w:r>
      <w:r w:rsidR="002E022A" w:rsidRPr="000B5F3A">
        <w:rPr>
          <w:rFonts w:cstheme="minorHAnsi"/>
          <w:sz w:val="18"/>
          <w:szCs w:val="18"/>
        </w:rPr>
        <w:t>2021</w:t>
      </w:r>
      <w:r w:rsidR="002E022A">
        <w:rPr>
          <w:rFonts w:cstheme="minorHAnsi"/>
          <w:sz w:val="18"/>
          <w:szCs w:val="18"/>
        </w:rPr>
        <w:t>, n. 68</w:t>
      </w:r>
      <w:r w:rsidR="008C57A3">
        <w:rPr>
          <w:rFonts w:cstheme="minorHAnsi"/>
          <w:sz w:val="18"/>
          <w:szCs w:val="18"/>
        </w:rPr>
        <w:t>;</w:t>
      </w:r>
      <w:r w:rsidR="008C57A3" w:rsidRPr="000B5F3A">
        <w:rPr>
          <w:rFonts w:cstheme="minorHAnsi"/>
          <w:sz w:val="18"/>
          <w:szCs w:val="18"/>
        </w:rPr>
        <w:t xml:space="preserve"> </w:t>
      </w:r>
      <w:r w:rsidR="008C57A3" w:rsidRPr="008C57A3">
        <w:rPr>
          <w:rFonts w:cstheme="minorHAnsi"/>
          <w:i/>
          <w:sz w:val="18"/>
          <w:szCs w:val="18"/>
        </w:rPr>
        <w:t>idem</w:t>
      </w:r>
      <w:r w:rsidR="008C57A3">
        <w:rPr>
          <w:rFonts w:cstheme="minorHAnsi"/>
          <w:sz w:val="18"/>
          <w:szCs w:val="18"/>
        </w:rPr>
        <w:t>, 23 settembre 2021,</w:t>
      </w:r>
      <w:r w:rsidR="008C57A3" w:rsidRPr="000B5F3A">
        <w:rPr>
          <w:rFonts w:cstheme="minorHAnsi"/>
          <w:sz w:val="18"/>
          <w:szCs w:val="18"/>
        </w:rPr>
        <w:t xml:space="preserve"> n. 185</w:t>
      </w:r>
      <w:r w:rsidRPr="000B5F3A">
        <w:rPr>
          <w:rFonts w:cstheme="minorHAnsi"/>
          <w:sz w:val="18"/>
          <w:szCs w:val="18"/>
        </w:rPr>
        <w:t>.</w:t>
      </w:r>
    </w:p>
  </w:footnote>
  <w:footnote w:id="9">
    <w:p w:rsidR="0030145D" w:rsidRPr="000B5F3A" w:rsidRDefault="0030145D" w:rsidP="0030145D">
      <w:pPr>
        <w:pStyle w:val="Testonotaapidipagina"/>
        <w:jc w:val="both"/>
        <w:rPr>
          <w:rFonts w:cstheme="minorHAnsi"/>
          <w:sz w:val="18"/>
          <w:szCs w:val="18"/>
        </w:rPr>
      </w:pPr>
      <w:r w:rsidRPr="000B5F3A">
        <w:rPr>
          <w:rStyle w:val="Rimandonotaapidipagina"/>
          <w:rFonts w:cstheme="minorHAnsi"/>
          <w:sz w:val="18"/>
          <w:szCs w:val="18"/>
        </w:rPr>
        <w:footnoteRef/>
      </w:r>
      <w:r w:rsidRPr="000B5F3A">
        <w:rPr>
          <w:rFonts w:cstheme="minorHAnsi"/>
          <w:sz w:val="18"/>
          <w:szCs w:val="18"/>
        </w:rPr>
        <w:t xml:space="preserve"> </w:t>
      </w:r>
      <w:r w:rsidRPr="000B5F3A">
        <w:rPr>
          <w:rStyle w:val="normaltextrun"/>
          <w:rFonts w:cstheme="minorHAnsi"/>
          <w:color w:val="000000"/>
          <w:sz w:val="18"/>
          <w:szCs w:val="18"/>
          <w:shd w:val="clear" w:color="auto" w:fill="FFFFFF"/>
        </w:rPr>
        <w:t>CEDU,</w:t>
      </w:r>
      <w:r w:rsidRPr="00F24E8F">
        <w:rPr>
          <w:rFonts w:cstheme="minorHAnsi"/>
          <w:sz w:val="18"/>
          <w:szCs w:val="18"/>
        </w:rPr>
        <w:t xml:space="preserve"> </w:t>
      </w:r>
      <w:r w:rsidRPr="000B5F3A">
        <w:rPr>
          <w:rFonts w:cstheme="minorHAnsi"/>
          <w:sz w:val="18"/>
          <w:szCs w:val="18"/>
        </w:rPr>
        <w:t xml:space="preserve">Grande </w:t>
      </w:r>
      <w:r>
        <w:rPr>
          <w:rFonts w:cstheme="minorHAnsi"/>
          <w:sz w:val="18"/>
          <w:szCs w:val="18"/>
        </w:rPr>
        <w:t>Camera,</w:t>
      </w:r>
      <w:r w:rsidRPr="000B5F3A">
        <w:rPr>
          <w:rStyle w:val="normaltextrun"/>
          <w:rFonts w:cstheme="minorHAnsi"/>
          <w:color w:val="000000"/>
          <w:sz w:val="18"/>
          <w:szCs w:val="18"/>
          <w:shd w:val="clear" w:color="auto" w:fill="FFFFFF"/>
        </w:rPr>
        <w:t xml:space="preserve"> 15 novembre 2016, </w:t>
      </w:r>
      <w:r w:rsidRPr="00BD3474">
        <w:rPr>
          <w:rStyle w:val="normaltextrun"/>
          <w:rFonts w:cstheme="minorHAnsi"/>
          <w:i/>
          <w:color w:val="000000"/>
          <w:sz w:val="18"/>
          <w:szCs w:val="18"/>
          <w:shd w:val="clear" w:color="auto" w:fill="FFFFFF"/>
        </w:rPr>
        <w:t>A&amp;B</w:t>
      </w:r>
      <w:r w:rsidRPr="000B5F3A">
        <w:rPr>
          <w:rStyle w:val="normaltextrun"/>
          <w:rFonts w:cstheme="minorHAnsi"/>
          <w:color w:val="000000"/>
          <w:sz w:val="18"/>
          <w:szCs w:val="18"/>
          <w:shd w:val="clear" w:color="auto" w:fill="FFFFFF"/>
        </w:rPr>
        <w:t xml:space="preserve"> contro Norvegia</w:t>
      </w:r>
      <w:r>
        <w:rPr>
          <w:rStyle w:val="normaltextrun"/>
          <w:rFonts w:cstheme="minorHAnsi"/>
          <w:color w:val="000000"/>
          <w:sz w:val="18"/>
          <w:szCs w:val="18"/>
          <w:shd w:val="clear" w:color="auto" w:fill="FFFFFF"/>
        </w:rPr>
        <w:t xml:space="preserve">; </w:t>
      </w:r>
      <w:r w:rsidRPr="00D4050D">
        <w:rPr>
          <w:rStyle w:val="normaltextrun"/>
          <w:rFonts w:cstheme="minorHAnsi"/>
          <w:i/>
          <w:color w:val="000000"/>
          <w:sz w:val="18"/>
          <w:szCs w:val="18"/>
          <w:shd w:val="clear" w:color="auto" w:fill="FFFFFF"/>
        </w:rPr>
        <w:t>idem</w:t>
      </w:r>
      <w:r>
        <w:rPr>
          <w:rStyle w:val="normaltextrun"/>
          <w:rFonts w:cstheme="minorHAnsi"/>
          <w:color w:val="000000"/>
          <w:sz w:val="18"/>
          <w:szCs w:val="18"/>
          <w:shd w:val="clear" w:color="auto" w:fill="FFFFFF"/>
        </w:rPr>
        <w:t>, Sez. I,</w:t>
      </w:r>
      <w:r w:rsidRPr="000B5F3A">
        <w:rPr>
          <w:rStyle w:val="normaltextrun"/>
          <w:rFonts w:cstheme="minorHAnsi"/>
          <w:color w:val="000000"/>
          <w:sz w:val="18"/>
          <w:szCs w:val="18"/>
          <w:shd w:val="clear" w:color="auto" w:fill="FFFFFF"/>
        </w:rPr>
        <w:t xml:space="preserve"> 18 maggio 2017, </w:t>
      </w:r>
      <w:proofErr w:type="spellStart"/>
      <w:r w:rsidRPr="00BD3474">
        <w:rPr>
          <w:rStyle w:val="normaltextrun"/>
          <w:rFonts w:cstheme="minorHAnsi"/>
          <w:i/>
          <w:color w:val="000000"/>
          <w:sz w:val="18"/>
          <w:szCs w:val="18"/>
          <w:shd w:val="clear" w:color="auto" w:fill="FFFFFF"/>
        </w:rPr>
        <w:t>Johannesson</w:t>
      </w:r>
      <w:proofErr w:type="spellEnd"/>
      <w:r w:rsidRPr="000B5F3A">
        <w:rPr>
          <w:rStyle w:val="normaltextrun"/>
          <w:rFonts w:cstheme="minorHAnsi"/>
          <w:color w:val="000000"/>
          <w:sz w:val="18"/>
          <w:szCs w:val="18"/>
          <w:shd w:val="clear" w:color="auto" w:fill="FFFFFF"/>
        </w:rPr>
        <w:t xml:space="preserve"> contro Islanda</w:t>
      </w:r>
      <w:r>
        <w:rPr>
          <w:rStyle w:val="normaltextrun"/>
          <w:rFonts w:cstheme="minorHAnsi"/>
          <w:color w:val="000000"/>
          <w:sz w:val="18"/>
          <w:szCs w:val="18"/>
          <w:shd w:val="clear" w:color="auto" w:fill="FFFFFF"/>
        </w:rPr>
        <w:t>.</w:t>
      </w:r>
    </w:p>
  </w:footnote>
  <w:footnote w:id="10">
    <w:p w:rsidR="00E1314A" w:rsidRPr="000B5F3A" w:rsidRDefault="00E1314A" w:rsidP="000B5F3A">
      <w:pPr>
        <w:pStyle w:val="Testonotaapidipagina"/>
        <w:jc w:val="both"/>
        <w:rPr>
          <w:rFonts w:cstheme="minorHAnsi"/>
          <w:sz w:val="18"/>
          <w:szCs w:val="18"/>
        </w:rPr>
      </w:pPr>
      <w:r w:rsidRPr="000B5F3A">
        <w:rPr>
          <w:rStyle w:val="Rimandonotaapidipagina"/>
          <w:rFonts w:cstheme="minorHAnsi"/>
          <w:sz w:val="18"/>
          <w:szCs w:val="18"/>
        </w:rPr>
        <w:footnoteRef/>
      </w:r>
      <w:r w:rsidRPr="000B5F3A">
        <w:rPr>
          <w:rFonts w:cstheme="minorHAnsi"/>
          <w:sz w:val="18"/>
          <w:szCs w:val="18"/>
        </w:rPr>
        <w:t xml:space="preserve"> </w:t>
      </w:r>
      <w:r w:rsidR="00AB0582">
        <w:rPr>
          <w:rStyle w:val="normaltextrun"/>
          <w:rFonts w:cstheme="minorHAnsi"/>
          <w:sz w:val="18"/>
          <w:szCs w:val="18"/>
        </w:rPr>
        <w:t>CEDU</w:t>
      </w:r>
      <w:r w:rsidR="008C57A3">
        <w:rPr>
          <w:rStyle w:val="normaltextrun"/>
          <w:rFonts w:cstheme="minorHAnsi"/>
          <w:sz w:val="18"/>
          <w:szCs w:val="18"/>
        </w:rPr>
        <w:t>,</w:t>
      </w:r>
      <w:r w:rsidR="008C57A3" w:rsidRPr="008C57A3">
        <w:rPr>
          <w:rStyle w:val="normaltextrun"/>
          <w:rFonts w:cstheme="minorHAnsi"/>
          <w:sz w:val="18"/>
          <w:szCs w:val="18"/>
        </w:rPr>
        <w:t xml:space="preserve"> </w:t>
      </w:r>
      <w:r w:rsidR="008C57A3">
        <w:rPr>
          <w:rStyle w:val="normaltextrun"/>
          <w:rFonts w:cstheme="minorHAnsi"/>
          <w:sz w:val="18"/>
          <w:szCs w:val="18"/>
        </w:rPr>
        <w:t>Grande Camera,</w:t>
      </w:r>
      <w:r w:rsidRPr="000B5F3A">
        <w:rPr>
          <w:rStyle w:val="normaltextrun"/>
          <w:rFonts w:cstheme="minorHAnsi"/>
          <w:sz w:val="18"/>
          <w:szCs w:val="18"/>
        </w:rPr>
        <w:t xml:space="preserve"> </w:t>
      </w:r>
      <w:r w:rsidR="008C57A3" w:rsidRPr="000B5F3A">
        <w:rPr>
          <w:rStyle w:val="normaltextrun"/>
          <w:rFonts w:cstheme="minorHAnsi"/>
          <w:sz w:val="18"/>
          <w:szCs w:val="18"/>
        </w:rPr>
        <w:t>21 febbraio 1984</w:t>
      </w:r>
      <w:r w:rsidR="008C57A3">
        <w:rPr>
          <w:rStyle w:val="normaltextrun"/>
          <w:rFonts w:cstheme="minorHAnsi"/>
          <w:sz w:val="18"/>
          <w:szCs w:val="18"/>
        </w:rPr>
        <w:t xml:space="preserve">, </w:t>
      </w:r>
      <w:proofErr w:type="spellStart"/>
      <w:r w:rsidRPr="00BD3474">
        <w:rPr>
          <w:rStyle w:val="normaltextrun"/>
          <w:rFonts w:cstheme="minorHAnsi"/>
          <w:i/>
          <w:sz w:val="18"/>
          <w:szCs w:val="18"/>
        </w:rPr>
        <w:t>Öztürk</w:t>
      </w:r>
      <w:proofErr w:type="spellEnd"/>
      <w:r w:rsidRPr="000B5F3A">
        <w:rPr>
          <w:rStyle w:val="normaltextrun"/>
          <w:rFonts w:cstheme="minorHAnsi"/>
          <w:sz w:val="18"/>
          <w:szCs w:val="18"/>
        </w:rPr>
        <w:t xml:space="preserve"> contr</w:t>
      </w:r>
      <w:r w:rsidR="008C57A3">
        <w:rPr>
          <w:rStyle w:val="normaltextrun"/>
          <w:rFonts w:cstheme="minorHAnsi"/>
          <w:sz w:val="18"/>
          <w:szCs w:val="18"/>
        </w:rPr>
        <w:t>o Germania.</w:t>
      </w:r>
    </w:p>
  </w:footnote>
  <w:footnote w:id="11">
    <w:p w:rsidR="00E1314A" w:rsidRPr="000B5F3A" w:rsidRDefault="00E1314A" w:rsidP="000B5F3A">
      <w:pPr>
        <w:pStyle w:val="Testonotaapidipagina"/>
        <w:jc w:val="both"/>
        <w:rPr>
          <w:rFonts w:cstheme="minorHAnsi"/>
          <w:sz w:val="18"/>
          <w:szCs w:val="18"/>
        </w:rPr>
      </w:pPr>
      <w:r w:rsidRPr="000B5F3A">
        <w:rPr>
          <w:rStyle w:val="Rimandonotaapidipagina"/>
          <w:rFonts w:cstheme="minorHAnsi"/>
          <w:sz w:val="18"/>
          <w:szCs w:val="18"/>
        </w:rPr>
        <w:footnoteRef/>
      </w:r>
      <w:r w:rsidRPr="000B5F3A">
        <w:rPr>
          <w:rFonts w:cstheme="minorHAnsi"/>
          <w:sz w:val="18"/>
          <w:szCs w:val="18"/>
        </w:rPr>
        <w:t xml:space="preserve"> </w:t>
      </w:r>
      <w:r w:rsidR="00AB0582">
        <w:rPr>
          <w:rFonts w:cstheme="minorHAnsi"/>
          <w:sz w:val="18"/>
          <w:szCs w:val="18"/>
        </w:rPr>
        <w:t xml:space="preserve">CEDU, </w:t>
      </w:r>
      <w:r w:rsidRPr="000B5F3A">
        <w:rPr>
          <w:rStyle w:val="normaltextrun"/>
          <w:rFonts w:cstheme="minorHAnsi"/>
          <w:sz w:val="18"/>
          <w:szCs w:val="18"/>
        </w:rPr>
        <w:t xml:space="preserve">Sez. II, 4 marzo 2014, </w:t>
      </w:r>
      <w:r w:rsidRPr="00BD3474">
        <w:rPr>
          <w:rStyle w:val="normaltextrun"/>
          <w:rFonts w:cstheme="minorHAnsi"/>
          <w:i/>
          <w:sz w:val="18"/>
          <w:szCs w:val="18"/>
        </w:rPr>
        <w:t>Grande Stevens</w:t>
      </w:r>
      <w:r w:rsidRPr="000B5F3A">
        <w:rPr>
          <w:rStyle w:val="normaltextrun"/>
          <w:rFonts w:cstheme="minorHAnsi"/>
          <w:sz w:val="18"/>
          <w:szCs w:val="18"/>
        </w:rPr>
        <w:t xml:space="preserve"> contro Italia</w:t>
      </w:r>
      <w:r w:rsidR="008C57A3">
        <w:rPr>
          <w:rStyle w:val="normaltextrun"/>
          <w:rFonts w:cstheme="minorHAnsi"/>
          <w:sz w:val="18"/>
          <w:szCs w:val="18"/>
        </w:rPr>
        <w:t>.</w:t>
      </w:r>
    </w:p>
  </w:footnote>
  <w:footnote w:id="12">
    <w:p w:rsidR="00D84314" w:rsidRDefault="00D84314" w:rsidP="00D84314">
      <w:pPr>
        <w:pStyle w:val="Testonotaapidipagina"/>
        <w:jc w:val="both"/>
      </w:pPr>
      <w:r w:rsidRPr="000B5F3A">
        <w:rPr>
          <w:rStyle w:val="Rimandonotaapidipagina"/>
          <w:rFonts w:cstheme="minorHAnsi"/>
          <w:sz w:val="18"/>
          <w:szCs w:val="18"/>
        </w:rPr>
        <w:footnoteRef/>
      </w:r>
      <w:r w:rsidRPr="000B5F3A">
        <w:rPr>
          <w:rFonts w:cstheme="minorHAnsi"/>
          <w:sz w:val="18"/>
          <w:szCs w:val="18"/>
        </w:rPr>
        <w:t xml:space="preserve"> </w:t>
      </w:r>
      <w:r w:rsidRPr="000B5F3A">
        <w:rPr>
          <w:rStyle w:val="normaltextrun"/>
          <w:rFonts w:cstheme="minorHAnsi"/>
          <w:color w:val="000000"/>
          <w:sz w:val="18"/>
          <w:szCs w:val="18"/>
          <w:shd w:val="clear" w:color="auto" w:fill="FFFFFF"/>
        </w:rPr>
        <w:t>C</w:t>
      </w:r>
      <w:r>
        <w:rPr>
          <w:rStyle w:val="normaltextrun"/>
          <w:rFonts w:cstheme="minorHAnsi"/>
          <w:color w:val="000000"/>
          <w:sz w:val="18"/>
          <w:szCs w:val="18"/>
          <w:shd w:val="clear" w:color="auto" w:fill="FFFFFF"/>
        </w:rPr>
        <w:t>GU</w:t>
      </w:r>
      <w:r w:rsidRPr="000B5F3A">
        <w:rPr>
          <w:rStyle w:val="normaltextrun"/>
          <w:rFonts w:cstheme="minorHAnsi"/>
          <w:color w:val="000000"/>
          <w:sz w:val="18"/>
          <w:szCs w:val="18"/>
          <w:shd w:val="clear" w:color="auto" w:fill="FFFFFF"/>
        </w:rPr>
        <w:t>E</w:t>
      </w:r>
      <w:r>
        <w:rPr>
          <w:rStyle w:val="normaltextrun"/>
          <w:rFonts w:cstheme="minorHAnsi"/>
          <w:color w:val="000000"/>
          <w:sz w:val="18"/>
          <w:szCs w:val="18"/>
          <w:shd w:val="clear" w:color="auto" w:fill="FFFFFF"/>
        </w:rPr>
        <w:t>,</w:t>
      </w:r>
      <w:r w:rsidRPr="000B5F3A">
        <w:rPr>
          <w:rFonts w:cstheme="minorHAnsi"/>
          <w:sz w:val="18"/>
          <w:szCs w:val="18"/>
        </w:rPr>
        <w:t xml:space="preserve"> Grande </w:t>
      </w:r>
      <w:r>
        <w:rPr>
          <w:rFonts w:cstheme="minorHAnsi"/>
          <w:sz w:val="18"/>
          <w:szCs w:val="18"/>
        </w:rPr>
        <w:t>Camera</w:t>
      </w:r>
      <w:r w:rsidRPr="000B5F3A">
        <w:rPr>
          <w:rFonts w:cstheme="minorHAnsi"/>
          <w:sz w:val="18"/>
          <w:szCs w:val="18"/>
        </w:rPr>
        <w:t xml:space="preserve">, 20 marzo 2018, </w:t>
      </w:r>
      <w:proofErr w:type="spellStart"/>
      <w:r w:rsidRPr="00BD3474">
        <w:rPr>
          <w:rFonts w:cstheme="minorHAnsi"/>
          <w:i/>
          <w:sz w:val="18"/>
          <w:szCs w:val="18"/>
        </w:rPr>
        <w:t>Garlsson</w:t>
      </w:r>
      <w:proofErr w:type="spellEnd"/>
      <w:r w:rsidRPr="00BD3474">
        <w:rPr>
          <w:rFonts w:cstheme="minorHAnsi"/>
          <w:i/>
          <w:sz w:val="18"/>
          <w:szCs w:val="18"/>
        </w:rPr>
        <w:t xml:space="preserve"> Real Estate</w:t>
      </w:r>
      <w:r>
        <w:rPr>
          <w:rFonts w:cstheme="minorHAnsi"/>
          <w:sz w:val="18"/>
          <w:szCs w:val="18"/>
        </w:rPr>
        <w:t xml:space="preserve"> contro Italia.</w:t>
      </w:r>
    </w:p>
  </w:footnote>
  <w:footnote w:id="13">
    <w:p w:rsidR="006B3D5A" w:rsidRPr="00361783" w:rsidRDefault="006B3D5A" w:rsidP="006B3D5A">
      <w:pPr>
        <w:autoSpaceDE w:val="0"/>
        <w:autoSpaceDN w:val="0"/>
        <w:adjustRightInd w:val="0"/>
        <w:spacing w:after="0" w:line="240" w:lineRule="auto"/>
        <w:jc w:val="both"/>
        <w:rPr>
          <w:rFonts w:cstheme="minorHAnsi"/>
          <w:sz w:val="18"/>
          <w:szCs w:val="18"/>
        </w:rPr>
      </w:pPr>
      <w:r w:rsidRPr="00361783">
        <w:rPr>
          <w:rStyle w:val="Rimandonotaapidipagina"/>
          <w:sz w:val="18"/>
          <w:szCs w:val="18"/>
        </w:rPr>
        <w:footnoteRef/>
      </w:r>
      <w:r w:rsidRPr="00361783">
        <w:rPr>
          <w:sz w:val="18"/>
          <w:szCs w:val="18"/>
        </w:rPr>
        <w:t xml:space="preserve"> </w:t>
      </w:r>
      <w:r w:rsidRPr="00361783">
        <w:rPr>
          <w:rFonts w:cstheme="minorHAnsi"/>
          <w:sz w:val="18"/>
          <w:szCs w:val="18"/>
        </w:rPr>
        <w:t xml:space="preserve">A. Carinci, </w:t>
      </w:r>
      <w:r w:rsidRPr="00361783">
        <w:rPr>
          <w:rFonts w:cstheme="minorHAnsi"/>
          <w:i/>
          <w:sz w:val="18"/>
          <w:szCs w:val="18"/>
        </w:rPr>
        <w:t>Il principio di specialità nelle sanzioni tributarie: tra crisi del principio e crisi del sistema</w:t>
      </w:r>
      <w:r w:rsidRPr="00361783">
        <w:rPr>
          <w:rFonts w:cstheme="minorHAnsi"/>
          <w:sz w:val="18"/>
          <w:szCs w:val="18"/>
        </w:rPr>
        <w:t xml:space="preserve">, in </w:t>
      </w:r>
      <w:proofErr w:type="spellStart"/>
      <w:r w:rsidRPr="008F36C1">
        <w:rPr>
          <w:rFonts w:cstheme="minorHAnsi"/>
          <w:i/>
          <w:sz w:val="18"/>
          <w:szCs w:val="18"/>
        </w:rPr>
        <w:t>Rass</w:t>
      </w:r>
      <w:proofErr w:type="spellEnd"/>
      <w:r w:rsidRPr="008F36C1">
        <w:rPr>
          <w:rFonts w:cstheme="minorHAnsi"/>
          <w:i/>
          <w:sz w:val="18"/>
          <w:szCs w:val="18"/>
        </w:rPr>
        <w:t xml:space="preserve">. </w:t>
      </w:r>
      <w:proofErr w:type="spellStart"/>
      <w:r w:rsidRPr="008F36C1">
        <w:rPr>
          <w:rFonts w:cstheme="minorHAnsi"/>
          <w:i/>
          <w:sz w:val="18"/>
          <w:szCs w:val="18"/>
        </w:rPr>
        <w:t>trib</w:t>
      </w:r>
      <w:proofErr w:type="spellEnd"/>
      <w:r w:rsidRPr="008F36C1">
        <w:rPr>
          <w:rFonts w:cstheme="minorHAnsi"/>
          <w:i/>
          <w:sz w:val="18"/>
          <w:szCs w:val="18"/>
        </w:rPr>
        <w:t>.</w:t>
      </w:r>
      <w:r w:rsidRPr="00361783">
        <w:rPr>
          <w:rFonts w:cstheme="minorHAnsi"/>
          <w:sz w:val="18"/>
          <w:szCs w:val="18"/>
        </w:rPr>
        <w:t xml:space="preserve"> 2015, 2, 499 ss.</w:t>
      </w:r>
    </w:p>
  </w:footnote>
  <w:footnote w:id="14">
    <w:p w:rsidR="00361783" w:rsidRDefault="00361783" w:rsidP="00361783">
      <w:pPr>
        <w:pStyle w:val="Testonotaapidipagina"/>
        <w:jc w:val="both"/>
      </w:pPr>
      <w:r>
        <w:rPr>
          <w:rStyle w:val="Rimandonotaapidipagina"/>
        </w:rPr>
        <w:footnoteRef/>
      </w:r>
      <w:r>
        <w:t xml:space="preserve"> </w:t>
      </w:r>
      <w:r w:rsidRPr="00361783">
        <w:rPr>
          <w:i/>
        </w:rPr>
        <w:t>Ibidem</w:t>
      </w:r>
      <w:r>
        <w:t>.</w:t>
      </w:r>
    </w:p>
  </w:footnote>
  <w:footnote w:id="15">
    <w:p w:rsidR="00B84A2B" w:rsidRPr="00B84A2B" w:rsidRDefault="00B84A2B" w:rsidP="00B84A2B">
      <w:pPr>
        <w:pStyle w:val="Testonotaapidipagina"/>
        <w:jc w:val="both"/>
        <w:rPr>
          <w:rFonts w:ascii="Times New Roman" w:hAnsi="Times New Roman" w:cs="Times New Roman"/>
        </w:rPr>
      </w:pPr>
      <w:r>
        <w:rPr>
          <w:rStyle w:val="Rimandonotaapidipagina"/>
        </w:rPr>
        <w:footnoteRef/>
      </w:r>
      <w:r>
        <w:t xml:space="preserve"> </w:t>
      </w:r>
      <w:proofErr w:type="spellStart"/>
      <w:r w:rsidRPr="00B84A2B">
        <w:rPr>
          <w:rFonts w:cstheme="minorHAnsi"/>
          <w:sz w:val="18"/>
          <w:szCs w:val="18"/>
        </w:rPr>
        <w:t>Cass</w:t>
      </w:r>
      <w:proofErr w:type="spellEnd"/>
      <w:r w:rsidRPr="00B84A2B">
        <w:rPr>
          <w:rFonts w:cstheme="minorHAnsi"/>
          <w:sz w:val="18"/>
          <w:szCs w:val="18"/>
        </w:rPr>
        <w:t xml:space="preserve">. </w:t>
      </w:r>
      <w:proofErr w:type="spellStart"/>
      <w:r w:rsidRPr="00B84A2B">
        <w:rPr>
          <w:rFonts w:cstheme="minorHAnsi"/>
          <w:sz w:val="18"/>
          <w:szCs w:val="18"/>
        </w:rPr>
        <w:t>pen</w:t>
      </w:r>
      <w:proofErr w:type="spellEnd"/>
      <w:r w:rsidRPr="00B84A2B">
        <w:rPr>
          <w:rFonts w:cstheme="minorHAnsi"/>
          <w:sz w:val="18"/>
          <w:szCs w:val="18"/>
        </w:rPr>
        <w:t>., sez. III, 20 gennaio 2022 n. 2245.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9AD"/>
    <w:multiLevelType w:val="hybridMultilevel"/>
    <w:tmpl w:val="F25AF9DC"/>
    <w:lvl w:ilvl="0" w:tplc="2668BC9A">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1455BB"/>
    <w:multiLevelType w:val="hybridMultilevel"/>
    <w:tmpl w:val="5F467E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665664"/>
    <w:multiLevelType w:val="multilevel"/>
    <w:tmpl w:val="F30E1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B55908"/>
    <w:multiLevelType w:val="hybridMultilevel"/>
    <w:tmpl w:val="A5DA287A"/>
    <w:lvl w:ilvl="0" w:tplc="6FF441B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C5749"/>
    <w:multiLevelType w:val="hybridMultilevel"/>
    <w:tmpl w:val="BD7E00E4"/>
    <w:lvl w:ilvl="0" w:tplc="5B1002B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5C45AD4"/>
    <w:multiLevelType w:val="multilevel"/>
    <w:tmpl w:val="90301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4A22A7"/>
    <w:multiLevelType w:val="multilevel"/>
    <w:tmpl w:val="26FC1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61"/>
    <w:rsid w:val="000541FC"/>
    <w:rsid w:val="000A5943"/>
    <w:rsid w:val="000B0296"/>
    <w:rsid w:val="000B5F3A"/>
    <w:rsid w:val="000D17A1"/>
    <w:rsid w:val="000F26A9"/>
    <w:rsid w:val="00100FB1"/>
    <w:rsid w:val="001250BD"/>
    <w:rsid w:val="00156500"/>
    <w:rsid w:val="00157E54"/>
    <w:rsid w:val="001B019B"/>
    <w:rsid w:val="001B6968"/>
    <w:rsid w:val="001D623F"/>
    <w:rsid w:val="001F621B"/>
    <w:rsid w:val="0020469E"/>
    <w:rsid w:val="00225732"/>
    <w:rsid w:val="00254392"/>
    <w:rsid w:val="002E022A"/>
    <w:rsid w:val="002E265C"/>
    <w:rsid w:val="0030145D"/>
    <w:rsid w:val="00306146"/>
    <w:rsid w:val="00330BBC"/>
    <w:rsid w:val="0035793C"/>
    <w:rsid w:val="00361783"/>
    <w:rsid w:val="003841A9"/>
    <w:rsid w:val="003B1179"/>
    <w:rsid w:val="003D0F34"/>
    <w:rsid w:val="003D36AF"/>
    <w:rsid w:val="003F005F"/>
    <w:rsid w:val="004270F0"/>
    <w:rsid w:val="0043711C"/>
    <w:rsid w:val="004F109B"/>
    <w:rsid w:val="00524B46"/>
    <w:rsid w:val="00561D0F"/>
    <w:rsid w:val="00563527"/>
    <w:rsid w:val="00570382"/>
    <w:rsid w:val="005A03AA"/>
    <w:rsid w:val="005F2386"/>
    <w:rsid w:val="00680AE7"/>
    <w:rsid w:val="006B3D5A"/>
    <w:rsid w:val="0072122B"/>
    <w:rsid w:val="00734F21"/>
    <w:rsid w:val="007C0A0D"/>
    <w:rsid w:val="007D177B"/>
    <w:rsid w:val="007D23AA"/>
    <w:rsid w:val="008433CC"/>
    <w:rsid w:val="00864A13"/>
    <w:rsid w:val="00880A8B"/>
    <w:rsid w:val="00897254"/>
    <w:rsid w:val="008A493B"/>
    <w:rsid w:val="008C57A3"/>
    <w:rsid w:val="008F36C1"/>
    <w:rsid w:val="00961F3C"/>
    <w:rsid w:val="009704F6"/>
    <w:rsid w:val="009F2BA4"/>
    <w:rsid w:val="00A22EE0"/>
    <w:rsid w:val="00A33DDB"/>
    <w:rsid w:val="00A4775D"/>
    <w:rsid w:val="00A673E2"/>
    <w:rsid w:val="00AB0582"/>
    <w:rsid w:val="00AE2A54"/>
    <w:rsid w:val="00AF3DE2"/>
    <w:rsid w:val="00B24FF6"/>
    <w:rsid w:val="00B84A2B"/>
    <w:rsid w:val="00BD3474"/>
    <w:rsid w:val="00BE39A5"/>
    <w:rsid w:val="00C14A9A"/>
    <w:rsid w:val="00C50E6E"/>
    <w:rsid w:val="00C82ED1"/>
    <w:rsid w:val="00CF2BA2"/>
    <w:rsid w:val="00D10C0F"/>
    <w:rsid w:val="00D2313B"/>
    <w:rsid w:val="00D274F0"/>
    <w:rsid w:val="00D4050D"/>
    <w:rsid w:val="00D54922"/>
    <w:rsid w:val="00D82761"/>
    <w:rsid w:val="00D833B5"/>
    <w:rsid w:val="00D84314"/>
    <w:rsid w:val="00D87D2A"/>
    <w:rsid w:val="00DB5F2C"/>
    <w:rsid w:val="00E1314A"/>
    <w:rsid w:val="00E26FFF"/>
    <w:rsid w:val="00E27B0B"/>
    <w:rsid w:val="00E546AB"/>
    <w:rsid w:val="00EA2969"/>
    <w:rsid w:val="00F041CA"/>
    <w:rsid w:val="00F07160"/>
    <w:rsid w:val="00F24E8F"/>
    <w:rsid w:val="00F91B96"/>
    <w:rsid w:val="00FA20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9867"/>
  <w15:chartTrackingRefBased/>
  <w15:docId w15:val="{054EB6DE-A7EF-4658-A3AC-5F39A720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493B"/>
  </w:style>
  <w:style w:type="paragraph" w:styleId="Titolo1">
    <w:name w:val="heading 1"/>
    <w:basedOn w:val="Normale"/>
    <w:link w:val="Titolo1Carattere"/>
    <w:uiPriority w:val="9"/>
    <w:qFormat/>
    <w:rsid w:val="00D827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2761"/>
    <w:rPr>
      <w:rFonts w:ascii="Times New Roman" w:eastAsia="Times New Roman" w:hAnsi="Times New Roman" w:cs="Times New Roman"/>
      <w:b/>
      <w:bCs/>
      <w:kern w:val="36"/>
      <w:sz w:val="48"/>
      <w:szCs w:val="48"/>
      <w:lang w:eastAsia="it-IT"/>
    </w:rPr>
  </w:style>
  <w:style w:type="character" w:customStyle="1" w:styleId="sottotitolo">
    <w:name w:val="sottotitolo"/>
    <w:basedOn w:val="Carpredefinitoparagrafo"/>
    <w:rsid w:val="00D82761"/>
  </w:style>
  <w:style w:type="character" w:styleId="Collegamentoipertestuale">
    <w:name w:val="Hyperlink"/>
    <w:basedOn w:val="Carpredefinitoparagrafo"/>
    <w:uiPriority w:val="99"/>
    <w:semiHidden/>
    <w:unhideWhenUsed/>
    <w:rsid w:val="00D82761"/>
    <w:rPr>
      <w:color w:val="0000FF"/>
      <w:u w:val="single"/>
    </w:rPr>
  </w:style>
  <w:style w:type="character" w:customStyle="1" w:styleId="download--linkdettagli">
    <w:name w:val="download--link__dettagli"/>
    <w:basedOn w:val="Carpredefinitoparagrafo"/>
    <w:rsid w:val="00D82761"/>
  </w:style>
  <w:style w:type="paragraph" w:styleId="NormaleWeb">
    <w:name w:val="Normal (Web)"/>
    <w:basedOn w:val="Normale"/>
    <w:uiPriority w:val="99"/>
    <w:semiHidden/>
    <w:unhideWhenUsed/>
    <w:rsid w:val="00D8276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330B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330BBC"/>
  </w:style>
  <w:style w:type="character" w:customStyle="1" w:styleId="eop">
    <w:name w:val="eop"/>
    <w:basedOn w:val="Carpredefinitoparagrafo"/>
    <w:rsid w:val="00330BBC"/>
  </w:style>
  <w:style w:type="character" w:customStyle="1" w:styleId="superscript">
    <w:name w:val="superscript"/>
    <w:basedOn w:val="Carpredefinitoparagrafo"/>
    <w:rsid w:val="00F91B96"/>
  </w:style>
  <w:style w:type="character" w:styleId="Rimandonotaapidipagina">
    <w:name w:val="footnote reference"/>
    <w:basedOn w:val="Carpredefinitoparagrafo"/>
    <w:uiPriority w:val="99"/>
    <w:unhideWhenUsed/>
    <w:rsid w:val="008433CC"/>
    <w:rPr>
      <w:vertAlign w:val="superscript"/>
    </w:rPr>
  </w:style>
  <w:style w:type="paragraph" w:styleId="Testonotaapidipagina">
    <w:name w:val="footnote text"/>
    <w:basedOn w:val="Normale"/>
    <w:link w:val="TestonotaapidipaginaCarattere"/>
    <w:uiPriority w:val="99"/>
    <w:unhideWhenUsed/>
    <w:rsid w:val="008433C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433CC"/>
    <w:rPr>
      <w:sz w:val="20"/>
      <w:szCs w:val="20"/>
    </w:rPr>
  </w:style>
  <w:style w:type="paragraph" w:styleId="Paragrafoelenco">
    <w:name w:val="List Paragraph"/>
    <w:basedOn w:val="Normale"/>
    <w:uiPriority w:val="34"/>
    <w:qFormat/>
    <w:rsid w:val="004270F0"/>
    <w:pPr>
      <w:ind w:left="720"/>
      <w:contextualSpacing/>
    </w:pPr>
  </w:style>
  <w:style w:type="character" w:styleId="Enfasicorsivo">
    <w:name w:val="Emphasis"/>
    <w:basedOn w:val="Carpredefinitoparagrafo"/>
    <w:uiPriority w:val="20"/>
    <w:qFormat/>
    <w:rsid w:val="00C50E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02470">
      <w:bodyDiv w:val="1"/>
      <w:marLeft w:val="0"/>
      <w:marRight w:val="0"/>
      <w:marTop w:val="0"/>
      <w:marBottom w:val="0"/>
      <w:divBdr>
        <w:top w:val="none" w:sz="0" w:space="0" w:color="auto"/>
        <w:left w:val="none" w:sz="0" w:space="0" w:color="auto"/>
        <w:bottom w:val="none" w:sz="0" w:space="0" w:color="auto"/>
        <w:right w:val="none" w:sz="0" w:space="0" w:color="auto"/>
      </w:divBdr>
    </w:div>
    <w:div w:id="960113986">
      <w:bodyDiv w:val="1"/>
      <w:marLeft w:val="0"/>
      <w:marRight w:val="0"/>
      <w:marTop w:val="0"/>
      <w:marBottom w:val="0"/>
      <w:divBdr>
        <w:top w:val="none" w:sz="0" w:space="0" w:color="auto"/>
        <w:left w:val="none" w:sz="0" w:space="0" w:color="auto"/>
        <w:bottom w:val="none" w:sz="0" w:space="0" w:color="auto"/>
        <w:right w:val="none" w:sz="0" w:space="0" w:color="auto"/>
      </w:divBdr>
      <w:divsChild>
        <w:div w:id="1916473229">
          <w:marLeft w:val="-225"/>
          <w:marRight w:val="-225"/>
          <w:marTop w:val="0"/>
          <w:marBottom w:val="0"/>
          <w:divBdr>
            <w:top w:val="none" w:sz="0" w:space="0" w:color="auto"/>
            <w:left w:val="none" w:sz="0" w:space="0" w:color="auto"/>
            <w:bottom w:val="none" w:sz="0" w:space="0" w:color="auto"/>
            <w:right w:val="none" w:sz="0" w:space="0" w:color="auto"/>
          </w:divBdr>
          <w:divsChild>
            <w:div w:id="1246184305">
              <w:marLeft w:val="0"/>
              <w:marRight w:val="0"/>
              <w:marTop w:val="0"/>
              <w:marBottom w:val="0"/>
              <w:divBdr>
                <w:top w:val="none" w:sz="0" w:space="0" w:color="auto"/>
                <w:left w:val="none" w:sz="0" w:space="0" w:color="auto"/>
                <w:bottom w:val="none" w:sz="0" w:space="0" w:color="auto"/>
                <w:right w:val="none" w:sz="0" w:space="0" w:color="auto"/>
              </w:divBdr>
            </w:div>
            <w:div w:id="1481069413">
              <w:marLeft w:val="0"/>
              <w:marRight w:val="0"/>
              <w:marTop w:val="0"/>
              <w:marBottom w:val="0"/>
              <w:divBdr>
                <w:top w:val="none" w:sz="0" w:space="0" w:color="auto"/>
                <w:left w:val="none" w:sz="0" w:space="0" w:color="auto"/>
                <w:bottom w:val="none" w:sz="0" w:space="0" w:color="auto"/>
                <w:right w:val="none" w:sz="0" w:space="0" w:color="auto"/>
              </w:divBdr>
            </w:div>
          </w:divsChild>
        </w:div>
        <w:div w:id="874848202">
          <w:marLeft w:val="-225"/>
          <w:marRight w:val="-225"/>
          <w:marTop w:val="0"/>
          <w:marBottom w:val="0"/>
          <w:divBdr>
            <w:top w:val="none" w:sz="0" w:space="0" w:color="auto"/>
            <w:left w:val="none" w:sz="0" w:space="0" w:color="auto"/>
            <w:bottom w:val="none" w:sz="0" w:space="0" w:color="auto"/>
            <w:right w:val="none" w:sz="0" w:space="0" w:color="auto"/>
          </w:divBdr>
          <w:divsChild>
            <w:div w:id="280573077">
              <w:marLeft w:val="0"/>
              <w:marRight w:val="0"/>
              <w:marTop w:val="0"/>
              <w:marBottom w:val="0"/>
              <w:divBdr>
                <w:top w:val="none" w:sz="0" w:space="0" w:color="auto"/>
                <w:left w:val="none" w:sz="0" w:space="0" w:color="auto"/>
                <w:bottom w:val="none" w:sz="0" w:space="0" w:color="auto"/>
                <w:right w:val="none" w:sz="0" w:space="0" w:color="auto"/>
              </w:divBdr>
            </w:div>
            <w:div w:id="1645040457">
              <w:marLeft w:val="0"/>
              <w:marRight w:val="0"/>
              <w:marTop w:val="0"/>
              <w:marBottom w:val="0"/>
              <w:divBdr>
                <w:top w:val="none" w:sz="0" w:space="0" w:color="auto"/>
                <w:left w:val="none" w:sz="0" w:space="0" w:color="auto"/>
                <w:bottom w:val="none" w:sz="0" w:space="0" w:color="auto"/>
                <w:right w:val="none" w:sz="0" w:space="0" w:color="auto"/>
              </w:divBdr>
            </w:div>
          </w:divsChild>
        </w:div>
        <w:div w:id="2003461672">
          <w:marLeft w:val="-225"/>
          <w:marRight w:val="-225"/>
          <w:marTop w:val="0"/>
          <w:marBottom w:val="0"/>
          <w:divBdr>
            <w:top w:val="none" w:sz="0" w:space="0" w:color="auto"/>
            <w:left w:val="none" w:sz="0" w:space="0" w:color="auto"/>
            <w:bottom w:val="none" w:sz="0" w:space="0" w:color="auto"/>
            <w:right w:val="none" w:sz="0" w:space="0" w:color="auto"/>
          </w:divBdr>
          <w:divsChild>
            <w:div w:id="645014502">
              <w:marLeft w:val="0"/>
              <w:marRight w:val="0"/>
              <w:marTop w:val="0"/>
              <w:marBottom w:val="0"/>
              <w:divBdr>
                <w:top w:val="none" w:sz="0" w:space="0" w:color="auto"/>
                <w:left w:val="none" w:sz="0" w:space="0" w:color="auto"/>
                <w:bottom w:val="none" w:sz="0" w:space="0" w:color="auto"/>
                <w:right w:val="none" w:sz="0" w:space="0" w:color="auto"/>
              </w:divBdr>
            </w:div>
            <w:div w:id="11938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24756">
      <w:bodyDiv w:val="1"/>
      <w:marLeft w:val="0"/>
      <w:marRight w:val="0"/>
      <w:marTop w:val="0"/>
      <w:marBottom w:val="0"/>
      <w:divBdr>
        <w:top w:val="none" w:sz="0" w:space="0" w:color="auto"/>
        <w:left w:val="none" w:sz="0" w:space="0" w:color="auto"/>
        <w:bottom w:val="none" w:sz="0" w:space="0" w:color="auto"/>
        <w:right w:val="none" w:sz="0" w:space="0" w:color="auto"/>
      </w:divBdr>
      <w:divsChild>
        <w:div w:id="780682478">
          <w:marLeft w:val="0"/>
          <w:marRight w:val="0"/>
          <w:marTop w:val="0"/>
          <w:marBottom w:val="0"/>
          <w:divBdr>
            <w:top w:val="none" w:sz="0" w:space="0" w:color="auto"/>
            <w:left w:val="none" w:sz="0" w:space="0" w:color="auto"/>
            <w:bottom w:val="none" w:sz="0" w:space="0" w:color="auto"/>
            <w:right w:val="none" w:sz="0" w:space="0" w:color="auto"/>
          </w:divBdr>
        </w:div>
        <w:div w:id="2060353184">
          <w:marLeft w:val="0"/>
          <w:marRight w:val="0"/>
          <w:marTop w:val="0"/>
          <w:marBottom w:val="0"/>
          <w:divBdr>
            <w:top w:val="none" w:sz="0" w:space="0" w:color="auto"/>
            <w:left w:val="none" w:sz="0" w:space="0" w:color="auto"/>
            <w:bottom w:val="none" w:sz="0" w:space="0" w:color="auto"/>
            <w:right w:val="none" w:sz="0" w:space="0" w:color="auto"/>
          </w:divBdr>
        </w:div>
        <w:div w:id="1948344939">
          <w:marLeft w:val="0"/>
          <w:marRight w:val="0"/>
          <w:marTop w:val="0"/>
          <w:marBottom w:val="0"/>
          <w:divBdr>
            <w:top w:val="none" w:sz="0" w:space="0" w:color="auto"/>
            <w:left w:val="none" w:sz="0" w:space="0" w:color="auto"/>
            <w:bottom w:val="none" w:sz="0" w:space="0" w:color="auto"/>
            <w:right w:val="none" w:sz="0" w:space="0" w:color="auto"/>
          </w:divBdr>
        </w:div>
        <w:div w:id="1028218416">
          <w:marLeft w:val="0"/>
          <w:marRight w:val="0"/>
          <w:marTop w:val="0"/>
          <w:marBottom w:val="0"/>
          <w:divBdr>
            <w:top w:val="none" w:sz="0" w:space="0" w:color="auto"/>
            <w:left w:val="none" w:sz="0" w:space="0" w:color="auto"/>
            <w:bottom w:val="none" w:sz="0" w:space="0" w:color="auto"/>
            <w:right w:val="none" w:sz="0" w:space="0" w:color="auto"/>
          </w:divBdr>
        </w:div>
        <w:div w:id="2131624949">
          <w:marLeft w:val="0"/>
          <w:marRight w:val="0"/>
          <w:marTop w:val="0"/>
          <w:marBottom w:val="0"/>
          <w:divBdr>
            <w:top w:val="none" w:sz="0" w:space="0" w:color="auto"/>
            <w:left w:val="none" w:sz="0" w:space="0" w:color="auto"/>
            <w:bottom w:val="none" w:sz="0" w:space="0" w:color="auto"/>
            <w:right w:val="none" w:sz="0" w:space="0" w:color="auto"/>
          </w:divBdr>
        </w:div>
        <w:div w:id="1163662123">
          <w:marLeft w:val="0"/>
          <w:marRight w:val="0"/>
          <w:marTop w:val="0"/>
          <w:marBottom w:val="0"/>
          <w:divBdr>
            <w:top w:val="none" w:sz="0" w:space="0" w:color="auto"/>
            <w:left w:val="none" w:sz="0" w:space="0" w:color="auto"/>
            <w:bottom w:val="none" w:sz="0" w:space="0" w:color="auto"/>
            <w:right w:val="none" w:sz="0" w:space="0" w:color="auto"/>
          </w:divBdr>
        </w:div>
        <w:div w:id="1890418457">
          <w:marLeft w:val="0"/>
          <w:marRight w:val="0"/>
          <w:marTop w:val="0"/>
          <w:marBottom w:val="0"/>
          <w:divBdr>
            <w:top w:val="none" w:sz="0" w:space="0" w:color="auto"/>
            <w:left w:val="none" w:sz="0" w:space="0" w:color="auto"/>
            <w:bottom w:val="none" w:sz="0" w:space="0" w:color="auto"/>
            <w:right w:val="none" w:sz="0" w:space="0" w:color="auto"/>
          </w:divBdr>
        </w:div>
        <w:div w:id="272328055">
          <w:marLeft w:val="0"/>
          <w:marRight w:val="0"/>
          <w:marTop w:val="0"/>
          <w:marBottom w:val="0"/>
          <w:divBdr>
            <w:top w:val="none" w:sz="0" w:space="0" w:color="auto"/>
            <w:left w:val="none" w:sz="0" w:space="0" w:color="auto"/>
            <w:bottom w:val="none" w:sz="0" w:space="0" w:color="auto"/>
            <w:right w:val="none" w:sz="0" w:space="0" w:color="auto"/>
          </w:divBdr>
        </w:div>
      </w:divsChild>
    </w:div>
    <w:div w:id="1013997770">
      <w:bodyDiv w:val="1"/>
      <w:marLeft w:val="0"/>
      <w:marRight w:val="0"/>
      <w:marTop w:val="0"/>
      <w:marBottom w:val="0"/>
      <w:divBdr>
        <w:top w:val="none" w:sz="0" w:space="0" w:color="auto"/>
        <w:left w:val="none" w:sz="0" w:space="0" w:color="auto"/>
        <w:bottom w:val="none" w:sz="0" w:space="0" w:color="auto"/>
        <w:right w:val="none" w:sz="0" w:space="0" w:color="auto"/>
      </w:divBdr>
    </w:div>
    <w:div w:id="180349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ustizia-amministrativa.it/portale/pages/istituzionale/visualizza?nodeRef=&amp;schema=cds&amp;nrg=201908184&amp;nomeFile=202200068_18.html&amp;subDir=Provvedimen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reccani.it/enciclopedia/giudica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FAF41-32C2-468F-B1FA-408EEDB5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2317</Words>
  <Characters>13210</Characters>
  <Application>Microsoft Office Word</Application>
  <DocSecurity>0</DocSecurity>
  <Lines>110</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FERRARI Giulia</cp:lastModifiedBy>
  <cp:revision>2</cp:revision>
  <dcterms:created xsi:type="dcterms:W3CDTF">2022-07-18T18:26:00Z</dcterms:created>
  <dcterms:modified xsi:type="dcterms:W3CDTF">2022-07-18T18:26:00Z</dcterms:modified>
</cp:coreProperties>
</file>