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8F64" w14:textId="07D76F35" w:rsidR="00945FE7" w:rsidRPr="008D35E3" w:rsidRDefault="00945FE7" w:rsidP="008D35E3">
      <w:pPr>
        <w:pStyle w:val="NormaleWeb"/>
        <w:shd w:val="clear" w:color="auto" w:fill="FFFFFF"/>
        <w:spacing w:line="360" w:lineRule="auto"/>
        <w:jc w:val="center"/>
        <w:rPr>
          <w:b/>
          <w:color w:val="auto"/>
          <w:kern w:val="0"/>
          <w:sz w:val="32"/>
          <w:szCs w:val="32"/>
        </w:rPr>
      </w:pPr>
      <w:r w:rsidRPr="008D35E3">
        <w:rPr>
          <w:b/>
          <w:color w:val="auto"/>
          <w:kern w:val="0"/>
          <w:sz w:val="32"/>
          <w:szCs w:val="32"/>
        </w:rPr>
        <w:t>Il riparto di giurisdizione in materia di sanzioni amministrative non pecuniarie</w:t>
      </w:r>
    </w:p>
    <w:p w14:paraId="63DD4531" w14:textId="77777777" w:rsidR="0007146D" w:rsidRDefault="0007146D" w:rsidP="00151324">
      <w:pPr>
        <w:pStyle w:val="NormaleWeb"/>
        <w:shd w:val="clear" w:color="auto" w:fill="FFFFFF"/>
        <w:spacing w:line="360" w:lineRule="auto"/>
        <w:jc w:val="both"/>
        <w:rPr>
          <w:b/>
          <w:color w:val="auto"/>
          <w:kern w:val="0"/>
          <w:sz w:val="24"/>
          <w:szCs w:val="24"/>
        </w:rPr>
      </w:pPr>
    </w:p>
    <w:p w14:paraId="1D76996B" w14:textId="4B6103D8" w:rsidR="00D5361B" w:rsidRPr="00D5361B" w:rsidRDefault="00D5361B" w:rsidP="00151324">
      <w:pPr>
        <w:pStyle w:val="NormaleWeb"/>
        <w:shd w:val="clear" w:color="auto" w:fill="FFFFFF"/>
        <w:spacing w:line="360" w:lineRule="auto"/>
        <w:jc w:val="both"/>
        <w:rPr>
          <w:i/>
          <w:color w:val="auto"/>
          <w:kern w:val="0"/>
          <w:sz w:val="24"/>
          <w:szCs w:val="24"/>
        </w:rPr>
      </w:pPr>
      <w:r w:rsidRPr="00D5361B">
        <w:rPr>
          <w:b/>
          <w:color w:val="auto"/>
          <w:kern w:val="0"/>
          <w:sz w:val="24"/>
          <w:szCs w:val="24"/>
        </w:rPr>
        <w:t>Sommario:</w:t>
      </w:r>
      <w:r>
        <w:rPr>
          <w:b/>
          <w:color w:val="auto"/>
          <w:kern w:val="0"/>
          <w:sz w:val="24"/>
          <w:szCs w:val="24"/>
        </w:rPr>
        <w:t xml:space="preserve"> </w:t>
      </w:r>
      <w:r w:rsidRPr="00D5361B">
        <w:rPr>
          <w:i/>
          <w:color w:val="auto"/>
          <w:kern w:val="0"/>
          <w:sz w:val="24"/>
          <w:szCs w:val="24"/>
        </w:rPr>
        <w:t>Premessa.</w:t>
      </w:r>
      <w:r>
        <w:rPr>
          <w:i/>
          <w:color w:val="auto"/>
          <w:kern w:val="0"/>
          <w:sz w:val="24"/>
          <w:szCs w:val="24"/>
        </w:rPr>
        <w:t xml:space="preserve"> </w:t>
      </w:r>
      <w:r w:rsidR="006374A6">
        <w:rPr>
          <w:i/>
          <w:color w:val="auto"/>
          <w:kern w:val="0"/>
          <w:sz w:val="24"/>
          <w:szCs w:val="24"/>
        </w:rPr>
        <w:t xml:space="preserve">- </w:t>
      </w:r>
      <w:r>
        <w:rPr>
          <w:i/>
          <w:color w:val="auto"/>
          <w:kern w:val="0"/>
          <w:sz w:val="24"/>
          <w:szCs w:val="24"/>
        </w:rPr>
        <w:t>1.</w:t>
      </w:r>
      <w:r w:rsidR="006374A6">
        <w:rPr>
          <w:i/>
          <w:color w:val="auto"/>
          <w:kern w:val="0"/>
          <w:sz w:val="24"/>
          <w:szCs w:val="24"/>
        </w:rPr>
        <w:t xml:space="preserve"> </w:t>
      </w:r>
      <w:r>
        <w:rPr>
          <w:i/>
          <w:color w:val="auto"/>
          <w:kern w:val="0"/>
          <w:sz w:val="24"/>
          <w:szCs w:val="24"/>
        </w:rPr>
        <w:t>Il quadro normativo.</w:t>
      </w:r>
      <w:r w:rsidR="006374A6">
        <w:rPr>
          <w:i/>
          <w:color w:val="auto"/>
          <w:kern w:val="0"/>
          <w:sz w:val="24"/>
          <w:szCs w:val="24"/>
        </w:rPr>
        <w:t xml:space="preserve"> - </w:t>
      </w:r>
      <w:r>
        <w:rPr>
          <w:i/>
          <w:color w:val="auto"/>
          <w:kern w:val="0"/>
          <w:sz w:val="24"/>
          <w:szCs w:val="24"/>
        </w:rPr>
        <w:t>2.</w:t>
      </w:r>
      <w:r w:rsidR="006374A6">
        <w:rPr>
          <w:i/>
          <w:color w:val="auto"/>
          <w:kern w:val="0"/>
          <w:sz w:val="24"/>
          <w:szCs w:val="24"/>
        </w:rPr>
        <w:t xml:space="preserve"> La natura sanzionatoria di un provvedimento. -3. La decadenza. - 4. La stratificazione normativa in materia di occupazione di suolo pubblico. - 5. Le sanzioni di natura non pecuniaria - 6. La rimozione dell’occupazione di suolo pubblico nella normativa a tutela della sicurezza della città. - 7. Problematiche di </w:t>
      </w:r>
      <w:r w:rsidR="006374A6" w:rsidRPr="006374A6">
        <w:rPr>
          <w:color w:val="auto"/>
          <w:kern w:val="0"/>
          <w:sz w:val="24"/>
          <w:szCs w:val="24"/>
        </w:rPr>
        <w:t>ne bis in idem</w:t>
      </w:r>
      <w:r w:rsidR="006374A6">
        <w:rPr>
          <w:color w:val="auto"/>
          <w:kern w:val="0"/>
          <w:sz w:val="24"/>
          <w:szCs w:val="24"/>
        </w:rPr>
        <w:t xml:space="preserve">. - </w:t>
      </w:r>
      <w:r w:rsidR="006374A6" w:rsidRPr="006374A6">
        <w:rPr>
          <w:i/>
          <w:color w:val="auto"/>
          <w:kern w:val="0"/>
          <w:sz w:val="24"/>
          <w:szCs w:val="24"/>
        </w:rPr>
        <w:t>Conclusioni</w:t>
      </w:r>
      <w:r w:rsidR="006374A6">
        <w:rPr>
          <w:color w:val="auto"/>
          <w:kern w:val="0"/>
          <w:sz w:val="24"/>
          <w:szCs w:val="24"/>
        </w:rPr>
        <w:t xml:space="preserve">.  </w:t>
      </w:r>
    </w:p>
    <w:p w14:paraId="13AD74F4" w14:textId="77777777" w:rsidR="00945FE7" w:rsidRDefault="00945FE7" w:rsidP="00151324">
      <w:pPr>
        <w:pStyle w:val="NormaleWeb"/>
        <w:shd w:val="clear" w:color="auto" w:fill="FFFFFF"/>
        <w:spacing w:line="360" w:lineRule="auto"/>
        <w:jc w:val="both"/>
        <w:rPr>
          <w:color w:val="auto"/>
          <w:kern w:val="0"/>
          <w:sz w:val="24"/>
          <w:szCs w:val="24"/>
        </w:rPr>
      </w:pPr>
    </w:p>
    <w:p w14:paraId="387B7ECF" w14:textId="01BEE6EB" w:rsidR="00B12662" w:rsidRPr="00151324" w:rsidRDefault="00B12662" w:rsidP="00151324">
      <w:pPr>
        <w:pStyle w:val="NormaleWeb"/>
        <w:shd w:val="clear" w:color="auto" w:fill="FFFFFF"/>
        <w:spacing w:line="360" w:lineRule="auto"/>
        <w:jc w:val="both"/>
        <w:rPr>
          <w:b/>
          <w:color w:val="auto"/>
          <w:kern w:val="0"/>
          <w:sz w:val="24"/>
          <w:szCs w:val="24"/>
        </w:rPr>
      </w:pPr>
      <w:r w:rsidRPr="00151324">
        <w:rPr>
          <w:b/>
          <w:color w:val="auto"/>
          <w:kern w:val="0"/>
          <w:sz w:val="24"/>
          <w:szCs w:val="24"/>
        </w:rPr>
        <w:t xml:space="preserve">Premessa. </w:t>
      </w:r>
    </w:p>
    <w:p w14:paraId="74BCABA1" w14:textId="77777777" w:rsidR="00D1084E" w:rsidRPr="00151324" w:rsidRDefault="00D1084E" w:rsidP="00151324">
      <w:pPr>
        <w:pStyle w:val="NormaleWeb"/>
        <w:shd w:val="clear" w:color="auto" w:fill="FFFFFF"/>
        <w:spacing w:line="360" w:lineRule="auto"/>
        <w:jc w:val="both"/>
        <w:rPr>
          <w:b/>
          <w:color w:val="auto"/>
          <w:kern w:val="0"/>
          <w:sz w:val="24"/>
          <w:szCs w:val="24"/>
        </w:rPr>
      </w:pPr>
    </w:p>
    <w:p w14:paraId="051136EE" w14:textId="604E5E3D" w:rsidR="00513B71" w:rsidRPr="00151324" w:rsidRDefault="00B12662" w:rsidP="00151324">
      <w:pPr>
        <w:pStyle w:val="NormaleWeb"/>
        <w:shd w:val="clear" w:color="auto" w:fill="FFFFFF"/>
        <w:spacing w:line="360" w:lineRule="auto"/>
        <w:jc w:val="both"/>
        <w:rPr>
          <w:color w:val="auto"/>
          <w:kern w:val="0"/>
          <w:sz w:val="24"/>
          <w:szCs w:val="24"/>
        </w:rPr>
      </w:pPr>
      <w:r w:rsidRPr="00151324">
        <w:rPr>
          <w:color w:val="auto"/>
          <w:kern w:val="0"/>
          <w:sz w:val="24"/>
          <w:szCs w:val="24"/>
        </w:rPr>
        <w:t>La tematica del</w:t>
      </w:r>
      <w:r w:rsidR="00513B71" w:rsidRPr="00151324">
        <w:rPr>
          <w:color w:val="auto"/>
          <w:kern w:val="0"/>
          <w:sz w:val="24"/>
          <w:szCs w:val="24"/>
        </w:rPr>
        <w:t xml:space="preserve"> riparto di giurisdizione </w:t>
      </w:r>
      <w:r w:rsidRPr="00151324">
        <w:rPr>
          <w:color w:val="auto"/>
          <w:kern w:val="0"/>
          <w:sz w:val="24"/>
          <w:szCs w:val="24"/>
        </w:rPr>
        <w:t>in materia di sanzioni amministrative non pecuniarie</w:t>
      </w:r>
      <w:r w:rsidR="00513B71" w:rsidRPr="00151324">
        <w:rPr>
          <w:color w:val="auto"/>
          <w:kern w:val="0"/>
          <w:sz w:val="24"/>
          <w:szCs w:val="24"/>
        </w:rPr>
        <w:t xml:space="preserve"> </w:t>
      </w:r>
      <w:r w:rsidR="00F3393C" w:rsidRPr="00151324">
        <w:rPr>
          <w:color w:val="auto"/>
          <w:kern w:val="0"/>
          <w:sz w:val="24"/>
          <w:szCs w:val="24"/>
        </w:rPr>
        <w:t>costituisce un</w:t>
      </w:r>
      <w:r w:rsidR="003D7FBF" w:rsidRPr="00151324">
        <w:rPr>
          <w:color w:val="auto"/>
          <w:kern w:val="0"/>
          <w:sz w:val="24"/>
          <w:szCs w:val="24"/>
        </w:rPr>
        <w:t xml:space="preserve">a delle questioni </w:t>
      </w:r>
      <w:r w:rsidR="00F3393C" w:rsidRPr="00151324">
        <w:rPr>
          <w:color w:val="auto"/>
          <w:kern w:val="0"/>
          <w:sz w:val="24"/>
          <w:szCs w:val="24"/>
        </w:rPr>
        <w:t>più dibattut</w:t>
      </w:r>
      <w:r w:rsidR="003D7FBF" w:rsidRPr="00151324">
        <w:rPr>
          <w:color w:val="auto"/>
          <w:kern w:val="0"/>
          <w:sz w:val="24"/>
          <w:szCs w:val="24"/>
        </w:rPr>
        <w:t>e</w:t>
      </w:r>
      <w:r w:rsidR="00F3393C" w:rsidRPr="00151324">
        <w:rPr>
          <w:color w:val="auto"/>
          <w:kern w:val="0"/>
          <w:sz w:val="24"/>
          <w:szCs w:val="24"/>
        </w:rPr>
        <w:t xml:space="preserve"> nell’ambito del c.d. </w:t>
      </w:r>
      <w:r w:rsidR="00513B71" w:rsidRPr="00151324">
        <w:rPr>
          <w:color w:val="auto"/>
          <w:kern w:val="0"/>
          <w:sz w:val="24"/>
          <w:szCs w:val="24"/>
        </w:rPr>
        <w:t>diritto punitivo</w:t>
      </w:r>
      <w:r w:rsidR="00F3393C" w:rsidRPr="00151324">
        <w:rPr>
          <w:color w:val="auto"/>
          <w:kern w:val="0"/>
          <w:sz w:val="24"/>
          <w:szCs w:val="24"/>
        </w:rPr>
        <w:t xml:space="preserve">, malgrado l’apparente chiarezza della norma </w:t>
      </w:r>
      <w:r w:rsidR="003D7FBF" w:rsidRPr="00151324">
        <w:rPr>
          <w:color w:val="auto"/>
          <w:kern w:val="0"/>
          <w:sz w:val="24"/>
          <w:szCs w:val="24"/>
        </w:rPr>
        <w:t xml:space="preserve">che da tempo ne declina </w:t>
      </w:r>
      <w:r w:rsidR="00F3393C" w:rsidRPr="00151324">
        <w:rPr>
          <w:color w:val="auto"/>
          <w:kern w:val="0"/>
          <w:sz w:val="24"/>
          <w:szCs w:val="24"/>
        </w:rPr>
        <w:t xml:space="preserve">in maniera esplicita i confini. L’art. 6 del d.lgs. </w:t>
      </w:r>
      <w:r w:rsidR="003D7FBF" w:rsidRPr="00151324">
        <w:rPr>
          <w:color w:val="auto"/>
          <w:kern w:val="0"/>
          <w:sz w:val="24"/>
          <w:szCs w:val="24"/>
        </w:rPr>
        <w:t xml:space="preserve">1 settembre 2011, </w:t>
      </w:r>
      <w:r w:rsidR="00F3393C" w:rsidRPr="00151324">
        <w:rPr>
          <w:color w:val="auto"/>
          <w:kern w:val="0"/>
          <w:sz w:val="24"/>
          <w:szCs w:val="24"/>
        </w:rPr>
        <w:t>n. 150</w:t>
      </w:r>
      <w:r w:rsidR="003D7FBF" w:rsidRPr="00151324">
        <w:rPr>
          <w:color w:val="auto"/>
          <w:kern w:val="0"/>
          <w:sz w:val="24"/>
          <w:szCs w:val="24"/>
        </w:rPr>
        <w:t>,</w:t>
      </w:r>
      <w:r w:rsidR="00F3393C" w:rsidRPr="00151324">
        <w:rPr>
          <w:color w:val="auto"/>
          <w:kern w:val="0"/>
          <w:sz w:val="24"/>
          <w:szCs w:val="24"/>
        </w:rPr>
        <w:t xml:space="preserve"> infatti, nel </w:t>
      </w:r>
      <w:r w:rsidR="00F16482" w:rsidRPr="00151324">
        <w:rPr>
          <w:color w:val="auto"/>
          <w:kern w:val="0"/>
          <w:sz w:val="24"/>
          <w:szCs w:val="24"/>
        </w:rPr>
        <w:t xml:space="preserve">riprendere </w:t>
      </w:r>
      <w:r w:rsidR="00F3393C" w:rsidRPr="00151324">
        <w:rPr>
          <w:color w:val="auto"/>
          <w:kern w:val="0"/>
          <w:sz w:val="24"/>
          <w:szCs w:val="24"/>
        </w:rPr>
        <w:t xml:space="preserve">l’elencazione </w:t>
      </w:r>
      <w:r w:rsidR="003D7FBF" w:rsidRPr="00151324">
        <w:rPr>
          <w:color w:val="auto"/>
          <w:kern w:val="0"/>
          <w:sz w:val="24"/>
          <w:szCs w:val="24"/>
        </w:rPr>
        <w:t xml:space="preserve">delle materie </w:t>
      </w:r>
      <w:r w:rsidR="00F16482" w:rsidRPr="00151324">
        <w:rPr>
          <w:color w:val="auto"/>
          <w:kern w:val="0"/>
          <w:sz w:val="24"/>
          <w:szCs w:val="24"/>
        </w:rPr>
        <w:t xml:space="preserve">per le </w:t>
      </w:r>
      <w:r w:rsidR="00B5248C" w:rsidRPr="00151324">
        <w:rPr>
          <w:color w:val="auto"/>
          <w:kern w:val="0"/>
          <w:sz w:val="24"/>
          <w:szCs w:val="24"/>
        </w:rPr>
        <w:t xml:space="preserve">quali la sanzione è opponibile al tribunale civile, </w:t>
      </w:r>
      <w:r w:rsidR="003D7FBF" w:rsidRPr="00151324">
        <w:rPr>
          <w:color w:val="auto"/>
          <w:kern w:val="0"/>
          <w:sz w:val="24"/>
          <w:szCs w:val="24"/>
        </w:rPr>
        <w:t xml:space="preserve">per lo più </w:t>
      </w:r>
      <w:r w:rsidR="00F3393C" w:rsidRPr="00151324">
        <w:rPr>
          <w:color w:val="auto"/>
          <w:kern w:val="0"/>
          <w:sz w:val="24"/>
          <w:szCs w:val="24"/>
        </w:rPr>
        <w:t>già contenuta nell’art. 22</w:t>
      </w:r>
      <w:r w:rsidR="00167ACC" w:rsidRPr="00151324">
        <w:rPr>
          <w:color w:val="auto"/>
          <w:kern w:val="0"/>
          <w:sz w:val="24"/>
          <w:szCs w:val="24"/>
        </w:rPr>
        <w:t>-</w:t>
      </w:r>
      <w:r w:rsidR="00F3393C" w:rsidRPr="00151324">
        <w:rPr>
          <w:i/>
          <w:color w:val="auto"/>
          <w:kern w:val="0"/>
          <w:sz w:val="24"/>
          <w:szCs w:val="24"/>
        </w:rPr>
        <w:t>bis</w:t>
      </w:r>
      <w:r w:rsidR="00F3393C" w:rsidRPr="00151324">
        <w:rPr>
          <w:color w:val="auto"/>
          <w:kern w:val="0"/>
          <w:sz w:val="24"/>
          <w:szCs w:val="24"/>
        </w:rPr>
        <w:t xml:space="preserve"> della l. </w:t>
      </w:r>
      <w:r w:rsidR="003D7FBF" w:rsidRPr="00151324">
        <w:rPr>
          <w:color w:val="auto"/>
          <w:kern w:val="0"/>
          <w:sz w:val="24"/>
          <w:szCs w:val="24"/>
        </w:rPr>
        <w:t xml:space="preserve">24 novembre 1981, </w:t>
      </w:r>
      <w:r w:rsidR="00F3393C" w:rsidRPr="00151324">
        <w:rPr>
          <w:color w:val="auto"/>
          <w:kern w:val="0"/>
          <w:sz w:val="24"/>
          <w:szCs w:val="24"/>
        </w:rPr>
        <w:t>n. 689</w:t>
      </w:r>
      <w:r w:rsidR="003D7FBF" w:rsidRPr="00151324">
        <w:rPr>
          <w:color w:val="auto"/>
          <w:kern w:val="0"/>
          <w:sz w:val="24"/>
          <w:szCs w:val="24"/>
        </w:rPr>
        <w:t xml:space="preserve">, </w:t>
      </w:r>
      <w:r w:rsidR="00F3393C" w:rsidRPr="00151324">
        <w:rPr>
          <w:color w:val="auto"/>
          <w:kern w:val="0"/>
          <w:sz w:val="24"/>
          <w:szCs w:val="24"/>
        </w:rPr>
        <w:t>contestualmente riscrivendo</w:t>
      </w:r>
      <w:r w:rsidR="003D7FBF" w:rsidRPr="00151324">
        <w:rPr>
          <w:color w:val="auto"/>
          <w:kern w:val="0"/>
          <w:sz w:val="24"/>
          <w:szCs w:val="24"/>
        </w:rPr>
        <w:t>ne</w:t>
      </w:r>
      <w:r w:rsidR="00F3393C" w:rsidRPr="00151324">
        <w:rPr>
          <w:color w:val="auto"/>
          <w:kern w:val="0"/>
          <w:sz w:val="24"/>
          <w:szCs w:val="24"/>
        </w:rPr>
        <w:t xml:space="preserve"> l’art. 22, continua a demandare all’interprete sia il compito di tracciare l’esatto confine della natura sanzionatoria del provvedimento, sia quello, ancor più arduo, di collocarne </w:t>
      </w:r>
      <w:r w:rsidR="0000223C">
        <w:rPr>
          <w:color w:val="auto"/>
          <w:kern w:val="0"/>
          <w:sz w:val="24"/>
          <w:szCs w:val="24"/>
        </w:rPr>
        <w:t xml:space="preserve">con precisione </w:t>
      </w:r>
      <w:r w:rsidR="00F3393C" w:rsidRPr="00151324">
        <w:rPr>
          <w:color w:val="auto"/>
          <w:kern w:val="0"/>
          <w:sz w:val="24"/>
          <w:szCs w:val="24"/>
        </w:rPr>
        <w:t xml:space="preserve">il regime delle tutele laddove </w:t>
      </w:r>
      <w:r w:rsidR="00167ACC" w:rsidRPr="00151324">
        <w:rPr>
          <w:color w:val="auto"/>
          <w:kern w:val="0"/>
          <w:sz w:val="24"/>
          <w:szCs w:val="24"/>
        </w:rPr>
        <w:t xml:space="preserve">lo stesso </w:t>
      </w:r>
      <w:r w:rsidR="00F3393C" w:rsidRPr="00151324">
        <w:rPr>
          <w:color w:val="auto"/>
          <w:kern w:val="0"/>
          <w:sz w:val="24"/>
          <w:szCs w:val="24"/>
        </w:rPr>
        <w:t>sia interven</w:t>
      </w:r>
      <w:r w:rsidR="00B5248C" w:rsidRPr="00151324">
        <w:rPr>
          <w:color w:val="auto"/>
          <w:kern w:val="0"/>
          <w:sz w:val="24"/>
          <w:szCs w:val="24"/>
        </w:rPr>
        <w:t>u</w:t>
      </w:r>
      <w:r w:rsidR="00F3393C" w:rsidRPr="00151324">
        <w:rPr>
          <w:color w:val="auto"/>
          <w:kern w:val="0"/>
          <w:sz w:val="24"/>
          <w:szCs w:val="24"/>
        </w:rPr>
        <w:t xml:space="preserve">to autonomamente, quale </w:t>
      </w:r>
      <w:r w:rsidR="003D7FBF" w:rsidRPr="00151324">
        <w:rPr>
          <w:color w:val="auto"/>
          <w:kern w:val="0"/>
          <w:sz w:val="24"/>
          <w:szCs w:val="24"/>
        </w:rPr>
        <w:t xml:space="preserve">unico </w:t>
      </w:r>
      <w:r w:rsidR="00F3393C" w:rsidRPr="00151324">
        <w:rPr>
          <w:color w:val="auto"/>
          <w:kern w:val="0"/>
          <w:sz w:val="24"/>
          <w:szCs w:val="24"/>
        </w:rPr>
        <w:t>rimedio avverso il comportamento del destinatario o</w:t>
      </w:r>
      <w:r w:rsidR="003D7FBF" w:rsidRPr="00151324">
        <w:rPr>
          <w:color w:val="auto"/>
          <w:kern w:val="0"/>
          <w:sz w:val="24"/>
          <w:szCs w:val="24"/>
        </w:rPr>
        <w:t xml:space="preserve">vvero </w:t>
      </w:r>
      <w:r w:rsidR="00F3393C" w:rsidRPr="00151324">
        <w:rPr>
          <w:color w:val="auto"/>
          <w:kern w:val="0"/>
          <w:sz w:val="24"/>
          <w:szCs w:val="24"/>
        </w:rPr>
        <w:t xml:space="preserve">in aggiunta ad altro, </w:t>
      </w:r>
      <w:r w:rsidR="003D7FBF" w:rsidRPr="00151324">
        <w:rPr>
          <w:color w:val="auto"/>
          <w:kern w:val="0"/>
          <w:sz w:val="24"/>
          <w:szCs w:val="24"/>
        </w:rPr>
        <w:t xml:space="preserve">di natura </w:t>
      </w:r>
      <w:r w:rsidR="00F3393C" w:rsidRPr="00151324">
        <w:rPr>
          <w:color w:val="auto"/>
          <w:kern w:val="0"/>
          <w:sz w:val="24"/>
          <w:szCs w:val="24"/>
        </w:rPr>
        <w:t>pecuniari</w:t>
      </w:r>
      <w:r w:rsidR="003D7FBF" w:rsidRPr="00151324">
        <w:rPr>
          <w:color w:val="auto"/>
          <w:kern w:val="0"/>
          <w:sz w:val="24"/>
          <w:szCs w:val="24"/>
        </w:rPr>
        <w:t xml:space="preserve">a o </w:t>
      </w:r>
      <w:r w:rsidR="00167ACC" w:rsidRPr="00151324">
        <w:rPr>
          <w:color w:val="auto"/>
          <w:kern w:val="0"/>
          <w:sz w:val="24"/>
          <w:szCs w:val="24"/>
        </w:rPr>
        <w:t xml:space="preserve">meno, </w:t>
      </w:r>
      <w:r w:rsidR="00F3393C" w:rsidRPr="00151324">
        <w:rPr>
          <w:color w:val="auto"/>
          <w:kern w:val="0"/>
          <w:sz w:val="24"/>
          <w:szCs w:val="24"/>
        </w:rPr>
        <w:t xml:space="preserve">finanche a carattere penale. </w:t>
      </w:r>
    </w:p>
    <w:p w14:paraId="0074EA42" w14:textId="727BD921" w:rsidR="00F3393C" w:rsidRPr="00151324" w:rsidRDefault="00F3393C" w:rsidP="00151324">
      <w:pPr>
        <w:pStyle w:val="NormaleWeb"/>
        <w:shd w:val="clear" w:color="auto" w:fill="FFFFFF"/>
        <w:spacing w:line="360" w:lineRule="auto"/>
        <w:jc w:val="both"/>
        <w:rPr>
          <w:color w:val="auto"/>
          <w:kern w:val="0"/>
          <w:sz w:val="24"/>
          <w:szCs w:val="24"/>
        </w:rPr>
      </w:pPr>
      <w:r w:rsidRPr="00151324">
        <w:rPr>
          <w:color w:val="auto"/>
          <w:kern w:val="0"/>
          <w:sz w:val="24"/>
          <w:szCs w:val="24"/>
        </w:rPr>
        <w:t xml:space="preserve">La lacuna di disciplina che interessa le sanzioni non pecuniarie, infatti, accessorie o meno, </w:t>
      </w:r>
      <w:r w:rsidR="0000223C">
        <w:rPr>
          <w:color w:val="auto"/>
          <w:kern w:val="0"/>
          <w:sz w:val="24"/>
          <w:szCs w:val="24"/>
        </w:rPr>
        <w:t xml:space="preserve">consegue alla formulazione letterale della </w:t>
      </w:r>
      <w:r w:rsidR="00167ACC" w:rsidRPr="00151324">
        <w:rPr>
          <w:color w:val="auto"/>
          <w:kern w:val="0"/>
          <w:sz w:val="24"/>
          <w:szCs w:val="24"/>
        </w:rPr>
        <w:t xml:space="preserve">richiamata </w:t>
      </w:r>
      <w:r w:rsidRPr="00151324">
        <w:rPr>
          <w:color w:val="auto"/>
          <w:kern w:val="0"/>
          <w:sz w:val="24"/>
          <w:szCs w:val="24"/>
        </w:rPr>
        <w:t xml:space="preserve">l. 24 novembre 1981, n. 689, ambiziosamente riferita </w:t>
      </w:r>
      <w:r w:rsidR="00167ACC" w:rsidRPr="00151324">
        <w:rPr>
          <w:color w:val="auto"/>
          <w:kern w:val="0"/>
          <w:sz w:val="24"/>
          <w:szCs w:val="24"/>
        </w:rPr>
        <w:t xml:space="preserve">dal legislatore dell’epoca </w:t>
      </w:r>
      <w:r w:rsidRPr="00151324">
        <w:rPr>
          <w:color w:val="auto"/>
          <w:kern w:val="0"/>
          <w:sz w:val="24"/>
          <w:szCs w:val="24"/>
        </w:rPr>
        <w:t xml:space="preserve">a tutto l’illecito amministrativo, </w:t>
      </w:r>
      <w:r w:rsidR="00167ACC" w:rsidRPr="00151324">
        <w:rPr>
          <w:color w:val="auto"/>
          <w:kern w:val="0"/>
          <w:sz w:val="24"/>
          <w:szCs w:val="24"/>
        </w:rPr>
        <w:t xml:space="preserve">ma </w:t>
      </w:r>
      <w:r w:rsidRPr="00151324">
        <w:rPr>
          <w:color w:val="auto"/>
          <w:kern w:val="0"/>
          <w:sz w:val="24"/>
          <w:szCs w:val="24"/>
        </w:rPr>
        <w:t>letteralmente riferibile solo a quello conseguito a</w:t>
      </w:r>
      <w:r w:rsidR="00167ACC" w:rsidRPr="00151324">
        <w:rPr>
          <w:color w:val="auto"/>
          <w:kern w:val="0"/>
          <w:sz w:val="24"/>
          <w:szCs w:val="24"/>
        </w:rPr>
        <w:t xml:space="preserve">l corposo intervento di </w:t>
      </w:r>
      <w:r w:rsidRPr="00151324">
        <w:rPr>
          <w:color w:val="auto"/>
          <w:kern w:val="0"/>
          <w:sz w:val="24"/>
          <w:szCs w:val="24"/>
        </w:rPr>
        <w:t>decriminalizzazion</w:t>
      </w:r>
      <w:r w:rsidR="00167ACC" w:rsidRPr="00151324">
        <w:rPr>
          <w:color w:val="auto"/>
          <w:kern w:val="0"/>
          <w:sz w:val="24"/>
          <w:szCs w:val="24"/>
        </w:rPr>
        <w:t>e</w:t>
      </w:r>
      <w:r w:rsidRPr="00151324">
        <w:rPr>
          <w:color w:val="auto"/>
          <w:kern w:val="0"/>
          <w:sz w:val="24"/>
          <w:szCs w:val="24"/>
        </w:rPr>
        <w:t xml:space="preserve"> di originarie fattispecie di reato</w:t>
      </w:r>
      <w:r w:rsidR="00167ACC" w:rsidRPr="00151324">
        <w:rPr>
          <w:color w:val="auto"/>
          <w:kern w:val="0"/>
          <w:sz w:val="24"/>
          <w:szCs w:val="24"/>
        </w:rPr>
        <w:t xml:space="preserve"> operato dalla stessa. </w:t>
      </w:r>
      <w:r w:rsidRPr="00151324">
        <w:rPr>
          <w:color w:val="auto"/>
          <w:kern w:val="0"/>
          <w:sz w:val="24"/>
          <w:szCs w:val="24"/>
        </w:rPr>
        <w:t xml:space="preserve"> </w:t>
      </w:r>
    </w:p>
    <w:p w14:paraId="204B9662" w14:textId="278F8964" w:rsidR="0059700F" w:rsidRPr="00151324" w:rsidRDefault="00167ACC" w:rsidP="00151324">
      <w:pPr>
        <w:pStyle w:val="NormaleWeb"/>
        <w:shd w:val="clear" w:color="auto" w:fill="FFFFFF"/>
        <w:spacing w:line="360" w:lineRule="auto"/>
        <w:jc w:val="both"/>
        <w:rPr>
          <w:color w:val="auto"/>
          <w:kern w:val="0"/>
          <w:sz w:val="24"/>
          <w:szCs w:val="24"/>
        </w:rPr>
      </w:pPr>
      <w:r w:rsidRPr="00151324">
        <w:rPr>
          <w:color w:val="auto"/>
          <w:kern w:val="0"/>
          <w:sz w:val="24"/>
          <w:szCs w:val="24"/>
        </w:rPr>
        <w:t>Il successivo sviluppo delle legislazioni speciali ha determinato poi il proliferare di rimedi alternativi</w:t>
      </w:r>
      <w:r w:rsidR="0000223C">
        <w:rPr>
          <w:color w:val="auto"/>
          <w:kern w:val="0"/>
          <w:sz w:val="24"/>
          <w:szCs w:val="24"/>
        </w:rPr>
        <w:t>, aggiuntivi o meno,</w:t>
      </w:r>
      <w:r w:rsidRPr="00151324">
        <w:rPr>
          <w:color w:val="auto"/>
          <w:kern w:val="0"/>
          <w:sz w:val="24"/>
          <w:szCs w:val="24"/>
        </w:rPr>
        <w:t xml:space="preserve"> al pagamento di una somma di danaro per lo più ricompresa in una forbice edittale predeter</w:t>
      </w:r>
      <w:r w:rsidR="00820D18" w:rsidRPr="00151324">
        <w:rPr>
          <w:color w:val="auto"/>
          <w:kern w:val="0"/>
          <w:sz w:val="24"/>
          <w:szCs w:val="24"/>
        </w:rPr>
        <w:t xml:space="preserve">minata, di ancor più difficile inquadramento proprio in ragione del loro </w:t>
      </w:r>
      <w:r w:rsidR="00D21FB1" w:rsidRPr="00151324">
        <w:rPr>
          <w:color w:val="auto"/>
          <w:kern w:val="0"/>
          <w:sz w:val="24"/>
          <w:szCs w:val="24"/>
        </w:rPr>
        <w:t>“reagire” ad u</w:t>
      </w:r>
      <w:r w:rsidR="00820D18" w:rsidRPr="00151324">
        <w:rPr>
          <w:color w:val="auto"/>
          <w:kern w:val="0"/>
          <w:sz w:val="24"/>
          <w:szCs w:val="24"/>
        </w:rPr>
        <w:t xml:space="preserve">n comportamento </w:t>
      </w:r>
      <w:r w:rsidR="00D21FB1" w:rsidRPr="00151324">
        <w:rPr>
          <w:i/>
          <w:color w:val="auto"/>
          <w:kern w:val="0"/>
          <w:sz w:val="24"/>
          <w:szCs w:val="24"/>
        </w:rPr>
        <w:t xml:space="preserve">lato </w:t>
      </w:r>
      <w:proofErr w:type="spellStart"/>
      <w:r w:rsidR="00D21FB1" w:rsidRPr="00151324">
        <w:rPr>
          <w:i/>
          <w:color w:val="auto"/>
          <w:kern w:val="0"/>
          <w:sz w:val="24"/>
          <w:szCs w:val="24"/>
        </w:rPr>
        <w:t>sensu</w:t>
      </w:r>
      <w:proofErr w:type="spellEnd"/>
      <w:r w:rsidR="00D21FB1" w:rsidRPr="00151324">
        <w:rPr>
          <w:color w:val="auto"/>
          <w:kern w:val="0"/>
          <w:sz w:val="24"/>
          <w:szCs w:val="24"/>
        </w:rPr>
        <w:t xml:space="preserve"> illecito </w:t>
      </w:r>
      <w:r w:rsidR="00820D18" w:rsidRPr="00151324">
        <w:rPr>
          <w:color w:val="auto"/>
          <w:kern w:val="0"/>
          <w:sz w:val="24"/>
          <w:szCs w:val="24"/>
        </w:rPr>
        <w:t>sostanzialmente identico, seppure astrattamente lesivo di una pluralità di interessi pubblici diversi</w:t>
      </w:r>
      <w:r w:rsidR="00D21FB1" w:rsidRPr="00151324">
        <w:rPr>
          <w:rStyle w:val="Rimandonotaapidipagina"/>
          <w:color w:val="auto"/>
          <w:kern w:val="0"/>
          <w:sz w:val="24"/>
          <w:szCs w:val="24"/>
        </w:rPr>
        <w:footnoteReference w:id="1"/>
      </w:r>
      <w:r w:rsidR="00B43D4A" w:rsidRPr="00151324">
        <w:rPr>
          <w:color w:val="auto"/>
          <w:kern w:val="0"/>
          <w:sz w:val="24"/>
          <w:szCs w:val="24"/>
        </w:rPr>
        <w:t xml:space="preserve">. Ciò </w:t>
      </w:r>
      <w:r w:rsidR="00820D18" w:rsidRPr="00151324">
        <w:rPr>
          <w:color w:val="auto"/>
          <w:kern w:val="0"/>
          <w:sz w:val="24"/>
          <w:szCs w:val="24"/>
        </w:rPr>
        <w:t>chiama in causa l’ulteriore tematica</w:t>
      </w:r>
      <w:r w:rsidR="00B43D4A" w:rsidRPr="00151324">
        <w:rPr>
          <w:color w:val="auto"/>
          <w:kern w:val="0"/>
          <w:sz w:val="24"/>
          <w:szCs w:val="24"/>
        </w:rPr>
        <w:t xml:space="preserve">, alternativa a quella </w:t>
      </w:r>
      <w:r w:rsidR="00B43D4A" w:rsidRPr="00151324">
        <w:rPr>
          <w:color w:val="auto"/>
          <w:kern w:val="0"/>
          <w:sz w:val="24"/>
          <w:szCs w:val="24"/>
        </w:rPr>
        <w:lastRenderedPageBreak/>
        <w:t xml:space="preserve">del concorso </w:t>
      </w:r>
      <w:r w:rsidR="00994C51">
        <w:rPr>
          <w:color w:val="auto"/>
          <w:kern w:val="0"/>
          <w:sz w:val="24"/>
          <w:szCs w:val="24"/>
        </w:rPr>
        <w:t xml:space="preserve">formale </w:t>
      </w:r>
      <w:r w:rsidR="00B43D4A" w:rsidRPr="00151324">
        <w:rPr>
          <w:color w:val="auto"/>
          <w:kern w:val="0"/>
          <w:sz w:val="24"/>
          <w:szCs w:val="24"/>
        </w:rPr>
        <w:t xml:space="preserve">di illeciti e del relativo regime, </w:t>
      </w:r>
      <w:r w:rsidR="00820D18" w:rsidRPr="00151324">
        <w:rPr>
          <w:color w:val="auto"/>
          <w:kern w:val="0"/>
          <w:sz w:val="24"/>
          <w:szCs w:val="24"/>
        </w:rPr>
        <w:t xml:space="preserve">del rispetto del principio del </w:t>
      </w:r>
      <w:r w:rsidR="002B4F26" w:rsidRPr="00151324">
        <w:rPr>
          <w:i/>
          <w:color w:val="auto"/>
          <w:kern w:val="0"/>
          <w:sz w:val="24"/>
          <w:szCs w:val="24"/>
        </w:rPr>
        <w:t>ne bis in idem</w:t>
      </w:r>
      <w:r w:rsidR="002B4F26" w:rsidRPr="00151324">
        <w:rPr>
          <w:color w:val="auto"/>
          <w:kern w:val="0"/>
          <w:sz w:val="24"/>
          <w:szCs w:val="24"/>
        </w:rPr>
        <w:t xml:space="preserve">, a maggior ragione laddove </w:t>
      </w:r>
      <w:r w:rsidR="00820D18" w:rsidRPr="00151324">
        <w:rPr>
          <w:color w:val="auto"/>
          <w:kern w:val="0"/>
          <w:sz w:val="24"/>
          <w:szCs w:val="24"/>
        </w:rPr>
        <w:t xml:space="preserve">il provvedimento limitativo dell’altrui sfera giuridica sopraggiunga a distanza di tempo dalla </w:t>
      </w:r>
      <w:r w:rsidR="002B4F26" w:rsidRPr="00151324">
        <w:rPr>
          <w:color w:val="auto"/>
          <w:kern w:val="0"/>
          <w:sz w:val="24"/>
          <w:szCs w:val="24"/>
        </w:rPr>
        <w:t>commissione del presunto illecito, con riferimento al quale sono già stati adottati altr</w:t>
      </w:r>
      <w:r w:rsidR="00994C51">
        <w:rPr>
          <w:color w:val="auto"/>
          <w:kern w:val="0"/>
          <w:sz w:val="24"/>
          <w:szCs w:val="24"/>
        </w:rPr>
        <w:t>e</w:t>
      </w:r>
      <w:r w:rsidR="002B4F26" w:rsidRPr="00151324">
        <w:rPr>
          <w:color w:val="auto"/>
          <w:kern w:val="0"/>
          <w:sz w:val="24"/>
          <w:szCs w:val="24"/>
        </w:rPr>
        <w:t xml:space="preserve"> e più tempestiv</w:t>
      </w:r>
      <w:r w:rsidR="00994C51">
        <w:rPr>
          <w:color w:val="auto"/>
          <w:kern w:val="0"/>
          <w:sz w:val="24"/>
          <w:szCs w:val="24"/>
        </w:rPr>
        <w:t>e misure</w:t>
      </w:r>
      <w:r w:rsidR="00820D18" w:rsidRPr="00151324">
        <w:rPr>
          <w:color w:val="auto"/>
          <w:kern w:val="0"/>
          <w:sz w:val="24"/>
          <w:szCs w:val="24"/>
        </w:rPr>
        <w:t xml:space="preserve">, con quanto ne consegue in termini di </w:t>
      </w:r>
      <w:r w:rsidR="00E70CF2">
        <w:rPr>
          <w:color w:val="auto"/>
          <w:kern w:val="0"/>
          <w:sz w:val="24"/>
          <w:szCs w:val="24"/>
        </w:rPr>
        <w:t xml:space="preserve">potenziale pregiudizio </w:t>
      </w:r>
      <w:r w:rsidR="00BC21BC">
        <w:rPr>
          <w:color w:val="auto"/>
          <w:kern w:val="0"/>
          <w:sz w:val="24"/>
          <w:szCs w:val="24"/>
        </w:rPr>
        <w:t>del diritto di difesa</w:t>
      </w:r>
      <w:r w:rsidR="00C16919" w:rsidRPr="00151324">
        <w:rPr>
          <w:color w:val="auto"/>
          <w:kern w:val="0"/>
          <w:sz w:val="24"/>
          <w:szCs w:val="24"/>
        </w:rPr>
        <w:t xml:space="preserve">. </w:t>
      </w:r>
      <w:r w:rsidR="00D21FB1" w:rsidRPr="00151324">
        <w:rPr>
          <w:color w:val="auto"/>
          <w:kern w:val="0"/>
          <w:sz w:val="24"/>
          <w:szCs w:val="24"/>
        </w:rPr>
        <w:t>In taluni casi addirittura il contenuto della “sanzione” o comunque la si voglia denominare</w:t>
      </w:r>
      <w:r w:rsidR="0070466B" w:rsidRPr="00151324">
        <w:rPr>
          <w:color w:val="auto"/>
          <w:kern w:val="0"/>
          <w:sz w:val="24"/>
          <w:szCs w:val="24"/>
        </w:rPr>
        <w:t>,</w:t>
      </w:r>
      <w:r w:rsidR="00D21FB1" w:rsidRPr="00151324">
        <w:rPr>
          <w:color w:val="auto"/>
          <w:kern w:val="0"/>
          <w:sz w:val="24"/>
          <w:szCs w:val="24"/>
        </w:rPr>
        <w:t xml:space="preserve"> si palesa esso stesso identico, tanto da rendere difficile l’individuazione del procedimento da seguire, spesso rimessa alla scelta discrezionale dell’Amministrazione procedente, in una logica di ricercata efficacia del provvedimento, ovvero, al contrario, di diluizione dei </w:t>
      </w:r>
      <w:r w:rsidR="00A70417">
        <w:rPr>
          <w:color w:val="auto"/>
          <w:kern w:val="0"/>
          <w:sz w:val="24"/>
          <w:szCs w:val="24"/>
        </w:rPr>
        <w:t xml:space="preserve">suoi </w:t>
      </w:r>
      <w:r w:rsidR="00D21FB1" w:rsidRPr="00151324">
        <w:rPr>
          <w:color w:val="auto"/>
          <w:kern w:val="0"/>
          <w:sz w:val="24"/>
          <w:szCs w:val="24"/>
        </w:rPr>
        <w:t>tempi di attuazione</w:t>
      </w:r>
      <w:r w:rsidR="00D21FB1" w:rsidRPr="00151324">
        <w:rPr>
          <w:rStyle w:val="Rimandonotaapidipagina"/>
          <w:color w:val="auto"/>
          <w:kern w:val="0"/>
          <w:sz w:val="24"/>
          <w:szCs w:val="24"/>
        </w:rPr>
        <w:footnoteReference w:id="2"/>
      </w:r>
      <w:r w:rsidR="00D21FB1" w:rsidRPr="00151324">
        <w:rPr>
          <w:color w:val="auto"/>
          <w:kern w:val="0"/>
          <w:sz w:val="24"/>
          <w:szCs w:val="24"/>
        </w:rPr>
        <w:t xml:space="preserve">.  </w:t>
      </w:r>
    </w:p>
    <w:p w14:paraId="0ED4EE1F" w14:textId="64C3C0E4" w:rsidR="002B4F26" w:rsidRPr="00151324" w:rsidRDefault="0059700F" w:rsidP="00151324">
      <w:pPr>
        <w:pStyle w:val="NormaleWeb"/>
        <w:shd w:val="clear" w:color="auto" w:fill="FFFFFF"/>
        <w:spacing w:line="360" w:lineRule="auto"/>
        <w:jc w:val="both"/>
        <w:rPr>
          <w:color w:val="auto"/>
          <w:kern w:val="0"/>
          <w:sz w:val="24"/>
          <w:szCs w:val="24"/>
        </w:rPr>
      </w:pPr>
      <w:r w:rsidRPr="00151324">
        <w:rPr>
          <w:color w:val="auto"/>
          <w:kern w:val="0"/>
          <w:sz w:val="24"/>
          <w:szCs w:val="24"/>
        </w:rPr>
        <w:t xml:space="preserve">Le esigenze di semplificazione da sempre invocate in primo luogo a livello di riduzione delle fonti non può non passare dunque dalla razionalizzazione delle stesse anche con riferimento alla fase per così dire patologica delle reazioni dell’ordinamento a condotte ritenute “scorrette” degli operatori economici, </w:t>
      </w:r>
      <w:r w:rsidR="005B43FB" w:rsidRPr="00151324">
        <w:rPr>
          <w:color w:val="auto"/>
          <w:kern w:val="0"/>
          <w:sz w:val="24"/>
          <w:szCs w:val="24"/>
        </w:rPr>
        <w:t xml:space="preserve">a maggior ragione laddove le stesse si risolvano in provvedimenti ablatori o interdittivi della relativa attività. </w:t>
      </w:r>
      <w:r w:rsidR="006E0B78" w:rsidRPr="00151324">
        <w:rPr>
          <w:color w:val="auto"/>
          <w:kern w:val="0"/>
          <w:sz w:val="24"/>
          <w:szCs w:val="24"/>
        </w:rPr>
        <w:t>S</w:t>
      </w:r>
      <w:r w:rsidR="00B43D4A" w:rsidRPr="00151324">
        <w:rPr>
          <w:color w:val="auto"/>
          <w:kern w:val="0"/>
          <w:sz w:val="24"/>
          <w:szCs w:val="24"/>
        </w:rPr>
        <w:t>pecular</w:t>
      </w:r>
      <w:r w:rsidR="0070466B" w:rsidRPr="00151324">
        <w:rPr>
          <w:color w:val="auto"/>
          <w:kern w:val="0"/>
          <w:sz w:val="24"/>
          <w:szCs w:val="24"/>
        </w:rPr>
        <w:t>i</w:t>
      </w:r>
      <w:r w:rsidR="00B43D4A" w:rsidRPr="00151324">
        <w:rPr>
          <w:color w:val="auto"/>
          <w:kern w:val="0"/>
          <w:sz w:val="24"/>
          <w:szCs w:val="24"/>
        </w:rPr>
        <w:t xml:space="preserve"> </w:t>
      </w:r>
      <w:r w:rsidR="0070466B" w:rsidRPr="00151324">
        <w:rPr>
          <w:color w:val="auto"/>
          <w:kern w:val="0"/>
          <w:sz w:val="24"/>
          <w:szCs w:val="24"/>
        </w:rPr>
        <w:t xml:space="preserve">cioè </w:t>
      </w:r>
      <w:r w:rsidR="00B43D4A" w:rsidRPr="00151324">
        <w:rPr>
          <w:color w:val="auto"/>
          <w:kern w:val="0"/>
          <w:sz w:val="24"/>
          <w:szCs w:val="24"/>
        </w:rPr>
        <w:t xml:space="preserve">alle lamentate difficoltà di avvio di un’attività produttiva </w:t>
      </w:r>
      <w:r w:rsidR="006E0B78" w:rsidRPr="00151324">
        <w:rPr>
          <w:color w:val="auto"/>
          <w:kern w:val="0"/>
          <w:sz w:val="24"/>
          <w:szCs w:val="24"/>
        </w:rPr>
        <w:t xml:space="preserve">correlate alla proliferazione dei titoli di legittimazione, e tuttavia meno </w:t>
      </w:r>
      <w:r w:rsidR="0070466B" w:rsidRPr="00151324">
        <w:rPr>
          <w:color w:val="auto"/>
          <w:kern w:val="0"/>
          <w:sz w:val="24"/>
          <w:szCs w:val="24"/>
        </w:rPr>
        <w:t xml:space="preserve">scrutinate </w:t>
      </w:r>
      <w:r w:rsidR="006E0B78" w:rsidRPr="00151324">
        <w:rPr>
          <w:color w:val="auto"/>
          <w:kern w:val="0"/>
          <w:sz w:val="24"/>
          <w:szCs w:val="24"/>
        </w:rPr>
        <w:t>dall’interprete</w:t>
      </w:r>
      <w:r w:rsidR="0070466B" w:rsidRPr="00151324">
        <w:rPr>
          <w:color w:val="auto"/>
          <w:kern w:val="0"/>
          <w:sz w:val="24"/>
          <w:szCs w:val="24"/>
        </w:rPr>
        <w:t xml:space="preserve">, si palesano infatti </w:t>
      </w:r>
      <w:r w:rsidR="00994C51">
        <w:rPr>
          <w:color w:val="auto"/>
          <w:kern w:val="0"/>
          <w:sz w:val="24"/>
          <w:szCs w:val="24"/>
        </w:rPr>
        <w:t>quelle riconducibili alla</w:t>
      </w:r>
      <w:r w:rsidR="0070466B" w:rsidRPr="00151324">
        <w:rPr>
          <w:color w:val="auto"/>
          <w:kern w:val="0"/>
          <w:sz w:val="24"/>
          <w:szCs w:val="24"/>
        </w:rPr>
        <w:t xml:space="preserve"> pluralità dei “</w:t>
      </w:r>
      <w:r w:rsidR="006E0B78" w:rsidRPr="00151324">
        <w:rPr>
          <w:color w:val="auto"/>
          <w:kern w:val="0"/>
          <w:sz w:val="24"/>
          <w:szCs w:val="24"/>
        </w:rPr>
        <w:t>rimedi</w:t>
      </w:r>
      <w:r w:rsidR="0070466B" w:rsidRPr="00151324">
        <w:rPr>
          <w:color w:val="auto"/>
          <w:kern w:val="0"/>
          <w:sz w:val="24"/>
          <w:szCs w:val="24"/>
        </w:rPr>
        <w:t>”</w:t>
      </w:r>
      <w:r w:rsidR="006E0B78" w:rsidRPr="00151324">
        <w:rPr>
          <w:color w:val="auto"/>
          <w:kern w:val="0"/>
          <w:sz w:val="24"/>
          <w:szCs w:val="24"/>
        </w:rPr>
        <w:t xml:space="preserve"> </w:t>
      </w:r>
      <w:r w:rsidR="00994C51">
        <w:rPr>
          <w:color w:val="auto"/>
          <w:kern w:val="0"/>
          <w:sz w:val="24"/>
          <w:szCs w:val="24"/>
        </w:rPr>
        <w:t xml:space="preserve">a fronte di accertate violazioni </w:t>
      </w:r>
      <w:r w:rsidR="006E0B78" w:rsidRPr="00151324">
        <w:rPr>
          <w:color w:val="auto"/>
          <w:kern w:val="0"/>
          <w:sz w:val="24"/>
          <w:szCs w:val="24"/>
        </w:rPr>
        <w:t>delle singole discipline di settore</w:t>
      </w:r>
      <w:r w:rsidR="006E0B78" w:rsidRPr="00151324">
        <w:rPr>
          <w:rStyle w:val="Rimandonotaapidipagina"/>
          <w:color w:val="auto"/>
          <w:kern w:val="0"/>
          <w:sz w:val="24"/>
          <w:szCs w:val="24"/>
        </w:rPr>
        <w:footnoteReference w:id="3"/>
      </w:r>
      <w:r w:rsidR="0070466B" w:rsidRPr="00151324">
        <w:rPr>
          <w:color w:val="auto"/>
          <w:kern w:val="0"/>
          <w:sz w:val="24"/>
          <w:szCs w:val="24"/>
        </w:rPr>
        <w:t xml:space="preserve">. </w:t>
      </w:r>
      <w:r w:rsidR="00750D90">
        <w:rPr>
          <w:color w:val="auto"/>
          <w:kern w:val="0"/>
          <w:sz w:val="24"/>
          <w:szCs w:val="24"/>
        </w:rPr>
        <w:t xml:space="preserve">Emblematico al riguardo il tentativo di </w:t>
      </w:r>
      <w:r w:rsidR="0070466B" w:rsidRPr="00151324">
        <w:rPr>
          <w:color w:val="auto"/>
          <w:sz w:val="24"/>
          <w:szCs w:val="24"/>
        </w:rPr>
        <w:t>imporre a livello normativo un coordinamento delle attività di controllo, essendo i</w:t>
      </w:r>
      <w:r w:rsidR="00750D90">
        <w:rPr>
          <w:color w:val="auto"/>
          <w:sz w:val="24"/>
          <w:szCs w:val="24"/>
        </w:rPr>
        <w:t>ndubbio il danno all’</w:t>
      </w:r>
      <w:r w:rsidR="0070466B" w:rsidRPr="00151324">
        <w:rPr>
          <w:color w:val="auto"/>
          <w:sz w:val="24"/>
          <w:szCs w:val="24"/>
        </w:rPr>
        <w:t>attività economica, finanche in termini di immagine e tutela dell’avviamento</w:t>
      </w:r>
      <w:r w:rsidR="00750D90">
        <w:rPr>
          <w:color w:val="auto"/>
          <w:sz w:val="24"/>
          <w:szCs w:val="24"/>
        </w:rPr>
        <w:t>, riconducibile alla loro atomistica reiterazione</w:t>
      </w:r>
      <w:r w:rsidR="0070466B" w:rsidRPr="00151324">
        <w:rPr>
          <w:color w:val="auto"/>
          <w:sz w:val="24"/>
          <w:szCs w:val="24"/>
        </w:rPr>
        <w:t xml:space="preserve">. Con l’art. 14 del d.l.9 febbraio 2012, n.5, convertito, con modificazione, dalla l. 4 aprile 2012, n. 35, recante </w:t>
      </w:r>
      <w:r w:rsidR="00750D90">
        <w:rPr>
          <w:color w:val="auto"/>
          <w:sz w:val="24"/>
          <w:szCs w:val="24"/>
        </w:rPr>
        <w:t>«</w:t>
      </w:r>
      <w:r w:rsidR="0070466B" w:rsidRPr="00750D90">
        <w:rPr>
          <w:i/>
          <w:color w:val="auto"/>
          <w:sz w:val="24"/>
          <w:szCs w:val="24"/>
        </w:rPr>
        <w:t>Semplificazione dei controlli sulle imprese</w:t>
      </w:r>
      <w:r w:rsidR="00750D90">
        <w:rPr>
          <w:color w:val="auto"/>
          <w:sz w:val="24"/>
          <w:szCs w:val="24"/>
        </w:rPr>
        <w:t>»</w:t>
      </w:r>
      <w:r w:rsidR="0070466B" w:rsidRPr="00151324">
        <w:rPr>
          <w:color w:val="auto"/>
          <w:sz w:val="24"/>
          <w:szCs w:val="24"/>
        </w:rPr>
        <w:t xml:space="preserve">, </w:t>
      </w:r>
      <w:r w:rsidR="00750D90">
        <w:rPr>
          <w:color w:val="auto"/>
          <w:sz w:val="24"/>
          <w:szCs w:val="24"/>
        </w:rPr>
        <w:t xml:space="preserve">vennero dunque individuati </w:t>
      </w:r>
      <w:r w:rsidR="0070466B" w:rsidRPr="00151324">
        <w:rPr>
          <w:color w:val="auto"/>
          <w:sz w:val="24"/>
          <w:szCs w:val="24"/>
        </w:rPr>
        <w:t>i criteri ispiratori</w:t>
      </w:r>
      <w:r w:rsidR="00750D90">
        <w:rPr>
          <w:color w:val="auto"/>
          <w:sz w:val="24"/>
          <w:szCs w:val="24"/>
        </w:rPr>
        <w:t xml:space="preserve"> comuni all’attività di vigilanza</w:t>
      </w:r>
      <w:r w:rsidR="0070466B" w:rsidRPr="00151324">
        <w:rPr>
          <w:color w:val="auto"/>
          <w:sz w:val="24"/>
          <w:szCs w:val="24"/>
        </w:rPr>
        <w:t>, statuendo che «</w:t>
      </w:r>
      <w:r w:rsidR="0070466B" w:rsidRPr="00151324">
        <w:rPr>
          <w:i/>
          <w:color w:val="auto"/>
          <w:sz w:val="24"/>
          <w:szCs w:val="24"/>
        </w:rPr>
        <w:t>fermo quanto previsto dalla normativa dell</w:t>
      </w:r>
      <w:r w:rsidR="005A0952" w:rsidRPr="00151324">
        <w:rPr>
          <w:i/>
          <w:color w:val="auto"/>
          <w:sz w:val="24"/>
          <w:szCs w:val="24"/>
        </w:rPr>
        <w:t>’</w:t>
      </w:r>
      <w:r w:rsidR="0070466B" w:rsidRPr="00151324">
        <w:rPr>
          <w:i/>
          <w:color w:val="auto"/>
          <w:sz w:val="24"/>
          <w:szCs w:val="24"/>
        </w:rPr>
        <w:t>Unione   europea</w:t>
      </w:r>
      <w:r w:rsidR="00750D90">
        <w:rPr>
          <w:i/>
          <w:color w:val="auto"/>
          <w:sz w:val="24"/>
          <w:szCs w:val="24"/>
        </w:rPr>
        <w:t>»</w:t>
      </w:r>
      <w:r w:rsidR="0070466B" w:rsidRPr="00151324">
        <w:rPr>
          <w:i/>
          <w:color w:val="auto"/>
          <w:sz w:val="24"/>
          <w:szCs w:val="24"/>
        </w:rPr>
        <w:t>,</w:t>
      </w:r>
      <w:r w:rsidR="00750D90">
        <w:rPr>
          <w:i/>
          <w:color w:val="auto"/>
          <w:sz w:val="24"/>
          <w:szCs w:val="24"/>
        </w:rPr>
        <w:t xml:space="preserve"> </w:t>
      </w:r>
      <w:r w:rsidR="00750D90" w:rsidRPr="00750D90">
        <w:rPr>
          <w:color w:val="auto"/>
          <w:sz w:val="24"/>
          <w:szCs w:val="24"/>
        </w:rPr>
        <w:t>essa si attenga</w:t>
      </w:r>
      <w:r w:rsidR="0070466B" w:rsidRPr="00151324">
        <w:rPr>
          <w:i/>
          <w:color w:val="auto"/>
          <w:sz w:val="24"/>
          <w:szCs w:val="24"/>
        </w:rPr>
        <w:t xml:space="preserve"> </w:t>
      </w:r>
      <w:r w:rsidR="00750D90">
        <w:rPr>
          <w:i/>
          <w:color w:val="auto"/>
          <w:sz w:val="24"/>
          <w:szCs w:val="24"/>
        </w:rPr>
        <w:t>«</w:t>
      </w:r>
      <w:r w:rsidR="0070466B" w:rsidRPr="00151324">
        <w:rPr>
          <w:i/>
          <w:color w:val="auto"/>
          <w:sz w:val="24"/>
          <w:szCs w:val="24"/>
        </w:rPr>
        <w:t xml:space="preserve">ai principi della semplicità, della proporzionalità dei controlli stessi e dei  </w:t>
      </w:r>
      <w:r w:rsidR="0070466B" w:rsidRPr="00151324">
        <w:rPr>
          <w:i/>
          <w:color w:val="auto"/>
          <w:sz w:val="24"/>
          <w:szCs w:val="24"/>
        </w:rPr>
        <w:lastRenderedPageBreak/>
        <w:t>relativi adempimenti burocratici alla effettiva tutela del rischio</w:t>
      </w:r>
      <w:r w:rsidR="0008429E">
        <w:rPr>
          <w:i/>
          <w:color w:val="auto"/>
          <w:sz w:val="24"/>
          <w:szCs w:val="24"/>
        </w:rPr>
        <w:t>,</w:t>
      </w:r>
      <w:r w:rsidR="0070466B" w:rsidRPr="00151324">
        <w:rPr>
          <w:i/>
          <w:color w:val="auto"/>
          <w:sz w:val="24"/>
          <w:szCs w:val="24"/>
        </w:rPr>
        <w:t xml:space="preserve"> nonché del coordinamento  dell</w:t>
      </w:r>
      <w:r w:rsidR="005A0952" w:rsidRPr="00151324">
        <w:rPr>
          <w:i/>
          <w:color w:val="auto"/>
          <w:sz w:val="24"/>
          <w:szCs w:val="24"/>
        </w:rPr>
        <w:t>’</w:t>
      </w:r>
      <w:r w:rsidR="0070466B" w:rsidRPr="00151324">
        <w:rPr>
          <w:i/>
          <w:color w:val="auto"/>
          <w:sz w:val="24"/>
          <w:szCs w:val="24"/>
        </w:rPr>
        <w:t>azione svolta dalle amministrazioni statali, regionali e locali</w:t>
      </w:r>
      <w:r w:rsidR="0070466B" w:rsidRPr="00151324">
        <w:rPr>
          <w:color w:val="auto"/>
          <w:sz w:val="24"/>
          <w:szCs w:val="24"/>
        </w:rPr>
        <w:t xml:space="preserve">» (comma 1), demandandone la concreta </w:t>
      </w:r>
      <w:r w:rsidR="005A0952" w:rsidRPr="00151324">
        <w:rPr>
          <w:color w:val="auto"/>
          <w:sz w:val="24"/>
          <w:szCs w:val="24"/>
        </w:rPr>
        <w:t xml:space="preserve">declinazione </w:t>
      </w:r>
      <w:r w:rsidR="0070466B" w:rsidRPr="00151324">
        <w:rPr>
          <w:color w:val="auto"/>
          <w:sz w:val="24"/>
          <w:szCs w:val="24"/>
        </w:rPr>
        <w:t>ad apposite Linee guida, da adottare in sede di conferenza unificata per quanto attiene agli enti locali. La mancanza di sanzioni ovvero di qualsivoglia tipologia di deterrenza o, al contrario, di incentivo al coordinamento, ha fatto sì che l’intento sia rimasto sostanzialmente sulla carta, dopo che peraltro ciascuna amministrazione aveva tentato in via ermeneutica di svuotar</w:t>
      </w:r>
      <w:r w:rsidR="00750D90">
        <w:rPr>
          <w:color w:val="auto"/>
          <w:sz w:val="24"/>
          <w:szCs w:val="24"/>
        </w:rPr>
        <w:t>e</w:t>
      </w:r>
      <w:r w:rsidR="0070466B" w:rsidRPr="00151324">
        <w:rPr>
          <w:color w:val="auto"/>
          <w:sz w:val="24"/>
          <w:szCs w:val="24"/>
        </w:rPr>
        <w:t xml:space="preserve"> la portata precettiva </w:t>
      </w:r>
      <w:r w:rsidR="00750D90">
        <w:rPr>
          <w:color w:val="auto"/>
          <w:sz w:val="24"/>
          <w:szCs w:val="24"/>
        </w:rPr>
        <w:t xml:space="preserve">della norma </w:t>
      </w:r>
      <w:r w:rsidR="0070466B" w:rsidRPr="00151324">
        <w:rPr>
          <w:color w:val="auto"/>
          <w:sz w:val="24"/>
          <w:szCs w:val="24"/>
        </w:rPr>
        <w:t xml:space="preserve">in difesa della rivendicata specificità di competenze connotante l’intervento di ogni singola forza di polizia. </w:t>
      </w:r>
    </w:p>
    <w:p w14:paraId="6CA63EB3" w14:textId="77777777" w:rsidR="00D1084E" w:rsidRPr="00151324" w:rsidRDefault="00D1084E" w:rsidP="00151324">
      <w:pPr>
        <w:pStyle w:val="NormaleWeb"/>
        <w:shd w:val="clear" w:color="auto" w:fill="FFFFFF"/>
        <w:spacing w:line="360" w:lineRule="auto"/>
        <w:jc w:val="both"/>
        <w:rPr>
          <w:color w:val="auto"/>
          <w:kern w:val="0"/>
          <w:sz w:val="24"/>
          <w:szCs w:val="24"/>
        </w:rPr>
      </w:pPr>
    </w:p>
    <w:p w14:paraId="40C0427D" w14:textId="121F9FB4" w:rsidR="000200F3" w:rsidRPr="00151324" w:rsidRDefault="00975A34" w:rsidP="00D5361B">
      <w:pPr>
        <w:pStyle w:val="Titolo3"/>
        <w:numPr>
          <w:ilvl w:val="0"/>
          <w:numId w:val="6"/>
        </w:numPr>
        <w:shd w:val="clear" w:color="auto" w:fill="FFFFFF"/>
        <w:spacing w:before="0" w:beforeAutospacing="0" w:after="0" w:afterAutospacing="0" w:line="360" w:lineRule="auto"/>
        <w:jc w:val="both"/>
        <w:rPr>
          <w:sz w:val="24"/>
          <w:szCs w:val="24"/>
        </w:rPr>
      </w:pPr>
      <w:r w:rsidRPr="00151324">
        <w:rPr>
          <w:sz w:val="24"/>
          <w:szCs w:val="24"/>
        </w:rPr>
        <w:t xml:space="preserve">Il quadro normativo. </w:t>
      </w:r>
    </w:p>
    <w:p w14:paraId="2AC39565" w14:textId="77777777" w:rsidR="00D1084E" w:rsidRPr="00151324" w:rsidRDefault="00D1084E" w:rsidP="00151324">
      <w:pPr>
        <w:pStyle w:val="Titolo3"/>
        <w:shd w:val="clear" w:color="auto" w:fill="FFFFFF"/>
        <w:spacing w:before="0" w:beforeAutospacing="0" w:after="0" w:afterAutospacing="0" w:line="360" w:lineRule="auto"/>
        <w:jc w:val="both"/>
        <w:rPr>
          <w:sz w:val="24"/>
          <w:szCs w:val="24"/>
        </w:rPr>
      </w:pPr>
    </w:p>
    <w:p w14:paraId="2C471152" w14:textId="6DD657D1" w:rsidR="00D1084E" w:rsidRPr="00151324" w:rsidRDefault="00C02FD2" w:rsidP="00151324">
      <w:pPr>
        <w:pStyle w:val="Titolo3"/>
        <w:shd w:val="clear" w:color="auto" w:fill="FFFFFF"/>
        <w:spacing w:before="0" w:beforeAutospacing="0" w:after="0" w:afterAutospacing="0" w:line="360" w:lineRule="auto"/>
        <w:jc w:val="both"/>
        <w:rPr>
          <w:b w:val="0"/>
          <w:sz w:val="24"/>
          <w:szCs w:val="24"/>
        </w:rPr>
      </w:pPr>
      <w:r w:rsidRPr="00151324">
        <w:rPr>
          <w:b w:val="0"/>
          <w:sz w:val="24"/>
          <w:szCs w:val="24"/>
        </w:rPr>
        <w:t>L</w:t>
      </w:r>
      <w:r w:rsidR="00975A34" w:rsidRPr="00151324">
        <w:rPr>
          <w:b w:val="0"/>
          <w:sz w:val="24"/>
          <w:szCs w:val="24"/>
        </w:rPr>
        <w:t xml:space="preserve">a cornice normativa </w:t>
      </w:r>
      <w:r w:rsidR="005B43FB" w:rsidRPr="00151324">
        <w:rPr>
          <w:b w:val="0"/>
          <w:sz w:val="24"/>
          <w:szCs w:val="24"/>
        </w:rPr>
        <w:t xml:space="preserve">in materia di riparto di competenze giurisdizionali </w:t>
      </w:r>
      <w:r w:rsidR="00DC4C2D">
        <w:rPr>
          <w:b w:val="0"/>
          <w:sz w:val="24"/>
          <w:szCs w:val="24"/>
        </w:rPr>
        <w:t xml:space="preserve">sulle sanzioni </w:t>
      </w:r>
      <w:r w:rsidR="00975A34" w:rsidRPr="00151324">
        <w:rPr>
          <w:b w:val="0"/>
          <w:sz w:val="24"/>
          <w:szCs w:val="24"/>
        </w:rPr>
        <w:t xml:space="preserve">è </w:t>
      </w:r>
      <w:r w:rsidR="0057307F">
        <w:rPr>
          <w:b w:val="0"/>
          <w:sz w:val="24"/>
          <w:szCs w:val="24"/>
        </w:rPr>
        <w:t xml:space="preserve">dunque </w:t>
      </w:r>
      <w:r w:rsidR="00975A34" w:rsidRPr="00151324">
        <w:rPr>
          <w:b w:val="0"/>
          <w:sz w:val="24"/>
          <w:szCs w:val="24"/>
        </w:rPr>
        <w:t>o</w:t>
      </w:r>
      <w:r w:rsidR="005B43FB" w:rsidRPr="00151324">
        <w:rPr>
          <w:b w:val="0"/>
          <w:sz w:val="24"/>
          <w:szCs w:val="24"/>
        </w:rPr>
        <w:t>ggi</w:t>
      </w:r>
      <w:r w:rsidR="00975A34" w:rsidRPr="00151324">
        <w:rPr>
          <w:b w:val="0"/>
          <w:sz w:val="24"/>
          <w:szCs w:val="24"/>
        </w:rPr>
        <w:t xml:space="preserve"> contenuta</w:t>
      </w:r>
      <w:r w:rsidR="0057307F">
        <w:rPr>
          <w:b w:val="0"/>
          <w:sz w:val="24"/>
          <w:szCs w:val="24"/>
        </w:rPr>
        <w:t xml:space="preserve"> </w:t>
      </w:r>
      <w:r w:rsidR="003770AD" w:rsidRPr="00151324">
        <w:rPr>
          <w:b w:val="0"/>
          <w:sz w:val="24"/>
          <w:szCs w:val="24"/>
        </w:rPr>
        <w:t xml:space="preserve">nel </w:t>
      </w:r>
      <w:r w:rsidR="002F23BA" w:rsidRPr="00151324">
        <w:rPr>
          <w:b w:val="0"/>
          <w:sz w:val="24"/>
          <w:szCs w:val="24"/>
        </w:rPr>
        <w:t xml:space="preserve">d.lgs. 1 settembre 2011, n. 150, </w:t>
      </w:r>
      <w:r w:rsidR="000200F3" w:rsidRPr="00151324">
        <w:rPr>
          <w:b w:val="0"/>
          <w:sz w:val="24"/>
          <w:szCs w:val="24"/>
        </w:rPr>
        <w:t>recante</w:t>
      </w:r>
      <w:r w:rsidR="000200F3" w:rsidRPr="00151324">
        <w:rPr>
          <w:sz w:val="24"/>
          <w:szCs w:val="24"/>
        </w:rPr>
        <w:t xml:space="preserve"> </w:t>
      </w:r>
      <w:r w:rsidR="000200F3" w:rsidRPr="00151324">
        <w:rPr>
          <w:b w:val="0"/>
          <w:bCs w:val="0"/>
          <w:sz w:val="24"/>
          <w:szCs w:val="24"/>
        </w:rPr>
        <w:t>«</w:t>
      </w:r>
      <w:r w:rsidR="000200F3" w:rsidRPr="00151324">
        <w:rPr>
          <w:b w:val="0"/>
          <w:bCs w:val="0"/>
          <w:i/>
          <w:sz w:val="24"/>
          <w:szCs w:val="24"/>
        </w:rPr>
        <w:t>Disposizioni complementari al codice di procedura civile in materia di riduzione e semplificazione dei procedimenti civili di cognizione, ai sensi dell'articolo 54 della legge 18 giugno 2009, n. 69</w:t>
      </w:r>
      <w:r w:rsidR="000200F3" w:rsidRPr="00151324">
        <w:rPr>
          <w:b w:val="0"/>
          <w:bCs w:val="0"/>
          <w:sz w:val="24"/>
          <w:szCs w:val="24"/>
        </w:rPr>
        <w:t>». In particolare</w:t>
      </w:r>
      <w:r w:rsidR="003770AD" w:rsidRPr="00151324">
        <w:rPr>
          <w:b w:val="0"/>
          <w:bCs w:val="0"/>
          <w:sz w:val="24"/>
          <w:szCs w:val="24"/>
        </w:rPr>
        <w:t>,</w:t>
      </w:r>
      <w:r w:rsidR="000200F3" w:rsidRPr="00151324">
        <w:rPr>
          <w:b w:val="0"/>
          <w:bCs w:val="0"/>
          <w:sz w:val="24"/>
          <w:szCs w:val="24"/>
        </w:rPr>
        <w:t xml:space="preserve"> l’art. 34 ha riscritto l’art. 22, comma 1, della l. 24 novembre 1981, n. 689</w:t>
      </w:r>
      <w:r w:rsidR="003770AD" w:rsidRPr="00151324">
        <w:rPr>
          <w:b w:val="0"/>
          <w:bCs w:val="0"/>
          <w:sz w:val="24"/>
          <w:szCs w:val="24"/>
        </w:rPr>
        <w:t>, a</w:t>
      </w:r>
      <w:r w:rsidR="000200F3" w:rsidRPr="00151324">
        <w:rPr>
          <w:b w:val="0"/>
          <w:bCs w:val="0"/>
          <w:sz w:val="24"/>
          <w:szCs w:val="24"/>
        </w:rPr>
        <w:t>broga</w:t>
      </w:r>
      <w:r w:rsidR="003770AD" w:rsidRPr="00151324">
        <w:rPr>
          <w:b w:val="0"/>
          <w:bCs w:val="0"/>
          <w:sz w:val="24"/>
          <w:szCs w:val="24"/>
        </w:rPr>
        <w:t>ndo</w:t>
      </w:r>
      <w:r w:rsidR="000200F3" w:rsidRPr="00151324">
        <w:rPr>
          <w:b w:val="0"/>
          <w:bCs w:val="0"/>
          <w:sz w:val="24"/>
          <w:szCs w:val="24"/>
        </w:rPr>
        <w:t xml:space="preserve"> gli ulteriori commi della norma</w:t>
      </w:r>
      <w:r w:rsidR="00682D68" w:rsidRPr="00151324">
        <w:rPr>
          <w:b w:val="0"/>
          <w:bCs w:val="0"/>
          <w:sz w:val="24"/>
          <w:szCs w:val="24"/>
        </w:rPr>
        <w:t>,</w:t>
      </w:r>
      <w:r w:rsidR="000200F3" w:rsidRPr="00151324">
        <w:rPr>
          <w:b w:val="0"/>
          <w:bCs w:val="0"/>
          <w:sz w:val="24"/>
          <w:szCs w:val="24"/>
        </w:rPr>
        <w:t xml:space="preserve"> nonché l’art. 22</w:t>
      </w:r>
      <w:r w:rsidR="003770AD" w:rsidRPr="00151324">
        <w:rPr>
          <w:b w:val="0"/>
          <w:bCs w:val="0"/>
          <w:sz w:val="24"/>
          <w:szCs w:val="24"/>
        </w:rPr>
        <w:t>-</w:t>
      </w:r>
      <w:r w:rsidR="000200F3" w:rsidRPr="00151324">
        <w:rPr>
          <w:b w:val="0"/>
          <w:bCs w:val="0"/>
          <w:i/>
          <w:sz w:val="24"/>
          <w:szCs w:val="24"/>
        </w:rPr>
        <w:t>bis</w:t>
      </w:r>
      <w:r w:rsidR="000200F3" w:rsidRPr="00151324">
        <w:rPr>
          <w:b w:val="0"/>
          <w:bCs w:val="0"/>
          <w:sz w:val="24"/>
          <w:szCs w:val="24"/>
        </w:rPr>
        <w:t xml:space="preserve">, </w:t>
      </w:r>
      <w:r w:rsidR="003770AD" w:rsidRPr="00151324">
        <w:rPr>
          <w:b w:val="0"/>
          <w:bCs w:val="0"/>
          <w:sz w:val="24"/>
          <w:szCs w:val="24"/>
        </w:rPr>
        <w:t xml:space="preserve">che era stato </w:t>
      </w:r>
      <w:r w:rsidR="000200F3" w:rsidRPr="00151324">
        <w:rPr>
          <w:b w:val="0"/>
          <w:bCs w:val="0"/>
          <w:sz w:val="24"/>
          <w:szCs w:val="24"/>
        </w:rPr>
        <w:t xml:space="preserve">introdotto dal d.lgs. 30 dicembre 1999, n. 507, </w:t>
      </w:r>
      <w:r w:rsidR="003770AD" w:rsidRPr="00151324">
        <w:rPr>
          <w:b w:val="0"/>
          <w:bCs w:val="0"/>
          <w:sz w:val="24"/>
          <w:szCs w:val="24"/>
        </w:rPr>
        <w:t xml:space="preserve">così da adeguare il sistema all’avvenuta soppressione della figura del pretore, cui la normativa </w:t>
      </w:r>
      <w:r w:rsidR="0057307F">
        <w:rPr>
          <w:b w:val="0"/>
          <w:bCs w:val="0"/>
          <w:sz w:val="24"/>
          <w:szCs w:val="24"/>
        </w:rPr>
        <w:t xml:space="preserve">originaria </w:t>
      </w:r>
      <w:r w:rsidR="003770AD" w:rsidRPr="00151324">
        <w:rPr>
          <w:b w:val="0"/>
          <w:bCs w:val="0"/>
          <w:sz w:val="24"/>
          <w:szCs w:val="24"/>
        </w:rPr>
        <w:t xml:space="preserve">faceva </w:t>
      </w:r>
      <w:r w:rsidR="0057307F">
        <w:rPr>
          <w:b w:val="0"/>
          <w:bCs w:val="0"/>
          <w:sz w:val="24"/>
          <w:szCs w:val="24"/>
        </w:rPr>
        <w:t xml:space="preserve">necessariamente </w:t>
      </w:r>
      <w:r w:rsidR="003770AD" w:rsidRPr="00151324">
        <w:rPr>
          <w:b w:val="0"/>
          <w:bCs w:val="0"/>
          <w:sz w:val="24"/>
          <w:szCs w:val="24"/>
        </w:rPr>
        <w:t xml:space="preserve">riferimento. </w:t>
      </w:r>
      <w:r w:rsidR="00ED764D" w:rsidRPr="00151324">
        <w:rPr>
          <w:b w:val="0"/>
          <w:bCs w:val="0"/>
          <w:sz w:val="24"/>
          <w:szCs w:val="24"/>
        </w:rPr>
        <w:t>Con l’art. 6</w:t>
      </w:r>
      <w:r w:rsidR="0057307F">
        <w:rPr>
          <w:b w:val="0"/>
          <w:bCs w:val="0"/>
          <w:sz w:val="24"/>
          <w:szCs w:val="24"/>
        </w:rPr>
        <w:t xml:space="preserve"> del d.lgs. n. 150/2011</w:t>
      </w:r>
      <w:r w:rsidR="00682D68" w:rsidRPr="00151324">
        <w:rPr>
          <w:b w:val="0"/>
          <w:bCs w:val="0"/>
          <w:sz w:val="24"/>
          <w:szCs w:val="24"/>
        </w:rPr>
        <w:t>,</w:t>
      </w:r>
      <w:r w:rsidR="003770AD" w:rsidRPr="00151324">
        <w:rPr>
          <w:b w:val="0"/>
          <w:bCs w:val="0"/>
          <w:sz w:val="24"/>
          <w:szCs w:val="24"/>
        </w:rPr>
        <w:t xml:space="preserve"> </w:t>
      </w:r>
      <w:r w:rsidR="0057307F">
        <w:rPr>
          <w:b w:val="0"/>
          <w:bCs w:val="0"/>
          <w:sz w:val="24"/>
          <w:szCs w:val="24"/>
        </w:rPr>
        <w:t xml:space="preserve">dunque, </w:t>
      </w:r>
      <w:r w:rsidR="003770AD" w:rsidRPr="00151324">
        <w:rPr>
          <w:b w:val="0"/>
          <w:bCs w:val="0"/>
          <w:sz w:val="24"/>
          <w:szCs w:val="24"/>
        </w:rPr>
        <w:t xml:space="preserve">è stata ripresa </w:t>
      </w:r>
      <w:r w:rsidR="00ED764D" w:rsidRPr="00151324">
        <w:rPr>
          <w:b w:val="0"/>
          <w:bCs w:val="0"/>
          <w:sz w:val="24"/>
          <w:szCs w:val="24"/>
        </w:rPr>
        <w:t xml:space="preserve">la ripartizione di competenze </w:t>
      </w:r>
      <w:r w:rsidR="003770AD" w:rsidRPr="00151324">
        <w:rPr>
          <w:b w:val="0"/>
          <w:bCs w:val="0"/>
          <w:sz w:val="24"/>
          <w:szCs w:val="24"/>
        </w:rPr>
        <w:t>contenuta nel</w:t>
      </w:r>
      <w:r w:rsidR="0057307F">
        <w:rPr>
          <w:b w:val="0"/>
          <w:bCs w:val="0"/>
          <w:sz w:val="24"/>
          <w:szCs w:val="24"/>
        </w:rPr>
        <w:t>l’</w:t>
      </w:r>
      <w:r w:rsidR="00ED764D" w:rsidRPr="00151324">
        <w:rPr>
          <w:b w:val="0"/>
          <w:bCs w:val="0"/>
          <w:sz w:val="24"/>
          <w:szCs w:val="24"/>
        </w:rPr>
        <w:t>art. 22</w:t>
      </w:r>
      <w:r w:rsidR="003770AD" w:rsidRPr="00151324">
        <w:rPr>
          <w:b w:val="0"/>
          <w:bCs w:val="0"/>
          <w:sz w:val="24"/>
          <w:szCs w:val="24"/>
        </w:rPr>
        <w:t>-</w:t>
      </w:r>
      <w:r w:rsidR="00ED764D" w:rsidRPr="00151324">
        <w:rPr>
          <w:b w:val="0"/>
          <w:bCs w:val="0"/>
          <w:i/>
          <w:sz w:val="24"/>
          <w:szCs w:val="24"/>
        </w:rPr>
        <w:t>bis</w:t>
      </w:r>
      <w:r w:rsidR="00ED764D" w:rsidRPr="00151324">
        <w:rPr>
          <w:b w:val="0"/>
          <w:bCs w:val="0"/>
          <w:sz w:val="24"/>
          <w:szCs w:val="24"/>
        </w:rPr>
        <w:t xml:space="preserve"> della l. n. 689/1981 tra giudice di pace e tribunale in composizione monocratica, </w:t>
      </w:r>
      <w:r w:rsidR="003770AD" w:rsidRPr="00151324">
        <w:rPr>
          <w:b w:val="0"/>
          <w:bCs w:val="0"/>
          <w:sz w:val="24"/>
          <w:szCs w:val="24"/>
        </w:rPr>
        <w:t xml:space="preserve">cui ci si rivolge in opposizione all’ordinanza-ingiunzione </w:t>
      </w:r>
      <w:r w:rsidR="00ED764D" w:rsidRPr="00151324">
        <w:rPr>
          <w:b w:val="0"/>
          <w:bCs w:val="0"/>
          <w:sz w:val="24"/>
          <w:szCs w:val="24"/>
        </w:rPr>
        <w:t>secondo le regole del rito del lavoro</w:t>
      </w:r>
      <w:r w:rsidR="003770AD" w:rsidRPr="00151324">
        <w:rPr>
          <w:b w:val="0"/>
          <w:bCs w:val="0"/>
          <w:sz w:val="24"/>
          <w:szCs w:val="24"/>
        </w:rPr>
        <w:t>. D</w:t>
      </w:r>
      <w:r w:rsidR="00ED764D" w:rsidRPr="00151324">
        <w:rPr>
          <w:b w:val="0"/>
          <w:bCs w:val="0"/>
          <w:sz w:val="24"/>
          <w:szCs w:val="24"/>
        </w:rPr>
        <w:t>a un lato</w:t>
      </w:r>
      <w:r w:rsidR="003770AD" w:rsidRPr="00151324">
        <w:rPr>
          <w:b w:val="0"/>
          <w:bCs w:val="0"/>
          <w:sz w:val="24"/>
          <w:szCs w:val="24"/>
        </w:rPr>
        <w:t xml:space="preserve">, </w:t>
      </w:r>
      <w:r w:rsidR="0057307F">
        <w:rPr>
          <w:b w:val="0"/>
          <w:bCs w:val="0"/>
          <w:sz w:val="24"/>
          <w:szCs w:val="24"/>
        </w:rPr>
        <w:t xml:space="preserve">quindi, </w:t>
      </w:r>
      <w:r w:rsidR="00ED764D" w:rsidRPr="00151324">
        <w:rPr>
          <w:b w:val="0"/>
          <w:bCs w:val="0"/>
          <w:sz w:val="24"/>
          <w:szCs w:val="24"/>
        </w:rPr>
        <w:t xml:space="preserve">il novellato art. 22 </w:t>
      </w:r>
      <w:r w:rsidR="0057307F">
        <w:rPr>
          <w:b w:val="0"/>
          <w:bCs w:val="0"/>
          <w:sz w:val="24"/>
          <w:szCs w:val="24"/>
        </w:rPr>
        <w:t>continua a rappresentare la norma cardine all’interno della legge sull’illecito amministrativo,</w:t>
      </w:r>
      <w:r w:rsidR="00DC4C2D">
        <w:rPr>
          <w:b w:val="0"/>
          <w:bCs w:val="0"/>
          <w:sz w:val="24"/>
          <w:szCs w:val="24"/>
        </w:rPr>
        <w:t xml:space="preserve"> con un’attribuzione in termini generali della c</w:t>
      </w:r>
      <w:r w:rsidR="0057307F">
        <w:rPr>
          <w:b w:val="0"/>
          <w:bCs w:val="0"/>
          <w:sz w:val="24"/>
          <w:szCs w:val="24"/>
        </w:rPr>
        <w:t xml:space="preserve">ompetenza </w:t>
      </w:r>
      <w:r w:rsidR="00DC4C2D">
        <w:rPr>
          <w:b w:val="0"/>
          <w:bCs w:val="0"/>
          <w:sz w:val="24"/>
          <w:szCs w:val="24"/>
        </w:rPr>
        <w:t>a</w:t>
      </w:r>
      <w:r w:rsidR="0057307F">
        <w:rPr>
          <w:b w:val="0"/>
          <w:bCs w:val="0"/>
          <w:sz w:val="24"/>
          <w:szCs w:val="24"/>
        </w:rPr>
        <w:t xml:space="preserve"> conoscere delle sanzioni amministrative pecuniarie e della confisca</w:t>
      </w:r>
      <w:r w:rsidR="00DC4C2D">
        <w:rPr>
          <w:b w:val="0"/>
          <w:bCs w:val="0"/>
          <w:sz w:val="24"/>
          <w:szCs w:val="24"/>
        </w:rPr>
        <w:t xml:space="preserve"> al giudice ordinario</w:t>
      </w:r>
      <w:r w:rsidR="0057307F">
        <w:rPr>
          <w:b w:val="0"/>
          <w:bCs w:val="0"/>
          <w:sz w:val="24"/>
          <w:szCs w:val="24"/>
        </w:rPr>
        <w:t xml:space="preserve">, </w:t>
      </w:r>
      <w:r w:rsidR="00ED764D" w:rsidRPr="00151324">
        <w:rPr>
          <w:b w:val="0"/>
          <w:bCs w:val="0"/>
          <w:sz w:val="24"/>
          <w:szCs w:val="24"/>
        </w:rPr>
        <w:t>fatt</w:t>
      </w:r>
      <w:r w:rsidR="003770AD" w:rsidRPr="00151324">
        <w:rPr>
          <w:b w:val="0"/>
          <w:bCs w:val="0"/>
          <w:sz w:val="24"/>
          <w:szCs w:val="24"/>
        </w:rPr>
        <w:t>i</w:t>
      </w:r>
      <w:r w:rsidR="00ED764D" w:rsidRPr="00151324">
        <w:rPr>
          <w:b w:val="0"/>
          <w:bCs w:val="0"/>
          <w:sz w:val="24"/>
          <w:szCs w:val="24"/>
        </w:rPr>
        <w:t xml:space="preserve"> salvi i casi di giurisdizione esclusiva del giudice amministrativo </w:t>
      </w:r>
      <w:r w:rsidR="00ED764D" w:rsidRPr="00151324">
        <w:rPr>
          <w:b w:val="0"/>
          <w:bCs w:val="0"/>
          <w:i/>
          <w:sz w:val="24"/>
          <w:szCs w:val="24"/>
        </w:rPr>
        <w:t>ex</w:t>
      </w:r>
      <w:r w:rsidR="00ED764D" w:rsidRPr="00151324">
        <w:rPr>
          <w:b w:val="0"/>
          <w:bCs w:val="0"/>
          <w:sz w:val="24"/>
          <w:szCs w:val="24"/>
        </w:rPr>
        <w:t xml:space="preserve"> art. 133 del </w:t>
      </w:r>
      <w:proofErr w:type="spellStart"/>
      <w:r w:rsidR="0008429E">
        <w:rPr>
          <w:b w:val="0"/>
          <w:bCs w:val="0"/>
          <w:sz w:val="24"/>
          <w:szCs w:val="24"/>
        </w:rPr>
        <w:t>c</w:t>
      </w:r>
      <w:r w:rsidR="00ED764D" w:rsidRPr="00151324">
        <w:rPr>
          <w:b w:val="0"/>
          <w:bCs w:val="0"/>
          <w:sz w:val="24"/>
          <w:szCs w:val="24"/>
        </w:rPr>
        <w:t>.p.a</w:t>
      </w:r>
      <w:proofErr w:type="spellEnd"/>
      <w:r w:rsidR="00ED764D" w:rsidRPr="00151324">
        <w:rPr>
          <w:b w:val="0"/>
          <w:bCs w:val="0"/>
          <w:sz w:val="24"/>
          <w:szCs w:val="24"/>
        </w:rPr>
        <w:t>.</w:t>
      </w:r>
      <w:r w:rsidR="003770AD" w:rsidRPr="00151324">
        <w:rPr>
          <w:b w:val="0"/>
          <w:bCs w:val="0"/>
          <w:sz w:val="24"/>
          <w:szCs w:val="24"/>
        </w:rPr>
        <w:t xml:space="preserve"> nel frattempo approvato</w:t>
      </w:r>
      <w:r w:rsidR="0057307F">
        <w:rPr>
          <w:b w:val="0"/>
          <w:bCs w:val="0"/>
          <w:sz w:val="24"/>
          <w:szCs w:val="24"/>
        </w:rPr>
        <w:t xml:space="preserve">; </w:t>
      </w:r>
      <w:r w:rsidR="00ED764D" w:rsidRPr="00151324">
        <w:rPr>
          <w:b w:val="0"/>
          <w:bCs w:val="0"/>
          <w:sz w:val="24"/>
          <w:szCs w:val="24"/>
        </w:rPr>
        <w:t xml:space="preserve">dall’altro, </w:t>
      </w:r>
      <w:r w:rsidR="0057307F">
        <w:rPr>
          <w:b w:val="0"/>
          <w:bCs w:val="0"/>
          <w:sz w:val="24"/>
          <w:szCs w:val="24"/>
        </w:rPr>
        <w:t xml:space="preserve">il nuovo </w:t>
      </w:r>
      <w:r w:rsidR="00ED764D" w:rsidRPr="00151324">
        <w:rPr>
          <w:b w:val="0"/>
          <w:bCs w:val="0"/>
          <w:sz w:val="24"/>
          <w:szCs w:val="24"/>
        </w:rPr>
        <w:t>art. 6 del d.lgs. n. 150 del 2011</w:t>
      </w:r>
      <w:r w:rsidR="003770AD" w:rsidRPr="00151324">
        <w:rPr>
          <w:b w:val="0"/>
          <w:bCs w:val="0"/>
          <w:sz w:val="24"/>
          <w:szCs w:val="24"/>
        </w:rPr>
        <w:t xml:space="preserve">, cui l’art. 22 della l. n. 689/1981 </w:t>
      </w:r>
      <w:r w:rsidR="0057307F">
        <w:rPr>
          <w:b w:val="0"/>
          <w:bCs w:val="0"/>
          <w:sz w:val="24"/>
          <w:szCs w:val="24"/>
        </w:rPr>
        <w:t xml:space="preserve">fa espresso </w:t>
      </w:r>
      <w:r w:rsidR="003770AD" w:rsidRPr="00151324">
        <w:rPr>
          <w:b w:val="0"/>
          <w:bCs w:val="0"/>
          <w:sz w:val="24"/>
          <w:szCs w:val="24"/>
        </w:rPr>
        <w:t>rinvi</w:t>
      </w:r>
      <w:r w:rsidR="0057307F">
        <w:rPr>
          <w:b w:val="0"/>
          <w:bCs w:val="0"/>
          <w:sz w:val="24"/>
          <w:szCs w:val="24"/>
        </w:rPr>
        <w:t xml:space="preserve">o, in una cornice </w:t>
      </w:r>
      <w:r w:rsidR="00DC4C2D">
        <w:rPr>
          <w:b w:val="0"/>
          <w:bCs w:val="0"/>
          <w:sz w:val="24"/>
          <w:szCs w:val="24"/>
        </w:rPr>
        <w:t xml:space="preserve">sistematica </w:t>
      </w:r>
      <w:r w:rsidR="0057307F">
        <w:rPr>
          <w:b w:val="0"/>
          <w:bCs w:val="0"/>
          <w:sz w:val="24"/>
          <w:szCs w:val="24"/>
        </w:rPr>
        <w:t xml:space="preserve">più </w:t>
      </w:r>
      <w:r w:rsidR="00DC4C2D">
        <w:rPr>
          <w:b w:val="0"/>
          <w:bCs w:val="0"/>
          <w:sz w:val="24"/>
          <w:szCs w:val="24"/>
        </w:rPr>
        <w:t xml:space="preserve">ampia, </w:t>
      </w:r>
      <w:r w:rsidR="0057307F">
        <w:rPr>
          <w:b w:val="0"/>
          <w:bCs w:val="0"/>
          <w:sz w:val="24"/>
          <w:szCs w:val="24"/>
        </w:rPr>
        <w:t>si appropria della precedente ripartizione</w:t>
      </w:r>
      <w:r w:rsidR="00DC4C2D">
        <w:rPr>
          <w:b w:val="0"/>
          <w:bCs w:val="0"/>
          <w:sz w:val="24"/>
          <w:szCs w:val="24"/>
        </w:rPr>
        <w:t xml:space="preserve"> tra tribunale e giudice di pace</w:t>
      </w:r>
      <w:r w:rsidR="0057307F">
        <w:rPr>
          <w:b w:val="0"/>
          <w:bCs w:val="0"/>
          <w:sz w:val="24"/>
          <w:szCs w:val="24"/>
        </w:rPr>
        <w:t xml:space="preserve">, estendendola a qualsivoglia sanzione, anche </w:t>
      </w:r>
      <w:r w:rsidR="00DC4C2D">
        <w:rPr>
          <w:b w:val="0"/>
          <w:bCs w:val="0"/>
          <w:sz w:val="24"/>
          <w:szCs w:val="24"/>
        </w:rPr>
        <w:t xml:space="preserve">chiaramente estranea al </w:t>
      </w:r>
      <w:r w:rsidR="0057307F">
        <w:rPr>
          <w:b w:val="0"/>
          <w:bCs w:val="0"/>
          <w:sz w:val="24"/>
          <w:szCs w:val="24"/>
        </w:rPr>
        <w:t xml:space="preserve">contesto di decriminalizzazione, </w:t>
      </w:r>
      <w:r w:rsidR="00DC4C2D">
        <w:rPr>
          <w:b w:val="0"/>
          <w:bCs w:val="0"/>
          <w:sz w:val="24"/>
          <w:szCs w:val="24"/>
        </w:rPr>
        <w:t>replicando la metodica dell’</w:t>
      </w:r>
      <w:r w:rsidR="0057307F">
        <w:rPr>
          <w:b w:val="0"/>
          <w:bCs w:val="0"/>
          <w:sz w:val="24"/>
          <w:szCs w:val="24"/>
        </w:rPr>
        <w:t xml:space="preserve">elencazione </w:t>
      </w:r>
      <w:r w:rsidR="00DC4C2D">
        <w:rPr>
          <w:b w:val="0"/>
          <w:bCs w:val="0"/>
          <w:sz w:val="24"/>
          <w:szCs w:val="24"/>
        </w:rPr>
        <w:t xml:space="preserve">analitica </w:t>
      </w:r>
      <w:r w:rsidR="0057307F">
        <w:rPr>
          <w:b w:val="0"/>
          <w:bCs w:val="0"/>
          <w:sz w:val="24"/>
          <w:szCs w:val="24"/>
        </w:rPr>
        <w:t xml:space="preserve">dei </w:t>
      </w:r>
      <w:r w:rsidR="00DC4C2D">
        <w:rPr>
          <w:b w:val="0"/>
          <w:bCs w:val="0"/>
          <w:sz w:val="24"/>
          <w:szCs w:val="24"/>
        </w:rPr>
        <w:t xml:space="preserve">soli </w:t>
      </w:r>
      <w:r w:rsidR="0057307F">
        <w:rPr>
          <w:b w:val="0"/>
          <w:bCs w:val="0"/>
          <w:sz w:val="24"/>
          <w:szCs w:val="24"/>
        </w:rPr>
        <w:t xml:space="preserve">casi di spettanza del </w:t>
      </w:r>
      <w:r w:rsidR="00DC4C2D">
        <w:rPr>
          <w:b w:val="0"/>
          <w:bCs w:val="0"/>
          <w:sz w:val="24"/>
          <w:szCs w:val="24"/>
        </w:rPr>
        <w:t xml:space="preserve">primo, con </w:t>
      </w:r>
      <w:r w:rsidR="0057307F">
        <w:rPr>
          <w:b w:val="0"/>
          <w:bCs w:val="0"/>
          <w:sz w:val="24"/>
          <w:szCs w:val="24"/>
        </w:rPr>
        <w:t xml:space="preserve">individuazione </w:t>
      </w:r>
      <w:r w:rsidR="003770AD" w:rsidRPr="00151324">
        <w:rPr>
          <w:b w:val="0"/>
          <w:bCs w:val="0"/>
          <w:sz w:val="24"/>
          <w:szCs w:val="24"/>
        </w:rPr>
        <w:t xml:space="preserve">in via residuale </w:t>
      </w:r>
      <w:r w:rsidR="0057307F">
        <w:rPr>
          <w:b w:val="0"/>
          <w:bCs w:val="0"/>
          <w:sz w:val="24"/>
          <w:szCs w:val="24"/>
        </w:rPr>
        <w:t>di quelli attribuiti al</w:t>
      </w:r>
      <w:r w:rsidR="00DC4C2D">
        <w:rPr>
          <w:b w:val="0"/>
          <w:bCs w:val="0"/>
          <w:sz w:val="24"/>
          <w:szCs w:val="24"/>
        </w:rPr>
        <w:t xml:space="preserve">l’altro. </w:t>
      </w:r>
      <w:r w:rsidR="007B747E" w:rsidRPr="00151324">
        <w:rPr>
          <w:b w:val="0"/>
          <w:bCs w:val="0"/>
          <w:sz w:val="24"/>
          <w:szCs w:val="24"/>
        </w:rPr>
        <w:t>In maggior dettaglio, r</w:t>
      </w:r>
      <w:r w:rsidR="002F23BA" w:rsidRPr="00151324">
        <w:rPr>
          <w:b w:val="0"/>
          <w:iCs/>
          <w:sz w:val="24"/>
          <w:szCs w:val="24"/>
        </w:rPr>
        <w:t>ispetto al previgente art. 22-</w:t>
      </w:r>
      <w:r w:rsidR="002F23BA" w:rsidRPr="00151324">
        <w:rPr>
          <w:b w:val="0"/>
          <w:i/>
          <w:iCs/>
          <w:sz w:val="24"/>
          <w:szCs w:val="24"/>
        </w:rPr>
        <w:t xml:space="preserve">bis </w:t>
      </w:r>
      <w:r w:rsidR="00F07E10" w:rsidRPr="00F07E10">
        <w:rPr>
          <w:b w:val="0"/>
          <w:iCs/>
          <w:sz w:val="24"/>
          <w:szCs w:val="24"/>
        </w:rPr>
        <w:t>della l</w:t>
      </w:r>
      <w:r w:rsidR="00F07E10">
        <w:rPr>
          <w:b w:val="0"/>
          <w:i/>
          <w:iCs/>
          <w:sz w:val="24"/>
          <w:szCs w:val="24"/>
        </w:rPr>
        <w:t>.</w:t>
      </w:r>
      <w:r w:rsidR="002F23BA" w:rsidRPr="00151324">
        <w:rPr>
          <w:b w:val="0"/>
          <w:iCs/>
          <w:sz w:val="24"/>
          <w:szCs w:val="24"/>
        </w:rPr>
        <w:t xml:space="preserve"> n. 689 del 1981, </w:t>
      </w:r>
      <w:r w:rsidR="007B747E" w:rsidRPr="00151324">
        <w:rPr>
          <w:b w:val="0"/>
          <w:iCs/>
          <w:sz w:val="24"/>
          <w:szCs w:val="24"/>
        </w:rPr>
        <w:t xml:space="preserve">che operava il medesimo distinguo, </w:t>
      </w:r>
      <w:r w:rsidR="002F23BA" w:rsidRPr="00151324">
        <w:rPr>
          <w:b w:val="0"/>
          <w:iCs/>
          <w:sz w:val="24"/>
          <w:szCs w:val="24"/>
        </w:rPr>
        <w:t>l’art. 6 del d.lgs. n. 150 del 2011 elimina alcune materie</w:t>
      </w:r>
      <w:r w:rsidR="007B747E" w:rsidRPr="00151324">
        <w:rPr>
          <w:b w:val="0"/>
          <w:iCs/>
          <w:sz w:val="24"/>
          <w:szCs w:val="24"/>
        </w:rPr>
        <w:t>. S</w:t>
      </w:r>
      <w:r w:rsidR="002F23BA" w:rsidRPr="00151324">
        <w:rPr>
          <w:b w:val="0"/>
          <w:iCs/>
          <w:sz w:val="24"/>
          <w:szCs w:val="24"/>
        </w:rPr>
        <w:t>piccano, per il tema odierno, l’urbanistica ed edilizia (lett. c), ma anche società e</w:t>
      </w:r>
      <w:r w:rsidR="00D1084E" w:rsidRPr="00151324">
        <w:rPr>
          <w:b w:val="0"/>
          <w:iCs/>
          <w:sz w:val="24"/>
          <w:szCs w:val="24"/>
        </w:rPr>
        <w:t xml:space="preserve"> intermediari finanziari (lett. </w:t>
      </w:r>
      <w:r w:rsidR="002F23BA" w:rsidRPr="00151324">
        <w:rPr>
          <w:b w:val="0"/>
          <w:iCs/>
          <w:sz w:val="24"/>
          <w:szCs w:val="24"/>
        </w:rPr>
        <w:t>f), nonché il diritto tributario (lett. g, prima parte). Si ritiene di poter escludere che si tratti di una dimenticanza del legislatore</w:t>
      </w:r>
      <w:r w:rsidR="00C4237B" w:rsidRPr="00151324">
        <w:rPr>
          <w:b w:val="0"/>
          <w:iCs/>
          <w:sz w:val="24"/>
          <w:szCs w:val="24"/>
        </w:rPr>
        <w:t>,</w:t>
      </w:r>
      <w:r w:rsidR="002F23BA" w:rsidRPr="00151324">
        <w:rPr>
          <w:b w:val="0"/>
          <w:iCs/>
          <w:sz w:val="24"/>
          <w:szCs w:val="24"/>
        </w:rPr>
        <w:t xml:space="preserve"> poiché dal combinato disposto delle norme citate si evince chiaramente</w:t>
      </w:r>
      <w:r w:rsidR="00DC4C2D">
        <w:rPr>
          <w:b w:val="0"/>
          <w:iCs/>
          <w:sz w:val="24"/>
          <w:szCs w:val="24"/>
        </w:rPr>
        <w:t xml:space="preserve">, ad esempio, che con riferimento alle espunte sanzioni in materia urbanistico-edilizia si è inteso fare espresso riferimento con la clausola di salvaguardia della giurisdizione esclusiva del giudice amministrativo contenuta nell’art. 22 della l. n. 689 del 1981. </w:t>
      </w:r>
      <w:r w:rsidR="002F23BA" w:rsidRPr="00151324">
        <w:rPr>
          <w:b w:val="0"/>
          <w:iCs/>
          <w:sz w:val="24"/>
          <w:szCs w:val="24"/>
        </w:rPr>
        <w:t>E’</w:t>
      </w:r>
      <w:r w:rsidR="002F23BA" w:rsidRPr="00151324">
        <w:rPr>
          <w:b w:val="0"/>
          <w:sz w:val="24"/>
          <w:szCs w:val="24"/>
        </w:rPr>
        <w:t xml:space="preserve"> indubbio quindi</w:t>
      </w:r>
      <w:r w:rsidR="007B747E" w:rsidRPr="00151324">
        <w:rPr>
          <w:b w:val="0"/>
          <w:sz w:val="24"/>
          <w:szCs w:val="24"/>
        </w:rPr>
        <w:t>, ad esempio,</w:t>
      </w:r>
      <w:r w:rsidR="002F23BA" w:rsidRPr="00151324">
        <w:rPr>
          <w:b w:val="0"/>
          <w:sz w:val="24"/>
          <w:szCs w:val="24"/>
        </w:rPr>
        <w:t xml:space="preserve"> che l</w:t>
      </w:r>
      <w:r w:rsidR="00C4237B" w:rsidRPr="00151324">
        <w:rPr>
          <w:b w:val="0"/>
          <w:sz w:val="24"/>
          <w:szCs w:val="24"/>
        </w:rPr>
        <w:t>e</w:t>
      </w:r>
      <w:r w:rsidR="002F23BA" w:rsidRPr="00151324">
        <w:rPr>
          <w:b w:val="0"/>
          <w:sz w:val="24"/>
          <w:szCs w:val="24"/>
        </w:rPr>
        <w:t xml:space="preserve"> sanzion</w:t>
      </w:r>
      <w:r w:rsidR="00C4237B" w:rsidRPr="00151324">
        <w:rPr>
          <w:b w:val="0"/>
          <w:sz w:val="24"/>
          <w:szCs w:val="24"/>
        </w:rPr>
        <w:t>i</w:t>
      </w:r>
      <w:r w:rsidR="002F23BA" w:rsidRPr="00151324">
        <w:rPr>
          <w:b w:val="0"/>
          <w:sz w:val="24"/>
          <w:szCs w:val="24"/>
        </w:rPr>
        <w:t xml:space="preserve"> amministrativ</w:t>
      </w:r>
      <w:r w:rsidR="00C4237B" w:rsidRPr="00151324">
        <w:rPr>
          <w:b w:val="0"/>
          <w:sz w:val="24"/>
          <w:szCs w:val="24"/>
        </w:rPr>
        <w:t>e</w:t>
      </w:r>
      <w:r w:rsidR="002F23BA" w:rsidRPr="00151324">
        <w:rPr>
          <w:b w:val="0"/>
          <w:sz w:val="24"/>
          <w:szCs w:val="24"/>
        </w:rPr>
        <w:t xml:space="preserve"> previst</w:t>
      </w:r>
      <w:r w:rsidR="005A0952" w:rsidRPr="00151324">
        <w:rPr>
          <w:b w:val="0"/>
          <w:sz w:val="24"/>
          <w:szCs w:val="24"/>
        </w:rPr>
        <w:t>e</w:t>
      </w:r>
      <w:r w:rsidR="002F23BA" w:rsidRPr="00151324">
        <w:rPr>
          <w:b w:val="0"/>
          <w:sz w:val="24"/>
          <w:szCs w:val="24"/>
        </w:rPr>
        <w:t xml:space="preserve"> dal</w:t>
      </w:r>
      <w:r w:rsidR="00C4237B" w:rsidRPr="00151324">
        <w:rPr>
          <w:b w:val="0"/>
          <w:sz w:val="24"/>
          <w:szCs w:val="24"/>
        </w:rPr>
        <w:t xml:space="preserve"> d.P.R. n. 380 del 2001 (</w:t>
      </w:r>
      <w:r w:rsidR="00E100F7" w:rsidRPr="00151324">
        <w:rPr>
          <w:b w:val="0"/>
          <w:sz w:val="24"/>
          <w:szCs w:val="24"/>
        </w:rPr>
        <w:t>si pensi a</w:t>
      </w:r>
      <w:r w:rsidR="00B84163" w:rsidRPr="00151324">
        <w:rPr>
          <w:b w:val="0"/>
          <w:sz w:val="24"/>
          <w:szCs w:val="24"/>
        </w:rPr>
        <w:t xml:space="preserve"> quanto previsto dagli </w:t>
      </w:r>
      <w:r w:rsidR="00C4237B" w:rsidRPr="00151324">
        <w:rPr>
          <w:b w:val="0"/>
          <w:sz w:val="24"/>
          <w:szCs w:val="24"/>
        </w:rPr>
        <w:t>artt</w:t>
      </w:r>
      <w:r w:rsidR="002F23BA" w:rsidRPr="00151324">
        <w:rPr>
          <w:b w:val="0"/>
          <w:sz w:val="24"/>
          <w:szCs w:val="24"/>
        </w:rPr>
        <w:t xml:space="preserve">. </w:t>
      </w:r>
      <w:r w:rsidR="007B747E" w:rsidRPr="00151324">
        <w:rPr>
          <w:b w:val="0"/>
          <w:sz w:val="24"/>
          <w:szCs w:val="24"/>
        </w:rPr>
        <w:t xml:space="preserve">24 in materia di agibilità, </w:t>
      </w:r>
      <w:r w:rsidR="002F23BA" w:rsidRPr="00151324">
        <w:rPr>
          <w:b w:val="0"/>
          <w:sz w:val="24"/>
          <w:szCs w:val="24"/>
        </w:rPr>
        <w:t>31</w:t>
      </w:r>
      <w:r w:rsidR="00C4237B" w:rsidRPr="00151324">
        <w:rPr>
          <w:b w:val="0"/>
          <w:sz w:val="24"/>
          <w:szCs w:val="24"/>
        </w:rPr>
        <w:t>,</w:t>
      </w:r>
      <w:r w:rsidR="002F23BA" w:rsidRPr="00151324">
        <w:rPr>
          <w:b w:val="0"/>
          <w:sz w:val="24"/>
          <w:szCs w:val="24"/>
        </w:rPr>
        <w:t xml:space="preserve"> comma 4</w:t>
      </w:r>
      <w:r w:rsidR="007B747E" w:rsidRPr="00151324">
        <w:rPr>
          <w:b w:val="0"/>
          <w:sz w:val="24"/>
          <w:szCs w:val="24"/>
        </w:rPr>
        <w:t>-</w:t>
      </w:r>
      <w:r w:rsidR="002F23BA" w:rsidRPr="00151324">
        <w:rPr>
          <w:b w:val="0"/>
          <w:i/>
          <w:sz w:val="24"/>
          <w:szCs w:val="24"/>
        </w:rPr>
        <w:t>bis</w:t>
      </w:r>
      <w:r w:rsidR="007B747E" w:rsidRPr="00151324">
        <w:rPr>
          <w:b w:val="0"/>
          <w:sz w:val="24"/>
          <w:szCs w:val="24"/>
        </w:rPr>
        <w:t xml:space="preserve">, per il caso di inottemperanza all’ingiunzione a demolire un abuso edilizio, </w:t>
      </w:r>
      <w:r w:rsidR="005449AC" w:rsidRPr="00151324">
        <w:rPr>
          <w:b w:val="0"/>
          <w:sz w:val="24"/>
          <w:szCs w:val="24"/>
        </w:rPr>
        <w:t>37</w:t>
      </w:r>
      <w:r w:rsidR="00C4237B" w:rsidRPr="00151324">
        <w:rPr>
          <w:b w:val="0"/>
          <w:sz w:val="24"/>
          <w:szCs w:val="24"/>
        </w:rPr>
        <w:t>,</w:t>
      </w:r>
      <w:r w:rsidR="005449AC" w:rsidRPr="00151324">
        <w:rPr>
          <w:b w:val="0"/>
          <w:sz w:val="24"/>
          <w:szCs w:val="24"/>
        </w:rPr>
        <w:t xml:space="preserve"> per gli interventi eseguiti in assenza o in difformità dalla </w:t>
      </w:r>
      <w:proofErr w:type="spellStart"/>
      <w:r w:rsidR="005449AC" w:rsidRPr="00151324">
        <w:rPr>
          <w:b w:val="0"/>
          <w:sz w:val="24"/>
          <w:szCs w:val="24"/>
        </w:rPr>
        <w:t>s.c.i.a</w:t>
      </w:r>
      <w:proofErr w:type="spellEnd"/>
      <w:r w:rsidR="005449AC" w:rsidRPr="00151324">
        <w:rPr>
          <w:b w:val="0"/>
          <w:sz w:val="24"/>
          <w:szCs w:val="24"/>
        </w:rPr>
        <w:t>.</w:t>
      </w:r>
      <w:r w:rsidR="00C4237B" w:rsidRPr="00151324">
        <w:rPr>
          <w:b w:val="0"/>
          <w:sz w:val="24"/>
          <w:szCs w:val="24"/>
        </w:rPr>
        <w:t>)</w:t>
      </w:r>
      <w:r w:rsidR="005449AC" w:rsidRPr="00151324">
        <w:rPr>
          <w:b w:val="0"/>
          <w:sz w:val="24"/>
          <w:szCs w:val="24"/>
        </w:rPr>
        <w:t xml:space="preserve">, </w:t>
      </w:r>
      <w:r w:rsidR="002F23BA" w:rsidRPr="00151324">
        <w:rPr>
          <w:b w:val="0"/>
          <w:sz w:val="24"/>
          <w:szCs w:val="24"/>
        </w:rPr>
        <w:t>rientra</w:t>
      </w:r>
      <w:r w:rsidR="005449AC" w:rsidRPr="00151324">
        <w:rPr>
          <w:b w:val="0"/>
          <w:sz w:val="24"/>
          <w:szCs w:val="24"/>
        </w:rPr>
        <w:t>n</w:t>
      </w:r>
      <w:r w:rsidR="00DC4C2D">
        <w:rPr>
          <w:b w:val="0"/>
          <w:sz w:val="24"/>
          <w:szCs w:val="24"/>
        </w:rPr>
        <w:t>d</w:t>
      </w:r>
      <w:r w:rsidR="005449AC" w:rsidRPr="00151324">
        <w:rPr>
          <w:b w:val="0"/>
          <w:sz w:val="24"/>
          <w:szCs w:val="24"/>
        </w:rPr>
        <w:t>o</w:t>
      </w:r>
      <w:r w:rsidR="002F23BA" w:rsidRPr="00151324">
        <w:rPr>
          <w:b w:val="0"/>
          <w:sz w:val="24"/>
          <w:szCs w:val="24"/>
        </w:rPr>
        <w:t xml:space="preserve"> nella materia edilizia ed urbanistica</w:t>
      </w:r>
      <w:r w:rsidR="00DC4C2D">
        <w:rPr>
          <w:b w:val="0"/>
          <w:sz w:val="24"/>
          <w:szCs w:val="24"/>
        </w:rPr>
        <w:t xml:space="preserve"> in quanto</w:t>
      </w:r>
      <w:r w:rsidR="002F23BA" w:rsidRPr="00151324">
        <w:rPr>
          <w:b w:val="0"/>
          <w:sz w:val="24"/>
          <w:szCs w:val="24"/>
        </w:rPr>
        <w:t xml:space="preserve"> ulteriore strumento afflittivo</w:t>
      </w:r>
      <w:r w:rsidR="00DC4C2D">
        <w:rPr>
          <w:b w:val="0"/>
          <w:sz w:val="24"/>
          <w:szCs w:val="24"/>
        </w:rPr>
        <w:t xml:space="preserve"> per la </w:t>
      </w:r>
      <w:r w:rsidR="002F23BA" w:rsidRPr="00151324">
        <w:rPr>
          <w:b w:val="0"/>
          <w:sz w:val="24"/>
          <w:szCs w:val="24"/>
        </w:rPr>
        <w:t>tutela dell’ordinato sviluppo del territorio</w:t>
      </w:r>
      <w:r w:rsidR="00DC4C2D">
        <w:rPr>
          <w:b w:val="0"/>
          <w:sz w:val="24"/>
          <w:szCs w:val="24"/>
        </w:rPr>
        <w:t xml:space="preserve">, sono soggette </w:t>
      </w:r>
      <w:r w:rsidR="005449AC" w:rsidRPr="00151324">
        <w:rPr>
          <w:b w:val="0"/>
          <w:sz w:val="24"/>
          <w:szCs w:val="24"/>
        </w:rPr>
        <w:t>alla giurisdizione del giudice amministrativo</w:t>
      </w:r>
      <w:r w:rsidR="004B5820" w:rsidRPr="00151324">
        <w:rPr>
          <w:rStyle w:val="Rimandonotaapidipagina"/>
          <w:b w:val="0"/>
          <w:sz w:val="24"/>
          <w:szCs w:val="24"/>
        </w:rPr>
        <w:footnoteReference w:id="4"/>
      </w:r>
      <w:r w:rsidR="002F23BA" w:rsidRPr="00151324">
        <w:rPr>
          <w:b w:val="0"/>
          <w:sz w:val="24"/>
          <w:szCs w:val="24"/>
        </w:rPr>
        <w:t>.</w:t>
      </w:r>
    </w:p>
    <w:p w14:paraId="3D703129" w14:textId="77777777" w:rsidR="001646D7" w:rsidRPr="00151324" w:rsidRDefault="002F23BA" w:rsidP="00151324">
      <w:pPr>
        <w:pStyle w:val="Titolo3"/>
        <w:shd w:val="clear" w:color="auto" w:fill="FFFFFF"/>
        <w:spacing w:before="0" w:beforeAutospacing="0" w:after="0" w:afterAutospacing="0" w:line="360" w:lineRule="auto"/>
        <w:jc w:val="both"/>
        <w:rPr>
          <w:i/>
          <w:iCs/>
          <w:sz w:val="24"/>
          <w:szCs w:val="24"/>
        </w:rPr>
      </w:pPr>
      <w:r w:rsidRPr="00151324">
        <w:rPr>
          <w:i/>
          <w:iCs/>
          <w:sz w:val="24"/>
          <w:szCs w:val="24"/>
        </w:rPr>
        <w:t xml:space="preserve"> </w:t>
      </w:r>
    </w:p>
    <w:p w14:paraId="141AB87B" w14:textId="2EB11E24" w:rsidR="001646D7" w:rsidRPr="00D5361B" w:rsidRDefault="001646D7" w:rsidP="00D5361B">
      <w:pPr>
        <w:pStyle w:val="Paragrafoelenco"/>
        <w:numPr>
          <w:ilvl w:val="0"/>
          <w:numId w:val="6"/>
        </w:numPr>
        <w:suppressAutoHyphens w:val="0"/>
        <w:spacing w:after="0" w:line="360" w:lineRule="auto"/>
        <w:jc w:val="both"/>
        <w:rPr>
          <w:rFonts w:ascii="Times New Roman" w:hAnsi="Times New Roman" w:cs="Times New Roman"/>
          <w:b/>
          <w:sz w:val="24"/>
          <w:szCs w:val="24"/>
        </w:rPr>
      </w:pPr>
      <w:r w:rsidRPr="00D5361B">
        <w:rPr>
          <w:rFonts w:ascii="Times New Roman" w:hAnsi="Times New Roman" w:cs="Times New Roman"/>
          <w:b/>
          <w:sz w:val="24"/>
          <w:szCs w:val="24"/>
        </w:rPr>
        <w:t xml:space="preserve">La natura sanzionatoria di un provvedimento.  </w:t>
      </w:r>
    </w:p>
    <w:p w14:paraId="6023FE34" w14:textId="77777777" w:rsidR="00D1084E" w:rsidRPr="00151324" w:rsidRDefault="00D1084E" w:rsidP="00151324">
      <w:pPr>
        <w:widowControl/>
        <w:suppressAutoHyphens w:val="0"/>
        <w:spacing w:after="0" w:line="360" w:lineRule="auto"/>
        <w:jc w:val="both"/>
        <w:rPr>
          <w:rFonts w:ascii="Times New Roman" w:hAnsi="Times New Roman" w:cs="Times New Roman"/>
          <w:b/>
          <w:sz w:val="24"/>
          <w:szCs w:val="24"/>
        </w:rPr>
      </w:pPr>
    </w:p>
    <w:p w14:paraId="0672329A" w14:textId="52F3CF75" w:rsidR="008F62F7" w:rsidRPr="00151324" w:rsidRDefault="00BC21BC" w:rsidP="00151324">
      <w:pPr>
        <w:pStyle w:val="popolo"/>
        <w:spacing w:before="0" w:beforeAutospacing="0" w:after="0" w:afterAutospacing="0" w:line="360" w:lineRule="auto"/>
        <w:jc w:val="both"/>
      </w:pPr>
      <w:r>
        <w:t>La disciplina del c</w:t>
      </w:r>
      <w:r w:rsidR="0008429E">
        <w:t>.</w:t>
      </w:r>
      <w:r>
        <w:t xml:space="preserve">d. </w:t>
      </w:r>
      <w:r w:rsidR="005B43FB" w:rsidRPr="00151324">
        <w:t xml:space="preserve">diritto punitivo amministrativo o, secondo altra denominazione, del diritto penale amministrativo, distinto dal diritto amministrativo della prevenzione e da quello disciplinare, ha trovato nella l. 24 novembre 1981, n. 689 una sua prima organica razionalizzazione, sia sostanziale che processuale. Tuttavia l’art.12 della stessa, concernente il relativo ambito di applicazione, include nel proprio perimetro solo le sanzioni (e conseguentemente, gli illeciti puniti con le stesse) pecuniarie, con ciò rischiando di svuotare sensibilmente la portata della riforma, finalizzata anche a dar vita ad un vero e proprio “codice” dell’illecito amministrativo. </w:t>
      </w:r>
    </w:p>
    <w:p w14:paraId="5FDC0195" w14:textId="0D061777" w:rsidR="005B43FB" w:rsidRPr="00151324" w:rsidRDefault="008E119D" w:rsidP="00151324">
      <w:pPr>
        <w:pStyle w:val="popolo"/>
        <w:spacing w:before="0" w:beforeAutospacing="0" w:after="0" w:afterAutospacing="0" w:line="360" w:lineRule="auto"/>
        <w:jc w:val="both"/>
      </w:pPr>
      <w:r w:rsidRPr="00151324">
        <w:t>L</w:t>
      </w:r>
      <w:r w:rsidR="005B43FB" w:rsidRPr="00151324">
        <w:t>a dottrina pressoché unanime ha tentato da subito in vario modo di svalutare la portata delimitatrice dell</w:t>
      </w:r>
      <w:r w:rsidRPr="00151324">
        <w:t xml:space="preserve">’art. 12, </w:t>
      </w:r>
      <w:r w:rsidR="005B43FB" w:rsidRPr="00151324">
        <w:t>seppur di difficile lettura, sottolineandone la pluralità di interpretazioni possibili, per addivenire ad una diversa ricostruzione in via interpretativa della rilevanza</w:t>
      </w:r>
      <w:r w:rsidR="0008429E">
        <w:t xml:space="preserve"> </w:t>
      </w:r>
      <w:proofErr w:type="spellStart"/>
      <w:r w:rsidR="005B43FB" w:rsidRPr="00151324">
        <w:rPr>
          <w:i/>
          <w:iCs/>
        </w:rPr>
        <w:t>ratione</w:t>
      </w:r>
      <w:proofErr w:type="spellEnd"/>
      <w:r w:rsidR="005B43FB" w:rsidRPr="00151324">
        <w:rPr>
          <w:i/>
          <w:iCs/>
        </w:rPr>
        <w:t xml:space="preserve"> </w:t>
      </w:r>
      <w:proofErr w:type="spellStart"/>
      <w:r w:rsidR="005B43FB" w:rsidRPr="00151324">
        <w:rPr>
          <w:i/>
          <w:iCs/>
        </w:rPr>
        <w:t>obiecti</w:t>
      </w:r>
      <w:proofErr w:type="spellEnd"/>
      <w:r w:rsidR="0008429E">
        <w:rPr>
          <w:i/>
          <w:iCs/>
        </w:rPr>
        <w:t xml:space="preserve"> </w:t>
      </w:r>
      <w:r w:rsidR="005B43FB" w:rsidRPr="00151324">
        <w:t>della l</w:t>
      </w:r>
      <w:r w:rsidR="005449AC" w:rsidRPr="00151324">
        <w:t xml:space="preserve">egge. </w:t>
      </w:r>
    </w:p>
    <w:p w14:paraId="1635922A" w14:textId="44CA18A3" w:rsidR="005B43FB" w:rsidRPr="00151324" w:rsidRDefault="005B43FB" w:rsidP="00151324">
      <w:pPr>
        <w:pStyle w:val="popolo"/>
        <w:spacing w:before="0" w:beforeAutospacing="0" w:after="0" w:afterAutospacing="0" w:line="360" w:lineRule="auto"/>
        <w:jc w:val="both"/>
      </w:pPr>
      <w:r w:rsidRPr="00151324">
        <w:t>In particolare, si sono individuati all’interno dell’articolato normativo tre nuclei fondamentali: a) i principi in materia di tutela giurisdizionale (originariamente contenuti negli artt. 22-25, oggi riconducibili</w:t>
      </w:r>
      <w:r w:rsidR="005449AC" w:rsidRPr="00151324">
        <w:t>, come sopra detto,</w:t>
      </w:r>
      <w:r w:rsidRPr="00151324">
        <w:t xml:space="preserve"> all’art. 6 del d.lgs. 1° settembre 2011, n. 150, che si occupa in maniera esplicita </w:t>
      </w:r>
      <w:r w:rsidR="005449AC" w:rsidRPr="00151324">
        <w:t xml:space="preserve">anche </w:t>
      </w:r>
      <w:r w:rsidRPr="00151324">
        <w:t>delle sanzioni non pecuniarie; b) i principi sul procedimento (artt. 13-21); c) i principi sostanziali sull’illecito e la sanzione. Mentre le regole procedimentali, con l’esclusione secondo taluni dell’art. 13, invocato come modello generale per ogni caso di applicazione di una sanzione amministrativa, paiono attagliarsi solo a quelle pecuniarie; quelle sostanziali, pur con talune eccezioni (si pensi alla previsione della forbice edittale di cui all’art. 10 ovvero alle regole sulla prescrizione, che peraltro sono collocate nella sez. II del capo I, all’art. 28), non possono non trovare applicazione ad ogni sanzione amministrativa in senso stretto, ancorché non pecuniaria</w:t>
      </w:r>
      <w:r w:rsidRPr="00151324">
        <w:rPr>
          <w:rStyle w:val="Rimandonotaapidipagina"/>
        </w:rPr>
        <w:footnoteReference w:id="5"/>
      </w:r>
      <w:r w:rsidRPr="00151324">
        <w:t>.</w:t>
      </w:r>
      <w:r w:rsidR="008F62F7" w:rsidRPr="00151324">
        <w:t xml:space="preserve"> </w:t>
      </w:r>
      <w:r w:rsidR="00F07E10" w:rsidRPr="00151324">
        <w:t xml:space="preserve">La giurisprudenza amministrativa ha da subito ricondotto alle norme di principio anche quelle procedurali relative all’immediatezza della contestazione o comunque ad una non irragionevole dilatazione dei suoi tempi. Ciò </w:t>
      </w:r>
      <w:r w:rsidR="00F07E10">
        <w:t xml:space="preserve">riconoscendo quale </w:t>
      </w:r>
      <w:r w:rsidR="00F07E10" w:rsidRPr="00151324">
        <w:t>intento del Legislatore «</w:t>
      </w:r>
      <w:r w:rsidR="00F07E10" w:rsidRPr="00151324">
        <w:rPr>
          <w:i/>
        </w:rPr>
        <w:t>quello di assoggettare ad un statuto unico ed esaustivo (e con un medesimo livello di prerogative e garanzie procedimentali per il soggetto inciso) tutte le ipotesi di sanzioni amministrative, sia che siano attinenti a reati depenalizzati sia che conseguano ad illeciti qualificati “ab origine” come amministrativi, con la sola eccezione delle violazioni disciplinari e di quelle comportanti sanzioni non pecuniarie</w:t>
      </w:r>
      <w:r w:rsidR="00F07E10" w:rsidRPr="00151324">
        <w:t>»</w:t>
      </w:r>
      <w:r w:rsidR="00F07E10" w:rsidRPr="00151324">
        <w:rPr>
          <w:rStyle w:val="Rimandonotaapidipagina"/>
        </w:rPr>
        <w:footnoteReference w:id="6"/>
      </w:r>
      <w:r w:rsidR="00F07E10" w:rsidRPr="00151324">
        <w:t xml:space="preserve">. La preventiva comunicazione e descrizione sommaria del fatto contestato con l’indicazione delle circostanze di tempo e di luogo (idonee ad assicurare, già nella fase del procedimento amministrativo anteriore all’emissione dell’ordinanza-ingiunzione, la tempestiva difesa dell’interessato), viene ricondotta ai principi del contraddittorio, e per tale ragione si ritiene pacificamente che il termine per la contestazione delle violazioni amministrative abbia natura perentoria. </w:t>
      </w:r>
    </w:p>
    <w:p w14:paraId="2035115A" w14:textId="0ABA89F9"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La l. n. 689/1981, dunque, finisce per avere un ambito di applicazione elastico, in quanto investe un </w:t>
      </w:r>
      <w:proofErr w:type="spellStart"/>
      <w:r w:rsidRPr="00151324">
        <w:rPr>
          <w:rFonts w:ascii="Times New Roman" w:eastAsia="Times New Roman" w:hAnsi="Times New Roman" w:cs="Times New Roman"/>
          <w:i/>
          <w:iCs/>
          <w:kern w:val="0"/>
          <w:sz w:val="24"/>
          <w:szCs w:val="24"/>
          <w:lang w:eastAsia="it-IT"/>
        </w:rPr>
        <w:t>genus</w:t>
      </w:r>
      <w:proofErr w:type="spellEnd"/>
      <w:r w:rsidRPr="00151324">
        <w:rPr>
          <w:rFonts w:ascii="Times New Roman" w:eastAsia="Times New Roman" w:hAnsi="Times New Roman" w:cs="Times New Roman"/>
          <w:kern w:val="0"/>
          <w:sz w:val="24"/>
          <w:szCs w:val="24"/>
          <w:lang w:eastAsia="it-IT"/>
        </w:rPr>
        <w:t> di sanzioni (principalmente, ma non esclusivamente pecuniarie) comprensivo di una pluralità di </w:t>
      </w:r>
      <w:proofErr w:type="spellStart"/>
      <w:r w:rsidRPr="00151324">
        <w:rPr>
          <w:rFonts w:ascii="Times New Roman" w:eastAsia="Times New Roman" w:hAnsi="Times New Roman" w:cs="Times New Roman"/>
          <w:i/>
          <w:iCs/>
          <w:kern w:val="0"/>
          <w:sz w:val="24"/>
          <w:szCs w:val="24"/>
          <w:lang w:eastAsia="it-IT"/>
        </w:rPr>
        <w:t>species</w:t>
      </w:r>
      <w:proofErr w:type="spellEnd"/>
      <w:r w:rsidRPr="00151324">
        <w:rPr>
          <w:rFonts w:ascii="Times New Roman" w:eastAsia="Times New Roman" w:hAnsi="Times New Roman" w:cs="Times New Roman"/>
          <w:i/>
          <w:iCs/>
          <w:kern w:val="0"/>
          <w:sz w:val="24"/>
          <w:szCs w:val="24"/>
          <w:lang w:eastAsia="it-IT"/>
        </w:rPr>
        <w:t>, </w:t>
      </w:r>
      <w:r w:rsidRPr="00151324">
        <w:rPr>
          <w:rFonts w:ascii="Times New Roman" w:eastAsia="Times New Roman" w:hAnsi="Times New Roman" w:cs="Times New Roman"/>
          <w:kern w:val="0"/>
          <w:sz w:val="24"/>
          <w:szCs w:val="24"/>
          <w:lang w:eastAsia="it-IT"/>
        </w:rPr>
        <w:t>solo</w:t>
      </w:r>
      <w:r w:rsidRPr="00151324">
        <w:rPr>
          <w:rFonts w:ascii="Times New Roman" w:eastAsia="Times New Roman" w:hAnsi="Times New Roman" w:cs="Times New Roman"/>
          <w:i/>
          <w:iCs/>
          <w:kern w:val="0"/>
          <w:sz w:val="24"/>
          <w:szCs w:val="24"/>
          <w:lang w:eastAsia="it-IT"/>
        </w:rPr>
        <w:t> </w:t>
      </w:r>
      <w:r w:rsidRPr="00151324">
        <w:rPr>
          <w:rFonts w:ascii="Times New Roman" w:eastAsia="Times New Roman" w:hAnsi="Times New Roman" w:cs="Times New Roman"/>
          <w:kern w:val="0"/>
          <w:sz w:val="24"/>
          <w:szCs w:val="24"/>
          <w:lang w:eastAsia="it-IT"/>
        </w:rPr>
        <w:t xml:space="preserve">in alcuni casi dotate di una disciplina speciale </w:t>
      </w:r>
      <w:r w:rsidR="00B32998" w:rsidRPr="00151324">
        <w:rPr>
          <w:rFonts w:ascii="Times New Roman" w:eastAsia="Times New Roman" w:hAnsi="Times New Roman" w:cs="Times New Roman"/>
          <w:kern w:val="0"/>
          <w:sz w:val="24"/>
          <w:szCs w:val="24"/>
          <w:lang w:eastAsia="it-IT"/>
        </w:rPr>
        <w:t>(</w:t>
      </w:r>
      <w:r w:rsidRPr="00151324">
        <w:rPr>
          <w:rFonts w:ascii="Times New Roman" w:eastAsia="Times New Roman" w:hAnsi="Times New Roman" w:cs="Times New Roman"/>
          <w:kern w:val="0"/>
          <w:sz w:val="24"/>
          <w:szCs w:val="24"/>
          <w:lang w:eastAsia="it-IT"/>
        </w:rPr>
        <w:t xml:space="preserve">si pensi, ad esempio, alle </w:t>
      </w:r>
      <w:r w:rsidR="00F07E10">
        <w:rPr>
          <w:rFonts w:ascii="Times New Roman" w:eastAsia="Times New Roman" w:hAnsi="Times New Roman" w:cs="Times New Roman"/>
          <w:kern w:val="0"/>
          <w:sz w:val="24"/>
          <w:szCs w:val="24"/>
          <w:lang w:eastAsia="it-IT"/>
        </w:rPr>
        <w:t xml:space="preserve">già ricordate </w:t>
      </w:r>
      <w:r w:rsidRPr="00151324">
        <w:rPr>
          <w:rFonts w:ascii="Times New Roman" w:eastAsia="Times New Roman" w:hAnsi="Times New Roman" w:cs="Times New Roman"/>
          <w:kern w:val="0"/>
          <w:sz w:val="24"/>
          <w:szCs w:val="24"/>
          <w:lang w:eastAsia="it-IT"/>
        </w:rPr>
        <w:t>sanzioni pecuniarie in senso stretto in materia urbanistic</w:t>
      </w:r>
      <w:r w:rsidR="00B32998" w:rsidRPr="00151324">
        <w:rPr>
          <w:rFonts w:ascii="Times New Roman" w:eastAsia="Times New Roman" w:hAnsi="Times New Roman" w:cs="Times New Roman"/>
          <w:kern w:val="0"/>
          <w:sz w:val="24"/>
          <w:szCs w:val="24"/>
          <w:lang w:eastAsia="it-IT"/>
        </w:rPr>
        <w:t>o-edilizia)</w:t>
      </w:r>
      <w:r w:rsidRPr="00151324">
        <w:rPr>
          <w:rFonts w:ascii="Times New Roman" w:eastAsia="Times New Roman" w:hAnsi="Times New Roman" w:cs="Times New Roman"/>
          <w:kern w:val="0"/>
          <w:sz w:val="24"/>
          <w:szCs w:val="24"/>
          <w:lang w:eastAsia="it-IT"/>
        </w:rPr>
        <w:t>.</w:t>
      </w:r>
    </w:p>
    <w:p w14:paraId="2EE77719" w14:textId="2D749A8D"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 xml:space="preserve">Una lettura sistematica e costituzionalmente orientata, non può </w:t>
      </w:r>
      <w:r w:rsidR="00F07E10">
        <w:rPr>
          <w:rFonts w:ascii="Times New Roman" w:eastAsia="Times New Roman" w:hAnsi="Times New Roman" w:cs="Times New Roman"/>
          <w:kern w:val="0"/>
          <w:sz w:val="24"/>
          <w:szCs w:val="24"/>
          <w:lang w:eastAsia="it-IT"/>
        </w:rPr>
        <w:t xml:space="preserve">tuttavia </w:t>
      </w:r>
      <w:r w:rsidRPr="00151324">
        <w:rPr>
          <w:rFonts w:ascii="Times New Roman" w:eastAsia="Times New Roman" w:hAnsi="Times New Roman" w:cs="Times New Roman"/>
          <w:kern w:val="0"/>
          <w:sz w:val="24"/>
          <w:szCs w:val="24"/>
          <w:lang w:eastAsia="it-IT"/>
        </w:rPr>
        <w:t xml:space="preserve">non condurre all’estensione applicativa dei principi fondamentali di cui agli artt. 1, 2, 3 e 4 della l. 689/1981 ad ogni sanzione amministrativa in senso stretto e quindi ad ogni illecito amministrativo, anche se la sanzione prevista non è pecuniaria. Restano fuori dall’applicabilità degli stessi solo quei provvedimenti che, seppur pregiudizievoli per il destinatario, assumono carattere primariamente riparatorio, tra i quali, come è evidente, non può rientrare la chiusura temporanea di un’attività commerciale quale conseguenza (ulteriore) dell’avvenuto accertamento della commissione al suo interno di specifiche ipotesi di </w:t>
      </w:r>
      <w:r w:rsidR="000E733B" w:rsidRPr="00151324">
        <w:rPr>
          <w:rFonts w:ascii="Times New Roman" w:eastAsia="Times New Roman" w:hAnsi="Times New Roman" w:cs="Times New Roman"/>
          <w:kern w:val="0"/>
          <w:sz w:val="24"/>
          <w:szCs w:val="24"/>
          <w:lang w:eastAsia="it-IT"/>
        </w:rPr>
        <w:t>illecito, anche penale</w:t>
      </w:r>
      <w:r w:rsidR="005449AC" w:rsidRPr="00151324">
        <w:rPr>
          <w:rStyle w:val="Rimandonotaapidipagina"/>
          <w:rFonts w:ascii="Times New Roman" w:eastAsia="Times New Roman" w:hAnsi="Times New Roman" w:cs="Times New Roman"/>
          <w:kern w:val="0"/>
          <w:sz w:val="24"/>
          <w:szCs w:val="24"/>
          <w:lang w:eastAsia="it-IT"/>
        </w:rPr>
        <w:footnoteReference w:id="7"/>
      </w:r>
      <w:r w:rsidRPr="00151324">
        <w:rPr>
          <w:rFonts w:ascii="Times New Roman" w:eastAsia="Times New Roman" w:hAnsi="Times New Roman" w:cs="Times New Roman"/>
          <w:kern w:val="0"/>
          <w:sz w:val="24"/>
          <w:szCs w:val="24"/>
          <w:lang w:eastAsia="it-IT"/>
        </w:rPr>
        <w:t>. Solo integrando, pertanto, il dato testuale dell’art. 12 con considerazioni ispirate in ambito sanzionatorio ad ineludibili esigenze di garanzia, emerge chiaramente tutta l’importanza di sistema dei principi sostanziali e procedimentali fissati nella l. n. 689/1981, intorno alla quale è possibile costruire l’edificio della repressione amministrativa</w:t>
      </w:r>
      <w:r w:rsidR="000E733B" w:rsidRPr="00151324">
        <w:rPr>
          <w:rStyle w:val="Rimandonotaapidipagina"/>
          <w:rFonts w:ascii="Times New Roman" w:eastAsia="Times New Roman" w:hAnsi="Times New Roman" w:cs="Times New Roman"/>
          <w:kern w:val="0"/>
          <w:sz w:val="24"/>
          <w:szCs w:val="24"/>
          <w:lang w:eastAsia="it-IT"/>
        </w:rPr>
        <w:footnoteReference w:id="8"/>
      </w:r>
      <w:r w:rsidRPr="00151324">
        <w:rPr>
          <w:rFonts w:ascii="Times New Roman" w:eastAsia="Times New Roman" w:hAnsi="Times New Roman" w:cs="Times New Roman"/>
          <w:kern w:val="0"/>
          <w:sz w:val="24"/>
          <w:szCs w:val="24"/>
          <w:lang w:eastAsia="it-IT"/>
        </w:rPr>
        <w:t>.</w:t>
      </w:r>
    </w:p>
    <w:p w14:paraId="00D0C5EA" w14:textId="17872797"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La problematica sopra delineata vale, ovviamente, per le sanzioni divers</w:t>
      </w:r>
      <w:r w:rsidR="000359D3" w:rsidRPr="00151324">
        <w:rPr>
          <w:rFonts w:ascii="Times New Roman" w:eastAsia="Times New Roman" w:hAnsi="Times New Roman" w:cs="Times New Roman"/>
          <w:kern w:val="0"/>
          <w:sz w:val="24"/>
          <w:szCs w:val="24"/>
          <w:lang w:eastAsia="it-IT"/>
        </w:rPr>
        <w:t>e</w:t>
      </w:r>
      <w:r w:rsidRPr="00151324">
        <w:rPr>
          <w:rFonts w:ascii="Times New Roman" w:eastAsia="Times New Roman" w:hAnsi="Times New Roman" w:cs="Times New Roman"/>
          <w:kern w:val="0"/>
          <w:sz w:val="24"/>
          <w:szCs w:val="24"/>
          <w:lang w:eastAsia="it-IT"/>
        </w:rPr>
        <w:t xml:space="preserve"> da quelle</w:t>
      </w:r>
      <w:r w:rsidR="000A7332" w:rsidRPr="00151324">
        <w:rPr>
          <w:rFonts w:ascii="Times New Roman" w:eastAsia="Times New Roman" w:hAnsi="Times New Roman" w:cs="Times New Roman"/>
          <w:kern w:val="0"/>
          <w:sz w:val="24"/>
          <w:szCs w:val="24"/>
          <w:lang w:eastAsia="it-IT"/>
        </w:rPr>
        <w:t xml:space="preserve"> </w:t>
      </w:r>
      <w:r w:rsidRPr="00151324">
        <w:rPr>
          <w:rFonts w:ascii="Times New Roman" w:eastAsia="Times New Roman" w:hAnsi="Times New Roman" w:cs="Times New Roman"/>
          <w:kern w:val="0"/>
          <w:sz w:val="24"/>
          <w:szCs w:val="24"/>
          <w:lang w:eastAsia="it-IT"/>
        </w:rPr>
        <w:t>pecuniarie, vuoi che le si possa qualificare come “accessorie” ad altre, di regola consistenti nel pagamento di una somma di danaro</w:t>
      </w:r>
      <w:r w:rsidR="00267823" w:rsidRPr="00151324">
        <w:rPr>
          <w:rFonts w:ascii="Times New Roman" w:eastAsia="Times New Roman" w:hAnsi="Times New Roman" w:cs="Times New Roman"/>
          <w:kern w:val="0"/>
          <w:sz w:val="24"/>
          <w:szCs w:val="24"/>
          <w:lang w:eastAsia="it-IT"/>
        </w:rPr>
        <w:t>, ma talvolta anche di natura penale</w:t>
      </w:r>
      <w:r w:rsidR="00267823" w:rsidRPr="00151324">
        <w:rPr>
          <w:rStyle w:val="Rimandonotaapidipagina"/>
          <w:rFonts w:ascii="Times New Roman" w:eastAsia="Times New Roman" w:hAnsi="Times New Roman" w:cs="Times New Roman"/>
          <w:kern w:val="0"/>
          <w:sz w:val="24"/>
          <w:szCs w:val="24"/>
          <w:lang w:eastAsia="it-IT"/>
        </w:rPr>
        <w:footnoteReference w:id="9"/>
      </w:r>
      <w:r w:rsidRPr="00151324">
        <w:rPr>
          <w:rFonts w:ascii="Times New Roman" w:eastAsia="Times New Roman" w:hAnsi="Times New Roman" w:cs="Times New Roman"/>
          <w:kern w:val="0"/>
          <w:sz w:val="24"/>
          <w:szCs w:val="24"/>
          <w:lang w:eastAsia="it-IT"/>
        </w:rPr>
        <w:t xml:space="preserve">; vuoi che </w:t>
      </w:r>
      <w:r w:rsidR="00267823" w:rsidRPr="00151324">
        <w:rPr>
          <w:rFonts w:ascii="Times New Roman" w:eastAsia="Times New Roman" w:hAnsi="Times New Roman" w:cs="Times New Roman"/>
          <w:kern w:val="0"/>
          <w:sz w:val="24"/>
          <w:szCs w:val="24"/>
          <w:lang w:eastAsia="it-IT"/>
        </w:rPr>
        <w:t xml:space="preserve">intervengano </w:t>
      </w:r>
      <w:r w:rsidRPr="00151324">
        <w:rPr>
          <w:rFonts w:ascii="Times New Roman" w:eastAsia="Times New Roman" w:hAnsi="Times New Roman" w:cs="Times New Roman"/>
          <w:kern w:val="0"/>
          <w:sz w:val="24"/>
          <w:szCs w:val="24"/>
          <w:lang w:eastAsia="it-IT"/>
        </w:rPr>
        <w:t>in via autonoma</w:t>
      </w:r>
      <w:r w:rsidR="00267823" w:rsidRPr="00151324">
        <w:rPr>
          <w:rFonts w:ascii="Times New Roman" w:eastAsia="Times New Roman" w:hAnsi="Times New Roman" w:cs="Times New Roman"/>
          <w:kern w:val="0"/>
          <w:sz w:val="24"/>
          <w:szCs w:val="24"/>
          <w:lang w:eastAsia="it-IT"/>
        </w:rPr>
        <w:t xml:space="preserve">. </w:t>
      </w:r>
    </w:p>
    <w:p w14:paraId="64454E97" w14:textId="0B3B6126"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 xml:space="preserve">La l. </w:t>
      </w:r>
      <w:r w:rsidR="00D1084E" w:rsidRPr="00151324">
        <w:rPr>
          <w:rFonts w:ascii="Times New Roman" w:eastAsia="Times New Roman" w:hAnsi="Times New Roman" w:cs="Times New Roman"/>
          <w:kern w:val="0"/>
          <w:sz w:val="24"/>
          <w:szCs w:val="24"/>
          <w:lang w:eastAsia="it-IT"/>
        </w:rPr>
        <w:t xml:space="preserve">n. 689/1981 si occupa delle cd. </w:t>
      </w:r>
      <w:r w:rsidR="00151324">
        <w:rPr>
          <w:rFonts w:ascii="Times New Roman" w:eastAsia="Times New Roman" w:hAnsi="Times New Roman" w:cs="Times New Roman"/>
          <w:kern w:val="0"/>
          <w:sz w:val="24"/>
          <w:szCs w:val="24"/>
          <w:lang w:eastAsia="it-IT"/>
        </w:rPr>
        <w:t xml:space="preserve">Sanzioni </w:t>
      </w:r>
      <w:r w:rsidRPr="00151324">
        <w:rPr>
          <w:rFonts w:ascii="Times New Roman" w:eastAsia="Times New Roman" w:hAnsi="Times New Roman" w:cs="Times New Roman"/>
          <w:kern w:val="0"/>
          <w:sz w:val="24"/>
          <w:szCs w:val="24"/>
          <w:lang w:eastAsia="it-IT"/>
        </w:rPr>
        <w:t>“accessorie” diverse dalla confisca all’art. 20, prevedendone la possibile applicazione da parte dell’autorità amministrativa competente qualora esse già conseguissero al reato soggetto a depenalizzazione ad opera della medesima legge. Anche in questo caso, dunque, il dato letterale è legato al contesto di generalizzata decriminalizzazione di precedenti illeciti operata dalla normativa sulla base della tipologia di pena per gli stessi prevista. Sotto tale profilo, quindi, solo nel caso in cui un reato, divenuto illecito amministrativo, già prevedesse l’applicazione, in via accessoria, di sanzioni consistenti nella privazione o sospensione di diritti e facoltà derivanti da provvedimenti dell’amministrazione, esse possono facoltativamente essere applicate dall’amministrazione con l’ordinanza ingiunzione che commina anche la sanzione amministrativa pecuniaria.</w:t>
      </w:r>
    </w:p>
    <w:p w14:paraId="51E4D39E" w14:textId="590A2751"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 xml:space="preserve">La lacunosità del riferimento letterale spiega dunque il tentativo di </w:t>
      </w:r>
      <w:r w:rsidR="003D66F7" w:rsidRPr="00151324">
        <w:rPr>
          <w:rFonts w:ascii="Times New Roman" w:eastAsia="Times New Roman" w:hAnsi="Times New Roman" w:cs="Times New Roman"/>
          <w:kern w:val="0"/>
          <w:sz w:val="24"/>
          <w:szCs w:val="24"/>
          <w:lang w:eastAsia="it-IT"/>
        </w:rPr>
        <w:t>al</w:t>
      </w:r>
      <w:r w:rsidR="003C1381" w:rsidRPr="00151324">
        <w:rPr>
          <w:rFonts w:ascii="Times New Roman" w:eastAsia="Times New Roman" w:hAnsi="Times New Roman" w:cs="Times New Roman"/>
          <w:kern w:val="0"/>
          <w:sz w:val="24"/>
          <w:szCs w:val="24"/>
          <w:lang w:eastAsia="it-IT"/>
        </w:rPr>
        <w:t>c</w:t>
      </w:r>
      <w:r w:rsidR="003D66F7" w:rsidRPr="00151324">
        <w:rPr>
          <w:rFonts w:ascii="Times New Roman" w:eastAsia="Times New Roman" w:hAnsi="Times New Roman" w:cs="Times New Roman"/>
          <w:kern w:val="0"/>
          <w:sz w:val="24"/>
          <w:szCs w:val="24"/>
          <w:lang w:eastAsia="it-IT"/>
        </w:rPr>
        <w:t>u</w:t>
      </w:r>
      <w:r w:rsidR="003C1381" w:rsidRPr="00151324">
        <w:rPr>
          <w:rFonts w:ascii="Times New Roman" w:eastAsia="Times New Roman" w:hAnsi="Times New Roman" w:cs="Times New Roman"/>
          <w:kern w:val="0"/>
          <w:sz w:val="24"/>
          <w:szCs w:val="24"/>
          <w:lang w:eastAsia="it-IT"/>
        </w:rPr>
        <w:t xml:space="preserve">ni autori </w:t>
      </w:r>
      <w:r w:rsidRPr="00151324">
        <w:rPr>
          <w:rFonts w:ascii="Times New Roman" w:eastAsia="Times New Roman" w:hAnsi="Times New Roman" w:cs="Times New Roman"/>
          <w:kern w:val="0"/>
          <w:sz w:val="24"/>
          <w:szCs w:val="24"/>
          <w:lang w:eastAsia="it-IT"/>
        </w:rPr>
        <w:t>di sottrarre dall’ambito sanzionatorio le misure consistenti nella privazione o nella sospensione di</w:t>
      </w:r>
      <w:r w:rsidR="00D1084E" w:rsidRPr="00151324">
        <w:rPr>
          <w:rFonts w:ascii="Times New Roman" w:eastAsia="Times New Roman" w:hAnsi="Times New Roman" w:cs="Times New Roman"/>
          <w:kern w:val="0"/>
          <w:sz w:val="24"/>
          <w:szCs w:val="24"/>
          <w:lang w:eastAsia="it-IT"/>
        </w:rPr>
        <w:t xml:space="preserve"> diritti e facoltà (le sanzioni </w:t>
      </w:r>
      <w:r w:rsidRPr="00151324">
        <w:rPr>
          <w:rFonts w:ascii="Times New Roman" w:eastAsia="Times New Roman" w:hAnsi="Times New Roman" w:cs="Times New Roman"/>
          <w:kern w:val="0"/>
          <w:sz w:val="24"/>
          <w:szCs w:val="24"/>
          <w:lang w:eastAsia="it-IT"/>
        </w:rPr>
        <w:t>interdittive, appunto) che non siano accessorie rispetto ad un illecito amministrativo da depenalizzazione, individuandone la </w:t>
      </w:r>
      <w:r w:rsidRPr="00151324">
        <w:rPr>
          <w:rFonts w:ascii="Times New Roman" w:eastAsia="Times New Roman" w:hAnsi="Times New Roman" w:cs="Times New Roman"/>
          <w:i/>
          <w:iCs/>
          <w:kern w:val="0"/>
          <w:sz w:val="24"/>
          <w:szCs w:val="24"/>
          <w:lang w:eastAsia="it-IT"/>
        </w:rPr>
        <w:t>ratio</w:t>
      </w:r>
      <w:r w:rsidRPr="00151324">
        <w:rPr>
          <w:rFonts w:ascii="Times New Roman" w:eastAsia="Times New Roman" w:hAnsi="Times New Roman" w:cs="Times New Roman"/>
          <w:kern w:val="0"/>
          <w:sz w:val="24"/>
          <w:szCs w:val="24"/>
          <w:lang w:eastAsia="it-IT"/>
        </w:rPr>
        <w:t> nella protezione e realizzazione diretta degli interessi dell’Amministrazione in quanto permetterebbero l’ “interdizione” di un soggetto o di una sua attività in ragione della ritenuta inidoneità a soddisfarli, avuto riguardo alla condotta preventivamente tenuta</w:t>
      </w:r>
      <w:r w:rsidR="000359D3" w:rsidRPr="00151324">
        <w:rPr>
          <w:rStyle w:val="Rimandonotaapidipagina"/>
          <w:rFonts w:ascii="Times New Roman" w:eastAsia="Times New Roman" w:hAnsi="Times New Roman" w:cs="Times New Roman"/>
          <w:kern w:val="0"/>
          <w:sz w:val="24"/>
          <w:szCs w:val="24"/>
          <w:lang w:eastAsia="it-IT"/>
        </w:rPr>
        <w:footnoteReference w:id="10"/>
      </w:r>
      <w:r w:rsidRPr="00151324">
        <w:rPr>
          <w:rFonts w:ascii="Times New Roman" w:eastAsia="Times New Roman" w:hAnsi="Times New Roman" w:cs="Times New Roman"/>
          <w:kern w:val="0"/>
          <w:sz w:val="24"/>
          <w:szCs w:val="24"/>
          <w:lang w:eastAsia="it-IT"/>
        </w:rPr>
        <w:t>.</w:t>
      </w:r>
      <w:r w:rsidR="008F62F7" w:rsidRPr="00151324">
        <w:rPr>
          <w:rFonts w:ascii="Times New Roman" w:eastAsia="Times New Roman" w:hAnsi="Times New Roman" w:cs="Times New Roman"/>
          <w:kern w:val="0"/>
          <w:sz w:val="24"/>
          <w:szCs w:val="24"/>
          <w:lang w:eastAsia="it-IT"/>
        </w:rPr>
        <w:t xml:space="preserve"> </w:t>
      </w:r>
    </w:p>
    <w:p w14:paraId="529734C1" w14:textId="0E9046F2"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L’art. 20, c</w:t>
      </w:r>
      <w:r w:rsidR="00FC2BA8" w:rsidRPr="00151324">
        <w:rPr>
          <w:rFonts w:ascii="Times New Roman" w:eastAsia="Times New Roman" w:hAnsi="Times New Roman" w:cs="Times New Roman"/>
          <w:kern w:val="0"/>
          <w:sz w:val="24"/>
          <w:szCs w:val="24"/>
          <w:lang w:eastAsia="it-IT"/>
        </w:rPr>
        <w:t>o</w:t>
      </w:r>
      <w:r w:rsidRPr="00151324">
        <w:rPr>
          <w:rFonts w:ascii="Times New Roman" w:eastAsia="Times New Roman" w:hAnsi="Times New Roman" w:cs="Times New Roman"/>
          <w:kern w:val="0"/>
          <w:sz w:val="24"/>
          <w:szCs w:val="24"/>
          <w:lang w:eastAsia="it-IT"/>
        </w:rPr>
        <w:t>.2, della l. 689/1981 prevede che le sanzioni accessorie ad una sanzione amministrativa pecuniaria non siano applicabili -</w:t>
      </w:r>
      <w:r w:rsidR="00D1084E" w:rsidRPr="00151324">
        <w:rPr>
          <w:rFonts w:ascii="Times New Roman" w:eastAsia="Times New Roman" w:hAnsi="Times New Roman" w:cs="Times New Roman"/>
          <w:kern w:val="0"/>
          <w:sz w:val="24"/>
          <w:szCs w:val="24"/>
          <w:lang w:eastAsia="it-IT"/>
        </w:rPr>
        <w:t xml:space="preserve"> </w:t>
      </w:r>
      <w:r w:rsidRPr="00151324">
        <w:rPr>
          <w:rFonts w:ascii="Times New Roman" w:eastAsia="Times New Roman" w:hAnsi="Times New Roman" w:cs="Times New Roman"/>
          <w:i/>
          <w:iCs/>
          <w:kern w:val="0"/>
          <w:sz w:val="24"/>
          <w:szCs w:val="24"/>
          <w:lang w:eastAsia="it-IT"/>
        </w:rPr>
        <w:t>rectius</w:t>
      </w:r>
      <w:r w:rsidRPr="00151324">
        <w:rPr>
          <w:rFonts w:ascii="Times New Roman" w:eastAsia="Times New Roman" w:hAnsi="Times New Roman" w:cs="Times New Roman"/>
          <w:kern w:val="0"/>
          <w:sz w:val="24"/>
          <w:szCs w:val="24"/>
          <w:lang w:eastAsia="it-IT"/>
        </w:rPr>
        <w:t>, esecutive</w:t>
      </w:r>
      <w:r w:rsidR="00D1084E" w:rsidRPr="00151324">
        <w:rPr>
          <w:rFonts w:ascii="Times New Roman" w:eastAsia="Times New Roman" w:hAnsi="Times New Roman" w:cs="Times New Roman"/>
          <w:kern w:val="0"/>
          <w:sz w:val="24"/>
          <w:szCs w:val="24"/>
          <w:lang w:eastAsia="it-IT"/>
        </w:rPr>
        <w:t xml:space="preserve"> </w:t>
      </w:r>
      <w:r w:rsidRPr="00151324">
        <w:rPr>
          <w:rFonts w:ascii="Times New Roman" w:eastAsia="Times New Roman" w:hAnsi="Times New Roman" w:cs="Times New Roman"/>
          <w:kern w:val="0"/>
          <w:sz w:val="24"/>
          <w:szCs w:val="24"/>
          <w:lang w:eastAsia="it-IT"/>
        </w:rPr>
        <w:t>- fino a che sia pendente il giudizio di opposizione contro il provvedimento di condanna o, nel caso di connessione con un reato, fino a che il provvedimento stesso non sia divenuto esecutivo. Ciò da un lato ne conferma la natura afflittiva e la funzione deterrente, dall’altro evidenzia l’attenzione del legislatore al principio -</w:t>
      </w:r>
      <w:r w:rsidR="00D1084E" w:rsidRPr="00151324">
        <w:rPr>
          <w:rFonts w:ascii="Times New Roman" w:eastAsia="Times New Roman" w:hAnsi="Times New Roman" w:cs="Times New Roman"/>
          <w:kern w:val="0"/>
          <w:sz w:val="24"/>
          <w:szCs w:val="24"/>
          <w:lang w:eastAsia="it-IT"/>
        </w:rPr>
        <w:t xml:space="preserve"> </w:t>
      </w:r>
      <w:r w:rsidRPr="00151324">
        <w:rPr>
          <w:rFonts w:ascii="Times New Roman" w:eastAsia="Times New Roman" w:hAnsi="Times New Roman" w:cs="Times New Roman"/>
          <w:kern w:val="0"/>
          <w:sz w:val="24"/>
          <w:szCs w:val="24"/>
          <w:lang w:eastAsia="it-IT"/>
        </w:rPr>
        <w:t>sebbene fortemente temperato- di colpevolezza del destinatario del provvedimento. L’applicazione della sanzione accessoria, infatti, avviene, almeno di regola solo al momento in cui il soggetto è riconosciuto responsabile, a seguito di un giudizio a cognizione piena, della violazione amministrativa</w:t>
      </w:r>
      <w:r w:rsidR="00FC2BA8" w:rsidRPr="00151324">
        <w:rPr>
          <w:rStyle w:val="Rimandonotaapidipagina"/>
          <w:rFonts w:ascii="Times New Roman" w:eastAsia="Times New Roman" w:hAnsi="Times New Roman" w:cs="Times New Roman"/>
          <w:kern w:val="0"/>
          <w:sz w:val="24"/>
          <w:szCs w:val="24"/>
          <w:lang w:eastAsia="it-IT"/>
        </w:rPr>
        <w:footnoteReference w:id="11"/>
      </w:r>
      <w:r w:rsidRPr="00151324">
        <w:rPr>
          <w:rFonts w:ascii="Times New Roman" w:eastAsia="Times New Roman" w:hAnsi="Times New Roman" w:cs="Times New Roman"/>
          <w:kern w:val="0"/>
          <w:sz w:val="24"/>
          <w:szCs w:val="24"/>
          <w:lang w:eastAsia="it-IT"/>
        </w:rPr>
        <w:t>.</w:t>
      </w:r>
    </w:p>
    <w:p w14:paraId="0DCFC096" w14:textId="347BE4C2" w:rsidR="005B43FB" w:rsidRPr="00151324" w:rsidRDefault="005B43FB" w:rsidP="00151324">
      <w:pPr>
        <w:widowControl/>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La normativa consente invece l’immediata esecuzione della sanzione pecuniaria, che per la sua fungibilità comporta effetti pregiudizievoli più facilmente rimediabili, nonché, si ritiene, delle sanzioni amministrative non pecuniarie autonome, quanto meno in assenza di un’esplicita deroga di legge.</w:t>
      </w:r>
      <w:r w:rsidR="00FC2BA8" w:rsidRPr="00151324">
        <w:rPr>
          <w:rFonts w:ascii="Times New Roman" w:eastAsia="Times New Roman" w:hAnsi="Times New Roman" w:cs="Times New Roman"/>
          <w:kern w:val="0"/>
          <w:sz w:val="24"/>
          <w:szCs w:val="24"/>
          <w:lang w:eastAsia="it-IT"/>
        </w:rPr>
        <w:t xml:space="preserve"> Per contro, proprio nell’immediatezza del rimedio può ravvisarsi un indice della sua natura cautelare o riparatoria, giusta la necessità, cui esso fa fronte, di cauterizzare nel più breve tempo possibile la lesione che l’ordinamento giuridico ha subito a causa del comporta</w:t>
      </w:r>
      <w:r w:rsidR="00151324">
        <w:rPr>
          <w:rFonts w:ascii="Times New Roman" w:eastAsia="Times New Roman" w:hAnsi="Times New Roman" w:cs="Times New Roman"/>
          <w:kern w:val="0"/>
          <w:sz w:val="24"/>
          <w:szCs w:val="24"/>
          <w:lang w:eastAsia="it-IT"/>
        </w:rPr>
        <w:t>mento del presunto trasgressore</w:t>
      </w:r>
      <w:r w:rsidR="00FC2BA8" w:rsidRPr="00151324">
        <w:rPr>
          <w:rStyle w:val="Rimandonotaapidipagina"/>
          <w:rFonts w:ascii="Times New Roman" w:eastAsia="Times New Roman" w:hAnsi="Times New Roman" w:cs="Times New Roman"/>
          <w:kern w:val="0"/>
          <w:sz w:val="24"/>
          <w:szCs w:val="24"/>
          <w:lang w:eastAsia="it-IT"/>
        </w:rPr>
        <w:footnoteReference w:id="12"/>
      </w:r>
      <w:r w:rsidR="000B3674" w:rsidRPr="00151324">
        <w:rPr>
          <w:rFonts w:ascii="Times New Roman" w:eastAsia="Times New Roman" w:hAnsi="Times New Roman" w:cs="Times New Roman"/>
          <w:kern w:val="0"/>
          <w:sz w:val="24"/>
          <w:szCs w:val="24"/>
          <w:lang w:eastAsia="it-IT"/>
        </w:rPr>
        <w:t xml:space="preserve">. </w:t>
      </w:r>
      <w:r w:rsidR="00FC2BA8" w:rsidRPr="00151324">
        <w:rPr>
          <w:rFonts w:ascii="Times New Roman" w:eastAsia="Times New Roman" w:hAnsi="Times New Roman" w:cs="Times New Roman"/>
          <w:kern w:val="0"/>
          <w:sz w:val="24"/>
          <w:szCs w:val="24"/>
          <w:lang w:eastAsia="it-IT"/>
        </w:rPr>
        <w:t xml:space="preserve"> </w:t>
      </w:r>
    </w:p>
    <w:p w14:paraId="761BE041" w14:textId="6CEF05B9" w:rsidR="001646D7" w:rsidRPr="00151324" w:rsidRDefault="00D2501E" w:rsidP="00151324">
      <w:pPr>
        <w:widowControl/>
        <w:suppressAutoHyphens w:val="0"/>
        <w:spacing w:after="0" w:line="360" w:lineRule="auto"/>
        <w:jc w:val="both"/>
        <w:rPr>
          <w:rFonts w:ascii="Times New Roman" w:eastAsia="Times New Roman" w:hAnsi="Times New Roman" w:cs="Times New Roman"/>
          <w:kern w:val="0"/>
          <w:sz w:val="24"/>
          <w:szCs w:val="24"/>
          <w:lang w:eastAsia="it-IT"/>
        </w:rPr>
      </w:pPr>
      <w:r w:rsidRPr="00151324">
        <w:rPr>
          <w:rFonts w:ascii="Times New Roman" w:hAnsi="Times New Roman" w:cs="Times New Roman"/>
          <w:sz w:val="24"/>
          <w:szCs w:val="24"/>
        </w:rPr>
        <w:t xml:space="preserve">La </w:t>
      </w:r>
      <w:r w:rsidR="000B3674" w:rsidRPr="00151324">
        <w:rPr>
          <w:rFonts w:ascii="Times New Roman" w:hAnsi="Times New Roman" w:cs="Times New Roman"/>
          <w:sz w:val="24"/>
          <w:szCs w:val="24"/>
        </w:rPr>
        <w:t>natura</w:t>
      </w:r>
      <w:r w:rsidRPr="00151324">
        <w:rPr>
          <w:rFonts w:ascii="Times New Roman" w:hAnsi="Times New Roman" w:cs="Times New Roman"/>
          <w:sz w:val="24"/>
          <w:szCs w:val="24"/>
        </w:rPr>
        <w:t xml:space="preserve"> sanzionatoria di un provvedimento va ricercata </w:t>
      </w:r>
      <w:r w:rsidR="000E733B" w:rsidRPr="00151324">
        <w:rPr>
          <w:rFonts w:ascii="Times New Roman" w:hAnsi="Times New Roman" w:cs="Times New Roman"/>
          <w:sz w:val="24"/>
          <w:szCs w:val="24"/>
        </w:rPr>
        <w:t xml:space="preserve">anche </w:t>
      </w:r>
      <w:r w:rsidRPr="00151324">
        <w:rPr>
          <w:rFonts w:ascii="Times New Roman" w:hAnsi="Times New Roman" w:cs="Times New Roman"/>
          <w:sz w:val="24"/>
          <w:szCs w:val="24"/>
        </w:rPr>
        <w:t>nei confini delineati dal diritto europeo.</w:t>
      </w:r>
      <w:r w:rsidRPr="00151324">
        <w:rPr>
          <w:rFonts w:ascii="Times New Roman" w:hAnsi="Times New Roman" w:cs="Times New Roman"/>
          <w:b/>
          <w:sz w:val="24"/>
          <w:szCs w:val="24"/>
        </w:rPr>
        <w:t xml:space="preserve"> </w:t>
      </w:r>
      <w:r w:rsidR="001646D7" w:rsidRPr="00151324">
        <w:rPr>
          <w:rFonts w:ascii="Times New Roman" w:eastAsia="Times New Roman" w:hAnsi="Times New Roman" w:cs="Times New Roman"/>
          <w:kern w:val="0"/>
          <w:sz w:val="24"/>
          <w:szCs w:val="24"/>
          <w:lang w:eastAsia="it-IT"/>
        </w:rPr>
        <w:t xml:space="preserve">La Corte di Strasburgo ha </w:t>
      </w:r>
      <w:r w:rsidRPr="00151324">
        <w:rPr>
          <w:rFonts w:ascii="Times New Roman" w:eastAsia="Times New Roman" w:hAnsi="Times New Roman" w:cs="Times New Roman"/>
          <w:kern w:val="0"/>
          <w:sz w:val="24"/>
          <w:szCs w:val="24"/>
          <w:lang w:eastAsia="it-IT"/>
        </w:rPr>
        <w:t xml:space="preserve">infatti </w:t>
      </w:r>
      <w:r w:rsidR="001646D7" w:rsidRPr="00151324">
        <w:rPr>
          <w:rFonts w:ascii="Times New Roman" w:eastAsia="Times New Roman" w:hAnsi="Times New Roman" w:cs="Times New Roman"/>
          <w:kern w:val="0"/>
          <w:sz w:val="24"/>
          <w:szCs w:val="24"/>
          <w:lang w:eastAsia="it-IT"/>
        </w:rPr>
        <w:t xml:space="preserve">elaborato propri e autonomi criteri </w:t>
      </w:r>
      <w:r w:rsidR="003C1381" w:rsidRPr="00151324">
        <w:rPr>
          <w:rFonts w:ascii="Times New Roman" w:eastAsia="Times New Roman" w:hAnsi="Times New Roman" w:cs="Times New Roman"/>
          <w:kern w:val="0"/>
          <w:sz w:val="24"/>
          <w:szCs w:val="24"/>
          <w:lang w:eastAsia="it-IT"/>
        </w:rPr>
        <w:t>(i notissimi cd</w:t>
      </w:r>
      <w:r w:rsidR="00EF62E6" w:rsidRPr="00151324">
        <w:rPr>
          <w:rFonts w:ascii="Times New Roman" w:eastAsia="Times New Roman" w:hAnsi="Times New Roman" w:cs="Times New Roman"/>
          <w:kern w:val="0"/>
          <w:sz w:val="24"/>
          <w:szCs w:val="24"/>
          <w:lang w:eastAsia="it-IT"/>
        </w:rPr>
        <w:t>.</w:t>
      </w:r>
      <w:r w:rsidR="003C1381" w:rsidRPr="00151324">
        <w:rPr>
          <w:rFonts w:ascii="Times New Roman" w:eastAsia="Times New Roman" w:hAnsi="Times New Roman" w:cs="Times New Roman"/>
          <w:kern w:val="0"/>
          <w:sz w:val="24"/>
          <w:szCs w:val="24"/>
          <w:lang w:eastAsia="it-IT"/>
        </w:rPr>
        <w:t xml:space="preserve"> </w:t>
      </w:r>
      <w:r w:rsidR="003C1381" w:rsidRPr="00151324">
        <w:rPr>
          <w:rFonts w:ascii="Times New Roman" w:eastAsia="Times New Roman" w:hAnsi="Times New Roman" w:cs="Times New Roman"/>
          <w:i/>
          <w:iCs/>
          <w:kern w:val="0"/>
          <w:sz w:val="24"/>
          <w:szCs w:val="24"/>
          <w:lang w:eastAsia="it-IT"/>
        </w:rPr>
        <w:t xml:space="preserve">Engel </w:t>
      </w:r>
      <w:proofErr w:type="spellStart"/>
      <w:r w:rsidR="003C1381" w:rsidRPr="00151324">
        <w:rPr>
          <w:rFonts w:ascii="Times New Roman" w:eastAsia="Times New Roman" w:hAnsi="Times New Roman" w:cs="Times New Roman"/>
          <w:i/>
          <w:iCs/>
          <w:kern w:val="0"/>
          <w:sz w:val="24"/>
          <w:szCs w:val="24"/>
          <w:lang w:eastAsia="it-IT"/>
        </w:rPr>
        <w:t>criteria</w:t>
      </w:r>
      <w:proofErr w:type="spellEnd"/>
      <w:r w:rsidR="003C1381" w:rsidRPr="00151324">
        <w:rPr>
          <w:rFonts w:ascii="Times New Roman" w:eastAsia="Times New Roman" w:hAnsi="Times New Roman" w:cs="Times New Roman"/>
          <w:kern w:val="0"/>
          <w:sz w:val="24"/>
          <w:szCs w:val="24"/>
          <w:lang w:eastAsia="it-IT"/>
        </w:rPr>
        <w:t xml:space="preserve">) </w:t>
      </w:r>
      <w:r w:rsidR="001646D7" w:rsidRPr="00151324">
        <w:rPr>
          <w:rFonts w:ascii="Times New Roman" w:eastAsia="Times New Roman" w:hAnsi="Times New Roman" w:cs="Times New Roman"/>
          <w:kern w:val="0"/>
          <w:sz w:val="24"/>
          <w:szCs w:val="24"/>
          <w:lang w:eastAsia="it-IT"/>
        </w:rPr>
        <w:t xml:space="preserve">al fine di stabilire la </w:t>
      </w:r>
      <w:r w:rsidRPr="00151324">
        <w:rPr>
          <w:rFonts w:ascii="Times New Roman" w:eastAsia="Times New Roman" w:hAnsi="Times New Roman" w:cs="Times New Roman"/>
          <w:kern w:val="0"/>
          <w:sz w:val="24"/>
          <w:szCs w:val="24"/>
          <w:lang w:eastAsia="it-IT"/>
        </w:rPr>
        <w:t xml:space="preserve">portata </w:t>
      </w:r>
      <w:r w:rsidR="001646D7" w:rsidRPr="00151324">
        <w:rPr>
          <w:rFonts w:ascii="Times New Roman" w:eastAsia="Times New Roman" w:hAnsi="Times New Roman" w:cs="Times New Roman"/>
          <w:kern w:val="0"/>
          <w:sz w:val="24"/>
          <w:szCs w:val="24"/>
          <w:lang w:eastAsia="it-IT"/>
        </w:rPr>
        <w:t xml:space="preserve">“penale” o meno di un illecito e della relativa sanzione, </w:t>
      </w:r>
      <w:r w:rsidRPr="00151324">
        <w:rPr>
          <w:rFonts w:ascii="Times New Roman" w:eastAsia="Times New Roman" w:hAnsi="Times New Roman" w:cs="Times New Roman"/>
          <w:kern w:val="0"/>
          <w:sz w:val="24"/>
          <w:szCs w:val="24"/>
          <w:lang w:eastAsia="it-IT"/>
        </w:rPr>
        <w:t>laddove il relativo termine ha una connotazione diversa rispetto a quella attinta dal diritto nazionale</w:t>
      </w:r>
      <w:r w:rsidR="001646D7" w:rsidRPr="00151324">
        <w:rPr>
          <w:rFonts w:ascii="Times New Roman" w:eastAsia="Times New Roman" w:hAnsi="Times New Roman" w:cs="Times New Roman"/>
          <w:kern w:val="0"/>
          <w:sz w:val="24"/>
          <w:szCs w:val="24"/>
          <w:lang w:eastAsia="it-IT"/>
        </w:rPr>
        <w:t xml:space="preserve">. </w:t>
      </w:r>
      <w:r w:rsidRPr="00151324">
        <w:rPr>
          <w:rFonts w:ascii="Times New Roman" w:eastAsia="Times New Roman" w:hAnsi="Times New Roman" w:cs="Times New Roman"/>
          <w:kern w:val="0"/>
          <w:sz w:val="24"/>
          <w:szCs w:val="24"/>
          <w:lang w:eastAsia="it-IT"/>
        </w:rPr>
        <w:t xml:space="preserve">A ciò consegue che essi non si risolvono affatto in </w:t>
      </w:r>
      <w:r w:rsidR="001646D7" w:rsidRPr="00151324">
        <w:rPr>
          <w:rFonts w:ascii="Times New Roman" w:eastAsia="Times New Roman" w:hAnsi="Times New Roman" w:cs="Times New Roman"/>
          <w:kern w:val="0"/>
          <w:sz w:val="24"/>
          <w:szCs w:val="24"/>
          <w:lang w:eastAsia="it-IT"/>
        </w:rPr>
        <w:t>un’indebita ingerenza nella scelta di politica criminale tra qualificazione di un fatto illecito come amministrativo o penale, rimessa al legislatore nazionale (di particolare interesse il dialogo tra le Corti sviluppatosi al riguardo in tema di confisca, quale tipica sanzione amministrativa accessoria al reato di lottizzazione abusiva, su cui v. da ultimo Corte Cost., 26 marzo 2015, n. 49). Ma impon</w:t>
      </w:r>
      <w:r w:rsidR="003C1381" w:rsidRPr="00151324">
        <w:rPr>
          <w:rFonts w:ascii="Times New Roman" w:eastAsia="Times New Roman" w:hAnsi="Times New Roman" w:cs="Times New Roman"/>
          <w:kern w:val="0"/>
          <w:sz w:val="24"/>
          <w:szCs w:val="24"/>
          <w:lang w:eastAsia="it-IT"/>
        </w:rPr>
        <w:t>gono</w:t>
      </w:r>
      <w:r w:rsidR="001646D7" w:rsidRPr="00151324">
        <w:rPr>
          <w:rFonts w:ascii="Times New Roman" w:eastAsia="Times New Roman" w:hAnsi="Times New Roman" w:cs="Times New Roman"/>
          <w:kern w:val="0"/>
          <w:sz w:val="24"/>
          <w:szCs w:val="24"/>
          <w:lang w:eastAsia="it-IT"/>
        </w:rPr>
        <w:t xml:space="preserve"> una valutazione estensiva del concetto per non sottrar</w:t>
      </w:r>
      <w:r w:rsidRPr="00151324">
        <w:rPr>
          <w:rFonts w:ascii="Times New Roman" w:eastAsia="Times New Roman" w:hAnsi="Times New Roman" w:cs="Times New Roman"/>
          <w:kern w:val="0"/>
          <w:sz w:val="24"/>
          <w:szCs w:val="24"/>
          <w:lang w:eastAsia="it-IT"/>
        </w:rPr>
        <w:t>re l’applicazione di vere e proprie “sanzioni” ad</w:t>
      </w:r>
      <w:r w:rsidR="001646D7" w:rsidRPr="00151324">
        <w:rPr>
          <w:rFonts w:ascii="Times New Roman" w:eastAsia="Times New Roman" w:hAnsi="Times New Roman" w:cs="Times New Roman"/>
          <w:kern w:val="0"/>
          <w:sz w:val="24"/>
          <w:szCs w:val="24"/>
          <w:lang w:eastAsia="it-IT"/>
        </w:rPr>
        <w:t xml:space="preserve"> ineludibili requisiti sostanziali, prima ancora che a precise garanzie procedurali.</w:t>
      </w:r>
    </w:p>
    <w:p w14:paraId="26770C6F" w14:textId="2852E6E5" w:rsidR="00843E06" w:rsidRPr="00151324" w:rsidRDefault="00D2501E" w:rsidP="00151324">
      <w:pPr>
        <w:widowControl/>
        <w:shd w:val="clear" w:color="auto" w:fill="FFFFFF"/>
        <w:suppressAutoHyphens w:val="0"/>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Pe</w:t>
      </w:r>
      <w:r w:rsidR="001646D7" w:rsidRPr="00151324">
        <w:rPr>
          <w:rFonts w:ascii="Times New Roman" w:eastAsia="Times New Roman" w:hAnsi="Times New Roman" w:cs="Times New Roman"/>
          <w:kern w:val="0"/>
          <w:sz w:val="24"/>
          <w:szCs w:val="24"/>
          <w:lang w:eastAsia="it-IT"/>
        </w:rPr>
        <w:t>rché possa parlarsi di sanzione “sostanzialmente penale”</w:t>
      </w:r>
      <w:r w:rsidRPr="00151324">
        <w:rPr>
          <w:rFonts w:ascii="Times New Roman" w:eastAsia="Times New Roman" w:hAnsi="Times New Roman" w:cs="Times New Roman"/>
          <w:kern w:val="0"/>
          <w:sz w:val="24"/>
          <w:szCs w:val="24"/>
          <w:lang w:eastAsia="it-IT"/>
        </w:rPr>
        <w:t xml:space="preserve">, dunque, i requisiti vanno ricercati: </w:t>
      </w:r>
      <w:r w:rsidR="001646D7" w:rsidRPr="00151324">
        <w:rPr>
          <w:rFonts w:ascii="Times New Roman" w:eastAsia="Times New Roman" w:hAnsi="Times New Roman" w:cs="Times New Roman"/>
          <w:kern w:val="0"/>
          <w:sz w:val="24"/>
          <w:szCs w:val="24"/>
          <w:lang w:eastAsia="it-IT"/>
        </w:rPr>
        <w:t xml:space="preserve">nella qualificazione giuridica dell’illecito nel diritto nazionale, con la puntualizzazione che la stessa non è vincolante quando si accerta </w:t>
      </w:r>
      <w:r w:rsidRPr="00151324">
        <w:rPr>
          <w:rFonts w:ascii="Times New Roman" w:eastAsia="Times New Roman" w:hAnsi="Times New Roman" w:cs="Times New Roman"/>
          <w:kern w:val="0"/>
          <w:sz w:val="24"/>
          <w:szCs w:val="24"/>
          <w:lang w:eastAsia="it-IT"/>
        </w:rPr>
        <w:t xml:space="preserve">comunque </w:t>
      </w:r>
      <w:r w:rsidR="001646D7" w:rsidRPr="00151324">
        <w:rPr>
          <w:rFonts w:ascii="Times New Roman" w:eastAsia="Times New Roman" w:hAnsi="Times New Roman" w:cs="Times New Roman"/>
          <w:kern w:val="0"/>
          <w:sz w:val="24"/>
          <w:szCs w:val="24"/>
          <w:lang w:eastAsia="it-IT"/>
        </w:rPr>
        <w:t xml:space="preserve">la valenza “intrinsecamente penale” della misura; nella natura dell’illecito, desunta dall’ambito di applicazione della norma che lo prevede e dallo scopo perseguito; nel grado di severità della sanzione (sentenze 4 marzo 2014, r. n. 18640/10, resa nella causa Grande Stevens e altri c. Italia; 10 febbraio 2009, ric. n. 1439/03, resa nella causa </w:t>
      </w:r>
      <w:proofErr w:type="spellStart"/>
      <w:r w:rsidR="001646D7" w:rsidRPr="00151324">
        <w:rPr>
          <w:rFonts w:ascii="Times New Roman" w:eastAsia="Times New Roman" w:hAnsi="Times New Roman" w:cs="Times New Roman"/>
          <w:kern w:val="0"/>
          <w:sz w:val="24"/>
          <w:szCs w:val="24"/>
          <w:lang w:eastAsia="it-IT"/>
        </w:rPr>
        <w:t>Zolotoukhine</w:t>
      </w:r>
      <w:proofErr w:type="spellEnd"/>
      <w:r w:rsidR="001646D7" w:rsidRPr="00151324">
        <w:rPr>
          <w:rFonts w:ascii="Times New Roman" w:eastAsia="Times New Roman" w:hAnsi="Times New Roman" w:cs="Times New Roman"/>
          <w:kern w:val="0"/>
          <w:sz w:val="24"/>
          <w:szCs w:val="24"/>
          <w:lang w:eastAsia="it-IT"/>
        </w:rPr>
        <w:t xml:space="preserve"> c. Russia; si v. anche Corte di giustizia UE, </w:t>
      </w:r>
      <w:r w:rsidRPr="00151324">
        <w:rPr>
          <w:rFonts w:ascii="Times New Roman" w:eastAsia="Times New Roman" w:hAnsi="Times New Roman" w:cs="Times New Roman"/>
          <w:kern w:val="0"/>
          <w:sz w:val="24"/>
          <w:szCs w:val="24"/>
          <w:lang w:eastAsia="it-IT"/>
        </w:rPr>
        <w:t>G</w:t>
      </w:r>
      <w:r w:rsidR="001646D7" w:rsidRPr="00151324">
        <w:rPr>
          <w:rFonts w:ascii="Times New Roman" w:eastAsia="Times New Roman" w:hAnsi="Times New Roman" w:cs="Times New Roman"/>
          <w:kern w:val="0"/>
          <w:sz w:val="24"/>
          <w:szCs w:val="24"/>
          <w:lang w:eastAsia="it-IT"/>
        </w:rPr>
        <w:t xml:space="preserve">rande sezione, 5 giugno 2012, n. 489, nella causa C-489/10), che è determinato con riguardo alla pena massima prevista dalla legge applicabile e non </w:t>
      </w:r>
      <w:r w:rsidRPr="00151324">
        <w:rPr>
          <w:rFonts w:ascii="Times New Roman" w:eastAsia="Times New Roman" w:hAnsi="Times New Roman" w:cs="Times New Roman"/>
          <w:kern w:val="0"/>
          <w:sz w:val="24"/>
          <w:szCs w:val="24"/>
          <w:lang w:eastAsia="it-IT"/>
        </w:rPr>
        <w:t>a</w:t>
      </w:r>
      <w:r w:rsidR="001646D7" w:rsidRPr="00151324">
        <w:rPr>
          <w:rFonts w:ascii="Times New Roman" w:eastAsia="Times New Roman" w:hAnsi="Times New Roman" w:cs="Times New Roman"/>
          <w:kern w:val="0"/>
          <w:sz w:val="24"/>
          <w:szCs w:val="24"/>
          <w:lang w:eastAsia="it-IT"/>
        </w:rPr>
        <w:t xml:space="preserve"> quella concretamente applicata.</w:t>
      </w:r>
      <w:r w:rsidRPr="00151324">
        <w:rPr>
          <w:rFonts w:ascii="Times New Roman" w:eastAsia="Times New Roman" w:hAnsi="Times New Roman" w:cs="Times New Roman"/>
          <w:kern w:val="0"/>
          <w:sz w:val="24"/>
          <w:szCs w:val="24"/>
          <w:lang w:eastAsia="it-IT"/>
        </w:rPr>
        <w:t xml:space="preserve"> </w:t>
      </w:r>
      <w:r w:rsidR="001646D7" w:rsidRPr="00151324">
        <w:rPr>
          <w:rFonts w:ascii="Times New Roman" w:eastAsia="Times New Roman" w:hAnsi="Times New Roman" w:cs="Times New Roman"/>
          <w:kern w:val="0"/>
          <w:sz w:val="24"/>
          <w:szCs w:val="24"/>
          <w:lang w:eastAsia="it-IT"/>
        </w:rPr>
        <w:t xml:space="preserve">La Corte EDU, </w:t>
      </w:r>
      <w:r w:rsidRPr="00151324">
        <w:rPr>
          <w:rFonts w:ascii="Times New Roman" w:eastAsia="Times New Roman" w:hAnsi="Times New Roman" w:cs="Times New Roman"/>
          <w:kern w:val="0"/>
          <w:sz w:val="24"/>
          <w:szCs w:val="24"/>
          <w:lang w:eastAsia="it-IT"/>
        </w:rPr>
        <w:t xml:space="preserve">dunque, </w:t>
      </w:r>
      <w:r w:rsidR="001646D7" w:rsidRPr="00151324">
        <w:rPr>
          <w:rFonts w:ascii="Times New Roman" w:eastAsia="Times New Roman" w:hAnsi="Times New Roman" w:cs="Times New Roman"/>
          <w:kern w:val="0"/>
          <w:sz w:val="24"/>
          <w:szCs w:val="24"/>
          <w:lang w:eastAsia="it-IT"/>
        </w:rPr>
        <w:t>per evitare la c.d. “truffa delle etichette”, impone di guardare al di là dell’inquadramento formale e ricercare la «</w:t>
      </w:r>
      <w:r w:rsidR="001646D7" w:rsidRPr="00151324">
        <w:rPr>
          <w:rFonts w:ascii="Times New Roman" w:eastAsia="Times New Roman" w:hAnsi="Times New Roman" w:cs="Times New Roman"/>
          <w:i/>
          <w:iCs/>
          <w:kern w:val="0"/>
          <w:sz w:val="24"/>
          <w:szCs w:val="24"/>
          <w:lang w:eastAsia="it-IT"/>
        </w:rPr>
        <w:t>realtà della procedura in questione</w:t>
      </w:r>
      <w:r w:rsidR="001646D7" w:rsidRPr="00151324">
        <w:rPr>
          <w:rFonts w:ascii="Times New Roman" w:eastAsia="Times New Roman" w:hAnsi="Times New Roman" w:cs="Times New Roman"/>
          <w:kern w:val="0"/>
          <w:sz w:val="24"/>
          <w:szCs w:val="24"/>
          <w:lang w:eastAsia="it-IT"/>
        </w:rPr>
        <w:t xml:space="preserve">» (Corte EDU, 27 febbraio 1980, caso 6903/75, </w:t>
      </w:r>
      <w:proofErr w:type="spellStart"/>
      <w:r w:rsidR="001646D7" w:rsidRPr="00151324">
        <w:rPr>
          <w:rFonts w:ascii="Times New Roman" w:eastAsia="Times New Roman" w:hAnsi="Times New Roman" w:cs="Times New Roman"/>
          <w:kern w:val="0"/>
          <w:sz w:val="24"/>
          <w:szCs w:val="24"/>
          <w:lang w:eastAsia="it-IT"/>
        </w:rPr>
        <w:t>Deweer</w:t>
      </w:r>
      <w:proofErr w:type="spellEnd"/>
      <w:r w:rsidR="001646D7" w:rsidRPr="00151324">
        <w:rPr>
          <w:rFonts w:ascii="Times New Roman" w:eastAsia="Times New Roman" w:hAnsi="Times New Roman" w:cs="Times New Roman"/>
          <w:kern w:val="0"/>
          <w:sz w:val="24"/>
          <w:szCs w:val="24"/>
          <w:lang w:eastAsia="it-IT"/>
        </w:rPr>
        <w:t xml:space="preserve"> v. </w:t>
      </w:r>
      <w:proofErr w:type="spellStart"/>
      <w:r w:rsidR="001646D7" w:rsidRPr="00151324">
        <w:rPr>
          <w:rFonts w:ascii="Times New Roman" w:eastAsia="Times New Roman" w:hAnsi="Times New Roman" w:cs="Times New Roman"/>
          <w:kern w:val="0"/>
          <w:sz w:val="24"/>
          <w:szCs w:val="24"/>
          <w:lang w:eastAsia="it-IT"/>
        </w:rPr>
        <w:t>Belgium</w:t>
      </w:r>
      <w:proofErr w:type="spellEnd"/>
      <w:r w:rsidR="001646D7" w:rsidRPr="00151324">
        <w:rPr>
          <w:rFonts w:ascii="Times New Roman" w:eastAsia="Times New Roman" w:hAnsi="Times New Roman" w:cs="Times New Roman"/>
          <w:kern w:val="0"/>
          <w:sz w:val="24"/>
          <w:szCs w:val="24"/>
          <w:lang w:eastAsia="it-IT"/>
        </w:rPr>
        <w:t xml:space="preserve">, par. 44). </w:t>
      </w:r>
      <w:r w:rsidRPr="00151324">
        <w:rPr>
          <w:rFonts w:ascii="Times New Roman" w:eastAsia="Times New Roman" w:hAnsi="Times New Roman" w:cs="Times New Roman"/>
          <w:kern w:val="0"/>
          <w:sz w:val="24"/>
          <w:szCs w:val="24"/>
          <w:lang w:eastAsia="it-IT"/>
        </w:rPr>
        <w:t>In tale ottica, a</w:t>
      </w:r>
      <w:r w:rsidR="001646D7" w:rsidRPr="00151324">
        <w:rPr>
          <w:rFonts w:ascii="Times New Roman" w:eastAsia="Times New Roman" w:hAnsi="Times New Roman" w:cs="Times New Roman"/>
          <w:kern w:val="0"/>
          <w:sz w:val="24"/>
          <w:szCs w:val="24"/>
          <w:lang w:eastAsia="it-IT"/>
        </w:rPr>
        <w:t xml:space="preserve">ssume rilievo la circostanza che la previsione sanzionatoria si rivolga ad una generalità di soggetti </w:t>
      </w:r>
      <w:r w:rsidRPr="00151324">
        <w:rPr>
          <w:rFonts w:ascii="Times New Roman" w:eastAsia="Times New Roman" w:hAnsi="Times New Roman" w:cs="Times New Roman"/>
          <w:kern w:val="0"/>
          <w:sz w:val="24"/>
          <w:szCs w:val="24"/>
          <w:lang w:eastAsia="it-IT"/>
        </w:rPr>
        <w:t xml:space="preserve">–il che è escluso, ad esempio, per la </w:t>
      </w:r>
      <w:r w:rsidR="001646D7" w:rsidRPr="00151324">
        <w:rPr>
          <w:rFonts w:ascii="Times New Roman" w:eastAsia="Times New Roman" w:hAnsi="Times New Roman" w:cs="Times New Roman"/>
          <w:kern w:val="0"/>
          <w:sz w:val="24"/>
          <w:szCs w:val="24"/>
          <w:lang w:eastAsia="it-IT"/>
        </w:rPr>
        <w:t>sanzione disciplinare- e che abbia un contenuto afflittivo e una funzione deterrente</w:t>
      </w:r>
      <w:r w:rsidRPr="00151324">
        <w:rPr>
          <w:rFonts w:ascii="Times New Roman" w:eastAsia="Times New Roman" w:hAnsi="Times New Roman" w:cs="Times New Roman"/>
          <w:kern w:val="0"/>
          <w:sz w:val="24"/>
          <w:szCs w:val="24"/>
          <w:lang w:eastAsia="it-IT"/>
        </w:rPr>
        <w:t>, requisiti questi che s</w:t>
      </w:r>
      <w:r w:rsidR="001646D7" w:rsidRPr="00151324">
        <w:rPr>
          <w:rFonts w:ascii="Times New Roman" w:eastAsia="Times New Roman" w:hAnsi="Times New Roman" w:cs="Times New Roman"/>
          <w:kern w:val="0"/>
          <w:sz w:val="24"/>
          <w:szCs w:val="24"/>
          <w:lang w:eastAsia="it-IT"/>
        </w:rPr>
        <w:t>econdo la costante giurisprudenza di Strasburgo</w:t>
      </w:r>
      <w:r w:rsidRPr="00151324">
        <w:rPr>
          <w:rFonts w:ascii="Times New Roman" w:eastAsia="Times New Roman" w:hAnsi="Times New Roman" w:cs="Times New Roman"/>
          <w:kern w:val="0"/>
          <w:sz w:val="24"/>
          <w:szCs w:val="24"/>
          <w:lang w:eastAsia="it-IT"/>
        </w:rPr>
        <w:t xml:space="preserve"> </w:t>
      </w:r>
      <w:r w:rsidR="001646D7" w:rsidRPr="00151324">
        <w:rPr>
          <w:rFonts w:ascii="Times New Roman" w:eastAsia="Times New Roman" w:hAnsi="Times New Roman" w:cs="Times New Roman"/>
          <w:kern w:val="0"/>
          <w:sz w:val="24"/>
          <w:szCs w:val="24"/>
          <w:lang w:eastAsia="it-IT"/>
        </w:rPr>
        <w:t xml:space="preserve">sono tra loro alternativi e non cumulativi. Sicché, da un lato, la gravità (severità) può </w:t>
      </w:r>
      <w:r w:rsidRPr="00151324">
        <w:rPr>
          <w:rFonts w:ascii="Times New Roman" w:eastAsia="Times New Roman" w:hAnsi="Times New Roman" w:cs="Times New Roman"/>
          <w:kern w:val="0"/>
          <w:sz w:val="24"/>
          <w:szCs w:val="24"/>
          <w:lang w:eastAsia="it-IT"/>
        </w:rPr>
        <w:t xml:space="preserve">non rilevare, ove la </w:t>
      </w:r>
      <w:r w:rsidR="001646D7" w:rsidRPr="00151324">
        <w:rPr>
          <w:rFonts w:ascii="Times New Roman" w:eastAsia="Times New Roman" w:hAnsi="Times New Roman" w:cs="Times New Roman"/>
          <w:kern w:val="0"/>
          <w:sz w:val="24"/>
          <w:szCs w:val="24"/>
          <w:lang w:eastAsia="it-IT"/>
        </w:rPr>
        <w:t xml:space="preserve"> sanzione abbia in sé stessa una inequivoca funzione deterrente e punitiva; dall’altro, entro certi limiti, anche una misura nella quale il carattere afflittivo non sia prevalente (o addirittura manchi), ma che </w:t>
      </w:r>
      <w:r w:rsidRPr="00151324">
        <w:rPr>
          <w:rFonts w:ascii="Times New Roman" w:eastAsia="Times New Roman" w:hAnsi="Times New Roman" w:cs="Times New Roman"/>
          <w:kern w:val="0"/>
          <w:sz w:val="24"/>
          <w:szCs w:val="24"/>
          <w:lang w:eastAsia="it-IT"/>
        </w:rPr>
        <w:t xml:space="preserve">comporti </w:t>
      </w:r>
      <w:r w:rsidR="001646D7" w:rsidRPr="00151324">
        <w:rPr>
          <w:rFonts w:ascii="Times New Roman" w:eastAsia="Times New Roman" w:hAnsi="Times New Roman" w:cs="Times New Roman"/>
          <w:kern w:val="0"/>
          <w:sz w:val="24"/>
          <w:szCs w:val="24"/>
          <w:lang w:eastAsia="it-IT"/>
        </w:rPr>
        <w:t xml:space="preserve">conseguenze </w:t>
      </w:r>
      <w:r w:rsidR="00C60E0B" w:rsidRPr="00151324">
        <w:rPr>
          <w:rFonts w:ascii="Times New Roman" w:eastAsia="Times New Roman" w:hAnsi="Times New Roman" w:cs="Times New Roman"/>
          <w:kern w:val="0"/>
          <w:sz w:val="24"/>
          <w:szCs w:val="24"/>
          <w:lang w:eastAsia="it-IT"/>
        </w:rPr>
        <w:t xml:space="preserve">di una certa </w:t>
      </w:r>
      <w:r w:rsidR="001646D7" w:rsidRPr="00151324">
        <w:rPr>
          <w:rFonts w:ascii="Times New Roman" w:eastAsia="Times New Roman" w:hAnsi="Times New Roman" w:cs="Times New Roman"/>
          <w:kern w:val="0"/>
          <w:sz w:val="24"/>
          <w:szCs w:val="24"/>
          <w:lang w:eastAsia="it-IT"/>
        </w:rPr>
        <w:t>gravi</w:t>
      </w:r>
      <w:r w:rsidR="00C60E0B" w:rsidRPr="00151324">
        <w:rPr>
          <w:rFonts w:ascii="Times New Roman" w:eastAsia="Times New Roman" w:hAnsi="Times New Roman" w:cs="Times New Roman"/>
          <w:kern w:val="0"/>
          <w:sz w:val="24"/>
          <w:szCs w:val="24"/>
          <w:lang w:eastAsia="it-IT"/>
        </w:rPr>
        <w:t>tà</w:t>
      </w:r>
      <w:r w:rsidR="001646D7" w:rsidRPr="00151324">
        <w:rPr>
          <w:rFonts w:ascii="Times New Roman" w:eastAsia="Times New Roman" w:hAnsi="Times New Roman" w:cs="Times New Roman"/>
          <w:kern w:val="0"/>
          <w:sz w:val="24"/>
          <w:szCs w:val="24"/>
          <w:lang w:eastAsia="it-IT"/>
        </w:rPr>
        <w:t xml:space="preserve"> per il destinatario, può essere considerata di natura penale e, quindi, rientrare nel</w:t>
      </w:r>
      <w:r w:rsidR="00C60E0B" w:rsidRPr="00151324">
        <w:rPr>
          <w:rFonts w:ascii="Times New Roman" w:eastAsia="Times New Roman" w:hAnsi="Times New Roman" w:cs="Times New Roman"/>
          <w:kern w:val="0"/>
          <w:sz w:val="24"/>
          <w:szCs w:val="24"/>
          <w:lang w:eastAsia="it-IT"/>
        </w:rPr>
        <w:t xml:space="preserve"> perimetro di applicazione </w:t>
      </w:r>
      <w:r w:rsidR="001646D7" w:rsidRPr="00151324">
        <w:rPr>
          <w:rFonts w:ascii="Times New Roman" w:eastAsia="Times New Roman" w:hAnsi="Times New Roman" w:cs="Times New Roman"/>
          <w:kern w:val="0"/>
          <w:sz w:val="24"/>
          <w:szCs w:val="24"/>
          <w:lang w:eastAsia="it-IT"/>
        </w:rPr>
        <w:t>dell’art. 6 CEDU</w:t>
      </w:r>
      <w:r w:rsidR="00C60E0B" w:rsidRPr="00151324">
        <w:rPr>
          <w:rFonts w:ascii="Times New Roman" w:eastAsia="Times New Roman" w:hAnsi="Times New Roman" w:cs="Times New Roman"/>
          <w:kern w:val="0"/>
          <w:sz w:val="24"/>
          <w:szCs w:val="24"/>
          <w:lang w:eastAsia="it-IT"/>
        </w:rPr>
        <w:t>, che costituisce la cartina di tornasole alla stregua della quale è stata evidentemente delineata la cornice sopra tratteggiata. P</w:t>
      </w:r>
      <w:r w:rsidR="001646D7" w:rsidRPr="00151324">
        <w:rPr>
          <w:rFonts w:ascii="Times New Roman" w:eastAsia="Times New Roman" w:hAnsi="Times New Roman" w:cs="Times New Roman"/>
          <w:kern w:val="0"/>
          <w:sz w:val="24"/>
          <w:szCs w:val="24"/>
          <w:lang w:eastAsia="it-IT"/>
        </w:rPr>
        <w:t>ertanto, anche provvedimenti di carattere interdittivo o ripristinatorio comunemente ritenuti espressione di un generico potere ablatorio possono, a certe condizioni, ricadere nella nozione di «accusa penale» di cui a</w:t>
      </w:r>
      <w:r w:rsidR="00C60E0B" w:rsidRPr="00151324">
        <w:rPr>
          <w:rFonts w:ascii="Times New Roman" w:eastAsia="Times New Roman" w:hAnsi="Times New Roman" w:cs="Times New Roman"/>
          <w:kern w:val="0"/>
          <w:sz w:val="24"/>
          <w:szCs w:val="24"/>
          <w:lang w:eastAsia="it-IT"/>
        </w:rPr>
        <w:t xml:space="preserve"> ridetto </w:t>
      </w:r>
      <w:r w:rsidR="001646D7" w:rsidRPr="00151324">
        <w:rPr>
          <w:rFonts w:ascii="Times New Roman" w:eastAsia="Times New Roman" w:hAnsi="Times New Roman" w:cs="Times New Roman"/>
          <w:kern w:val="0"/>
          <w:sz w:val="24"/>
          <w:szCs w:val="24"/>
          <w:lang w:eastAsia="it-IT"/>
        </w:rPr>
        <w:t>art. 6 della Carta EDU (Corte EDU, 24 aprile 2012, caso n. 1051/06, Mihai Toma v. Romania, par. 26; </w:t>
      </w:r>
      <w:r w:rsidR="001646D7" w:rsidRPr="00151324">
        <w:rPr>
          <w:rFonts w:ascii="Times New Roman" w:eastAsia="Times New Roman" w:hAnsi="Times New Roman" w:cs="Times New Roman"/>
          <w:i/>
          <w:iCs/>
          <w:kern w:val="0"/>
          <w:sz w:val="24"/>
          <w:szCs w:val="24"/>
          <w:lang w:eastAsia="it-IT"/>
        </w:rPr>
        <w:t>id.</w:t>
      </w:r>
      <w:r w:rsidR="001646D7" w:rsidRPr="00151324">
        <w:rPr>
          <w:rFonts w:ascii="Times New Roman" w:eastAsia="Times New Roman" w:hAnsi="Times New Roman" w:cs="Times New Roman"/>
          <w:kern w:val="0"/>
          <w:sz w:val="24"/>
          <w:szCs w:val="24"/>
          <w:lang w:eastAsia="it-IT"/>
        </w:rPr>
        <w:t xml:space="preserve">, 30 maggio 2006, caso n. 38184/03, </w:t>
      </w:r>
      <w:proofErr w:type="spellStart"/>
      <w:r w:rsidR="001646D7" w:rsidRPr="00151324">
        <w:rPr>
          <w:rFonts w:ascii="Times New Roman" w:eastAsia="Times New Roman" w:hAnsi="Times New Roman" w:cs="Times New Roman"/>
          <w:kern w:val="0"/>
          <w:sz w:val="24"/>
          <w:szCs w:val="24"/>
          <w:lang w:eastAsia="it-IT"/>
        </w:rPr>
        <w:t>Matyjec</w:t>
      </w:r>
      <w:proofErr w:type="spellEnd"/>
      <w:r w:rsidR="001646D7" w:rsidRPr="00151324">
        <w:rPr>
          <w:rFonts w:ascii="Times New Roman" w:eastAsia="Times New Roman" w:hAnsi="Times New Roman" w:cs="Times New Roman"/>
          <w:kern w:val="0"/>
          <w:sz w:val="24"/>
          <w:szCs w:val="24"/>
          <w:lang w:eastAsia="it-IT"/>
        </w:rPr>
        <w:t xml:space="preserve"> v. </w:t>
      </w:r>
      <w:proofErr w:type="spellStart"/>
      <w:r w:rsidR="001646D7" w:rsidRPr="00151324">
        <w:rPr>
          <w:rFonts w:ascii="Times New Roman" w:eastAsia="Times New Roman" w:hAnsi="Times New Roman" w:cs="Times New Roman"/>
          <w:kern w:val="0"/>
          <w:sz w:val="24"/>
          <w:szCs w:val="24"/>
          <w:lang w:eastAsia="it-IT"/>
        </w:rPr>
        <w:t>Polland</w:t>
      </w:r>
      <w:proofErr w:type="spellEnd"/>
      <w:r w:rsidR="001646D7" w:rsidRPr="00151324">
        <w:rPr>
          <w:rFonts w:ascii="Times New Roman" w:eastAsia="Times New Roman" w:hAnsi="Times New Roman" w:cs="Times New Roman"/>
          <w:kern w:val="0"/>
          <w:sz w:val="24"/>
          <w:szCs w:val="24"/>
          <w:lang w:eastAsia="it-IT"/>
        </w:rPr>
        <w:t>, par. 58)</w:t>
      </w:r>
      <w:r w:rsidR="00D3403F" w:rsidRPr="00151324">
        <w:rPr>
          <w:rStyle w:val="Rimandonotaapidipagina"/>
          <w:rFonts w:ascii="Times New Roman" w:eastAsia="Times New Roman" w:hAnsi="Times New Roman" w:cs="Times New Roman"/>
          <w:kern w:val="0"/>
          <w:sz w:val="24"/>
          <w:szCs w:val="24"/>
          <w:lang w:eastAsia="it-IT"/>
        </w:rPr>
        <w:footnoteReference w:id="13"/>
      </w:r>
      <w:r w:rsidR="001646D7" w:rsidRPr="00151324">
        <w:rPr>
          <w:rFonts w:ascii="Times New Roman" w:eastAsia="Times New Roman" w:hAnsi="Times New Roman" w:cs="Times New Roman"/>
          <w:kern w:val="0"/>
          <w:sz w:val="24"/>
          <w:szCs w:val="24"/>
          <w:lang w:eastAsia="it-IT"/>
        </w:rPr>
        <w:t>.</w:t>
      </w:r>
    </w:p>
    <w:p w14:paraId="4024CAAD" w14:textId="77777777" w:rsidR="000B3674" w:rsidRPr="00151324" w:rsidRDefault="000E733B" w:rsidP="00151324">
      <w:pPr>
        <w:widowControl/>
        <w:shd w:val="clear" w:color="auto" w:fill="FFFFFF"/>
        <w:suppressAutoHyphens w:val="0"/>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 xml:space="preserve">Di particolare sensibilità il tema della necessità dell’elemento psicologico dell’illecito, ovvero della necessaria colpevolezza del suo autore o comunque del </w:t>
      </w:r>
      <w:r w:rsidR="000B3674" w:rsidRPr="00151324">
        <w:rPr>
          <w:rFonts w:ascii="Times New Roman" w:eastAsia="Times New Roman" w:hAnsi="Times New Roman" w:cs="Times New Roman"/>
          <w:kern w:val="0"/>
          <w:sz w:val="24"/>
          <w:szCs w:val="24"/>
          <w:lang w:eastAsia="it-IT"/>
        </w:rPr>
        <w:t xml:space="preserve">soggetto individuato come </w:t>
      </w:r>
      <w:r w:rsidRPr="00151324">
        <w:rPr>
          <w:rFonts w:ascii="Times New Roman" w:eastAsia="Times New Roman" w:hAnsi="Times New Roman" w:cs="Times New Roman"/>
          <w:kern w:val="0"/>
          <w:sz w:val="24"/>
          <w:szCs w:val="24"/>
          <w:lang w:eastAsia="it-IT"/>
        </w:rPr>
        <w:t>destinatario della sanzione</w:t>
      </w:r>
      <w:r w:rsidR="000B3674" w:rsidRPr="00151324">
        <w:rPr>
          <w:rFonts w:ascii="Times New Roman" w:eastAsia="Times New Roman" w:hAnsi="Times New Roman" w:cs="Times New Roman"/>
          <w:kern w:val="0"/>
          <w:sz w:val="24"/>
          <w:szCs w:val="24"/>
          <w:lang w:eastAsia="it-IT"/>
        </w:rPr>
        <w:t>, affinché la stessa possa essergli legittimamente imposta</w:t>
      </w:r>
      <w:r w:rsidRPr="00151324">
        <w:rPr>
          <w:rFonts w:ascii="Times New Roman" w:eastAsia="Times New Roman" w:hAnsi="Times New Roman" w:cs="Times New Roman"/>
          <w:kern w:val="0"/>
          <w:sz w:val="24"/>
          <w:szCs w:val="24"/>
          <w:lang w:eastAsia="it-IT"/>
        </w:rPr>
        <w:t xml:space="preserve">. </w:t>
      </w:r>
    </w:p>
    <w:p w14:paraId="5E802C35" w14:textId="14E8C0BB" w:rsidR="000E733B" w:rsidRPr="00151324" w:rsidRDefault="000E733B" w:rsidP="00151324">
      <w:pPr>
        <w:widowControl/>
        <w:shd w:val="clear" w:color="auto" w:fill="FFFFFF"/>
        <w:suppressAutoHyphens w:val="0"/>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 xml:space="preserve">La questione ha assunto un notevole rilievo </w:t>
      </w:r>
      <w:r w:rsidR="00BE370D">
        <w:rPr>
          <w:rFonts w:ascii="Times New Roman" w:eastAsia="Times New Roman" w:hAnsi="Times New Roman" w:cs="Times New Roman"/>
          <w:kern w:val="0"/>
          <w:sz w:val="24"/>
          <w:szCs w:val="24"/>
          <w:lang w:eastAsia="it-IT"/>
        </w:rPr>
        <w:t xml:space="preserve">ancora una volta </w:t>
      </w:r>
      <w:r w:rsidRPr="00151324">
        <w:rPr>
          <w:rFonts w:ascii="Times New Roman" w:eastAsia="Times New Roman" w:hAnsi="Times New Roman" w:cs="Times New Roman"/>
          <w:kern w:val="0"/>
          <w:sz w:val="24"/>
          <w:szCs w:val="24"/>
          <w:lang w:eastAsia="it-IT"/>
        </w:rPr>
        <w:t xml:space="preserve">in materia di illecito urbanistico-edilizio, con riferimento in particolare alla confisca quale conseguenza della lottizzazione abusiva, ma non solo. </w:t>
      </w:r>
    </w:p>
    <w:p w14:paraId="762CD387" w14:textId="77777777" w:rsidR="00843E06" w:rsidRPr="00151324" w:rsidRDefault="000E733B" w:rsidP="00151324">
      <w:pPr>
        <w:widowControl/>
        <w:shd w:val="clear" w:color="auto" w:fill="FFFFFF"/>
        <w:suppressAutoHyphens w:val="0"/>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A</w:t>
      </w:r>
      <w:r w:rsidR="00C60E0B" w:rsidRPr="00151324">
        <w:rPr>
          <w:rFonts w:ascii="Times New Roman" w:eastAsia="Times New Roman" w:hAnsi="Times New Roman" w:cs="Times New Roman"/>
          <w:kern w:val="0"/>
          <w:sz w:val="24"/>
          <w:szCs w:val="24"/>
          <w:lang w:eastAsia="it-IT"/>
        </w:rPr>
        <w:t xml:space="preserve">ttingendo ancora ai suggerimenti della Corte EDU riferiti, questa volta, all’art. 7 della Convenzione, va ricordato come pronunciandosi </w:t>
      </w:r>
      <w:r w:rsidR="001646D7" w:rsidRPr="00151324">
        <w:rPr>
          <w:rFonts w:ascii="Times New Roman" w:eastAsia="Times New Roman" w:hAnsi="Times New Roman" w:cs="Times New Roman"/>
          <w:kern w:val="0"/>
          <w:sz w:val="24"/>
          <w:szCs w:val="24"/>
          <w:lang w:eastAsia="it-IT"/>
        </w:rPr>
        <w:t>sull’</w:t>
      </w:r>
      <w:r w:rsidR="001646D7" w:rsidRPr="00151324">
        <w:rPr>
          <w:rFonts w:ascii="Times New Roman" w:eastAsia="Times New Roman" w:hAnsi="Times New Roman" w:cs="Times New Roman"/>
          <w:i/>
          <w:iCs/>
          <w:kern w:val="0"/>
          <w:sz w:val="24"/>
          <w:szCs w:val="24"/>
          <w:lang w:eastAsia="it-IT"/>
        </w:rPr>
        <w:t>affaire</w:t>
      </w:r>
      <w:r w:rsidR="001646D7" w:rsidRPr="00151324">
        <w:rPr>
          <w:rFonts w:ascii="Times New Roman" w:eastAsia="Times New Roman" w:hAnsi="Times New Roman" w:cs="Times New Roman"/>
          <w:kern w:val="0"/>
          <w:sz w:val="24"/>
          <w:szCs w:val="24"/>
          <w:lang w:eastAsia="it-IT"/>
        </w:rPr>
        <w:t> di Punta Perotti</w:t>
      </w:r>
      <w:r w:rsidR="00C60E0B" w:rsidRPr="00151324">
        <w:rPr>
          <w:rFonts w:ascii="Times New Roman" w:eastAsia="Times New Roman" w:hAnsi="Times New Roman" w:cs="Times New Roman"/>
          <w:kern w:val="0"/>
          <w:sz w:val="24"/>
          <w:szCs w:val="24"/>
          <w:lang w:eastAsia="it-IT"/>
        </w:rPr>
        <w:t xml:space="preserve">, si sia fatta </w:t>
      </w:r>
      <w:r w:rsidR="001646D7" w:rsidRPr="00151324">
        <w:rPr>
          <w:rFonts w:ascii="Times New Roman" w:eastAsia="Times New Roman" w:hAnsi="Times New Roman" w:cs="Times New Roman"/>
          <w:kern w:val="0"/>
          <w:sz w:val="24"/>
          <w:szCs w:val="24"/>
          <w:lang w:eastAsia="it-IT"/>
        </w:rPr>
        <w:t>leva sulla presenza del sintagma «</w:t>
      </w:r>
      <w:r w:rsidR="001646D7" w:rsidRPr="00BE370D">
        <w:rPr>
          <w:rFonts w:ascii="Times New Roman" w:eastAsia="Times New Roman" w:hAnsi="Times New Roman" w:cs="Times New Roman"/>
          <w:i/>
          <w:kern w:val="0"/>
          <w:sz w:val="24"/>
          <w:szCs w:val="24"/>
          <w:lang w:eastAsia="it-IT"/>
        </w:rPr>
        <w:t>persona colpevole</w:t>
      </w:r>
      <w:r w:rsidR="001646D7" w:rsidRPr="00151324">
        <w:rPr>
          <w:rFonts w:ascii="Times New Roman" w:eastAsia="Times New Roman" w:hAnsi="Times New Roman" w:cs="Times New Roman"/>
          <w:kern w:val="0"/>
          <w:sz w:val="24"/>
          <w:szCs w:val="24"/>
          <w:lang w:eastAsia="it-IT"/>
        </w:rPr>
        <w:t>» nelle versioni inglese e francese dell</w:t>
      </w:r>
      <w:r w:rsidR="00C60E0B" w:rsidRPr="00151324">
        <w:rPr>
          <w:rFonts w:ascii="Times New Roman" w:eastAsia="Times New Roman" w:hAnsi="Times New Roman" w:cs="Times New Roman"/>
          <w:kern w:val="0"/>
          <w:sz w:val="24"/>
          <w:szCs w:val="24"/>
          <w:lang w:eastAsia="it-IT"/>
        </w:rPr>
        <w:t>a norma</w:t>
      </w:r>
      <w:r w:rsidRPr="00151324">
        <w:rPr>
          <w:rFonts w:ascii="Times New Roman" w:eastAsia="Times New Roman" w:hAnsi="Times New Roman" w:cs="Times New Roman"/>
          <w:kern w:val="0"/>
          <w:sz w:val="24"/>
          <w:szCs w:val="24"/>
          <w:lang w:eastAsia="it-IT"/>
        </w:rPr>
        <w:t xml:space="preserve"> per richiedere com</w:t>
      </w:r>
      <w:r w:rsidR="00C60E0B" w:rsidRPr="00151324">
        <w:rPr>
          <w:rFonts w:ascii="Times New Roman" w:eastAsia="Times New Roman" w:hAnsi="Times New Roman" w:cs="Times New Roman"/>
          <w:kern w:val="0"/>
          <w:sz w:val="24"/>
          <w:szCs w:val="24"/>
          <w:lang w:eastAsia="it-IT"/>
        </w:rPr>
        <w:t>unque</w:t>
      </w:r>
      <w:r w:rsidR="001646D7" w:rsidRPr="00151324">
        <w:rPr>
          <w:rFonts w:ascii="Times New Roman" w:eastAsia="Times New Roman" w:hAnsi="Times New Roman" w:cs="Times New Roman"/>
          <w:kern w:val="0"/>
          <w:sz w:val="24"/>
          <w:szCs w:val="24"/>
          <w:lang w:eastAsia="it-IT"/>
        </w:rPr>
        <w:t xml:space="preserve"> un criterio d’imputabilità soggettiva dell’illecito</w:t>
      </w:r>
      <w:r w:rsidRPr="00151324">
        <w:rPr>
          <w:rFonts w:ascii="Times New Roman" w:eastAsia="Times New Roman" w:hAnsi="Times New Roman" w:cs="Times New Roman"/>
          <w:kern w:val="0"/>
          <w:sz w:val="24"/>
          <w:szCs w:val="24"/>
          <w:lang w:eastAsia="it-IT"/>
        </w:rPr>
        <w:t xml:space="preserve"> laddove </w:t>
      </w:r>
      <w:r w:rsidR="001646D7" w:rsidRPr="00151324">
        <w:rPr>
          <w:rFonts w:ascii="Times New Roman" w:eastAsia="Times New Roman" w:hAnsi="Times New Roman" w:cs="Times New Roman"/>
          <w:kern w:val="0"/>
          <w:sz w:val="24"/>
          <w:szCs w:val="24"/>
          <w:lang w:eastAsia="it-IT"/>
        </w:rPr>
        <w:t xml:space="preserve">soggetto a sanzione penale (Corte EDU, sez. II, 20 gennaio 2009, caso n. 75909/01, Sud Fondi s.r.l. e altri c. Italia, par. 116). </w:t>
      </w:r>
    </w:p>
    <w:p w14:paraId="30BBDFEC" w14:textId="6D54BA5C" w:rsidR="00CF157B" w:rsidRPr="00151324" w:rsidRDefault="000E733B"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eastAsia="Times New Roman" w:hAnsi="Times New Roman" w:cs="Times New Roman"/>
          <w:kern w:val="0"/>
          <w:sz w:val="24"/>
          <w:szCs w:val="24"/>
          <w:lang w:eastAsia="it-IT"/>
        </w:rPr>
        <w:t xml:space="preserve">La natura </w:t>
      </w:r>
      <w:r w:rsidR="000E048E" w:rsidRPr="00151324">
        <w:rPr>
          <w:rFonts w:ascii="Times New Roman" w:eastAsia="Times New Roman" w:hAnsi="Times New Roman" w:cs="Times New Roman"/>
          <w:kern w:val="0"/>
          <w:sz w:val="24"/>
          <w:szCs w:val="24"/>
          <w:lang w:eastAsia="it-IT"/>
        </w:rPr>
        <w:t xml:space="preserve">“reale” delle sanzioni </w:t>
      </w:r>
      <w:r w:rsidR="00C21CF2" w:rsidRPr="00151324">
        <w:rPr>
          <w:rFonts w:ascii="Times New Roman" w:eastAsia="Times New Roman" w:hAnsi="Times New Roman" w:cs="Times New Roman"/>
          <w:kern w:val="0"/>
          <w:sz w:val="24"/>
          <w:szCs w:val="24"/>
          <w:lang w:eastAsia="it-IT"/>
        </w:rPr>
        <w:t>amministrative edilizie</w:t>
      </w:r>
      <w:r w:rsidR="00C21CF2" w:rsidRPr="00151324">
        <w:rPr>
          <w:rStyle w:val="Rimandonotaapidipagina"/>
          <w:rFonts w:ascii="Times New Roman" w:eastAsia="Times New Roman" w:hAnsi="Times New Roman" w:cs="Times New Roman"/>
          <w:kern w:val="0"/>
          <w:sz w:val="24"/>
          <w:szCs w:val="24"/>
          <w:lang w:eastAsia="it-IT"/>
        </w:rPr>
        <w:footnoteReference w:id="14"/>
      </w:r>
      <w:r w:rsidRPr="00151324">
        <w:rPr>
          <w:rFonts w:ascii="Times New Roman" w:eastAsia="Times New Roman" w:hAnsi="Times New Roman" w:cs="Times New Roman"/>
          <w:kern w:val="0"/>
          <w:sz w:val="24"/>
          <w:szCs w:val="24"/>
          <w:lang w:eastAsia="it-IT"/>
        </w:rPr>
        <w:t xml:space="preserve">ha tuttavia portato la giurisprudenza nazionale a </w:t>
      </w:r>
      <w:r w:rsidR="000E048E" w:rsidRPr="00151324">
        <w:rPr>
          <w:rFonts w:ascii="Times New Roman" w:eastAsia="Times New Roman" w:hAnsi="Times New Roman" w:cs="Times New Roman"/>
          <w:kern w:val="0"/>
          <w:sz w:val="24"/>
          <w:szCs w:val="24"/>
          <w:lang w:eastAsia="it-IT"/>
        </w:rPr>
        <w:t>prescindere dallo scrutinio dell’elemento psicologico, ritenendo</w:t>
      </w:r>
      <w:r w:rsidR="00843E06" w:rsidRPr="00151324">
        <w:rPr>
          <w:rFonts w:ascii="Times New Roman" w:eastAsia="Times New Roman" w:hAnsi="Times New Roman" w:cs="Times New Roman"/>
          <w:kern w:val="0"/>
          <w:sz w:val="24"/>
          <w:szCs w:val="24"/>
          <w:lang w:eastAsia="it-IT"/>
        </w:rPr>
        <w:t>, ad esempio,</w:t>
      </w:r>
      <w:r w:rsidR="000E048E" w:rsidRPr="00151324">
        <w:rPr>
          <w:rFonts w:ascii="Times New Roman" w:eastAsia="Times New Roman" w:hAnsi="Times New Roman" w:cs="Times New Roman"/>
          <w:kern w:val="0"/>
          <w:sz w:val="24"/>
          <w:szCs w:val="24"/>
          <w:lang w:eastAsia="it-IT"/>
        </w:rPr>
        <w:t xml:space="preserve"> che la fattispecie </w:t>
      </w:r>
      <w:r w:rsidR="00843E06" w:rsidRPr="00151324">
        <w:rPr>
          <w:rFonts w:ascii="Times New Roman" w:eastAsia="Times New Roman" w:hAnsi="Times New Roman" w:cs="Times New Roman"/>
          <w:kern w:val="0"/>
          <w:sz w:val="24"/>
          <w:szCs w:val="24"/>
          <w:lang w:eastAsia="it-IT"/>
        </w:rPr>
        <w:t xml:space="preserve">di lottizzazione abusiva </w:t>
      </w:r>
      <w:r w:rsidR="000E048E" w:rsidRPr="00151324">
        <w:rPr>
          <w:rFonts w:ascii="Times New Roman" w:eastAsia="Times New Roman" w:hAnsi="Times New Roman" w:cs="Times New Roman"/>
          <w:kern w:val="0"/>
          <w:sz w:val="24"/>
          <w:szCs w:val="24"/>
          <w:lang w:eastAsia="it-IT"/>
        </w:rPr>
        <w:t xml:space="preserve">rilevi </w:t>
      </w:r>
      <w:r w:rsidR="000E048E" w:rsidRPr="00151324">
        <w:rPr>
          <w:rFonts w:ascii="Times New Roman" w:hAnsi="Times New Roman" w:cs="Times New Roman"/>
          <w:sz w:val="24"/>
          <w:szCs w:val="24"/>
        </w:rPr>
        <w:t>in modo oggettivo e indipendentemente dall’</w:t>
      </w:r>
      <w:r w:rsidR="000E048E" w:rsidRPr="00151324">
        <w:rPr>
          <w:rFonts w:ascii="Times New Roman" w:hAnsi="Times New Roman" w:cs="Times New Roman"/>
          <w:i/>
          <w:iCs/>
          <w:sz w:val="24"/>
          <w:szCs w:val="24"/>
        </w:rPr>
        <w:t>animus</w:t>
      </w:r>
      <w:r w:rsidR="000E048E" w:rsidRPr="00151324">
        <w:rPr>
          <w:rFonts w:ascii="Times New Roman" w:hAnsi="Times New Roman" w:cs="Times New Roman"/>
          <w:sz w:val="24"/>
          <w:szCs w:val="24"/>
        </w:rPr>
        <w:t xml:space="preserve"> dei proprietari interessati, i quali, sussistendone i presupposti, potranno far valere la propria buona fede nei rapporti interni e di natura civilistica con i propri danti causa (cfr., </w:t>
      </w:r>
      <w:r w:rsidR="000E048E" w:rsidRPr="00151324">
        <w:rPr>
          <w:rFonts w:ascii="Times New Roman" w:hAnsi="Times New Roman" w:cs="Times New Roman"/>
          <w:i/>
          <w:sz w:val="24"/>
          <w:szCs w:val="24"/>
        </w:rPr>
        <w:t xml:space="preserve">ex </w:t>
      </w:r>
      <w:proofErr w:type="spellStart"/>
      <w:r w:rsidR="000E048E" w:rsidRPr="00151324">
        <w:rPr>
          <w:rFonts w:ascii="Times New Roman" w:hAnsi="Times New Roman" w:cs="Times New Roman"/>
          <w:i/>
          <w:sz w:val="24"/>
          <w:szCs w:val="24"/>
        </w:rPr>
        <w:t>multis</w:t>
      </w:r>
      <w:proofErr w:type="spellEnd"/>
      <w:r w:rsidR="000E048E" w:rsidRPr="00151324">
        <w:rPr>
          <w:rFonts w:ascii="Times New Roman" w:hAnsi="Times New Roman" w:cs="Times New Roman"/>
          <w:sz w:val="24"/>
          <w:szCs w:val="24"/>
        </w:rPr>
        <w:t xml:space="preserve"> </w:t>
      </w:r>
      <w:proofErr w:type="spellStart"/>
      <w:r w:rsidR="000E048E" w:rsidRPr="00151324">
        <w:rPr>
          <w:rFonts w:ascii="Times New Roman" w:hAnsi="Times New Roman" w:cs="Times New Roman"/>
          <w:sz w:val="24"/>
          <w:szCs w:val="24"/>
        </w:rPr>
        <w:t>Cons</w:t>
      </w:r>
      <w:proofErr w:type="spellEnd"/>
      <w:r w:rsidR="000E048E" w:rsidRPr="00151324">
        <w:rPr>
          <w:rFonts w:ascii="Times New Roman" w:hAnsi="Times New Roman" w:cs="Times New Roman"/>
          <w:sz w:val="24"/>
          <w:szCs w:val="24"/>
        </w:rPr>
        <w:t xml:space="preserve">. Stato, sez. II, 24 giugno 2019, n. 4320). </w:t>
      </w:r>
      <w:r w:rsidR="00843E06" w:rsidRPr="00151324">
        <w:rPr>
          <w:rFonts w:ascii="Times New Roman" w:hAnsi="Times New Roman" w:cs="Times New Roman"/>
          <w:sz w:val="24"/>
          <w:szCs w:val="24"/>
        </w:rPr>
        <w:t xml:space="preserve">Si è </w:t>
      </w:r>
      <w:r w:rsidRPr="00151324">
        <w:rPr>
          <w:rFonts w:ascii="Times New Roman" w:hAnsi="Times New Roman" w:cs="Times New Roman"/>
          <w:sz w:val="24"/>
          <w:szCs w:val="24"/>
        </w:rPr>
        <w:t xml:space="preserve">così arrivati a distinguere sul piano sistematico tra ablazione della proprietà </w:t>
      </w:r>
      <w:r w:rsidR="00843E06" w:rsidRPr="00151324">
        <w:rPr>
          <w:rFonts w:ascii="Times New Roman" w:hAnsi="Times New Roman" w:cs="Times New Roman"/>
          <w:sz w:val="24"/>
          <w:szCs w:val="24"/>
        </w:rPr>
        <w:t xml:space="preserve">che consegua alla decisione del giudice penale ovvero ai provvedimenti dell’autorità comunale, </w:t>
      </w:r>
      <w:r w:rsidRPr="00151324">
        <w:rPr>
          <w:rFonts w:ascii="Times New Roman" w:hAnsi="Times New Roman" w:cs="Times New Roman"/>
          <w:sz w:val="24"/>
          <w:szCs w:val="24"/>
        </w:rPr>
        <w:t>relegando l’applicazione dei p</w:t>
      </w:r>
      <w:r w:rsidR="000E048E" w:rsidRPr="00151324">
        <w:rPr>
          <w:rFonts w:ascii="Times New Roman" w:hAnsi="Times New Roman" w:cs="Times New Roman"/>
          <w:sz w:val="24"/>
          <w:szCs w:val="24"/>
        </w:rPr>
        <w:t xml:space="preserve">rincipi costituzionali e sovranazionali di buona fede e di presunzione di non colpevolezza invocabili dai trasgressori allo scopo di censurare un asserito deficit istruttorio e motivazionale consistente nell’omessa individuazione dell’elemento psicologico dell’illecito contestato </w:t>
      </w:r>
      <w:r w:rsidRPr="00151324">
        <w:rPr>
          <w:rFonts w:ascii="Times New Roman" w:hAnsi="Times New Roman" w:cs="Times New Roman"/>
          <w:sz w:val="24"/>
          <w:szCs w:val="24"/>
        </w:rPr>
        <w:t>solo alla prima, ovvero all’</w:t>
      </w:r>
      <w:r w:rsidR="000E048E" w:rsidRPr="00151324">
        <w:rPr>
          <w:rFonts w:ascii="Times New Roman" w:hAnsi="Times New Roman" w:cs="Times New Roman"/>
          <w:sz w:val="24"/>
          <w:szCs w:val="24"/>
        </w:rPr>
        <w:t>applicazione della sanzione penale accessoria della confisca urbanistica contemplata dall’art. 44 del d.P.R. n. 380/2001 (che in base alla sentenza della Corte europea dei diritti dell’uomo, </w:t>
      </w:r>
      <w:r w:rsidR="000E048E" w:rsidRPr="00151324">
        <w:rPr>
          <w:rFonts w:ascii="Times New Roman" w:hAnsi="Times New Roman" w:cs="Times New Roman"/>
          <w:i/>
          <w:iCs/>
          <w:sz w:val="24"/>
          <w:szCs w:val="24"/>
        </w:rPr>
        <w:t>Grande Chambre</w:t>
      </w:r>
      <w:r w:rsidR="000E048E" w:rsidRPr="00151324">
        <w:rPr>
          <w:rFonts w:ascii="Times New Roman" w:hAnsi="Times New Roman" w:cs="Times New Roman"/>
          <w:sz w:val="24"/>
          <w:szCs w:val="24"/>
        </w:rPr>
        <w:t xml:space="preserve">, 28 giugno 2018, n. 1828 viene ritenuta in ogni modo compatibile con l’art. 7 CEDU). </w:t>
      </w:r>
      <w:r w:rsidR="004D6B95" w:rsidRPr="00151324">
        <w:rPr>
          <w:rFonts w:ascii="Times New Roman" w:hAnsi="Times New Roman" w:cs="Times New Roman"/>
          <w:sz w:val="24"/>
          <w:szCs w:val="24"/>
        </w:rPr>
        <w:t>L</w:t>
      </w:r>
      <w:r w:rsidR="000E048E" w:rsidRPr="00151324">
        <w:rPr>
          <w:rFonts w:ascii="Times New Roman" w:hAnsi="Times New Roman" w:cs="Times New Roman"/>
          <w:sz w:val="24"/>
          <w:szCs w:val="24"/>
        </w:rPr>
        <w:t xml:space="preserve">’argomento medesimo non è </w:t>
      </w:r>
      <w:r w:rsidRPr="00151324">
        <w:rPr>
          <w:rFonts w:ascii="Times New Roman" w:hAnsi="Times New Roman" w:cs="Times New Roman"/>
          <w:sz w:val="24"/>
          <w:szCs w:val="24"/>
        </w:rPr>
        <w:t xml:space="preserve">stato </w:t>
      </w:r>
      <w:r w:rsidR="004D6B95" w:rsidRPr="00151324">
        <w:rPr>
          <w:rFonts w:ascii="Times New Roman" w:hAnsi="Times New Roman" w:cs="Times New Roman"/>
          <w:sz w:val="24"/>
          <w:szCs w:val="24"/>
        </w:rPr>
        <w:t xml:space="preserve">invece </w:t>
      </w:r>
      <w:r w:rsidRPr="00151324">
        <w:rPr>
          <w:rFonts w:ascii="Times New Roman" w:hAnsi="Times New Roman" w:cs="Times New Roman"/>
          <w:sz w:val="24"/>
          <w:szCs w:val="24"/>
        </w:rPr>
        <w:t xml:space="preserve">ritenuto </w:t>
      </w:r>
      <w:r w:rsidR="000E048E" w:rsidRPr="00151324">
        <w:rPr>
          <w:rFonts w:ascii="Times New Roman" w:hAnsi="Times New Roman" w:cs="Times New Roman"/>
          <w:sz w:val="24"/>
          <w:szCs w:val="24"/>
        </w:rPr>
        <w:t>utilmente invocabile al fine dell’irrogazione della sanzione ammnistrativa dell’acquisizione coattiva dell’immobile al patrimonio del Comune, contemplata dall’art. 30, comma 1 e 8, ovvero dall’art. 31 del medesimo T.</w:t>
      </w:r>
      <w:r w:rsidR="00C21CF2" w:rsidRPr="00151324">
        <w:rPr>
          <w:rFonts w:ascii="Times New Roman" w:hAnsi="Times New Roman" w:cs="Times New Roman"/>
          <w:sz w:val="24"/>
          <w:szCs w:val="24"/>
        </w:rPr>
        <w:t>U.E.</w:t>
      </w:r>
      <w:r w:rsidR="000E048E" w:rsidRPr="00151324">
        <w:rPr>
          <w:rFonts w:ascii="Times New Roman" w:hAnsi="Times New Roman" w:cs="Times New Roman"/>
          <w:sz w:val="24"/>
          <w:szCs w:val="24"/>
        </w:rPr>
        <w:t>, in quanto att</w:t>
      </w:r>
      <w:r w:rsidR="000B3674" w:rsidRPr="00151324">
        <w:rPr>
          <w:rFonts w:ascii="Times New Roman" w:hAnsi="Times New Roman" w:cs="Times New Roman"/>
          <w:sz w:val="24"/>
          <w:szCs w:val="24"/>
        </w:rPr>
        <w:t>i</w:t>
      </w:r>
      <w:r w:rsidR="000E048E" w:rsidRPr="00151324">
        <w:rPr>
          <w:rFonts w:ascii="Times New Roman" w:hAnsi="Times New Roman" w:cs="Times New Roman"/>
          <w:sz w:val="24"/>
          <w:szCs w:val="24"/>
        </w:rPr>
        <w:t xml:space="preserve"> vincolat</w:t>
      </w:r>
      <w:r w:rsidR="000B3674" w:rsidRPr="00151324">
        <w:rPr>
          <w:rFonts w:ascii="Times New Roman" w:hAnsi="Times New Roman" w:cs="Times New Roman"/>
          <w:sz w:val="24"/>
          <w:szCs w:val="24"/>
        </w:rPr>
        <w:t>i</w:t>
      </w:r>
      <w:r w:rsidRPr="00151324">
        <w:rPr>
          <w:rStyle w:val="Rimandonotaapidipagina"/>
          <w:rFonts w:ascii="Times New Roman" w:hAnsi="Times New Roman" w:cs="Times New Roman"/>
          <w:sz w:val="24"/>
          <w:szCs w:val="24"/>
        </w:rPr>
        <w:footnoteReference w:id="15"/>
      </w:r>
      <w:r w:rsidR="001646D7" w:rsidRPr="00151324">
        <w:rPr>
          <w:rFonts w:ascii="Times New Roman" w:eastAsia="Times New Roman" w:hAnsi="Times New Roman" w:cs="Times New Roman"/>
          <w:kern w:val="0"/>
          <w:sz w:val="24"/>
          <w:szCs w:val="24"/>
          <w:lang w:eastAsia="it-IT"/>
        </w:rPr>
        <w:t xml:space="preserve">. </w:t>
      </w:r>
      <w:r w:rsidR="00633FA3" w:rsidRPr="00151324">
        <w:rPr>
          <w:rFonts w:ascii="Times New Roman" w:hAnsi="Times New Roman" w:cs="Times New Roman"/>
          <w:sz w:val="24"/>
          <w:szCs w:val="24"/>
        </w:rPr>
        <w:t>I profili sollevati riguardano le garanzie inerenti alla titolarità del diritto di proprietà e, in particolare, all’aspetto dell’acquisizione della titolarità delle aree dei privati in capo all’Amministrazione quale conseguenza delle misure sanzionatorie previste dall’art. 30, comma 1 ed 8, del D.P.R. n. 380/2001, con un effetto sostanzialmente espropriativo per il proprietario inciso. La Corte Costituzionale con sentenza 24 luglio 2009, n. 239 (riguardante la questione di illegittimità costituzionale dell’art. 44, co. 2</w:t>
      </w:r>
      <w:r w:rsidR="000B3674" w:rsidRPr="00151324">
        <w:rPr>
          <w:rFonts w:ascii="Times New Roman" w:hAnsi="Times New Roman" w:cs="Times New Roman"/>
          <w:sz w:val="24"/>
          <w:szCs w:val="24"/>
        </w:rPr>
        <w:t>,</w:t>
      </w:r>
      <w:r w:rsidR="00633FA3" w:rsidRPr="00151324">
        <w:rPr>
          <w:rFonts w:ascii="Times New Roman" w:hAnsi="Times New Roman" w:cs="Times New Roman"/>
          <w:sz w:val="24"/>
          <w:szCs w:val="24"/>
        </w:rPr>
        <w:t xml:space="preserve"> del </w:t>
      </w:r>
      <w:r w:rsidR="000B3674" w:rsidRPr="00151324">
        <w:rPr>
          <w:rFonts w:ascii="Times New Roman" w:hAnsi="Times New Roman" w:cs="Times New Roman"/>
          <w:sz w:val="24"/>
          <w:szCs w:val="24"/>
        </w:rPr>
        <w:t xml:space="preserve">medesimo d.P.R. n. </w:t>
      </w:r>
      <w:r w:rsidR="00633FA3" w:rsidRPr="00151324">
        <w:rPr>
          <w:rFonts w:ascii="Times New Roman" w:hAnsi="Times New Roman" w:cs="Times New Roman"/>
          <w:sz w:val="24"/>
          <w:szCs w:val="24"/>
        </w:rPr>
        <w:t>380/2001, sollevata in riferimento agli art. 3, 25, comma 2, e 27, comma 1</w:t>
      </w:r>
      <w:r w:rsidR="000B3674" w:rsidRPr="00151324">
        <w:rPr>
          <w:rFonts w:ascii="Times New Roman" w:hAnsi="Times New Roman" w:cs="Times New Roman"/>
          <w:sz w:val="24"/>
          <w:szCs w:val="24"/>
        </w:rPr>
        <w:t xml:space="preserve">, della </w:t>
      </w:r>
      <w:r w:rsidR="00633FA3" w:rsidRPr="00151324">
        <w:rPr>
          <w:rFonts w:ascii="Times New Roman" w:hAnsi="Times New Roman" w:cs="Times New Roman"/>
          <w:sz w:val="24"/>
          <w:szCs w:val="24"/>
        </w:rPr>
        <w:t>Cost</w:t>
      </w:r>
      <w:r w:rsidR="000B3674" w:rsidRPr="00151324">
        <w:rPr>
          <w:rFonts w:ascii="Times New Roman" w:hAnsi="Times New Roman" w:cs="Times New Roman"/>
          <w:sz w:val="24"/>
          <w:szCs w:val="24"/>
        </w:rPr>
        <w:t>ituzione,</w:t>
      </w:r>
      <w:r w:rsidR="00633FA3" w:rsidRPr="00151324">
        <w:rPr>
          <w:rFonts w:ascii="Times New Roman" w:hAnsi="Times New Roman" w:cs="Times New Roman"/>
          <w:sz w:val="24"/>
          <w:szCs w:val="24"/>
        </w:rPr>
        <w:t xml:space="preserve"> nonché ai principi dettati dalla CEDU, nella parte in cui la norma impone al giudice penale, in presenza di accertata lottizzazione abusiva, di disporre la confisca dei terreni e delle opere abusivamente costruite anche a prescindere dal giudizio di responsabilità e nei confronti di persone estranee ai fatti) ha dichiarato l’inammissibilità della questione anche sotto il profilo dell’omissione da parte del giudice </w:t>
      </w:r>
      <w:r w:rsidR="00633FA3" w:rsidRPr="00151324">
        <w:rPr>
          <w:rFonts w:ascii="Times New Roman" w:hAnsi="Times New Roman" w:cs="Times New Roman"/>
          <w:i/>
          <w:sz w:val="24"/>
          <w:szCs w:val="24"/>
        </w:rPr>
        <w:t>a quo</w:t>
      </w:r>
      <w:r w:rsidR="00633FA3" w:rsidRPr="00151324">
        <w:rPr>
          <w:rFonts w:ascii="Times New Roman" w:hAnsi="Times New Roman" w:cs="Times New Roman"/>
          <w:sz w:val="24"/>
          <w:szCs w:val="24"/>
        </w:rPr>
        <w:t xml:space="preserve"> della sperimentazione della possibilità di un</w:t>
      </w:r>
      <w:r w:rsidR="00843E06" w:rsidRPr="00151324">
        <w:rPr>
          <w:rFonts w:ascii="Times New Roman" w:hAnsi="Times New Roman" w:cs="Times New Roman"/>
          <w:sz w:val="24"/>
          <w:szCs w:val="24"/>
        </w:rPr>
        <w:t>’</w:t>
      </w:r>
      <w:r w:rsidR="00633FA3" w:rsidRPr="00151324">
        <w:rPr>
          <w:rFonts w:ascii="Times New Roman" w:hAnsi="Times New Roman" w:cs="Times New Roman"/>
          <w:sz w:val="24"/>
          <w:szCs w:val="24"/>
        </w:rPr>
        <w:t>interpretazione conforme alla disposizione internazionale, quale interpretata dalla predetta Corte europea dei diritti dell</w:t>
      </w:r>
      <w:r w:rsidR="000B3674" w:rsidRPr="00151324">
        <w:rPr>
          <w:rFonts w:ascii="Times New Roman" w:hAnsi="Times New Roman" w:cs="Times New Roman"/>
          <w:sz w:val="24"/>
          <w:szCs w:val="24"/>
        </w:rPr>
        <w:t>’</w:t>
      </w:r>
      <w:r w:rsidR="00633FA3" w:rsidRPr="00151324">
        <w:rPr>
          <w:rFonts w:ascii="Times New Roman" w:hAnsi="Times New Roman" w:cs="Times New Roman"/>
          <w:sz w:val="24"/>
          <w:szCs w:val="24"/>
        </w:rPr>
        <w:t>uomo</w:t>
      </w:r>
      <w:r w:rsidR="000B3674" w:rsidRPr="00151324">
        <w:rPr>
          <w:rFonts w:ascii="Times New Roman" w:hAnsi="Times New Roman" w:cs="Times New Roman"/>
          <w:sz w:val="24"/>
          <w:szCs w:val="24"/>
        </w:rPr>
        <w:t>. Spetta infatti</w:t>
      </w:r>
      <w:r w:rsidR="00633FA3" w:rsidRPr="00151324">
        <w:rPr>
          <w:rFonts w:ascii="Times New Roman" w:hAnsi="Times New Roman" w:cs="Times New Roman"/>
          <w:sz w:val="24"/>
          <w:szCs w:val="24"/>
        </w:rPr>
        <w:t> </w:t>
      </w:r>
      <w:r w:rsidR="003E5A68" w:rsidRPr="00151324">
        <w:rPr>
          <w:rFonts w:ascii="Times New Roman" w:hAnsi="Times New Roman" w:cs="Times New Roman"/>
          <w:sz w:val="24"/>
          <w:szCs w:val="24"/>
        </w:rPr>
        <w:t>«</w:t>
      </w:r>
      <w:r w:rsidR="00633FA3" w:rsidRPr="00151324">
        <w:rPr>
          <w:rFonts w:ascii="Times New Roman" w:hAnsi="Times New Roman" w:cs="Times New Roman"/>
          <w:i/>
          <w:iCs/>
          <w:sz w:val="24"/>
          <w:szCs w:val="24"/>
        </w:rPr>
        <w:t>agli organi giurisdizionali comuni l</w:t>
      </w:r>
      <w:r w:rsidR="00CF157B" w:rsidRPr="00151324">
        <w:rPr>
          <w:rFonts w:ascii="Times New Roman" w:hAnsi="Times New Roman" w:cs="Times New Roman"/>
          <w:i/>
          <w:iCs/>
          <w:sz w:val="24"/>
          <w:szCs w:val="24"/>
        </w:rPr>
        <w:t>’</w:t>
      </w:r>
      <w:r w:rsidR="00633FA3" w:rsidRPr="00151324">
        <w:rPr>
          <w:rFonts w:ascii="Times New Roman" w:hAnsi="Times New Roman" w:cs="Times New Roman"/>
          <w:i/>
          <w:iCs/>
          <w:sz w:val="24"/>
          <w:szCs w:val="24"/>
        </w:rPr>
        <w:t>eventuale opera interpretativa dell'art. 44, comma 2, del d.P.R. n. 380 del 2001 che sia resa effettivamente necessaria dalle decisioni della Corte europea dei diritti dell'uomo; a tale compito, infatti, già ha atteso la giurisprudenza di legittimità, con esiti la cui valutazione non è ora rimessa a questa Corte. Solo ove l'adeguamento interpretativo, che appaia necessitato, risulti impossibile o l'eventuale diritto vivente che si formi in materia faccia sorgere dubbi sulla sua legittimità costituzionale, questa Corte potrà essere chiamata ad affrontare il problema della asserita incostituzionalità della disposizione di legge</w:t>
      </w:r>
      <w:r w:rsidR="003E5A68" w:rsidRPr="00151324">
        <w:rPr>
          <w:rFonts w:ascii="Times New Roman" w:hAnsi="Times New Roman" w:cs="Times New Roman"/>
          <w:i/>
          <w:iCs/>
          <w:sz w:val="24"/>
          <w:szCs w:val="24"/>
        </w:rPr>
        <w:t>»</w:t>
      </w:r>
      <w:r w:rsidR="00633FA3" w:rsidRPr="00151324">
        <w:rPr>
          <w:rFonts w:ascii="Times New Roman" w:hAnsi="Times New Roman" w:cs="Times New Roman"/>
          <w:sz w:val="24"/>
          <w:szCs w:val="24"/>
        </w:rPr>
        <w:t xml:space="preserve">. </w:t>
      </w:r>
    </w:p>
    <w:p w14:paraId="328A4092" w14:textId="77777777" w:rsidR="00CF157B" w:rsidRPr="00151324" w:rsidRDefault="00633FA3"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hAnsi="Times New Roman" w:cs="Times New Roman"/>
          <w:sz w:val="24"/>
          <w:szCs w:val="24"/>
        </w:rPr>
        <w:t>Non osta</w:t>
      </w:r>
      <w:r w:rsidR="00CF157B" w:rsidRPr="00151324">
        <w:rPr>
          <w:rFonts w:ascii="Times New Roman" w:hAnsi="Times New Roman" w:cs="Times New Roman"/>
          <w:sz w:val="24"/>
          <w:szCs w:val="24"/>
        </w:rPr>
        <w:t>, dunque,</w:t>
      </w:r>
      <w:r w:rsidRPr="00151324">
        <w:rPr>
          <w:rFonts w:ascii="Times New Roman" w:hAnsi="Times New Roman" w:cs="Times New Roman"/>
          <w:sz w:val="24"/>
          <w:szCs w:val="24"/>
        </w:rPr>
        <w:t xml:space="preserve"> al disposto della norma in questione un’interpretazione che tenga conto, in linea con i principi enunciati dalla Corte europea dei diritti dell</w:t>
      </w:r>
      <w:r w:rsidR="00CF157B" w:rsidRPr="00151324">
        <w:rPr>
          <w:rFonts w:ascii="Times New Roman" w:hAnsi="Times New Roman" w:cs="Times New Roman"/>
          <w:sz w:val="24"/>
          <w:szCs w:val="24"/>
        </w:rPr>
        <w:t>’</w:t>
      </w:r>
      <w:r w:rsidRPr="00151324">
        <w:rPr>
          <w:rFonts w:ascii="Times New Roman" w:hAnsi="Times New Roman" w:cs="Times New Roman"/>
          <w:sz w:val="24"/>
          <w:szCs w:val="24"/>
        </w:rPr>
        <w:t>uomo, dei profili soggettivi di assenza di colpa e buona fede</w:t>
      </w:r>
      <w:r w:rsidR="00CF157B" w:rsidRPr="00151324">
        <w:rPr>
          <w:rFonts w:ascii="Times New Roman" w:hAnsi="Times New Roman" w:cs="Times New Roman"/>
          <w:sz w:val="24"/>
          <w:szCs w:val="24"/>
        </w:rPr>
        <w:t xml:space="preserve">, </w:t>
      </w:r>
      <w:r w:rsidRPr="00151324">
        <w:rPr>
          <w:rFonts w:ascii="Times New Roman" w:hAnsi="Times New Roman" w:cs="Times New Roman"/>
          <w:sz w:val="24"/>
          <w:szCs w:val="24"/>
        </w:rPr>
        <w:t>che, anzi, si impone alla luce della natura di sanzione amministrativa della misura acquisitiva prevista dai suddetti comma</w:t>
      </w:r>
      <w:r w:rsidR="00CF157B" w:rsidRPr="00151324">
        <w:rPr>
          <w:rFonts w:ascii="Times New Roman" w:hAnsi="Times New Roman" w:cs="Times New Roman"/>
          <w:sz w:val="24"/>
          <w:szCs w:val="24"/>
        </w:rPr>
        <w:t xml:space="preserve"> in quanto </w:t>
      </w:r>
      <w:r w:rsidR="004D6B95" w:rsidRPr="00151324">
        <w:rPr>
          <w:rFonts w:ascii="Times New Roman" w:hAnsi="Times New Roman" w:cs="Times New Roman"/>
          <w:sz w:val="24"/>
          <w:szCs w:val="24"/>
        </w:rPr>
        <w:t>n</w:t>
      </w:r>
      <w:r w:rsidRPr="00151324">
        <w:rPr>
          <w:rFonts w:ascii="Times New Roman" w:hAnsi="Times New Roman" w:cs="Times New Roman"/>
          <w:sz w:val="24"/>
          <w:szCs w:val="24"/>
        </w:rPr>
        <w:t>elle violazioni cui è applicabile una sanzione amministrativa ciascuno è responsabile della propria azione o omissione, cosciente e volontaria, sia essa dolosa o colposa</w:t>
      </w:r>
      <w:r w:rsidR="004D6B95" w:rsidRPr="00151324">
        <w:rPr>
          <w:rFonts w:ascii="Times New Roman" w:hAnsi="Times New Roman" w:cs="Times New Roman"/>
          <w:sz w:val="24"/>
          <w:szCs w:val="24"/>
        </w:rPr>
        <w:t xml:space="preserve">. </w:t>
      </w:r>
    </w:p>
    <w:p w14:paraId="7CDBE0BA" w14:textId="77777777" w:rsidR="00CF157B" w:rsidRPr="00151324" w:rsidRDefault="00CF157B"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hAnsi="Times New Roman" w:cs="Times New Roman"/>
          <w:sz w:val="24"/>
          <w:szCs w:val="24"/>
        </w:rPr>
        <w:t xml:space="preserve">A ben guardare in effetti mentre l’accertamento dell’ipotesi di reato, nella sua forma materiale o negoziale, presuppone necessariamente la prova dell’elemento </w:t>
      </w:r>
      <w:r w:rsidR="00FC602B" w:rsidRPr="00151324">
        <w:rPr>
          <w:rFonts w:ascii="Times New Roman" w:hAnsi="Times New Roman" w:cs="Times New Roman"/>
          <w:sz w:val="24"/>
          <w:szCs w:val="24"/>
        </w:rPr>
        <w:t xml:space="preserve">psicologico, l’acquisizione al patrimonio del Comune consegue al decorso di 90 giorni senza avere ottemperato all’ingiunzione di sospensione dei lavori, evidentemente ancora in corso, ovvero di non cedere il bene con atto tra vivi. </w:t>
      </w:r>
    </w:p>
    <w:p w14:paraId="1A49288C" w14:textId="3A42E9FF" w:rsidR="004D6B95" w:rsidRPr="00151324" w:rsidRDefault="004D6B95"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hAnsi="Times New Roman" w:cs="Times New Roman"/>
          <w:sz w:val="24"/>
          <w:szCs w:val="24"/>
        </w:rPr>
        <w:t>L</w:t>
      </w:r>
      <w:r w:rsidR="00FC602B" w:rsidRPr="00151324">
        <w:rPr>
          <w:rFonts w:ascii="Times New Roman" w:hAnsi="Times New Roman" w:cs="Times New Roman"/>
          <w:sz w:val="24"/>
          <w:szCs w:val="24"/>
        </w:rPr>
        <w:t>’</w:t>
      </w:r>
      <w:r w:rsidR="00633FA3" w:rsidRPr="00151324">
        <w:rPr>
          <w:rFonts w:ascii="Times New Roman" w:hAnsi="Times New Roman" w:cs="Times New Roman"/>
          <w:sz w:val="24"/>
          <w:szCs w:val="24"/>
        </w:rPr>
        <w:t>indifferenza in ordine alla sussistenza o meno di un comportamento colposo</w:t>
      </w:r>
      <w:r w:rsidRPr="00151324">
        <w:rPr>
          <w:rFonts w:ascii="Times New Roman" w:hAnsi="Times New Roman" w:cs="Times New Roman"/>
          <w:sz w:val="24"/>
          <w:szCs w:val="24"/>
        </w:rPr>
        <w:t xml:space="preserve"> è stata interpretata ne</w:t>
      </w:r>
      <w:r w:rsidR="00633FA3" w:rsidRPr="00151324">
        <w:rPr>
          <w:rFonts w:ascii="Times New Roman" w:hAnsi="Times New Roman" w:cs="Times New Roman"/>
          <w:sz w:val="24"/>
          <w:szCs w:val="24"/>
        </w:rPr>
        <w:t>l senso di porre una presunzione </w:t>
      </w:r>
      <w:r w:rsidR="00633FA3" w:rsidRPr="00151324">
        <w:rPr>
          <w:rFonts w:ascii="Times New Roman" w:hAnsi="Times New Roman" w:cs="Times New Roman"/>
          <w:i/>
          <w:iCs/>
          <w:sz w:val="24"/>
          <w:szCs w:val="24"/>
        </w:rPr>
        <w:t>iuris tantum</w:t>
      </w:r>
      <w:r w:rsidR="00633FA3" w:rsidRPr="00151324">
        <w:rPr>
          <w:rFonts w:ascii="Times New Roman" w:hAnsi="Times New Roman" w:cs="Times New Roman"/>
          <w:sz w:val="24"/>
          <w:szCs w:val="24"/>
        </w:rPr>
        <w:t xml:space="preserve"> di colpa in ordine al fatto vietato a carico di colui che l</w:t>
      </w:r>
      <w:r w:rsidRPr="00151324">
        <w:rPr>
          <w:rFonts w:ascii="Times New Roman" w:hAnsi="Times New Roman" w:cs="Times New Roman"/>
          <w:sz w:val="24"/>
          <w:szCs w:val="24"/>
        </w:rPr>
        <w:t>’</w:t>
      </w:r>
      <w:r w:rsidR="00633FA3" w:rsidRPr="00151324">
        <w:rPr>
          <w:rFonts w:ascii="Times New Roman" w:hAnsi="Times New Roman" w:cs="Times New Roman"/>
          <w:sz w:val="24"/>
          <w:szCs w:val="24"/>
        </w:rPr>
        <w:t xml:space="preserve">abbia commesso, </w:t>
      </w:r>
      <w:r w:rsidRPr="00151324">
        <w:rPr>
          <w:rFonts w:ascii="Times New Roman" w:hAnsi="Times New Roman" w:cs="Times New Roman"/>
          <w:sz w:val="24"/>
          <w:szCs w:val="24"/>
        </w:rPr>
        <w:t xml:space="preserve">spettando allo stesso </w:t>
      </w:r>
      <w:r w:rsidR="00633FA3" w:rsidRPr="00151324">
        <w:rPr>
          <w:rFonts w:ascii="Times New Roman" w:hAnsi="Times New Roman" w:cs="Times New Roman"/>
          <w:sz w:val="24"/>
          <w:szCs w:val="24"/>
        </w:rPr>
        <w:t>l</w:t>
      </w:r>
      <w:r w:rsidR="00FC602B" w:rsidRPr="00151324">
        <w:rPr>
          <w:rFonts w:ascii="Times New Roman" w:hAnsi="Times New Roman" w:cs="Times New Roman"/>
          <w:sz w:val="24"/>
          <w:szCs w:val="24"/>
        </w:rPr>
        <w:t>’</w:t>
      </w:r>
      <w:r w:rsidR="00633FA3" w:rsidRPr="00151324">
        <w:rPr>
          <w:rFonts w:ascii="Times New Roman" w:hAnsi="Times New Roman" w:cs="Times New Roman"/>
          <w:sz w:val="24"/>
          <w:szCs w:val="24"/>
        </w:rPr>
        <w:t>onere d</w:t>
      </w:r>
      <w:r w:rsidRPr="00151324">
        <w:rPr>
          <w:rFonts w:ascii="Times New Roman" w:hAnsi="Times New Roman" w:cs="Times New Roman"/>
          <w:sz w:val="24"/>
          <w:szCs w:val="24"/>
        </w:rPr>
        <w:t>ella prova della propria incolpevolezza</w:t>
      </w:r>
      <w:r w:rsidR="00843E06" w:rsidRPr="00151324">
        <w:rPr>
          <w:rStyle w:val="Rimandonotaapidipagina"/>
          <w:rFonts w:ascii="Times New Roman" w:hAnsi="Times New Roman" w:cs="Times New Roman"/>
          <w:sz w:val="24"/>
          <w:szCs w:val="24"/>
        </w:rPr>
        <w:footnoteReference w:id="16"/>
      </w:r>
      <w:r w:rsidR="00843E06" w:rsidRPr="00151324">
        <w:rPr>
          <w:rFonts w:ascii="Times New Roman" w:hAnsi="Times New Roman" w:cs="Times New Roman"/>
          <w:sz w:val="24"/>
          <w:szCs w:val="24"/>
        </w:rPr>
        <w:t xml:space="preserve">. </w:t>
      </w:r>
      <w:r w:rsidR="00633FA3" w:rsidRPr="00151324">
        <w:rPr>
          <w:rFonts w:ascii="Times New Roman" w:hAnsi="Times New Roman" w:cs="Times New Roman"/>
          <w:sz w:val="24"/>
          <w:szCs w:val="24"/>
        </w:rPr>
        <w:t xml:space="preserve"> L’aspetto relativo alla necessità della sussistenza di un elemento soggettivo, quale indice di </w:t>
      </w:r>
      <w:proofErr w:type="spellStart"/>
      <w:r w:rsidR="00633FA3" w:rsidRPr="00151324">
        <w:rPr>
          <w:rFonts w:ascii="Times New Roman" w:hAnsi="Times New Roman" w:cs="Times New Roman"/>
          <w:sz w:val="24"/>
          <w:szCs w:val="24"/>
        </w:rPr>
        <w:t>rimproverabilit</w:t>
      </w:r>
      <w:r w:rsidR="008E1CBC">
        <w:rPr>
          <w:rFonts w:ascii="Times New Roman" w:hAnsi="Times New Roman" w:cs="Times New Roman"/>
          <w:sz w:val="24"/>
          <w:szCs w:val="24"/>
        </w:rPr>
        <w:t>à</w:t>
      </w:r>
      <w:proofErr w:type="spellEnd"/>
      <w:r w:rsidR="00633FA3" w:rsidRPr="00151324">
        <w:rPr>
          <w:rFonts w:ascii="Times New Roman" w:hAnsi="Times New Roman" w:cs="Times New Roman"/>
          <w:sz w:val="24"/>
          <w:szCs w:val="24"/>
        </w:rPr>
        <w:t>, può recedere dinanzi a</w:t>
      </w:r>
      <w:r w:rsidRPr="00151324">
        <w:rPr>
          <w:rFonts w:ascii="Times New Roman" w:hAnsi="Times New Roman" w:cs="Times New Roman"/>
          <w:sz w:val="24"/>
          <w:szCs w:val="24"/>
        </w:rPr>
        <w:t>lla</w:t>
      </w:r>
      <w:r w:rsidR="00633FA3" w:rsidRPr="00151324">
        <w:rPr>
          <w:rFonts w:ascii="Times New Roman" w:hAnsi="Times New Roman" w:cs="Times New Roman"/>
          <w:sz w:val="24"/>
          <w:szCs w:val="24"/>
        </w:rPr>
        <w:t xml:space="preserve"> funzione concretamente ripristinatoria della sanzione che in qu</w:t>
      </w:r>
      <w:r w:rsidRPr="00151324">
        <w:rPr>
          <w:rFonts w:ascii="Times New Roman" w:hAnsi="Times New Roman" w:cs="Times New Roman"/>
          <w:sz w:val="24"/>
          <w:szCs w:val="24"/>
        </w:rPr>
        <w:t xml:space="preserve">anto tale </w:t>
      </w:r>
      <w:r w:rsidR="003E5A68" w:rsidRPr="00151324">
        <w:rPr>
          <w:rFonts w:ascii="Times New Roman" w:hAnsi="Times New Roman" w:cs="Times New Roman"/>
          <w:sz w:val="24"/>
          <w:szCs w:val="24"/>
        </w:rPr>
        <w:t>«</w:t>
      </w:r>
      <w:r w:rsidR="00633FA3" w:rsidRPr="00151324">
        <w:rPr>
          <w:rFonts w:ascii="Times New Roman" w:hAnsi="Times New Roman" w:cs="Times New Roman"/>
          <w:i/>
          <w:sz w:val="24"/>
          <w:szCs w:val="24"/>
        </w:rPr>
        <w:t>ha l’attitudine di imporsi, per il suo carattere reale, anche nei confronti di soggetti in stato di incolpevole buona fede, in quanto misura necessaria al ripristino del bene. In base a tale interpretazione, che tiene conto del profilo soggettivo di responsabilità nella condotta, la sanzione acquisitiva di cui all’art. 30 (commi 1, 7 e 8) si palesa in linea con i principi espressi dalla Corte di Strasburgo ed a quest’ultimo riguardo, il dovere di dare all'ordinamento interno una interpretazione conforme alla CEDU, come esplicitata dalla Corte di Strasburgo, deriva dall'art. 117 Cost., comma 1, ed è stato affermato in modo generale dalla Corte costituzionale con le sentenze n. 348 e 349 del 2007 e, con riferimento specifico al citato art. 44, comma 2, con la sentenza 24 luglio 2009 n. 239</w:t>
      </w:r>
      <w:r w:rsidRPr="00151324">
        <w:rPr>
          <w:rFonts w:ascii="Times New Roman" w:hAnsi="Times New Roman" w:cs="Times New Roman"/>
          <w:sz w:val="24"/>
          <w:szCs w:val="24"/>
        </w:rPr>
        <w:t xml:space="preserve">» (v. Cons. Stato, sez. VI, 4 novembre 2021, n. 7380). </w:t>
      </w:r>
    </w:p>
    <w:p w14:paraId="03A548C5" w14:textId="77777777" w:rsidR="00D1084E" w:rsidRPr="00151324" w:rsidRDefault="00D1084E"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p>
    <w:p w14:paraId="76E57319" w14:textId="3F88960A" w:rsidR="004D6B95" w:rsidRPr="00D5361B" w:rsidRDefault="00A22C8C" w:rsidP="00D5361B">
      <w:pPr>
        <w:pStyle w:val="Paragrafoelenco"/>
        <w:numPr>
          <w:ilvl w:val="0"/>
          <w:numId w:val="6"/>
        </w:numPr>
        <w:shd w:val="clear" w:color="auto" w:fill="FFFFFF"/>
        <w:suppressAutoHyphens w:val="0"/>
        <w:spacing w:after="0" w:line="360" w:lineRule="auto"/>
        <w:jc w:val="both"/>
        <w:textAlignment w:val="auto"/>
        <w:rPr>
          <w:rFonts w:ascii="Times New Roman" w:eastAsia="Times New Roman" w:hAnsi="Times New Roman" w:cs="Times New Roman"/>
          <w:b/>
          <w:kern w:val="0"/>
          <w:sz w:val="24"/>
          <w:szCs w:val="24"/>
          <w:lang w:eastAsia="it-IT"/>
        </w:rPr>
      </w:pPr>
      <w:r w:rsidRPr="00D5361B">
        <w:rPr>
          <w:rFonts w:ascii="Times New Roman" w:eastAsia="Times New Roman" w:hAnsi="Times New Roman" w:cs="Times New Roman"/>
          <w:b/>
          <w:kern w:val="0"/>
          <w:sz w:val="24"/>
          <w:szCs w:val="24"/>
          <w:lang w:eastAsia="it-IT"/>
        </w:rPr>
        <w:t>La decadenza</w:t>
      </w:r>
      <w:r w:rsidR="003E5A68" w:rsidRPr="00D5361B">
        <w:rPr>
          <w:rFonts w:ascii="Times New Roman" w:eastAsia="Times New Roman" w:hAnsi="Times New Roman" w:cs="Times New Roman"/>
          <w:b/>
          <w:kern w:val="0"/>
          <w:sz w:val="24"/>
          <w:szCs w:val="24"/>
          <w:lang w:eastAsia="it-IT"/>
        </w:rPr>
        <w:t xml:space="preserve">. </w:t>
      </w:r>
      <w:r w:rsidRPr="00D5361B">
        <w:rPr>
          <w:rFonts w:ascii="Times New Roman" w:eastAsia="Times New Roman" w:hAnsi="Times New Roman" w:cs="Times New Roman"/>
          <w:b/>
          <w:kern w:val="0"/>
          <w:sz w:val="24"/>
          <w:szCs w:val="24"/>
          <w:lang w:eastAsia="it-IT"/>
        </w:rPr>
        <w:t xml:space="preserve"> </w:t>
      </w:r>
    </w:p>
    <w:p w14:paraId="5B7D7580" w14:textId="77777777" w:rsidR="00D1084E" w:rsidRPr="00151324" w:rsidRDefault="00D1084E" w:rsidP="00151324">
      <w:pPr>
        <w:widowControl/>
        <w:shd w:val="clear" w:color="auto" w:fill="FFFFFF"/>
        <w:suppressAutoHyphens w:val="0"/>
        <w:spacing w:after="0" w:line="360" w:lineRule="auto"/>
        <w:jc w:val="both"/>
        <w:textAlignment w:val="auto"/>
        <w:rPr>
          <w:rFonts w:ascii="Times New Roman" w:eastAsia="Times New Roman" w:hAnsi="Times New Roman" w:cs="Times New Roman"/>
          <w:b/>
          <w:kern w:val="0"/>
          <w:sz w:val="24"/>
          <w:szCs w:val="24"/>
          <w:lang w:eastAsia="it-IT"/>
        </w:rPr>
      </w:pPr>
    </w:p>
    <w:p w14:paraId="79B4CB1C" w14:textId="4150F4DB" w:rsidR="00D334FC" w:rsidRPr="00151324" w:rsidRDefault="003E5A68" w:rsidP="00151324">
      <w:pPr>
        <w:pStyle w:val="popolo"/>
        <w:spacing w:before="0" w:beforeAutospacing="0" w:after="0" w:afterAutospacing="0" w:line="360" w:lineRule="auto"/>
        <w:jc w:val="both"/>
        <w:rPr>
          <w:shd w:val="clear" w:color="auto" w:fill="FFFFFF"/>
        </w:rPr>
      </w:pPr>
      <w:r w:rsidRPr="00151324">
        <w:t xml:space="preserve">Con il termine “decadenza” si può intendere sia un provvedimento di natura sanzionatoria, sia più </w:t>
      </w:r>
      <w:r w:rsidR="00FC602B" w:rsidRPr="00151324">
        <w:t xml:space="preserve">in </w:t>
      </w:r>
      <w:r w:rsidRPr="00151324">
        <w:t xml:space="preserve">generale </w:t>
      </w:r>
      <w:r w:rsidR="00FC602B" w:rsidRPr="00151324">
        <w:t xml:space="preserve">un atto di </w:t>
      </w:r>
      <w:r w:rsidRPr="00151324">
        <w:t xml:space="preserve">esercizio del potere di autotutela, sia un </w:t>
      </w:r>
      <w:r w:rsidR="00FC602B" w:rsidRPr="00151324">
        <w:t xml:space="preserve">distinto </w:t>
      </w:r>
      <w:r w:rsidRPr="00151324">
        <w:t xml:space="preserve">istituto di natura rimediale </w:t>
      </w:r>
      <w:r w:rsidR="00F55FB2" w:rsidRPr="00151324">
        <w:rPr>
          <w:shd w:val="clear" w:color="auto" w:fill="FFFFFF"/>
        </w:rPr>
        <w:t xml:space="preserve">che fa cessare gli effetti dell’atto precedente con effetto </w:t>
      </w:r>
      <w:r w:rsidR="00F55FB2" w:rsidRPr="00151324">
        <w:rPr>
          <w:i/>
          <w:shd w:val="clear" w:color="auto" w:fill="FFFFFF"/>
        </w:rPr>
        <w:t>ex nunc</w:t>
      </w:r>
      <w:r w:rsidR="00F55FB2" w:rsidRPr="00151324">
        <w:rPr>
          <w:shd w:val="clear" w:color="auto" w:fill="FFFFFF"/>
        </w:rPr>
        <w:t xml:space="preserve"> o per il venir meno dei requisiti </w:t>
      </w:r>
      <w:r w:rsidR="00D334FC" w:rsidRPr="00151324">
        <w:rPr>
          <w:shd w:val="clear" w:color="auto" w:fill="FFFFFF"/>
        </w:rPr>
        <w:t>di idoneità per la costituzione e la continuazione del rapporto, o per inadempimento di obblighi imposti dal provvedimento o per mancato esercizio per un determinato periodo di tempo delle facoltà che derivano dallo stesso</w:t>
      </w:r>
      <w:r w:rsidR="00D334FC" w:rsidRPr="00151324">
        <w:rPr>
          <w:rStyle w:val="Rimandonotaapidipagina"/>
          <w:shd w:val="clear" w:color="auto" w:fill="FFFFFF"/>
        </w:rPr>
        <w:footnoteReference w:id="17"/>
      </w:r>
      <w:r w:rsidR="00D334FC" w:rsidRPr="00151324">
        <w:rPr>
          <w:shd w:val="clear" w:color="auto" w:fill="FFFFFF"/>
        </w:rPr>
        <w:t xml:space="preserve">.  </w:t>
      </w:r>
    </w:p>
    <w:p w14:paraId="77118D3B" w14:textId="3417BC12" w:rsidR="005C4DC0" w:rsidRPr="00151324" w:rsidRDefault="004D6B95" w:rsidP="00151324">
      <w:pPr>
        <w:pStyle w:val="popolo"/>
        <w:spacing w:before="0" w:beforeAutospacing="0" w:after="0" w:afterAutospacing="0" w:line="360" w:lineRule="auto"/>
        <w:jc w:val="both"/>
      </w:pPr>
      <w:r w:rsidRPr="00151324">
        <w:rPr>
          <w:shd w:val="clear" w:color="auto" w:fill="FFFFFF"/>
        </w:rPr>
        <w:t xml:space="preserve">La </w:t>
      </w:r>
      <w:r w:rsidR="003E5A68" w:rsidRPr="00151324">
        <w:rPr>
          <w:shd w:val="clear" w:color="auto" w:fill="FFFFFF"/>
        </w:rPr>
        <w:t xml:space="preserve">distinzione ha trovato </w:t>
      </w:r>
      <w:r w:rsidR="00FC602B" w:rsidRPr="00151324">
        <w:rPr>
          <w:shd w:val="clear" w:color="auto" w:fill="FFFFFF"/>
        </w:rPr>
        <w:t xml:space="preserve">implicita </w:t>
      </w:r>
      <w:r w:rsidR="003E5A68" w:rsidRPr="00151324">
        <w:rPr>
          <w:shd w:val="clear" w:color="auto" w:fill="FFFFFF"/>
        </w:rPr>
        <w:t>consacrazione ne</w:t>
      </w:r>
      <w:r w:rsidR="00FC602B" w:rsidRPr="00151324">
        <w:rPr>
          <w:shd w:val="clear" w:color="auto" w:fill="FFFFFF"/>
        </w:rPr>
        <w:t>lle affermazioni dell’</w:t>
      </w:r>
      <w:r w:rsidR="003E5A68" w:rsidRPr="00151324">
        <w:rPr>
          <w:shd w:val="clear" w:color="auto" w:fill="FFFFFF"/>
        </w:rPr>
        <w:t xml:space="preserve">Adunanza plenaria del Consiglio di Stato che ha </w:t>
      </w:r>
      <w:r w:rsidR="00FC602B" w:rsidRPr="00151324">
        <w:rPr>
          <w:shd w:val="clear" w:color="auto" w:fill="FFFFFF"/>
        </w:rPr>
        <w:t xml:space="preserve">così </w:t>
      </w:r>
      <w:r w:rsidR="003E5A68" w:rsidRPr="00151324">
        <w:rPr>
          <w:shd w:val="clear" w:color="auto" w:fill="FFFFFF"/>
        </w:rPr>
        <w:t>perimetra</w:t>
      </w:r>
      <w:r w:rsidR="00FC602B" w:rsidRPr="00151324">
        <w:rPr>
          <w:shd w:val="clear" w:color="auto" w:fill="FFFFFF"/>
        </w:rPr>
        <w:t>to “</w:t>
      </w:r>
      <w:r w:rsidR="003E5A68" w:rsidRPr="00151324">
        <w:rPr>
          <w:shd w:val="clear" w:color="auto" w:fill="FFFFFF"/>
        </w:rPr>
        <w:t>in negativo</w:t>
      </w:r>
      <w:r w:rsidR="00FC602B" w:rsidRPr="00151324">
        <w:rPr>
          <w:shd w:val="clear" w:color="auto" w:fill="FFFFFF"/>
        </w:rPr>
        <w:t>”</w:t>
      </w:r>
      <w:r w:rsidR="003E5A68" w:rsidRPr="00151324">
        <w:rPr>
          <w:shd w:val="clear" w:color="auto" w:fill="FFFFFF"/>
        </w:rPr>
        <w:t>,</w:t>
      </w:r>
      <w:r w:rsidR="00FC602B" w:rsidRPr="00151324">
        <w:rPr>
          <w:shd w:val="clear" w:color="auto" w:fill="FFFFFF"/>
        </w:rPr>
        <w:t xml:space="preserve"> evidenziando gli </w:t>
      </w:r>
      <w:r w:rsidR="003E5A68" w:rsidRPr="00151324">
        <w:rPr>
          <w:shd w:val="clear" w:color="auto" w:fill="FFFFFF"/>
        </w:rPr>
        <w:t xml:space="preserve">elementi di affinità e quelli di divergenza, </w:t>
      </w:r>
      <w:r w:rsidR="00FC602B" w:rsidRPr="00151324">
        <w:rPr>
          <w:shd w:val="clear" w:color="auto" w:fill="FFFFFF"/>
        </w:rPr>
        <w:t xml:space="preserve">il </w:t>
      </w:r>
      <w:r w:rsidR="003E5A68" w:rsidRPr="00151324">
        <w:rPr>
          <w:shd w:val="clear" w:color="auto" w:fill="FFFFFF"/>
        </w:rPr>
        <w:t xml:space="preserve"> </w:t>
      </w:r>
      <w:r w:rsidRPr="00151324">
        <w:rPr>
          <w:shd w:val="clear" w:color="auto" w:fill="FFFFFF"/>
        </w:rPr>
        <w:t xml:space="preserve">provvedimento con il quale il Gestore Servizi Energetici (GSE), a conclusione di un procedimento di verifica condotto ai sensi dell’art. 42 del d.lgs. n. 28 del 2011 e del D.M. 31 gennaio 2014 in relazione ad un impianto fotovoltaico, ha dichiarato la </w:t>
      </w:r>
      <w:r w:rsidR="00FC602B" w:rsidRPr="00151324">
        <w:rPr>
          <w:shd w:val="clear" w:color="auto" w:fill="FFFFFF"/>
        </w:rPr>
        <w:t xml:space="preserve">decadenza, appunto, </w:t>
      </w:r>
      <w:r w:rsidR="003E5A68" w:rsidRPr="00151324">
        <w:rPr>
          <w:shd w:val="clear" w:color="auto" w:fill="FFFFFF"/>
        </w:rPr>
        <w:t>da</w:t>
      </w:r>
      <w:r w:rsidR="00FC602B" w:rsidRPr="00151324">
        <w:rPr>
          <w:shd w:val="clear" w:color="auto" w:fill="FFFFFF"/>
        </w:rPr>
        <w:t xml:space="preserve">l </w:t>
      </w:r>
      <w:r w:rsidRPr="00151324">
        <w:rPr>
          <w:shd w:val="clear" w:color="auto" w:fill="FFFFFF"/>
        </w:rPr>
        <w:t xml:space="preserve">diritto alle tariffe incentivanti </w:t>
      </w:r>
      <w:r w:rsidR="00FC602B" w:rsidRPr="00151324">
        <w:rPr>
          <w:shd w:val="clear" w:color="auto" w:fill="FFFFFF"/>
        </w:rPr>
        <w:t xml:space="preserve">fruite da un operatore economico, con </w:t>
      </w:r>
      <w:r w:rsidR="003E5A68" w:rsidRPr="00151324">
        <w:rPr>
          <w:shd w:val="clear" w:color="auto" w:fill="FFFFFF"/>
        </w:rPr>
        <w:t xml:space="preserve">conseguente </w:t>
      </w:r>
      <w:r w:rsidRPr="00151324">
        <w:rPr>
          <w:shd w:val="clear" w:color="auto" w:fill="FFFFFF"/>
        </w:rPr>
        <w:t xml:space="preserve">recupero integrale degli incentivi percepiti. Ciò essendo emerso </w:t>
      </w:r>
      <w:r w:rsidR="00FC602B" w:rsidRPr="00151324">
        <w:rPr>
          <w:shd w:val="clear" w:color="auto" w:fill="FFFFFF"/>
        </w:rPr>
        <w:t xml:space="preserve">nel caso di specie </w:t>
      </w:r>
      <w:r w:rsidRPr="00151324">
        <w:rPr>
          <w:shd w:val="clear" w:color="auto" w:fill="FFFFFF"/>
        </w:rPr>
        <w:t>dall’istruttoria, con riferimento all’attestazione dell’origine dei pannelli fotovoltaici, che era stato presentato un documento (</w:t>
      </w:r>
      <w:proofErr w:type="spellStart"/>
      <w:r w:rsidRPr="00151324">
        <w:rPr>
          <w:i/>
          <w:shd w:val="clear" w:color="auto" w:fill="FFFFFF"/>
        </w:rPr>
        <w:t>Factory</w:t>
      </w:r>
      <w:proofErr w:type="spellEnd"/>
      <w:r w:rsidRPr="00151324">
        <w:rPr>
          <w:i/>
          <w:shd w:val="clear" w:color="auto" w:fill="FFFFFF"/>
        </w:rPr>
        <w:t xml:space="preserve"> </w:t>
      </w:r>
      <w:proofErr w:type="spellStart"/>
      <w:r w:rsidRPr="00151324">
        <w:rPr>
          <w:i/>
          <w:shd w:val="clear" w:color="auto" w:fill="FFFFFF"/>
        </w:rPr>
        <w:t>Inspection</w:t>
      </w:r>
      <w:proofErr w:type="spellEnd"/>
      <w:r w:rsidRPr="00151324">
        <w:rPr>
          <w:i/>
          <w:shd w:val="clear" w:color="auto" w:fill="FFFFFF"/>
        </w:rPr>
        <w:t xml:space="preserve"> </w:t>
      </w:r>
      <w:proofErr w:type="spellStart"/>
      <w:r w:rsidRPr="00151324">
        <w:rPr>
          <w:i/>
          <w:shd w:val="clear" w:color="auto" w:fill="FFFFFF"/>
        </w:rPr>
        <w:t>Attestation</w:t>
      </w:r>
      <w:proofErr w:type="spellEnd"/>
      <w:r w:rsidRPr="00151324">
        <w:rPr>
          <w:shd w:val="clear" w:color="auto" w:fill="FFFFFF"/>
        </w:rPr>
        <w:t>) non conforme a quello che lo stesso ente aveva originariamente emesso.</w:t>
      </w:r>
      <w:r w:rsidR="003E5A68" w:rsidRPr="00151324">
        <w:rPr>
          <w:shd w:val="clear" w:color="auto" w:fill="FFFFFF"/>
        </w:rPr>
        <w:t xml:space="preserve"> Secondo l’Adunanza plenaria, dunque, la </w:t>
      </w:r>
      <w:r w:rsidRPr="00151324">
        <w:t>decadenza, intesa quale vicenda pubblicistica estintiva, </w:t>
      </w:r>
      <w:r w:rsidR="00D334FC" w:rsidRPr="00151324">
        <w:t>«</w:t>
      </w:r>
      <w:r w:rsidRPr="00151324">
        <w:rPr>
          <w:rStyle w:val="Enfasicorsivo"/>
        </w:rPr>
        <w:t xml:space="preserve">ex </w:t>
      </w:r>
      <w:proofErr w:type="spellStart"/>
      <w:r w:rsidRPr="008E1CBC">
        <w:rPr>
          <w:rStyle w:val="Enfasicorsivo"/>
        </w:rPr>
        <w:t>tunc</w:t>
      </w:r>
      <w:proofErr w:type="spellEnd"/>
      <w:r w:rsidRPr="00151324">
        <w:rPr>
          <w:i/>
        </w:rPr>
        <w:t> (o in alcuni casi </w:t>
      </w:r>
      <w:r w:rsidRPr="00151324">
        <w:rPr>
          <w:rStyle w:val="Enfasicorsivo"/>
          <w:i w:val="0"/>
        </w:rPr>
        <w:t>ex nunc</w:t>
      </w:r>
      <w:r w:rsidRPr="00151324">
        <w:rPr>
          <w:i/>
        </w:rPr>
        <w:t>)</w:t>
      </w:r>
      <w:r w:rsidR="00D334FC" w:rsidRPr="00151324">
        <w:t>»</w:t>
      </w:r>
      <w:r w:rsidR="00D334FC" w:rsidRPr="00151324">
        <w:rPr>
          <w:rStyle w:val="Rimandonotaapidipagina"/>
        </w:rPr>
        <w:footnoteReference w:id="18"/>
      </w:r>
      <w:r w:rsidRPr="00151324">
        <w:t>, di una posizione giuridica di vantaggio (c.d. beneficio)</w:t>
      </w:r>
      <w:r w:rsidR="003E5A68" w:rsidRPr="00151324">
        <w:t xml:space="preserve"> se </w:t>
      </w:r>
      <w:r w:rsidR="00A64C4B" w:rsidRPr="00151324">
        <w:t xml:space="preserve">rientra nell’esercizio dell’autotutela, si connota per la sottoposizione ai presupposti, condizioni ed effetti </w:t>
      </w:r>
      <w:r w:rsidR="00FC602B" w:rsidRPr="00151324">
        <w:t xml:space="preserve">statuiti a </w:t>
      </w:r>
      <w:r w:rsidR="00A64C4B" w:rsidRPr="00151324">
        <w:t>livello gen</w:t>
      </w:r>
      <w:r w:rsidR="00FC602B" w:rsidRPr="00151324">
        <w:t>erale da</w:t>
      </w:r>
      <w:r w:rsidR="00A64C4B" w:rsidRPr="00151324">
        <w:t>ll’art. 21</w:t>
      </w:r>
      <w:r w:rsidR="00FC602B" w:rsidRPr="00151324">
        <w:t>-</w:t>
      </w:r>
      <w:r w:rsidR="00A64C4B" w:rsidRPr="00151324">
        <w:rPr>
          <w:i/>
        </w:rPr>
        <w:t>nonies</w:t>
      </w:r>
      <w:r w:rsidR="00A64C4B" w:rsidRPr="00151324">
        <w:t xml:space="preserve"> della l. n. 241 del 1990; </w:t>
      </w:r>
      <w:r w:rsidR="003E5A68" w:rsidRPr="00151324">
        <w:t xml:space="preserve">se ha carattere </w:t>
      </w:r>
      <w:r w:rsidR="00A64C4B" w:rsidRPr="00151324">
        <w:t xml:space="preserve">sanzionatorio, </w:t>
      </w:r>
      <w:r w:rsidR="003E5A68" w:rsidRPr="00151324">
        <w:t>richiede l’</w:t>
      </w:r>
      <w:r w:rsidR="00A64C4B" w:rsidRPr="00151324">
        <w:t xml:space="preserve">elemento soggettivo del dolo o della colpa e </w:t>
      </w:r>
      <w:r w:rsidR="003E5A68" w:rsidRPr="00151324">
        <w:t>l’</w:t>
      </w:r>
      <w:r w:rsidR="00A64C4B" w:rsidRPr="00151324">
        <w:t>effetto ablatorio prodotto</w:t>
      </w:r>
      <w:r w:rsidR="003E5A68" w:rsidRPr="00151324">
        <w:t xml:space="preserve"> </w:t>
      </w:r>
      <w:r w:rsidR="00A64C4B" w:rsidRPr="00151324">
        <w:t xml:space="preserve">al massimo coincide con l’utilità concessa attraverso il pregresso provvedimento ampliativo sul quale viene ad incidere; </w:t>
      </w:r>
      <w:r w:rsidR="003E5A68" w:rsidRPr="00151324">
        <w:t xml:space="preserve">se </w:t>
      </w:r>
      <w:r w:rsidR="00A64C4B" w:rsidRPr="00151324">
        <w:t xml:space="preserve">istituto autonomo </w:t>
      </w:r>
      <w:r w:rsidR="003E5A68" w:rsidRPr="00151324">
        <w:t>(quale ritenuto quello in esame</w:t>
      </w:r>
      <w:r w:rsidR="00775FE4" w:rsidRPr="00151324">
        <w:t xml:space="preserve"> </w:t>
      </w:r>
      <w:r w:rsidR="00A64C4B" w:rsidRPr="00151324">
        <w:t xml:space="preserve">non presenta </w:t>
      </w:r>
      <w:r w:rsidR="00D334FC" w:rsidRPr="00151324">
        <w:t>alcun</w:t>
      </w:r>
      <w:r w:rsidR="00A64C4B" w:rsidRPr="00151324">
        <w:t xml:space="preserve"> tratto comune con il diverso istituto della sanzione, d</w:t>
      </w:r>
      <w:r w:rsidR="003E5A68" w:rsidRPr="00151324">
        <w:t xml:space="preserve">ella quale non condivide i due richiamati </w:t>
      </w:r>
      <w:r w:rsidR="00A64C4B" w:rsidRPr="00151324">
        <w:t>requisiti</w:t>
      </w:r>
      <w:r w:rsidR="003E5A68" w:rsidRPr="00151324">
        <w:t>, m</w:t>
      </w:r>
      <w:r w:rsidR="00916B06" w:rsidRPr="00151324">
        <w:t>a</w:t>
      </w:r>
      <w:r w:rsidR="003E5A68" w:rsidRPr="00151324">
        <w:t xml:space="preserve"> </w:t>
      </w:r>
      <w:r w:rsidR="00A64C4B" w:rsidRPr="00151324">
        <w:t>«</w:t>
      </w:r>
      <w:r w:rsidRPr="00151324">
        <w:rPr>
          <w:i/>
        </w:rPr>
        <w:t>pur presentando tratti comuni col più ampio </w:t>
      </w:r>
      <w:proofErr w:type="spellStart"/>
      <w:r w:rsidRPr="00151324">
        <w:rPr>
          <w:rStyle w:val="Enfasicorsivo"/>
          <w:i w:val="0"/>
        </w:rPr>
        <w:t>genus</w:t>
      </w:r>
      <w:proofErr w:type="spellEnd"/>
      <w:r w:rsidRPr="00151324">
        <w:rPr>
          <w:i/>
        </w:rPr>
        <w:t> dell’autotutela, ne deve essere opportunamente differenziato, caratterizzandosi specificatamente:</w:t>
      </w:r>
      <w:r w:rsidR="00A64C4B" w:rsidRPr="00151324">
        <w:rPr>
          <w:i/>
        </w:rPr>
        <w:t xml:space="preserve"> </w:t>
      </w:r>
      <w:r w:rsidRPr="00151324">
        <w:rPr>
          <w:i/>
        </w:rPr>
        <w:t xml:space="preserve">a) per l’espressa e specifica previsione, da parte della legge, non sussistendo, in materia di decadenza, una norma generale quale quelle prevista dall’art. 21 </w:t>
      </w:r>
      <w:proofErr w:type="spellStart"/>
      <w:r w:rsidRPr="00151324">
        <w:rPr>
          <w:i/>
        </w:rPr>
        <w:t>nonies</w:t>
      </w:r>
      <w:proofErr w:type="spellEnd"/>
      <w:r w:rsidRPr="00151324">
        <w:rPr>
          <w:i/>
        </w:rPr>
        <w:t xml:space="preserve"> della legge 241/90 </w:t>
      </w:r>
      <w:r w:rsidR="00A64C4B" w:rsidRPr="00151324">
        <w:rPr>
          <w:i/>
        </w:rPr>
        <w:t>[…];</w:t>
      </w:r>
      <w:r w:rsidRPr="00151324">
        <w:rPr>
          <w:i/>
        </w:rPr>
        <w:t>b) per la tipologia del vizio, </w:t>
      </w:r>
      <w:r w:rsidRPr="00151324">
        <w:rPr>
          <w:rStyle w:val="Enfasicorsivo"/>
          <w:i w:val="0"/>
        </w:rPr>
        <w:t xml:space="preserve">more </w:t>
      </w:r>
      <w:r w:rsidRPr="00151324">
        <w:rPr>
          <w:rStyle w:val="Enfasicorsivo"/>
        </w:rPr>
        <w:t>solito</w:t>
      </w:r>
      <w:r w:rsidRPr="00151324">
        <w:rPr>
          <w:i/>
        </w:rPr>
        <w:t> individuato nella falsità o non veridicità degli stati e delle condizioni dichiarate dall’istante, o nella violazione di prescrizioni amministrative ritenute essenziali per il perdurante godimento dei benefici, ovvero, ancora, nel venir meno dei requisiti di idoneità per la costituzione e la continuazione del rapporto;</w:t>
      </w:r>
      <w:r w:rsidR="00A64C4B" w:rsidRPr="00151324">
        <w:rPr>
          <w:i/>
        </w:rPr>
        <w:t xml:space="preserve"> </w:t>
      </w:r>
      <w:r w:rsidRPr="00151324">
        <w:rPr>
          <w:i/>
        </w:rPr>
        <w:t>c) per il carattere vincolato del potere, una volta accertato il ricorrere dei presupposti;</w:t>
      </w:r>
      <w:r w:rsidR="00A64C4B" w:rsidRPr="00151324">
        <w:rPr>
          <w:i/>
        </w:rPr>
        <w:t>[…]</w:t>
      </w:r>
      <w:r w:rsidR="005C4DC0" w:rsidRPr="00151324">
        <w:rPr>
          <w:i/>
        </w:rPr>
        <w:t>»</w:t>
      </w:r>
      <w:r w:rsidR="003E5A68" w:rsidRPr="00151324">
        <w:rPr>
          <w:rStyle w:val="Rimandonotaapidipagina"/>
          <w:i/>
        </w:rPr>
        <w:footnoteReference w:id="19"/>
      </w:r>
      <w:r w:rsidR="00A64C4B" w:rsidRPr="00151324">
        <w:rPr>
          <w:i/>
        </w:rPr>
        <w:t>.</w:t>
      </w:r>
      <w:r w:rsidR="005C4DC0" w:rsidRPr="00151324">
        <w:rPr>
          <w:i/>
        </w:rPr>
        <w:t xml:space="preserve"> </w:t>
      </w:r>
      <w:r w:rsidR="00707E02" w:rsidRPr="00151324">
        <w:t>La giurisprudenza ha già avuto modo di confermare tale distinzione tra decadenza e autotutela avuto riguardo ai provvedimenti del G.S.E. anche dopo la modifica dell’art. 42, comma 3, d.lgs</w:t>
      </w:r>
      <w:r w:rsidR="008E1CBC">
        <w:t>.</w:t>
      </w:r>
      <w:r w:rsidR="00707E02" w:rsidRPr="00151324">
        <w:t xml:space="preserve"> 28/2011 introdotta dall’art. 56, comma 8, del </w:t>
      </w:r>
      <w:proofErr w:type="spellStart"/>
      <w:r w:rsidR="00707E02" w:rsidRPr="00151324">
        <w:t>d.l.</w:t>
      </w:r>
      <w:proofErr w:type="spellEnd"/>
      <w:r w:rsidR="00707E02" w:rsidRPr="00151324">
        <w:t xml:space="preserve"> 16 luglio 2020, n. 76, convertito, con modificazioni, dalla l. 11 settembre 2020, n. 120, il quale ha esteso alla prima i presupposti di cui all’art. 21 </w:t>
      </w:r>
      <w:proofErr w:type="spellStart"/>
      <w:r w:rsidR="00707E02" w:rsidRPr="00151324">
        <w:rPr>
          <w:i/>
          <w:iCs/>
        </w:rPr>
        <w:t>nonies</w:t>
      </w:r>
      <w:proofErr w:type="spellEnd"/>
      <w:r w:rsidR="00707E02" w:rsidRPr="00151324">
        <w:t> l. 241/1990, anche allo scopo di circoscriverne nel tempo l’irrogazione, ma non ha mutato la natura del potere (che rimane di decadenza)</w:t>
      </w:r>
      <w:r w:rsidR="00EF62E6" w:rsidRPr="00151324">
        <w:t>,</w:t>
      </w:r>
      <w:r w:rsidR="00707E02" w:rsidRPr="00151324">
        <w:t xml:space="preserve"> né il carattere vincolato dello stesso. La titolarità del potere di verifica e controllo, pertanto, non consente l’indiscriminata rimessa in discussione dei presupposti iniziali, senza il rispetto delle necessarie garanzie e degli affidamenti in capo alle imprese direttamente coinvolte, in quanto una volta che il procedimento si è concluso con il vaglio positivo degli elementi forniti dal privato, il riesame dei medesimi elementi deve seguire i canoni ed i presupposti del potere di autotutela, sotto tutti i punti di vista. Ne discende che «</w:t>
      </w:r>
      <w:r w:rsidR="00707E02" w:rsidRPr="00151324">
        <w:rPr>
          <w:i/>
          <w:iCs/>
        </w:rPr>
        <w:t>anche l’esercizio di poteri di revisione del precedente assenso regolatorio debbano essere esercitati nel</w:t>
      </w:r>
      <w:r w:rsidR="00707E02" w:rsidRPr="00151324">
        <w:t> </w:t>
      </w:r>
      <w:r w:rsidR="00707E02" w:rsidRPr="00151324">
        <w:rPr>
          <w:i/>
          <w:iCs/>
        </w:rPr>
        <w:t>rispetto dei principi dettati, in generale per le tradizionali autorità, con riferimento al potere di autotutela. Ciò non solo con riferimento al formale rispetto dei presupposti, ma anche relativamente alla verifica istruttoria e motivazionale degli elementi forniti dai soggetti passivi, sia in relazione ai presupposti iniziali sia rispetto alle alternative che le stesse società avrebbero potuto perseguire, in specie dinanzi al mutamento di interpretazione dell’autorità»</w:t>
      </w:r>
      <w:r w:rsidR="00707E02" w:rsidRPr="00151324">
        <w:t>. (Cons. Stato</w:t>
      </w:r>
      <w:r w:rsidR="00832D55" w:rsidRPr="00151324">
        <w:t>,</w:t>
      </w:r>
      <w:r w:rsidR="00707E02" w:rsidRPr="00151324">
        <w:t xml:space="preserve"> sez. VI</w:t>
      </w:r>
      <w:r w:rsidR="00832D55" w:rsidRPr="00151324">
        <w:t>,</w:t>
      </w:r>
      <w:r w:rsidR="00707E02" w:rsidRPr="00151324">
        <w:t xml:space="preserve"> 29 luglio 2019</w:t>
      </w:r>
      <w:r w:rsidR="00832D55" w:rsidRPr="00151324">
        <w:t>,</w:t>
      </w:r>
      <w:r w:rsidR="00707E02" w:rsidRPr="00151324">
        <w:t xml:space="preserve"> n. 5324, nonché, più di recente, sez. II, 17 giugno 2022, n. 4983)</w:t>
      </w:r>
      <w:r w:rsidR="00F20F29" w:rsidRPr="00151324">
        <w:rPr>
          <w:rStyle w:val="Rimandonotaapidipagina"/>
        </w:rPr>
        <w:footnoteReference w:id="20"/>
      </w:r>
      <w:r w:rsidR="00707E02" w:rsidRPr="00151324">
        <w:t>.</w:t>
      </w:r>
      <w:r w:rsidR="00832D55" w:rsidRPr="00151324">
        <w:t xml:space="preserve"> </w:t>
      </w:r>
      <w:r w:rsidR="005C4DC0" w:rsidRPr="00151324">
        <w:t xml:space="preserve">Sotto il profilo del regime delle tutele non si pongono a tale riguardo particolari problematiche giusta la riconducibilità della materia ad una di quelle di competenza esclusiva del giudice amministrativo. </w:t>
      </w:r>
    </w:p>
    <w:p w14:paraId="7764198D" w14:textId="77777777" w:rsidR="005C4DC0" w:rsidRPr="00151324" w:rsidRDefault="005C4DC0"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hAnsi="Times New Roman" w:cs="Times New Roman"/>
          <w:sz w:val="24"/>
          <w:szCs w:val="24"/>
        </w:rPr>
        <w:t xml:space="preserve">Ma traslando le relative affermazioni al più generale quadro delle decadenze previste nell’ordinamento, si viene così ad imporre all’interprete un distinguo, appunto, su funzione “punitiva” della stessa e funzione meramente ripristinatoria, di non sempre agevole individuazione. </w:t>
      </w:r>
    </w:p>
    <w:p w14:paraId="56351FA5" w14:textId="0D96CF9D" w:rsidR="005C4DC0" w:rsidRPr="00151324" w:rsidRDefault="005C4DC0"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hAnsi="Times New Roman" w:cs="Times New Roman"/>
          <w:sz w:val="24"/>
          <w:szCs w:val="24"/>
        </w:rPr>
        <w:t xml:space="preserve">A titolo di esempio, la previsione nominativa, nonché la finalità di tutela di prescrizioni amministrative imposte dalla legge per giustificare il perdurante godimento del beneficio </w:t>
      </w:r>
      <w:r w:rsidR="00056E6C" w:rsidRPr="00151324">
        <w:rPr>
          <w:rFonts w:ascii="Times New Roman" w:hAnsi="Times New Roman" w:cs="Times New Roman"/>
          <w:sz w:val="24"/>
          <w:szCs w:val="24"/>
        </w:rPr>
        <w:t xml:space="preserve"> </w:t>
      </w:r>
      <w:r w:rsidRPr="00151324">
        <w:rPr>
          <w:rFonts w:ascii="Times New Roman" w:hAnsi="Times New Roman" w:cs="Times New Roman"/>
          <w:sz w:val="24"/>
          <w:szCs w:val="24"/>
        </w:rPr>
        <w:t>parrebbe attrarre nella sfera di competenza del giudice amministrativo la decadenza di cui all’art. 29</w:t>
      </w:r>
      <w:r w:rsidR="00F7349B" w:rsidRPr="00151324">
        <w:rPr>
          <w:rFonts w:ascii="Times New Roman" w:hAnsi="Times New Roman" w:cs="Times New Roman"/>
          <w:sz w:val="24"/>
          <w:szCs w:val="24"/>
        </w:rPr>
        <w:t xml:space="preserve"> de</w:t>
      </w:r>
      <w:r w:rsidR="00D1084E" w:rsidRPr="00151324">
        <w:rPr>
          <w:rFonts w:ascii="Times New Roman" w:hAnsi="Times New Roman" w:cs="Times New Roman"/>
          <w:sz w:val="24"/>
          <w:szCs w:val="24"/>
        </w:rPr>
        <w:t>l d.lgs. 31 marzo 1998, n. 114</w:t>
      </w:r>
      <w:r w:rsidR="00F7349B" w:rsidRPr="00151324">
        <w:rPr>
          <w:rFonts w:ascii="Times New Roman" w:hAnsi="Times New Roman" w:cs="Times New Roman"/>
          <w:sz w:val="24"/>
          <w:szCs w:val="24"/>
        </w:rPr>
        <w:t xml:space="preserve"> </w:t>
      </w:r>
      <w:r w:rsidR="00056E6C" w:rsidRPr="00151324">
        <w:rPr>
          <w:rFonts w:ascii="Times New Roman" w:hAnsi="Times New Roman" w:cs="Times New Roman"/>
          <w:sz w:val="24"/>
          <w:szCs w:val="24"/>
        </w:rPr>
        <w:t>(</w:t>
      </w:r>
      <w:r w:rsidRPr="00151324">
        <w:rPr>
          <w:rFonts w:ascii="Times New Roman" w:hAnsi="Times New Roman" w:cs="Times New Roman"/>
          <w:sz w:val="24"/>
          <w:szCs w:val="24"/>
        </w:rPr>
        <w:t xml:space="preserve">a vario titolo riprodotta nelle discipline </w:t>
      </w:r>
      <w:r w:rsidR="009E7B34" w:rsidRPr="00151324">
        <w:rPr>
          <w:rFonts w:ascii="Times New Roman" w:hAnsi="Times New Roman" w:cs="Times New Roman"/>
          <w:sz w:val="24"/>
          <w:szCs w:val="24"/>
        </w:rPr>
        <w:t xml:space="preserve">regionali </w:t>
      </w:r>
      <w:r w:rsidRPr="00151324">
        <w:rPr>
          <w:rFonts w:ascii="Times New Roman" w:hAnsi="Times New Roman" w:cs="Times New Roman"/>
          <w:sz w:val="24"/>
          <w:szCs w:val="24"/>
        </w:rPr>
        <w:t>di settore</w:t>
      </w:r>
      <w:r w:rsidR="00F7349B" w:rsidRPr="00151324">
        <w:rPr>
          <w:rFonts w:ascii="Times New Roman" w:hAnsi="Times New Roman" w:cs="Times New Roman"/>
          <w:sz w:val="24"/>
          <w:szCs w:val="24"/>
        </w:rPr>
        <w:t xml:space="preserve">) </w:t>
      </w:r>
      <w:r w:rsidRPr="00151324">
        <w:rPr>
          <w:rFonts w:ascii="Times New Roman" w:hAnsi="Times New Roman" w:cs="Times New Roman"/>
          <w:sz w:val="24"/>
          <w:szCs w:val="24"/>
        </w:rPr>
        <w:t xml:space="preserve">che consegue al mancato utilizzo del posteggio in concessione </w:t>
      </w:r>
      <w:r w:rsidR="00F7349B" w:rsidRPr="00151324">
        <w:rPr>
          <w:rFonts w:ascii="Times New Roman" w:hAnsi="Times New Roman" w:cs="Times New Roman"/>
          <w:sz w:val="24"/>
          <w:szCs w:val="24"/>
        </w:rPr>
        <w:t>per un lasso di tempo predeterminato</w:t>
      </w:r>
      <w:r w:rsidR="009E7B34" w:rsidRPr="00151324">
        <w:rPr>
          <w:rStyle w:val="Rimandonotaapidipagina"/>
          <w:rFonts w:ascii="Times New Roman" w:hAnsi="Times New Roman" w:cs="Times New Roman"/>
          <w:sz w:val="24"/>
          <w:szCs w:val="24"/>
        </w:rPr>
        <w:footnoteReference w:id="21"/>
      </w:r>
      <w:r w:rsidR="00F7349B" w:rsidRPr="00151324">
        <w:rPr>
          <w:rFonts w:ascii="Times New Roman" w:hAnsi="Times New Roman" w:cs="Times New Roman"/>
          <w:sz w:val="24"/>
          <w:szCs w:val="24"/>
        </w:rPr>
        <w:t xml:space="preserve">. </w:t>
      </w:r>
      <w:r w:rsidR="00F30292" w:rsidRPr="00151324">
        <w:rPr>
          <w:rFonts w:ascii="Times New Roman" w:hAnsi="Times New Roman" w:cs="Times New Roman"/>
          <w:sz w:val="24"/>
          <w:szCs w:val="24"/>
        </w:rPr>
        <w:t xml:space="preserve">Né pare condurre a soluzione opposta la circostanza che della stessa si faccia menzione in una norma rubricata “sanzioni”, stante che la sanzione ivi prevista consegue alla decadenza (revoca del titolo), laddove la stessa, proprio in quanto non sanzionatoria, non consente giustificazioni alternative rispetto a quelle tassativamente individuate dal legislatore </w:t>
      </w:r>
      <w:r w:rsidRPr="00151324">
        <w:rPr>
          <w:rFonts w:ascii="Times New Roman" w:hAnsi="Times New Roman" w:cs="Times New Roman"/>
          <w:sz w:val="24"/>
          <w:szCs w:val="24"/>
        </w:rPr>
        <w:t xml:space="preserve">(malattia, gravidanza e servizio militare). </w:t>
      </w:r>
    </w:p>
    <w:p w14:paraId="4F0BECA9" w14:textId="77777777" w:rsidR="00D1084E" w:rsidRPr="00151324" w:rsidRDefault="00D1084E"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p>
    <w:p w14:paraId="1782E291" w14:textId="2B6098A4" w:rsidR="00D1084E" w:rsidRPr="00D5361B" w:rsidRDefault="00F30292" w:rsidP="00D5361B">
      <w:pPr>
        <w:pStyle w:val="Paragrafoelenco"/>
        <w:numPr>
          <w:ilvl w:val="0"/>
          <w:numId w:val="6"/>
        </w:numPr>
        <w:shd w:val="clear" w:color="auto" w:fill="FFFFFF"/>
        <w:suppressAutoHyphens w:val="0"/>
        <w:spacing w:after="0" w:line="360" w:lineRule="auto"/>
        <w:jc w:val="both"/>
        <w:textAlignment w:val="auto"/>
        <w:rPr>
          <w:rFonts w:ascii="Times New Roman" w:hAnsi="Times New Roman" w:cs="Times New Roman"/>
          <w:sz w:val="24"/>
          <w:szCs w:val="24"/>
        </w:rPr>
      </w:pPr>
      <w:r w:rsidRPr="00D5361B">
        <w:rPr>
          <w:rFonts w:ascii="Times New Roman" w:hAnsi="Times New Roman" w:cs="Times New Roman"/>
          <w:b/>
          <w:sz w:val="24"/>
          <w:szCs w:val="24"/>
        </w:rPr>
        <w:t xml:space="preserve">La stratificazione normativa in materia di </w:t>
      </w:r>
      <w:r w:rsidR="00E5265E" w:rsidRPr="00D5361B">
        <w:rPr>
          <w:rFonts w:ascii="Times New Roman" w:hAnsi="Times New Roman" w:cs="Times New Roman"/>
          <w:b/>
          <w:sz w:val="24"/>
          <w:szCs w:val="24"/>
        </w:rPr>
        <w:t xml:space="preserve">occupazione di </w:t>
      </w:r>
      <w:r w:rsidRPr="00D5361B">
        <w:rPr>
          <w:rFonts w:ascii="Times New Roman" w:hAnsi="Times New Roman" w:cs="Times New Roman"/>
          <w:b/>
          <w:sz w:val="24"/>
          <w:szCs w:val="24"/>
        </w:rPr>
        <w:t>suolo pubblico.</w:t>
      </w:r>
      <w:r w:rsidRPr="00D5361B">
        <w:rPr>
          <w:rFonts w:ascii="Times New Roman" w:hAnsi="Times New Roman" w:cs="Times New Roman"/>
          <w:sz w:val="24"/>
          <w:szCs w:val="24"/>
        </w:rPr>
        <w:t xml:space="preserve"> </w:t>
      </w:r>
    </w:p>
    <w:p w14:paraId="133A9FFB" w14:textId="77777777" w:rsidR="00D1084E" w:rsidRPr="00151324" w:rsidRDefault="00D1084E"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p>
    <w:p w14:paraId="4B1828B7" w14:textId="7E62C964" w:rsidR="00F7349B" w:rsidRPr="00151324" w:rsidRDefault="00F7349B" w:rsidP="00151324">
      <w:pPr>
        <w:widowControl/>
        <w:shd w:val="clear" w:color="auto" w:fill="FFFFFF"/>
        <w:suppressAutoHyphens w:val="0"/>
        <w:spacing w:after="0" w:line="360" w:lineRule="auto"/>
        <w:jc w:val="both"/>
        <w:textAlignment w:val="auto"/>
        <w:rPr>
          <w:rFonts w:ascii="Times New Roman" w:hAnsi="Times New Roman" w:cs="Times New Roman"/>
          <w:sz w:val="24"/>
          <w:szCs w:val="24"/>
        </w:rPr>
      </w:pPr>
      <w:r w:rsidRPr="00151324">
        <w:rPr>
          <w:rFonts w:ascii="Times New Roman" w:hAnsi="Times New Roman" w:cs="Times New Roman"/>
          <w:sz w:val="24"/>
          <w:szCs w:val="24"/>
        </w:rPr>
        <w:t>Il “suolo pubblico” è quella porzione di territorio non copert</w:t>
      </w:r>
      <w:r w:rsidR="00D23FA1" w:rsidRPr="00151324">
        <w:rPr>
          <w:rFonts w:ascii="Times New Roman" w:hAnsi="Times New Roman" w:cs="Times New Roman"/>
          <w:sz w:val="24"/>
          <w:szCs w:val="24"/>
        </w:rPr>
        <w:t>a</w:t>
      </w:r>
      <w:r w:rsidRPr="00151324">
        <w:rPr>
          <w:rFonts w:ascii="Times New Roman" w:hAnsi="Times New Roman" w:cs="Times New Roman"/>
          <w:sz w:val="24"/>
          <w:szCs w:val="24"/>
        </w:rPr>
        <w:t xml:space="preserve"> da edificazioni suscettibile di occupazione per varie finalità, per lo più economiche</w:t>
      </w:r>
      <w:r w:rsidRPr="00151324">
        <w:rPr>
          <w:rStyle w:val="Rimandonotaapidipagina"/>
          <w:rFonts w:ascii="Times New Roman" w:hAnsi="Times New Roman" w:cs="Times New Roman"/>
          <w:sz w:val="24"/>
          <w:szCs w:val="24"/>
        </w:rPr>
        <w:footnoteReference w:id="22"/>
      </w:r>
      <w:r w:rsidRPr="00151324">
        <w:rPr>
          <w:rFonts w:ascii="Times New Roman" w:hAnsi="Times New Roman" w:cs="Times New Roman"/>
          <w:sz w:val="24"/>
          <w:szCs w:val="24"/>
        </w:rPr>
        <w:t>, previa concessione o autorizzazione da parte dell’Ente proprietario. Trattandosi per lo più di strade</w:t>
      </w:r>
      <w:r w:rsidR="00056E6C" w:rsidRPr="00151324">
        <w:rPr>
          <w:rFonts w:ascii="Times New Roman" w:hAnsi="Times New Roman" w:cs="Times New Roman"/>
          <w:sz w:val="24"/>
          <w:szCs w:val="24"/>
        </w:rPr>
        <w:t xml:space="preserve"> o piazz</w:t>
      </w:r>
      <w:r w:rsidR="00300298" w:rsidRPr="00151324">
        <w:rPr>
          <w:rFonts w:ascii="Times New Roman" w:hAnsi="Times New Roman" w:cs="Times New Roman"/>
          <w:sz w:val="24"/>
          <w:szCs w:val="24"/>
        </w:rPr>
        <w:t>e</w:t>
      </w:r>
      <w:r w:rsidRPr="00151324">
        <w:rPr>
          <w:rFonts w:ascii="Times New Roman" w:hAnsi="Times New Roman" w:cs="Times New Roman"/>
          <w:sz w:val="24"/>
          <w:szCs w:val="24"/>
        </w:rPr>
        <w:t xml:space="preserve">, esso è riconducibile alla nozione di demanio stradale, la cui disciplina è rinvenibile ancora oggi negli artt. 822 e 824 c.c., a seconda che appartengano allo Stato, ovvero a Province e Comuni. La richiamata sistematica ha assunto oggi connotazioni più sfumate, laddove il suolo (e più in generale il bene pubblico) sia utilizzato da una specifica collettività, sì da essere ancorato alla tutela dell’interesse pubblico che fa capo alla stessa. Emblematica al riguardo la vicenda giuridica delle lagune venete, che non solo in quanto non  menzionate </w:t>
      </w:r>
      <w:r w:rsidR="00E5265E" w:rsidRPr="00151324">
        <w:rPr>
          <w:rFonts w:ascii="Times New Roman" w:hAnsi="Times New Roman" w:cs="Times New Roman"/>
          <w:sz w:val="24"/>
          <w:szCs w:val="24"/>
        </w:rPr>
        <w:t xml:space="preserve">come </w:t>
      </w:r>
      <w:r w:rsidRPr="00151324">
        <w:rPr>
          <w:rFonts w:ascii="Times New Roman" w:hAnsi="Times New Roman" w:cs="Times New Roman"/>
          <w:sz w:val="24"/>
          <w:szCs w:val="24"/>
        </w:rPr>
        <w:t xml:space="preserve">tali nell’elencazione dei beni demaniali (che contempla spiagge, rade dei porti, lidi) sono state ricondotte alla più moderna dizione di “bene comune” da </w:t>
      </w:r>
      <w:r w:rsidR="00E5265E" w:rsidRPr="00151324">
        <w:rPr>
          <w:rFonts w:ascii="Times New Roman" w:hAnsi="Times New Roman" w:cs="Times New Roman"/>
          <w:sz w:val="24"/>
          <w:szCs w:val="24"/>
        </w:rPr>
        <w:t xml:space="preserve">due ormai famose </w:t>
      </w:r>
      <w:r w:rsidRPr="00151324">
        <w:rPr>
          <w:rFonts w:ascii="Times New Roman" w:hAnsi="Times New Roman" w:cs="Times New Roman"/>
          <w:sz w:val="24"/>
          <w:szCs w:val="24"/>
        </w:rPr>
        <w:t xml:space="preserve">sentenze </w:t>
      </w:r>
      <w:r w:rsidR="00E5265E" w:rsidRPr="00151324">
        <w:rPr>
          <w:rFonts w:ascii="Times New Roman" w:hAnsi="Times New Roman" w:cs="Times New Roman"/>
          <w:sz w:val="24"/>
          <w:szCs w:val="24"/>
        </w:rPr>
        <w:t>“</w:t>
      </w:r>
      <w:r w:rsidRPr="00151324">
        <w:rPr>
          <w:rFonts w:ascii="Times New Roman" w:hAnsi="Times New Roman" w:cs="Times New Roman"/>
          <w:sz w:val="24"/>
          <w:szCs w:val="24"/>
        </w:rPr>
        <w:t>gemelle</w:t>
      </w:r>
      <w:r w:rsidR="00E5265E" w:rsidRPr="00151324">
        <w:rPr>
          <w:rFonts w:ascii="Times New Roman" w:hAnsi="Times New Roman" w:cs="Times New Roman"/>
          <w:sz w:val="24"/>
          <w:szCs w:val="24"/>
        </w:rPr>
        <w:t>”</w:t>
      </w:r>
      <w:r w:rsidRPr="00151324">
        <w:rPr>
          <w:rFonts w:ascii="Times New Roman" w:hAnsi="Times New Roman" w:cs="Times New Roman"/>
          <w:sz w:val="24"/>
          <w:szCs w:val="24"/>
        </w:rPr>
        <w:t xml:space="preserve"> della Corte di Cassazione, che hanno fornito lo spunto per lo sviluppo </w:t>
      </w:r>
      <w:r w:rsidRPr="00151324">
        <w:rPr>
          <w:rFonts w:ascii="Times New Roman" w:hAnsi="Times New Roman" w:cs="Times New Roman"/>
          <w:sz w:val="24"/>
          <w:szCs w:val="24"/>
          <w:shd w:val="clear" w:color="auto" w:fill="FFFFFF"/>
        </w:rPr>
        <w:t xml:space="preserve">di una teoria </w:t>
      </w:r>
      <w:proofErr w:type="spellStart"/>
      <w:r w:rsidRPr="00151324">
        <w:rPr>
          <w:rFonts w:ascii="Times New Roman" w:hAnsi="Times New Roman" w:cs="Times New Roman"/>
          <w:sz w:val="24"/>
          <w:szCs w:val="24"/>
          <w:shd w:val="clear" w:color="auto" w:fill="FFFFFF"/>
        </w:rPr>
        <w:t>giuseconomica</w:t>
      </w:r>
      <w:proofErr w:type="spellEnd"/>
      <w:r w:rsidR="00E5265E" w:rsidRPr="00151324">
        <w:rPr>
          <w:rFonts w:ascii="Times New Roman" w:hAnsi="Times New Roman" w:cs="Times New Roman"/>
          <w:sz w:val="24"/>
          <w:szCs w:val="24"/>
          <w:shd w:val="clear" w:color="auto" w:fill="FFFFFF"/>
        </w:rPr>
        <w:t xml:space="preserve"> della proprietà pubblica laddove </w:t>
      </w:r>
      <w:r w:rsidRPr="00151324">
        <w:rPr>
          <w:rFonts w:ascii="Times New Roman" w:hAnsi="Times New Roman" w:cs="Times New Roman"/>
          <w:sz w:val="24"/>
          <w:szCs w:val="24"/>
          <w:shd w:val="clear" w:color="auto" w:fill="FFFFFF"/>
        </w:rPr>
        <w:t>affermano che «</w:t>
      </w:r>
      <w:r w:rsidRPr="00151324">
        <w:rPr>
          <w:rStyle w:val="Enfasicorsivo"/>
          <w:rFonts w:ascii="Times New Roman" w:hAnsi="Times New Roman" w:cs="Times New Roman"/>
          <w:sz w:val="24"/>
          <w:szCs w:val="24"/>
          <w:shd w:val="clear" w:color="auto" w:fill="FFFFFF"/>
        </w:rPr>
        <w:t>il solo aspetto della demanialità non appare esaustivo per individuare beni che, per loro intrinseca natura, o sono caratterizzati da un godimento collettivo o </w:t>
      </w:r>
      <w:r w:rsidRPr="00151324">
        <w:rPr>
          <w:rFonts w:ascii="Times New Roman" w:hAnsi="Times New Roman" w:cs="Times New Roman"/>
          <w:sz w:val="24"/>
          <w:szCs w:val="24"/>
          <w:shd w:val="clear" w:color="auto" w:fill="FFFFFF"/>
        </w:rPr>
        <w:t>[..]</w:t>
      </w:r>
      <w:r w:rsidRPr="00151324">
        <w:rPr>
          <w:rStyle w:val="Enfasicorsivo"/>
          <w:rFonts w:ascii="Times New Roman" w:hAnsi="Times New Roman" w:cs="Times New Roman"/>
          <w:sz w:val="24"/>
          <w:szCs w:val="24"/>
          <w:shd w:val="clear" w:color="auto" w:fill="FFFFFF"/>
        </w:rPr>
        <w:t> risultano funzionali ad interessi della stessa collettività »</w:t>
      </w:r>
      <w:r w:rsidR="00E5265E" w:rsidRPr="00151324">
        <w:rPr>
          <w:rStyle w:val="Enfasicorsivo"/>
          <w:rFonts w:ascii="Times New Roman" w:hAnsi="Times New Roman" w:cs="Times New Roman"/>
          <w:sz w:val="24"/>
          <w:szCs w:val="24"/>
          <w:shd w:val="clear" w:color="auto" w:fill="FFFFFF"/>
        </w:rPr>
        <w:t xml:space="preserve">, </w:t>
      </w:r>
      <w:r w:rsidR="00E5265E" w:rsidRPr="00151324">
        <w:rPr>
          <w:rStyle w:val="Enfasicorsivo"/>
          <w:rFonts w:ascii="Times New Roman" w:hAnsi="Times New Roman" w:cs="Times New Roman"/>
          <w:i w:val="0"/>
          <w:sz w:val="24"/>
          <w:szCs w:val="24"/>
          <w:shd w:val="clear" w:color="auto" w:fill="FFFFFF"/>
        </w:rPr>
        <w:t xml:space="preserve">di fatto valorizzando l’utilizzo, piuttosto che la </w:t>
      </w:r>
      <w:r w:rsidRPr="00151324">
        <w:rPr>
          <w:rFonts w:ascii="Times New Roman" w:hAnsi="Times New Roman" w:cs="Times New Roman"/>
          <w:sz w:val="24"/>
          <w:szCs w:val="24"/>
        </w:rPr>
        <w:t xml:space="preserve">titolarità </w:t>
      </w:r>
      <w:r w:rsidRPr="00151324">
        <w:rPr>
          <w:rStyle w:val="Rimandonotaapidipagina"/>
          <w:rFonts w:ascii="Times New Roman" w:hAnsi="Times New Roman" w:cs="Times New Roman"/>
          <w:sz w:val="24"/>
          <w:szCs w:val="24"/>
        </w:rPr>
        <w:footnoteReference w:id="23"/>
      </w:r>
      <w:r w:rsidRPr="00151324">
        <w:rPr>
          <w:rFonts w:ascii="Times New Roman" w:hAnsi="Times New Roman" w:cs="Times New Roman"/>
          <w:sz w:val="24"/>
          <w:szCs w:val="24"/>
        </w:rPr>
        <w:t xml:space="preserve">. </w:t>
      </w:r>
    </w:p>
    <w:p w14:paraId="78DEC7B9" w14:textId="6DA7820A" w:rsidR="00E5265E" w:rsidRPr="00151324" w:rsidRDefault="00F7349B" w:rsidP="00151324">
      <w:pPr>
        <w:pStyle w:val="Standard"/>
        <w:spacing w:after="0" w:line="360" w:lineRule="auto"/>
        <w:jc w:val="both"/>
        <w:rPr>
          <w:rFonts w:ascii="Times New Roman" w:eastAsia="Times New Roman" w:hAnsi="Times New Roman" w:cs="Times New Roman"/>
          <w:sz w:val="24"/>
          <w:szCs w:val="24"/>
          <w:lang w:eastAsia="it-IT"/>
        </w:rPr>
      </w:pPr>
      <w:r w:rsidRPr="00151324">
        <w:rPr>
          <w:rFonts w:ascii="Times New Roman" w:hAnsi="Times New Roman" w:cs="Times New Roman"/>
          <w:sz w:val="24"/>
          <w:szCs w:val="24"/>
        </w:rPr>
        <w:t xml:space="preserve">Ciò ha consentito nel tempo la valorizzazione di istituti, quali il c.d. </w:t>
      </w:r>
      <w:r w:rsidRPr="00151324">
        <w:rPr>
          <w:rFonts w:ascii="Times New Roman" w:eastAsia="Times New Roman" w:hAnsi="Times New Roman" w:cs="Times New Roman"/>
          <w:sz w:val="24"/>
          <w:szCs w:val="24"/>
          <w:lang w:eastAsia="it-IT"/>
        </w:rPr>
        <w:t>‘baratto amministrativo”, che fondano il rapporto sinallagmatico tra privato e pubblica amministrazione proprio sul coinvolgimento dei cittadini, singoli o associati, nella gestione del “bene comune”</w:t>
      </w:r>
      <w:r w:rsidR="00E5265E" w:rsidRPr="00151324">
        <w:rPr>
          <w:rFonts w:ascii="Times New Roman" w:eastAsia="Times New Roman" w:hAnsi="Times New Roman" w:cs="Times New Roman"/>
          <w:sz w:val="24"/>
          <w:szCs w:val="24"/>
          <w:lang w:eastAsia="it-IT"/>
        </w:rPr>
        <w:t>, in un’ottica di recupero di contenitori degradati, politiche di sicurezza delle periferie, ovvero più semplicemente perequazione tra diretta presa in carico di servizi pubblici, quali il mantenimento del verde o la pulizia e assunzione dell’onere economico degli stessi</w:t>
      </w:r>
      <w:r w:rsidRPr="00151324">
        <w:rPr>
          <w:rStyle w:val="Rimandonotaapidipagina"/>
          <w:rFonts w:ascii="Times New Roman" w:hAnsi="Times New Roman" w:cs="Times New Roman"/>
          <w:sz w:val="24"/>
          <w:szCs w:val="24"/>
        </w:rPr>
        <w:footnoteReference w:id="24"/>
      </w:r>
      <w:r w:rsidRPr="00151324">
        <w:rPr>
          <w:rFonts w:ascii="Times New Roman" w:eastAsia="Times New Roman" w:hAnsi="Times New Roman" w:cs="Times New Roman"/>
          <w:sz w:val="24"/>
          <w:szCs w:val="24"/>
          <w:lang w:eastAsia="it-IT"/>
        </w:rPr>
        <w:t xml:space="preserve">. </w:t>
      </w:r>
    </w:p>
    <w:p w14:paraId="0E861CB8" w14:textId="4D3DFC50" w:rsidR="006B0E9A" w:rsidRPr="00151324" w:rsidRDefault="00F7349B" w:rsidP="00151324">
      <w:pPr>
        <w:pStyle w:val="popolo"/>
        <w:spacing w:before="0" w:beforeAutospacing="0" w:after="0" w:afterAutospacing="0" w:line="360" w:lineRule="auto"/>
        <w:jc w:val="both"/>
      </w:pPr>
      <w:r w:rsidRPr="00151324">
        <w:t>La fruizione del suolo pubblico</w:t>
      </w:r>
      <w:r w:rsidR="00F842B9" w:rsidRPr="00151324">
        <w:t>,</w:t>
      </w:r>
      <w:r w:rsidRPr="00151324">
        <w:t xml:space="preserve"> sottraendolo all’uso della collettività</w:t>
      </w:r>
      <w:r w:rsidR="00F842B9" w:rsidRPr="00151324">
        <w:t>,</w:t>
      </w:r>
      <w:r w:rsidRPr="00151324">
        <w:t xml:space="preserve"> è soggett</w:t>
      </w:r>
      <w:r w:rsidR="00F842B9" w:rsidRPr="00151324">
        <w:t>a</w:t>
      </w:r>
      <w:r w:rsidRPr="00151324">
        <w:t xml:space="preserve"> a concessione</w:t>
      </w:r>
      <w:r w:rsidR="00F932F3" w:rsidRPr="00151324">
        <w:rPr>
          <w:rStyle w:val="Rimandonotaapidipagina"/>
        </w:rPr>
        <w:footnoteReference w:id="25"/>
      </w:r>
      <w:r w:rsidRPr="00151324">
        <w:t>, per l’attribuzione della quale operano i principi di evidenza pubblica come ormai definitivamente chiarito nell’organica evoluzione normativa, dottrinaria e giurisprudenziale della materia, diretta a ricondurre l</w:t>
      </w:r>
      <w:r w:rsidR="00E5265E" w:rsidRPr="00151324">
        <w:t>’</w:t>
      </w:r>
      <w:r w:rsidRPr="00151324">
        <w:t>attribuzione di tutte tali fattispecie al rispetto dei principi di matrice comunitaria di imparzialità e di trasparenza</w:t>
      </w:r>
      <w:r w:rsidRPr="00151324">
        <w:rPr>
          <w:rStyle w:val="Rimandonotaapidipagina"/>
        </w:rPr>
        <w:footnoteReference w:id="26"/>
      </w:r>
      <w:r w:rsidRPr="00151324">
        <w:t>.</w:t>
      </w:r>
      <w:r w:rsidR="00F932F3" w:rsidRPr="00151324">
        <w:t xml:space="preserve"> In sintesi, pur avendo avuto la vicenda minore risonanza, anche mediatica, le medesime affermazioni riferite alla sottrazione all’uso collettivo di aree del demanio marittimo si attagliano anche alla mera concessione di “preselle” di suolo pubblico (posteggi e simili), tanto che l’affermazione della diretta applicabilità dei principi </w:t>
      </w:r>
      <w:proofErr w:type="spellStart"/>
      <w:r w:rsidR="00F932F3" w:rsidRPr="00151324">
        <w:t>eurounitari</w:t>
      </w:r>
      <w:proofErr w:type="spellEnd"/>
      <w:r w:rsidR="00F932F3" w:rsidRPr="00151324">
        <w:t xml:space="preserve"> da parte anche del singolo funzionario chiamato a gestire la normativa di settore ha da tempo determinato la preoccupazione degli operatori economici e l’inerzia degli uffici comunali competenti. </w:t>
      </w:r>
      <w:r w:rsidR="00BC30B3" w:rsidRPr="00151324">
        <w:t>Non a caso, nel parere  espresso dall’AGCOM in sede di audizione parlamentare, si richiamano la giurisprudenza nazionale e comunitaria in materia di concessioni demaniali marittime per evocarne i principi anche con riferimento alle concessioni per l’esercizio del commercio su aree pubbliche</w:t>
      </w:r>
      <w:r w:rsidR="00BC30B3" w:rsidRPr="00151324">
        <w:rPr>
          <w:rStyle w:val="Rimandonotaapidipagina"/>
        </w:rPr>
        <w:footnoteReference w:id="27"/>
      </w:r>
      <w:r w:rsidR="002E39E2" w:rsidRPr="00151324">
        <w:t>. La materia peraltro è stata ulteriormente complicata dal fatto che in alcune Regioni molti Comuni hanno comunque provveduto ai rinnovi delle concessioni in base alla legislazione in vigore, “sfruttando” le norme emergenziali relative all’epidemia da Covid-19 che consentono la conclusione dei procedimenti entro novanta giorni dalla cessazione dello stato di emergenza</w:t>
      </w:r>
      <w:r w:rsidR="00DE468B" w:rsidRPr="00151324">
        <w:rPr>
          <w:rStyle w:val="Rimandonotaapidipagina"/>
        </w:rPr>
        <w:footnoteReference w:id="28"/>
      </w:r>
      <w:r w:rsidR="002E39E2" w:rsidRPr="00151324">
        <w:t xml:space="preserve">. </w:t>
      </w:r>
      <w:r w:rsidR="006B0E9A" w:rsidRPr="00151324">
        <w:t>Quanto detto mentre cominciano a farsi strada le prime sentenze nelle quali si riconosce espressamente la riferibilità della disciplina comunitaria al settore del commercio in aree pubbliche sulla base del percorso argomentativo dell’Adunanza Plenaria laddove afferma che «</w:t>
      </w:r>
      <w:r w:rsidR="006B0E9A" w:rsidRPr="00151324">
        <w:rPr>
          <w:i/>
          <w:iCs/>
        </w:rPr>
        <w:t xml:space="preserve">la tutela della concorrenza (e l’obbligo di evidenza pubblica che esso implica) è, d’altronde, una “materia” trasversale, che attraversa anche quei settori in cui l’Unione europea è priva di ogni tipo di competenza o ha solo una competenza di “sostegno”: anche in tali settori, quando acquisiscono risorse strumentali all’esercizio delle relative attività (o quando concedono il diritto di sfruttare economicamente risorse naturali limitate), gli Stati membri sono tenuti all’obbligo della gara, che si pone a monte dell’attività poi svolta in quella materia. Altrimenti, si dovrebbe paradossalmente ritenere che anche le direttive comunitarie in materia di appalti e concessioni non potrebbero trovare applicazione ai contratti diretti a procurare risorse strumentali all’esercizio di attività riservate alla sovranità nazionale degli Stati». </w:t>
      </w:r>
      <w:r w:rsidR="006B0E9A" w:rsidRPr="00151324">
        <w:t xml:space="preserve">In altri termini, la direttiva impone l’indizione di gare pubbliche a tutela della concorrenza per il mercato, materia “trasversale” che è suscettibile di trovare applicazione in vari settori dell’ordinamento nazionale, tra cui deve senz’altro farsi rientrare quello delle concessioni di parcheggi a rotazione per l’esercizio del commercio su aree pubbliche per altro caratterizzati anch’essi, come già detto, dalla scarsità delle concessioni </w:t>
      </w:r>
      <w:proofErr w:type="spellStart"/>
      <w:r w:rsidR="006B0E9A" w:rsidRPr="00151324">
        <w:t>assentibili</w:t>
      </w:r>
      <w:proofErr w:type="spellEnd"/>
      <w:r w:rsidR="006B0E9A" w:rsidRPr="00151324">
        <w:rPr>
          <w:rStyle w:val="Rimandonotaapidipagina"/>
        </w:rPr>
        <w:footnoteReference w:id="29"/>
      </w:r>
      <w:r w:rsidR="006B0E9A" w:rsidRPr="00151324">
        <w:t>.</w:t>
      </w:r>
    </w:p>
    <w:p w14:paraId="5C10AF07" w14:textId="77777777" w:rsidR="00F30292" w:rsidRPr="00151324" w:rsidRDefault="00F30292"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In linea di massima, le controversie che attingono alle concessioni di suolo pubblico sottostanno alle regole generali individuate dalla giurisprudenza per il riparto di giurisdizione. Spettano dunque al giudice ordinario quelle </w:t>
      </w:r>
      <w:r w:rsidRPr="00151324">
        <w:rPr>
          <w:rFonts w:ascii="Times New Roman" w:hAnsi="Times New Roman" w:cs="Times New Roman"/>
          <w:sz w:val="24"/>
          <w:szCs w:val="24"/>
          <w:shd w:val="clear" w:color="auto" w:fill="FFFFFF"/>
        </w:rPr>
        <w:t xml:space="preserve">concernenti indennità, canoni o altri corrispettivi, in quanto a </w:t>
      </w:r>
      <w:r w:rsidRPr="00151324">
        <w:rPr>
          <w:rFonts w:ascii="Times New Roman" w:hAnsi="Times New Roman" w:cs="Times New Roman"/>
          <w:sz w:val="24"/>
          <w:szCs w:val="24"/>
        </w:rPr>
        <w:t>contenuto meramente patrimoniale, senza che assuma rilievo un potere d</w:t>
      </w:r>
      <w:r w:rsidR="00B76E35" w:rsidRPr="00151324">
        <w:rPr>
          <w:rFonts w:ascii="Times New Roman" w:hAnsi="Times New Roman" w:cs="Times New Roman"/>
          <w:sz w:val="24"/>
          <w:szCs w:val="24"/>
        </w:rPr>
        <w:t>’</w:t>
      </w:r>
      <w:r w:rsidRPr="00151324">
        <w:rPr>
          <w:rFonts w:ascii="Times New Roman" w:hAnsi="Times New Roman" w:cs="Times New Roman"/>
          <w:sz w:val="24"/>
          <w:szCs w:val="24"/>
        </w:rPr>
        <w:t>intervento della P.A. a tutela di interessi generali (</w:t>
      </w:r>
      <w:r w:rsidR="00B76E35" w:rsidRPr="00151324">
        <w:rPr>
          <w:rFonts w:ascii="Times New Roman" w:hAnsi="Times New Roman" w:cs="Times New Roman"/>
          <w:i/>
          <w:sz w:val="24"/>
          <w:szCs w:val="24"/>
        </w:rPr>
        <w:t xml:space="preserve">ex </w:t>
      </w:r>
      <w:proofErr w:type="spellStart"/>
      <w:r w:rsidR="00B76E35" w:rsidRPr="00151324">
        <w:rPr>
          <w:rFonts w:ascii="Times New Roman" w:hAnsi="Times New Roman" w:cs="Times New Roman"/>
          <w:i/>
          <w:sz w:val="24"/>
          <w:szCs w:val="24"/>
        </w:rPr>
        <w:t>plurimis</w:t>
      </w:r>
      <w:proofErr w:type="spellEnd"/>
      <w:r w:rsidR="00B76E35" w:rsidRPr="00151324">
        <w:rPr>
          <w:rFonts w:ascii="Times New Roman" w:hAnsi="Times New Roman" w:cs="Times New Roman"/>
          <w:sz w:val="24"/>
          <w:szCs w:val="24"/>
        </w:rPr>
        <w:t xml:space="preserve">, </w:t>
      </w:r>
      <w:proofErr w:type="spellStart"/>
      <w:r w:rsidRPr="00151324">
        <w:rPr>
          <w:rFonts w:ascii="Times New Roman" w:hAnsi="Times New Roman" w:cs="Times New Roman"/>
          <w:sz w:val="24"/>
          <w:szCs w:val="24"/>
        </w:rPr>
        <w:t>Cass</w:t>
      </w:r>
      <w:proofErr w:type="spellEnd"/>
      <w:r w:rsidRPr="00151324">
        <w:rPr>
          <w:rFonts w:ascii="Times New Roman" w:hAnsi="Times New Roman" w:cs="Times New Roman"/>
          <w:sz w:val="24"/>
          <w:szCs w:val="24"/>
        </w:rPr>
        <w:t xml:space="preserve">., SS.UU., </w:t>
      </w:r>
      <w:proofErr w:type="spellStart"/>
      <w:r w:rsidRPr="00151324">
        <w:rPr>
          <w:rFonts w:ascii="Times New Roman" w:hAnsi="Times New Roman" w:cs="Times New Roman"/>
          <w:sz w:val="24"/>
          <w:szCs w:val="24"/>
        </w:rPr>
        <w:t>ord</w:t>
      </w:r>
      <w:proofErr w:type="spellEnd"/>
      <w:r w:rsidRPr="00151324">
        <w:rPr>
          <w:rFonts w:ascii="Times New Roman" w:hAnsi="Times New Roman" w:cs="Times New Roman"/>
          <w:sz w:val="24"/>
          <w:szCs w:val="24"/>
        </w:rPr>
        <w:t>. 30 luglio 2020, n. 16459). </w:t>
      </w:r>
    </w:p>
    <w:p w14:paraId="0717811A" w14:textId="1003B8FA" w:rsidR="00624121" w:rsidRPr="00151324" w:rsidRDefault="002F23BA"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Con riferimento al canone, solo </w:t>
      </w:r>
      <w:r w:rsidRPr="00151324">
        <w:rPr>
          <w:rFonts w:ascii="Times New Roman" w:hAnsi="Times New Roman" w:cs="Times New Roman"/>
          <w:sz w:val="24"/>
          <w:szCs w:val="24"/>
          <w:shd w:val="clear" w:color="auto" w:fill="FFFFFF"/>
        </w:rPr>
        <w:t xml:space="preserve">quando </w:t>
      </w:r>
      <w:r w:rsidRPr="00151324">
        <w:rPr>
          <w:rFonts w:ascii="Times New Roman" w:hAnsi="Times New Roman" w:cs="Times New Roman"/>
          <w:sz w:val="24"/>
          <w:szCs w:val="24"/>
        </w:rPr>
        <w:t>venga in contestazione - come, nel caso dell</w:t>
      </w:r>
      <w:r w:rsidR="00B76E35" w:rsidRPr="00151324">
        <w:rPr>
          <w:rFonts w:ascii="Times New Roman" w:hAnsi="Times New Roman" w:cs="Times New Roman"/>
          <w:sz w:val="24"/>
          <w:szCs w:val="24"/>
        </w:rPr>
        <w:t>’</w:t>
      </w:r>
      <w:r w:rsidRPr="00151324">
        <w:rPr>
          <w:rFonts w:ascii="Times New Roman" w:hAnsi="Times New Roman" w:cs="Times New Roman"/>
          <w:sz w:val="24"/>
          <w:szCs w:val="24"/>
        </w:rPr>
        <w:t xml:space="preserve">impugnazione del regolamento </w:t>
      </w:r>
      <w:r w:rsidR="00B76E35" w:rsidRPr="00151324">
        <w:rPr>
          <w:rFonts w:ascii="Times New Roman" w:hAnsi="Times New Roman" w:cs="Times New Roman"/>
          <w:sz w:val="24"/>
          <w:szCs w:val="24"/>
        </w:rPr>
        <w:t>–</w:t>
      </w:r>
      <w:r w:rsidRPr="00151324">
        <w:rPr>
          <w:rFonts w:ascii="Times New Roman" w:hAnsi="Times New Roman" w:cs="Times New Roman"/>
          <w:sz w:val="24"/>
          <w:szCs w:val="24"/>
        </w:rPr>
        <w:t xml:space="preserve"> l</w:t>
      </w:r>
      <w:r w:rsidR="00B76E35" w:rsidRPr="00151324">
        <w:rPr>
          <w:rFonts w:ascii="Times New Roman" w:hAnsi="Times New Roman" w:cs="Times New Roman"/>
          <w:sz w:val="24"/>
          <w:szCs w:val="24"/>
        </w:rPr>
        <w:t>’</w:t>
      </w:r>
      <w:r w:rsidRPr="00151324">
        <w:rPr>
          <w:rFonts w:ascii="Times New Roman" w:hAnsi="Times New Roman" w:cs="Times New Roman"/>
          <w:sz w:val="24"/>
          <w:szCs w:val="24"/>
        </w:rPr>
        <w:t xml:space="preserve">esercizio di poteri valutativo-discrezionali nella sua determinazione </w:t>
      </w:r>
      <w:r w:rsidR="00F30292" w:rsidRPr="00151324">
        <w:rPr>
          <w:rFonts w:ascii="Times New Roman" w:hAnsi="Times New Roman" w:cs="Times New Roman"/>
          <w:sz w:val="24"/>
          <w:szCs w:val="24"/>
        </w:rPr>
        <w:t>«</w:t>
      </w:r>
      <w:r w:rsidRPr="00151324">
        <w:rPr>
          <w:rFonts w:ascii="Times New Roman" w:hAnsi="Times New Roman" w:cs="Times New Roman"/>
          <w:i/>
          <w:sz w:val="24"/>
          <w:szCs w:val="24"/>
        </w:rPr>
        <w:t xml:space="preserve">sia in punto di an </w:t>
      </w:r>
      <w:proofErr w:type="spellStart"/>
      <w:r w:rsidRPr="00151324">
        <w:rPr>
          <w:rFonts w:ascii="Times New Roman" w:hAnsi="Times New Roman" w:cs="Times New Roman"/>
          <w:i/>
          <w:sz w:val="24"/>
          <w:szCs w:val="24"/>
        </w:rPr>
        <w:t>debeatur</w:t>
      </w:r>
      <w:proofErr w:type="spellEnd"/>
      <w:r w:rsidRPr="00151324">
        <w:rPr>
          <w:rFonts w:ascii="Times New Roman" w:hAnsi="Times New Roman" w:cs="Times New Roman"/>
          <w:i/>
          <w:sz w:val="24"/>
          <w:szCs w:val="24"/>
        </w:rPr>
        <w:t xml:space="preserve"> sia in punto di individuazione dei criteri di determinazione del quantum </w:t>
      </w:r>
      <w:proofErr w:type="spellStart"/>
      <w:r w:rsidRPr="00151324">
        <w:rPr>
          <w:rFonts w:ascii="Times New Roman" w:hAnsi="Times New Roman" w:cs="Times New Roman"/>
          <w:i/>
          <w:sz w:val="24"/>
          <w:szCs w:val="24"/>
        </w:rPr>
        <w:t>debeatur</w:t>
      </w:r>
      <w:proofErr w:type="spellEnd"/>
      <w:r w:rsidRPr="00151324">
        <w:rPr>
          <w:rFonts w:ascii="Times New Roman" w:hAnsi="Times New Roman" w:cs="Times New Roman"/>
          <w:i/>
          <w:sz w:val="24"/>
          <w:szCs w:val="24"/>
        </w:rPr>
        <w:t>, e non già il suo mero calcolo aritmetico sulla base di criteri già predeterminati</w:t>
      </w:r>
      <w:r w:rsidR="00F30292" w:rsidRPr="00151324">
        <w:rPr>
          <w:rFonts w:ascii="Times New Roman" w:hAnsi="Times New Roman" w:cs="Times New Roman"/>
          <w:sz w:val="24"/>
          <w:szCs w:val="24"/>
        </w:rPr>
        <w:t>»</w:t>
      </w:r>
      <w:r w:rsidR="00F7349B" w:rsidRPr="00151324">
        <w:rPr>
          <w:rFonts w:ascii="Times New Roman" w:hAnsi="Times New Roman" w:cs="Times New Roman"/>
          <w:sz w:val="24"/>
          <w:szCs w:val="24"/>
        </w:rPr>
        <w:t>, l</w:t>
      </w:r>
      <w:r w:rsidRPr="00151324">
        <w:rPr>
          <w:rFonts w:ascii="Times New Roman" w:hAnsi="Times New Roman" w:cs="Times New Roman"/>
          <w:sz w:val="24"/>
          <w:szCs w:val="24"/>
        </w:rPr>
        <w:t>a competenza è del giudice amministrativo</w:t>
      </w:r>
      <w:r w:rsidR="00B76E35" w:rsidRPr="00151324">
        <w:rPr>
          <w:rStyle w:val="Rimandonotaapidipagina"/>
          <w:rFonts w:ascii="Times New Roman" w:hAnsi="Times New Roman" w:cs="Times New Roman"/>
          <w:sz w:val="24"/>
          <w:szCs w:val="24"/>
        </w:rPr>
        <w:footnoteReference w:id="30"/>
      </w:r>
      <w:r w:rsidRPr="00151324">
        <w:rPr>
          <w:rFonts w:ascii="Times New Roman" w:hAnsi="Times New Roman" w:cs="Times New Roman"/>
          <w:sz w:val="24"/>
          <w:szCs w:val="24"/>
        </w:rPr>
        <w:t>.</w:t>
      </w:r>
      <w:r w:rsidR="00624121" w:rsidRPr="00151324">
        <w:rPr>
          <w:rFonts w:ascii="Times New Roman" w:hAnsi="Times New Roman" w:cs="Times New Roman"/>
          <w:sz w:val="24"/>
          <w:szCs w:val="24"/>
        </w:rPr>
        <w:t xml:space="preserve"> </w:t>
      </w:r>
    </w:p>
    <w:p w14:paraId="2BC088F4" w14:textId="07EA2C5A" w:rsidR="002F23BA" w:rsidRPr="00151324" w:rsidRDefault="00624121" w:rsidP="00151324">
      <w:pPr>
        <w:shd w:val="clear" w:color="auto" w:fill="FFFFFF"/>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shd w:val="clear" w:color="auto" w:fill="FFFFFF"/>
        </w:rPr>
        <w:t>Giova rammentare il quadro normativo: l</w:t>
      </w:r>
      <w:r w:rsidR="00B76E35"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art. 42 del </w:t>
      </w:r>
      <w:r w:rsidR="00B76E35" w:rsidRPr="00151324">
        <w:rPr>
          <w:rFonts w:ascii="Times New Roman" w:hAnsi="Times New Roman" w:cs="Times New Roman"/>
          <w:sz w:val="24"/>
          <w:szCs w:val="24"/>
          <w:shd w:val="clear" w:color="auto" w:fill="FFFFFF"/>
        </w:rPr>
        <w:t xml:space="preserve">d.lgs. n. </w:t>
      </w:r>
      <w:r w:rsidRPr="00151324">
        <w:rPr>
          <w:rFonts w:ascii="Times New Roman" w:hAnsi="Times New Roman" w:cs="Times New Roman"/>
          <w:sz w:val="24"/>
          <w:szCs w:val="24"/>
          <w:shd w:val="clear" w:color="auto" w:fill="FFFFFF"/>
        </w:rPr>
        <w:t xml:space="preserve"> 507 del 1993, concernente la «</w:t>
      </w:r>
      <w:r w:rsidRPr="00151324">
        <w:rPr>
          <w:rFonts w:ascii="Times New Roman" w:hAnsi="Times New Roman" w:cs="Times New Roman"/>
          <w:i/>
          <w:sz w:val="24"/>
          <w:szCs w:val="24"/>
          <w:shd w:val="clear" w:color="auto" w:fill="FFFFFF"/>
        </w:rPr>
        <w:t>Revisione ed armonizzazione dell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imposta comunale sulla pubblicità e del diritto sulle pubbliche affissioni, della tassa per 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occupazione di spazi ed aree pubbliche dei Comuni e delle Province nonché della tassa per lo smaltimento dei rifiuti solidi urbani a norma dell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art. 4 della legge 23 ottobre 1992, n. 421, concernente il riordino della finanza territoriale Ecologia</w:t>
      </w:r>
      <w:r w:rsidRPr="00151324">
        <w:rPr>
          <w:rFonts w:ascii="Times New Roman" w:hAnsi="Times New Roman" w:cs="Times New Roman"/>
          <w:sz w:val="24"/>
          <w:szCs w:val="24"/>
          <w:shd w:val="clear" w:color="auto" w:fill="FFFFFF"/>
        </w:rPr>
        <w:t xml:space="preserve">», </w:t>
      </w:r>
      <w:r w:rsidR="00B76E35" w:rsidRPr="00151324">
        <w:rPr>
          <w:rFonts w:ascii="Times New Roman" w:hAnsi="Times New Roman" w:cs="Times New Roman"/>
          <w:sz w:val="24"/>
          <w:szCs w:val="24"/>
          <w:shd w:val="clear" w:color="auto" w:fill="FFFFFF"/>
        </w:rPr>
        <w:t>ha introdotto la distinzione tra occupazioni d</w:t>
      </w:r>
      <w:r w:rsidRPr="00151324">
        <w:rPr>
          <w:rFonts w:ascii="Times New Roman" w:hAnsi="Times New Roman" w:cs="Times New Roman"/>
          <w:sz w:val="24"/>
          <w:szCs w:val="24"/>
          <w:shd w:val="clear" w:color="auto" w:fill="FFFFFF"/>
        </w:rPr>
        <w:t xml:space="preserve">i spazi ed aree pubbliche </w:t>
      </w:r>
      <w:r w:rsidR="00B76E35"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permanenti</w:t>
      </w:r>
      <w:r w:rsidR="00B76E35" w:rsidRPr="00151324">
        <w:rPr>
          <w:rFonts w:ascii="Times New Roman" w:hAnsi="Times New Roman" w:cs="Times New Roman"/>
          <w:sz w:val="24"/>
          <w:szCs w:val="24"/>
          <w:shd w:val="clear" w:color="auto" w:fill="FFFFFF"/>
        </w:rPr>
        <w:t xml:space="preserve">” o meno, considerando tali </w:t>
      </w:r>
      <w:r w:rsidRPr="00151324">
        <w:rPr>
          <w:rFonts w:ascii="Times New Roman" w:hAnsi="Times New Roman" w:cs="Times New Roman"/>
          <w:sz w:val="24"/>
          <w:szCs w:val="24"/>
          <w:shd w:val="clear" w:color="auto" w:fill="FFFFFF"/>
        </w:rPr>
        <w:t>quelle «</w:t>
      </w:r>
      <w:r w:rsidRPr="00151324">
        <w:rPr>
          <w:rFonts w:ascii="Times New Roman" w:hAnsi="Times New Roman" w:cs="Times New Roman"/>
          <w:i/>
          <w:sz w:val="24"/>
          <w:szCs w:val="24"/>
          <w:shd w:val="clear" w:color="auto" w:fill="FFFFFF"/>
        </w:rPr>
        <w:t>di carattere stabile, effettuate a seguito del rilascio di un atto di concessione, aventi, comunque, durata non inferiore all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anno, comportino o meno 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esistenza di manufatti o impianti</w:t>
      </w:r>
      <w:r w:rsidRPr="00151324">
        <w:rPr>
          <w:rFonts w:ascii="Times New Roman" w:hAnsi="Times New Roman" w:cs="Times New Roman"/>
          <w:sz w:val="24"/>
          <w:szCs w:val="24"/>
          <w:shd w:val="clear" w:color="auto" w:fill="FFFFFF"/>
        </w:rPr>
        <w:t xml:space="preserve">» (comma 1, lett. a), </w:t>
      </w:r>
      <w:r w:rsidR="00B76E35" w:rsidRPr="00151324">
        <w:rPr>
          <w:rFonts w:ascii="Times New Roman" w:hAnsi="Times New Roman" w:cs="Times New Roman"/>
          <w:sz w:val="24"/>
          <w:szCs w:val="24"/>
          <w:shd w:val="clear" w:color="auto" w:fill="FFFFFF"/>
        </w:rPr>
        <w:t xml:space="preserve">per le quali </w:t>
      </w:r>
      <w:r w:rsidRPr="00151324">
        <w:rPr>
          <w:rFonts w:ascii="Times New Roman" w:hAnsi="Times New Roman" w:cs="Times New Roman"/>
          <w:sz w:val="24"/>
          <w:szCs w:val="24"/>
          <w:shd w:val="clear" w:color="auto" w:fill="FFFFFF"/>
        </w:rPr>
        <w:t>era dovuta una tassa, a tariffa - variabile - «</w:t>
      </w:r>
      <w:r w:rsidRPr="00151324">
        <w:rPr>
          <w:rFonts w:ascii="Times New Roman" w:hAnsi="Times New Roman" w:cs="Times New Roman"/>
          <w:i/>
          <w:sz w:val="24"/>
          <w:szCs w:val="24"/>
          <w:shd w:val="clear" w:color="auto" w:fill="FFFFFF"/>
        </w:rPr>
        <w:t>graduata a seconda dell</w:t>
      </w:r>
      <w:r w:rsidR="00B76E35" w:rsidRPr="00151324">
        <w:rPr>
          <w:rFonts w:ascii="Times New Roman" w:hAnsi="Times New Roman" w:cs="Times New Roman"/>
          <w:i/>
          <w:sz w:val="24"/>
          <w:szCs w:val="24"/>
          <w:shd w:val="clear" w:color="auto" w:fill="FFFFFF"/>
        </w:rPr>
        <w:t>’</w:t>
      </w:r>
      <w:r w:rsidR="00C610EF" w:rsidRPr="00151324">
        <w:rPr>
          <w:rFonts w:ascii="Times New Roman" w:hAnsi="Times New Roman" w:cs="Times New Roman"/>
          <w:i/>
          <w:sz w:val="24"/>
          <w:szCs w:val="24"/>
          <w:shd w:val="clear" w:color="auto" w:fill="FFFFFF"/>
        </w:rPr>
        <w:t>i</w:t>
      </w:r>
      <w:r w:rsidRPr="00151324">
        <w:rPr>
          <w:rFonts w:ascii="Times New Roman" w:hAnsi="Times New Roman" w:cs="Times New Roman"/>
          <w:i/>
          <w:sz w:val="24"/>
          <w:szCs w:val="24"/>
          <w:shd w:val="clear" w:color="auto" w:fill="FFFFFF"/>
        </w:rPr>
        <w:t>mportanza dell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area sulla quale insiste l</w:t>
      </w:r>
      <w:r w:rsidR="00B76E35"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occupazione»</w:t>
      </w:r>
      <w:r w:rsidR="00B76E35" w:rsidRPr="00151324">
        <w:rPr>
          <w:rFonts w:ascii="Times New Roman" w:hAnsi="Times New Roman" w:cs="Times New Roman"/>
          <w:i/>
          <w:sz w:val="24"/>
          <w:szCs w:val="24"/>
          <w:shd w:val="clear" w:color="auto" w:fill="FFFFFF"/>
        </w:rPr>
        <w:t xml:space="preserve"> </w:t>
      </w:r>
      <w:r w:rsidR="00B76E35" w:rsidRPr="00151324">
        <w:rPr>
          <w:rFonts w:ascii="Times New Roman" w:hAnsi="Times New Roman" w:cs="Times New Roman"/>
          <w:sz w:val="24"/>
          <w:szCs w:val="24"/>
          <w:shd w:val="clear" w:color="auto" w:fill="FFFFFF"/>
        </w:rPr>
        <w:t>e</w:t>
      </w:r>
      <w:r w:rsidRPr="00151324">
        <w:rPr>
          <w:rFonts w:ascii="Times New Roman" w:hAnsi="Times New Roman" w:cs="Times New Roman"/>
          <w:i/>
          <w:sz w:val="24"/>
          <w:szCs w:val="24"/>
          <w:shd w:val="clear" w:color="auto" w:fill="FFFFFF"/>
        </w:rPr>
        <w:t xml:space="preserve"> «commisurata alla superficie occupata</w:t>
      </w:r>
      <w:r w:rsidRPr="00151324">
        <w:rPr>
          <w:rFonts w:ascii="Times New Roman" w:hAnsi="Times New Roman" w:cs="Times New Roman"/>
          <w:sz w:val="24"/>
          <w:szCs w:val="24"/>
          <w:shd w:val="clear" w:color="auto" w:fill="FFFFFF"/>
        </w:rPr>
        <w:t xml:space="preserve">»; </w:t>
      </w:r>
      <w:r w:rsidR="00C610EF" w:rsidRPr="00151324">
        <w:rPr>
          <w:rFonts w:ascii="Times New Roman" w:hAnsi="Times New Roman" w:cs="Times New Roman"/>
          <w:sz w:val="24"/>
          <w:szCs w:val="24"/>
          <w:shd w:val="clear" w:color="auto" w:fill="FFFFFF"/>
        </w:rPr>
        <w:t xml:space="preserve">l’art. 63 del d.lgs. 15 dicembre 1997, </w:t>
      </w:r>
      <w:r w:rsidRPr="00151324">
        <w:rPr>
          <w:rFonts w:ascii="Times New Roman" w:hAnsi="Times New Roman" w:cs="Times New Roman"/>
          <w:sz w:val="24"/>
          <w:szCs w:val="24"/>
          <w:shd w:val="clear" w:color="auto" w:fill="FFFFFF"/>
        </w:rPr>
        <w:t>n.446, in attuazione della delega, conferita al Governo dalla legge del 23</w:t>
      </w:r>
      <w:r w:rsidR="00C610EF" w:rsidRPr="00151324">
        <w:rPr>
          <w:rFonts w:ascii="Times New Roman" w:hAnsi="Times New Roman" w:cs="Times New Roman"/>
          <w:sz w:val="24"/>
          <w:szCs w:val="24"/>
          <w:shd w:val="clear" w:color="auto" w:fill="FFFFFF"/>
        </w:rPr>
        <w:t xml:space="preserve"> dicembre 1</w:t>
      </w:r>
      <w:r w:rsidRPr="00151324">
        <w:rPr>
          <w:rFonts w:ascii="Times New Roman" w:hAnsi="Times New Roman" w:cs="Times New Roman"/>
          <w:sz w:val="24"/>
          <w:szCs w:val="24"/>
          <w:shd w:val="clear" w:color="auto" w:fill="FFFFFF"/>
        </w:rPr>
        <w:t>996</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n. 662, </w:t>
      </w:r>
      <w:r w:rsidR="00C610EF" w:rsidRPr="00151324">
        <w:rPr>
          <w:rFonts w:ascii="Times New Roman" w:hAnsi="Times New Roman" w:cs="Times New Roman"/>
          <w:sz w:val="24"/>
          <w:szCs w:val="24"/>
          <w:shd w:val="clear" w:color="auto" w:fill="FFFFFF"/>
        </w:rPr>
        <w:t xml:space="preserve">ha demandato </w:t>
      </w:r>
      <w:r w:rsidRPr="00151324">
        <w:rPr>
          <w:rFonts w:ascii="Times New Roman" w:hAnsi="Times New Roman" w:cs="Times New Roman"/>
          <w:sz w:val="24"/>
          <w:szCs w:val="24"/>
          <w:shd w:val="clear" w:color="auto" w:fill="FFFFFF"/>
        </w:rPr>
        <w:t xml:space="preserve">alle Province ed ai Comuni </w:t>
      </w:r>
      <w:r w:rsidR="00C610EF" w:rsidRPr="00151324">
        <w:rPr>
          <w:rFonts w:ascii="Times New Roman" w:hAnsi="Times New Roman" w:cs="Times New Roman"/>
          <w:sz w:val="24"/>
          <w:szCs w:val="24"/>
          <w:shd w:val="clear" w:color="auto" w:fill="FFFFFF"/>
        </w:rPr>
        <w:t>il p</w:t>
      </w:r>
      <w:r w:rsidRPr="00151324">
        <w:rPr>
          <w:rFonts w:ascii="Times New Roman" w:hAnsi="Times New Roman" w:cs="Times New Roman"/>
          <w:sz w:val="24"/>
          <w:szCs w:val="24"/>
          <w:shd w:val="clear" w:color="auto" w:fill="FFFFFF"/>
        </w:rPr>
        <w:t xml:space="preserve">otere di adottare un regolamento per assoggettare il titolare della concessione di occupazione, permanente o temporanea, </w:t>
      </w:r>
      <w:r w:rsidR="00C610EF" w:rsidRPr="00151324">
        <w:rPr>
          <w:rFonts w:ascii="Times New Roman" w:hAnsi="Times New Roman" w:cs="Times New Roman"/>
          <w:sz w:val="24"/>
          <w:szCs w:val="24"/>
          <w:shd w:val="clear" w:color="auto" w:fill="FFFFFF"/>
        </w:rPr>
        <w:t xml:space="preserve">appunto, </w:t>
      </w:r>
      <w:r w:rsidRPr="00151324">
        <w:rPr>
          <w:rFonts w:ascii="Times New Roman" w:hAnsi="Times New Roman" w:cs="Times New Roman"/>
          <w:sz w:val="24"/>
          <w:szCs w:val="24"/>
          <w:shd w:val="clear" w:color="auto" w:fill="FFFFFF"/>
        </w:rPr>
        <w:t>di strade, aree e relativi spazi soprastanti e sottostanti appartenenti al demanio o patrimonio indisponibile dell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ente, comprese le aree destinate a mercati</w:t>
      </w:r>
      <w:r w:rsidR="00F842B9"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anche attrezzati, all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obbligo del pagamento di un canone «</w:t>
      </w:r>
      <w:r w:rsidRPr="00151324">
        <w:rPr>
          <w:rFonts w:ascii="Times New Roman" w:hAnsi="Times New Roman" w:cs="Times New Roman"/>
          <w:i/>
          <w:sz w:val="24"/>
          <w:szCs w:val="24"/>
          <w:shd w:val="clear" w:color="auto" w:fill="FFFFFF"/>
        </w:rPr>
        <w:t>con riferimento alla durata dell'occupazione</w:t>
      </w:r>
      <w:r w:rsidRPr="00151324">
        <w:rPr>
          <w:rFonts w:ascii="Times New Roman" w:hAnsi="Times New Roman" w:cs="Times New Roman"/>
          <w:sz w:val="24"/>
          <w:szCs w:val="24"/>
          <w:shd w:val="clear" w:color="auto" w:fill="FFFFFF"/>
        </w:rPr>
        <w:t>» e maggiorabile «</w:t>
      </w:r>
      <w:r w:rsidRPr="00151324">
        <w:rPr>
          <w:rFonts w:ascii="Times New Roman" w:hAnsi="Times New Roman" w:cs="Times New Roman"/>
          <w:i/>
          <w:sz w:val="24"/>
          <w:szCs w:val="24"/>
          <w:shd w:val="clear" w:color="auto" w:fill="FFFFFF"/>
        </w:rPr>
        <w:t>di eventuali oneri di manutenzione derivanti</w:t>
      </w:r>
      <w:r w:rsidRPr="00151324">
        <w:rPr>
          <w:rFonts w:ascii="Times New Roman" w:hAnsi="Times New Roman" w:cs="Times New Roman"/>
          <w:sz w:val="24"/>
          <w:szCs w:val="24"/>
          <w:shd w:val="clear" w:color="auto" w:fill="FFFFFF"/>
        </w:rPr>
        <w:t>» dall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occupazione stessa, commisurato a</w:t>
      </w:r>
      <w:r w:rsidR="000478C1" w:rsidRPr="00151324">
        <w:rPr>
          <w:rFonts w:ascii="Times New Roman" w:hAnsi="Times New Roman" w:cs="Times New Roman"/>
          <w:sz w:val="24"/>
          <w:szCs w:val="24"/>
          <w:shd w:val="clear" w:color="auto" w:fill="FFFFFF"/>
        </w:rPr>
        <w:t>lle esigenze del bilancio dell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ente, al valore economico delle aree</w:t>
      </w:r>
      <w:r w:rsidR="00C610EF" w:rsidRPr="00151324">
        <w:rPr>
          <w:rFonts w:ascii="Times New Roman" w:hAnsi="Times New Roman" w:cs="Times New Roman"/>
          <w:sz w:val="24"/>
          <w:szCs w:val="24"/>
          <w:shd w:val="clear" w:color="auto" w:fill="FFFFFF"/>
        </w:rPr>
        <w:t xml:space="preserve"> e</w:t>
      </w:r>
      <w:r w:rsidRPr="00151324">
        <w:rPr>
          <w:rFonts w:ascii="Times New Roman" w:hAnsi="Times New Roman" w:cs="Times New Roman"/>
          <w:sz w:val="24"/>
          <w:szCs w:val="24"/>
          <w:shd w:val="clear" w:color="auto" w:fill="FFFFFF"/>
        </w:rPr>
        <w:t xml:space="preserve"> all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entità del sacrificio imposto alla collettività con la rinuncia all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uso pubblico generalizzato degli spazi occupati</w:t>
      </w:r>
      <w:r w:rsidR="00C610EF" w:rsidRPr="00151324">
        <w:rPr>
          <w:rFonts w:ascii="Times New Roman" w:hAnsi="Times New Roman" w:cs="Times New Roman"/>
          <w:sz w:val="24"/>
          <w:szCs w:val="24"/>
          <w:shd w:val="clear" w:color="auto" w:fill="FFFFFF"/>
        </w:rPr>
        <w:t>. I</w:t>
      </w:r>
      <w:r w:rsidRPr="00151324">
        <w:rPr>
          <w:rFonts w:ascii="Times New Roman" w:hAnsi="Times New Roman" w:cs="Times New Roman"/>
          <w:sz w:val="24"/>
          <w:szCs w:val="24"/>
          <w:shd w:val="clear" w:color="auto" w:fill="FFFFFF"/>
        </w:rPr>
        <w:t xml:space="preserve">nizialmente, </w:t>
      </w:r>
      <w:r w:rsidR="00C610EF" w:rsidRPr="00151324">
        <w:rPr>
          <w:rFonts w:ascii="Times New Roman" w:hAnsi="Times New Roman" w:cs="Times New Roman"/>
          <w:sz w:val="24"/>
          <w:szCs w:val="24"/>
          <w:shd w:val="clear" w:color="auto" w:fill="FFFFFF"/>
        </w:rPr>
        <w:t xml:space="preserve">era stata prevista anche </w:t>
      </w:r>
      <w:r w:rsidRPr="00151324">
        <w:rPr>
          <w:rFonts w:ascii="Times New Roman" w:hAnsi="Times New Roman" w:cs="Times New Roman"/>
          <w:sz w:val="24"/>
          <w:szCs w:val="24"/>
          <w:shd w:val="clear" w:color="auto" w:fill="FFFFFF"/>
        </w:rPr>
        <w:t>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abolizione, con decorrenza dal primo gennaio 1999, delle tasse per 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occupazione di spazi ed aree pubbliche di cui al capo II del decreto legislativo 15 novembre 1993</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n. 50 (TOSAP), ma 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art. 31, comma 14, della legge 23 dicembre 1998, n. 448 </w:t>
      </w:r>
      <w:r w:rsidR="00C610EF" w:rsidRPr="00151324">
        <w:rPr>
          <w:rFonts w:ascii="Times New Roman" w:hAnsi="Times New Roman" w:cs="Times New Roman"/>
          <w:sz w:val="24"/>
          <w:szCs w:val="24"/>
          <w:shd w:val="clear" w:color="auto" w:fill="FFFFFF"/>
        </w:rPr>
        <w:t xml:space="preserve"> ha poi ripristinato il </w:t>
      </w:r>
      <w:r w:rsidRPr="00151324">
        <w:rPr>
          <w:rFonts w:ascii="Times New Roman" w:hAnsi="Times New Roman" w:cs="Times New Roman"/>
          <w:sz w:val="24"/>
          <w:szCs w:val="24"/>
          <w:shd w:val="clear" w:color="auto" w:fill="FFFFFF"/>
        </w:rPr>
        <w:t xml:space="preserve">precedente assetto normativo, anche ai fini della giurisdizione, </w:t>
      </w:r>
      <w:r w:rsidR="00C610EF" w:rsidRPr="00151324">
        <w:rPr>
          <w:rFonts w:ascii="Times New Roman" w:hAnsi="Times New Roman" w:cs="Times New Roman"/>
          <w:sz w:val="24"/>
          <w:szCs w:val="24"/>
          <w:shd w:val="clear" w:color="auto" w:fill="FFFFFF"/>
        </w:rPr>
        <w:t xml:space="preserve">sicché si è stabilito che </w:t>
      </w:r>
      <w:r w:rsidRPr="00151324">
        <w:rPr>
          <w:rFonts w:ascii="Times New Roman" w:hAnsi="Times New Roman" w:cs="Times New Roman"/>
          <w:sz w:val="24"/>
          <w:szCs w:val="24"/>
          <w:shd w:val="clear" w:color="auto" w:fill="FFFFFF"/>
        </w:rPr>
        <w:t>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obbligo del pagamento del canone (COSAP) poteva coesistere con </w:t>
      </w:r>
      <w:r w:rsidR="00C610EF" w:rsidRPr="00151324">
        <w:rPr>
          <w:rFonts w:ascii="Times New Roman" w:hAnsi="Times New Roman" w:cs="Times New Roman"/>
          <w:sz w:val="24"/>
          <w:szCs w:val="24"/>
          <w:shd w:val="clear" w:color="auto" w:fill="FFFFFF"/>
        </w:rPr>
        <w:t>l’</w:t>
      </w:r>
      <w:r w:rsidRPr="00151324">
        <w:rPr>
          <w:rFonts w:ascii="Times New Roman" w:hAnsi="Times New Roman" w:cs="Times New Roman"/>
          <w:sz w:val="24"/>
          <w:szCs w:val="24"/>
          <w:shd w:val="clear" w:color="auto" w:fill="FFFFFF"/>
        </w:rPr>
        <w:t>obbligo del pagamento della tassa per 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occupazione di aree pubbliche (TOSAP), stante la diversità della natura delle prestazioni dovute dal concessionario, essendo il canone COSAP, per 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appunto, non un tributo ma </w:t>
      </w:r>
      <w:r w:rsidR="00C610EF" w:rsidRPr="00151324">
        <w:rPr>
          <w:rFonts w:ascii="Times New Roman" w:hAnsi="Times New Roman" w:cs="Times New Roman"/>
          <w:sz w:val="24"/>
          <w:szCs w:val="24"/>
          <w:shd w:val="clear" w:color="auto" w:fill="FFFFFF"/>
        </w:rPr>
        <w:t>il</w:t>
      </w:r>
      <w:r w:rsidRPr="00151324">
        <w:rPr>
          <w:rFonts w:ascii="Times New Roman" w:hAnsi="Times New Roman" w:cs="Times New Roman"/>
          <w:sz w:val="24"/>
          <w:szCs w:val="24"/>
          <w:shd w:val="clear" w:color="auto" w:fill="FFFFFF"/>
        </w:rPr>
        <w:t xml:space="preserve"> corrispettivo di una concessione, reale o presunta (nel caso di occupazione abusiva), dell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uso esclusivo o speciale di beni pubblici</w:t>
      </w:r>
      <w:r w:rsidR="00C610EF" w:rsidRPr="00151324">
        <w:rPr>
          <w:rFonts w:ascii="Times New Roman" w:hAnsi="Times New Roman" w:cs="Times New Roman"/>
          <w:sz w:val="24"/>
          <w:szCs w:val="24"/>
          <w:shd w:val="clear" w:color="auto" w:fill="FFFFFF"/>
        </w:rPr>
        <w:t xml:space="preserve">. La medesima norma, infine, al comma 20, </w:t>
      </w:r>
      <w:r w:rsidRPr="00151324">
        <w:rPr>
          <w:rFonts w:ascii="Times New Roman" w:hAnsi="Times New Roman" w:cs="Times New Roman"/>
          <w:sz w:val="24"/>
          <w:szCs w:val="24"/>
          <w:shd w:val="clear" w:color="auto" w:fill="FFFFFF"/>
        </w:rPr>
        <w:t>nel modificare il comma 1 dell</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art. 63 del </w:t>
      </w:r>
      <w:r w:rsidR="00C610EF" w:rsidRPr="00151324">
        <w:rPr>
          <w:rFonts w:ascii="Times New Roman" w:hAnsi="Times New Roman" w:cs="Times New Roman"/>
          <w:sz w:val="24"/>
          <w:szCs w:val="24"/>
          <w:shd w:val="clear" w:color="auto" w:fill="FFFFFF"/>
        </w:rPr>
        <w:t xml:space="preserve">d.lgs. n. </w:t>
      </w:r>
      <w:r w:rsidRPr="00151324">
        <w:rPr>
          <w:rFonts w:ascii="Times New Roman" w:hAnsi="Times New Roman" w:cs="Times New Roman"/>
          <w:sz w:val="24"/>
          <w:szCs w:val="24"/>
          <w:shd w:val="clear" w:color="auto" w:fill="FFFFFF"/>
        </w:rPr>
        <w:t>446 del 1997, stabilì che «</w:t>
      </w:r>
      <w:r w:rsidRPr="00151324">
        <w:rPr>
          <w:rFonts w:ascii="Times New Roman" w:hAnsi="Times New Roman" w:cs="Times New Roman"/>
          <w:i/>
          <w:sz w:val="24"/>
          <w:szCs w:val="24"/>
          <w:shd w:val="clear" w:color="auto" w:fill="FFFFFF"/>
        </w:rPr>
        <w:t>i comuni possono</w:t>
      </w:r>
      <w:r w:rsidRPr="00151324">
        <w:rPr>
          <w:rFonts w:ascii="Times New Roman" w:hAnsi="Times New Roman" w:cs="Times New Roman"/>
          <w:sz w:val="24"/>
          <w:szCs w:val="24"/>
          <w:shd w:val="clear" w:color="auto" w:fill="FFFFFF"/>
        </w:rPr>
        <w:t>», adottando appositi regolamenti, «</w:t>
      </w:r>
      <w:r w:rsidRPr="00151324">
        <w:rPr>
          <w:rFonts w:ascii="Times New Roman" w:hAnsi="Times New Roman" w:cs="Times New Roman"/>
          <w:i/>
          <w:sz w:val="24"/>
          <w:szCs w:val="24"/>
          <w:shd w:val="clear" w:color="auto" w:fill="FFFFFF"/>
        </w:rPr>
        <w:t>escludere l</w:t>
      </w:r>
      <w:r w:rsidR="00C610EF"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applicazione nel proprio territorio della TOSAP</w:t>
      </w:r>
      <w:r w:rsidRPr="00151324">
        <w:rPr>
          <w:rFonts w:ascii="Times New Roman" w:hAnsi="Times New Roman" w:cs="Times New Roman"/>
          <w:sz w:val="24"/>
          <w:szCs w:val="24"/>
          <w:shd w:val="clear" w:color="auto" w:fill="FFFFFF"/>
        </w:rPr>
        <w:t>», e in alternativa «</w:t>
      </w:r>
      <w:r w:rsidRPr="00151324">
        <w:rPr>
          <w:rFonts w:ascii="Times New Roman" w:hAnsi="Times New Roman" w:cs="Times New Roman"/>
          <w:i/>
          <w:sz w:val="24"/>
          <w:szCs w:val="24"/>
          <w:shd w:val="clear" w:color="auto" w:fill="FFFFFF"/>
        </w:rPr>
        <w:t>prevedere che l</w:t>
      </w:r>
      <w:r w:rsidR="00C610EF" w:rsidRPr="00151324">
        <w:rPr>
          <w:rFonts w:ascii="Times New Roman" w:hAnsi="Times New Roman" w:cs="Times New Roman"/>
          <w:i/>
          <w:sz w:val="24"/>
          <w:szCs w:val="24"/>
          <w:shd w:val="clear" w:color="auto" w:fill="FFFFFF"/>
        </w:rPr>
        <w:t>’</w:t>
      </w:r>
      <w:r w:rsidRPr="00151324">
        <w:rPr>
          <w:rFonts w:ascii="Times New Roman" w:hAnsi="Times New Roman" w:cs="Times New Roman"/>
          <w:i/>
          <w:sz w:val="24"/>
          <w:szCs w:val="24"/>
          <w:shd w:val="clear" w:color="auto" w:fill="FFFFFF"/>
        </w:rPr>
        <w:t>occupazione, sia permanente che temporanea, degli spazi e delle aree</w:t>
      </w:r>
      <w:r w:rsidRPr="00151324">
        <w:rPr>
          <w:rFonts w:ascii="Times New Roman" w:hAnsi="Times New Roman" w:cs="Times New Roman"/>
          <w:sz w:val="24"/>
          <w:szCs w:val="24"/>
          <w:shd w:val="clear" w:color="auto" w:fill="FFFFFF"/>
        </w:rPr>
        <w:t>», elencati nella norma sostituita, sia assoggettata ad un canone di concessione (COSAP) determinato in base a tariffa, con relativa giurisdizione in capo al giudice ordinario e non tributario</w:t>
      </w:r>
      <w:r w:rsidR="00B25976" w:rsidRPr="00151324">
        <w:rPr>
          <w:rFonts w:ascii="Times New Roman" w:hAnsi="Times New Roman" w:cs="Times New Roman"/>
          <w:sz w:val="24"/>
          <w:szCs w:val="24"/>
          <w:shd w:val="clear" w:color="auto" w:fill="FFFFFF"/>
        </w:rPr>
        <w:t xml:space="preserve">, anche a seguito della sentenza della Corte costituzionale sull’art. </w:t>
      </w:r>
      <w:r w:rsidRPr="00151324">
        <w:rPr>
          <w:rFonts w:ascii="Times New Roman" w:hAnsi="Times New Roman" w:cs="Times New Roman"/>
          <w:sz w:val="24"/>
          <w:szCs w:val="24"/>
          <w:shd w:val="clear" w:color="auto" w:fill="FFFFFF"/>
        </w:rPr>
        <w:t>3</w:t>
      </w:r>
      <w:r w:rsidR="00C610EF" w:rsidRPr="00151324">
        <w:rPr>
          <w:rFonts w:ascii="Times New Roman" w:hAnsi="Times New Roman" w:cs="Times New Roman"/>
          <w:sz w:val="24"/>
          <w:szCs w:val="24"/>
          <w:shd w:val="clear" w:color="auto" w:fill="FFFFFF"/>
        </w:rPr>
        <w:t>-</w:t>
      </w:r>
      <w:r w:rsidRPr="00151324">
        <w:rPr>
          <w:rFonts w:ascii="Times New Roman" w:hAnsi="Times New Roman" w:cs="Times New Roman"/>
          <w:i/>
          <w:sz w:val="24"/>
          <w:szCs w:val="24"/>
          <w:shd w:val="clear" w:color="auto" w:fill="FFFFFF"/>
        </w:rPr>
        <w:t>bis</w:t>
      </w:r>
      <w:r w:rsidRPr="00151324">
        <w:rPr>
          <w:rFonts w:ascii="Times New Roman" w:hAnsi="Times New Roman" w:cs="Times New Roman"/>
          <w:sz w:val="24"/>
          <w:szCs w:val="24"/>
          <w:shd w:val="clear" w:color="auto" w:fill="FFFFFF"/>
        </w:rPr>
        <w:t xml:space="preserve">, </w:t>
      </w:r>
      <w:r w:rsidR="00C610EF" w:rsidRPr="00151324">
        <w:rPr>
          <w:rFonts w:ascii="Times New Roman" w:hAnsi="Times New Roman" w:cs="Times New Roman"/>
          <w:sz w:val="24"/>
          <w:szCs w:val="24"/>
          <w:shd w:val="clear" w:color="auto" w:fill="FFFFFF"/>
        </w:rPr>
        <w:t xml:space="preserve">comma </w:t>
      </w:r>
      <w:r w:rsidRPr="00151324">
        <w:rPr>
          <w:rFonts w:ascii="Times New Roman" w:hAnsi="Times New Roman" w:cs="Times New Roman"/>
          <w:sz w:val="24"/>
          <w:szCs w:val="24"/>
          <w:shd w:val="clear" w:color="auto" w:fill="FFFFFF"/>
        </w:rPr>
        <w:t xml:space="preserve">2, lett. b), della legge </w:t>
      </w:r>
      <w:r w:rsidR="00C610EF" w:rsidRPr="00151324">
        <w:rPr>
          <w:rFonts w:ascii="Times New Roman" w:hAnsi="Times New Roman" w:cs="Times New Roman"/>
          <w:sz w:val="24"/>
          <w:szCs w:val="24"/>
          <w:shd w:val="clear" w:color="auto" w:fill="FFFFFF"/>
        </w:rPr>
        <w:t xml:space="preserve">2 dicembre 2005, </w:t>
      </w:r>
      <w:r w:rsidRPr="00151324">
        <w:rPr>
          <w:rFonts w:ascii="Times New Roman" w:hAnsi="Times New Roman" w:cs="Times New Roman"/>
          <w:sz w:val="24"/>
          <w:szCs w:val="24"/>
          <w:shd w:val="clear" w:color="auto" w:fill="FFFFFF"/>
        </w:rPr>
        <w:t>n. 248</w:t>
      </w:r>
      <w:r w:rsidR="00C610EF" w:rsidRPr="00151324">
        <w:rPr>
          <w:rFonts w:ascii="Times New Roman" w:hAnsi="Times New Roman" w:cs="Times New Roman"/>
          <w:sz w:val="24"/>
          <w:szCs w:val="24"/>
          <w:shd w:val="clear" w:color="auto" w:fill="FFFFFF"/>
        </w:rPr>
        <w:t xml:space="preserve">, </w:t>
      </w:r>
      <w:r w:rsidR="00B25976" w:rsidRPr="00151324">
        <w:rPr>
          <w:rFonts w:ascii="Times New Roman" w:hAnsi="Times New Roman" w:cs="Times New Roman"/>
          <w:sz w:val="24"/>
          <w:szCs w:val="24"/>
          <w:shd w:val="clear" w:color="auto" w:fill="FFFFFF"/>
        </w:rPr>
        <w:t xml:space="preserve">intervenuto a novella, </w:t>
      </w:r>
      <w:r w:rsidRPr="00151324">
        <w:rPr>
          <w:rFonts w:ascii="Times New Roman" w:hAnsi="Times New Roman" w:cs="Times New Roman"/>
          <w:sz w:val="24"/>
          <w:szCs w:val="24"/>
          <w:shd w:val="clear" w:color="auto" w:fill="FFFFFF"/>
        </w:rPr>
        <w:t>dato atto della diversa natura giuridica del COSAP rispetto alla TOSAP</w:t>
      </w:r>
      <w:r w:rsidR="00B25976" w:rsidRPr="00151324">
        <w:rPr>
          <w:rFonts w:ascii="Times New Roman" w:hAnsi="Times New Roman" w:cs="Times New Roman"/>
          <w:sz w:val="24"/>
          <w:szCs w:val="24"/>
          <w:shd w:val="clear" w:color="auto" w:fill="FFFFFF"/>
        </w:rPr>
        <w:t xml:space="preserve">. </w:t>
      </w:r>
      <w:r w:rsidRPr="00151324">
        <w:rPr>
          <w:rFonts w:ascii="Times New Roman" w:hAnsi="Times New Roman" w:cs="Times New Roman"/>
          <w:sz w:val="24"/>
          <w:szCs w:val="24"/>
          <w:shd w:val="clear" w:color="auto" w:fill="FFFFFF"/>
        </w:rPr>
        <w:t xml:space="preserve"> </w:t>
      </w:r>
      <w:r w:rsidR="006D59D8" w:rsidRPr="00151324">
        <w:rPr>
          <w:rFonts w:ascii="Times New Roman" w:eastAsia="Times New Roman" w:hAnsi="Times New Roman" w:cs="Times New Roman"/>
          <w:sz w:val="24"/>
          <w:szCs w:val="24"/>
          <w:lang w:eastAsia="it-IT"/>
        </w:rPr>
        <w:t xml:space="preserve">Al fine di evitare che le scelte concessorie dipendessero da decisioni estemporanee degli Enti territoriali contrarie anche ad un ordinato governo del territorio, l’art. 63 del d.lgs. 446 del 1997 demandava al regolamento comunale anche la disciplina delle condizioni di rilascio e di rinnovo delle autorizzazioni, nonché degli ambiti sanzionatori, facendo salve peraltro le previsioni del sopra richiamato art. 20 del Codice della strada. </w:t>
      </w:r>
      <w:r w:rsidRPr="00151324">
        <w:rPr>
          <w:rFonts w:ascii="Times New Roman" w:hAnsi="Times New Roman" w:cs="Times New Roman"/>
          <w:sz w:val="24"/>
          <w:szCs w:val="24"/>
          <w:shd w:val="clear" w:color="auto" w:fill="FFFFFF"/>
        </w:rPr>
        <w:t xml:space="preserve">Tale principio </w:t>
      </w:r>
      <w:r w:rsidR="00B25976" w:rsidRPr="00151324">
        <w:rPr>
          <w:rFonts w:ascii="Times New Roman" w:hAnsi="Times New Roman" w:cs="Times New Roman"/>
          <w:sz w:val="24"/>
          <w:szCs w:val="24"/>
          <w:shd w:val="clear" w:color="auto" w:fill="FFFFFF"/>
        </w:rPr>
        <w:t xml:space="preserve">ha trovato consacrazione in numerose pronunce dei giudici di legittimità e amministrativi, in particolare a far data dalla </w:t>
      </w:r>
      <w:r w:rsidRPr="00151324">
        <w:rPr>
          <w:rFonts w:ascii="Times New Roman" w:hAnsi="Times New Roman" w:cs="Times New Roman"/>
          <w:sz w:val="24"/>
          <w:szCs w:val="24"/>
          <w:shd w:val="clear" w:color="auto" w:fill="FFFFFF"/>
        </w:rPr>
        <w:t>decisione del 7</w:t>
      </w:r>
      <w:r w:rsidR="00B25976" w:rsidRPr="00151324">
        <w:rPr>
          <w:rFonts w:ascii="Times New Roman" w:hAnsi="Times New Roman" w:cs="Times New Roman"/>
          <w:sz w:val="24"/>
          <w:szCs w:val="24"/>
          <w:shd w:val="clear" w:color="auto" w:fill="FFFFFF"/>
        </w:rPr>
        <w:t xml:space="preserve"> gennaio </w:t>
      </w:r>
      <w:r w:rsidRPr="00151324">
        <w:rPr>
          <w:rFonts w:ascii="Times New Roman" w:hAnsi="Times New Roman" w:cs="Times New Roman"/>
          <w:sz w:val="24"/>
          <w:szCs w:val="24"/>
          <w:shd w:val="clear" w:color="auto" w:fill="FFFFFF"/>
        </w:rPr>
        <w:t>2016</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n.61</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delle Sezioni Unite</w:t>
      </w:r>
      <w:r w:rsidR="00B25976" w:rsidRPr="00151324">
        <w:rPr>
          <w:rFonts w:ascii="Times New Roman" w:hAnsi="Times New Roman" w:cs="Times New Roman"/>
          <w:sz w:val="24"/>
          <w:szCs w:val="24"/>
          <w:shd w:val="clear" w:color="auto" w:fill="FFFFFF"/>
        </w:rPr>
        <w:t xml:space="preserve"> della Cassazione</w:t>
      </w:r>
      <w:r w:rsidRPr="00151324">
        <w:rPr>
          <w:rFonts w:ascii="Times New Roman" w:hAnsi="Times New Roman" w:cs="Times New Roman"/>
          <w:sz w:val="24"/>
          <w:szCs w:val="24"/>
          <w:shd w:val="clear" w:color="auto" w:fill="FFFFFF"/>
        </w:rPr>
        <w:t>,</w:t>
      </w:r>
      <w:r w:rsidR="00B25976" w:rsidRPr="00151324">
        <w:rPr>
          <w:rFonts w:ascii="Times New Roman" w:hAnsi="Times New Roman" w:cs="Times New Roman"/>
          <w:sz w:val="24"/>
          <w:szCs w:val="24"/>
          <w:shd w:val="clear" w:color="auto" w:fill="FFFFFF"/>
        </w:rPr>
        <w:t xml:space="preserve"> che </w:t>
      </w:r>
      <w:r w:rsidRPr="00151324">
        <w:rPr>
          <w:rFonts w:ascii="Times New Roman" w:hAnsi="Times New Roman" w:cs="Times New Roman"/>
          <w:sz w:val="24"/>
          <w:szCs w:val="24"/>
          <w:shd w:val="clear" w:color="auto" w:fill="FFFFFF"/>
        </w:rPr>
        <w:t xml:space="preserve">ha ribadito </w:t>
      </w:r>
      <w:r w:rsidR="00B25976" w:rsidRPr="00151324">
        <w:rPr>
          <w:rFonts w:ascii="Times New Roman" w:hAnsi="Times New Roman" w:cs="Times New Roman"/>
          <w:sz w:val="24"/>
          <w:szCs w:val="24"/>
          <w:shd w:val="clear" w:color="auto" w:fill="FFFFFF"/>
        </w:rPr>
        <w:t xml:space="preserve">la natura di corrispettivo del </w:t>
      </w:r>
      <w:proofErr w:type="spellStart"/>
      <w:r w:rsidR="00B25976" w:rsidRPr="00151324">
        <w:rPr>
          <w:rFonts w:ascii="Times New Roman" w:hAnsi="Times New Roman" w:cs="Times New Roman"/>
          <w:sz w:val="24"/>
          <w:szCs w:val="24"/>
          <w:shd w:val="clear" w:color="auto" w:fill="FFFFFF"/>
        </w:rPr>
        <w:t>Cosap</w:t>
      </w:r>
      <w:proofErr w:type="spellEnd"/>
      <w:r w:rsidR="00B25976" w:rsidRPr="00151324">
        <w:rPr>
          <w:rFonts w:ascii="Times New Roman" w:hAnsi="Times New Roman" w:cs="Times New Roman"/>
          <w:sz w:val="24"/>
          <w:szCs w:val="24"/>
          <w:shd w:val="clear" w:color="auto" w:fill="FFFFFF"/>
        </w:rPr>
        <w:t xml:space="preserve"> per la concessione </w:t>
      </w:r>
      <w:r w:rsidRPr="00151324">
        <w:rPr>
          <w:rFonts w:ascii="Times New Roman" w:hAnsi="Times New Roman" w:cs="Times New Roman"/>
          <w:sz w:val="24"/>
          <w:szCs w:val="24"/>
          <w:shd w:val="clear" w:color="auto" w:fill="FFFFFF"/>
        </w:rPr>
        <w:t>dell</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uso esclusivo o speciale di beni pubblici, e non per la sottrazione al sistema della viabilità di un</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area o spazio pubblico.</w:t>
      </w:r>
      <w:r w:rsidRPr="00151324">
        <w:rPr>
          <w:rFonts w:ascii="Times New Roman" w:hAnsi="Times New Roman" w:cs="Times New Roman"/>
          <w:sz w:val="24"/>
          <w:szCs w:val="24"/>
        </w:rPr>
        <w:t xml:space="preserve"> </w:t>
      </w:r>
      <w:r w:rsidR="00B25976" w:rsidRPr="00151324">
        <w:rPr>
          <w:rFonts w:ascii="Times New Roman" w:hAnsi="Times New Roman" w:cs="Times New Roman"/>
          <w:sz w:val="24"/>
          <w:szCs w:val="24"/>
        </w:rPr>
        <w:t>Da ultimo, i</w:t>
      </w:r>
      <w:r w:rsidRPr="00151324">
        <w:rPr>
          <w:rFonts w:ascii="Times New Roman" w:hAnsi="Times New Roman" w:cs="Times New Roman"/>
          <w:sz w:val="24"/>
          <w:szCs w:val="24"/>
          <w:shd w:val="clear" w:color="auto" w:fill="FFFFFF"/>
        </w:rPr>
        <w:t xml:space="preserve">l Capo I del d.lgs. </w:t>
      </w:r>
      <w:r w:rsidR="00B25976" w:rsidRPr="00151324">
        <w:rPr>
          <w:rFonts w:ascii="Times New Roman" w:hAnsi="Times New Roman" w:cs="Times New Roman"/>
          <w:sz w:val="24"/>
          <w:szCs w:val="24"/>
          <w:shd w:val="clear" w:color="auto" w:fill="FFFFFF"/>
        </w:rPr>
        <w:t xml:space="preserve">n. </w:t>
      </w:r>
      <w:r w:rsidRPr="00151324">
        <w:rPr>
          <w:rFonts w:ascii="Times New Roman" w:hAnsi="Times New Roman" w:cs="Times New Roman"/>
          <w:sz w:val="24"/>
          <w:szCs w:val="24"/>
          <w:shd w:val="clear" w:color="auto" w:fill="FFFFFF"/>
        </w:rPr>
        <w:t>507 del 1993 è stato formalmente abrogato con l’art. 1, comma 847 della</w:t>
      </w:r>
      <w:r w:rsidR="000478C1" w:rsidRPr="00151324">
        <w:rPr>
          <w:rFonts w:ascii="Times New Roman" w:hAnsi="Times New Roman" w:cs="Times New Roman"/>
          <w:sz w:val="24"/>
          <w:szCs w:val="24"/>
          <w:shd w:val="clear" w:color="auto" w:fill="FFFFFF"/>
        </w:rPr>
        <w:t xml:space="preserve"> </w:t>
      </w:r>
      <w:r w:rsidR="00B25976" w:rsidRPr="00151324">
        <w:rPr>
          <w:rFonts w:ascii="Times New Roman" w:hAnsi="Times New Roman" w:cs="Times New Roman"/>
          <w:sz w:val="24"/>
          <w:szCs w:val="24"/>
          <w:shd w:val="clear" w:color="auto" w:fill="FFFFFF"/>
        </w:rPr>
        <w:t>l</w:t>
      </w:r>
      <w:r w:rsidR="000478C1" w:rsidRPr="00151324">
        <w:rPr>
          <w:rFonts w:ascii="Times New Roman" w:hAnsi="Times New Roman" w:cs="Times New Roman"/>
          <w:sz w:val="24"/>
          <w:szCs w:val="24"/>
          <w:shd w:val="clear" w:color="auto" w:fill="FFFFFF"/>
        </w:rPr>
        <w:t>egge 27 dicembre 2019</w:t>
      </w:r>
      <w:r w:rsidR="00B25976" w:rsidRPr="00151324">
        <w:rPr>
          <w:rFonts w:ascii="Times New Roman" w:hAnsi="Times New Roman" w:cs="Times New Roman"/>
          <w:sz w:val="24"/>
          <w:szCs w:val="24"/>
          <w:shd w:val="clear" w:color="auto" w:fill="FFFFFF"/>
        </w:rPr>
        <w:t>,</w:t>
      </w:r>
      <w:r w:rsidR="000478C1" w:rsidRPr="00151324">
        <w:rPr>
          <w:rFonts w:ascii="Times New Roman" w:hAnsi="Times New Roman" w:cs="Times New Roman"/>
          <w:sz w:val="24"/>
          <w:szCs w:val="24"/>
          <w:shd w:val="clear" w:color="auto" w:fill="FFFFFF"/>
        </w:rPr>
        <w:t xml:space="preserve"> n. 160</w:t>
      </w:r>
      <w:r w:rsidRPr="00151324">
        <w:rPr>
          <w:rFonts w:ascii="Times New Roman" w:hAnsi="Times New Roman" w:cs="Times New Roman"/>
          <w:sz w:val="24"/>
          <w:szCs w:val="24"/>
          <w:shd w:val="clear" w:color="auto" w:fill="FFFFFF"/>
        </w:rPr>
        <w:t xml:space="preserve">, salvo essere ripristinato dal </w:t>
      </w:r>
      <w:proofErr w:type="spellStart"/>
      <w:r w:rsidR="00B25976" w:rsidRPr="00151324">
        <w:rPr>
          <w:rFonts w:ascii="Times New Roman" w:hAnsi="Times New Roman" w:cs="Times New Roman"/>
          <w:sz w:val="24"/>
          <w:szCs w:val="24"/>
          <w:shd w:val="clear" w:color="auto" w:fill="FFFFFF"/>
        </w:rPr>
        <w:t>d.l.</w:t>
      </w:r>
      <w:proofErr w:type="spellEnd"/>
      <w:r w:rsidRPr="00151324">
        <w:rPr>
          <w:rFonts w:ascii="Times New Roman" w:hAnsi="Times New Roman" w:cs="Times New Roman"/>
          <w:sz w:val="24"/>
          <w:szCs w:val="24"/>
          <w:shd w:val="clear" w:color="auto" w:fill="FFFFFF"/>
        </w:rPr>
        <w:t xml:space="preserve"> 30 dicembre 2019, n. 162, convertito</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con modificazioni dalla </w:t>
      </w:r>
      <w:r w:rsidR="00B25976" w:rsidRPr="00151324">
        <w:rPr>
          <w:rFonts w:ascii="Times New Roman" w:hAnsi="Times New Roman" w:cs="Times New Roman"/>
          <w:sz w:val="24"/>
          <w:szCs w:val="24"/>
          <w:shd w:val="clear" w:color="auto" w:fill="FFFFFF"/>
        </w:rPr>
        <w:t>l.</w:t>
      </w:r>
      <w:r w:rsidRPr="00151324">
        <w:rPr>
          <w:rFonts w:ascii="Times New Roman" w:hAnsi="Times New Roman" w:cs="Times New Roman"/>
          <w:sz w:val="24"/>
          <w:szCs w:val="24"/>
          <w:shd w:val="clear" w:color="auto" w:fill="FFFFFF"/>
        </w:rPr>
        <w:t xml:space="preserve"> 28 febbraio 2020</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n. 8, che all’art. 4, comma 3</w:t>
      </w:r>
      <w:r w:rsidR="00B25976" w:rsidRPr="00151324">
        <w:rPr>
          <w:rFonts w:ascii="Times New Roman" w:hAnsi="Times New Roman" w:cs="Times New Roman"/>
          <w:sz w:val="24"/>
          <w:szCs w:val="24"/>
          <w:shd w:val="clear" w:color="auto" w:fill="FFFFFF"/>
        </w:rPr>
        <w:t>-</w:t>
      </w:r>
      <w:r w:rsidRPr="00151324">
        <w:rPr>
          <w:rFonts w:ascii="Times New Roman" w:hAnsi="Times New Roman" w:cs="Times New Roman"/>
          <w:i/>
          <w:sz w:val="24"/>
          <w:szCs w:val="24"/>
          <w:shd w:val="clear" w:color="auto" w:fill="FFFFFF"/>
        </w:rPr>
        <w:t>quate</w:t>
      </w:r>
      <w:r w:rsidRPr="00151324">
        <w:rPr>
          <w:rFonts w:ascii="Times New Roman" w:hAnsi="Times New Roman" w:cs="Times New Roman"/>
          <w:sz w:val="24"/>
          <w:szCs w:val="24"/>
          <w:shd w:val="clear" w:color="auto" w:fill="FFFFFF"/>
        </w:rPr>
        <w:t xml:space="preserve">r ha disposto che </w:t>
      </w:r>
      <w:r w:rsidR="00B25976" w:rsidRPr="00151324">
        <w:rPr>
          <w:rFonts w:ascii="Times New Roman" w:hAnsi="Times New Roman" w:cs="Times New Roman"/>
          <w:sz w:val="24"/>
          <w:szCs w:val="24"/>
          <w:shd w:val="clear" w:color="auto" w:fill="FFFFFF"/>
        </w:rPr>
        <w:t xml:space="preserve">l’abrogazione non operi per l’anno 2020. </w:t>
      </w:r>
      <w:r w:rsidR="006D59D8" w:rsidRPr="00151324">
        <w:rPr>
          <w:rFonts w:ascii="Times New Roman" w:hAnsi="Times New Roman" w:cs="Times New Roman"/>
          <w:sz w:val="24"/>
          <w:szCs w:val="24"/>
          <w:shd w:val="clear" w:color="auto" w:fill="FFFFFF"/>
        </w:rPr>
        <w:t xml:space="preserve">E’ stato infatti introdotto un “canone unico” di concessione, autorizzazione o esposizione pubblicitaria, che assorbe anche quello di cui all’art. 27, commi 7 e 8, del Codice della Strada, limitatamente alle strade di pertinenza dei comuni e della province, con portata comprensiva di qualunque canone </w:t>
      </w:r>
      <w:proofErr w:type="spellStart"/>
      <w:r w:rsidR="006D59D8" w:rsidRPr="00151324">
        <w:rPr>
          <w:rFonts w:ascii="Times New Roman" w:hAnsi="Times New Roman" w:cs="Times New Roman"/>
          <w:sz w:val="24"/>
          <w:szCs w:val="24"/>
          <w:shd w:val="clear" w:color="auto" w:fill="FFFFFF"/>
        </w:rPr>
        <w:t>ricognitorio</w:t>
      </w:r>
      <w:proofErr w:type="spellEnd"/>
      <w:r w:rsidR="006D59D8" w:rsidRPr="00151324">
        <w:rPr>
          <w:rFonts w:ascii="Times New Roman" w:hAnsi="Times New Roman" w:cs="Times New Roman"/>
          <w:sz w:val="24"/>
          <w:szCs w:val="24"/>
          <w:shd w:val="clear" w:color="auto" w:fill="FFFFFF"/>
        </w:rPr>
        <w:t xml:space="preserve"> o </w:t>
      </w:r>
      <w:proofErr w:type="spellStart"/>
      <w:r w:rsidR="006D59D8" w:rsidRPr="00151324">
        <w:rPr>
          <w:rFonts w:ascii="Times New Roman" w:hAnsi="Times New Roman" w:cs="Times New Roman"/>
          <w:sz w:val="24"/>
          <w:szCs w:val="24"/>
          <w:shd w:val="clear" w:color="auto" w:fill="FFFFFF"/>
        </w:rPr>
        <w:t>concessorio</w:t>
      </w:r>
      <w:proofErr w:type="spellEnd"/>
      <w:r w:rsidR="006D59D8" w:rsidRPr="00151324">
        <w:rPr>
          <w:rFonts w:ascii="Times New Roman" w:hAnsi="Times New Roman" w:cs="Times New Roman"/>
          <w:sz w:val="24"/>
          <w:szCs w:val="24"/>
          <w:shd w:val="clear" w:color="auto" w:fill="FFFFFF"/>
        </w:rPr>
        <w:t xml:space="preserve"> previsto da norma di legge o di regolamento, fatti salvi quelli connessi a prestazioni di servizi. </w:t>
      </w:r>
      <w:r w:rsidRPr="00151324">
        <w:rPr>
          <w:rFonts w:ascii="Times New Roman" w:hAnsi="Times New Roman" w:cs="Times New Roman"/>
          <w:sz w:val="24"/>
          <w:szCs w:val="24"/>
        </w:rPr>
        <w:t xml:space="preserve">Il potere regolamentare dei Comuni resta </w:t>
      </w:r>
      <w:r w:rsidR="00F30292" w:rsidRPr="00151324">
        <w:rPr>
          <w:rFonts w:ascii="Times New Roman" w:hAnsi="Times New Roman" w:cs="Times New Roman"/>
          <w:sz w:val="24"/>
          <w:szCs w:val="24"/>
        </w:rPr>
        <w:t xml:space="preserve">tuttavia </w:t>
      </w:r>
      <w:r w:rsidRPr="00151324">
        <w:rPr>
          <w:rFonts w:ascii="Times New Roman" w:hAnsi="Times New Roman" w:cs="Times New Roman"/>
          <w:sz w:val="24"/>
          <w:szCs w:val="24"/>
        </w:rPr>
        <w:t xml:space="preserve">anche nella nuova cornice normativa, giusta le previsioni </w:t>
      </w:r>
      <w:r w:rsidR="006D59D8" w:rsidRPr="00151324">
        <w:rPr>
          <w:rFonts w:ascii="Times New Roman" w:hAnsi="Times New Roman" w:cs="Times New Roman"/>
          <w:sz w:val="24"/>
          <w:szCs w:val="24"/>
        </w:rPr>
        <w:t xml:space="preserve">in tal senso </w:t>
      </w:r>
      <w:r w:rsidRPr="00151324">
        <w:rPr>
          <w:rFonts w:ascii="Times New Roman" w:hAnsi="Times New Roman" w:cs="Times New Roman"/>
          <w:sz w:val="24"/>
          <w:szCs w:val="24"/>
        </w:rPr>
        <w:t>contenute ai commi da 816 a 836 del richiamato art. 1 della legge di bilancio 2020,</w:t>
      </w:r>
      <w:r w:rsidR="006D59D8" w:rsidRPr="00151324">
        <w:rPr>
          <w:rFonts w:ascii="Times New Roman" w:hAnsi="Times New Roman" w:cs="Times New Roman"/>
          <w:sz w:val="24"/>
          <w:szCs w:val="24"/>
        </w:rPr>
        <w:t xml:space="preserve"> che ne demanda al </w:t>
      </w:r>
      <w:r w:rsidR="000478C1" w:rsidRPr="00151324">
        <w:rPr>
          <w:rFonts w:ascii="Times New Roman" w:hAnsi="Times New Roman" w:cs="Times New Roman"/>
          <w:sz w:val="24"/>
          <w:szCs w:val="24"/>
        </w:rPr>
        <w:t>Consiglio comunale</w:t>
      </w:r>
      <w:r w:rsidR="006D59D8" w:rsidRPr="00151324">
        <w:rPr>
          <w:rFonts w:ascii="Times New Roman" w:hAnsi="Times New Roman" w:cs="Times New Roman"/>
          <w:sz w:val="24"/>
          <w:szCs w:val="24"/>
        </w:rPr>
        <w:t xml:space="preserve">, specificando tra i contenuti obbligatori anche </w:t>
      </w:r>
      <w:r w:rsidRPr="00151324">
        <w:rPr>
          <w:rFonts w:ascii="Times New Roman" w:hAnsi="Times New Roman" w:cs="Times New Roman"/>
          <w:sz w:val="24"/>
          <w:szCs w:val="24"/>
        </w:rPr>
        <w:t>le condizioni di rilascio della concessione e il regime sanzionatorio, il cui importo non può superare il 50 % del canone dovuto, ferme restando l</w:t>
      </w:r>
      <w:r w:rsidR="000478C1" w:rsidRPr="00151324">
        <w:rPr>
          <w:rFonts w:ascii="Times New Roman" w:hAnsi="Times New Roman" w:cs="Times New Roman"/>
          <w:sz w:val="24"/>
          <w:szCs w:val="24"/>
        </w:rPr>
        <w:t xml:space="preserve">e sanzioni previste dal codice </w:t>
      </w:r>
      <w:r w:rsidRPr="00151324">
        <w:rPr>
          <w:rFonts w:ascii="Times New Roman" w:hAnsi="Times New Roman" w:cs="Times New Roman"/>
          <w:sz w:val="24"/>
          <w:szCs w:val="24"/>
        </w:rPr>
        <w:t xml:space="preserve">della strada stesso. </w:t>
      </w:r>
      <w:r w:rsidR="006D59D8" w:rsidRPr="00151324">
        <w:rPr>
          <w:rFonts w:ascii="Times New Roman" w:hAnsi="Times New Roman" w:cs="Times New Roman"/>
          <w:sz w:val="24"/>
          <w:szCs w:val="24"/>
        </w:rPr>
        <w:t xml:space="preserve">Il canone può essere maggiorato di eventuali effettivi e comprovati oneri di manutenzione in concreto derivanti dall’occupazione del suolo e del sottosuolo che non siano, a qualsiasi titolo, già posti a carico dei soggetti che hanno effettuato le occupazioni.  </w:t>
      </w:r>
      <w:r w:rsidRPr="00151324">
        <w:rPr>
          <w:rFonts w:ascii="Times New Roman" w:hAnsi="Times New Roman" w:cs="Times New Roman"/>
          <w:sz w:val="24"/>
          <w:szCs w:val="24"/>
        </w:rPr>
        <w:t xml:space="preserve">Il comma 822 pone a carico dell’Ente proprietario la rimozione dell’occupazione abusiva </w:t>
      </w:r>
      <w:r w:rsidRPr="00151324">
        <w:rPr>
          <w:rFonts w:ascii="Times New Roman" w:hAnsi="Times New Roman" w:cs="Times New Roman"/>
          <w:kern w:val="0"/>
          <w:sz w:val="24"/>
          <w:szCs w:val="24"/>
        </w:rPr>
        <w:t>previa re</w:t>
      </w:r>
      <w:r w:rsidR="000478C1" w:rsidRPr="00151324">
        <w:rPr>
          <w:rFonts w:ascii="Times New Roman" w:hAnsi="Times New Roman" w:cs="Times New Roman"/>
          <w:kern w:val="0"/>
          <w:sz w:val="24"/>
          <w:szCs w:val="24"/>
        </w:rPr>
        <w:t xml:space="preserve">dazione di processo verbale di </w:t>
      </w:r>
      <w:r w:rsidRPr="00151324">
        <w:rPr>
          <w:rFonts w:ascii="Times New Roman" w:hAnsi="Times New Roman" w:cs="Times New Roman"/>
          <w:kern w:val="0"/>
          <w:sz w:val="24"/>
          <w:szCs w:val="24"/>
        </w:rPr>
        <w:t>constatazione redatto da competente pubblico ufficiale, con oneri derivanti dalla r</w:t>
      </w:r>
      <w:r w:rsidR="00151324">
        <w:rPr>
          <w:rFonts w:ascii="Times New Roman" w:hAnsi="Times New Roman" w:cs="Times New Roman"/>
          <w:kern w:val="0"/>
          <w:sz w:val="24"/>
          <w:szCs w:val="24"/>
        </w:rPr>
        <w:t xml:space="preserve">imozione a carico dei soggetti </w:t>
      </w:r>
      <w:r w:rsidR="00BC21BC">
        <w:rPr>
          <w:rFonts w:ascii="Times New Roman" w:hAnsi="Times New Roman" w:cs="Times New Roman"/>
          <w:kern w:val="0"/>
          <w:sz w:val="24"/>
          <w:szCs w:val="24"/>
        </w:rPr>
        <w:t xml:space="preserve">che hanno effettuato le </w:t>
      </w:r>
      <w:r w:rsidRPr="00151324">
        <w:rPr>
          <w:rFonts w:ascii="Times New Roman" w:hAnsi="Times New Roman" w:cs="Times New Roman"/>
          <w:kern w:val="0"/>
          <w:sz w:val="24"/>
          <w:szCs w:val="24"/>
        </w:rPr>
        <w:t>occupazioni.</w:t>
      </w:r>
    </w:p>
    <w:p w14:paraId="1452CF8F" w14:textId="77777777" w:rsidR="00AC3CAB" w:rsidRPr="00151324" w:rsidRDefault="00624121"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shd w:val="clear" w:color="auto" w:fill="FFFFFF"/>
        </w:rPr>
        <w:t xml:space="preserve">In relazione alle impugnative degli </w:t>
      </w:r>
      <w:r w:rsidR="002F23BA" w:rsidRPr="00151324">
        <w:rPr>
          <w:rFonts w:ascii="Times New Roman" w:hAnsi="Times New Roman" w:cs="Times New Roman"/>
          <w:sz w:val="24"/>
          <w:szCs w:val="24"/>
          <w:shd w:val="clear" w:color="auto" w:fill="FFFFFF"/>
        </w:rPr>
        <w:t>avvisi di pagamento</w:t>
      </w:r>
      <w:r w:rsidRPr="00151324">
        <w:rPr>
          <w:rFonts w:ascii="Times New Roman" w:hAnsi="Times New Roman" w:cs="Times New Roman"/>
          <w:sz w:val="24"/>
          <w:szCs w:val="24"/>
          <w:shd w:val="clear" w:color="auto" w:fill="FFFFFF"/>
        </w:rPr>
        <w:t>, l</w:t>
      </w:r>
      <w:r w:rsidR="002F23BA" w:rsidRPr="00151324">
        <w:rPr>
          <w:rFonts w:ascii="Times New Roman" w:hAnsi="Times New Roman" w:cs="Times New Roman"/>
          <w:sz w:val="24"/>
          <w:szCs w:val="24"/>
          <w:shd w:val="clear" w:color="auto" w:fill="FFFFFF"/>
        </w:rPr>
        <w:t xml:space="preserve">a loro </w:t>
      </w:r>
      <w:r w:rsidR="002F23BA" w:rsidRPr="00151324">
        <w:rPr>
          <w:rFonts w:ascii="Times New Roman" w:hAnsi="Times New Roman" w:cs="Times New Roman"/>
          <w:sz w:val="24"/>
          <w:szCs w:val="24"/>
        </w:rPr>
        <w:t xml:space="preserve">contestazione dedotta in via derivata rispetto al regolamento </w:t>
      </w:r>
      <w:proofErr w:type="spellStart"/>
      <w:r w:rsidR="002F23BA" w:rsidRPr="00151324">
        <w:rPr>
          <w:rFonts w:ascii="Times New Roman" w:hAnsi="Times New Roman" w:cs="Times New Roman"/>
          <w:sz w:val="24"/>
          <w:szCs w:val="24"/>
        </w:rPr>
        <w:t>Cosap</w:t>
      </w:r>
      <w:proofErr w:type="spellEnd"/>
      <w:r w:rsidR="006D59D8" w:rsidRPr="00151324">
        <w:rPr>
          <w:rFonts w:ascii="Times New Roman" w:hAnsi="Times New Roman" w:cs="Times New Roman"/>
          <w:sz w:val="24"/>
          <w:szCs w:val="24"/>
        </w:rPr>
        <w:t xml:space="preserve"> (ora del canone unico)</w:t>
      </w:r>
      <w:r w:rsidR="002F23BA" w:rsidRPr="00151324">
        <w:rPr>
          <w:rFonts w:ascii="Times New Roman" w:hAnsi="Times New Roman" w:cs="Times New Roman"/>
          <w:sz w:val="24"/>
          <w:szCs w:val="24"/>
        </w:rPr>
        <w:t xml:space="preserve">, è stata fatta rientrare nella giurisdizione del Giudice amministrativo. Diverse considerazioni valgono, invece, in ordine a eventuali profili di censura in via autonoma (si veda, in proposito, Cass. SS. UU. Sentenza n. 21950 del 2015, ove si legge: </w:t>
      </w:r>
      <w:r w:rsidRPr="00151324">
        <w:rPr>
          <w:rFonts w:ascii="Times New Roman" w:hAnsi="Times New Roman" w:cs="Times New Roman"/>
          <w:sz w:val="24"/>
          <w:szCs w:val="24"/>
        </w:rPr>
        <w:t>«</w:t>
      </w:r>
      <w:r w:rsidR="002F23BA" w:rsidRPr="00151324">
        <w:rPr>
          <w:rFonts w:ascii="Times New Roman" w:hAnsi="Times New Roman" w:cs="Times New Roman"/>
          <w:i/>
          <w:sz w:val="24"/>
          <w:szCs w:val="24"/>
        </w:rPr>
        <w:t>le controversie relative ai canoni per l</w:t>
      </w:r>
      <w:r w:rsidR="00AC3CAB" w:rsidRPr="00151324">
        <w:rPr>
          <w:rFonts w:ascii="Times New Roman" w:hAnsi="Times New Roman" w:cs="Times New Roman"/>
          <w:i/>
          <w:sz w:val="24"/>
          <w:szCs w:val="24"/>
        </w:rPr>
        <w:t>’</w:t>
      </w:r>
      <w:r w:rsidR="002F23BA" w:rsidRPr="00151324">
        <w:rPr>
          <w:rFonts w:ascii="Times New Roman" w:hAnsi="Times New Roman" w:cs="Times New Roman"/>
          <w:i/>
          <w:sz w:val="24"/>
          <w:szCs w:val="24"/>
        </w:rPr>
        <w:t>occupazione di spazi ed aree pubbliche appartengono alla giurisdizione del giudice ordinario, perché l</w:t>
      </w:r>
      <w:r w:rsidR="00AC3CAB" w:rsidRPr="00151324">
        <w:rPr>
          <w:rFonts w:ascii="Times New Roman" w:hAnsi="Times New Roman" w:cs="Times New Roman"/>
          <w:i/>
          <w:sz w:val="24"/>
          <w:szCs w:val="24"/>
        </w:rPr>
        <w:t>’</w:t>
      </w:r>
      <w:r w:rsidR="002F23BA" w:rsidRPr="00151324">
        <w:rPr>
          <w:rFonts w:ascii="Times New Roman" w:hAnsi="Times New Roman" w:cs="Times New Roman"/>
          <w:i/>
          <w:sz w:val="24"/>
          <w:szCs w:val="24"/>
        </w:rPr>
        <w:t>obbligo di pagamento di un canone per l'utilizzazione del suolo pubblico non ha natura tributaria, esulando dalla doverosità della prestazione e dal collegamento di questa alla pubblica spesa</w:t>
      </w:r>
      <w:r w:rsidRPr="00151324">
        <w:rPr>
          <w:rFonts w:ascii="Times New Roman" w:hAnsi="Times New Roman" w:cs="Times New Roman"/>
          <w:sz w:val="24"/>
          <w:szCs w:val="24"/>
        </w:rPr>
        <w:t>»</w:t>
      </w:r>
      <w:r w:rsidR="006D59D8" w:rsidRPr="00151324">
        <w:rPr>
          <w:rFonts w:ascii="Times New Roman" w:hAnsi="Times New Roman" w:cs="Times New Roman"/>
          <w:sz w:val="24"/>
          <w:szCs w:val="24"/>
        </w:rPr>
        <w:t>)</w:t>
      </w:r>
      <w:r w:rsidR="006D59D8" w:rsidRPr="00151324">
        <w:rPr>
          <w:rStyle w:val="Rimandonotaapidipagina"/>
          <w:rFonts w:ascii="Times New Roman" w:hAnsi="Times New Roman" w:cs="Times New Roman"/>
          <w:sz w:val="24"/>
          <w:szCs w:val="24"/>
        </w:rPr>
        <w:footnoteReference w:id="31"/>
      </w:r>
      <w:r w:rsidR="00AC3CAB" w:rsidRPr="00151324">
        <w:rPr>
          <w:rFonts w:ascii="Times New Roman" w:hAnsi="Times New Roman" w:cs="Times New Roman"/>
          <w:sz w:val="24"/>
          <w:szCs w:val="24"/>
        </w:rPr>
        <w:t>.</w:t>
      </w:r>
      <w:r w:rsidR="002F23BA" w:rsidRPr="00151324">
        <w:rPr>
          <w:rFonts w:ascii="Times New Roman" w:hAnsi="Times New Roman" w:cs="Times New Roman"/>
          <w:sz w:val="24"/>
          <w:szCs w:val="24"/>
        </w:rPr>
        <w:t xml:space="preserve">  Si consideri, peraltro, che la stretta correlazione tra l</w:t>
      </w:r>
      <w:r w:rsidR="00AC3CAB" w:rsidRPr="00151324">
        <w:rPr>
          <w:rFonts w:ascii="Times New Roman" w:hAnsi="Times New Roman" w:cs="Times New Roman"/>
          <w:sz w:val="24"/>
          <w:szCs w:val="24"/>
        </w:rPr>
        <w:t>’</w:t>
      </w:r>
      <w:r w:rsidR="002F23BA" w:rsidRPr="00151324">
        <w:rPr>
          <w:rFonts w:ascii="Times New Roman" w:hAnsi="Times New Roman" w:cs="Times New Roman"/>
          <w:sz w:val="24"/>
          <w:szCs w:val="24"/>
        </w:rPr>
        <w:t>atto amministrativo generale presupposto "a monte" e l</w:t>
      </w:r>
      <w:r w:rsidR="00AC3CAB" w:rsidRPr="00151324">
        <w:rPr>
          <w:rFonts w:ascii="Times New Roman" w:hAnsi="Times New Roman" w:cs="Times New Roman"/>
          <w:sz w:val="24"/>
          <w:szCs w:val="24"/>
        </w:rPr>
        <w:t>’</w:t>
      </w:r>
      <w:r w:rsidR="002F23BA" w:rsidRPr="00151324">
        <w:rPr>
          <w:rFonts w:ascii="Times New Roman" w:hAnsi="Times New Roman" w:cs="Times New Roman"/>
          <w:sz w:val="24"/>
          <w:szCs w:val="24"/>
        </w:rPr>
        <w:t>atto applicativo "a valle" non ha una rilevanza circoscritta ai profili giurisdizionali; esso incide, altresì, sull</w:t>
      </w:r>
      <w:r w:rsidR="00AC3CAB" w:rsidRPr="00151324">
        <w:rPr>
          <w:rFonts w:ascii="Times New Roman" w:hAnsi="Times New Roman" w:cs="Times New Roman"/>
          <w:sz w:val="24"/>
          <w:szCs w:val="24"/>
        </w:rPr>
        <w:t>’</w:t>
      </w:r>
      <w:r w:rsidR="002F23BA" w:rsidRPr="00151324">
        <w:rPr>
          <w:rFonts w:ascii="Times New Roman" w:hAnsi="Times New Roman" w:cs="Times New Roman"/>
          <w:sz w:val="24"/>
          <w:szCs w:val="24"/>
        </w:rPr>
        <w:t xml:space="preserve">accertamento del momento in cui possa dirsi integralmente manifestata la lesività del medesimo regolamento. </w:t>
      </w:r>
    </w:p>
    <w:p w14:paraId="47F16F66" w14:textId="77777777" w:rsidR="002F23BA" w:rsidRDefault="002F23BA" w:rsidP="00151324">
      <w:pPr>
        <w:widowControl/>
        <w:suppressAutoHyphens w:val="0"/>
        <w:spacing w:after="0" w:line="360" w:lineRule="auto"/>
        <w:jc w:val="both"/>
        <w:rPr>
          <w:rFonts w:ascii="Times New Roman" w:hAnsi="Times New Roman" w:cs="Times New Roman"/>
          <w:sz w:val="24"/>
          <w:szCs w:val="24"/>
          <w:shd w:val="clear" w:color="auto" w:fill="FFFFFF"/>
        </w:rPr>
      </w:pPr>
      <w:r w:rsidRPr="00151324">
        <w:rPr>
          <w:rFonts w:ascii="Times New Roman" w:hAnsi="Times New Roman" w:cs="Times New Roman"/>
          <w:sz w:val="24"/>
          <w:szCs w:val="24"/>
        </w:rPr>
        <w:t>A</w:t>
      </w:r>
      <w:r w:rsidRPr="00151324">
        <w:rPr>
          <w:rFonts w:ascii="Times New Roman" w:hAnsi="Times New Roman" w:cs="Times New Roman"/>
          <w:sz w:val="24"/>
          <w:szCs w:val="24"/>
          <w:shd w:val="clear" w:color="auto" w:fill="FFFFFF"/>
        </w:rPr>
        <w:t>vuto riguardo al delicato settore delle concessioni demaniali marittime</w:t>
      </w:r>
      <w:r w:rsidR="00AC3CAB" w:rsidRPr="00151324">
        <w:rPr>
          <w:rFonts w:ascii="Times New Roman" w:hAnsi="Times New Roman" w:cs="Times New Roman"/>
          <w:sz w:val="24"/>
          <w:szCs w:val="24"/>
          <w:shd w:val="clear" w:color="auto" w:fill="FFFFFF"/>
        </w:rPr>
        <w:t xml:space="preserve"> – ma il principio può essere esteso ad ogni ambito - </w:t>
      </w:r>
      <w:r w:rsidRPr="00151324">
        <w:rPr>
          <w:rFonts w:ascii="Times New Roman" w:hAnsi="Times New Roman" w:cs="Times New Roman"/>
          <w:sz w:val="24"/>
          <w:szCs w:val="24"/>
          <w:shd w:val="clear" w:color="auto" w:fill="FFFFFF"/>
        </w:rPr>
        <w:t>si è altresì affermato che spetta al giudice amministrativo la </w:t>
      </w:r>
      <w:r w:rsidRPr="00151324">
        <w:rPr>
          <w:rFonts w:ascii="Times New Roman" w:hAnsi="Times New Roman" w:cs="Times New Roman"/>
          <w:sz w:val="24"/>
          <w:szCs w:val="24"/>
        </w:rPr>
        <w:t>giurisdizione sul contenzioso concernente i provvedimenti di rideterminazione del canone, adottati in applicazione dell</w:t>
      </w:r>
      <w:r w:rsidR="00AC3CAB" w:rsidRPr="00151324">
        <w:rPr>
          <w:rFonts w:ascii="Times New Roman" w:hAnsi="Times New Roman" w:cs="Times New Roman"/>
          <w:sz w:val="24"/>
          <w:szCs w:val="24"/>
        </w:rPr>
        <w:t>’</w:t>
      </w:r>
      <w:r w:rsidRPr="00151324">
        <w:rPr>
          <w:rFonts w:ascii="Times New Roman" w:hAnsi="Times New Roman" w:cs="Times New Roman"/>
          <w:sz w:val="24"/>
          <w:szCs w:val="24"/>
        </w:rPr>
        <w:t>art. 1, comma 251, della legge finanziaria n. 296 del 2006, qualora non si tratti d</w:t>
      </w:r>
      <w:r w:rsidR="00AC3CAB" w:rsidRPr="00151324">
        <w:rPr>
          <w:rFonts w:ascii="Times New Roman" w:hAnsi="Times New Roman" w:cs="Times New Roman"/>
          <w:sz w:val="24"/>
          <w:szCs w:val="24"/>
        </w:rPr>
        <w:t xml:space="preserve">ella sua </w:t>
      </w:r>
      <w:r w:rsidRPr="00151324">
        <w:rPr>
          <w:rFonts w:ascii="Times New Roman" w:hAnsi="Times New Roman" w:cs="Times New Roman"/>
          <w:sz w:val="24"/>
          <w:szCs w:val="24"/>
        </w:rPr>
        <w:t>mera quantificazione</w:t>
      </w:r>
      <w:r w:rsidR="00AC3CAB" w:rsidRPr="00151324">
        <w:rPr>
          <w:rFonts w:ascii="Times New Roman" w:hAnsi="Times New Roman" w:cs="Times New Roman"/>
          <w:sz w:val="24"/>
          <w:szCs w:val="24"/>
        </w:rPr>
        <w:t xml:space="preserve">, </w:t>
      </w:r>
      <w:r w:rsidRPr="00151324">
        <w:rPr>
          <w:rFonts w:ascii="Times New Roman" w:hAnsi="Times New Roman" w:cs="Times New Roman"/>
          <w:sz w:val="24"/>
          <w:szCs w:val="24"/>
        </w:rPr>
        <w:t>ma la controversia riguardi anche altri aspetti comportanti una valutazione tecnico-discrezionale da parte dell</w:t>
      </w:r>
      <w:r w:rsidR="00AC3CAB" w:rsidRPr="00151324">
        <w:rPr>
          <w:rFonts w:ascii="Times New Roman" w:hAnsi="Times New Roman" w:cs="Times New Roman"/>
          <w:sz w:val="24"/>
          <w:szCs w:val="24"/>
        </w:rPr>
        <w:t>’</w:t>
      </w:r>
      <w:r w:rsidRPr="00151324">
        <w:rPr>
          <w:rFonts w:ascii="Times New Roman" w:hAnsi="Times New Roman" w:cs="Times New Roman"/>
          <w:sz w:val="24"/>
          <w:szCs w:val="24"/>
        </w:rPr>
        <w:t>Amministrazione (es.</w:t>
      </w:r>
      <w:r w:rsidR="00AC3CAB" w:rsidRPr="00151324">
        <w:rPr>
          <w:rFonts w:ascii="Times New Roman" w:hAnsi="Times New Roman" w:cs="Times New Roman"/>
          <w:sz w:val="24"/>
          <w:szCs w:val="24"/>
        </w:rPr>
        <w:t>,</w:t>
      </w:r>
      <w:r w:rsidRPr="00151324">
        <w:rPr>
          <w:rFonts w:ascii="Times New Roman" w:hAnsi="Times New Roman" w:cs="Times New Roman"/>
          <w:sz w:val="24"/>
          <w:szCs w:val="24"/>
        </w:rPr>
        <w:t xml:space="preserve"> l</w:t>
      </w:r>
      <w:r w:rsidR="00AC3CAB" w:rsidRPr="00151324">
        <w:rPr>
          <w:rFonts w:ascii="Times New Roman" w:hAnsi="Times New Roman" w:cs="Times New Roman"/>
          <w:sz w:val="24"/>
          <w:szCs w:val="24"/>
        </w:rPr>
        <w:t>’</w:t>
      </w:r>
      <w:r w:rsidRPr="00151324">
        <w:rPr>
          <w:rFonts w:ascii="Times New Roman" w:hAnsi="Times New Roman" w:cs="Times New Roman"/>
          <w:sz w:val="24"/>
          <w:szCs w:val="24"/>
        </w:rPr>
        <w:t>integrale revisione previa ricognizione tecnico-discrezionale del carattere di pertinenze demaniali marittime delle opere realizzate in precedenza dal concessionario, anche in considerazione dell</w:t>
      </w:r>
      <w:r w:rsidR="00AC3CAB" w:rsidRPr="00151324">
        <w:rPr>
          <w:rFonts w:ascii="Times New Roman" w:hAnsi="Times New Roman" w:cs="Times New Roman"/>
          <w:sz w:val="24"/>
          <w:szCs w:val="24"/>
        </w:rPr>
        <w:t>’</w:t>
      </w:r>
      <w:r w:rsidRPr="00151324">
        <w:rPr>
          <w:rFonts w:ascii="Times New Roman" w:hAnsi="Times New Roman" w:cs="Times New Roman"/>
          <w:sz w:val="24"/>
          <w:szCs w:val="24"/>
        </w:rPr>
        <w:t>inamovibilità o meno delle stesse; la questione se le opere realizzate sul suolo demaniale divenissero di proprietà dello Stato soltanto alla scadenza della concessione; l</w:t>
      </w:r>
      <w:r w:rsidR="00AC3CAB" w:rsidRPr="00151324">
        <w:rPr>
          <w:rFonts w:ascii="Times New Roman" w:hAnsi="Times New Roman" w:cs="Times New Roman"/>
          <w:sz w:val="24"/>
          <w:szCs w:val="24"/>
        </w:rPr>
        <w:t>’</w:t>
      </w:r>
      <w:r w:rsidRPr="00151324">
        <w:rPr>
          <w:rFonts w:ascii="Times New Roman" w:hAnsi="Times New Roman" w:cs="Times New Roman"/>
          <w:sz w:val="24"/>
          <w:szCs w:val="24"/>
        </w:rPr>
        <w:t>applicabilità della normativa sopravvenuta alle concessioni</w:t>
      </w:r>
      <w:r w:rsidRPr="00151324">
        <w:rPr>
          <w:rFonts w:ascii="Times New Roman" w:hAnsi="Times New Roman" w:cs="Times New Roman"/>
          <w:sz w:val="24"/>
          <w:szCs w:val="24"/>
          <w:shd w:val="clear" w:color="auto" w:fill="FFFFFF"/>
        </w:rPr>
        <w:t> in corso)</w:t>
      </w:r>
      <w:r w:rsidR="00AC3CAB" w:rsidRPr="00151324">
        <w:rPr>
          <w:rStyle w:val="Rimandonotaapidipagina"/>
          <w:rFonts w:ascii="Times New Roman" w:hAnsi="Times New Roman" w:cs="Times New Roman"/>
          <w:sz w:val="24"/>
          <w:szCs w:val="24"/>
          <w:shd w:val="clear" w:color="auto" w:fill="FFFFFF"/>
        </w:rPr>
        <w:footnoteReference w:id="32"/>
      </w:r>
      <w:r w:rsidR="00AC3CAB" w:rsidRPr="00151324">
        <w:rPr>
          <w:rFonts w:ascii="Times New Roman" w:hAnsi="Times New Roman" w:cs="Times New Roman"/>
          <w:sz w:val="24"/>
          <w:szCs w:val="24"/>
          <w:shd w:val="clear" w:color="auto" w:fill="FFFFFF"/>
        </w:rPr>
        <w:t xml:space="preserve">. </w:t>
      </w:r>
    </w:p>
    <w:p w14:paraId="3DB4220E" w14:textId="77777777" w:rsidR="00BC21BC" w:rsidRPr="00151324" w:rsidRDefault="00BC21BC" w:rsidP="00151324">
      <w:pPr>
        <w:widowControl/>
        <w:suppressAutoHyphens w:val="0"/>
        <w:spacing w:after="0" w:line="360" w:lineRule="auto"/>
        <w:jc w:val="both"/>
        <w:rPr>
          <w:rFonts w:ascii="Times New Roman" w:hAnsi="Times New Roman" w:cs="Times New Roman"/>
          <w:sz w:val="24"/>
          <w:szCs w:val="24"/>
          <w:shd w:val="clear" w:color="auto" w:fill="FFFFFF"/>
        </w:rPr>
      </w:pPr>
    </w:p>
    <w:p w14:paraId="144B7CB7" w14:textId="77777777" w:rsidR="00F30292" w:rsidRPr="00151324" w:rsidRDefault="00F30292" w:rsidP="00151324">
      <w:pPr>
        <w:widowControl/>
        <w:suppressAutoHyphens w:val="0"/>
        <w:spacing w:after="0" w:line="360" w:lineRule="auto"/>
        <w:jc w:val="both"/>
        <w:rPr>
          <w:rFonts w:ascii="Times New Roman" w:hAnsi="Times New Roman" w:cs="Times New Roman"/>
          <w:sz w:val="24"/>
          <w:szCs w:val="24"/>
          <w:shd w:val="clear" w:color="auto" w:fill="FFFFFF"/>
        </w:rPr>
      </w:pPr>
    </w:p>
    <w:p w14:paraId="2EFC3819" w14:textId="591C0533" w:rsidR="00624121" w:rsidRPr="00D5361B" w:rsidRDefault="00F51AE2" w:rsidP="00D5361B">
      <w:pPr>
        <w:pStyle w:val="Paragrafoelenco"/>
        <w:numPr>
          <w:ilvl w:val="0"/>
          <w:numId w:val="6"/>
        </w:numPr>
        <w:suppressAutoHyphens w:val="0"/>
        <w:spacing w:after="0" w:line="360" w:lineRule="auto"/>
        <w:jc w:val="both"/>
        <w:rPr>
          <w:rFonts w:ascii="Times New Roman" w:hAnsi="Times New Roman" w:cs="Times New Roman"/>
          <w:b/>
          <w:sz w:val="24"/>
          <w:szCs w:val="24"/>
          <w:shd w:val="clear" w:color="auto" w:fill="FFFFFF"/>
        </w:rPr>
      </w:pPr>
      <w:r w:rsidRPr="00D5361B">
        <w:rPr>
          <w:rFonts w:ascii="Times New Roman" w:hAnsi="Times New Roman" w:cs="Times New Roman"/>
          <w:b/>
          <w:sz w:val="24"/>
          <w:szCs w:val="24"/>
          <w:shd w:val="clear" w:color="auto" w:fill="FFFFFF"/>
        </w:rPr>
        <w:t xml:space="preserve">Le sanzioni di natura non pecuniaria. </w:t>
      </w:r>
    </w:p>
    <w:p w14:paraId="43A0F386" w14:textId="6FD2C9AA" w:rsidR="002F23BA" w:rsidRPr="00151324" w:rsidRDefault="00F51AE2"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eastAsia="Times New Roman" w:hAnsi="Times New Roman" w:cs="Times New Roman"/>
          <w:kern w:val="0"/>
          <w:sz w:val="24"/>
          <w:szCs w:val="24"/>
          <w:lang w:eastAsia="it-IT"/>
        </w:rPr>
        <w:t>Individuare la natura sanzionatoria della misura applicata può non essere sufficiente a individuare anche il giudice competente in relazione all</w:t>
      </w:r>
      <w:r w:rsidR="00D3712F" w:rsidRPr="00151324">
        <w:rPr>
          <w:rFonts w:ascii="Times New Roman" w:eastAsia="Times New Roman" w:hAnsi="Times New Roman" w:cs="Times New Roman"/>
          <w:kern w:val="0"/>
          <w:sz w:val="24"/>
          <w:szCs w:val="24"/>
          <w:lang w:eastAsia="it-IT"/>
        </w:rPr>
        <w:t>a sua impugnazione</w:t>
      </w:r>
      <w:r w:rsidRPr="00151324">
        <w:rPr>
          <w:rFonts w:ascii="Times New Roman" w:eastAsia="Times New Roman" w:hAnsi="Times New Roman" w:cs="Times New Roman"/>
          <w:kern w:val="0"/>
          <w:sz w:val="24"/>
          <w:szCs w:val="24"/>
          <w:lang w:eastAsia="it-IT"/>
        </w:rPr>
        <w:t xml:space="preserve">. Ciò nello specifico laddove essa venga irrogata autonomamente, ovvero costituisca l’unica conseguenza della condotta illecito oppure l’ulteriore conseguenza della stessa, già sanzionata in via amministrativa, pecuniaria e non solo, ovvero penale. L’art. 6 del d.lgs. n. 150 del 2011, infatti, con riferimento alla competenza del tribunale, parla di </w:t>
      </w:r>
      <w:r w:rsidR="002F23BA" w:rsidRPr="00151324">
        <w:rPr>
          <w:rFonts w:ascii="Times New Roman" w:hAnsi="Times New Roman" w:cs="Times New Roman"/>
          <w:sz w:val="24"/>
          <w:szCs w:val="24"/>
        </w:rPr>
        <w:t>“sanzione di natura diversa”</w:t>
      </w:r>
      <w:r w:rsidRPr="00151324">
        <w:rPr>
          <w:rFonts w:ascii="Times New Roman" w:hAnsi="Times New Roman" w:cs="Times New Roman"/>
          <w:sz w:val="24"/>
          <w:szCs w:val="24"/>
        </w:rPr>
        <w:t xml:space="preserve"> applicata</w:t>
      </w:r>
      <w:r w:rsidR="002F23BA" w:rsidRPr="00151324">
        <w:rPr>
          <w:rFonts w:ascii="Times New Roman" w:hAnsi="Times New Roman" w:cs="Times New Roman"/>
          <w:sz w:val="24"/>
          <w:szCs w:val="24"/>
        </w:rPr>
        <w:t xml:space="preserve"> “congiuntamente” a quella pecuniaria, </w:t>
      </w:r>
      <w:r w:rsidRPr="00151324">
        <w:rPr>
          <w:rFonts w:ascii="Times New Roman" w:hAnsi="Times New Roman" w:cs="Times New Roman"/>
          <w:sz w:val="24"/>
          <w:szCs w:val="24"/>
        </w:rPr>
        <w:t xml:space="preserve">ovvero </w:t>
      </w:r>
      <w:r w:rsidR="002F23BA" w:rsidRPr="00151324">
        <w:rPr>
          <w:rFonts w:ascii="Times New Roman" w:hAnsi="Times New Roman" w:cs="Times New Roman"/>
          <w:sz w:val="24"/>
          <w:szCs w:val="24"/>
        </w:rPr>
        <w:t>“da sola”</w:t>
      </w:r>
      <w:r w:rsidRPr="00151324">
        <w:rPr>
          <w:rFonts w:ascii="Times New Roman" w:hAnsi="Times New Roman" w:cs="Times New Roman"/>
          <w:sz w:val="24"/>
          <w:szCs w:val="24"/>
        </w:rPr>
        <w:t xml:space="preserve">. </w:t>
      </w:r>
      <w:r w:rsidR="002F23BA" w:rsidRPr="00151324">
        <w:rPr>
          <w:rFonts w:ascii="Times New Roman" w:hAnsi="Times New Roman" w:cs="Times New Roman"/>
          <w:sz w:val="24"/>
          <w:szCs w:val="24"/>
        </w:rPr>
        <w:t xml:space="preserve"> </w:t>
      </w:r>
    </w:p>
    <w:p w14:paraId="10AB403D" w14:textId="1D91780F" w:rsidR="002F23BA" w:rsidRPr="00151324" w:rsidRDefault="002F23BA"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In passato, sulla base della formulazione letterale dell’art. 22 della l. n. 689 del 1981, si era affermata la giurisdizione amministrativa per tutte le sanzioni accessorie diverse dalla confisca</w:t>
      </w:r>
      <w:r w:rsidR="00AC3CAB" w:rsidRPr="00151324">
        <w:rPr>
          <w:rFonts w:ascii="Times New Roman" w:hAnsi="Times New Roman" w:cs="Times New Roman"/>
          <w:sz w:val="24"/>
          <w:szCs w:val="24"/>
        </w:rPr>
        <w:t xml:space="preserve">, purché irrogate </w:t>
      </w:r>
      <w:r w:rsidRPr="00151324">
        <w:rPr>
          <w:rFonts w:ascii="Times New Roman" w:hAnsi="Times New Roman" w:cs="Times New Roman"/>
          <w:sz w:val="24"/>
          <w:szCs w:val="24"/>
        </w:rPr>
        <w:t xml:space="preserve">autonomamente. La questione è stata ancora di recente oggetto di una pronuncia delle Sezioni unite della Cassazione (ordinanza 21 settembre 2020, n. 19664), che pronunciandosi sul regolamento di giurisdizione sollevato in relazione alla sanzione della chiusura per dieci giorni dell’esercizio destinato al gioco sportivo e alle lotterie irrogata dall’Agenzia delle Dogane e dei monopoli per l’accertata violazione, da parte della Questura, dell’art. </w:t>
      </w:r>
      <w:r w:rsidR="000478C1" w:rsidRPr="00151324">
        <w:rPr>
          <w:rFonts w:ascii="Times New Roman" w:hAnsi="Times New Roman" w:cs="Times New Roman"/>
          <w:sz w:val="24"/>
          <w:szCs w:val="24"/>
        </w:rPr>
        <w:t xml:space="preserve">24, comma 21, del </w:t>
      </w:r>
      <w:proofErr w:type="spellStart"/>
      <w:r w:rsidR="000478C1" w:rsidRPr="00151324">
        <w:rPr>
          <w:rFonts w:ascii="Times New Roman" w:hAnsi="Times New Roman" w:cs="Times New Roman"/>
          <w:sz w:val="24"/>
          <w:szCs w:val="24"/>
        </w:rPr>
        <w:t>d.l.</w:t>
      </w:r>
      <w:proofErr w:type="spellEnd"/>
      <w:r w:rsidR="000478C1" w:rsidRPr="00151324">
        <w:rPr>
          <w:rFonts w:ascii="Times New Roman" w:hAnsi="Times New Roman" w:cs="Times New Roman"/>
          <w:sz w:val="24"/>
          <w:szCs w:val="24"/>
        </w:rPr>
        <w:t xml:space="preserve"> </w:t>
      </w:r>
      <w:r w:rsidRPr="00151324">
        <w:rPr>
          <w:rFonts w:ascii="Times New Roman" w:hAnsi="Times New Roman" w:cs="Times New Roman"/>
          <w:sz w:val="24"/>
          <w:szCs w:val="24"/>
        </w:rPr>
        <w:t>n. 98 del 2011, convertito con modificazioni dalla l. n. 11 del 2011</w:t>
      </w:r>
      <w:r w:rsidR="00AC3CAB" w:rsidRPr="00151324">
        <w:rPr>
          <w:rFonts w:ascii="Times New Roman" w:hAnsi="Times New Roman" w:cs="Times New Roman"/>
          <w:sz w:val="24"/>
          <w:szCs w:val="24"/>
        </w:rPr>
        <w:t>, ha ritenuto di individuare l’elemento di discrimine nella mancanza di discrezionalità applicativa. In tal modo i</w:t>
      </w:r>
      <w:r w:rsidRPr="00151324">
        <w:rPr>
          <w:rFonts w:ascii="Times New Roman" w:hAnsi="Times New Roman" w:cs="Times New Roman"/>
          <w:sz w:val="24"/>
          <w:szCs w:val="24"/>
        </w:rPr>
        <w:t>l giudice ha inteso discostarsi dal precedente orientamento che ravvisava</w:t>
      </w:r>
      <w:r w:rsidR="00AC3CAB" w:rsidRPr="00151324">
        <w:rPr>
          <w:rFonts w:ascii="Times New Roman" w:hAnsi="Times New Roman" w:cs="Times New Roman"/>
          <w:sz w:val="24"/>
          <w:szCs w:val="24"/>
        </w:rPr>
        <w:t>, appunto,</w:t>
      </w:r>
      <w:r w:rsidRPr="00151324">
        <w:rPr>
          <w:rFonts w:ascii="Times New Roman" w:hAnsi="Times New Roman" w:cs="Times New Roman"/>
          <w:sz w:val="24"/>
          <w:szCs w:val="24"/>
        </w:rPr>
        <w:t xml:space="preserve"> nell’autonomia della sanzione l’elemento di</w:t>
      </w:r>
      <w:r w:rsidR="00AC3CAB" w:rsidRPr="00151324">
        <w:rPr>
          <w:rFonts w:ascii="Times New Roman" w:hAnsi="Times New Roman" w:cs="Times New Roman"/>
          <w:sz w:val="24"/>
          <w:szCs w:val="24"/>
        </w:rPr>
        <w:t>versificante, giusta la stretta connessione di quella irrogata contestualmente ad altra pecuniaria con i presupposti di quest’ultima. Al contrario, l’</w:t>
      </w:r>
      <w:r w:rsidRPr="00151324">
        <w:rPr>
          <w:rFonts w:ascii="Times New Roman" w:hAnsi="Times New Roman" w:cs="Times New Roman"/>
          <w:sz w:val="24"/>
          <w:szCs w:val="24"/>
        </w:rPr>
        <w:t xml:space="preserve">autonomia </w:t>
      </w:r>
      <w:r w:rsidR="00AC3CAB" w:rsidRPr="00151324">
        <w:rPr>
          <w:rFonts w:ascii="Times New Roman" w:hAnsi="Times New Roman" w:cs="Times New Roman"/>
          <w:sz w:val="24"/>
          <w:szCs w:val="24"/>
        </w:rPr>
        <w:t xml:space="preserve">era considerata quasi </w:t>
      </w:r>
      <w:r w:rsidR="00AC3CAB" w:rsidRPr="00151324">
        <w:rPr>
          <w:rFonts w:ascii="Times New Roman" w:hAnsi="Times New Roman" w:cs="Times New Roman"/>
          <w:i/>
          <w:sz w:val="24"/>
          <w:szCs w:val="24"/>
        </w:rPr>
        <w:t>ex se</w:t>
      </w:r>
      <w:r w:rsidR="00AC3CAB" w:rsidRPr="00151324">
        <w:rPr>
          <w:rFonts w:ascii="Times New Roman" w:hAnsi="Times New Roman" w:cs="Times New Roman"/>
          <w:sz w:val="24"/>
          <w:szCs w:val="24"/>
        </w:rPr>
        <w:t xml:space="preserve"> indizio di un </w:t>
      </w:r>
      <w:r w:rsidRPr="00151324">
        <w:rPr>
          <w:rFonts w:ascii="Times New Roman" w:hAnsi="Times New Roman" w:cs="Times New Roman"/>
          <w:sz w:val="24"/>
          <w:szCs w:val="24"/>
        </w:rPr>
        <w:t xml:space="preserve">contenuto conformabile dalla pubblica amministrazione, mediante l’esercizio del proprio potere discrezionale, alla violazione concretamente posta in essere ed espressione dell’esercizio del potere, anch’esso discrezionale, di vigilanza e controllo dell’autorità amministrativa. </w:t>
      </w:r>
    </w:p>
    <w:p w14:paraId="14CC0E7F" w14:textId="77777777" w:rsidR="00DE232C" w:rsidRPr="00151324" w:rsidRDefault="002F23BA"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Al contrario, </w:t>
      </w:r>
      <w:r w:rsidR="00AC3CAB" w:rsidRPr="00151324">
        <w:rPr>
          <w:rFonts w:ascii="Times New Roman" w:hAnsi="Times New Roman" w:cs="Times New Roman"/>
          <w:sz w:val="24"/>
          <w:szCs w:val="24"/>
        </w:rPr>
        <w:t>il perno della questione viene ora a spostarsi propria sulla sussistenza o meno di discrezionalità applicativa, a prescindere dal momento in cui si addivenga alla scelta, rilevando caso mai lo stesso quale vizio del procedimento sa</w:t>
      </w:r>
      <w:r w:rsidR="00DE232C" w:rsidRPr="00151324">
        <w:rPr>
          <w:rFonts w:ascii="Times New Roman" w:hAnsi="Times New Roman" w:cs="Times New Roman"/>
          <w:sz w:val="24"/>
          <w:szCs w:val="24"/>
        </w:rPr>
        <w:t>nzionatorio in qualunque sede rilevato. L</w:t>
      </w:r>
      <w:r w:rsidRPr="00151324">
        <w:rPr>
          <w:rFonts w:ascii="Times New Roman" w:hAnsi="Times New Roman" w:cs="Times New Roman"/>
          <w:sz w:val="24"/>
          <w:szCs w:val="24"/>
        </w:rPr>
        <w:t xml:space="preserve">a discrezionalità va </w:t>
      </w:r>
      <w:r w:rsidR="00DE232C" w:rsidRPr="00151324">
        <w:rPr>
          <w:rFonts w:ascii="Times New Roman" w:hAnsi="Times New Roman" w:cs="Times New Roman"/>
          <w:sz w:val="24"/>
          <w:szCs w:val="24"/>
        </w:rPr>
        <w:t xml:space="preserve">dunque </w:t>
      </w:r>
      <w:r w:rsidRPr="00151324">
        <w:rPr>
          <w:rFonts w:ascii="Times New Roman" w:hAnsi="Times New Roman" w:cs="Times New Roman"/>
          <w:sz w:val="24"/>
          <w:szCs w:val="24"/>
        </w:rPr>
        <w:t xml:space="preserve">effettivamente accertata e costituisce la cartina di tornasole non della natura sanzionatoria o meno del provvedimento, </w:t>
      </w:r>
      <w:r w:rsidR="00DE232C" w:rsidRPr="00151324">
        <w:rPr>
          <w:rFonts w:ascii="Times New Roman" w:hAnsi="Times New Roman" w:cs="Times New Roman"/>
          <w:sz w:val="24"/>
          <w:szCs w:val="24"/>
        </w:rPr>
        <w:t xml:space="preserve">ove </w:t>
      </w:r>
      <w:r w:rsidRPr="00151324">
        <w:rPr>
          <w:rFonts w:ascii="Times New Roman" w:hAnsi="Times New Roman" w:cs="Times New Roman"/>
          <w:sz w:val="24"/>
          <w:szCs w:val="24"/>
        </w:rPr>
        <w:t xml:space="preserve">comunque afflittivo, ma della sua portata doverosa </w:t>
      </w:r>
      <w:proofErr w:type="spellStart"/>
      <w:r w:rsidR="00DE232C" w:rsidRPr="00151324">
        <w:rPr>
          <w:rFonts w:ascii="Times New Roman" w:hAnsi="Times New Roman" w:cs="Times New Roman"/>
          <w:sz w:val="24"/>
          <w:szCs w:val="24"/>
        </w:rPr>
        <w:t>nell’</w:t>
      </w:r>
      <w:r w:rsidR="00DE232C" w:rsidRPr="00151324">
        <w:rPr>
          <w:rFonts w:ascii="Times New Roman" w:hAnsi="Times New Roman" w:cs="Times New Roman"/>
          <w:i/>
          <w:sz w:val="24"/>
          <w:szCs w:val="24"/>
        </w:rPr>
        <w:t>an</w:t>
      </w:r>
      <w:proofErr w:type="spellEnd"/>
      <w:r w:rsidR="00DE232C" w:rsidRPr="00151324">
        <w:rPr>
          <w:rFonts w:ascii="Times New Roman" w:hAnsi="Times New Roman" w:cs="Times New Roman"/>
          <w:sz w:val="24"/>
          <w:szCs w:val="24"/>
        </w:rPr>
        <w:t xml:space="preserve"> </w:t>
      </w:r>
      <w:r w:rsidRPr="00151324">
        <w:rPr>
          <w:rFonts w:ascii="Times New Roman" w:hAnsi="Times New Roman" w:cs="Times New Roman"/>
          <w:sz w:val="24"/>
          <w:szCs w:val="24"/>
        </w:rPr>
        <w:t>e necessitata ne</w:t>
      </w:r>
      <w:r w:rsidR="00DE232C" w:rsidRPr="00151324">
        <w:rPr>
          <w:rFonts w:ascii="Times New Roman" w:hAnsi="Times New Roman" w:cs="Times New Roman"/>
          <w:sz w:val="24"/>
          <w:szCs w:val="24"/>
        </w:rPr>
        <w:t xml:space="preserve">l </w:t>
      </w:r>
      <w:proofErr w:type="spellStart"/>
      <w:r w:rsidR="00DE232C" w:rsidRPr="00151324">
        <w:rPr>
          <w:rFonts w:ascii="Times New Roman" w:hAnsi="Times New Roman" w:cs="Times New Roman"/>
          <w:i/>
          <w:sz w:val="24"/>
          <w:szCs w:val="24"/>
        </w:rPr>
        <w:t>quomodo</w:t>
      </w:r>
      <w:proofErr w:type="spellEnd"/>
      <w:r w:rsidRPr="00151324">
        <w:rPr>
          <w:rFonts w:ascii="Times New Roman" w:hAnsi="Times New Roman" w:cs="Times New Roman"/>
          <w:sz w:val="24"/>
          <w:szCs w:val="24"/>
        </w:rPr>
        <w:t xml:space="preserve">. Solo laddove, </w:t>
      </w:r>
      <w:r w:rsidR="00DE232C" w:rsidRPr="00151324">
        <w:rPr>
          <w:rFonts w:ascii="Times New Roman" w:hAnsi="Times New Roman" w:cs="Times New Roman"/>
          <w:sz w:val="24"/>
          <w:szCs w:val="24"/>
        </w:rPr>
        <w:t>quindi</w:t>
      </w:r>
      <w:r w:rsidRPr="00151324">
        <w:rPr>
          <w:rFonts w:ascii="Times New Roman" w:hAnsi="Times New Roman" w:cs="Times New Roman"/>
          <w:sz w:val="24"/>
          <w:szCs w:val="24"/>
        </w:rPr>
        <w:t>, non vi è alcuna possibilità di scelta da parte della P.A. procedente</w:t>
      </w:r>
      <w:r w:rsidR="00DE232C" w:rsidRPr="00151324">
        <w:rPr>
          <w:rFonts w:ascii="Times New Roman" w:hAnsi="Times New Roman" w:cs="Times New Roman"/>
          <w:sz w:val="24"/>
          <w:szCs w:val="24"/>
        </w:rPr>
        <w:t>,</w:t>
      </w:r>
      <w:r w:rsidRPr="00151324">
        <w:rPr>
          <w:rFonts w:ascii="Times New Roman" w:hAnsi="Times New Roman" w:cs="Times New Roman"/>
          <w:sz w:val="24"/>
          <w:szCs w:val="24"/>
        </w:rPr>
        <w:t xml:space="preserve"> la giurisdizione in materia di sanzione di natura non pecuniaria è del giudice </w:t>
      </w:r>
      <w:r w:rsidR="00DE232C" w:rsidRPr="00151324">
        <w:rPr>
          <w:rFonts w:ascii="Times New Roman" w:hAnsi="Times New Roman" w:cs="Times New Roman"/>
          <w:sz w:val="24"/>
          <w:szCs w:val="24"/>
        </w:rPr>
        <w:t>ordinario</w:t>
      </w:r>
      <w:r w:rsidR="00DE232C" w:rsidRPr="00151324">
        <w:rPr>
          <w:rStyle w:val="Rimandonotaapidipagina"/>
          <w:rFonts w:ascii="Times New Roman" w:hAnsi="Times New Roman" w:cs="Times New Roman"/>
          <w:sz w:val="24"/>
          <w:szCs w:val="24"/>
        </w:rPr>
        <w:footnoteReference w:id="33"/>
      </w:r>
      <w:r w:rsidR="00DE232C" w:rsidRPr="00151324">
        <w:rPr>
          <w:rFonts w:ascii="Times New Roman" w:hAnsi="Times New Roman" w:cs="Times New Roman"/>
          <w:sz w:val="24"/>
          <w:szCs w:val="24"/>
        </w:rPr>
        <w:t xml:space="preserve">. </w:t>
      </w:r>
    </w:p>
    <w:p w14:paraId="7354E9A9" w14:textId="77777777" w:rsidR="00DE232C" w:rsidRPr="00151324" w:rsidRDefault="002F23BA" w:rsidP="00151324">
      <w:pPr>
        <w:widowControl/>
        <w:suppressAutoHyphens w:val="0"/>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La natura esclusivamente afflittiva e il potere interamente vincolato della norma che definisce dettagliatamente il fatto che integra la violazione stabilisce l’obbligo di applicare la sanzione determinandone in via esclusiva e non alternativa il contenuto anche in relazione alla durata, con la prescrizione inderogabile del minimo e del massimo irrogabili. </w:t>
      </w:r>
      <w:r w:rsidR="00DE232C" w:rsidRPr="00151324">
        <w:rPr>
          <w:rFonts w:ascii="Times New Roman" w:hAnsi="Times New Roman" w:cs="Times New Roman"/>
          <w:sz w:val="24"/>
          <w:szCs w:val="24"/>
        </w:rPr>
        <w:t>A quel punto l</w:t>
      </w:r>
      <w:r w:rsidRPr="00151324">
        <w:rPr>
          <w:rFonts w:ascii="Times New Roman" w:hAnsi="Times New Roman" w:cs="Times New Roman"/>
          <w:sz w:val="24"/>
          <w:szCs w:val="24"/>
        </w:rPr>
        <w:t xml:space="preserve">’applicazione della sanzione consegue ad un obbligo di legge, derivante dalla commissione del fatto illecito, accertata dall’autorità di polizia, </w:t>
      </w:r>
      <w:r w:rsidR="00DE232C" w:rsidRPr="00151324">
        <w:rPr>
          <w:rFonts w:ascii="Times New Roman" w:hAnsi="Times New Roman" w:cs="Times New Roman"/>
          <w:sz w:val="24"/>
          <w:szCs w:val="24"/>
        </w:rPr>
        <w:t xml:space="preserve">e </w:t>
      </w:r>
      <w:r w:rsidRPr="00151324">
        <w:rPr>
          <w:rFonts w:ascii="Times New Roman" w:hAnsi="Times New Roman" w:cs="Times New Roman"/>
          <w:sz w:val="24"/>
          <w:szCs w:val="24"/>
        </w:rPr>
        <w:t>non costitu</w:t>
      </w:r>
      <w:r w:rsidR="00DE232C" w:rsidRPr="00151324">
        <w:rPr>
          <w:rFonts w:ascii="Times New Roman" w:hAnsi="Times New Roman" w:cs="Times New Roman"/>
          <w:sz w:val="24"/>
          <w:szCs w:val="24"/>
        </w:rPr>
        <w:t xml:space="preserve">isce </w:t>
      </w:r>
      <w:r w:rsidRPr="00151324">
        <w:rPr>
          <w:rFonts w:ascii="Times New Roman" w:hAnsi="Times New Roman" w:cs="Times New Roman"/>
          <w:sz w:val="24"/>
          <w:szCs w:val="24"/>
        </w:rPr>
        <w:t xml:space="preserve">il risultato di </w:t>
      </w:r>
      <w:r w:rsidR="00DE232C" w:rsidRPr="00151324">
        <w:rPr>
          <w:rFonts w:ascii="Times New Roman" w:hAnsi="Times New Roman" w:cs="Times New Roman"/>
          <w:sz w:val="24"/>
          <w:szCs w:val="24"/>
        </w:rPr>
        <w:t>un’</w:t>
      </w:r>
      <w:r w:rsidRPr="00151324">
        <w:rPr>
          <w:rFonts w:ascii="Times New Roman" w:hAnsi="Times New Roman" w:cs="Times New Roman"/>
          <w:sz w:val="24"/>
          <w:szCs w:val="24"/>
        </w:rPr>
        <w:t xml:space="preserve">autonoma attività di vigilanza e controllo dell’autorità amministrativa irrogante. </w:t>
      </w:r>
      <w:r w:rsidR="00F51AE2" w:rsidRPr="00151324">
        <w:rPr>
          <w:rFonts w:ascii="Times New Roman" w:hAnsi="Times New Roman" w:cs="Times New Roman"/>
          <w:sz w:val="24"/>
          <w:szCs w:val="24"/>
        </w:rPr>
        <w:t xml:space="preserve"> </w:t>
      </w:r>
    </w:p>
    <w:p w14:paraId="1B94FC32" w14:textId="62BAA43F" w:rsidR="00DE232C" w:rsidRPr="00151324" w:rsidRDefault="002F23BA" w:rsidP="00151324">
      <w:pPr>
        <w:widowControl/>
        <w:suppressAutoHyphens w:val="0"/>
        <w:spacing w:after="0" w:line="360" w:lineRule="auto"/>
        <w:jc w:val="both"/>
        <w:rPr>
          <w:rFonts w:ascii="Times New Roman" w:hAnsi="Times New Roman" w:cs="Times New Roman"/>
          <w:sz w:val="24"/>
          <w:szCs w:val="24"/>
          <w:shd w:val="clear" w:color="auto" w:fill="FFFFFF"/>
        </w:rPr>
      </w:pPr>
      <w:r w:rsidRPr="00151324">
        <w:rPr>
          <w:rFonts w:ascii="Times New Roman" w:eastAsia="Times New Roman" w:hAnsi="Times New Roman" w:cs="Times New Roman"/>
          <w:kern w:val="0"/>
          <w:sz w:val="24"/>
          <w:szCs w:val="24"/>
          <w:lang w:eastAsia="it-IT"/>
        </w:rPr>
        <w:t>Questo importante ripensamento giuris</w:t>
      </w:r>
      <w:r w:rsidR="00D3712F" w:rsidRPr="00151324">
        <w:rPr>
          <w:rFonts w:ascii="Times New Roman" w:eastAsia="Times New Roman" w:hAnsi="Times New Roman" w:cs="Times New Roman"/>
          <w:kern w:val="0"/>
          <w:sz w:val="24"/>
          <w:szCs w:val="24"/>
          <w:lang w:eastAsia="it-IT"/>
        </w:rPr>
        <w:t>pru</w:t>
      </w:r>
      <w:r w:rsidRPr="00151324">
        <w:rPr>
          <w:rFonts w:ascii="Times New Roman" w:eastAsia="Times New Roman" w:hAnsi="Times New Roman" w:cs="Times New Roman"/>
          <w:kern w:val="0"/>
          <w:sz w:val="24"/>
          <w:szCs w:val="24"/>
          <w:lang w:eastAsia="it-IT"/>
        </w:rPr>
        <w:t>d</w:t>
      </w:r>
      <w:r w:rsidR="00D3712F" w:rsidRPr="00151324">
        <w:rPr>
          <w:rFonts w:ascii="Times New Roman" w:eastAsia="Times New Roman" w:hAnsi="Times New Roman" w:cs="Times New Roman"/>
          <w:kern w:val="0"/>
          <w:sz w:val="24"/>
          <w:szCs w:val="24"/>
          <w:lang w:eastAsia="it-IT"/>
        </w:rPr>
        <w:t>en</w:t>
      </w:r>
      <w:r w:rsidRPr="00151324">
        <w:rPr>
          <w:rFonts w:ascii="Times New Roman" w:eastAsia="Times New Roman" w:hAnsi="Times New Roman" w:cs="Times New Roman"/>
          <w:kern w:val="0"/>
          <w:sz w:val="24"/>
          <w:szCs w:val="24"/>
          <w:lang w:eastAsia="it-IT"/>
        </w:rPr>
        <w:t xml:space="preserve">ziale ci consente oggi di azzardare qualche conclusione sulla giurisdizione, venendo a specificarsi (attraverso qualche grossa semplificazione) che, eccezion fatta per i casi di giurisdizione esclusiva del Giudice Amministrativo, le sanzioni non pecuniarie, comminabili in carenza di discrezionalità, appartengono alla giurisdizione del giudice ordinario in relazione alla loro specifica </w:t>
      </w:r>
      <w:proofErr w:type="spellStart"/>
      <w:r w:rsidRPr="00151324">
        <w:rPr>
          <w:rFonts w:ascii="Times New Roman" w:eastAsia="Times New Roman" w:hAnsi="Times New Roman" w:cs="Times New Roman"/>
          <w:kern w:val="0"/>
          <w:sz w:val="24"/>
          <w:szCs w:val="24"/>
          <w:lang w:eastAsia="it-IT"/>
        </w:rPr>
        <w:t>afflittività</w:t>
      </w:r>
      <w:proofErr w:type="spellEnd"/>
      <w:r w:rsidRPr="00151324">
        <w:rPr>
          <w:rFonts w:ascii="Times New Roman" w:eastAsia="Times New Roman" w:hAnsi="Times New Roman" w:cs="Times New Roman"/>
          <w:kern w:val="0"/>
          <w:sz w:val="24"/>
          <w:szCs w:val="24"/>
          <w:lang w:eastAsia="it-IT"/>
        </w:rPr>
        <w:t>.</w:t>
      </w:r>
      <w:r w:rsidRPr="00151324">
        <w:rPr>
          <w:rFonts w:ascii="Times New Roman" w:hAnsi="Times New Roman" w:cs="Times New Roman"/>
          <w:sz w:val="24"/>
          <w:szCs w:val="24"/>
          <w:shd w:val="clear" w:color="auto" w:fill="FFFFFF"/>
        </w:rPr>
        <w:t xml:space="preserve"> </w:t>
      </w:r>
    </w:p>
    <w:p w14:paraId="3D9BD11F" w14:textId="61DB73EF" w:rsidR="002F23BA" w:rsidRPr="00151324" w:rsidRDefault="002F23BA" w:rsidP="00151324">
      <w:pPr>
        <w:widowControl/>
        <w:suppressAutoHyphens w:val="0"/>
        <w:spacing w:after="0" w:line="360" w:lineRule="auto"/>
        <w:jc w:val="both"/>
        <w:rPr>
          <w:rFonts w:ascii="Times New Roman" w:hAnsi="Times New Roman" w:cs="Times New Roman"/>
          <w:sz w:val="24"/>
          <w:szCs w:val="24"/>
          <w:shd w:val="clear" w:color="auto" w:fill="FFFFFF"/>
          <w:vertAlign w:val="subscript"/>
        </w:rPr>
      </w:pPr>
      <w:r w:rsidRPr="00151324">
        <w:rPr>
          <w:rFonts w:ascii="Times New Roman" w:hAnsi="Times New Roman" w:cs="Times New Roman"/>
          <w:sz w:val="24"/>
          <w:szCs w:val="24"/>
          <w:shd w:val="clear" w:color="auto" w:fill="FFFFFF"/>
        </w:rPr>
        <w:t xml:space="preserve">Una </w:t>
      </w:r>
      <w:r w:rsidR="00F51AE2" w:rsidRPr="00151324">
        <w:rPr>
          <w:rFonts w:ascii="Times New Roman" w:hAnsi="Times New Roman" w:cs="Times New Roman"/>
          <w:sz w:val="24"/>
          <w:szCs w:val="24"/>
          <w:shd w:val="clear" w:color="auto" w:fill="FFFFFF"/>
        </w:rPr>
        <w:t xml:space="preserve">interessante </w:t>
      </w:r>
      <w:r w:rsidRPr="00151324">
        <w:rPr>
          <w:rFonts w:ascii="Times New Roman" w:hAnsi="Times New Roman" w:cs="Times New Roman"/>
          <w:sz w:val="24"/>
          <w:szCs w:val="24"/>
          <w:shd w:val="clear" w:color="auto" w:fill="FFFFFF"/>
        </w:rPr>
        <w:t>applicazione d</w:t>
      </w:r>
      <w:r w:rsidR="00A36FA8" w:rsidRPr="00151324">
        <w:rPr>
          <w:rFonts w:ascii="Times New Roman" w:hAnsi="Times New Roman" w:cs="Times New Roman"/>
          <w:sz w:val="24"/>
          <w:szCs w:val="24"/>
          <w:shd w:val="clear" w:color="auto" w:fill="FFFFFF"/>
        </w:rPr>
        <w:t>e</w:t>
      </w:r>
      <w:r w:rsidRPr="00151324">
        <w:rPr>
          <w:rFonts w:ascii="Times New Roman" w:hAnsi="Times New Roman" w:cs="Times New Roman"/>
          <w:sz w:val="24"/>
          <w:szCs w:val="24"/>
          <w:shd w:val="clear" w:color="auto" w:fill="FFFFFF"/>
        </w:rPr>
        <w:t xml:space="preserve">i ridetti principi è dato ravvisare </w:t>
      </w:r>
      <w:r w:rsidR="00DE232C" w:rsidRPr="00151324">
        <w:rPr>
          <w:rFonts w:ascii="Times New Roman" w:hAnsi="Times New Roman" w:cs="Times New Roman"/>
          <w:sz w:val="24"/>
          <w:szCs w:val="24"/>
          <w:shd w:val="clear" w:color="auto" w:fill="FFFFFF"/>
        </w:rPr>
        <w:t xml:space="preserve">nelle numerose </w:t>
      </w:r>
      <w:r w:rsidRPr="00151324">
        <w:rPr>
          <w:rFonts w:ascii="Times New Roman" w:hAnsi="Times New Roman" w:cs="Times New Roman"/>
          <w:sz w:val="24"/>
          <w:szCs w:val="24"/>
          <w:shd w:val="clear" w:color="auto" w:fill="FFFFFF"/>
        </w:rPr>
        <w:t>pronunce di primo grado (inappellate)</w:t>
      </w:r>
      <w:r w:rsidR="00DE232C" w:rsidRPr="00151324">
        <w:rPr>
          <w:rFonts w:ascii="Times New Roman" w:hAnsi="Times New Roman" w:cs="Times New Roman"/>
          <w:sz w:val="24"/>
          <w:szCs w:val="24"/>
          <w:shd w:val="clear" w:color="auto" w:fill="FFFFFF"/>
        </w:rPr>
        <w:t xml:space="preserve"> nelle quali il giudice amministrativo ha </w:t>
      </w:r>
      <w:r w:rsidRPr="00151324">
        <w:rPr>
          <w:rFonts w:ascii="Times New Roman" w:hAnsi="Times New Roman" w:cs="Times New Roman"/>
          <w:sz w:val="24"/>
          <w:szCs w:val="24"/>
          <w:shd w:val="clear" w:color="auto" w:fill="FFFFFF"/>
        </w:rPr>
        <w:t xml:space="preserve">declinato la </w:t>
      </w:r>
      <w:r w:rsidR="00DE232C" w:rsidRPr="00151324">
        <w:rPr>
          <w:rFonts w:ascii="Times New Roman" w:hAnsi="Times New Roman" w:cs="Times New Roman"/>
          <w:sz w:val="24"/>
          <w:szCs w:val="24"/>
          <w:shd w:val="clear" w:color="auto" w:fill="FFFFFF"/>
        </w:rPr>
        <w:t xml:space="preserve">propria competenza </w:t>
      </w:r>
      <w:r w:rsidRPr="00151324">
        <w:rPr>
          <w:rFonts w:ascii="Times New Roman" w:hAnsi="Times New Roman" w:cs="Times New Roman"/>
          <w:sz w:val="24"/>
          <w:szCs w:val="24"/>
          <w:shd w:val="clear" w:color="auto" w:fill="FFFFFF"/>
        </w:rPr>
        <w:t xml:space="preserve">avuto riguardo a talune sanzioni previste dalla legislazione emergenziale </w:t>
      </w:r>
      <w:r w:rsidR="00DE232C" w:rsidRPr="00151324">
        <w:rPr>
          <w:rFonts w:ascii="Times New Roman" w:hAnsi="Times New Roman" w:cs="Times New Roman"/>
          <w:sz w:val="24"/>
          <w:szCs w:val="24"/>
          <w:shd w:val="clear" w:color="auto" w:fill="FFFFFF"/>
        </w:rPr>
        <w:t xml:space="preserve">per fronteggiare l’epidemia da COVID-19. </w:t>
      </w:r>
      <w:r w:rsidRPr="00151324">
        <w:rPr>
          <w:rFonts w:ascii="Times New Roman" w:hAnsi="Times New Roman" w:cs="Times New Roman"/>
          <w:sz w:val="24"/>
          <w:szCs w:val="24"/>
          <w:shd w:val="clear" w:color="auto" w:fill="FFFFFF"/>
        </w:rPr>
        <w:t>Con riferimento</w:t>
      </w:r>
      <w:r w:rsidR="00DE232C" w:rsidRPr="00151324">
        <w:rPr>
          <w:rFonts w:ascii="Times New Roman" w:hAnsi="Times New Roman" w:cs="Times New Roman"/>
          <w:sz w:val="24"/>
          <w:szCs w:val="24"/>
          <w:shd w:val="clear" w:color="auto" w:fill="FFFFFF"/>
        </w:rPr>
        <w:t xml:space="preserve">, ad esempio, </w:t>
      </w:r>
      <w:r w:rsidRPr="00151324">
        <w:rPr>
          <w:rFonts w:ascii="Times New Roman" w:hAnsi="Times New Roman" w:cs="Times New Roman"/>
          <w:sz w:val="24"/>
          <w:szCs w:val="24"/>
          <w:shd w:val="clear" w:color="auto" w:fill="FFFFFF"/>
        </w:rPr>
        <w:t>alla disciplina di cui all’art. 4, comma 2, del d</w:t>
      </w:r>
      <w:r w:rsidR="00A36FA8" w:rsidRPr="00151324">
        <w:rPr>
          <w:rFonts w:ascii="Times New Roman" w:hAnsi="Times New Roman" w:cs="Times New Roman"/>
          <w:sz w:val="24"/>
          <w:szCs w:val="24"/>
          <w:shd w:val="clear" w:color="auto" w:fill="FFFFFF"/>
        </w:rPr>
        <w:t>.l.</w:t>
      </w:r>
      <w:r w:rsidRPr="00151324">
        <w:rPr>
          <w:rFonts w:ascii="Times New Roman" w:hAnsi="Times New Roman" w:cs="Times New Roman"/>
          <w:sz w:val="24"/>
          <w:szCs w:val="24"/>
          <w:shd w:val="clear" w:color="auto" w:fill="FFFFFF"/>
        </w:rPr>
        <w:t>ec n. 19 del 2020, convertito in l</w:t>
      </w:r>
      <w:r w:rsidR="00A36FA8"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 xml:space="preserve"> n. 35 del 2020 – che prevede espressamente quale sanzione accessoria non alternativa la chiusura dell’esercizio da 5 a 30 giorni nei casi di cui all’art. 1, comma 2, lettere i), m), p), u), v), z) e aa) – si è infatti riconosciuto che trattasi indiscutibilmente di fattispecie in cui risultano predeterminate sia la condotta sia la sanzione minima e massima, così che </w:t>
      </w:r>
      <w:r w:rsidR="00DE232C" w:rsidRPr="00151324">
        <w:rPr>
          <w:rFonts w:ascii="Times New Roman" w:hAnsi="Times New Roman" w:cs="Times New Roman"/>
          <w:sz w:val="24"/>
          <w:szCs w:val="24"/>
          <w:shd w:val="clear" w:color="auto" w:fill="FFFFFF"/>
        </w:rPr>
        <w:t>«</w:t>
      </w:r>
      <w:r w:rsidRPr="00151324">
        <w:rPr>
          <w:rFonts w:ascii="Times New Roman" w:hAnsi="Times New Roman" w:cs="Times New Roman"/>
          <w:sz w:val="24"/>
          <w:szCs w:val="24"/>
          <w:shd w:val="clear" w:color="auto" w:fill="FFFFFF"/>
        </w:rPr>
        <w:t>la sanzione accessoria ha natura esclusivamente afflittiva al pari di quella pecuniaria alla quale si aggiunge ancorché senza alcun collegamento causale o consequenziale</w:t>
      </w:r>
      <w:r w:rsidR="00DE232C" w:rsidRPr="00151324">
        <w:rPr>
          <w:rFonts w:ascii="Times New Roman" w:hAnsi="Times New Roman" w:cs="Times New Roman"/>
          <w:sz w:val="24"/>
          <w:szCs w:val="24"/>
          <w:shd w:val="clear" w:color="auto" w:fill="FFFFFF"/>
        </w:rPr>
        <w:t>». Ne discende «</w:t>
      </w:r>
      <w:r w:rsidR="00DE232C" w:rsidRPr="00151324">
        <w:rPr>
          <w:rFonts w:ascii="Times New Roman" w:hAnsi="Times New Roman" w:cs="Times New Roman"/>
          <w:i/>
          <w:sz w:val="24"/>
          <w:szCs w:val="24"/>
          <w:shd w:val="clear" w:color="auto" w:fill="FFFFFF"/>
        </w:rPr>
        <w:t>che non venga in tal caso, in rilievo alcun potere discrezionale, in quanto l’autorità è priva del potere di stabilire se applicare la sanzione, né può articolarne il contenuto come nelle sanzioni ripristinatorie della situazione modificata a causa della condotta illecita</w:t>
      </w:r>
      <w:r w:rsidR="00DE232C" w:rsidRPr="00151324">
        <w:rPr>
          <w:rFonts w:ascii="Times New Roman" w:hAnsi="Times New Roman" w:cs="Times New Roman"/>
          <w:sz w:val="24"/>
          <w:szCs w:val="24"/>
          <w:shd w:val="clear" w:color="auto" w:fill="FFFFFF"/>
        </w:rPr>
        <w:t>» e in considerazione del fatto che non risulta ascrivibile all’esercizio di un potere propriamente discrezionale la mera determinazione dei giorni di chiusura del locale aperto al pubblico, da effettuarsi dalla stessa tra un minimo e un massimo, rigorosamente predeterminati dalla norma</w:t>
      </w:r>
      <w:r w:rsidR="00DE232C" w:rsidRPr="00151324">
        <w:rPr>
          <w:rStyle w:val="Rimandonotaapidipagina"/>
          <w:rFonts w:ascii="Times New Roman" w:hAnsi="Times New Roman" w:cs="Times New Roman"/>
          <w:sz w:val="24"/>
          <w:szCs w:val="24"/>
          <w:shd w:val="clear" w:color="auto" w:fill="FFFFFF"/>
        </w:rPr>
        <w:footnoteReference w:id="34"/>
      </w:r>
      <w:r w:rsidR="00DE232C" w:rsidRPr="00151324">
        <w:rPr>
          <w:rFonts w:ascii="Times New Roman" w:hAnsi="Times New Roman" w:cs="Times New Roman"/>
          <w:sz w:val="24"/>
          <w:szCs w:val="24"/>
          <w:shd w:val="clear" w:color="auto" w:fill="FFFFFF"/>
        </w:rPr>
        <w:t xml:space="preserve">. </w:t>
      </w:r>
      <w:r w:rsidRPr="00151324">
        <w:rPr>
          <w:rFonts w:ascii="Times New Roman" w:hAnsi="Times New Roman" w:cs="Times New Roman"/>
          <w:sz w:val="24"/>
          <w:szCs w:val="24"/>
          <w:shd w:val="clear" w:color="auto" w:fill="FFFFFF"/>
        </w:rPr>
        <w:t xml:space="preserve"> A tutto ciò consegue che la </w:t>
      </w:r>
      <w:proofErr w:type="spellStart"/>
      <w:r w:rsidRPr="00151324">
        <w:rPr>
          <w:rFonts w:ascii="Times New Roman" w:hAnsi="Times New Roman" w:cs="Times New Roman"/>
          <w:sz w:val="24"/>
          <w:szCs w:val="24"/>
          <w:shd w:val="clear" w:color="auto" w:fill="FFFFFF"/>
        </w:rPr>
        <w:t>afflittività</w:t>
      </w:r>
      <w:proofErr w:type="spellEnd"/>
      <w:r w:rsidRPr="00151324">
        <w:rPr>
          <w:rFonts w:ascii="Times New Roman" w:hAnsi="Times New Roman" w:cs="Times New Roman"/>
          <w:sz w:val="24"/>
          <w:szCs w:val="24"/>
          <w:shd w:val="clear" w:color="auto" w:fill="FFFFFF"/>
        </w:rPr>
        <w:t xml:space="preserve"> della misura irrogata ne implica la portata “sanzionatoria” e le conseguenti garanzie anche procedurali nella irrogazione; ma </w:t>
      </w:r>
      <w:r w:rsidR="00BA7642" w:rsidRPr="00151324">
        <w:rPr>
          <w:rFonts w:ascii="Times New Roman" w:hAnsi="Times New Roman" w:cs="Times New Roman"/>
          <w:sz w:val="24"/>
          <w:szCs w:val="24"/>
          <w:shd w:val="clear" w:color="auto" w:fill="FFFFFF"/>
        </w:rPr>
        <w:t xml:space="preserve">è </w:t>
      </w:r>
      <w:r w:rsidRPr="00151324">
        <w:rPr>
          <w:rFonts w:ascii="Times New Roman" w:hAnsi="Times New Roman" w:cs="Times New Roman"/>
          <w:sz w:val="24"/>
          <w:szCs w:val="24"/>
          <w:shd w:val="clear" w:color="auto" w:fill="FFFFFF"/>
        </w:rPr>
        <w:t>l</w:t>
      </w:r>
      <w:r w:rsidR="00BA7642" w:rsidRPr="00151324">
        <w:rPr>
          <w:rFonts w:ascii="Times New Roman" w:hAnsi="Times New Roman" w:cs="Times New Roman"/>
          <w:sz w:val="24"/>
          <w:szCs w:val="24"/>
          <w:shd w:val="clear" w:color="auto" w:fill="FFFFFF"/>
        </w:rPr>
        <w:t xml:space="preserve">’obbligo </w:t>
      </w:r>
      <w:r w:rsidRPr="00151324">
        <w:rPr>
          <w:rFonts w:ascii="Times New Roman" w:hAnsi="Times New Roman" w:cs="Times New Roman"/>
          <w:sz w:val="24"/>
          <w:szCs w:val="24"/>
          <w:shd w:val="clear" w:color="auto" w:fill="FFFFFF"/>
        </w:rPr>
        <w:t>applicativ</w:t>
      </w:r>
      <w:r w:rsidR="00BA7642" w:rsidRPr="00151324">
        <w:rPr>
          <w:rFonts w:ascii="Times New Roman" w:hAnsi="Times New Roman" w:cs="Times New Roman"/>
          <w:sz w:val="24"/>
          <w:szCs w:val="24"/>
          <w:shd w:val="clear" w:color="auto" w:fill="FFFFFF"/>
        </w:rPr>
        <w:t>o</w:t>
      </w:r>
      <w:r w:rsidRPr="00151324">
        <w:rPr>
          <w:rFonts w:ascii="Times New Roman" w:hAnsi="Times New Roman" w:cs="Times New Roman"/>
          <w:sz w:val="24"/>
          <w:szCs w:val="24"/>
          <w:shd w:val="clear" w:color="auto" w:fill="FFFFFF"/>
        </w:rPr>
        <w:t xml:space="preserve"> e contenutistic</w:t>
      </w:r>
      <w:r w:rsidR="00BA7642" w:rsidRPr="00151324">
        <w:rPr>
          <w:rFonts w:ascii="Times New Roman" w:hAnsi="Times New Roman" w:cs="Times New Roman"/>
          <w:sz w:val="24"/>
          <w:szCs w:val="24"/>
          <w:shd w:val="clear" w:color="auto" w:fill="FFFFFF"/>
        </w:rPr>
        <w:t xml:space="preserve">o a sancirne il </w:t>
      </w:r>
      <w:r w:rsidRPr="00151324">
        <w:rPr>
          <w:rFonts w:ascii="Times New Roman" w:hAnsi="Times New Roman" w:cs="Times New Roman"/>
          <w:sz w:val="24"/>
          <w:szCs w:val="24"/>
          <w:shd w:val="clear" w:color="auto" w:fill="FFFFFF"/>
        </w:rPr>
        <w:t xml:space="preserve">regime delle tutele. </w:t>
      </w:r>
    </w:p>
    <w:p w14:paraId="1DB26CA1" w14:textId="77777777" w:rsidR="000478C1" w:rsidRPr="00151324" w:rsidRDefault="000478C1" w:rsidP="00151324">
      <w:pPr>
        <w:widowControl/>
        <w:suppressAutoHyphens w:val="0"/>
        <w:spacing w:after="0" w:line="360" w:lineRule="auto"/>
        <w:jc w:val="both"/>
        <w:rPr>
          <w:rFonts w:ascii="Times New Roman" w:hAnsi="Times New Roman" w:cs="Times New Roman"/>
          <w:sz w:val="24"/>
          <w:szCs w:val="24"/>
          <w:shd w:val="clear" w:color="auto" w:fill="FFFFFF"/>
        </w:rPr>
      </w:pPr>
    </w:p>
    <w:p w14:paraId="60FE1236" w14:textId="6D66CBDC" w:rsidR="002F23BA" w:rsidRPr="00D5361B" w:rsidRDefault="002F23BA" w:rsidP="00D5361B">
      <w:pPr>
        <w:pStyle w:val="Paragrafoelenco"/>
        <w:numPr>
          <w:ilvl w:val="0"/>
          <w:numId w:val="6"/>
        </w:numPr>
        <w:suppressAutoHyphens w:val="0"/>
        <w:autoSpaceDN/>
        <w:spacing w:after="0" w:line="360" w:lineRule="auto"/>
        <w:jc w:val="both"/>
        <w:textAlignment w:val="auto"/>
        <w:rPr>
          <w:rFonts w:ascii="Times New Roman" w:eastAsia="Times New Roman" w:hAnsi="Times New Roman" w:cs="Times New Roman"/>
          <w:b/>
          <w:kern w:val="0"/>
          <w:sz w:val="24"/>
          <w:szCs w:val="24"/>
          <w:lang w:eastAsia="it-IT"/>
        </w:rPr>
      </w:pPr>
      <w:r w:rsidRPr="00D5361B">
        <w:rPr>
          <w:rFonts w:ascii="Times New Roman" w:eastAsia="Times New Roman" w:hAnsi="Times New Roman" w:cs="Times New Roman"/>
          <w:b/>
          <w:kern w:val="0"/>
          <w:sz w:val="24"/>
          <w:szCs w:val="24"/>
          <w:lang w:eastAsia="it-IT"/>
        </w:rPr>
        <w:t>La rimozione dell’occupazione di suolo pubblico</w:t>
      </w:r>
      <w:r w:rsidR="00720C51" w:rsidRPr="00D5361B">
        <w:rPr>
          <w:rFonts w:ascii="Times New Roman" w:eastAsia="Times New Roman" w:hAnsi="Times New Roman" w:cs="Times New Roman"/>
          <w:b/>
          <w:kern w:val="0"/>
          <w:sz w:val="24"/>
          <w:szCs w:val="24"/>
          <w:lang w:eastAsia="it-IT"/>
        </w:rPr>
        <w:t xml:space="preserve"> nella normativa a tutela della sicurezza delle città</w:t>
      </w:r>
      <w:r w:rsidRPr="00D5361B">
        <w:rPr>
          <w:rFonts w:ascii="Times New Roman" w:eastAsia="Times New Roman" w:hAnsi="Times New Roman" w:cs="Times New Roman"/>
          <w:b/>
          <w:kern w:val="0"/>
          <w:sz w:val="24"/>
          <w:szCs w:val="24"/>
          <w:lang w:eastAsia="it-IT"/>
        </w:rPr>
        <w:t xml:space="preserve">. </w:t>
      </w:r>
    </w:p>
    <w:p w14:paraId="428B571E" w14:textId="77777777" w:rsidR="00BC21BC" w:rsidRPr="00151324" w:rsidRDefault="00BC21BC" w:rsidP="00151324">
      <w:pPr>
        <w:widowControl/>
        <w:suppressAutoHyphens w:val="0"/>
        <w:autoSpaceDN/>
        <w:spacing w:after="0" w:line="360" w:lineRule="auto"/>
        <w:jc w:val="both"/>
        <w:textAlignment w:val="auto"/>
        <w:rPr>
          <w:rFonts w:ascii="Times New Roman" w:eastAsia="Times New Roman" w:hAnsi="Times New Roman" w:cs="Times New Roman"/>
          <w:b/>
          <w:kern w:val="0"/>
          <w:sz w:val="24"/>
          <w:szCs w:val="24"/>
          <w:lang w:eastAsia="it-IT"/>
        </w:rPr>
      </w:pPr>
    </w:p>
    <w:p w14:paraId="0E0D8487" w14:textId="77777777" w:rsidR="00F51AE2" w:rsidRPr="00151324" w:rsidRDefault="00F51AE2" w:rsidP="00151324">
      <w:pPr>
        <w:pStyle w:val="Standard"/>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Con la legge 15 luglio 2009, n. 94, è stato inserito un particolare tipo di rimedio avverso occupazioni abusive di suolo pubblico che</w:t>
      </w:r>
      <w:r w:rsidR="00F30292" w:rsidRPr="00151324">
        <w:rPr>
          <w:rFonts w:ascii="Times New Roman" w:hAnsi="Times New Roman" w:cs="Times New Roman"/>
          <w:sz w:val="24"/>
          <w:szCs w:val="24"/>
        </w:rPr>
        <w:t xml:space="preserve"> va ad aggiungersi a quelli già previsti e che ha dato </w:t>
      </w:r>
      <w:r w:rsidRPr="00151324">
        <w:rPr>
          <w:rFonts w:ascii="Times New Roman" w:hAnsi="Times New Roman" w:cs="Times New Roman"/>
          <w:sz w:val="24"/>
          <w:szCs w:val="24"/>
        </w:rPr>
        <w:t xml:space="preserve">luogo a </w:t>
      </w:r>
      <w:r w:rsidR="00F30292" w:rsidRPr="00151324">
        <w:rPr>
          <w:rFonts w:ascii="Times New Roman" w:hAnsi="Times New Roman" w:cs="Times New Roman"/>
          <w:sz w:val="24"/>
          <w:szCs w:val="24"/>
        </w:rPr>
        <w:t xml:space="preserve">un </w:t>
      </w:r>
      <w:r w:rsidRPr="00151324">
        <w:rPr>
          <w:rFonts w:ascii="Times New Roman" w:hAnsi="Times New Roman" w:cs="Times New Roman"/>
          <w:sz w:val="24"/>
          <w:szCs w:val="24"/>
        </w:rPr>
        <w:t>interessante contenzioso</w:t>
      </w:r>
      <w:r w:rsidR="00F30292" w:rsidRPr="00151324">
        <w:rPr>
          <w:rFonts w:ascii="Times New Roman" w:hAnsi="Times New Roman" w:cs="Times New Roman"/>
          <w:sz w:val="24"/>
          <w:szCs w:val="24"/>
        </w:rPr>
        <w:t xml:space="preserve"> che attinge i principi poco sopra enunciati</w:t>
      </w:r>
      <w:r w:rsidRPr="00151324">
        <w:rPr>
          <w:rFonts w:ascii="Times New Roman" w:hAnsi="Times New Roman" w:cs="Times New Roman"/>
          <w:sz w:val="24"/>
          <w:szCs w:val="24"/>
        </w:rPr>
        <w:t xml:space="preserve">. </w:t>
      </w:r>
      <w:r w:rsidR="00F30292" w:rsidRPr="00151324">
        <w:rPr>
          <w:rFonts w:ascii="Times New Roman" w:hAnsi="Times New Roman" w:cs="Times New Roman"/>
          <w:sz w:val="24"/>
          <w:szCs w:val="24"/>
        </w:rPr>
        <w:t xml:space="preserve">Trattasi dell’art. </w:t>
      </w:r>
      <w:r w:rsidRPr="00151324">
        <w:rPr>
          <w:rFonts w:ascii="Times New Roman" w:hAnsi="Times New Roman" w:cs="Times New Roman"/>
          <w:sz w:val="24"/>
          <w:szCs w:val="24"/>
        </w:rPr>
        <w:t xml:space="preserve">13, commi 16, 17 e 18. </w:t>
      </w:r>
      <w:r w:rsidR="00BA7642" w:rsidRPr="00151324">
        <w:rPr>
          <w:rFonts w:ascii="Times New Roman" w:hAnsi="Times New Roman" w:cs="Times New Roman"/>
          <w:sz w:val="24"/>
          <w:szCs w:val="24"/>
        </w:rPr>
        <w:t>La norma prevede dunque che f</w:t>
      </w:r>
      <w:r w:rsidRPr="00151324">
        <w:rPr>
          <w:rFonts w:ascii="Times New Roman" w:hAnsi="Times New Roman" w:cs="Times New Roman"/>
          <w:sz w:val="24"/>
          <w:szCs w:val="24"/>
        </w:rPr>
        <w:t>atta salva l’applicazione dei provvedimenti dell’autorità per motivi di ordine pubblico (per esempio, ordinanze contingibili e urgenti), in tutti i casi di indebita occupazione di suolo pubblico riconducibile o al reato di cui all’articolo 633 del codice penale o alla fattispecie di cui all’articolo 20 del codice della strada, il sindaco per le strade urbane e il prefetto per quelle extraurbane o per ogni luogo quando ricorrono motivi di sicurezza pubblica, possono ordinare il ripristino dello stato dei luoghi a spese degli occupanti</w:t>
      </w:r>
      <w:r w:rsidRPr="00151324">
        <w:rPr>
          <w:rStyle w:val="Rimandonotaapidipagina"/>
          <w:rFonts w:ascii="Times New Roman" w:hAnsi="Times New Roman" w:cs="Times New Roman"/>
          <w:sz w:val="24"/>
          <w:szCs w:val="24"/>
        </w:rPr>
        <w:footnoteReference w:id="35"/>
      </w:r>
      <w:r w:rsidRPr="00151324">
        <w:rPr>
          <w:rFonts w:ascii="Times New Roman" w:hAnsi="Times New Roman" w:cs="Times New Roman"/>
          <w:sz w:val="24"/>
          <w:szCs w:val="24"/>
        </w:rPr>
        <w:t xml:space="preserve">. </w:t>
      </w:r>
    </w:p>
    <w:p w14:paraId="37A1D987" w14:textId="77777777" w:rsidR="00F51AE2" w:rsidRPr="00151324" w:rsidRDefault="00F51AE2" w:rsidP="00151324">
      <w:pPr>
        <w:pStyle w:val="Standard"/>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In caso di accertamento di tali illeciti, </w:t>
      </w:r>
      <w:r w:rsidR="00BA7642" w:rsidRPr="00151324">
        <w:rPr>
          <w:rFonts w:ascii="Times New Roman" w:hAnsi="Times New Roman" w:cs="Times New Roman"/>
          <w:sz w:val="24"/>
          <w:szCs w:val="24"/>
        </w:rPr>
        <w:t xml:space="preserve">peraltro, </w:t>
      </w:r>
      <w:r w:rsidRPr="00151324">
        <w:rPr>
          <w:rFonts w:ascii="Times New Roman" w:hAnsi="Times New Roman" w:cs="Times New Roman"/>
          <w:sz w:val="24"/>
          <w:szCs w:val="24"/>
        </w:rPr>
        <w:t xml:space="preserve">è prevista sempre la trasmissione di copia del verbale di accertamento alla Guardia di finanza (art. 1, comma 18), ai sensi dell’art. 36 della del d.P.R. 29 settembre 1973, n. 600. </w:t>
      </w:r>
    </w:p>
    <w:p w14:paraId="5722E982" w14:textId="023C1DF4" w:rsidR="00F51AE2" w:rsidRPr="00151324" w:rsidRDefault="00BA7642" w:rsidP="00151324">
      <w:pPr>
        <w:pStyle w:val="Standard"/>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Come affermato da subito dai primi commentatori, la tip</w:t>
      </w:r>
      <w:r w:rsidR="00F51AE2" w:rsidRPr="00151324">
        <w:rPr>
          <w:rFonts w:ascii="Times New Roman" w:hAnsi="Times New Roman" w:cs="Times New Roman"/>
          <w:sz w:val="24"/>
          <w:szCs w:val="24"/>
        </w:rPr>
        <w:t xml:space="preserve">ologia di provvedimento previsto da questa disposizione non è riconducibile al </w:t>
      </w:r>
      <w:proofErr w:type="spellStart"/>
      <w:r w:rsidR="00F51AE2" w:rsidRPr="00151324">
        <w:rPr>
          <w:rFonts w:ascii="Times New Roman" w:hAnsi="Times New Roman" w:cs="Times New Roman"/>
          <w:i/>
          <w:sz w:val="24"/>
          <w:szCs w:val="24"/>
        </w:rPr>
        <w:t>genus</w:t>
      </w:r>
      <w:proofErr w:type="spellEnd"/>
      <w:r w:rsidR="00F51AE2" w:rsidRPr="00151324">
        <w:rPr>
          <w:rFonts w:ascii="Times New Roman" w:hAnsi="Times New Roman" w:cs="Times New Roman"/>
          <w:sz w:val="24"/>
          <w:szCs w:val="24"/>
        </w:rPr>
        <w:t xml:space="preserve"> delle ordinanze contingibili ed urgenti, pur nascendo da esigenze di sicurezza</w:t>
      </w:r>
      <w:r w:rsidRPr="00151324">
        <w:rPr>
          <w:rFonts w:ascii="Times New Roman" w:hAnsi="Times New Roman" w:cs="Times New Roman"/>
          <w:sz w:val="24"/>
          <w:szCs w:val="24"/>
        </w:rPr>
        <w:t xml:space="preserve">, </w:t>
      </w:r>
      <w:r w:rsidRPr="00151324">
        <w:rPr>
          <w:rFonts w:ascii="Times New Roman" w:hAnsi="Times New Roman" w:cs="Times New Roman"/>
          <w:i/>
          <w:sz w:val="24"/>
          <w:szCs w:val="24"/>
        </w:rPr>
        <w:t xml:space="preserve">lato </w:t>
      </w:r>
      <w:proofErr w:type="spellStart"/>
      <w:r w:rsidRPr="00151324">
        <w:rPr>
          <w:rFonts w:ascii="Times New Roman" w:hAnsi="Times New Roman" w:cs="Times New Roman"/>
          <w:i/>
          <w:sz w:val="24"/>
          <w:szCs w:val="24"/>
        </w:rPr>
        <w:t>sensu</w:t>
      </w:r>
      <w:proofErr w:type="spellEnd"/>
      <w:r w:rsidRPr="00151324">
        <w:rPr>
          <w:rFonts w:ascii="Times New Roman" w:hAnsi="Times New Roman" w:cs="Times New Roman"/>
          <w:sz w:val="24"/>
          <w:szCs w:val="24"/>
        </w:rPr>
        <w:t xml:space="preserve"> intesa. Con</w:t>
      </w:r>
      <w:r w:rsidR="00F51AE2" w:rsidRPr="00151324">
        <w:rPr>
          <w:rFonts w:ascii="Times New Roman" w:hAnsi="Times New Roman" w:cs="Times New Roman"/>
          <w:sz w:val="24"/>
          <w:szCs w:val="24"/>
        </w:rPr>
        <w:t xml:space="preserve"> tale norma si generalizza </w:t>
      </w:r>
      <w:r w:rsidRPr="00151324">
        <w:rPr>
          <w:rFonts w:ascii="Times New Roman" w:hAnsi="Times New Roman" w:cs="Times New Roman"/>
          <w:sz w:val="24"/>
          <w:szCs w:val="24"/>
        </w:rPr>
        <w:t xml:space="preserve">caso mai </w:t>
      </w:r>
      <w:r w:rsidR="00F51AE2" w:rsidRPr="00151324">
        <w:rPr>
          <w:rFonts w:ascii="Times New Roman" w:hAnsi="Times New Roman" w:cs="Times New Roman"/>
          <w:sz w:val="24"/>
          <w:szCs w:val="24"/>
        </w:rPr>
        <w:t xml:space="preserve">una </w:t>
      </w:r>
      <w:r w:rsidRPr="00151324">
        <w:rPr>
          <w:rFonts w:ascii="Times New Roman" w:hAnsi="Times New Roman" w:cs="Times New Roman"/>
          <w:sz w:val="24"/>
          <w:szCs w:val="24"/>
        </w:rPr>
        <w:t xml:space="preserve">specifica </w:t>
      </w:r>
      <w:r w:rsidR="00F51AE2" w:rsidRPr="00151324">
        <w:rPr>
          <w:rFonts w:ascii="Times New Roman" w:hAnsi="Times New Roman" w:cs="Times New Roman"/>
          <w:sz w:val="24"/>
          <w:szCs w:val="24"/>
        </w:rPr>
        <w:t xml:space="preserve">sanzione accessoria </w:t>
      </w:r>
      <w:r w:rsidRPr="00151324">
        <w:rPr>
          <w:rFonts w:ascii="Times New Roman" w:hAnsi="Times New Roman" w:cs="Times New Roman"/>
          <w:sz w:val="24"/>
          <w:szCs w:val="24"/>
        </w:rPr>
        <w:t xml:space="preserve">riferita a due diverse tipologie di illecito, </w:t>
      </w:r>
      <w:r w:rsidR="00F51AE2" w:rsidRPr="00151324">
        <w:rPr>
          <w:rFonts w:ascii="Times New Roman" w:hAnsi="Times New Roman" w:cs="Times New Roman"/>
          <w:sz w:val="24"/>
          <w:szCs w:val="24"/>
        </w:rPr>
        <w:t xml:space="preserve">penale </w:t>
      </w:r>
      <w:r w:rsidRPr="00151324">
        <w:rPr>
          <w:rFonts w:ascii="Times New Roman" w:hAnsi="Times New Roman" w:cs="Times New Roman"/>
          <w:sz w:val="24"/>
          <w:szCs w:val="24"/>
        </w:rPr>
        <w:t xml:space="preserve">(art. 633 c.p.) </w:t>
      </w:r>
      <w:r w:rsidR="00F51AE2" w:rsidRPr="00151324">
        <w:rPr>
          <w:rFonts w:ascii="Times New Roman" w:hAnsi="Times New Roman" w:cs="Times New Roman"/>
          <w:sz w:val="24"/>
          <w:szCs w:val="24"/>
        </w:rPr>
        <w:t>e amministrativo</w:t>
      </w:r>
      <w:r w:rsidRPr="00151324">
        <w:rPr>
          <w:rFonts w:ascii="Times New Roman" w:hAnsi="Times New Roman" w:cs="Times New Roman"/>
          <w:sz w:val="24"/>
          <w:szCs w:val="24"/>
        </w:rPr>
        <w:t xml:space="preserve"> (art. 20 Codice della strada)</w:t>
      </w:r>
      <w:r w:rsidR="00F51AE2" w:rsidRPr="00151324">
        <w:rPr>
          <w:rFonts w:ascii="Times New Roman" w:hAnsi="Times New Roman" w:cs="Times New Roman"/>
          <w:sz w:val="24"/>
          <w:szCs w:val="24"/>
        </w:rPr>
        <w:t>,</w:t>
      </w:r>
      <w:r w:rsidRPr="00151324">
        <w:rPr>
          <w:rFonts w:ascii="Times New Roman" w:hAnsi="Times New Roman" w:cs="Times New Roman"/>
          <w:sz w:val="24"/>
          <w:szCs w:val="24"/>
        </w:rPr>
        <w:t xml:space="preserve"> in quanto</w:t>
      </w:r>
      <w:r w:rsidR="00F51AE2" w:rsidRPr="00151324">
        <w:rPr>
          <w:rFonts w:ascii="Times New Roman" w:hAnsi="Times New Roman" w:cs="Times New Roman"/>
          <w:sz w:val="24"/>
          <w:szCs w:val="24"/>
        </w:rPr>
        <w:t xml:space="preserve"> esplicitamente richiamati</w:t>
      </w:r>
      <w:r w:rsidR="00A361EF" w:rsidRPr="00151324">
        <w:rPr>
          <w:rStyle w:val="Rimandonotaapidipagina"/>
          <w:rFonts w:ascii="Times New Roman" w:hAnsi="Times New Roman" w:cs="Times New Roman"/>
          <w:sz w:val="24"/>
          <w:szCs w:val="24"/>
        </w:rPr>
        <w:footnoteReference w:id="36"/>
      </w:r>
      <w:r w:rsidRPr="00151324">
        <w:rPr>
          <w:rFonts w:ascii="Times New Roman" w:hAnsi="Times New Roman" w:cs="Times New Roman"/>
          <w:sz w:val="24"/>
          <w:szCs w:val="24"/>
        </w:rPr>
        <w:t>.</w:t>
      </w:r>
      <w:r w:rsidR="00720C51" w:rsidRPr="00151324">
        <w:rPr>
          <w:rFonts w:ascii="Times New Roman" w:hAnsi="Times New Roman" w:cs="Times New Roman"/>
          <w:sz w:val="24"/>
          <w:szCs w:val="24"/>
        </w:rPr>
        <w:t xml:space="preserve"> </w:t>
      </w:r>
      <w:r w:rsidR="00265DF0" w:rsidRPr="00151324">
        <w:rPr>
          <w:rFonts w:ascii="Times New Roman" w:hAnsi="Times New Roman" w:cs="Times New Roman"/>
          <w:sz w:val="24"/>
          <w:szCs w:val="24"/>
        </w:rPr>
        <w:t xml:space="preserve">Il tema è stato affrontato nuovamente dal </w:t>
      </w:r>
      <w:proofErr w:type="spellStart"/>
      <w:r w:rsidR="00F51AE2" w:rsidRPr="00151324">
        <w:rPr>
          <w:rFonts w:ascii="Times New Roman" w:hAnsi="Times New Roman" w:cs="Times New Roman"/>
          <w:sz w:val="24"/>
          <w:szCs w:val="24"/>
        </w:rPr>
        <w:t>dal</w:t>
      </w:r>
      <w:proofErr w:type="spellEnd"/>
      <w:r w:rsidR="00F51AE2" w:rsidRPr="00151324">
        <w:rPr>
          <w:rFonts w:ascii="Times New Roman" w:hAnsi="Times New Roman" w:cs="Times New Roman"/>
          <w:sz w:val="24"/>
          <w:szCs w:val="24"/>
        </w:rPr>
        <w:t xml:space="preserve"> </w:t>
      </w:r>
      <w:proofErr w:type="spellStart"/>
      <w:r w:rsidR="00F51AE2" w:rsidRPr="00151324">
        <w:rPr>
          <w:rFonts w:ascii="Times New Roman" w:hAnsi="Times New Roman" w:cs="Times New Roman"/>
          <w:sz w:val="24"/>
          <w:szCs w:val="24"/>
        </w:rPr>
        <w:t>d</w:t>
      </w:r>
      <w:r w:rsidR="00A36FA8" w:rsidRPr="00151324">
        <w:rPr>
          <w:rFonts w:ascii="Times New Roman" w:hAnsi="Times New Roman" w:cs="Times New Roman"/>
          <w:sz w:val="24"/>
          <w:szCs w:val="24"/>
        </w:rPr>
        <w:t>.l.</w:t>
      </w:r>
      <w:proofErr w:type="spellEnd"/>
      <w:r w:rsidR="00F51AE2" w:rsidRPr="00151324">
        <w:rPr>
          <w:rFonts w:ascii="Times New Roman" w:hAnsi="Times New Roman" w:cs="Times New Roman"/>
          <w:sz w:val="24"/>
          <w:szCs w:val="24"/>
        </w:rPr>
        <w:t xml:space="preserve"> 20 febbraio 2017, n. 14, convertito dalla l</w:t>
      </w:r>
      <w:r w:rsidR="00A36FA8" w:rsidRPr="00151324">
        <w:rPr>
          <w:rFonts w:ascii="Times New Roman" w:hAnsi="Times New Roman" w:cs="Times New Roman"/>
          <w:sz w:val="24"/>
          <w:szCs w:val="24"/>
        </w:rPr>
        <w:t>.</w:t>
      </w:r>
      <w:r w:rsidR="00F51AE2" w:rsidRPr="00151324">
        <w:rPr>
          <w:rFonts w:ascii="Times New Roman" w:hAnsi="Times New Roman" w:cs="Times New Roman"/>
          <w:sz w:val="24"/>
          <w:szCs w:val="24"/>
        </w:rPr>
        <w:t xml:space="preserve"> 18 aprile 2017, n. 48, </w:t>
      </w:r>
      <w:r w:rsidR="00265DF0" w:rsidRPr="00151324">
        <w:rPr>
          <w:rFonts w:ascii="Times New Roman" w:hAnsi="Times New Roman" w:cs="Times New Roman"/>
          <w:sz w:val="24"/>
          <w:szCs w:val="24"/>
        </w:rPr>
        <w:t xml:space="preserve">che ha inteso peraltro </w:t>
      </w:r>
      <w:r w:rsidR="00F51AE2" w:rsidRPr="00151324">
        <w:rPr>
          <w:rFonts w:ascii="Times New Roman" w:hAnsi="Times New Roman" w:cs="Times New Roman"/>
          <w:sz w:val="24"/>
          <w:szCs w:val="24"/>
        </w:rPr>
        <w:t>valorizza</w:t>
      </w:r>
      <w:r w:rsidR="00265DF0" w:rsidRPr="00151324">
        <w:rPr>
          <w:rFonts w:ascii="Times New Roman" w:hAnsi="Times New Roman" w:cs="Times New Roman"/>
          <w:sz w:val="24"/>
          <w:szCs w:val="24"/>
        </w:rPr>
        <w:t>re in termini più generali la</w:t>
      </w:r>
      <w:r w:rsidR="00F51AE2" w:rsidRPr="00151324">
        <w:rPr>
          <w:rFonts w:ascii="Times New Roman" w:hAnsi="Times New Roman" w:cs="Times New Roman"/>
          <w:sz w:val="24"/>
          <w:szCs w:val="24"/>
        </w:rPr>
        <w:t xml:space="preserve"> potestà regolamentare del comune in materia di “sicurezza delle città”</w:t>
      </w:r>
      <w:r w:rsidR="00265DF0" w:rsidRPr="00151324">
        <w:rPr>
          <w:rFonts w:ascii="Times New Roman" w:hAnsi="Times New Roman" w:cs="Times New Roman"/>
          <w:sz w:val="24"/>
          <w:szCs w:val="24"/>
        </w:rPr>
        <w:t xml:space="preserve">, e dunque in una visione prospettica ben diversa da quella a carattere economico comunque sottesa alla riscossione del canone. </w:t>
      </w:r>
      <w:r w:rsidR="00F51AE2" w:rsidRPr="00151324">
        <w:rPr>
          <w:rFonts w:ascii="Times New Roman" w:hAnsi="Times New Roman" w:cs="Times New Roman"/>
          <w:sz w:val="24"/>
          <w:szCs w:val="24"/>
        </w:rPr>
        <w:t xml:space="preserve">Il legislatore </w:t>
      </w:r>
      <w:r w:rsidR="00265DF0" w:rsidRPr="00151324">
        <w:rPr>
          <w:rFonts w:ascii="Times New Roman" w:hAnsi="Times New Roman" w:cs="Times New Roman"/>
          <w:sz w:val="24"/>
          <w:szCs w:val="24"/>
        </w:rPr>
        <w:t xml:space="preserve">dunque </w:t>
      </w:r>
      <w:r w:rsidR="00F51AE2" w:rsidRPr="00151324">
        <w:rPr>
          <w:rFonts w:ascii="Times New Roman" w:hAnsi="Times New Roman" w:cs="Times New Roman"/>
          <w:sz w:val="24"/>
          <w:szCs w:val="24"/>
        </w:rPr>
        <w:t>da un lato ha riscritto per l’ennesima volta il potere di ordinanza del sindaco per la tutela della “sicurezza urbana”</w:t>
      </w:r>
      <w:r w:rsidR="00265DF0" w:rsidRPr="00151324">
        <w:rPr>
          <w:rStyle w:val="Rimandonotaapidipagina"/>
          <w:rFonts w:ascii="Times New Roman" w:hAnsi="Times New Roman" w:cs="Times New Roman"/>
          <w:sz w:val="24"/>
          <w:szCs w:val="24"/>
        </w:rPr>
        <w:footnoteReference w:id="37"/>
      </w:r>
      <w:r w:rsidR="00F51AE2" w:rsidRPr="00151324">
        <w:rPr>
          <w:rFonts w:ascii="Times New Roman" w:hAnsi="Times New Roman" w:cs="Times New Roman"/>
          <w:sz w:val="24"/>
          <w:szCs w:val="24"/>
        </w:rPr>
        <w:t xml:space="preserve">; dall’altro, ha delimitato inediti spazi di intervento per i regolamenti comunali. Si è cercato in tal modo di porre rimedio ad una delle principali contraddizioni sorte a seguito della novella dell’art. 54 del </w:t>
      </w:r>
      <w:r w:rsidR="00265DF0" w:rsidRPr="00151324">
        <w:rPr>
          <w:rFonts w:ascii="Times New Roman" w:hAnsi="Times New Roman" w:cs="Times New Roman"/>
          <w:sz w:val="24"/>
          <w:szCs w:val="24"/>
        </w:rPr>
        <w:t>decreto legislativo 18 agosto 2000, n. 267, T</w:t>
      </w:r>
      <w:r w:rsidR="00F51AE2" w:rsidRPr="00151324">
        <w:rPr>
          <w:rFonts w:ascii="Times New Roman" w:hAnsi="Times New Roman" w:cs="Times New Roman"/>
          <w:sz w:val="24"/>
          <w:szCs w:val="24"/>
        </w:rPr>
        <w:t xml:space="preserve">esto unico delle leggi sull’ordinamento degli enti locali, </w:t>
      </w:r>
      <w:r w:rsidR="00265DF0" w:rsidRPr="00151324">
        <w:rPr>
          <w:rFonts w:ascii="Times New Roman" w:hAnsi="Times New Roman" w:cs="Times New Roman"/>
          <w:sz w:val="24"/>
          <w:szCs w:val="24"/>
        </w:rPr>
        <w:t>attuata con l’</w:t>
      </w:r>
      <w:r w:rsidR="00F51AE2" w:rsidRPr="00151324">
        <w:rPr>
          <w:rFonts w:ascii="Times New Roman" w:hAnsi="Times New Roman" w:cs="Times New Roman"/>
          <w:sz w:val="24"/>
          <w:szCs w:val="24"/>
        </w:rPr>
        <w:t xml:space="preserve">art. 6 </w:t>
      </w:r>
      <w:r w:rsidR="00265DF0" w:rsidRPr="00151324">
        <w:rPr>
          <w:rFonts w:ascii="Times New Roman" w:hAnsi="Times New Roman" w:cs="Times New Roman"/>
          <w:sz w:val="24"/>
          <w:szCs w:val="24"/>
        </w:rPr>
        <w:t xml:space="preserve">del </w:t>
      </w:r>
      <w:r w:rsidR="00F51AE2" w:rsidRPr="00151324">
        <w:rPr>
          <w:rFonts w:ascii="Times New Roman" w:hAnsi="Times New Roman" w:cs="Times New Roman"/>
          <w:sz w:val="24"/>
          <w:szCs w:val="24"/>
        </w:rPr>
        <w:t>decreto-legge 23 maggio 2008, n. 92, convertito dalla legge 24 luglio 2008, n. 125. In primo luogo, mediante l’inserimento del comma 7</w:t>
      </w:r>
      <w:r w:rsidR="00265DF0" w:rsidRPr="00151324">
        <w:rPr>
          <w:rFonts w:ascii="Times New Roman" w:hAnsi="Times New Roman" w:cs="Times New Roman"/>
          <w:sz w:val="24"/>
          <w:szCs w:val="24"/>
        </w:rPr>
        <w:t>-</w:t>
      </w:r>
      <w:r w:rsidR="00F51AE2" w:rsidRPr="00151324">
        <w:rPr>
          <w:rFonts w:ascii="Times New Roman" w:hAnsi="Times New Roman" w:cs="Times New Roman"/>
          <w:i/>
          <w:sz w:val="24"/>
          <w:szCs w:val="24"/>
        </w:rPr>
        <w:t>ter</w:t>
      </w:r>
      <w:r w:rsidR="00F51AE2" w:rsidRPr="00151324">
        <w:rPr>
          <w:rFonts w:ascii="Times New Roman" w:hAnsi="Times New Roman" w:cs="Times New Roman"/>
          <w:sz w:val="24"/>
          <w:szCs w:val="24"/>
        </w:rPr>
        <w:t xml:space="preserve"> nell’art. 50</w:t>
      </w:r>
      <w:r w:rsidR="00265DF0" w:rsidRPr="00151324">
        <w:rPr>
          <w:rFonts w:ascii="Times New Roman" w:hAnsi="Times New Roman" w:cs="Times New Roman"/>
          <w:sz w:val="24"/>
          <w:szCs w:val="24"/>
        </w:rPr>
        <w:t xml:space="preserve">, dunque, concernente il potere di ordinanza del Sindaco quale capo del governo locale, </w:t>
      </w:r>
      <w:r w:rsidR="00F51AE2" w:rsidRPr="00151324">
        <w:rPr>
          <w:rFonts w:ascii="Times New Roman" w:hAnsi="Times New Roman" w:cs="Times New Roman"/>
          <w:sz w:val="24"/>
          <w:szCs w:val="24"/>
        </w:rPr>
        <w:t xml:space="preserve">è stata attribuita ai comuni la potestà di dotarsi di appositi regolamenti nelle </w:t>
      </w:r>
      <w:r w:rsidR="00265DF0" w:rsidRPr="00151324">
        <w:rPr>
          <w:rFonts w:ascii="Times New Roman" w:hAnsi="Times New Roman" w:cs="Times New Roman"/>
          <w:sz w:val="24"/>
          <w:szCs w:val="24"/>
        </w:rPr>
        <w:t xml:space="preserve">medesime </w:t>
      </w:r>
      <w:r w:rsidR="00F51AE2" w:rsidRPr="00151324">
        <w:rPr>
          <w:rFonts w:ascii="Times New Roman" w:hAnsi="Times New Roman" w:cs="Times New Roman"/>
          <w:sz w:val="24"/>
          <w:szCs w:val="24"/>
        </w:rPr>
        <w:t xml:space="preserve">materie </w:t>
      </w:r>
      <w:r w:rsidR="00265DF0" w:rsidRPr="00151324">
        <w:rPr>
          <w:rFonts w:ascii="Times New Roman" w:hAnsi="Times New Roman" w:cs="Times New Roman"/>
          <w:sz w:val="24"/>
          <w:szCs w:val="24"/>
        </w:rPr>
        <w:t xml:space="preserve">per le quali gli è riconosciuto di provvedere in via d’urgenza. </w:t>
      </w:r>
      <w:r w:rsidR="00F51AE2" w:rsidRPr="00151324">
        <w:rPr>
          <w:rFonts w:ascii="Times New Roman" w:hAnsi="Times New Roman" w:cs="Times New Roman"/>
          <w:sz w:val="24"/>
          <w:szCs w:val="24"/>
        </w:rPr>
        <w:t>Si tratta delle «</w:t>
      </w:r>
      <w:r w:rsidR="00F51AE2" w:rsidRPr="00151324">
        <w:rPr>
          <w:rFonts w:ascii="Times New Roman" w:hAnsi="Times New Roman" w:cs="Times New Roman"/>
          <w:i/>
          <w:sz w:val="24"/>
          <w:szCs w:val="24"/>
        </w:rPr>
        <w:t>situazioni di grave incuria o degrado del territorio, dell’ambiente e del patrimonio culturale o di pregiudizio del decoro e della vivibilità urbana, con particolare riferimento alle esigenze di tutela della tranquillità e del riposo dei residenti, anche intervenendo in materia di orari di vendita, anche per asporto, e di somministrazione di bevande alcoliche e superalcoliche</w:t>
      </w:r>
      <w:r w:rsidR="00F51AE2" w:rsidRPr="00151324">
        <w:rPr>
          <w:rFonts w:ascii="Times New Roman" w:hAnsi="Times New Roman" w:cs="Times New Roman"/>
          <w:sz w:val="24"/>
          <w:szCs w:val="24"/>
        </w:rPr>
        <w:t xml:space="preserve">». In secondo luogo, </w:t>
      </w:r>
      <w:r w:rsidR="00265DF0" w:rsidRPr="00151324">
        <w:rPr>
          <w:rFonts w:ascii="Times New Roman" w:hAnsi="Times New Roman" w:cs="Times New Roman"/>
          <w:sz w:val="24"/>
          <w:szCs w:val="24"/>
        </w:rPr>
        <w:t xml:space="preserve">si è demandata ai </w:t>
      </w:r>
      <w:r w:rsidR="00F51AE2" w:rsidRPr="00151324">
        <w:rPr>
          <w:rFonts w:ascii="Times New Roman" w:hAnsi="Times New Roman" w:cs="Times New Roman"/>
          <w:sz w:val="24"/>
          <w:szCs w:val="24"/>
        </w:rPr>
        <w:t xml:space="preserve">regolamenti comunali di polizia urbana </w:t>
      </w:r>
      <w:r w:rsidR="00265DF0" w:rsidRPr="00151324">
        <w:rPr>
          <w:rFonts w:ascii="Times New Roman" w:hAnsi="Times New Roman" w:cs="Times New Roman"/>
          <w:sz w:val="24"/>
          <w:szCs w:val="24"/>
        </w:rPr>
        <w:t xml:space="preserve">la possibilità di </w:t>
      </w:r>
      <w:r w:rsidR="00F51AE2" w:rsidRPr="00151324">
        <w:rPr>
          <w:rFonts w:ascii="Times New Roman" w:hAnsi="Times New Roman" w:cs="Times New Roman"/>
          <w:sz w:val="24"/>
          <w:szCs w:val="24"/>
        </w:rPr>
        <w:t>«</w:t>
      </w:r>
      <w:r w:rsidR="00F51AE2" w:rsidRPr="00151324">
        <w:rPr>
          <w:rFonts w:ascii="Times New Roman" w:hAnsi="Times New Roman" w:cs="Times New Roman"/>
          <w:i/>
          <w:sz w:val="24"/>
          <w:szCs w:val="24"/>
        </w:rPr>
        <w:t>individuare aree urbane su cui insistono scuole, plessi scolastici e siti universitari, musei, aree e parchi archeologici, complessi monumentali o altri istituti e luoghi della cultura o comunque interessati da consistenti flussi turistici, aree destinate allo svolgimento di fiere, mercati, pubblici spettacoli ovvero adibite a verde pubblico</w:t>
      </w:r>
      <w:r w:rsidR="00F51AE2" w:rsidRPr="00151324">
        <w:rPr>
          <w:rFonts w:ascii="Times New Roman" w:hAnsi="Times New Roman" w:cs="Times New Roman"/>
          <w:sz w:val="24"/>
          <w:szCs w:val="24"/>
        </w:rPr>
        <w:t>», nell’ambito delle quali applicare a chi ponga in essere condotte che ne impediscono l</w:t>
      </w:r>
      <w:r w:rsidR="00265DF0" w:rsidRPr="00151324">
        <w:rPr>
          <w:rFonts w:ascii="Times New Roman" w:hAnsi="Times New Roman" w:cs="Times New Roman"/>
          <w:sz w:val="24"/>
          <w:szCs w:val="24"/>
        </w:rPr>
        <w:t>’</w:t>
      </w:r>
      <w:r w:rsidR="00F51AE2" w:rsidRPr="00151324">
        <w:rPr>
          <w:rFonts w:ascii="Times New Roman" w:hAnsi="Times New Roman" w:cs="Times New Roman"/>
          <w:sz w:val="24"/>
          <w:szCs w:val="24"/>
        </w:rPr>
        <w:t>accessibilità e la fruizione, in violazione dei divieti di stazionamento o di occupazione di spazi, la sanzione amministrativa pecuniaria del pagamento di una somma da euro 100 a euro 300 e il contestuale ordine di allontanamento dal luogo in cui è stato commesso il fatto</w:t>
      </w:r>
      <w:r w:rsidR="00F51AE2" w:rsidRPr="00151324">
        <w:rPr>
          <w:rStyle w:val="Rimandonotaapidipagina"/>
          <w:rFonts w:ascii="Times New Roman" w:hAnsi="Times New Roman" w:cs="Times New Roman"/>
          <w:sz w:val="24"/>
          <w:szCs w:val="24"/>
        </w:rPr>
        <w:footnoteReference w:id="38"/>
      </w:r>
      <w:r w:rsidR="00F51AE2" w:rsidRPr="00151324">
        <w:rPr>
          <w:rFonts w:ascii="Times New Roman" w:hAnsi="Times New Roman" w:cs="Times New Roman"/>
          <w:sz w:val="24"/>
          <w:szCs w:val="24"/>
        </w:rPr>
        <w:t>. Va peraltro precisato che l’art. 5, comma 1, lett. c) del decreto rimette ai patti per l’attuazione della sicurezza urbana la “valorizzazione” di forme di collaborazione interistituzionale tra le amministrazioni competenti</w:t>
      </w:r>
      <w:r w:rsidR="00F30215" w:rsidRPr="00151324">
        <w:rPr>
          <w:rFonts w:ascii="Times New Roman" w:hAnsi="Times New Roman" w:cs="Times New Roman"/>
          <w:sz w:val="24"/>
          <w:szCs w:val="24"/>
        </w:rPr>
        <w:t xml:space="preserve"> quale tipico strumento di sicurezza partecipata anche l’eventuale supporto all’</w:t>
      </w:r>
      <w:r w:rsidR="00F51AE2" w:rsidRPr="00151324">
        <w:rPr>
          <w:rFonts w:ascii="Times New Roman" w:hAnsi="Times New Roman" w:cs="Times New Roman"/>
          <w:sz w:val="24"/>
          <w:szCs w:val="24"/>
        </w:rPr>
        <w:t xml:space="preserve">ente locale nell’individuazione delle aree urbane da sottoporre alla particolare tutela di cui all’articolo 9, comma 3 dello stesso. </w:t>
      </w:r>
    </w:p>
    <w:p w14:paraId="7164F56B" w14:textId="0543FE2A" w:rsidR="00D82255" w:rsidRPr="00151324" w:rsidRDefault="00F51AE2" w:rsidP="0015132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Nel complicato gioco di rimandi riveniente dalle numerose clausole di rinvio agli illeciti previsti dalle varie norme richiamate (ad esempio, l’art. 29 del d.lgs. n. 114 del 1998 per quanto concerne il commercio su aree pubbliche, senza peraltro distinguere all’interno dello stesso le varie tipologie di violazioni), il richiamato comma 3 dell’art. 9 fa salva</w:t>
      </w:r>
      <w:r w:rsidR="00F30215" w:rsidRPr="00151324">
        <w:rPr>
          <w:rFonts w:ascii="Times New Roman" w:hAnsi="Times New Roman" w:cs="Times New Roman"/>
          <w:sz w:val="24"/>
          <w:szCs w:val="24"/>
        </w:rPr>
        <w:t xml:space="preserve"> anche </w:t>
      </w:r>
      <w:r w:rsidRPr="00151324">
        <w:rPr>
          <w:rFonts w:ascii="Times New Roman" w:hAnsi="Times New Roman" w:cs="Times New Roman"/>
          <w:sz w:val="24"/>
          <w:szCs w:val="24"/>
        </w:rPr>
        <w:t>l’applicazione dell’art. 52, comma 1-</w:t>
      </w:r>
      <w:r w:rsidRPr="00151324">
        <w:rPr>
          <w:rFonts w:ascii="Times New Roman" w:hAnsi="Times New Roman" w:cs="Times New Roman"/>
          <w:i/>
          <w:sz w:val="24"/>
          <w:szCs w:val="24"/>
        </w:rPr>
        <w:t>ter</w:t>
      </w:r>
      <w:r w:rsidRPr="00151324">
        <w:rPr>
          <w:rFonts w:ascii="Times New Roman" w:hAnsi="Times New Roman" w:cs="Times New Roman"/>
          <w:sz w:val="24"/>
          <w:szCs w:val="24"/>
        </w:rPr>
        <w:t xml:space="preserve">, del decreto legislativo 22 gennaio 2004, n. 42 (Codice dei beni culturali) e dell’art. 1, comma 4, del </w:t>
      </w:r>
      <w:r w:rsidRPr="00BC21BC">
        <w:rPr>
          <w:rFonts w:ascii="Times New Roman" w:hAnsi="Times New Roman" w:cs="Times New Roman"/>
          <w:sz w:val="24"/>
          <w:szCs w:val="24"/>
        </w:rPr>
        <w:t xml:space="preserve">d.lgs. 25 novembre 2016, n. 222 </w:t>
      </w:r>
      <w:r w:rsidR="004B6749" w:rsidRPr="00BC21BC">
        <w:rPr>
          <w:rFonts w:ascii="Times New Roman" w:hAnsi="Times New Roman" w:cs="Times New Roman"/>
          <w:sz w:val="24"/>
          <w:szCs w:val="24"/>
        </w:rPr>
        <w:t xml:space="preserve">(Individuazione di procedimenti oggetto di autorizzazione, segnalazione certificata di inizio di attività </w:t>
      </w:r>
      <w:r w:rsidR="00BE370D">
        <w:rPr>
          <w:rFonts w:ascii="Times New Roman" w:hAnsi="Times New Roman" w:cs="Times New Roman"/>
          <w:sz w:val="24"/>
          <w:szCs w:val="24"/>
        </w:rPr>
        <w:t>-</w:t>
      </w:r>
      <w:r w:rsidR="004B6749" w:rsidRPr="00BC21BC">
        <w:rPr>
          <w:rFonts w:ascii="Times New Roman" w:hAnsi="Times New Roman" w:cs="Times New Roman"/>
          <w:sz w:val="24"/>
          <w:szCs w:val="24"/>
        </w:rPr>
        <w:t>SCIA-, silenzio assenso e comunicazione di inizio lavori e di definizione dei regimi amministrativi applicabili a determinate attività e procedimenti, ai sensi</w:t>
      </w:r>
      <w:r w:rsidR="004B6749" w:rsidRPr="00BC21BC">
        <w:rPr>
          <w:rFonts w:ascii="Times New Roman" w:hAnsi="Times New Roman" w:cs="Times New Roman"/>
          <w:bCs/>
          <w:sz w:val="24"/>
          <w:szCs w:val="24"/>
          <w:shd w:val="clear" w:color="auto" w:fill="F5FDFE"/>
        </w:rPr>
        <w:t xml:space="preserve"> </w:t>
      </w:r>
      <w:r w:rsidR="004B6749" w:rsidRPr="00BC21BC">
        <w:rPr>
          <w:rFonts w:ascii="Times New Roman" w:hAnsi="Times New Roman" w:cs="Times New Roman"/>
          <w:sz w:val="24"/>
          <w:szCs w:val="24"/>
        </w:rPr>
        <w:t>dell’</w:t>
      </w:r>
      <w:hyperlink r:id="rId8" w:anchor="05" w:history="1">
        <w:r w:rsidR="004B6749" w:rsidRPr="00BC21BC">
          <w:rPr>
            <w:rFonts w:ascii="Times New Roman" w:hAnsi="Times New Roman" w:cs="Times New Roman"/>
            <w:sz w:val="24"/>
            <w:szCs w:val="24"/>
          </w:rPr>
          <w:t>articolo 5 della legge 7 agosto 2015, n. 124</w:t>
        </w:r>
      </w:hyperlink>
      <w:r w:rsidR="004B6749" w:rsidRPr="00BC21BC">
        <w:rPr>
          <w:rFonts w:ascii="Times New Roman" w:hAnsi="Times New Roman" w:cs="Times New Roman"/>
          <w:sz w:val="24"/>
          <w:szCs w:val="24"/>
        </w:rPr>
        <w:t>)</w:t>
      </w:r>
      <w:r w:rsidR="00F30215" w:rsidRPr="00BC21BC">
        <w:rPr>
          <w:rFonts w:ascii="Times New Roman" w:hAnsi="Times New Roman" w:cs="Times New Roman"/>
          <w:sz w:val="24"/>
          <w:szCs w:val="24"/>
          <w:vertAlign w:val="superscript"/>
        </w:rPr>
        <w:footnoteReference w:id="39"/>
      </w:r>
      <w:r w:rsidRPr="00BC21BC">
        <w:rPr>
          <w:rFonts w:ascii="Times New Roman" w:hAnsi="Times New Roman" w:cs="Times New Roman"/>
          <w:sz w:val="24"/>
          <w:szCs w:val="24"/>
        </w:rPr>
        <w:t>. La</w:t>
      </w:r>
      <w:r w:rsidRPr="00151324">
        <w:rPr>
          <w:rFonts w:ascii="Times New Roman" w:hAnsi="Times New Roman" w:cs="Times New Roman"/>
          <w:sz w:val="24"/>
          <w:szCs w:val="24"/>
        </w:rPr>
        <w:t xml:space="preserve"> prima di tali disposizioni, al fine di assicurare il decoro dei complessi monumentali e degli altri immobili del demanio culturale interessati da flussi turistici particolarmente rilevanti, nonché delle aree a essi contermini, avoca al livello statale (i competenti uffici territoriali del ministero per i beni e le attività culturali, </w:t>
      </w:r>
      <w:r w:rsidRPr="00151324">
        <w:rPr>
          <w:rFonts w:ascii="Times New Roman" w:hAnsi="Times New Roman" w:cs="Times New Roman"/>
          <w:i/>
          <w:sz w:val="24"/>
          <w:szCs w:val="24"/>
        </w:rPr>
        <w:t>id est</w:t>
      </w:r>
      <w:r w:rsidRPr="00151324">
        <w:rPr>
          <w:rFonts w:ascii="Times New Roman" w:hAnsi="Times New Roman" w:cs="Times New Roman"/>
          <w:sz w:val="24"/>
          <w:szCs w:val="24"/>
        </w:rPr>
        <w:t xml:space="preserve"> le Soprintendenze), seppure d’intesa con la regione e i comuni, l’adozione di  determinazioni volte a vietare gli usi da ritenere non compatibili con le specifiche esigenze di tutela e di valorizzazione, comprese le forme di uso pubblico non soggette a concessione di uso individuale, quali le attività ambulanti –</w:t>
      </w:r>
      <w:proofErr w:type="spellStart"/>
      <w:r w:rsidRPr="00151324">
        <w:rPr>
          <w:rFonts w:ascii="Times New Roman" w:hAnsi="Times New Roman" w:cs="Times New Roman"/>
          <w:i/>
          <w:sz w:val="24"/>
          <w:szCs w:val="24"/>
        </w:rPr>
        <w:t>recte</w:t>
      </w:r>
      <w:proofErr w:type="spellEnd"/>
      <w:r w:rsidRPr="00151324">
        <w:rPr>
          <w:rFonts w:ascii="Times New Roman" w:hAnsi="Times New Roman" w:cs="Times New Roman"/>
          <w:sz w:val="24"/>
          <w:szCs w:val="24"/>
        </w:rPr>
        <w:t>, itineranti - senza posteggio, nonché, ove se ne riscontri la necessità, l’uso individuale delle aree pubbliche di pregio a seguito del rilascio di concessioni di posteggio o di occupazione di suolo pubblico</w:t>
      </w:r>
      <w:r w:rsidRPr="00151324">
        <w:rPr>
          <w:rStyle w:val="Rimandonotaapidipagina"/>
          <w:rFonts w:ascii="Times New Roman" w:hAnsi="Times New Roman" w:cs="Times New Roman"/>
          <w:sz w:val="24"/>
          <w:szCs w:val="24"/>
        </w:rPr>
        <w:footnoteReference w:id="40"/>
      </w:r>
      <w:r w:rsidRPr="00151324">
        <w:rPr>
          <w:rFonts w:ascii="Times New Roman" w:hAnsi="Times New Roman" w:cs="Times New Roman"/>
          <w:sz w:val="24"/>
          <w:szCs w:val="24"/>
        </w:rPr>
        <w:t>. L’art. 1, comma 4, del decreto legislativo 25 novembre 2016, n. 222, egualmente prevede</w:t>
      </w:r>
      <w:r w:rsidR="00F30215" w:rsidRPr="00151324">
        <w:rPr>
          <w:rFonts w:ascii="Times New Roman" w:hAnsi="Times New Roman" w:cs="Times New Roman"/>
          <w:sz w:val="24"/>
          <w:szCs w:val="24"/>
        </w:rPr>
        <w:t>,</w:t>
      </w:r>
      <w:r w:rsidRPr="00151324">
        <w:rPr>
          <w:rFonts w:ascii="Times New Roman" w:hAnsi="Times New Roman" w:cs="Times New Roman"/>
          <w:sz w:val="24"/>
          <w:szCs w:val="24"/>
        </w:rPr>
        <w:t xml:space="preserve"> a riprova della </w:t>
      </w:r>
      <w:r w:rsidR="00F30215" w:rsidRPr="00151324">
        <w:rPr>
          <w:rFonts w:ascii="Times New Roman" w:hAnsi="Times New Roman" w:cs="Times New Roman"/>
          <w:sz w:val="24"/>
          <w:szCs w:val="24"/>
        </w:rPr>
        <w:t>ribadita necessità di porre alcuni argini al processo di liberalizzazione delle attività economiche nell’ambito delle scelte di governo</w:t>
      </w:r>
      <w:r w:rsidRPr="00151324">
        <w:rPr>
          <w:rFonts w:ascii="Times New Roman" w:hAnsi="Times New Roman" w:cs="Times New Roman"/>
          <w:sz w:val="24"/>
          <w:szCs w:val="24"/>
        </w:rPr>
        <w:t xml:space="preserve">, un invertito assetto delle competenze, </w:t>
      </w:r>
      <w:r w:rsidR="00F30215" w:rsidRPr="00151324">
        <w:rPr>
          <w:rFonts w:ascii="Times New Roman" w:hAnsi="Times New Roman" w:cs="Times New Roman"/>
          <w:sz w:val="24"/>
          <w:szCs w:val="24"/>
        </w:rPr>
        <w:t xml:space="preserve">per cui è il </w:t>
      </w:r>
      <w:r w:rsidRPr="00151324">
        <w:rPr>
          <w:rFonts w:ascii="Times New Roman" w:hAnsi="Times New Roman" w:cs="Times New Roman"/>
          <w:sz w:val="24"/>
          <w:szCs w:val="24"/>
        </w:rPr>
        <w:t xml:space="preserve">comune, d’intesa con la regione, sentito il competente soprintendente del ministero dei beni e delle attività culturali e del turismo, </w:t>
      </w:r>
      <w:r w:rsidR="00F30215" w:rsidRPr="00151324">
        <w:rPr>
          <w:rFonts w:ascii="Times New Roman" w:hAnsi="Times New Roman" w:cs="Times New Roman"/>
          <w:sz w:val="24"/>
          <w:szCs w:val="24"/>
        </w:rPr>
        <w:t xml:space="preserve">ad adottare le </w:t>
      </w:r>
      <w:r w:rsidRPr="00151324">
        <w:rPr>
          <w:rFonts w:ascii="Times New Roman" w:hAnsi="Times New Roman" w:cs="Times New Roman"/>
          <w:sz w:val="24"/>
          <w:szCs w:val="24"/>
        </w:rPr>
        <w:t>deliberazioni volte a individuare, sentite le associazioni di categoria, zone o aree aventi particolare valore archeologico, storico, artistico e paesaggistico in cui è vietato o subordinato ad autorizzazione, l’esercizio di una o più attività</w:t>
      </w:r>
      <w:r w:rsidR="00F30215" w:rsidRPr="00151324">
        <w:rPr>
          <w:rFonts w:ascii="Times New Roman" w:hAnsi="Times New Roman" w:cs="Times New Roman"/>
          <w:sz w:val="24"/>
          <w:szCs w:val="24"/>
        </w:rPr>
        <w:t>,</w:t>
      </w:r>
      <w:r w:rsidRPr="00151324">
        <w:rPr>
          <w:rFonts w:ascii="Times New Roman" w:hAnsi="Times New Roman" w:cs="Times New Roman"/>
          <w:sz w:val="24"/>
          <w:szCs w:val="24"/>
        </w:rPr>
        <w:t xml:space="preserve"> in quanto </w:t>
      </w:r>
      <w:r w:rsidR="00F30215" w:rsidRPr="00151324">
        <w:rPr>
          <w:rFonts w:ascii="Times New Roman" w:hAnsi="Times New Roman" w:cs="Times New Roman"/>
          <w:sz w:val="24"/>
          <w:szCs w:val="24"/>
        </w:rPr>
        <w:t xml:space="preserve">ritenuta </w:t>
      </w:r>
      <w:r w:rsidRPr="00151324">
        <w:rPr>
          <w:rFonts w:ascii="Times New Roman" w:hAnsi="Times New Roman" w:cs="Times New Roman"/>
          <w:sz w:val="24"/>
          <w:szCs w:val="24"/>
        </w:rPr>
        <w:t xml:space="preserve">non compatibile con le esigenze di tutela e valorizzazione del patrimonio culturale. </w:t>
      </w:r>
      <w:r w:rsidR="00D82255" w:rsidRPr="00151324">
        <w:rPr>
          <w:rFonts w:ascii="Times New Roman" w:hAnsi="Times New Roman" w:cs="Times New Roman"/>
          <w:sz w:val="24"/>
          <w:szCs w:val="24"/>
        </w:rPr>
        <w:t xml:space="preserve">Come si vede da un’analisi comparata delle disposizioni richiamate, le </w:t>
      </w:r>
      <w:r w:rsidRPr="00151324">
        <w:rPr>
          <w:rFonts w:ascii="Times New Roman" w:hAnsi="Times New Roman" w:cs="Times New Roman"/>
          <w:sz w:val="24"/>
          <w:szCs w:val="24"/>
        </w:rPr>
        <w:t xml:space="preserve">finalità </w:t>
      </w:r>
      <w:r w:rsidR="00D82255" w:rsidRPr="00151324">
        <w:rPr>
          <w:rFonts w:ascii="Times New Roman" w:hAnsi="Times New Roman" w:cs="Times New Roman"/>
          <w:sz w:val="24"/>
          <w:szCs w:val="24"/>
        </w:rPr>
        <w:t xml:space="preserve">di tutela finiscono per essere sovrapponibili, laddove al Comune è consentito in maniera più ampia riservarsi l’imposizione del titolo abilitativo espresso, così da demandare al momento del relativo rilascio la verifica della compatibilità con l’assetto dei luoghi che si vogliono tutelare. </w:t>
      </w:r>
      <w:r w:rsidRPr="00151324">
        <w:rPr>
          <w:rFonts w:ascii="Times New Roman" w:hAnsi="Times New Roman" w:cs="Times New Roman"/>
          <w:sz w:val="24"/>
          <w:szCs w:val="24"/>
        </w:rPr>
        <w:t>La possibilità</w:t>
      </w:r>
      <w:r w:rsidR="00D82255" w:rsidRPr="00151324">
        <w:rPr>
          <w:rFonts w:ascii="Times New Roman" w:hAnsi="Times New Roman" w:cs="Times New Roman"/>
          <w:sz w:val="24"/>
          <w:szCs w:val="24"/>
        </w:rPr>
        <w:t xml:space="preserve">, cioè, </w:t>
      </w:r>
      <w:r w:rsidRPr="00151324">
        <w:rPr>
          <w:rFonts w:ascii="Times New Roman" w:hAnsi="Times New Roman" w:cs="Times New Roman"/>
          <w:sz w:val="24"/>
          <w:szCs w:val="24"/>
        </w:rPr>
        <w:t>di imporre un titolo di legittimazione che non sia la segnalazione certificata di inizio di attività, prevista in tutte le altre aree del territorio, anche per reintrodurre surrettiziamente il controllo della tipologia o categoria merceologica e valutarne la compatibilità con le esigenze di tutela e valorizzazione del patrimonio culturale, diviene strumento per controllarne l’insediamento. Ovviamente, affinché ciò non si risolva in una limitazione indiscriminata della concorrenza in dispregio delle disposizioni europee recepite nelle d.lgs. 59/2010, si prevede un costante monitoraggio da parte del ministero dei provvedimenti adottati. Allo scopo, le deliberazioni adottate sulla base di tale norma devono essere trasmesse alla competente soprintendenza del ministero dei beni e delle attività culturali e del turismo e al ministero dello sviluppo economico per il tramite della regione.</w:t>
      </w:r>
      <w:r w:rsidR="00D8417C" w:rsidRPr="00151324">
        <w:rPr>
          <w:rFonts w:ascii="Times New Roman" w:hAnsi="Times New Roman" w:cs="Times New Roman"/>
          <w:sz w:val="24"/>
          <w:szCs w:val="24"/>
        </w:rPr>
        <w:t xml:space="preserve"> </w:t>
      </w:r>
      <w:r w:rsidR="00D82255" w:rsidRPr="00151324">
        <w:rPr>
          <w:rFonts w:ascii="Times New Roman" w:hAnsi="Times New Roman" w:cs="Times New Roman"/>
          <w:sz w:val="24"/>
          <w:szCs w:val="24"/>
        </w:rPr>
        <w:t xml:space="preserve">La digressione intrapresa, tuttavia, mette in luce la astratta sovrapponibilità di assetti regolatori diversi, anche a livello locale, giusta le variegate possibilità di intervento, in ragione dei diversificati interessi pubblici evidenziati, previste dal legislatore. </w:t>
      </w:r>
    </w:p>
    <w:p w14:paraId="4927F7DE" w14:textId="77777777" w:rsidR="00720C51" w:rsidRPr="00151324" w:rsidRDefault="00D82255" w:rsidP="0015132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Limitandosi, dunque, ad alcuni dei possibili strumenti di eliminazione di un’occupazione abusiva, va rimarcato come </w:t>
      </w:r>
      <w:r w:rsidR="00720C51" w:rsidRPr="00151324">
        <w:rPr>
          <w:rFonts w:ascii="Times New Roman" w:hAnsi="Times New Roman" w:cs="Times New Roman"/>
          <w:sz w:val="24"/>
          <w:szCs w:val="24"/>
        </w:rPr>
        <w:t xml:space="preserve">il provvedimento (scritto) del Sindaco o del Prefetto </w:t>
      </w:r>
      <w:r w:rsidRPr="00151324">
        <w:rPr>
          <w:rFonts w:ascii="Times New Roman" w:hAnsi="Times New Roman" w:cs="Times New Roman"/>
          <w:sz w:val="24"/>
          <w:szCs w:val="24"/>
        </w:rPr>
        <w:t xml:space="preserve">previsto dalla </w:t>
      </w:r>
      <w:r w:rsidR="00720C51" w:rsidRPr="00151324">
        <w:rPr>
          <w:rFonts w:ascii="Times New Roman" w:hAnsi="Times New Roman" w:cs="Times New Roman"/>
          <w:sz w:val="24"/>
          <w:szCs w:val="24"/>
        </w:rPr>
        <w:t>normativa del 2009 è rimesso alla discrezionalità dell’Amministrazione</w:t>
      </w:r>
      <w:r w:rsidRPr="00151324">
        <w:rPr>
          <w:rFonts w:ascii="Times New Roman" w:hAnsi="Times New Roman" w:cs="Times New Roman"/>
          <w:sz w:val="24"/>
          <w:szCs w:val="24"/>
        </w:rPr>
        <w:t>; al contrario</w:t>
      </w:r>
      <w:r w:rsidR="00720C51" w:rsidRPr="00151324">
        <w:rPr>
          <w:rFonts w:ascii="Times New Roman" w:hAnsi="Times New Roman" w:cs="Times New Roman"/>
          <w:sz w:val="24"/>
          <w:szCs w:val="24"/>
        </w:rPr>
        <w:t xml:space="preserve">, l’ordine di allontanamento </w:t>
      </w:r>
      <w:r w:rsidR="00FB01D9" w:rsidRPr="00151324">
        <w:rPr>
          <w:rFonts w:ascii="Times New Roman" w:hAnsi="Times New Roman" w:cs="Times New Roman"/>
          <w:sz w:val="24"/>
          <w:szCs w:val="24"/>
        </w:rPr>
        <w:t>è doveroso al ricorrere delle condizioni date, come dimostrato dalla perentorietà dei termini utilizzati dal legislatore</w:t>
      </w:r>
      <w:r w:rsidRPr="00151324">
        <w:rPr>
          <w:rFonts w:ascii="Times New Roman" w:hAnsi="Times New Roman" w:cs="Times New Roman"/>
          <w:sz w:val="24"/>
          <w:szCs w:val="24"/>
        </w:rPr>
        <w:t>, al pari, del resto, dell’attivazione della sanzione accessoria del ripristino dello stato dei luoghi prevista dall’art. 20 del Codice della Strada e della rimozione dell’abuso cui fa riferimento, da ultimo, la legge n. 160 del 2019. S</w:t>
      </w:r>
      <w:r w:rsidR="00FB01D9" w:rsidRPr="00151324">
        <w:rPr>
          <w:rFonts w:ascii="Times New Roman" w:hAnsi="Times New Roman" w:cs="Times New Roman"/>
          <w:sz w:val="24"/>
          <w:szCs w:val="24"/>
        </w:rPr>
        <w:t xml:space="preserve">icché a parità di effetto afflittivo, </w:t>
      </w:r>
      <w:r w:rsidRPr="00151324">
        <w:rPr>
          <w:rFonts w:ascii="Times New Roman" w:hAnsi="Times New Roman" w:cs="Times New Roman"/>
          <w:sz w:val="24"/>
          <w:szCs w:val="24"/>
        </w:rPr>
        <w:t xml:space="preserve">utilizzando il paradigma da ultimo fornito dalle Sezioni unite della Cassazione, </w:t>
      </w:r>
      <w:r w:rsidR="00FB01D9" w:rsidRPr="00151324">
        <w:rPr>
          <w:rFonts w:ascii="Times New Roman" w:hAnsi="Times New Roman" w:cs="Times New Roman"/>
          <w:sz w:val="24"/>
          <w:szCs w:val="24"/>
        </w:rPr>
        <w:t xml:space="preserve">le relative opposizioni </w:t>
      </w:r>
      <w:r w:rsidRPr="00151324">
        <w:rPr>
          <w:rFonts w:ascii="Times New Roman" w:hAnsi="Times New Roman" w:cs="Times New Roman"/>
          <w:sz w:val="24"/>
          <w:szCs w:val="24"/>
        </w:rPr>
        <w:t xml:space="preserve">vanno ricondotte </w:t>
      </w:r>
      <w:r w:rsidR="00FB01D9" w:rsidRPr="00151324">
        <w:rPr>
          <w:rFonts w:ascii="Times New Roman" w:hAnsi="Times New Roman" w:cs="Times New Roman"/>
          <w:sz w:val="24"/>
          <w:szCs w:val="24"/>
        </w:rPr>
        <w:t xml:space="preserve">alla competenza del giudice ordinario, </w:t>
      </w:r>
      <w:r w:rsidRPr="00151324">
        <w:rPr>
          <w:rFonts w:ascii="Times New Roman" w:hAnsi="Times New Roman" w:cs="Times New Roman"/>
          <w:sz w:val="24"/>
          <w:szCs w:val="24"/>
        </w:rPr>
        <w:t xml:space="preserve">salva la prima ipotesi richiamata, </w:t>
      </w:r>
      <w:r w:rsidR="00FB01D9" w:rsidRPr="00151324">
        <w:rPr>
          <w:rFonts w:ascii="Times New Roman" w:hAnsi="Times New Roman" w:cs="Times New Roman"/>
          <w:sz w:val="24"/>
          <w:szCs w:val="24"/>
        </w:rPr>
        <w:t xml:space="preserve">pur </w:t>
      </w:r>
      <w:r w:rsidRPr="00151324">
        <w:rPr>
          <w:rFonts w:ascii="Times New Roman" w:hAnsi="Times New Roman" w:cs="Times New Roman"/>
          <w:sz w:val="24"/>
          <w:szCs w:val="24"/>
        </w:rPr>
        <w:t xml:space="preserve">incidendo comunque la misura </w:t>
      </w:r>
      <w:r w:rsidR="00FB01D9" w:rsidRPr="00151324">
        <w:rPr>
          <w:rFonts w:ascii="Times New Roman" w:hAnsi="Times New Roman" w:cs="Times New Roman"/>
          <w:sz w:val="24"/>
          <w:szCs w:val="24"/>
        </w:rPr>
        <w:t>su diritti costituzionalmente garantiti, quali la libertà di movimento</w:t>
      </w:r>
      <w:r w:rsidR="00FB01D9" w:rsidRPr="00151324">
        <w:rPr>
          <w:rStyle w:val="Rimandonotaapidipagina"/>
          <w:rFonts w:ascii="Times New Roman" w:hAnsi="Times New Roman" w:cs="Times New Roman"/>
          <w:sz w:val="24"/>
          <w:szCs w:val="24"/>
        </w:rPr>
        <w:footnoteReference w:id="41"/>
      </w:r>
      <w:r w:rsidR="00FB01D9" w:rsidRPr="00151324">
        <w:rPr>
          <w:rFonts w:ascii="Times New Roman" w:hAnsi="Times New Roman" w:cs="Times New Roman"/>
          <w:sz w:val="24"/>
          <w:szCs w:val="24"/>
        </w:rPr>
        <w:t xml:space="preserve">. </w:t>
      </w:r>
    </w:p>
    <w:p w14:paraId="1D5CCC01" w14:textId="583EA2B8" w:rsidR="00D14CA6" w:rsidRPr="00151324" w:rsidRDefault="002F23BA" w:rsidP="0015132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 xml:space="preserve">Le sentenze del Consiglio di Stato aventi ad oggetto il provvedimento di chiusura dell’attività commerciale che ha posto in essere un’occupazione abusiva di suolo pubblico sono moltissime, e </w:t>
      </w:r>
      <w:r w:rsidR="00D82255" w:rsidRPr="00151324">
        <w:rPr>
          <w:rFonts w:ascii="Times New Roman" w:hAnsi="Times New Roman" w:cs="Times New Roman"/>
          <w:sz w:val="24"/>
          <w:szCs w:val="24"/>
        </w:rPr>
        <w:t xml:space="preserve">per lo più già andavano nella direzione da ultimo tracciata dai giudici di legittimità: </w:t>
      </w:r>
      <w:r w:rsidRPr="00151324">
        <w:rPr>
          <w:rFonts w:ascii="Times New Roman" w:hAnsi="Times New Roman" w:cs="Times New Roman"/>
          <w:sz w:val="24"/>
          <w:szCs w:val="24"/>
        </w:rPr>
        <w:t>avendo il legislatore utilizzato il verbo “possono”</w:t>
      </w:r>
      <w:r w:rsidR="00D24239" w:rsidRPr="00151324">
        <w:rPr>
          <w:rFonts w:ascii="Times New Roman" w:hAnsi="Times New Roman" w:cs="Times New Roman"/>
          <w:sz w:val="24"/>
          <w:szCs w:val="24"/>
        </w:rPr>
        <w:t>,</w:t>
      </w:r>
      <w:r w:rsidRPr="00151324">
        <w:rPr>
          <w:rFonts w:ascii="Times New Roman" w:hAnsi="Times New Roman" w:cs="Times New Roman"/>
          <w:sz w:val="24"/>
          <w:szCs w:val="24"/>
        </w:rPr>
        <w:t xml:space="preserve"> a sottolineare </w:t>
      </w:r>
      <w:r w:rsidR="00D14CA6" w:rsidRPr="00151324">
        <w:rPr>
          <w:rFonts w:ascii="Times New Roman" w:hAnsi="Times New Roman" w:cs="Times New Roman"/>
          <w:sz w:val="24"/>
          <w:szCs w:val="24"/>
        </w:rPr>
        <w:t xml:space="preserve">il discrezionale esercizio del potere, la competenza a decidere sui ricorsi va attribuita al giudice amministrativo. </w:t>
      </w:r>
    </w:p>
    <w:p w14:paraId="0C0AF95D" w14:textId="1C95F232" w:rsidR="002F23BA" w:rsidRDefault="00D14CA6" w:rsidP="0015132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51324">
        <w:rPr>
          <w:rFonts w:ascii="Times New Roman" w:hAnsi="Times New Roman" w:cs="Times New Roman"/>
          <w:sz w:val="24"/>
          <w:szCs w:val="24"/>
        </w:rPr>
        <w:t>Occorre se mai chiedersi se siano ancora attuali le stesse affermazioni ove riferite alla de</w:t>
      </w:r>
      <w:r w:rsidR="002F23BA" w:rsidRPr="00151324">
        <w:rPr>
          <w:rFonts w:ascii="Times New Roman" w:hAnsi="Times New Roman" w:cs="Times New Roman"/>
          <w:sz w:val="24"/>
          <w:szCs w:val="24"/>
        </w:rPr>
        <w:t xml:space="preserve">termina dirigenziale </w:t>
      </w:r>
      <w:r w:rsidRPr="00151324">
        <w:rPr>
          <w:rFonts w:ascii="Times New Roman" w:hAnsi="Times New Roman" w:cs="Times New Roman"/>
          <w:sz w:val="24"/>
          <w:szCs w:val="24"/>
        </w:rPr>
        <w:t xml:space="preserve">che dà attuazione ad una </w:t>
      </w:r>
      <w:r w:rsidR="002F23BA" w:rsidRPr="00151324">
        <w:rPr>
          <w:rFonts w:ascii="Times New Roman" w:hAnsi="Times New Roman" w:cs="Times New Roman"/>
          <w:sz w:val="24"/>
          <w:szCs w:val="24"/>
        </w:rPr>
        <w:t xml:space="preserve">previsione regolamentare </w:t>
      </w:r>
      <w:r w:rsidRPr="00151324">
        <w:rPr>
          <w:rFonts w:ascii="Times New Roman" w:hAnsi="Times New Roman" w:cs="Times New Roman"/>
          <w:sz w:val="24"/>
          <w:szCs w:val="24"/>
        </w:rPr>
        <w:t xml:space="preserve">a monte, non impugnata, </w:t>
      </w:r>
      <w:r w:rsidR="002F23BA" w:rsidRPr="00151324">
        <w:rPr>
          <w:rFonts w:ascii="Times New Roman" w:hAnsi="Times New Roman" w:cs="Times New Roman"/>
          <w:sz w:val="24"/>
          <w:szCs w:val="24"/>
        </w:rPr>
        <w:t xml:space="preserve">che </w:t>
      </w:r>
      <w:r w:rsidRPr="00151324">
        <w:rPr>
          <w:rFonts w:ascii="Times New Roman" w:hAnsi="Times New Roman" w:cs="Times New Roman"/>
          <w:sz w:val="24"/>
          <w:szCs w:val="24"/>
        </w:rPr>
        <w:t xml:space="preserve">ne </w:t>
      </w:r>
      <w:r w:rsidR="002F23BA" w:rsidRPr="00151324">
        <w:rPr>
          <w:rFonts w:ascii="Times New Roman" w:hAnsi="Times New Roman" w:cs="Times New Roman"/>
          <w:sz w:val="24"/>
          <w:szCs w:val="24"/>
        </w:rPr>
        <w:t xml:space="preserve">ha </w:t>
      </w:r>
      <w:r w:rsidRPr="00151324">
        <w:rPr>
          <w:rFonts w:ascii="Times New Roman" w:hAnsi="Times New Roman" w:cs="Times New Roman"/>
          <w:sz w:val="24"/>
          <w:szCs w:val="24"/>
        </w:rPr>
        <w:t xml:space="preserve">imposto l’adozione a presupposti dati, addirittura indicando l’entità dei giorni di chiusura nell’ambito del tetto massimo fissato dal legislatore. </w:t>
      </w:r>
      <w:r w:rsidR="002F23BA" w:rsidRPr="00151324">
        <w:rPr>
          <w:rFonts w:ascii="Times New Roman" w:hAnsi="Times New Roman" w:cs="Times New Roman"/>
          <w:sz w:val="24"/>
          <w:szCs w:val="24"/>
        </w:rPr>
        <w:t>Ciò laddove evidentemente</w:t>
      </w:r>
      <w:r w:rsidRPr="00151324">
        <w:rPr>
          <w:rFonts w:ascii="Times New Roman" w:hAnsi="Times New Roman" w:cs="Times New Roman"/>
          <w:sz w:val="24"/>
          <w:szCs w:val="24"/>
        </w:rPr>
        <w:t xml:space="preserve">, </w:t>
      </w:r>
      <w:r w:rsidRPr="00151324">
        <w:rPr>
          <w:rFonts w:ascii="Times New Roman" w:hAnsi="Times New Roman" w:cs="Times New Roman"/>
          <w:i/>
          <w:sz w:val="24"/>
          <w:szCs w:val="24"/>
        </w:rPr>
        <w:t>mutatis mutandis</w:t>
      </w:r>
      <w:r w:rsidRPr="00151324">
        <w:rPr>
          <w:rFonts w:ascii="Times New Roman" w:hAnsi="Times New Roman" w:cs="Times New Roman"/>
          <w:sz w:val="24"/>
          <w:szCs w:val="24"/>
        </w:rPr>
        <w:t xml:space="preserve"> quanto richiamato a proposito degli avvisi di accertamento, non si intenda attraverso l’atto conseguente censurare vizi dell’atto regolamentare presupposto. Per contro, la giurisprudenza ha al riguardo affermato con riferimento alla scelta regolamentare attuata dal Comune di Roma Capitale: </w:t>
      </w:r>
      <w:r w:rsidR="002F23BA" w:rsidRPr="00151324">
        <w:rPr>
          <w:rFonts w:ascii="Times New Roman" w:hAnsi="Times New Roman" w:cs="Times New Roman"/>
          <w:sz w:val="24"/>
          <w:szCs w:val="24"/>
        </w:rPr>
        <w:t>«</w:t>
      </w:r>
      <w:r w:rsidR="002F23BA" w:rsidRPr="00151324">
        <w:rPr>
          <w:rFonts w:ascii="Times New Roman" w:hAnsi="Times New Roman" w:cs="Times New Roman"/>
          <w:i/>
          <w:sz w:val="24"/>
          <w:szCs w:val="24"/>
        </w:rPr>
        <w:t>La norma attributiva del potere conferisce al sindaco una facoltà discrezionale di chiusura dell’attività commerciale per un termine non inferiore a cinque giorni. Nella specie, il sindaco di Roma, in assenza di vincoli normativi in ordine alle modalità di esercizio del potere discrezionale, lo ha legittimamente esercitato, all’esito di una complessiva comparazione degli interessi rilevanti, mediante l’adozione di un atto di natura generale. In particolare si è ritenuto che per le ragioni indicate nell’atto in tutti i casi in cui fosse stata accertata l’occupazione abusiva di suolo pubblico, in determinate zone storiche della città di Roma, sarebbe stato necessario applicare anche la sanzione della chiusura dell’attività commerciale. La particolare situazione in cui versavano ampie zone della parte storica ha pertanto giustificato l’adozione di un provvedimento di valenza generale con il quale si è disposta l’applicazione delle sanzioni previste</w:t>
      </w:r>
      <w:r w:rsidR="002F23BA" w:rsidRPr="00151324">
        <w:rPr>
          <w:rFonts w:ascii="Times New Roman" w:hAnsi="Times New Roman" w:cs="Times New Roman"/>
          <w:sz w:val="24"/>
          <w:szCs w:val="24"/>
        </w:rPr>
        <w:t xml:space="preserve">» (Cons. Stato, Sez. V, </w:t>
      </w:r>
      <w:r w:rsidR="0053532B" w:rsidRPr="00151324">
        <w:rPr>
          <w:rFonts w:ascii="Times New Roman" w:hAnsi="Times New Roman" w:cs="Times New Roman"/>
          <w:sz w:val="24"/>
          <w:szCs w:val="24"/>
        </w:rPr>
        <w:t xml:space="preserve">23 marzo 2015, </w:t>
      </w:r>
      <w:r w:rsidR="002F23BA" w:rsidRPr="00151324">
        <w:rPr>
          <w:rFonts w:ascii="Times New Roman" w:hAnsi="Times New Roman" w:cs="Times New Roman"/>
          <w:sz w:val="24"/>
          <w:szCs w:val="24"/>
        </w:rPr>
        <w:t>n. 1611).</w:t>
      </w:r>
      <w:r w:rsidR="0053532B" w:rsidRPr="00151324">
        <w:rPr>
          <w:rFonts w:ascii="Times New Roman" w:hAnsi="Times New Roman" w:cs="Times New Roman"/>
          <w:sz w:val="24"/>
          <w:szCs w:val="24"/>
        </w:rPr>
        <w:t xml:space="preserve"> </w:t>
      </w:r>
      <w:r w:rsidRPr="00151324">
        <w:rPr>
          <w:rFonts w:ascii="Times New Roman" w:hAnsi="Times New Roman" w:cs="Times New Roman"/>
          <w:sz w:val="24"/>
          <w:szCs w:val="24"/>
        </w:rPr>
        <w:t xml:space="preserve">Per completezza, è interessante ricordare come in relazione alla potenziale </w:t>
      </w:r>
      <w:r w:rsidR="002F23BA" w:rsidRPr="00151324">
        <w:rPr>
          <w:rFonts w:ascii="Times New Roman" w:hAnsi="Times New Roman" w:cs="Times New Roman"/>
          <w:sz w:val="24"/>
          <w:szCs w:val="24"/>
        </w:rPr>
        <w:t>violazione delle disposizioni in materia di liberalizzazione</w:t>
      </w:r>
      <w:r w:rsidR="0053532B" w:rsidRPr="00151324">
        <w:rPr>
          <w:rFonts w:ascii="Times New Roman" w:hAnsi="Times New Roman" w:cs="Times New Roman"/>
          <w:sz w:val="24"/>
          <w:szCs w:val="24"/>
        </w:rPr>
        <w:t xml:space="preserve">, </w:t>
      </w:r>
      <w:r w:rsidRPr="00151324">
        <w:rPr>
          <w:rFonts w:ascii="Times New Roman" w:hAnsi="Times New Roman" w:cs="Times New Roman"/>
          <w:sz w:val="24"/>
          <w:szCs w:val="24"/>
        </w:rPr>
        <w:t xml:space="preserve">si è comunque affermato che </w:t>
      </w:r>
      <w:r w:rsidR="002F23BA" w:rsidRPr="00151324">
        <w:rPr>
          <w:rFonts w:ascii="Times New Roman" w:hAnsi="Times New Roman" w:cs="Times New Roman"/>
          <w:sz w:val="24"/>
          <w:szCs w:val="24"/>
        </w:rPr>
        <w:t>l’esercizio di un potere di tipo sanzionatorio p</w:t>
      </w:r>
      <w:r w:rsidRPr="00151324">
        <w:rPr>
          <w:rFonts w:ascii="Times New Roman" w:hAnsi="Times New Roman" w:cs="Times New Roman"/>
          <w:sz w:val="24"/>
          <w:szCs w:val="24"/>
        </w:rPr>
        <w:t xml:space="preserve">uò sempre </w:t>
      </w:r>
      <w:r w:rsidR="002F23BA" w:rsidRPr="00151324">
        <w:rPr>
          <w:rFonts w:ascii="Times New Roman" w:hAnsi="Times New Roman" w:cs="Times New Roman"/>
          <w:sz w:val="24"/>
          <w:szCs w:val="24"/>
        </w:rPr>
        <w:t xml:space="preserve">legittimamente limitare l’iniziativa economica garantita dall’articolo 41 della </w:t>
      </w:r>
      <w:r w:rsidR="0053532B" w:rsidRPr="00151324">
        <w:rPr>
          <w:rFonts w:ascii="Times New Roman" w:hAnsi="Times New Roman" w:cs="Times New Roman"/>
          <w:sz w:val="24"/>
          <w:szCs w:val="24"/>
        </w:rPr>
        <w:t>C</w:t>
      </w:r>
      <w:r w:rsidR="002F23BA" w:rsidRPr="00151324">
        <w:rPr>
          <w:rFonts w:ascii="Times New Roman" w:hAnsi="Times New Roman" w:cs="Times New Roman"/>
          <w:sz w:val="24"/>
          <w:szCs w:val="24"/>
        </w:rPr>
        <w:t xml:space="preserve">ostituzione. </w:t>
      </w:r>
      <w:r w:rsidRPr="00151324">
        <w:rPr>
          <w:rFonts w:ascii="Times New Roman" w:hAnsi="Times New Roman" w:cs="Times New Roman"/>
          <w:sz w:val="24"/>
          <w:szCs w:val="24"/>
        </w:rPr>
        <w:t xml:space="preserve">Nel caso di specie, la sua riconducibilità al </w:t>
      </w:r>
      <w:r w:rsidR="002F23BA" w:rsidRPr="00151324">
        <w:rPr>
          <w:rFonts w:ascii="Times New Roman" w:hAnsi="Times New Roman" w:cs="Times New Roman"/>
          <w:sz w:val="24"/>
          <w:szCs w:val="24"/>
        </w:rPr>
        <w:t>potere di ordinanza ordinario</w:t>
      </w:r>
      <w:r w:rsidRPr="00151324">
        <w:rPr>
          <w:rFonts w:ascii="Times New Roman" w:hAnsi="Times New Roman" w:cs="Times New Roman"/>
          <w:sz w:val="24"/>
          <w:szCs w:val="24"/>
        </w:rPr>
        <w:t xml:space="preserve">, oltre a renderlo rispettoso </w:t>
      </w:r>
      <w:r w:rsidR="002F23BA" w:rsidRPr="00151324">
        <w:rPr>
          <w:rFonts w:ascii="Times New Roman" w:hAnsi="Times New Roman" w:cs="Times New Roman"/>
          <w:sz w:val="24"/>
          <w:szCs w:val="24"/>
        </w:rPr>
        <w:t xml:space="preserve">delle indicazioni </w:t>
      </w:r>
      <w:r w:rsidRPr="00151324">
        <w:rPr>
          <w:rFonts w:ascii="Times New Roman" w:hAnsi="Times New Roman" w:cs="Times New Roman"/>
          <w:sz w:val="24"/>
          <w:szCs w:val="24"/>
        </w:rPr>
        <w:t xml:space="preserve">rivenienti dalla </w:t>
      </w:r>
      <w:r w:rsidR="002F23BA" w:rsidRPr="00151324">
        <w:rPr>
          <w:rFonts w:ascii="Times New Roman" w:hAnsi="Times New Roman" w:cs="Times New Roman"/>
          <w:sz w:val="24"/>
          <w:szCs w:val="24"/>
        </w:rPr>
        <w:t xml:space="preserve">sentenza </w:t>
      </w:r>
      <w:r w:rsidRPr="00151324">
        <w:rPr>
          <w:rFonts w:ascii="Times New Roman" w:hAnsi="Times New Roman" w:cs="Times New Roman"/>
          <w:sz w:val="24"/>
          <w:szCs w:val="24"/>
        </w:rPr>
        <w:t xml:space="preserve">della Corte costituzionale </w:t>
      </w:r>
      <w:r w:rsidR="002F23BA" w:rsidRPr="00151324">
        <w:rPr>
          <w:rFonts w:ascii="Times New Roman" w:hAnsi="Times New Roman" w:cs="Times New Roman"/>
          <w:sz w:val="24"/>
          <w:szCs w:val="24"/>
        </w:rPr>
        <w:t>7 aprile 2011</w:t>
      </w:r>
      <w:r w:rsidRPr="00151324">
        <w:rPr>
          <w:rFonts w:ascii="Times New Roman" w:hAnsi="Times New Roman" w:cs="Times New Roman"/>
          <w:sz w:val="24"/>
          <w:szCs w:val="24"/>
        </w:rPr>
        <w:t>,</w:t>
      </w:r>
      <w:r w:rsidR="002F23BA" w:rsidRPr="00151324">
        <w:rPr>
          <w:rFonts w:ascii="Times New Roman" w:hAnsi="Times New Roman" w:cs="Times New Roman"/>
          <w:sz w:val="24"/>
          <w:szCs w:val="24"/>
        </w:rPr>
        <w:t xml:space="preserve"> n</w:t>
      </w:r>
      <w:r w:rsidR="0053532B" w:rsidRPr="00151324">
        <w:rPr>
          <w:rFonts w:ascii="Times New Roman" w:hAnsi="Times New Roman" w:cs="Times New Roman"/>
          <w:sz w:val="24"/>
          <w:szCs w:val="24"/>
        </w:rPr>
        <w:t>.</w:t>
      </w:r>
      <w:r w:rsidR="002F23BA" w:rsidRPr="00151324">
        <w:rPr>
          <w:rFonts w:ascii="Times New Roman" w:hAnsi="Times New Roman" w:cs="Times New Roman"/>
          <w:sz w:val="24"/>
          <w:szCs w:val="24"/>
        </w:rPr>
        <w:t xml:space="preserve"> 115, che, come noto, ha inciso sul comma quattro dell’articolo 54 del </w:t>
      </w:r>
      <w:proofErr w:type="spellStart"/>
      <w:r w:rsidR="002F23BA" w:rsidRPr="00151324">
        <w:rPr>
          <w:rFonts w:ascii="Times New Roman" w:hAnsi="Times New Roman" w:cs="Times New Roman"/>
          <w:sz w:val="24"/>
          <w:szCs w:val="24"/>
        </w:rPr>
        <w:t>T</w:t>
      </w:r>
      <w:r w:rsidRPr="00151324">
        <w:rPr>
          <w:rFonts w:ascii="Times New Roman" w:hAnsi="Times New Roman" w:cs="Times New Roman"/>
          <w:sz w:val="24"/>
          <w:szCs w:val="24"/>
        </w:rPr>
        <w:t>.u.e.l</w:t>
      </w:r>
      <w:proofErr w:type="spellEnd"/>
      <w:r w:rsidRPr="00151324">
        <w:rPr>
          <w:rFonts w:ascii="Times New Roman" w:hAnsi="Times New Roman" w:cs="Times New Roman"/>
          <w:sz w:val="24"/>
          <w:szCs w:val="24"/>
        </w:rPr>
        <w:t xml:space="preserve">. </w:t>
      </w:r>
      <w:r w:rsidR="002F23BA" w:rsidRPr="00151324">
        <w:rPr>
          <w:rFonts w:ascii="Times New Roman" w:hAnsi="Times New Roman" w:cs="Times New Roman"/>
          <w:sz w:val="24"/>
          <w:szCs w:val="24"/>
        </w:rPr>
        <w:t>laddove aveva inserito la possibilità di adottare anche provvedimenti ordinari per ragioni di sicurezza urbana</w:t>
      </w:r>
      <w:r w:rsidRPr="00151324">
        <w:rPr>
          <w:rFonts w:ascii="Times New Roman" w:hAnsi="Times New Roman" w:cs="Times New Roman"/>
          <w:sz w:val="24"/>
          <w:szCs w:val="24"/>
        </w:rPr>
        <w:t>, ben si concilia con la sua riconduzione allo strumento regolamentare tipicamente espressivo del potere normativo dell’organo elettivo del Comune</w:t>
      </w:r>
      <w:r w:rsidR="002F23BA" w:rsidRPr="00151324">
        <w:rPr>
          <w:rFonts w:ascii="Times New Roman" w:hAnsi="Times New Roman" w:cs="Times New Roman"/>
          <w:sz w:val="24"/>
          <w:szCs w:val="24"/>
        </w:rPr>
        <w:t>. Viene infatti ritenuto</w:t>
      </w:r>
      <w:r w:rsidR="00D8417C" w:rsidRPr="00151324">
        <w:rPr>
          <w:rFonts w:ascii="Times New Roman" w:hAnsi="Times New Roman" w:cs="Times New Roman"/>
          <w:sz w:val="24"/>
          <w:szCs w:val="24"/>
        </w:rPr>
        <w:t xml:space="preserve"> «</w:t>
      </w:r>
      <w:r w:rsidR="002F23BA" w:rsidRPr="00151324">
        <w:rPr>
          <w:rFonts w:ascii="Times New Roman" w:hAnsi="Times New Roman" w:cs="Times New Roman"/>
          <w:i/>
          <w:sz w:val="24"/>
          <w:szCs w:val="24"/>
        </w:rPr>
        <w:t>conforme a costituzione la previsione normativa attributiva di un potere sindacale ordinario che contenga sia il fine pubblico da raggiungere (cosiddetta legalità-indirizzo) sia contenuto in modalità di esercizio del potere (cosiddetta legalità-garanzia)</w:t>
      </w:r>
      <w:r w:rsidR="00D8417C" w:rsidRPr="00151324">
        <w:rPr>
          <w:rFonts w:ascii="Times New Roman" w:hAnsi="Times New Roman" w:cs="Times New Roman"/>
          <w:sz w:val="24"/>
          <w:szCs w:val="24"/>
        </w:rPr>
        <w:t>»</w:t>
      </w:r>
      <w:r w:rsidR="002F23BA" w:rsidRPr="00151324">
        <w:rPr>
          <w:rFonts w:ascii="Times New Roman" w:hAnsi="Times New Roman" w:cs="Times New Roman"/>
          <w:sz w:val="24"/>
          <w:szCs w:val="24"/>
        </w:rPr>
        <w:t>.</w:t>
      </w:r>
      <w:r w:rsidRPr="00151324">
        <w:rPr>
          <w:rFonts w:ascii="Times New Roman" w:hAnsi="Times New Roman" w:cs="Times New Roman"/>
          <w:sz w:val="24"/>
          <w:szCs w:val="24"/>
        </w:rPr>
        <w:t xml:space="preserve"> Ciò anche relativamente alla </w:t>
      </w:r>
      <w:r w:rsidR="002F23BA" w:rsidRPr="00151324">
        <w:rPr>
          <w:rFonts w:ascii="Times New Roman" w:hAnsi="Times New Roman" w:cs="Times New Roman"/>
          <w:sz w:val="24"/>
          <w:szCs w:val="24"/>
        </w:rPr>
        <w:t>s</w:t>
      </w:r>
      <w:r w:rsidR="00175CC8" w:rsidRPr="00151324">
        <w:rPr>
          <w:rFonts w:ascii="Times New Roman" w:hAnsi="Times New Roman" w:cs="Times New Roman"/>
          <w:sz w:val="24"/>
          <w:szCs w:val="24"/>
        </w:rPr>
        <w:t>celta</w:t>
      </w:r>
      <w:r w:rsidR="002F23BA" w:rsidRPr="00151324">
        <w:rPr>
          <w:rFonts w:ascii="Times New Roman" w:hAnsi="Times New Roman" w:cs="Times New Roman"/>
          <w:sz w:val="24"/>
          <w:szCs w:val="24"/>
        </w:rPr>
        <w:t xml:space="preserve"> di </w:t>
      </w:r>
      <w:r w:rsidRPr="00151324">
        <w:rPr>
          <w:rFonts w:ascii="Times New Roman" w:hAnsi="Times New Roman" w:cs="Times New Roman"/>
          <w:sz w:val="24"/>
          <w:szCs w:val="24"/>
        </w:rPr>
        <w:t xml:space="preserve">elevare </w:t>
      </w:r>
      <w:r w:rsidR="002F23BA" w:rsidRPr="00151324">
        <w:rPr>
          <w:rFonts w:ascii="Times New Roman" w:hAnsi="Times New Roman" w:cs="Times New Roman"/>
          <w:sz w:val="24"/>
          <w:szCs w:val="24"/>
        </w:rPr>
        <w:t xml:space="preserve">a livello generale il potere sanzionatorio </w:t>
      </w:r>
      <w:r w:rsidR="001D34DA" w:rsidRPr="00151324">
        <w:rPr>
          <w:rFonts w:ascii="Times New Roman" w:hAnsi="Times New Roman" w:cs="Times New Roman"/>
          <w:sz w:val="24"/>
          <w:szCs w:val="24"/>
        </w:rPr>
        <w:t xml:space="preserve">stabilito dalla norma, </w:t>
      </w:r>
      <w:r w:rsidR="002F23BA" w:rsidRPr="00151324">
        <w:rPr>
          <w:rFonts w:ascii="Times New Roman" w:hAnsi="Times New Roman" w:cs="Times New Roman"/>
          <w:sz w:val="24"/>
          <w:szCs w:val="24"/>
        </w:rPr>
        <w:t xml:space="preserve">fissandone </w:t>
      </w:r>
      <w:r w:rsidRPr="00151324">
        <w:rPr>
          <w:rFonts w:ascii="Times New Roman" w:hAnsi="Times New Roman" w:cs="Times New Roman"/>
          <w:sz w:val="24"/>
          <w:szCs w:val="24"/>
        </w:rPr>
        <w:t xml:space="preserve">appunto </w:t>
      </w:r>
      <w:r w:rsidR="002F23BA" w:rsidRPr="00151324">
        <w:rPr>
          <w:rFonts w:ascii="Times New Roman" w:hAnsi="Times New Roman" w:cs="Times New Roman"/>
          <w:sz w:val="24"/>
          <w:szCs w:val="24"/>
        </w:rPr>
        <w:t>i presupp</w:t>
      </w:r>
      <w:r w:rsidR="00175CC8" w:rsidRPr="00151324">
        <w:rPr>
          <w:rFonts w:ascii="Times New Roman" w:hAnsi="Times New Roman" w:cs="Times New Roman"/>
          <w:sz w:val="24"/>
          <w:szCs w:val="24"/>
        </w:rPr>
        <w:t>osti</w:t>
      </w:r>
      <w:r w:rsidR="002F23BA" w:rsidRPr="00151324">
        <w:rPr>
          <w:rFonts w:ascii="Times New Roman" w:hAnsi="Times New Roman" w:cs="Times New Roman"/>
          <w:sz w:val="24"/>
          <w:szCs w:val="24"/>
        </w:rPr>
        <w:t xml:space="preserve"> con apposito regolame</w:t>
      </w:r>
      <w:r w:rsidR="006F5169" w:rsidRPr="00151324">
        <w:rPr>
          <w:rFonts w:ascii="Times New Roman" w:hAnsi="Times New Roman" w:cs="Times New Roman"/>
          <w:sz w:val="24"/>
          <w:szCs w:val="24"/>
        </w:rPr>
        <w:t>nto</w:t>
      </w:r>
      <w:r w:rsidR="001D34DA" w:rsidRPr="00151324">
        <w:rPr>
          <w:rFonts w:ascii="Times New Roman" w:hAnsi="Times New Roman" w:cs="Times New Roman"/>
          <w:sz w:val="24"/>
          <w:szCs w:val="24"/>
        </w:rPr>
        <w:t xml:space="preserve"> e con ciò trasformando in verità una mera facoltà, correlata alla valutazione dei singoli interessi in gioco, ivi compresa, si ritiene, la concomitante attivazione di diversi procedimenti sanziona</w:t>
      </w:r>
      <w:r w:rsidR="00151324">
        <w:rPr>
          <w:rFonts w:ascii="Times New Roman" w:hAnsi="Times New Roman" w:cs="Times New Roman"/>
          <w:sz w:val="24"/>
          <w:szCs w:val="24"/>
        </w:rPr>
        <w:t>tori, in obbligo di irrogazione</w:t>
      </w:r>
      <w:r w:rsidR="006F5169" w:rsidRPr="00151324">
        <w:rPr>
          <w:rStyle w:val="Rimandonotaapidipagina"/>
          <w:rFonts w:ascii="Times New Roman" w:hAnsi="Times New Roman" w:cs="Times New Roman"/>
          <w:sz w:val="24"/>
          <w:szCs w:val="24"/>
        </w:rPr>
        <w:footnoteReference w:id="42"/>
      </w:r>
      <w:r w:rsidR="006F5169" w:rsidRPr="00151324">
        <w:rPr>
          <w:rFonts w:ascii="Times New Roman" w:hAnsi="Times New Roman" w:cs="Times New Roman"/>
          <w:sz w:val="24"/>
          <w:szCs w:val="24"/>
        </w:rPr>
        <w:t xml:space="preserve">. </w:t>
      </w:r>
      <w:r w:rsidR="001D34DA" w:rsidRPr="00151324">
        <w:rPr>
          <w:rFonts w:ascii="Times New Roman" w:hAnsi="Times New Roman" w:cs="Times New Roman"/>
          <w:sz w:val="24"/>
          <w:szCs w:val="24"/>
        </w:rPr>
        <w:t>Spetterebbe dunque al giudice ordinario valutare la legittimità della sopravvenienza del provvedimento a distanza di molto tempo dalla commessa violazione, laddove al contrario il giudice amministrativo ha ritenuto ininfluente finanche l’avvenuto ripristino della situazione di legalità, proprio in ragione della portata “ineludibile” della sanzione prevista. L</w:t>
      </w:r>
      <w:r w:rsidR="002F23BA" w:rsidRPr="00151324">
        <w:rPr>
          <w:rFonts w:ascii="Times New Roman" w:hAnsi="Times New Roman" w:cs="Times New Roman"/>
          <w:sz w:val="24"/>
          <w:szCs w:val="24"/>
        </w:rPr>
        <w:t xml:space="preserve">a cessazione dell’illegittima occupazione, il ripristino dei luoghi e il pagamento delle sanzioni irrogate da parte del contravventore </w:t>
      </w:r>
      <w:r w:rsidR="006F5169" w:rsidRPr="00151324">
        <w:rPr>
          <w:rFonts w:ascii="Times New Roman" w:hAnsi="Times New Roman" w:cs="Times New Roman"/>
          <w:sz w:val="24"/>
          <w:szCs w:val="24"/>
        </w:rPr>
        <w:t xml:space="preserve">non fanno venire meno, infatti, gli </w:t>
      </w:r>
      <w:r w:rsidR="001D34DA" w:rsidRPr="00151324">
        <w:rPr>
          <w:rFonts w:ascii="Times New Roman" w:hAnsi="Times New Roman" w:cs="Times New Roman"/>
          <w:sz w:val="24"/>
          <w:szCs w:val="24"/>
        </w:rPr>
        <w:t>«</w:t>
      </w:r>
      <w:r w:rsidR="006F5169" w:rsidRPr="00151324">
        <w:rPr>
          <w:rFonts w:ascii="Times New Roman" w:hAnsi="Times New Roman" w:cs="Times New Roman"/>
          <w:i/>
          <w:sz w:val="24"/>
          <w:szCs w:val="24"/>
        </w:rPr>
        <w:t>i</w:t>
      </w:r>
      <w:r w:rsidR="002F23BA" w:rsidRPr="00151324">
        <w:rPr>
          <w:rFonts w:ascii="Times New Roman" w:hAnsi="Times New Roman" w:cs="Times New Roman"/>
          <w:i/>
          <w:sz w:val="24"/>
          <w:szCs w:val="24"/>
        </w:rPr>
        <w:t>ndefettibili presupposti</w:t>
      </w:r>
      <w:r w:rsidR="001D34DA" w:rsidRPr="00151324">
        <w:rPr>
          <w:rFonts w:ascii="Times New Roman" w:hAnsi="Times New Roman" w:cs="Times New Roman"/>
          <w:sz w:val="24"/>
          <w:szCs w:val="24"/>
        </w:rPr>
        <w:t>»</w:t>
      </w:r>
      <w:r w:rsidR="002F23BA" w:rsidRPr="00151324">
        <w:rPr>
          <w:rFonts w:ascii="Times New Roman" w:hAnsi="Times New Roman" w:cs="Times New Roman"/>
          <w:sz w:val="24"/>
          <w:szCs w:val="24"/>
        </w:rPr>
        <w:t xml:space="preserve"> per l’adozione del provvedimento di chiusura dell’esercizio, </w:t>
      </w:r>
      <w:r w:rsidR="006F5169" w:rsidRPr="00151324">
        <w:rPr>
          <w:rFonts w:ascii="Times New Roman" w:hAnsi="Times New Roman" w:cs="Times New Roman"/>
          <w:sz w:val="24"/>
          <w:szCs w:val="24"/>
        </w:rPr>
        <w:t>«</w:t>
      </w:r>
      <w:r w:rsidR="002F23BA" w:rsidRPr="00151324">
        <w:rPr>
          <w:rFonts w:ascii="Times New Roman" w:hAnsi="Times New Roman" w:cs="Times New Roman"/>
          <w:i/>
          <w:sz w:val="24"/>
          <w:szCs w:val="24"/>
        </w:rPr>
        <w:t>dal momento che quei fatti sopravvenuti all’accertato abuso non possono avere natura di eliminazione dell’abuso stesso, laddove il provvedimento di chiusura ha natura sanzionatoria e va comunque adottato, la chiusura dell’esercizio per un periodo di cinque giorni rappresentando la misura minima della sanzione in caso di occupazione indebita di suolo pubblico per fini commerciali</w:t>
      </w:r>
      <w:r w:rsidR="002F23BA" w:rsidRPr="00151324">
        <w:rPr>
          <w:rFonts w:ascii="Times New Roman" w:hAnsi="Times New Roman" w:cs="Times New Roman"/>
          <w:sz w:val="24"/>
          <w:szCs w:val="24"/>
        </w:rPr>
        <w:t xml:space="preserve"> </w:t>
      </w:r>
      <w:r w:rsidR="006F5169" w:rsidRPr="00151324">
        <w:rPr>
          <w:rFonts w:ascii="Times New Roman" w:hAnsi="Times New Roman" w:cs="Times New Roman"/>
          <w:sz w:val="24"/>
          <w:szCs w:val="24"/>
        </w:rPr>
        <w:t>»</w:t>
      </w:r>
      <w:r w:rsidR="006F5169" w:rsidRPr="00151324">
        <w:rPr>
          <w:rStyle w:val="Rimandonotaapidipagina"/>
          <w:rFonts w:ascii="Times New Roman" w:hAnsi="Times New Roman" w:cs="Times New Roman"/>
          <w:sz w:val="24"/>
          <w:szCs w:val="24"/>
        </w:rPr>
        <w:footnoteReference w:id="43"/>
      </w:r>
      <w:r w:rsidR="002F23BA" w:rsidRPr="00151324">
        <w:rPr>
          <w:rFonts w:ascii="Times New Roman" w:hAnsi="Times New Roman" w:cs="Times New Roman"/>
          <w:sz w:val="24"/>
          <w:szCs w:val="24"/>
        </w:rPr>
        <w:t xml:space="preserve">. </w:t>
      </w:r>
    </w:p>
    <w:p w14:paraId="4D46E49D" w14:textId="77777777" w:rsidR="00576357" w:rsidRPr="00151324" w:rsidRDefault="00576357" w:rsidP="0015132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1C0D24B4" w14:textId="77777777" w:rsidR="00DF1B74" w:rsidRPr="00151324" w:rsidRDefault="00DF1B74"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bCs/>
          <w:kern w:val="0"/>
          <w:sz w:val="24"/>
          <w:szCs w:val="24"/>
          <w:lang w:eastAsia="it-IT"/>
        </w:rPr>
      </w:pPr>
    </w:p>
    <w:p w14:paraId="3F45BE8B" w14:textId="0144934E" w:rsidR="0062471C" w:rsidRPr="00D5361B" w:rsidRDefault="00DF1B74" w:rsidP="00D5361B">
      <w:pPr>
        <w:pStyle w:val="Paragrafoelenco"/>
        <w:numPr>
          <w:ilvl w:val="0"/>
          <w:numId w:val="6"/>
        </w:numPr>
        <w:shd w:val="clear" w:color="auto" w:fill="FFFFFF"/>
        <w:suppressAutoHyphens w:val="0"/>
        <w:autoSpaceDN/>
        <w:spacing w:after="0" w:line="360" w:lineRule="auto"/>
        <w:jc w:val="both"/>
        <w:textAlignment w:val="auto"/>
        <w:rPr>
          <w:rFonts w:ascii="Times New Roman" w:eastAsia="Times New Roman" w:hAnsi="Times New Roman" w:cs="Times New Roman"/>
          <w:b/>
          <w:bCs/>
          <w:kern w:val="0"/>
          <w:sz w:val="24"/>
          <w:szCs w:val="24"/>
          <w:lang w:eastAsia="it-IT"/>
        </w:rPr>
      </w:pPr>
      <w:r w:rsidRPr="00D5361B">
        <w:rPr>
          <w:rFonts w:ascii="Times New Roman" w:eastAsia="Times New Roman" w:hAnsi="Times New Roman" w:cs="Times New Roman"/>
          <w:b/>
          <w:bCs/>
          <w:kern w:val="0"/>
          <w:sz w:val="24"/>
          <w:szCs w:val="24"/>
          <w:lang w:eastAsia="it-IT"/>
        </w:rPr>
        <w:t>P</w:t>
      </w:r>
      <w:r w:rsidR="0062471C" w:rsidRPr="00D5361B">
        <w:rPr>
          <w:rFonts w:ascii="Times New Roman" w:eastAsia="Times New Roman" w:hAnsi="Times New Roman" w:cs="Times New Roman"/>
          <w:b/>
          <w:bCs/>
          <w:kern w:val="0"/>
          <w:sz w:val="24"/>
          <w:szCs w:val="24"/>
          <w:lang w:eastAsia="it-IT"/>
        </w:rPr>
        <w:t xml:space="preserve">roblematiche di </w:t>
      </w:r>
      <w:r w:rsidR="0062471C" w:rsidRPr="00D5361B">
        <w:rPr>
          <w:rFonts w:ascii="Times New Roman" w:eastAsia="Times New Roman" w:hAnsi="Times New Roman" w:cs="Times New Roman"/>
          <w:b/>
          <w:bCs/>
          <w:i/>
          <w:kern w:val="0"/>
          <w:sz w:val="24"/>
          <w:szCs w:val="24"/>
          <w:lang w:eastAsia="it-IT"/>
        </w:rPr>
        <w:t>ne bis in idem</w:t>
      </w:r>
      <w:r w:rsidR="0062471C" w:rsidRPr="00D5361B">
        <w:rPr>
          <w:rFonts w:ascii="Times New Roman" w:eastAsia="Times New Roman" w:hAnsi="Times New Roman" w:cs="Times New Roman"/>
          <w:b/>
          <w:bCs/>
          <w:kern w:val="0"/>
          <w:sz w:val="24"/>
          <w:szCs w:val="24"/>
          <w:lang w:eastAsia="it-IT"/>
        </w:rPr>
        <w:t>.</w:t>
      </w:r>
    </w:p>
    <w:p w14:paraId="71ABBA54" w14:textId="77777777" w:rsidR="0062471C" w:rsidRPr="00151324" w:rsidRDefault="0062471C"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b/>
          <w:bCs/>
          <w:kern w:val="0"/>
          <w:sz w:val="24"/>
          <w:szCs w:val="24"/>
          <w:lang w:eastAsia="it-IT"/>
        </w:rPr>
      </w:pPr>
    </w:p>
    <w:p w14:paraId="64180E91" w14:textId="4F165A70" w:rsidR="00DF1B74" w:rsidRPr="00151324" w:rsidRDefault="00DF1B74"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bCs/>
          <w:kern w:val="0"/>
          <w:sz w:val="24"/>
          <w:szCs w:val="24"/>
          <w:lang w:eastAsia="it-IT"/>
        </w:rPr>
      </w:pPr>
      <w:r w:rsidRPr="00151324">
        <w:rPr>
          <w:rFonts w:ascii="Times New Roman" w:eastAsia="Times New Roman" w:hAnsi="Times New Roman" w:cs="Times New Roman"/>
          <w:bCs/>
          <w:kern w:val="0"/>
          <w:sz w:val="24"/>
          <w:szCs w:val="24"/>
          <w:lang w:eastAsia="it-IT"/>
        </w:rPr>
        <w:t xml:space="preserve">La astratta applicabilità di una pluralità di sanzioni impone di domandarsi anche se le stesse concorrano tra di loro ovvero si elidano a vicenda, giusta la applicabilità del principio del </w:t>
      </w:r>
      <w:r w:rsidRPr="00151324">
        <w:rPr>
          <w:rFonts w:ascii="Times New Roman" w:eastAsia="Times New Roman" w:hAnsi="Times New Roman" w:cs="Times New Roman"/>
          <w:bCs/>
          <w:i/>
          <w:kern w:val="0"/>
          <w:sz w:val="24"/>
          <w:szCs w:val="24"/>
          <w:lang w:eastAsia="it-IT"/>
        </w:rPr>
        <w:t>ne bis in idem</w:t>
      </w:r>
      <w:r w:rsidR="001D34DA" w:rsidRPr="00151324">
        <w:rPr>
          <w:rFonts w:ascii="Times New Roman" w:eastAsia="Times New Roman" w:hAnsi="Times New Roman" w:cs="Times New Roman"/>
          <w:bCs/>
          <w:i/>
          <w:kern w:val="0"/>
          <w:sz w:val="24"/>
          <w:szCs w:val="24"/>
          <w:lang w:eastAsia="it-IT"/>
        </w:rPr>
        <w:t xml:space="preserve">, </w:t>
      </w:r>
      <w:r w:rsidR="001D34DA" w:rsidRPr="00151324">
        <w:rPr>
          <w:rFonts w:ascii="Times New Roman" w:eastAsia="Times New Roman" w:hAnsi="Times New Roman" w:cs="Times New Roman"/>
          <w:bCs/>
          <w:kern w:val="0"/>
          <w:sz w:val="24"/>
          <w:szCs w:val="24"/>
          <w:lang w:eastAsia="it-IT"/>
        </w:rPr>
        <w:t xml:space="preserve">che costituisce il limite negativo alla disciplina del concorso formale di illeciti, seppure mitigato in termini di proporzionalità </w:t>
      </w:r>
      <w:r w:rsidR="00151324">
        <w:rPr>
          <w:rFonts w:ascii="Times New Roman" w:eastAsia="Times New Roman" w:hAnsi="Times New Roman" w:cs="Times New Roman"/>
          <w:bCs/>
          <w:kern w:val="0"/>
          <w:sz w:val="24"/>
          <w:szCs w:val="24"/>
          <w:lang w:eastAsia="it-IT"/>
        </w:rPr>
        <w:t>dal regime del cumulo giuridico</w:t>
      </w:r>
      <w:r w:rsidR="001D34DA" w:rsidRPr="00151324">
        <w:rPr>
          <w:rStyle w:val="Rimandonotaapidipagina"/>
          <w:rFonts w:ascii="Times New Roman" w:eastAsia="Times New Roman" w:hAnsi="Times New Roman" w:cs="Times New Roman"/>
          <w:bCs/>
          <w:kern w:val="0"/>
          <w:sz w:val="24"/>
          <w:szCs w:val="24"/>
          <w:lang w:eastAsia="it-IT"/>
        </w:rPr>
        <w:footnoteReference w:id="44"/>
      </w:r>
      <w:r w:rsidR="001D34DA" w:rsidRPr="00151324">
        <w:rPr>
          <w:rFonts w:ascii="Times New Roman" w:eastAsia="Times New Roman" w:hAnsi="Times New Roman" w:cs="Times New Roman"/>
          <w:bCs/>
          <w:kern w:val="0"/>
          <w:sz w:val="24"/>
          <w:szCs w:val="24"/>
          <w:lang w:eastAsia="it-IT"/>
        </w:rPr>
        <w:t xml:space="preserve">. </w:t>
      </w:r>
      <w:r w:rsidRPr="00151324">
        <w:rPr>
          <w:rFonts w:ascii="Times New Roman" w:eastAsia="Times New Roman" w:hAnsi="Times New Roman" w:cs="Times New Roman"/>
          <w:bCs/>
          <w:kern w:val="0"/>
          <w:sz w:val="24"/>
          <w:szCs w:val="24"/>
          <w:lang w:eastAsia="it-IT"/>
        </w:rPr>
        <w:t xml:space="preserve"> </w:t>
      </w:r>
    </w:p>
    <w:p w14:paraId="09F3B9CE" w14:textId="77777777" w:rsidR="00DF1B74" w:rsidRPr="00151324" w:rsidRDefault="001D34DA"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bCs/>
          <w:kern w:val="0"/>
          <w:sz w:val="24"/>
          <w:szCs w:val="24"/>
          <w:lang w:eastAsia="it-IT"/>
        </w:rPr>
        <w:t>Va ricordato brevemente come i</w:t>
      </w:r>
      <w:r w:rsidR="00DF1B74" w:rsidRPr="00151324">
        <w:rPr>
          <w:rFonts w:ascii="Times New Roman" w:eastAsia="Times New Roman" w:hAnsi="Times New Roman" w:cs="Times New Roman"/>
          <w:bCs/>
          <w:kern w:val="0"/>
          <w:sz w:val="24"/>
          <w:szCs w:val="24"/>
          <w:lang w:eastAsia="it-IT"/>
        </w:rPr>
        <w:t xml:space="preserve">l principio del </w:t>
      </w:r>
      <w:r w:rsidR="00DF1B74" w:rsidRPr="00151324">
        <w:rPr>
          <w:rFonts w:ascii="Times New Roman" w:eastAsia="Times New Roman" w:hAnsi="Times New Roman" w:cs="Times New Roman"/>
          <w:bCs/>
          <w:i/>
          <w:kern w:val="0"/>
          <w:sz w:val="24"/>
          <w:szCs w:val="24"/>
          <w:lang w:eastAsia="it-IT"/>
        </w:rPr>
        <w:t>ne bis in idem</w:t>
      </w:r>
      <w:r w:rsidRPr="00151324">
        <w:rPr>
          <w:rFonts w:ascii="Times New Roman" w:eastAsia="Times New Roman" w:hAnsi="Times New Roman" w:cs="Times New Roman"/>
          <w:bCs/>
          <w:i/>
          <w:kern w:val="0"/>
          <w:sz w:val="24"/>
          <w:szCs w:val="24"/>
          <w:lang w:eastAsia="it-IT"/>
        </w:rPr>
        <w:t xml:space="preserve"> </w:t>
      </w:r>
      <w:r w:rsidR="00DF1B74" w:rsidRPr="00151324">
        <w:rPr>
          <w:rFonts w:ascii="Times New Roman" w:eastAsia="Times New Roman" w:hAnsi="Times New Roman" w:cs="Times New Roman"/>
          <w:kern w:val="0"/>
          <w:sz w:val="24"/>
          <w:szCs w:val="24"/>
          <w:lang w:eastAsia="it-IT"/>
        </w:rPr>
        <w:t xml:space="preserve">ha subito negli ultimi anni una radicale trasformazione, perdendo la propria connotazione – esclusivamente processuale – di baluardo contro la sottoposizione, per il medesimo illecito, a due distinti procedimenti, </w:t>
      </w:r>
      <w:r w:rsidRPr="00151324">
        <w:rPr>
          <w:rFonts w:ascii="Times New Roman" w:eastAsia="Times New Roman" w:hAnsi="Times New Roman" w:cs="Times New Roman"/>
          <w:kern w:val="0"/>
          <w:sz w:val="24"/>
          <w:szCs w:val="24"/>
          <w:lang w:eastAsia="it-IT"/>
        </w:rPr>
        <w:t xml:space="preserve">originariamente penali, </w:t>
      </w:r>
      <w:r w:rsidR="00DF1B74" w:rsidRPr="00151324">
        <w:rPr>
          <w:rFonts w:ascii="Times New Roman" w:eastAsia="Times New Roman" w:hAnsi="Times New Roman" w:cs="Times New Roman"/>
          <w:kern w:val="0"/>
          <w:sz w:val="24"/>
          <w:szCs w:val="24"/>
          <w:lang w:eastAsia="it-IT"/>
        </w:rPr>
        <w:t>e divenendo </w:t>
      </w:r>
      <w:r w:rsidR="00DF1B74" w:rsidRPr="00151324">
        <w:rPr>
          <w:rFonts w:ascii="Times New Roman" w:eastAsia="Times New Roman" w:hAnsi="Times New Roman" w:cs="Times New Roman"/>
          <w:bCs/>
          <w:kern w:val="0"/>
          <w:sz w:val="24"/>
          <w:szCs w:val="24"/>
          <w:lang w:eastAsia="it-IT"/>
        </w:rPr>
        <w:t>garanzia sostanziale di proporzionalità del complessivo trattamento sanzionatorio.</w:t>
      </w:r>
    </w:p>
    <w:p w14:paraId="662BC13E" w14:textId="77777777" w:rsidR="00DF1B74" w:rsidRPr="00151324" w:rsidRDefault="00DF1B74"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Preliminarmente, </w:t>
      </w:r>
      <w:r w:rsidR="00997988" w:rsidRPr="00151324">
        <w:rPr>
          <w:rFonts w:ascii="Times New Roman" w:eastAsia="Times New Roman" w:hAnsi="Times New Roman" w:cs="Times New Roman"/>
          <w:kern w:val="0"/>
          <w:sz w:val="24"/>
          <w:szCs w:val="24"/>
          <w:lang w:eastAsia="it-IT"/>
        </w:rPr>
        <w:t xml:space="preserve">esso </w:t>
      </w:r>
      <w:r w:rsidRPr="00151324">
        <w:rPr>
          <w:rFonts w:ascii="Times New Roman" w:eastAsia="Times New Roman" w:hAnsi="Times New Roman" w:cs="Times New Roman"/>
          <w:bCs/>
          <w:kern w:val="0"/>
          <w:sz w:val="24"/>
          <w:szCs w:val="24"/>
          <w:lang w:eastAsia="it-IT"/>
        </w:rPr>
        <w:t xml:space="preserve">si declina </w:t>
      </w:r>
      <w:r w:rsidR="00997988" w:rsidRPr="00151324">
        <w:rPr>
          <w:rFonts w:ascii="Times New Roman" w:eastAsia="Times New Roman" w:hAnsi="Times New Roman" w:cs="Times New Roman"/>
          <w:bCs/>
          <w:kern w:val="0"/>
          <w:sz w:val="24"/>
          <w:szCs w:val="24"/>
          <w:lang w:eastAsia="it-IT"/>
        </w:rPr>
        <w:t xml:space="preserve">dunque </w:t>
      </w:r>
      <w:r w:rsidRPr="00151324">
        <w:rPr>
          <w:rFonts w:ascii="Times New Roman" w:eastAsia="Times New Roman" w:hAnsi="Times New Roman" w:cs="Times New Roman"/>
          <w:bCs/>
          <w:kern w:val="0"/>
          <w:sz w:val="24"/>
          <w:szCs w:val="24"/>
          <w:lang w:eastAsia="it-IT"/>
        </w:rPr>
        <w:t>nel divieto di instaurare o proseguire un nuovo procedimento sugli stessi fatti o circostanze già oggetto di un precedente giudizio</w:t>
      </w:r>
      <w:r w:rsidR="00997988" w:rsidRPr="00151324">
        <w:rPr>
          <w:rFonts w:ascii="Times New Roman" w:eastAsia="Times New Roman" w:hAnsi="Times New Roman" w:cs="Times New Roman"/>
          <w:kern w:val="0"/>
          <w:sz w:val="24"/>
          <w:szCs w:val="24"/>
          <w:lang w:eastAsia="it-IT"/>
        </w:rPr>
        <w:t xml:space="preserve"> ovvero di un diverso procedimento</w:t>
      </w:r>
      <w:r w:rsidRPr="00151324">
        <w:rPr>
          <w:rFonts w:ascii="Times New Roman" w:eastAsia="Times New Roman" w:hAnsi="Times New Roman" w:cs="Times New Roman"/>
          <w:kern w:val="0"/>
          <w:sz w:val="24"/>
          <w:szCs w:val="24"/>
          <w:lang w:eastAsia="it-IT"/>
        </w:rPr>
        <w:t>. La </w:t>
      </w:r>
      <w:r w:rsidRPr="00151324">
        <w:rPr>
          <w:rFonts w:ascii="Times New Roman" w:eastAsia="Times New Roman" w:hAnsi="Times New Roman" w:cs="Times New Roman"/>
          <w:i/>
          <w:iCs/>
          <w:kern w:val="0"/>
          <w:sz w:val="24"/>
          <w:szCs w:val="24"/>
          <w:lang w:eastAsia="it-IT"/>
        </w:rPr>
        <w:t>ratio </w:t>
      </w:r>
      <w:r w:rsidRPr="00151324">
        <w:rPr>
          <w:rFonts w:ascii="Times New Roman" w:eastAsia="Times New Roman" w:hAnsi="Times New Roman" w:cs="Times New Roman"/>
          <w:kern w:val="0"/>
          <w:sz w:val="24"/>
          <w:szCs w:val="24"/>
          <w:lang w:eastAsia="it-IT"/>
        </w:rPr>
        <w:t>tutela, quindi, l’autorità della cosa giudicata e la certezza del diritto.</w:t>
      </w:r>
    </w:p>
    <w:p w14:paraId="37A14436" w14:textId="77777777" w:rsidR="00DF1B74" w:rsidRPr="00151324" w:rsidRDefault="00DF1B74"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Tale divieto è codificato, nell’ordinamento interno, dall’art. 649 c.p.p., con implicita copertura costituzionale negli artt. 24 e 111 Cost.</w:t>
      </w:r>
      <w:r w:rsidR="00997988" w:rsidRPr="00151324">
        <w:rPr>
          <w:rFonts w:ascii="Times New Roman" w:eastAsia="Times New Roman" w:hAnsi="Times New Roman" w:cs="Times New Roman"/>
          <w:kern w:val="0"/>
          <w:sz w:val="24"/>
          <w:szCs w:val="24"/>
          <w:lang w:eastAsia="it-IT"/>
        </w:rPr>
        <w:t xml:space="preserve"> </w:t>
      </w:r>
      <w:r w:rsidRPr="00151324">
        <w:rPr>
          <w:rFonts w:ascii="Times New Roman" w:eastAsia="Times New Roman" w:hAnsi="Times New Roman" w:cs="Times New Roman"/>
          <w:kern w:val="0"/>
          <w:sz w:val="24"/>
          <w:szCs w:val="24"/>
          <w:lang w:eastAsia="it-IT"/>
        </w:rPr>
        <w:t>A livello internazionale, invece, il principio in esame è stato positivizzato dall’art. 4 p. 1 del VII Protocollo addizionale della CEDU e dall’art. 50 della Carta dei diritti fondamentali dell’UE (dotata di efficacia vincolante al pari dei Trattati).</w:t>
      </w:r>
    </w:p>
    <w:p w14:paraId="40C2998B" w14:textId="450EC573" w:rsidR="00997988" w:rsidRPr="00151324" w:rsidRDefault="00997988" w:rsidP="00151324">
      <w:pPr>
        <w:widowControl/>
        <w:shd w:val="clear" w:color="auto" w:fill="FFFFFF"/>
        <w:suppressAutoHyphens w:val="0"/>
        <w:autoSpaceDN/>
        <w:spacing w:after="0" w:line="360" w:lineRule="auto"/>
        <w:jc w:val="both"/>
        <w:textAlignment w:val="auto"/>
        <w:rPr>
          <w:rFonts w:ascii="Times New Roman" w:eastAsia="Times New Roman" w:hAnsi="Times New Roman" w:cs="Times New Roman"/>
          <w:kern w:val="0"/>
          <w:sz w:val="24"/>
          <w:szCs w:val="24"/>
          <w:lang w:eastAsia="it-IT"/>
        </w:rPr>
      </w:pPr>
      <w:r w:rsidRPr="00151324">
        <w:rPr>
          <w:rFonts w:ascii="Times New Roman" w:eastAsia="Times New Roman" w:hAnsi="Times New Roman" w:cs="Times New Roman"/>
          <w:kern w:val="0"/>
          <w:sz w:val="24"/>
          <w:szCs w:val="24"/>
          <w:lang w:eastAsia="it-IT"/>
        </w:rPr>
        <w:t>Astrattamente, tuttavia, come si evince dalle statuizioni delle Corti EDU e UE e dalle conclusioni della Suprema Corte di Cassazione, esso non si pone in contrasto con la tendenziale legittimità del c.d. </w:t>
      </w:r>
      <w:r w:rsidRPr="00151324">
        <w:rPr>
          <w:rFonts w:ascii="Times New Roman" w:eastAsia="Times New Roman" w:hAnsi="Times New Roman" w:cs="Times New Roman"/>
          <w:bCs/>
          <w:kern w:val="0"/>
          <w:sz w:val="24"/>
          <w:szCs w:val="24"/>
          <w:lang w:eastAsia="it-IT"/>
        </w:rPr>
        <w:t>doppio binario sanzionatorio</w:t>
      </w:r>
      <w:r w:rsidR="00B87BBD" w:rsidRPr="00151324">
        <w:rPr>
          <w:rStyle w:val="Rimandonotaapidipagina"/>
          <w:rFonts w:ascii="Times New Roman" w:eastAsia="Times New Roman" w:hAnsi="Times New Roman" w:cs="Times New Roman"/>
          <w:bCs/>
          <w:kern w:val="0"/>
          <w:sz w:val="24"/>
          <w:szCs w:val="24"/>
          <w:lang w:eastAsia="it-IT"/>
        </w:rPr>
        <w:footnoteReference w:id="45"/>
      </w:r>
      <w:r w:rsidRPr="00151324">
        <w:rPr>
          <w:rFonts w:ascii="Times New Roman" w:eastAsia="Times New Roman" w:hAnsi="Times New Roman" w:cs="Times New Roman"/>
          <w:kern w:val="0"/>
          <w:sz w:val="24"/>
          <w:szCs w:val="24"/>
          <w:lang w:eastAsia="it-IT"/>
        </w:rPr>
        <w:t>.</w:t>
      </w:r>
      <w:r w:rsidR="001E4361" w:rsidRPr="00151324">
        <w:rPr>
          <w:rFonts w:ascii="Times New Roman" w:hAnsi="Times New Roman" w:cs="Times New Roman"/>
          <w:sz w:val="24"/>
          <w:szCs w:val="24"/>
          <w:shd w:val="clear" w:color="auto" w:fill="FFFFFF"/>
        </w:rPr>
        <w:t xml:space="preserve"> Una recente pronuncia dei giudici di legittimità aveva già tentato di mitigare la portata di tale ricostruzione, basata sulla sostanziale possibilità di duplicare i regimi sanzionatori. Si è dunque affermato che ai fini del divieto di </w:t>
      </w:r>
      <w:r w:rsidR="001E4361" w:rsidRPr="00151324">
        <w:rPr>
          <w:rStyle w:val="Enfasicorsivo"/>
          <w:rFonts w:ascii="Times New Roman" w:hAnsi="Times New Roman" w:cs="Times New Roman"/>
          <w:sz w:val="24"/>
          <w:szCs w:val="24"/>
          <w:bdr w:val="none" w:sz="0" w:space="0" w:color="auto" w:frame="1"/>
          <w:shd w:val="clear" w:color="auto" w:fill="FFFFFF"/>
        </w:rPr>
        <w:t>bis in idem</w:t>
      </w:r>
      <w:r w:rsidR="001E4361" w:rsidRPr="00151324">
        <w:rPr>
          <w:rFonts w:ascii="Times New Roman" w:hAnsi="Times New Roman" w:cs="Times New Roman"/>
          <w:sz w:val="24"/>
          <w:szCs w:val="24"/>
          <w:shd w:val="clear" w:color="auto" w:fill="FFFFFF"/>
        </w:rPr>
        <w:t xml:space="preserve"> di cui all’art. 4, §1, Protocollo n. 7 alla Convenzione EDU, la natura (sostanzialmente) penale della sanzione qualificata come amministrativa dall’ordinamento interno deve essere valutata applicando i cd. “</w:t>
      </w:r>
      <w:r w:rsidR="001E4361" w:rsidRPr="00151324">
        <w:rPr>
          <w:rStyle w:val="Enfasicorsivo"/>
          <w:rFonts w:ascii="Times New Roman" w:hAnsi="Times New Roman" w:cs="Times New Roman"/>
          <w:sz w:val="24"/>
          <w:szCs w:val="24"/>
          <w:bdr w:val="none" w:sz="0" w:space="0" w:color="auto" w:frame="1"/>
          <w:shd w:val="clear" w:color="auto" w:fill="FFFFFF"/>
        </w:rPr>
        <w:t xml:space="preserve">Engel </w:t>
      </w:r>
      <w:proofErr w:type="spellStart"/>
      <w:r w:rsidR="001E4361" w:rsidRPr="00151324">
        <w:rPr>
          <w:rStyle w:val="Enfasicorsivo"/>
          <w:rFonts w:ascii="Times New Roman" w:hAnsi="Times New Roman" w:cs="Times New Roman"/>
          <w:sz w:val="24"/>
          <w:szCs w:val="24"/>
          <w:bdr w:val="none" w:sz="0" w:space="0" w:color="auto" w:frame="1"/>
          <w:shd w:val="clear" w:color="auto" w:fill="FFFFFF"/>
        </w:rPr>
        <w:t>criteria</w:t>
      </w:r>
      <w:proofErr w:type="spellEnd"/>
      <w:r w:rsidR="001E4361" w:rsidRPr="00151324">
        <w:rPr>
          <w:rFonts w:ascii="Times New Roman" w:hAnsi="Times New Roman" w:cs="Times New Roman"/>
          <w:sz w:val="24"/>
          <w:szCs w:val="24"/>
          <w:shd w:val="clear" w:color="auto" w:fill="FFFFFF"/>
        </w:rPr>
        <w:t>”, ma la violazione non sussiste nei casi di litispendenza, quando cioè una medesima persona sia perseguita o sottoposta contemporaneamente a più procedimenti per il medesimo fatto storico e per l’applicazione di sanzioni formalmente o sostanzialmente penali, oppure quando tra i procedimenti vi sia una stretta connessione sostanziale e procedurale. In tali casi deve essere garantito un meccanismo di compensazione che consenta di tener conto, in sede di irrogazione della seconda sanzione, degli effetti della prima così da evitare che la sanzione complessivamente irrogata sia sproporzionata. Ne consegue che in caso di sanzione (formalmente amministrativa ma) sostanzialmente penale ai sensi della Convenzione EDU, irrevocabilmente applicata all’imputato successivamente condannato in sede penale per il medesimo fatto storico, il giudice deve commisurare la pena tenendo conto di quella già irrogata, utilizzando, a tal fine, il criterio di ragguaglio previsto dall’art. 135 c.p., applicando, se del caso, le circostanze attenuanti generiche e valutando le condizioni economiche del reo. Il meccanismo di compensazione non si applica se la sanzione amministrativa è stata precedentemente pagata da persona diversa dal reo</w:t>
      </w:r>
      <w:r w:rsidR="001E4361" w:rsidRPr="00151324">
        <w:rPr>
          <w:rStyle w:val="Rimandonotaapidipagina"/>
          <w:rFonts w:ascii="Times New Roman" w:hAnsi="Times New Roman" w:cs="Times New Roman"/>
          <w:sz w:val="24"/>
          <w:szCs w:val="24"/>
          <w:shd w:val="clear" w:color="auto" w:fill="FFFFFF"/>
        </w:rPr>
        <w:footnoteReference w:id="46"/>
      </w:r>
      <w:r w:rsidR="001E4361" w:rsidRPr="00151324">
        <w:rPr>
          <w:rFonts w:ascii="Times New Roman" w:hAnsi="Times New Roman" w:cs="Times New Roman"/>
          <w:sz w:val="24"/>
          <w:szCs w:val="24"/>
          <w:shd w:val="clear" w:color="auto" w:fill="FFFFFF"/>
        </w:rPr>
        <w:t>.</w:t>
      </w:r>
    </w:p>
    <w:p w14:paraId="04893FBE" w14:textId="7D5D275B" w:rsidR="00997988" w:rsidRPr="00151324" w:rsidRDefault="001E4361" w:rsidP="00151324">
      <w:pPr>
        <w:pStyle w:val="NormaleWeb"/>
        <w:shd w:val="clear" w:color="auto" w:fill="FFFFFF"/>
        <w:spacing w:line="360" w:lineRule="auto"/>
        <w:jc w:val="both"/>
        <w:rPr>
          <w:color w:val="auto"/>
          <w:kern w:val="0"/>
          <w:sz w:val="24"/>
          <w:szCs w:val="24"/>
        </w:rPr>
      </w:pPr>
      <w:r w:rsidRPr="00151324">
        <w:rPr>
          <w:color w:val="auto"/>
          <w:kern w:val="0"/>
          <w:sz w:val="24"/>
          <w:szCs w:val="24"/>
        </w:rPr>
        <w:t>La</w:t>
      </w:r>
      <w:r w:rsidR="00997988" w:rsidRPr="00151324">
        <w:rPr>
          <w:color w:val="auto"/>
          <w:kern w:val="0"/>
          <w:sz w:val="24"/>
          <w:szCs w:val="24"/>
        </w:rPr>
        <w:t xml:space="preserve"> </w:t>
      </w:r>
      <w:r w:rsidR="00DF1B74" w:rsidRPr="00151324">
        <w:rPr>
          <w:color w:val="auto"/>
          <w:kern w:val="0"/>
          <w:sz w:val="24"/>
          <w:szCs w:val="24"/>
        </w:rPr>
        <w:t xml:space="preserve">Corte costituzionale </w:t>
      </w:r>
      <w:r w:rsidRPr="00151324">
        <w:rPr>
          <w:color w:val="auto"/>
          <w:kern w:val="0"/>
          <w:sz w:val="24"/>
          <w:szCs w:val="24"/>
        </w:rPr>
        <w:t xml:space="preserve">tuttavia si è spinta assai più avanti con la sentenza </w:t>
      </w:r>
      <w:r w:rsidR="00997988" w:rsidRPr="00151324">
        <w:rPr>
          <w:color w:val="auto"/>
          <w:kern w:val="0"/>
          <w:sz w:val="24"/>
          <w:szCs w:val="24"/>
        </w:rPr>
        <w:t>n. 149 del 10 maggio 2022</w:t>
      </w:r>
      <w:r w:rsidRPr="00151324">
        <w:rPr>
          <w:color w:val="auto"/>
          <w:kern w:val="0"/>
          <w:sz w:val="24"/>
          <w:szCs w:val="24"/>
        </w:rPr>
        <w:t>, i cui effetti sul piano pratico nell’ambito del diritto punitivo sono ancora da scrutinare. I giudici della Consulta hanno dichiarato la</w:t>
      </w:r>
      <w:r w:rsidR="00DF1B74" w:rsidRPr="00151324">
        <w:rPr>
          <w:color w:val="auto"/>
          <w:kern w:val="0"/>
          <w:sz w:val="24"/>
          <w:szCs w:val="24"/>
        </w:rPr>
        <w:t xml:space="preserve"> illegittimità</w:t>
      </w:r>
      <w:r w:rsidR="00DF1B74" w:rsidRPr="00151324">
        <w:rPr>
          <w:color w:val="auto"/>
          <w:spacing w:val="-3"/>
          <w:sz w:val="24"/>
          <w:szCs w:val="24"/>
        </w:rPr>
        <w:t xml:space="preserve"> costituzionale </w:t>
      </w:r>
      <w:r w:rsidR="00997988" w:rsidRPr="00151324">
        <w:rPr>
          <w:color w:val="auto"/>
          <w:spacing w:val="-3"/>
          <w:sz w:val="24"/>
          <w:szCs w:val="24"/>
        </w:rPr>
        <w:t xml:space="preserve">proprio </w:t>
      </w:r>
      <w:r w:rsidR="00DF1B74" w:rsidRPr="00151324">
        <w:rPr>
          <w:color w:val="auto"/>
          <w:spacing w:val="-3"/>
          <w:sz w:val="24"/>
          <w:szCs w:val="24"/>
        </w:rPr>
        <w:t>dell</w:t>
      </w:r>
      <w:r w:rsidR="00997988" w:rsidRPr="00151324">
        <w:rPr>
          <w:color w:val="auto"/>
          <w:spacing w:val="-3"/>
          <w:sz w:val="24"/>
          <w:szCs w:val="24"/>
        </w:rPr>
        <w:t>’</w:t>
      </w:r>
      <w:r w:rsidR="00DF1B74" w:rsidRPr="00151324">
        <w:rPr>
          <w:color w:val="auto"/>
          <w:spacing w:val="-3"/>
          <w:sz w:val="24"/>
          <w:szCs w:val="24"/>
        </w:rPr>
        <w:t>art. 649 del codice di procedura penale, nella parte in cui non prevede l</w:t>
      </w:r>
      <w:r w:rsidR="00997988" w:rsidRPr="00151324">
        <w:rPr>
          <w:color w:val="auto"/>
          <w:spacing w:val="-3"/>
          <w:sz w:val="24"/>
          <w:szCs w:val="24"/>
        </w:rPr>
        <w:t>’</w:t>
      </w:r>
      <w:r w:rsidR="00DF1B74" w:rsidRPr="00151324">
        <w:rPr>
          <w:color w:val="auto"/>
          <w:spacing w:val="-3"/>
          <w:sz w:val="24"/>
          <w:szCs w:val="24"/>
        </w:rPr>
        <w:t>applicabilità della disciplina del divieto di un secondo giudizio nei confronti dell</w:t>
      </w:r>
      <w:r w:rsidR="00997988" w:rsidRPr="00151324">
        <w:rPr>
          <w:color w:val="auto"/>
          <w:spacing w:val="-3"/>
          <w:sz w:val="24"/>
          <w:szCs w:val="24"/>
        </w:rPr>
        <w:t>’</w:t>
      </w:r>
      <w:r w:rsidR="00DF1B74" w:rsidRPr="00151324">
        <w:rPr>
          <w:color w:val="auto"/>
          <w:spacing w:val="-3"/>
          <w:sz w:val="24"/>
          <w:szCs w:val="24"/>
        </w:rPr>
        <w:t>imputato, al quale, con riguardo agli stessi fatti, sia già stata irrogata in via definitiva, nell</w:t>
      </w:r>
      <w:r w:rsidR="00997988" w:rsidRPr="00151324">
        <w:rPr>
          <w:color w:val="auto"/>
          <w:spacing w:val="-3"/>
          <w:sz w:val="24"/>
          <w:szCs w:val="24"/>
        </w:rPr>
        <w:t>’</w:t>
      </w:r>
      <w:r w:rsidR="00DF1B74" w:rsidRPr="00151324">
        <w:rPr>
          <w:color w:val="auto"/>
          <w:spacing w:val="-3"/>
          <w:sz w:val="24"/>
          <w:szCs w:val="24"/>
        </w:rPr>
        <w:t>ambito di un procedimento amministrativo non legato a quello penale da un legame materiale e temporale sufficientemente stretto, una sanzione avente carattere sostanzialmente penale ai sensi della Convenzione europea dei diritti dell'uomo e dei relativi protocolli, in riferimento all</w:t>
      </w:r>
      <w:r w:rsidRPr="00151324">
        <w:rPr>
          <w:color w:val="auto"/>
          <w:spacing w:val="-3"/>
          <w:sz w:val="24"/>
          <w:szCs w:val="24"/>
        </w:rPr>
        <w:t>’</w:t>
      </w:r>
      <w:r w:rsidR="00DF1B74" w:rsidRPr="00151324">
        <w:rPr>
          <w:color w:val="auto"/>
          <w:spacing w:val="-3"/>
          <w:sz w:val="24"/>
          <w:szCs w:val="24"/>
        </w:rPr>
        <w:t>art. 117, primo comma, della Costituzione, in relazione all</w:t>
      </w:r>
      <w:r w:rsidR="00997988" w:rsidRPr="00151324">
        <w:rPr>
          <w:color w:val="auto"/>
          <w:spacing w:val="-3"/>
          <w:sz w:val="24"/>
          <w:szCs w:val="24"/>
        </w:rPr>
        <w:t>’</w:t>
      </w:r>
      <w:r w:rsidR="00DF1B74" w:rsidRPr="00151324">
        <w:rPr>
          <w:color w:val="auto"/>
          <w:spacing w:val="-3"/>
          <w:sz w:val="24"/>
          <w:szCs w:val="24"/>
        </w:rPr>
        <w:t>art. 4 del Protocollo n. 7 alla Convenzione europea dei diritti dell'uomo (CEDU)</w:t>
      </w:r>
      <w:r w:rsidR="00997988" w:rsidRPr="00151324">
        <w:rPr>
          <w:color w:val="auto"/>
          <w:spacing w:val="-3"/>
          <w:sz w:val="24"/>
          <w:szCs w:val="24"/>
        </w:rPr>
        <w:t>, apporta nuova linfa propulsiva alla tematica di riferimento</w:t>
      </w:r>
      <w:r w:rsidR="00CB305F" w:rsidRPr="00151324">
        <w:rPr>
          <w:color w:val="auto"/>
          <w:spacing w:val="-3"/>
          <w:sz w:val="24"/>
          <w:szCs w:val="24"/>
        </w:rPr>
        <w:t xml:space="preserve">. </w:t>
      </w:r>
      <w:r w:rsidR="0025370C" w:rsidRPr="00151324">
        <w:rPr>
          <w:color w:val="auto"/>
          <w:sz w:val="24"/>
          <w:szCs w:val="24"/>
          <w:shd w:val="clear" w:color="auto" w:fill="FFFFFF"/>
        </w:rPr>
        <w:t xml:space="preserve">Nel caso di specie </w:t>
      </w:r>
      <w:r w:rsidR="00CB305F" w:rsidRPr="00151324">
        <w:rPr>
          <w:color w:val="auto"/>
          <w:sz w:val="24"/>
          <w:szCs w:val="24"/>
          <w:shd w:val="clear" w:color="auto" w:fill="FFFFFF"/>
        </w:rPr>
        <w:t xml:space="preserve">la Corte </w:t>
      </w:r>
      <w:r w:rsidR="00997988" w:rsidRPr="00151324">
        <w:rPr>
          <w:color w:val="auto"/>
          <w:sz w:val="24"/>
          <w:szCs w:val="24"/>
          <w:shd w:val="clear" w:color="auto" w:fill="FFFFFF"/>
        </w:rPr>
        <w:t>ha censurato la n</w:t>
      </w:r>
      <w:r w:rsidR="00CB305F" w:rsidRPr="00151324">
        <w:rPr>
          <w:color w:val="auto"/>
          <w:sz w:val="24"/>
          <w:szCs w:val="24"/>
          <w:shd w:val="clear" w:color="auto" w:fill="FFFFFF"/>
        </w:rPr>
        <w:t xml:space="preserve">orma </w:t>
      </w:r>
      <w:r w:rsidR="00997988" w:rsidRPr="00151324">
        <w:rPr>
          <w:color w:val="auto"/>
          <w:sz w:val="24"/>
          <w:szCs w:val="24"/>
          <w:shd w:val="clear" w:color="auto" w:fill="FFFFFF"/>
        </w:rPr>
        <w:t xml:space="preserve">in quanto non impone al </w:t>
      </w:r>
      <w:r w:rsidR="00CB305F" w:rsidRPr="00151324">
        <w:rPr>
          <w:color w:val="auto"/>
          <w:sz w:val="24"/>
          <w:szCs w:val="24"/>
          <w:shd w:val="clear" w:color="auto" w:fill="FFFFFF"/>
        </w:rPr>
        <w:t xml:space="preserve">giudice </w:t>
      </w:r>
      <w:r w:rsidR="00997988" w:rsidRPr="00151324">
        <w:rPr>
          <w:color w:val="auto"/>
          <w:sz w:val="24"/>
          <w:szCs w:val="24"/>
          <w:shd w:val="clear" w:color="auto" w:fill="FFFFFF"/>
        </w:rPr>
        <w:t xml:space="preserve">di </w:t>
      </w:r>
      <w:r w:rsidR="00CB305F" w:rsidRPr="00151324">
        <w:rPr>
          <w:color w:val="auto"/>
          <w:sz w:val="24"/>
          <w:szCs w:val="24"/>
          <w:shd w:val="clear" w:color="auto" w:fill="FFFFFF"/>
        </w:rPr>
        <w:t>pronunci</w:t>
      </w:r>
      <w:r w:rsidR="00997988" w:rsidRPr="00151324">
        <w:rPr>
          <w:color w:val="auto"/>
          <w:sz w:val="24"/>
          <w:szCs w:val="24"/>
          <w:shd w:val="clear" w:color="auto" w:fill="FFFFFF"/>
        </w:rPr>
        <w:t>are una</w:t>
      </w:r>
      <w:r w:rsidR="00CB305F" w:rsidRPr="00151324">
        <w:rPr>
          <w:color w:val="auto"/>
          <w:sz w:val="24"/>
          <w:szCs w:val="24"/>
          <w:shd w:val="clear" w:color="auto" w:fill="FFFFFF"/>
        </w:rPr>
        <w:t xml:space="preserve"> sentenza di proscioglimento o di non luogo a procedere nei confronti di un imputato per uno dei delitti previsto dall’art. 171</w:t>
      </w:r>
      <w:r w:rsidR="00997988" w:rsidRPr="00151324">
        <w:rPr>
          <w:color w:val="auto"/>
          <w:sz w:val="24"/>
          <w:szCs w:val="24"/>
          <w:shd w:val="clear" w:color="auto" w:fill="FFFFFF"/>
        </w:rPr>
        <w:t>-</w:t>
      </w:r>
      <w:r w:rsidR="00CB305F" w:rsidRPr="00151324">
        <w:rPr>
          <w:i/>
          <w:color w:val="auto"/>
          <w:sz w:val="24"/>
          <w:szCs w:val="24"/>
          <w:shd w:val="clear" w:color="auto" w:fill="FFFFFF"/>
        </w:rPr>
        <w:t xml:space="preserve">ter </w:t>
      </w:r>
      <w:r w:rsidR="00997988" w:rsidRPr="00151324">
        <w:rPr>
          <w:color w:val="auto"/>
          <w:sz w:val="24"/>
          <w:szCs w:val="24"/>
          <w:shd w:val="clear" w:color="auto" w:fill="FFFFFF"/>
        </w:rPr>
        <w:t xml:space="preserve">della l. n. </w:t>
      </w:r>
      <w:r w:rsidR="00CB305F" w:rsidRPr="00151324">
        <w:rPr>
          <w:color w:val="auto"/>
          <w:sz w:val="24"/>
          <w:szCs w:val="24"/>
          <w:shd w:val="clear" w:color="auto" w:fill="FFFFFF"/>
        </w:rPr>
        <w:t>633</w:t>
      </w:r>
      <w:r w:rsidR="00997988" w:rsidRPr="00151324">
        <w:rPr>
          <w:color w:val="auto"/>
          <w:sz w:val="24"/>
          <w:szCs w:val="24"/>
          <w:shd w:val="clear" w:color="auto" w:fill="FFFFFF"/>
        </w:rPr>
        <w:t xml:space="preserve"> del 1941, sulla tutela del diritto d’autore, il</w:t>
      </w:r>
      <w:r w:rsidR="00CB305F" w:rsidRPr="00151324">
        <w:rPr>
          <w:color w:val="auto"/>
          <w:sz w:val="24"/>
          <w:szCs w:val="24"/>
          <w:shd w:val="clear" w:color="auto" w:fill="FFFFFF"/>
        </w:rPr>
        <w:t xml:space="preserve"> quale, in relazione al medesimo fatto, sia già stato sottoposto a procedimento, definitivamente conclusosi, per l’illecito amministrativo di cui all’art. 174</w:t>
      </w:r>
      <w:r w:rsidR="00997988" w:rsidRPr="00151324">
        <w:rPr>
          <w:color w:val="auto"/>
          <w:sz w:val="24"/>
          <w:szCs w:val="24"/>
          <w:shd w:val="clear" w:color="auto" w:fill="FFFFFF"/>
        </w:rPr>
        <w:t>-</w:t>
      </w:r>
      <w:r w:rsidR="00CB305F" w:rsidRPr="00151324">
        <w:rPr>
          <w:i/>
          <w:color w:val="auto"/>
          <w:sz w:val="24"/>
          <w:szCs w:val="24"/>
          <w:shd w:val="clear" w:color="auto" w:fill="FFFFFF"/>
        </w:rPr>
        <w:t>bis</w:t>
      </w:r>
      <w:r w:rsidR="00CB305F" w:rsidRPr="00151324">
        <w:rPr>
          <w:color w:val="auto"/>
          <w:sz w:val="24"/>
          <w:szCs w:val="24"/>
          <w:shd w:val="clear" w:color="auto" w:fill="FFFFFF"/>
        </w:rPr>
        <w:t xml:space="preserve"> della </w:t>
      </w:r>
      <w:r w:rsidR="00997988" w:rsidRPr="00151324">
        <w:rPr>
          <w:color w:val="auto"/>
          <w:sz w:val="24"/>
          <w:szCs w:val="24"/>
          <w:shd w:val="clear" w:color="auto" w:fill="FFFFFF"/>
        </w:rPr>
        <w:t xml:space="preserve">legge medesima. Ciò si pone infatti in contrasto con la </w:t>
      </w:r>
      <w:r w:rsidR="00CB305F" w:rsidRPr="00151324">
        <w:rPr>
          <w:i/>
          <w:color w:val="auto"/>
          <w:spacing w:val="-3"/>
          <w:sz w:val="24"/>
          <w:szCs w:val="24"/>
        </w:rPr>
        <w:t>ratio</w:t>
      </w:r>
      <w:r w:rsidR="00CB305F" w:rsidRPr="00151324">
        <w:rPr>
          <w:color w:val="auto"/>
          <w:spacing w:val="-3"/>
          <w:sz w:val="24"/>
          <w:szCs w:val="24"/>
        </w:rPr>
        <w:t xml:space="preserve"> del principio</w:t>
      </w:r>
      <w:r w:rsidR="00997988" w:rsidRPr="00151324">
        <w:rPr>
          <w:color w:val="auto"/>
          <w:spacing w:val="-3"/>
          <w:sz w:val="24"/>
          <w:szCs w:val="24"/>
        </w:rPr>
        <w:t xml:space="preserve"> del</w:t>
      </w:r>
      <w:r w:rsidR="00997988" w:rsidRPr="00151324">
        <w:rPr>
          <w:i/>
          <w:iCs/>
          <w:color w:val="auto"/>
          <w:kern w:val="0"/>
          <w:sz w:val="24"/>
          <w:szCs w:val="24"/>
          <w:bdr w:val="none" w:sz="0" w:space="0" w:color="auto" w:frame="1"/>
        </w:rPr>
        <w:t xml:space="preserve"> </w:t>
      </w:r>
      <w:r w:rsidR="00CB305F" w:rsidRPr="00151324">
        <w:rPr>
          <w:i/>
          <w:iCs/>
          <w:color w:val="auto"/>
          <w:kern w:val="0"/>
          <w:sz w:val="24"/>
          <w:szCs w:val="24"/>
          <w:bdr w:val="none" w:sz="0" w:space="0" w:color="auto" w:frame="1"/>
        </w:rPr>
        <w:t xml:space="preserve">ne bis in idem, </w:t>
      </w:r>
      <w:r w:rsidR="00CB305F" w:rsidRPr="00151324">
        <w:rPr>
          <w:iCs/>
          <w:color w:val="auto"/>
          <w:kern w:val="0"/>
          <w:sz w:val="24"/>
          <w:szCs w:val="24"/>
          <w:bdr w:val="none" w:sz="0" w:space="0" w:color="auto" w:frame="1"/>
        </w:rPr>
        <w:t>ovvero</w:t>
      </w:r>
      <w:r w:rsidR="00CB305F" w:rsidRPr="00151324">
        <w:rPr>
          <w:i/>
          <w:iCs/>
          <w:color w:val="auto"/>
          <w:kern w:val="0"/>
          <w:sz w:val="24"/>
          <w:szCs w:val="24"/>
          <w:bdr w:val="none" w:sz="0" w:space="0" w:color="auto" w:frame="1"/>
        </w:rPr>
        <w:t xml:space="preserve"> «</w:t>
      </w:r>
      <w:r w:rsidR="00CB305F" w:rsidRPr="00151324">
        <w:rPr>
          <w:i/>
          <w:color w:val="auto"/>
          <w:kern w:val="0"/>
          <w:sz w:val="24"/>
          <w:szCs w:val="24"/>
        </w:rPr>
        <w:t>quella di evitare che un soggetto sia sottoposto ad un’ulteriore sofferenza nonché a costi economici, ovvero a quelle che sono le conseguenze naturali di un nuovo processo a fronte di fatti per i quali esso sia già stato giudicato.  Sono presupposti per la configurazione del </w:t>
      </w:r>
      <w:r w:rsidR="00CB305F" w:rsidRPr="00151324">
        <w:rPr>
          <w:i/>
          <w:iCs/>
          <w:color w:val="auto"/>
          <w:kern w:val="0"/>
          <w:sz w:val="24"/>
          <w:szCs w:val="24"/>
          <w:bdr w:val="none" w:sz="0" w:space="0" w:color="auto" w:frame="1"/>
        </w:rPr>
        <w:t>ne bis in idem</w:t>
      </w:r>
      <w:r w:rsidR="00CB305F" w:rsidRPr="00151324">
        <w:rPr>
          <w:i/>
          <w:color w:val="auto"/>
          <w:kern w:val="0"/>
          <w:sz w:val="24"/>
          <w:szCs w:val="24"/>
        </w:rPr>
        <w:t>: la sussistenza di un medesimo fatto, la sussistenza di una previa decisione (che concerna il merito della responsabilità penale dell’imputato e che sia divenuta irrevocabile) nonché la sussistenza di un secondo procedimento o processo di carattere penale per quei medesimi fatti</w:t>
      </w:r>
      <w:r w:rsidR="00CB305F" w:rsidRPr="00151324">
        <w:rPr>
          <w:color w:val="auto"/>
          <w:kern w:val="0"/>
          <w:sz w:val="24"/>
          <w:szCs w:val="24"/>
        </w:rPr>
        <w:t>».</w:t>
      </w:r>
      <w:r w:rsidR="00997988" w:rsidRPr="00151324">
        <w:rPr>
          <w:color w:val="auto"/>
          <w:kern w:val="0"/>
          <w:sz w:val="24"/>
          <w:szCs w:val="24"/>
        </w:rPr>
        <w:t xml:space="preserve"> Laddove tuttavia la nozione di sanzione “penale” attinge largamente all’elaborazione europea, piuttosto che alla codifica di diritto positivo nazionale. </w:t>
      </w:r>
    </w:p>
    <w:p w14:paraId="205F1220" w14:textId="77777777" w:rsidR="00CB305F" w:rsidRPr="00151324" w:rsidRDefault="00CB305F" w:rsidP="00151324">
      <w:pPr>
        <w:pStyle w:val="NormaleWeb"/>
        <w:shd w:val="clear" w:color="auto" w:fill="FFFFFF"/>
        <w:spacing w:line="360" w:lineRule="auto"/>
        <w:jc w:val="both"/>
        <w:rPr>
          <w:color w:val="auto"/>
          <w:sz w:val="24"/>
          <w:szCs w:val="24"/>
          <w:shd w:val="clear" w:color="auto" w:fill="FFFFFF"/>
        </w:rPr>
      </w:pPr>
      <w:r w:rsidRPr="00151324">
        <w:rPr>
          <w:color w:val="auto"/>
          <w:kern w:val="0"/>
          <w:sz w:val="24"/>
          <w:szCs w:val="24"/>
        </w:rPr>
        <w:t xml:space="preserve">La Corte </w:t>
      </w:r>
      <w:r w:rsidR="00997988" w:rsidRPr="00151324">
        <w:rPr>
          <w:color w:val="auto"/>
          <w:kern w:val="0"/>
          <w:sz w:val="24"/>
          <w:szCs w:val="24"/>
        </w:rPr>
        <w:t xml:space="preserve">conclude affermando la propria </w:t>
      </w:r>
      <w:r w:rsidRPr="00151324">
        <w:rPr>
          <w:color w:val="auto"/>
          <w:kern w:val="0"/>
          <w:sz w:val="24"/>
          <w:szCs w:val="24"/>
        </w:rPr>
        <w:t>consapevole</w:t>
      </w:r>
      <w:r w:rsidR="00997988" w:rsidRPr="00151324">
        <w:rPr>
          <w:color w:val="auto"/>
          <w:kern w:val="0"/>
          <w:sz w:val="24"/>
          <w:szCs w:val="24"/>
        </w:rPr>
        <w:t>zza</w:t>
      </w:r>
      <w:r w:rsidRPr="00151324">
        <w:rPr>
          <w:color w:val="auto"/>
          <w:kern w:val="0"/>
          <w:sz w:val="24"/>
          <w:szCs w:val="24"/>
        </w:rPr>
        <w:t xml:space="preserve"> dell’insufficienza della declaratoria di illegittimità costituzionale della norma </w:t>
      </w:r>
      <w:r w:rsidRPr="00151324">
        <w:rPr>
          <w:i/>
          <w:color w:val="auto"/>
          <w:kern w:val="0"/>
          <w:sz w:val="24"/>
          <w:szCs w:val="24"/>
        </w:rPr>
        <w:t>in parte qua</w:t>
      </w:r>
      <w:r w:rsidRPr="00151324">
        <w:rPr>
          <w:color w:val="auto"/>
          <w:kern w:val="0"/>
          <w:sz w:val="24"/>
          <w:szCs w:val="24"/>
        </w:rPr>
        <w:t xml:space="preserve">, </w:t>
      </w:r>
      <w:r w:rsidR="00C01F9F" w:rsidRPr="00151324">
        <w:rPr>
          <w:color w:val="auto"/>
          <w:kern w:val="0"/>
          <w:sz w:val="24"/>
          <w:szCs w:val="24"/>
        </w:rPr>
        <w:t xml:space="preserve">rivolgendo un monito in senso correttivo al </w:t>
      </w:r>
      <w:r w:rsidRPr="00151324">
        <w:rPr>
          <w:color w:val="auto"/>
          <w:kern w:val="0"/>
          <w:sz w:val="24"/>
          <w:szCs w:val="24"/>
        </w:rPr>
        <w:t>legislatore «</w:t>
      </w:r>
      <w:r w:rsidRPr="00151324">
        <w:rPr>
          <w:i/>
          <w:color w:val="auto"/>
          <w:sz w:val="24"/>
          <w:szCs w:val="24"/>
          <w:shd w:val="clear" w:color="auto" w:fill="FFFFFF"/>
        </w:rPr>
        <w:t>nel quadro di un’auspicabile rimeditazione complessiva dei vigenti sistemi di doppio binario sanzionatorio</w:t>
      </w:r>
      <w:r w:rsidRPr="00151324">
        <w:rPr>
          <w:color w:val="auto"/>
          <w:sz w:val="24"/>
          <w:szCs w:val="24"/>
          <w:shd w:val="clear" w:color="auto" w:fill="FFFFFF"/>
        </w:rPr>
        <w:t xml:space="preserve">». </w:t>
      </w:r>
    </w:p>
    <w:p w14:paraId="7A470EA4" w14:textId="77777777" w:rsidR="0062471C" w:rsidRPr="00151324" w:rsidRDefault="0062471C" w:rsidP="00151324">
      <w:pPr>
        <w:pStyle w:val="NormaleWeb"/>
        <w:shd w:val="clear" w:color="auto" w:fill="FFFFFF"/>
        <w:spacing w:line="360" w:lineRule="auto"/>
        <w:jc w:val="both"/>
        <w:rPr>
          <w:color w:val="auto"/>
          <w:sz w:val="24"/>
          <w:szCs w:val="24"/>
          <w:shd w:val="clear" w:color="auto" w:fill="FFFFFF"/>
        </w:rPr>
      </w:pPr>
    </w:p>
    <w:p w14:paraId="1309B28D" w14:textId="77777777" w:rsidR="0062471C" w:rsidRPr="00151324" w:rsidRDefault="00E32DDF" w:rsidP="00151324">
      <w:pPr>
        <w:pStyle w:val="NormaleWeb"/>
        <w:shd w:val="clear" w:color="auto" w:fill="FFFFFF"/>
        <w:spacing w:line="360" w:lineRule="auto"/>
        <w:jc w:val="both"/>
        <w:rPr>
          <w:color w:val="auto"/>
          <w:sz w:val="24"/>
          <w:szCs w:val="24"/>
          <w:shd w:val="clear" w:color="auto" w:fill="FFFFFF"/>
        </w:rPr>
      </w:pPr>
      <w:r w:rsidRPr="00151324">
        <w:rPr>
          <w:b/>
          <w:color w:val="auto"/>
          <w:sz w:val="24"/>
          <w:szCs w:val="24"/>
          <w:shd w:val="clear" w:color="auto" w:fill="FFFFFF"/>
        </w:rPr>
        <w:t>CONCLUSIONI</w:t>
      </w:r>
      <w:r w:rsidR="0062471C" w:rsidRPr="00151324">
        <w:rPr>
          <w:color w:val="auto"/>
          <w:sz w:val="24"/>
          <w:szCs w:val="24"/>
          <w:shd w:val="clear" w:color="auto" w:fill="FFFFFF"/>
        </w:rPr>
        <w:t>.</w:t>
      </w:r>
    </w:p>
    <w:p w14:paraId="76138032" w14:textId="77777777" w:rsidR="0062471C" w:rsidRPr="00151324" w:rsidRDefault="0062471C" w:rsidP="00151324">
      <w:pPr>
        <w:pStyle w:val="NormaleWeb"/>
        <w:shd w:val="clear" w:color="auto" w:fill="FFFFFF"/>
        <w:spacing w:line="360" w:lineRule="auto"/>
        <w:jc w:val="both"/>
        <w:rPr>
          <w:color w:val="auto"/>
          <w:sz w:val="24"/>
          <w:szCs w:val="24"/>
          <w:shd w:val="clear" w:color="auto" w:fill="FFFFFF"/>
        </w:rPr>
      </w:pPr>
    </w:p>
    <w:p w14:paraId="6529E81C" w14:textId="33498D3C" w:rsidR="00C44BC3" w:rsidRPr="00151324" w:rsidRDefault="00C44BC3" w:rsidP="00151324">
      <w:pPr>
        <w:pStyle w:val="NormaleWeb"/>
        <w:shd w:val="clear" w:color="auto" w:fill="FFFFFF"/>
        <w:spacing w:line="360" w:lineRule="auto"/>
        <w:jc w:val="both"/>
        <w:rPr>
          <w:color w:val="auto"/>
          <w:sz w:val="24"/>
          <w:szCs w:val="24"/>
        </w:rPr>
      </w:pPr>
      <w:r w:rsidRPr="00151324">
        <w:rPr>
          <w:color w:val="auto"/>
          <w:sz w:val="24"/>
          <w:szCs w:val="24"/>
        </w:rPr>
        <w:t>La necessità di realizzare in Italia una radicale semplificazione normativa, accompagnata da quella amministrativa, viene unanimemente indicata dagli analisti, da rapporti internazionali e nazionali, nonché dalle forze politiche e dai settori produttivi, come un elemento essenziale per il rilancio del Paese. E ciò</w:t>
      </w:r>
      <w:r w:rsidR="00D24239" w:rsidRPr="00151324">
        <w:rPr>
          <w:color w:val="auto"/>
          <w:sz w:val="24"/>
          <w:szCs w:val="24"/>
        </w:rPr>
        <w:t>,</w:t>
      </w:r>
      <w:r w:rsidRPr="00151324">
        <w:rPr>
          <w:color w:val="auto"/>
          <w:sz w:val="24"/>
          <w:szCs w:val="24"/>
        </w:rPr>
        <w:t xml:space="preserve"> sia in termini di competitività delle imprese, sia in termini di qualità della vita dei cittadini, favorendo l’accesso ai servizi e la tutela dei diritti. L’efficienza e la competitività del sistema produttivo, la crescita economica e la stessa qualità della vita risentono della qualità della regolazione, non meno che della semplificazione amministrativa: la deflazione normativa, la migliore e più coerente produzione e manutenzione delle regole scongiurano infatti il rischio di un’incertezza del diritto che alligna nell’eccesso di norme, soprattutto se confuse e contraddittorie, la quale può condurre alla negazione del diritto stesso e a porre le premesse per comportamenti illegali. </w:t>
      </w:r>
    </w:p>
    <w:p w14:paraId="13BA7462" w14:textId="77777777" w:rsidR="00C01F9F" w:rsidRPr="00151324" w:rsidRDefault="00C01F9F" w:rsidP="00151324">
      <w:pPr>
        <w:pStyle w:val="NormaleWeb"/>
        <w:shd w:val="clear" w:color="auto" w:fill="FFFFFF"/>
        <w:spacing w:line="360" w:lineRule="auto"/>
        <w:jc w:val="both"/>
        <w:rPr>
          <w:color w:val="auto"/>
          <w:sz w:val="24"/>
          <w:szCs w:val="24"/>
        </w:rPr>
      </w:pPr>
      <w:r w:rsidRPr="00151324">
        <w:rPr>
          <w:color w:val="auto"/>
          <w:sz w:val="24"/>
          <w:szCs w:val="24"/>
        </w:rPr>
        <w:t xml:space="preserve">Quanto detto, tuttavia, come vale necessariamente nella fase di avvio delle attività economiche, non può non valere anche con riferimento alla eventuale patologia del relativo esercizio, sì da rendere la sanzione afflittiva in maniera commisurata al comportamento tenuto, e comunque non radicalmente ostativa, per reiterazione e non per intensità, alla loro prosecuzione.  </w:t>
      </w:r>
    </w:p>
    <w:p w14:paraId="730F90E4" w14:textId="3402C049" w:rsidR="005C7666" w:rsidRPr="00151324" w:rsidRDefault="005C7666" w:rsidP="00151324">
      <w:pPr>
        <w:pStyle w:val="NormaleWeb"/>
        <w:shd w:val="clear" w:color="auto" w:fill="FFFFFF"/>
        <w:spacing w:line="360" w:lineRule="auto"/>
        <w:jc w:val="both"/>
        <w:rPr>
          <w:color w:val="auto"/>
          <w:sz w:val="24"/>
          <w:szCs w:val="24"/>
          <w:shd w:val="clear" w:color="auto" w:fill="FFFFFF"/>
        </w:rPr>
      </w:pPr>
      <w:r w:rsidRPr="00151324">
        <w:rPr>
          <w:color w:val="auto"/>
          <w:sz w:val="24"/>
          <w:szCs w:val="24"/>
        </w:rPr>
        <w:t>L’</w:t>
      </w:r>
      <w:r w:rsidR="00C01F9F" w:rsidRPr="00151324">
        <w:rPr>
          <w:color w:val="auto"/>
          <w:sz w:val="24"/>
          <w:szCs w:val="24"/>
        </w:rPr>
        <w:t xml:space="preserve">interprete </w:t>
      </w:r>
      <w:r w:rsidRPr="00151324">
        <w:rPr>
          <w:color w:val="auto"/>
          <w:sz w:val="24"/>
          <w:szCs w:val="24"/>
        </w:rPr>
        <w:t xml:space="preserve">dunque, nel </w:t>
      </w:r>
      <w:r w:rsidR="00C01F9F" w:rsidRPr="00151324">
        <w:rPr>
          <w:color w:val="auto"/>
          <w:sz w:val="24"/>
          <w:szCs w:val="24"/>
        </w:rPr>
        <w:t xml:space="preserve">dipanare la intricata matassa di norme, nazionali e locali mal coordinate e sovrapposte, </w:t>
      </w:r>
      <w:r w:rsidRPr="00151324">
        <w:rPr>
          <w:color w:val="auto"/>
          <w:sz w:val="24"/>
          <w:szCs w:val="24"/>
        </w:rPr>
        <w:t xml:space="preserve">deve comunque tenere conto di tali elementari principi di garanzia, </w:t>
      </w:r>
      <w:r w:rsidR="00C01F9F" w:rsidRPr="00151324">
        <w:rPr>
          <w:color w:val="auto"/>
          <w:sz w:val="24"/>
          <w:szCs w:val="24"/>
        </w:rPr>
        <w:t xml:space="preserve">evitando </w:t>
      </w:r>
      <w:r w:rsidR="00644971">
        <w:rPr>
          <w:color w:val="auto"/>
          <w:sz w:val="24"/>
          <w:szCs w:val="24"/>
        </w:rPr>
        <w:t xml:space="preserve">la </w:t>
      </w:r>
      <w:r w:rsidR="004E3F95" w:rsidRPr="00151324">
        <w:rPr>
          <w:color w:val="auto"/>
          <w:sz w:val="24"/>
          <w:szCs w:val="24"/>
        </w:rPr>
        <w:t>duplicazione d</w:t>
      </w:r>
      <w:r w:rsidR="00C01F9F" w:rsidRPr="00151324">
        <w:rPr>
          <w:color w:val="auto"/>
          <w:sz w:val="24"/>
          <w:szCs w:val="24"/>
        </w:rPr>
        <w:t>i</w:t>
      </w:r>
      <w:r w:rsidR="004E3F95" w:rsidRPr="00151324">
        <w:rPr>
          <w:color w:val="auto"/>
          <w:sz w:val="24"/>
          <w:szCs w:val="24"/>
        </w:rPr>
        <w:t xml:space="preserve"> procedimenti sanzionatori, volti a </w:t>
      </w:r>
      <w:r w:rsidR="004E3F95" w:rsidRPr="00151324">
        <w:rPr>
          <w:color w:val="auto"/>
          <w:sz w:val="24"/>
          <w:szCs w:val="24"/>
          <w:shd w:val="clear" w:color="auto" w:fill="FFFFFF"/>
        </w:rPr>
        <w:t xml:space="preserve">censurare </w:t>
      </w:r>
      <w:r w:rsidR="00CB305F" w:rsidRPr="00151324">
        <w:rPr>
          <w:color w:val="auto"/>
          <w:sz w:val="24"/>
          <w:szCs w:val="24"/>
          <w:shd w:val="clear" w:color="auto" w:fill="FFFFFF"/>
        </w:rPr>
        <w:t xml:space="preserve">sotto l’egida della </w:t>
      </w:r>
      <w:r w:rsidRPr="00151324">
        <w:rPr>
          <w:color w:val="auto"/>
          <w:sz w:val="24"/>
          <w:szCs w:val="24"/>
          <w:shd w:val="clear" w:color="auto" w:fill="FFFFFF"/>
        </w:rPr>
        <w:t xml:space="preserve">apparente </w:t>
      </w:r>
      <w:r w:rsidR="00CB305F" w:rsidRPr="00151324">
        <w:rPr>
          <w:color w:val="auto"/>
          <w:sz w:val="24"/>
          <w:szCs w:val="24"/>
          <w:shd w:val="clear" w:color="auto" w:fill="FFFFFF"/>
        </w:rPr>
        <w:t>diversità del valore giuridico tutelato la medesima condotta</w:t>
      </w:r>
      <w:r w:rsidRPr="00151324">
        <w:rPr>
          <w:color w:val="auto"/>
          <w:sz w:val="24"/>
          <w:szCs w:val="24"/>
          <w:shd w:val="clear" w:color="auto" w:fill="FFFFFF"/>
        </w:rPr>
        <w:t>, addirittura con sanzioni di identico contenuto</w:t>
      </w:r>
      <w:r w:rsidR="00C01F9F" w:rsidRPr="00151324">
        <w:rPr>
          <w:color w:val="auto"/>
          <w:sz w:val="24"/>
          <w:szCs w:val="24"/>
          <w:shd w:val="clear" w:color="auto" w:fill="FFFFFF"/>
        </w:rPr>
        <w:t xml:space="preserve">. </w:t>
      </w:r>
      <w:r w:rsidR="00CB305F" w:rsidRPr="00151324">
        <w:rPr>
          <w:color w:val="auto"/>
          <w:sz w:val="24"/>
          <w:szCs w:val="24"/>
          <w:shd w:val="clear" w:color="auto" w:fill="FFFFFF"/>
        </w:rPr>
        <w:t xml:space="preserve"> </w:t>
      </w:r>
      <w:r w:rsidR="00C01F9F" w:rsidRPr="00151324">
        <w:rPr>
          <w:color w:val="auto"/>
          <w:sz w:val="24"/>
          <w:szCs w:val="24"/>
          <w:shd w:val="clear" w:color="auto" w:fill="FFFFFF"/>
        </w:rPr>
        <w:t>Evidenti ragioni di sintesi non consentono di attingere anche le problematiche urbanistico-edilizie, igienico-sanitarie, ovvero ambientali connesse alla realizzazione in ampliamento di locali preesistenti della superficie destinata alla vendita o alla somministrazione di alimenti e bevande</w:t>
      </w:r>
      <w:r w:rsidR="00E32DDF" w:rsidRPr="00151324">
        <w:rPr>
          <w:rStyle w:val="Rimandonotaapidipagina"/>
          <w:color w:val="auto"/>
          <w:sz w:val="24"/>
          <w:szCs w:val="24"/>
          <w:shd w:val="clear" w:color="auto" w:fill="FFFFFF"/>
        </w:rPr>
        <w:footnoteReference w:id="47"/>
      </w:r>
      <w:r w:rsidR="00E32DDF" w:rsidRPr="00151324">
        <w:rPr>
          <w:color w:val="auto"/>
          <w:sz w:val="24"/>
          <w:szCs w:val="24"/>
          <w:shd w:val="clear" w:color="auto" w:fill="FFFFFF"/>
        </w:rPr>
        <w:t xml:space="preserve">. </w:t>
      </w:r>
    </w:p>
    <w:p w14:paraId="37366AFF" w14:textId="1D4EA495" w:rsidR="00E32DDF" w:rsidRDefault="004E3F95" w:rsidP="00151324">
      <w:pPr>
        <w:pStyle w:val="NormaleWeb"/>
        <w:shd w:val="clear" w:color="auto" w:fill="FFFFFF"/>
        <w:spacing w:line="360" w:lineRule="auto"/>
        <w:jc w:val="both"/>
        <w:rPr>
          <w:color w:val="auto"/>
          <w:sz w:val="24"/>
          <w:szCs w:val="24"/>
          <w:shd w:val="clear" w:color="auto" w:fill="FFFFFF"/>
        </w:rPr>
      </w:pPr>
      <w:r w:rsidRPr="00151324">
        <w:rPr>
          <w:color w:val="auto"/>
          <w:sz w:val="24"/>
          <w:szCs w:val="24"/>
          <w:shd w:val="clear" w:color="auto" w:fill="FFFFFF"/>
        </w:rPr>
        <w:t xml:space="preserve">Se si eccettuano i profili di natura tributaria, dunque, la consistenza dell’abuso, tale da farlo assurgere a edificazione </w:t>
      </w:r>
      <w:r w:rsidRPr="00151324">
        <w:rPr>
          <w:i/>
          <w:color w:val="auto"/>
          <w:sz w:val="24"/>
          <w:szCs w:val="24"/>
          <w:shd w:val="clear" w:color="auto" w:fill="FFFFFF"/>
        </w:rPr>
        <w:t xml:space="preserve">sine </w:t>
      </w:r>
      <w:proofErr w:type="spellStart"/>
      <w:r w:rsidRPr="00151324">
        <w:rPr>
          <w:i/>
          <w:color w:val="auto"/>
          <w:sz w:val="24"/>
          <w:szCs w:val="24"/>
          <w:shd w:val="clear" w:color="auto" w:fill="FFFFFF"/>
        </w:rPr>
        <w:t>titulo</w:t>
      </w:r>
      <w:proofErr w:type="spellEnd"/>
      <w:r w:rsidRPr="00151324">
        <w:rPr>
          <w:color w:val="auto"/>
          <w:sz w:val="24"/>
          <w:szCs w:val="24"/>
          <w:shd w:val="clear" w:color="auto" w:fill="FFFFFF"/>
        </w:rPr>
        <w:t xml:space="preserve">, con quanto ne consegue in termini di rispetto delle eventuali disposizioni vincolistiche vigenti, </w:t>
      </w:r>
      <w:r w:rsidR="005C7666" w:rsidRPr="00151324">
        <w:rPr>
          <w:color w:val="auto"/>
          <w:sz w:val="24"/>
          <w:szCs w:val="24"/>
          <w:shd w:val="clear" w:color="auto" w:fill="FFFFFF"/>
        </w:rPr>
        <w:t xml:space="preserve">dovrebbe indurre a riflettere sulla sua riconducibilità anche a tutte le ulteriori fattispecie di illecito astrattamente configurabili, laddove non sia ravvisabile un elemento certo di specialità di ciascuna di esse. A titolo di esempio, </w:t>
      </w:r>
      <w:r w:rsidRPr="00151324">
        <w:rPr>
          <w:color w:val="auto"/>
          <w:sz w:val="24"/>
          <w:szCs w:val="24"/>
          <w:shd w:val="clear" w:color="auto" w:fill="FFFFFF"/>
        </w:rPr>
        <w:t>l’avvenuta attivazione del procedimento di cui all’art. 211 del Codice della strada, dovrebbe essere valutato al fine dell’applicazione d</w:t>
      </w:r>
      <w:r w:rsidR="005C7666" w:rsidRPr="00151324">
        <w:rPr>
          <w:color w:val="auto"/>
          <w:sz w:val="24"/>
          <w:szCs w:val="24"/>
          <w:shd w:val="clear" w:color="auto" w:fill="FFFFFF"/>
        </w:rPr>
        <w:t>i ulteriori</w:t>
      </w:r>
      <w:r w:rsidRPr="00151324">
        <w:rPr>
          <w:color w:val="auto"/>
          <w:sz w:val="24"/>
          <w:szCs w:val="24"/>
          <w:shd w:val="clear" w:color="auto" w:fill="FFFFFF"/>
        </w:rPr>
        <w:t xml:space="preserve"> misur</w:t>
      </w:r>
      <w:r w:rsidR="005C7666" w:rsidRPr="00151324">
        <w:rPr>
          <w:color w:val="auto"/>
          <w:sz w:val="24"/>
          <w:szCs w:val="24"/>
          <w:shd w:val="clear" w:color="auto" w:fill="FFFFFF"/>
        </w:rPr>
        <w:t>e</w:t>
      </w:r>
      <w:r w:rsidRPr="00151324">
        <w:rPr>
          <w:color w:val="auto"/>
          <w:sz w:val="24"/>
          <w:szCs w:val="24"/>
          <w:shd w:val="clear" w:color="auto" w:fill="FFFFFF"/>
        </w:rPr>
        <w:t xml:space="preserve"> della rimozione immediata dell’illecito, </w:t>
      </w:r>
      <w:r w:rsidR="005C7666" w:rsidRPr="00151324">
        <w:rPr>
          <w:color w:val="auto"/>
          <w:sz w:val="24"/>
          <w:szCs w:val="24"/>
          <w:shd w:val="clear" w:color="auto" w:fill="FFFFFF"/>
        </w:rPr>
        <w:t xml:space="preserve">a maggior ragione ove introdotta più volte e con distinte finalità in distinti regolamenti comunali, di fatto riproducendo a livello locale le brutte abitudini regolatorie che affliggono la legislazione nazionale. </w:t>
      </w:r>
      <w:r w:rsidRPr="00151324">
        <w:rPr>
          <w:color w:val="auto"/>
          <w:sz w:val="24"/>
          <w:szCs w:val="24"/>
          <w:shd w:val="clear" w:color="auto" w:fill="FFFFFF"/>
        </w:rPr>
        <w:t xml:space="preserve"> </w:t>
      </w:r>
      <w:r w:rsidR="005C7666" w:rsidRPr="00151324">
        <w:rPr>
          <w:color w:val="auto"/>
          <w:sz w:val="24"/>
          <w:szCs w:val="24"/>
          <w:shd w:val="clear" w:color="auto" w:fill="FFFFFF"/>
        </w:rPr>
        <w:t xml:space="preserve">E comunque, ancora una volta, è la Consulta a farsi da propulsore verso una razionalizzazione normativa che guidi a maggior ragione le scelte di politica punitiva, evitando di affidarle a spinte emozionali del momento e comunque </w:t>
      </w:r>
      <w:r w:rsidR="009411CD" w:rsidRPr="00151324">
        <w:rPr>
          <w:color w:val="auto"/>
          <w:sz w:val="24"/>
          <w:szCs w:val="24"/>
          <w:shd w:val="clear" w:color="auto" w:fill="FFFFFF"/>
        </w:rPr>
        <w:t xml:space="preserve">imponendo la consapevole messa a sistema di tutte le possibili conseguenze di una condotta astrattamente </w:t>
      </w:r>
      <w:r w:rsidR="009411CD" w:rsidRPr="00151324">
        <w:rPr>
          <w:i/>
          <w:color w:val="auto"/>
          <w:sz w:val="24"/>
          <w:szCs w:val="24"/>
          <w:shd w:val="clear" w:color="auto" w:fill="FFFFFF"/>
        </w:rPr>
        <w:t>contra ius</w:t>
      </w:r>
      <w:r w:rsidR="009411CD" w:rsidRPr="00151324">
        <w:rPr>
          <w:color w:val="auto"/>
          <w:sz w:val="24"/>
          <w:szCs w:val="24"/>
          <w:shd w:val="clear" w:color="auto" w:fill="FFFFFF"/>
        </w:rPr>
        <w:t xml:space="preserve">. </w:t>
      </w:r>
      <w:r w:rsidR="005C7666" w:rsidRPr="00151324">
        <w:rPr>
          <w:color w:val="auto"/>
          <w:sz w:val="24"/>
          <w:szCs w:val="24"/>
          <w:shd w:val="clear" w:color="auto" w:fill="FFFFFF"/>
        </w:rPr>
        <w:t xml:space="preserve"> </w:t>
      </w:r>
    </w:p>
    <w:p w14:paraId="6D0CB4EE" w14:textId="1B85EF45" w:rsidR="008D35E3" w:rsidRDefault="008D35E3" w:rsidP="00151324">
      <w:pPr>
        <w:pStyle w:val="NormaleWeb"/>
        <w:shd w:val="clear" w:color="auto" w:fill="FFFFFF"/>
        <w:spacing w:line="360" w:lineRule="auto"/>
        <w:jc w:val="both"/>
        <w:rPr>
          <w:color w:val="auto"/>
          <w:sz w:val="24"/>
          <w:szCs w:val="24"/>
          <w:shd w:val="clear" w:color="auto" w:fill="FFFFFF"/>
        </w:rPr>
      </w:pPr>
    </w:p>
    <w:p w14:paraId="7C38F79D" w14:textId="4984C0A8" w:rsidR="008D35E3" w:rsidRPr="008D35E3" w:rsidRDefault="008D35E3" w:rsidP="008D35E3">
      <w:pPr>
        <w:pStyle w:val="NormaleWeb"/>
        <w:shd w:val="clear" w:color="auto" w:fill="FFFFFF"/>
        <w:spacing w:line="360" w:lineRule="auto"/>
        <w:jc w:val="right"/>
        <w:rPr>
          <w:b/>
          <w:color w:val="auto"/>
          <w:sz w:val="24"/>
          <w:szCs w:val="24"/>
          <w:shd w:val="clear" w:color="auto" w:fill="FFFFFF"/>
        </w:rPr>
      </w:pPr>
      <w:bookmarkStart w:id="0" w:name="_GoBack"/>
      <w:r w:rsidRPr="008D35E3">
        <w:rPr>
          <w:b/>
          <w:color w:val="auto"/>
          <w:sz w:val="24"/>
          <w:szCs w:val="24"/>
          <w:shd w:val="clear" w:color="auto" w:fill="FFFFFF"/>
        </w:rPr>
        <w:t>Antonella Manzione</w:t>
      </w:r>
    </w:p>
    <w:p w14:paraId="6E1657B6" w14:textId="6E9C3431" w:rsidR="008D35E3" w:rsidRDefault="008D35E3" w:rsidP="008D35E3">
      <w:pPr>
        <w:pStyle w:val="NormaleWeb"/>
        <w:shd w:val="clear" w:color="auto" w:fill="FFFFFF"/>
        <w:spacing w:line="360" w:lineRule="auto"/>
        <w:jc w:val="right"/>
        <w:rPr>
          <w:color w:val="auto"/>
          <w:sz w:val="24"/>
          <w:szCs w:val="24"/>
          <w:shd w:val="clear" w:color="auto" w:fill="FFFFFF"/>
        </w:rPr>
      </w:pPr>
      <w:r>
        <w:rPr>
          <w:color w:val="auto"/>
          <w:sz w:val="24"/>
          <w:szCs w:val="24"/>
          <w:shd w:val="clear" w:color="auto" w:fill="FFFFFF"/>
        </w:rPr>
        <w:t>Consigliere di Stato</w:t>
      </w:r>
    </w:p>
    <w:p w14:paraId="798B1E54" w14:textId="3A9EF345" w:rsidR="008D35E3" w:rsidRPr="00151324" w:rsidRDefault="008D35E3" w:rsidP="008D35E3">
      <w:pPr>
        <w:pStyle w:val="NormaleWeb"/>
        <w:shd w:val="clear" w:color="auto" w:fill="FFFFFF"/>
        <w:spacing w:line="360" w:lineRule="auto"/>
        <w:jc w:val="right"/>
        <w:rPr>
          <w:color w:val="auto"/>
          <w:sz w:val="24"/>
          <w:szCs w:val="24"/>
          <w:shd w:val="clear" w:color="auto" w:fill="FFFFFF"/>
        </w:rPr>
      </w:pPr>
      <w:r>
        <w:rPr>
          <w:color w:val="auto"/>
          <w:sz w:val="24"/>
          <w:szCs w:val="24"/>
          <w:shd w:val="clear" w:color="auto" w:fill="FFFFFF"/>
        </w:rPr>
        <w:t>Pubblicato il 29 settembre 2022</w:t>
      </w:r>
      <w:bookmarkEnd w:id="0"/>
    </w:p>
    <w:sectPr w:rsidR="008D35E3" w:rsidRPr="001513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E524" w14:textId="77777777" w:rsidR="00407CF8" w:rsidRDefault="00407CF8" w:rsidP="00C16919">
      <w:pPr>
        <w:spacing w:after="0"/>
      </w:pPr>
      <w:r>
        <w:separator/>
      </w:r>
    </w:p>
  </w:endnote>
  <w:endnote w:type="continuationSeparator" w:id="0">
    <w:p w14:paraId="1861A38C" w14:textId="77777777" w:rsidR="00407CF8" w:rsidRDefault="00407CF8" w:rsidP="00C1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DF45" w14:textId="77777777" w:rsidR="00407CF8" w:rsidRDefault="00407CF8" w:rsidP="00C16919">
      <w:pPr>
        <w:spacing w:after="0"/>
      </w:pPr>
      <w:r>
        <w:separator/>
      </w:r>
    </w:p>
  </w:footnote>
  <w:footnote w:type="continuationSeparator" w:id="0">
    <w:p w14:paraId="6A0401F0" w14:textId="77777777" w:rsidR="00407CF8" w:rsidRDefault="00407CF8" w:rsidP="00C16919">
      <w:pPr>
        <w:spacing w:after="0"/>
      </w:pPr>
      <w:r>
        <w:continuationSeparator/>
      </w:r>
    </w:p>
  </w:footnote>
  <w:footnote w:id="1">
    <w:p w14:paraId="6D404417" w14:textId="296DEB08" w:rsidR="00C01F9F" w:rsidRPr="00151324" w:rsidRDefault="00C01F9F" w:rsidP="00151324">
      <w:pPr>
        <w:widowControl/>
        <w:suppressAutoHyphens w:val="0"/>
        <w:autoSpaceDN/>
        <w:spacing w:after="0"/>
        <w:jc w:val="both"/>
        <w:textAlignment w:val="auto"/>
        <w:rPr>
          <w:rFonts w:ascii="Times New Roman" w:hAnsi="Times New Roman" w:cs="Times New Roman"/>
          <w:color w:val="000000"/>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Con riferimento al caso in cui la medesima condotta violi diverse disposizioni normative, </w:t>
      </w:r>
      <w:r w:rsidR="003D0F66" w:rsidRPr="00151324">
        <w:rPr>
          <w:rFonts w:ascii="Times New Roman" w:hAnsi="Times New Roman" w:cs="Times New Roman"/>
          <w:sz w:val="16"/>
          <w:szCs w:val="16"/>
        </w:rPr>
        <w:t>l’</w:t>
      </w:r>
      <w:r w:rsidRPr="00151324">
        <w:rPr>
          <w:rFonts w:ascii="Times New Roman" w:hAnsi="Times New Roman" w:cs="Times New Roman"/>
          <w:color w:val="000000"/>
          <w:sz w:val="16"/>
          <w:szCs w:val="16"/>
        </w:rPr>
        <w:t>art. 8 della legge 24 novembre 1981</w:t>
      </w:r>
      <w:r w:rsidR="00E301ED" w:rsidRPr="00151324">
        <w:rPr>
          <w:rFonts w:ascii="Times New Roman" w:hAnsi="Times New Roman" w:cs="Times New Roman"/>
          <w:color w:val="000000"/>
          <w:sz w:val="16"/>
          <w:szCs w:val="16"/>
        </w:rPr>
        <w:t>,</w:t>
      </w:r>
      <w:r w:rsidRPr="00151324">
        <w:rPr>
          <w:rFonts w:ascii="Times New Roman" w:hAnsi="Times New Roman" w:cs="Times New Roman"/>
          <w:color w:val="000000"/>
          <w:sz w:val="16"/>
          <w:szCs w:val="16"/>
        </w:rPr>
        <w:t xml:space="preserve"> n. 689</w:t>
      </w:r>
      <w:r w:rsidR="00E301ED" w:rsidRPr="00151324">
        <w:rPr>
          <w:rFonts w:ascii="Times New Roman" w:hAnsi="Times New Roman" w:cs="Times New Roman"/>
          <w:color w:val="000000"/>
          <w:sz w:val="16"/>
          <w:szCs w:val="16"/>
        </w:rPr>
        <w:t>,</w:t>
      </w:r>
      <w:r w:rsidRPr="00151324">
        <w:rPr>
          <w:rFonts w:ascii="Times New Roman" w:hAnsi="Times New Roman" w:cs="Times New Roman"/>
          <w:color w:val="000000"/>
          <w:sz w:val="16"/>
          <w:szCs w:val="16"/>
        </w:rPr>
        <w:t xml:space="preserve"> ha introdotto nel sistema sanzionatorio amministrativo il cumulo giuridico corrispondente a quello previsto per le pene dall’art. 81 del codice penale, ossia il concorso formale al primo comma, e successivamente, al secondo comma, la continuazione, ma limitatamente alle violazioni in materia di previdenza e assistenza obbligatorie. L’introduzione dell’istituto del concorso formale omogeneo o eterogeneo nel testo della l</w:t>
      </w:r>
      <w:r w:rsidR="00E70CF2">
        <w:rPr>
          <w:rFonts w:ascii="Times New Roman" w:hAnsi="Times New Roman" w:cs="Times New Roman"/>
          <w:color w:val="000000"/>
          <w:sz w:val="16"/>
          <w:szCs w:val="16"/>
        </w:rPr>
        <w:t>egge</w:t>
      </w:r>
      <w:r w:rsidRPr="00151324">
        <w:rPr>
          <w:rFonts w:ascii="Times New Roman" w:hAnsi="Times New Roman" w:cs="Times New Roman"/>
          <w:color w:val="000000"/>
          <w:sz w:val="16"/>
          <w:szCs w:val="16"/>
        </w:rPr>
        <w:t xml:space="preserve"> ha avuto un andamento altalenante</w:t>
      </w:r>
      <w:r w:rsidR="00E70CF2">
        <w:rPr>
          <w:rFonts w:ascii="Times New Roman" w:hAnsi="Times New Roman" w:cs="Times New Roman"/>
          <w:color w:val="000000"/>
          <w:sz w:val="16"/>
          <w:szCs w:val="16"/>
        </w:rPr>
        <w:t>, indice della complessità della materia e del dibattito conseguitone</w:t>
      </w:r>
      <w:r w:rsidRPr="00151324">
        <w:rPr>
          <w:rFonts w:ascii="Times New Roman" w:hAnsi="Times New Roman" w:cs="Times New Roman"/>
          <w:color w:val="000000"/>
          <w:sz w:val="16"/>
          <w:szCs w:val="16"/>
        </w:rPr>
        <w:t xml:space="preserve">: previsto nel </w:t>
      </w:r>
      <w:r w:rsidRPr="00151324">
        <w:rPr>
          <w:rFonts w:ascii="Times New Roman" w:eastAsia="Times New Roman" w:hAnsi="Times New Roman" w:cs="Times New Roman"/>
          <w:color w:val="000000"/>
          <w:kern w:val="0"/>
          <w:sz w:val="16"/>
          <w:szCs w:val="16"/>
          <w:lang w:eastAsia="it-IT"/>
        </w:rPr>
        <w:t>disegno di legge 339 approvato dalla Camera dei deputati nella seduta del 18 settembre 1980, venne poi  soppresso dal Senato (</w:t>
      </w:r>
      <w:r w:rsidR="00E70CF2">
        <w:rPr>
          <w:rFonts w:ascii="Times New Roman" w:eastAsia="Times New Roman" w:hAnsi="Times New Roman" w:cs="Times New Roman"/>
          <w:color w:val="000000"/>
          <w:kern w:val="0"/>
          <w:sz w:val="16"/>
          <w:szCs w:val="16"/>
          <w:lang w:eastAsia="it-IT"/>
        </w:rPr>
        <w:t xml:space="preserve">v. il </w:t>
      </w:r>
      <w:r w:rsidRPr="00151324">
        <w:rPr>
          <w:rFonts w:ascii="Times New Roman" w:eastAsia="Times New Roman" w:hAnsi="Times New Roman" w:cs="Times New Roman"/>
          <w:color w:val="000000"/>
          <w:kern w:val="0"/>
          <w:sz w:val="16"/>
          <w:szCs w:val="16"/>
          <w:lang w:eastAsia="it-IT"/>
        </w:rPr>
        <w:t xml:space="preserve">testo trasmesso alla Camera il 17 giugno 1981) essendo stato, a quanto si legge nel resoconto della seduta della IV commissione della Camera del 22 luglio 1981, ritenuto superfluo perché la disposizione era ricavabile dai princìpi generali; ma fu ripristinato dalla </w:t>
      </w:r>
      <w:r w:rsidR="00E70CF2">
        <w:rPr>
          <w:rFonts w:ascii="Times New Roman" w:eastAsia="Times New Roman" w:hAnsi="Times New Roman" w:cs="Times New Roman"/>
          <w:color w:val="000000"/>
          <w:kern w:val="0"/>
          <w:sz w:val="16"/>
          <w:szCs w:val="16"/>
          <w:lang w:eastAsia="it-IT"/>
        </w:rPr>
        <w:t xml:space="preserve">richiamata commissione della </w:t>
      </w:r>
      <w:r w:rsidRPr="00151324">
        <w:rPr>
          <w:rFonts w:ascii="Times New Roman" w:eastAsia="Times New Roman" w:hAnsi="Times New Roman" w:cs="Times New Roman"/>
          <w:color w:val="000000"/>
          <w:kern w:val="0"/>
          <w:sz w:val="16"/>
          <w:szCs w:val="16"/>
          <w:lang w:eastAsia="it-IT"/>
        </w:rPr>
        <w:t>Camera, nella seduta del 10 settembre 1981</w:t>
      </w:r>
      <w:r w:rsidR="00E70CF2">
        <w:rPr>
          <w:rFonts w:ascii="Times New Roman" w:eastAsia="Times New Roman" w:hAnsi="Times New Roman" w:cs="Times New Roman"/>
          <w:color w:val="000000"/>
          <w:kern w:val="0"/>
          <w:sz w:val="16"/>
          <w:szCs w:val="16"/>
          <w:lang w:eastAsia="it-IT"/>
        </w:rPr>
        <w:t xml:space="preserve">. </w:t>
      </w:r>
      <w:r w:rsidRPr="00151324">
        <w:rPr>
          <w:rFonts w:ascii="Times New Roman" w:eastAsia="Times New Roman" w:hAnsi="Times New Roman" w:cs="Times New Roman"/>
          <w:color w:val="000000"/>
          <w:kern w:val="0"/>
          <w:sz w:val="16"/>
          <w:szCs w:val="16"/>
          <w:lang w:eastAsia="it-IT"/>
        </w:rPr>
        <w:t xml:space="preserve">A livello di disciplina generale non è stato invece previsto </w:t>
      </w:r>
      <w:r w:rsidR="00E70CF2">
        <w:rPr>
          <w:rFonts w:ascii="Times New Roman" w:eastAsia="Times New Roman" w:hAnsi="Times New Roman" w:cs="Times New Roman"/>
          <w:color w:val="000000"/>
          <w:kern w:val="0"/>
          <w:sz w:val="16"/>
          <w:szCs w:val="16"/>
          <w:lang w:eastAsia="it-IT"/>
        </w:rPr>
        <w:t>un regime mitigato in caso di</w:t>
      </w:r>
      <w:r w:rsidRPr="00151324">
        <w:rPr>
          <w:rFonts w:ascii="Times New Roman" w:eastAsia="Times New Roman" w:hAnsi="Times New Roman" w:cs="Times New Roman"/>
          <w:color w:val="000000"/>
          <w:kern w:val="0"/>
          <w:sz w:val="16"/>
          <w:szCs w:val="16"/>
          <w:lang w:eastAsia="it-IT"/>
        </w:rPr>
        <w:t xml:space="preserve"> concorso materiale di illeciti, che comporta </w:t>
      </w:r>
      <w:r w:rsidR="00E70CF2">
        <w:rPr>
          <w:rFonts w:ascii="Times New Roman" w:eastAsia="Times New Roman" w:hAnsi="Times New Roman" w:cs="Times New Roman"/>
          <w:color w:val="000000"/>
          <w:kern w:val="0"/>
          <w:sz w:val="16"/>
          <w:szCs w:val="16"/>
          <w:lang w:eastAsia="it-IT"/>
        </w:rPr>
        <w:t>pertanto</w:t>
      </w:r>
      <w:r w:rsidRPr="00151324">
        <w:rPr>
          <w:rFonts w:ascii="Times New Roman" w:eastAsia="Times New Roman" w:hAnsi="Times New Roman" w:cs="Times New Roman"/>
          <w:color w:val="000000"/>
          <w:kern w:val="0"/>
          <w:sz w:val="16"/>
          <w:szCs w:val="16"/>
          <w:lang w:eastAsia="it-IT"/>
        </w:rPr>
        <w:t xml:space="preserve"> la sommatoria “aritmetica” delle sanzioni, salvo il </w:t>
      </w:r>
      <w:r w:rsidR="00E70CF2">
        <w:rPr>
          <w:rFonts w:ascii="Times New Roman" w:eastAsia="Times New Roman" w:hAnsi="Times New Roman" w:cs="Times New Roman"/>
          <w:color w:val="000000"/>
          <w:kern w:val="0"/>
          <w:sz w:val="16"/>
          <w:szCs w:val="16"/>
          <w:lang w:eastAsia="it-IT"/>
        </w:rPr>
        <w:t xml:space="preserve">ricordato </w:t>
      </w:r>
      <w:r w:rsidRPr="00151324">
        <w:rPr>
          <w:rFonts w:ascii="Times New Roman" w:eastAsia="Times New Roman" w:hAnsi="Times New Roman" w:cs="Times New Roman"/>
          <w:color w:val="000000"/>
          <w:kern w:val="0"/>
          <w:sz w:val="16"/>
          <w:szCs w:val="16"/>
          <w:lang w:eastAsia="it-IT"/>
        </w:rPr>
        <w:t>regime della  continuazione introdotto dall’art. 1-</w:t>
      </w:r>
      <w:r w:rsidRPr="00151324">
        <w:rPr>
          <w:rFonts w:ascii="Times New Roman" w:eastAsia="Times New Roman" w:hAnsi="Times New Roman" w:cs="Times New Roman"/>
          <w:i/>
          <w:color w:val="000000"/>
          <w:kern w:val="0"/>
          <w:sz w:val="16"/>
          <w:szCs w:val="16"/>
          <w:lang w:eastAsia="it-IT"/>
        </w:rPr>
        <w:t>sexies</w:t>
      </w:r>
      <w:r w:rsidRPr="00151324">
        <w:rPr>
          <w:rFonts w:ascii="Times New Roman" w:eastAsia="Times New Roman" w:hAnsi="Times New Roman" w:cs="Times New Roman"/>
          <w:color w:val="000000"/>
          <w:kern w:val="0"/>
          <w:sz w:val="16"/>
          <w:szCs w:val="16"/>
          <w:lang w:eastAsia="it-IT"/>
        </w:rPr>
        <w:t xml:space="preserve"> della legge 31 gennaio 1986</w:t>
      </w:r>
      <w:r w:rsidR="00E301ED" w:rsidRPr="00151324">
        <w:rPr>
          <w:rFonts w:ascii="Times New Roman" w:eastAsia="Times New Roman" w:hAnsi="Times New Roman" w:cs="Times New Roman"/>
          <w:color w:val="000000"/>
          <w:kern w:val="0"/>
          <w:sz w:val="16"/>
          <w:szCs w:val="16"/>
          <w:lang w:eastAsia="it-IT"/>
        </w:rPr>
        <w:t>,</w:t>
      </w:r>
      <w:r w:rsidRPr="00151324">
        <w:rPr>
          <w:rFonts w:ascii="Times New Roman" w:eastAsia="Times New Roman" w:hAnsi="Times New Roman" w:cs="Times New Roman"/>
          <w:color w:val="000000"/>
          <w:kern w:val="0"/>
          <w:sz w:val="16"/>
          <w:szCs w:val="16"/>
          <w:lang w:eastAsia="it-IT"/>
        </w:rPr>
        <w:t xml:space="preserve"> n. 11, di conversione in legge del decreto-legge 2 dicembre 1985</w:t>
      </w:r>
      <w:r w:rsidR="00E301ED" w:rsidRPr="00151324">
        <w:rPr>
          <w:rFonts w:ascii="Times New Roman" w:eastAsia="Times New Roman" w:hAnsi="Times New Roman" w:cs="Times New Roman"/>
          <w:color w:val="000000"/>
          <w:kern w:val="0"/>
          <w:sz w:val="16"/>
          <w:szCs w:val="16"/>
          <w:lang w:eastAsia="it-IT"/>
        </w:rPr>
        <w:t>,</w:t>
      </w:r>
      <w:r w:rsidRPr="00151324">
        <w:rPr>
          <w:rFonts w:ascii="Times New Roman" w:eastAsia="Times New Roman" w:hAnsi="Times New Roman" w:cs="Times New Roman"/>
          <w:color w:val="000000"/>
          <w:kern w:val="0"/>
          <w:sz w:val="16"/>
          <w:szCs w:val="16"/>
          <w:lang w:eastAsia="it-IT"/>
        </w:rPr>
        <w:t xml:space="preserve"> n. 688</w:t>
      </w:r>
      <w:r w:rsidR="00E301ED" w:rsidRPr="00151324">
        <w:rPr>
          <w:rFonts w:ascii="Times New Roman" w:eastAsia="Times New Roman" w:hAnsi="Times New Roman" w:cs="Times New Roman"/>
          <w:color w:val="000000"/>
          <w:kern w:val="0"/>
          <w:sz w:val="16"/>
          <w:szCs w:val="16"/>
          <w:lang w:eastAsia="it-IT"/>
        </w:rPr>
        <w:t>,</w:t>
      </w:r>
      <w:r w:rsidRPr="00151324">
        <w:rPr>
          <w:rFonts w:ascii="Times New Roman" w:eastAsia="Times New Roman" w:hAnsi="Times New Roman" w:cs="Times New Roman"/>
          <w:color w:val="000000"/>
          <w:kern w:val="0"/>
          <w:sz w:val="16"/>
          <w:szCs w:val="16"/>
          <w:lang w:eastAsia="it-IT"/>
        </w:rPr>
        <w:t xml:space="preserve"> </w:t>
      </w:r>
      <w:r w:rsidR="00E70CF2">
        <w:rPr>
          <w:rFonts w:ascii="Times New Roman" w:eastAsia="Times New Roman" w:hAnsi="Times New Roman" w:cs="Times New Roman"/>
          <w:color w:val="000000"/>
          <w:kern w:val="0"/>
          <w:sz w:val="16"/>
          <w:szCs w:val="16"/>
          <w:lang w:eastAsia="it-IT"/>
        </w:rPr>
        <w:t xml:space="preserve">limitatamente alle violazioni in materia previdenziale e contributiva, </w:t>
      </w:r>
      <w:r w:rsidR="00E301ED" w:rsidRPr="00151324">
        <w:rPr>
          <w:rFonts w:ascii="Times New Roman" w:eastAsia="Times New Roman" w:hAnsi="Times New Roman" w:cs="Times New Roman"/>
          <w:color w:val="000000"/>
          <w:kern w:val="0"/>
          <w:sz w:val="16"/>
          <w:szCs w:val="16"/>
          <w:lang w:eastAsia="it-IT"/>
        </w:rPr>
        <w:t>nel quadro della lotta all’evasione</w:t>
      </w:r>
      <w:r w:rsidR="00E70CF2">
        <w:rPr>
          <w:rFonts w:ascii="Times New Roman" w:eastAsia="Times New Roman" w:hAnsi="Times New Roman" w:cs="Times New Roman"/>
          <w:color w:val="000000"/>
          <w:kern w:val="0"/>
          <w:sz w:val="16"/>
          <w:szCs w:val="16"/>
          <w:lang w:eastAsia="it-IT"/>
        </w:rPr>
        <w:t xml:space="preserve">, con la dichiarata finalità </w:t>
      </w:r>
      <w:r w:rsidR="00E301ED" w:rsidRPr="00151324">
        <w:rPr>
          <w:rFonts w:ascii="Times New Roman" w:eastAsia="Times New Roman" w:hAnsi="Times New Roman" w:cs="Times New Roman"/>
          <w:color w:val="000000"/>
          <w:kern w:val="0"/>
          <w:sz w:val="16"/>
          <w:szCs w:val="16"/>
          <w:lang w:eastAsia="it-IT"/>
        </w:rPr>
        <w:t xml:space="preserve">di evitare una pesantezza delle sanzioni che avrebbe potuto scoraggiare gli </w:t>
      </w:r>
      <w:r w:rsidR="00E70CF2">
        <w:rPr>
          <w:rFonts w:ascii="Times New Roman" w:eastAsia="Times New Roman" w:hAnsi="Times New Roman" w:cs="Times New Roman"/>
          <w:color w:val="000000"/>
          <w:kern w:val="0"/>
          <w:sz w:val="16"/>
          <w:szCs w:val="16"/>
          <w:lang w:eastAsia="it-IT"/>
        </w:rPr>
        <w:t xml:space="preserve">autori degli illeciti </w:t>
      </w:r>
      <w:r w:rsidR="00E301ED" w:rsidRPr="00151324">
        <w:rPr>
          <w:rFonts w:ascii="Times New Roman" w:eastAsia="Times New Roman" w:hAnsi="Times New Roman" w:cs="Times New Roman"/>
          <w:color w:val="000000"/>
          <w:kern w:val="0"/>
          <w:sz w:val="16"/>
          <w:szCs w:val="16"/>
          <w:lang w:eastAsia="it-IT"/>
        </w:rPr>
        <w:t xml:space="preserve">evasori a mettersi in regola </w:t>
      </w:r>
      <w:r w:rsidRPr="00151324">
        <w:rPr>
          <w:rFonts w:ascii="Times New Roman" w:eastAsia="Times New Roman" w:hAnsi="Times New Roman" w:cs="Times New Roman"/>
          <w:color w:val="000000"/>
          <w:kern w:val="0"/>
          <w:sz w:val="16"/>
          <w:szCs w:val="16"/>
          <w:lang w:eastAsia="it-IT"/>
        </w:rPr>
        <w:t>(seduta della Camera del 24 gennaio 1986)</w:t>
      </w:r>
      <w:r w:rsidR="003D0F66" w:rsidRPr="00151324">
        <w:rPr>
          <w:rFonts w:ascii="Times New Roman" w:eastAsia="Times New Roman" w:hAnsi="Times New Roman" w:cs="Times New Roman"/>
          <w:color w:val="000000"/>
          <w:kern w:val="0"/>
          <w:sz w:val="16"/>
          <w:szCs w:val="16"/>
          <w:lang w:eastAsia="it-IT"/>
        </w:rPr>
        <w:t xml:space="preserve">. </w:t>
      </w:r>
      <w:r w:rsidRPr="00151324">
        <w:rPr>
          <w:rFonts w:ascii="Times New Roman" w:eastAsia="Times New Roman" w:hAnsi="Times New Roman" w:cs="Times New Roman"/>
          <w:color w:val="000000"/>
          <w:kern w:val="0"/>
          <w:sz w:val="16"/>
          <w:szCs w:val="16"/>
          <w:lang w:eastAsia="it-IT"/>
        </w:rPr>
        <w:t xml:space="preserve">Sul tema v. Cons. Stato, sez. I, 15 aprile 2014, n. 1264. </w:t>
      </w:r>
    </w:p>
    <w:p w14:paraId="55811313" w14:textId="77777777" w:rsidR="00C01F9F" w:rsidRPr="00151324" w:rsidRDefault="00C01F9F" w:rsidP="00151324">
      <w:pPr>
        <w:pStyle w:val="Testonotaapidipagina"/>
        <w:jc w:val="both"/>
        <w:rPr>
          <w:rFonts w:ascii="Times New Roman" w:hAnsi="Times New Roman" w:cs="Times New Roman"/>
          <w:sz w:val="16"/>
          <w:szCs w:val="16"/>
        </w:rPr>
      </w:pPr>
    </w:p>
  </w:footnote>
  <w:footnote w:id="2">
    <w:p w14:paraId="7874A990" w14:textId="42D8F98C"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w:t>
      </w:r>
      <w:r w:rsidR="00A70417" w:rsidRPr="00151324">
        <w:rPr>
          <w:rFonts w:ascii="Times New Roman" w:hAnsi="Times New Roman" w:cs="Times New Roman"/>
          <w:sz w:val="16"/>
          <w:szCs w:val="16"/>
        </w:rPr>
        <w:t xml:space="preserve">Basti ricordare, a mero titolo di esempio, le varie disposizioni </w:t>
      </w:r>
      <w:r w:rsidR="00A70417">
        <w:rPr>
          <w:rFonts w:ascii="Times New Roman" w:hAnsi="Times New Roman" w:cs="Times New Roman"/>
          <w:sz w:val="16"/>
          <w:szCs w:val="16"/>
        </w:rPr>
        <w:t>(</w:t>
      </w:r>
      <w:r w:rsidR="00A70417" w:rsidRPr="00151324">
        <w:rPr>
          <w:rFonts w:ascii="Times New Roman" w:hAnsi="Times New Roman" w:cs="Times New Roman"/>
          <w:sz w:val="16"/>
          <w:szCs w:val="16"/>
        </w:rPr>
        <w:t>legislazione tributaria, regolamenti comunali</w:t>
      </w:r>
      <w:r w:rsidR="00A70417">
        <w:rPr>
          <w:rFonts w:ascii="Times New Roman" w:hAnsi="Times New Roman" w:cs="Times New Roman"/>
          <w:sz w:val="16"/>
          <w:szCs w:val="16"/>
        </w:rPr>
        <w:t xml:space="preserve">, a loro volta riferiti alle </w:t>
      </w:r>
      <w:r w:rsidR="00A70417" w:rsidRPr="00151324">
        <w:rPr>
          <w:rFonts w:ascii="Times New Roman" w:hAnsi="Times New Roman" w:cs="Times New Roman"/>
          <w:sz w:val="16"/>
          <w:szCs w:val="16"/>
        </w:rPr>
        <w:t>varie materie destinate ad impattare sull</w:t>
      </w:r>
      <w:r w:rsidR="00A70417">
        <w:rPr>
          <w:rFonts w:ascii="Times New Roman" w:hAnsi="Times New Roman" w:cs="Times New Roman"/>
          <w:sz w:val="16"/>
          <w:szCs w:val="16"/>
        </w:rPr>
        <w:t xml:space="preserve">a tematica, </w:t>
      </w:r>
      <w:r w:rsidR="00A70417" w:rsidRPr="00151324">
        <w:rPr>
          <w:rFonts w:ascii="Times New Roman" w:hAnsi="Times New Roman" w:cs="Times New Roman"/>
          <w:sz w:val="16"/>
          <w:szCs w:val="16"/>
        </w:rPr>
        <w:t>Codice della Strada</w:t>
      </w:r>
      <w:r w:rsidR="00A70417">
        <w:rPr>
          <w:rFonts w:ascii="Times New Roman" w:hAnsi="Times New Roman" w:cs="Times New Roman"/>
          <w:sz w:val="16"/>
          <w:szCs w:val="16"/>
        </w:rPr>
        <w:t xml:space="preserve">, </w:t>
      </w:r>
      <w:r w:rsidR="00A70417" w:rsidRPr="00151324">
        <w:rPr>
          <w:rFonts w:ascii="Times New Roman" w:hAnsi="Times New Roman" w:cs="Times New Roman"/>
          <w:sz w:val="16"/>
          <w:szCs w:val="16"/>
        </w:rPr>
        <w:t>normativa urbanistico-edilizia ovvero vincolistica</w:t>
      </w:r>
      <w:r w:rsidR="00A70417">
        <w:rPr>
          <w:rFonts w:ascii="Times New Roman" w:hAnsi="Times New Roman" w:cs="Times New Roman"/>
          <w:sz w:val="16"/>
          <w:szCs w:val="16"/>
        </w:rPr>
        <w:t>)</w:t>
      </w:r>
      <w:r w:rsidR="00A70417" w:rsidRPr="00151324">
        <w:rPr>
          <w:rFonts w:ascii="Times New Roman" w:hAnsi="Times New Roman" w:cs="Times New Roman"/>
          <w:sz w:val="16"/>
          <w:szCs w:val="16"/>
        </w:rPr>
        <w:t xml:space="preserve">, da ultimo </w:t>
      </w:r>
      <w:r w:rsidR="00994C51">
        <w:rPr>
          <w:rFonts w:ascii="Times New Roman" w:hAnsi="Times New Roman" w:cs="Times New Roman"/>
          <w:sz w:val="16"/>
          <w:szCs w:val="16"/>
        </w:rPr>
        <w:t xml:space="preserve">conseguite </w:t>
      </w:r>
      <w:r w:rsidR="00A70417">
        <w:rPr>
          <w:rFonts w:ascii="Times New Roman" w:hAnsi="Times New Roman" w:cs="Times New Roman"/>
          <w:sz w:val="16"/>
          <w:szCs w:val="16"/>
        </w:rPr>
        <w:t xml:space="preserve">anche </w:t>
      </w:r>
      <w:r w:rsidR="00994C51">
        <w:rPr>
          <w:rFonts w:ascii="Times New Roman" w:hAnsi="Times New Roman" w:cs="Times New Roman"/>
          <w:sz w:val="16"/>
          <w:szCs w:val="16"/>
        </w:rPr>
        <w:t xml:space="preserve">all’esigenza di </w:t>
      </w:r>
      <w:r w:rsidR="00A70417">
        <w:rPr>
          <w:rFonts w:ascii="Times New Roman" w:hAnsi="Times New Roman" w:cs="Times New Roman"/>
          <w:sz w:val="16"/>
          <w:szCs w:val="16"/>
        </w:rPr>
        <w:t xml:space="preserve">fronteggiare l’emergenza pandemica e gli obblighi di distanziamento sociale </w:t>
      </w:r>
      <w:r w:rsidR="00994C51">
        <w:rPr>
          <w:rFonts w:ascii="Times New Roman" w:hAnsi="Times New Roman" w:cs="Times New Roman"/>
          <w:sz w:val="16"/>
          <w:szCs w:val="16"/>
        </w:rPr>
        <w:t xml:space="preserve">ad essa correlati, </w:t>
      </w:r>
      <w:r w:rsidR="00A70417" w:rsidRPr="00151324">
        <w:rPr>
          <w:rFonts w:ascii="Times New Roman" w:hAnsi="Times New Roman" w:cs="Times New Roman"/>
          <w:sz w:val="16"/>
          <w:szCs w:val="16"/>
        </w:rPr>
        <w:t xml:space="preserve">che prevedono </w:t>
      </w:r>
      <w:r w:rsidR="00A70417">
        <w:rPr>
          <w:rFonts w:ascii="Times New Roman" w:hAnsi="Times New Roman" w:cs="Times New Roman"/>
          <w:sz w:val="16"/>
          <w:szCs w:val="16"/>
        </w:rPr>
        <w:t>la rimozione dell’</w:t>
      </w:r>
      <w:r w:rsidR="00A70417" w:rsidRPr="00151324">
        <w:rPr>
          <w:rFonts w:ascii="Times New Roman" w:hAnsi="Times New Roman" w:cs="Times New Roman"/>
          <w:sz w:val="16"/>
          <w:szCs w:val="16"/>
        </w:rPr>
        <w:t>occupazione di suolo pubblico</w:t>
      </w:r>
      <w:r w:rsidR="00A70417">
        <w:rPr>
          <w:rFonts w:ascii="Times New Roman" w:hAnsi="Times New Roman" w:cs="Times New Roman"/>
          <w:sz w:val="16"/>
          <w:szCs w:val="16"/>
        </w:rPr>
        <w:t xml:space="preserve"> abusiva strumentale allo svolgimento di un’attività economica,</w:t>
      </w:r>
      <w:r w:rsidR="00A70417" w:rsidRPr="00151324">
        <w:rPr>
          <w:rFonts w:ascii="Times New Roman" w:hAnsi="Times New Roman" w:cs="Times New Roman"/>
          <w:sz w:val="16"/>
          <w:szCs w:val="16"/>
        </w:rPr>
        <w:t xml:space="preserve"> determinando di fatto la sovrapposizione di procedure</w:t>
      </w:r>
      <w:r w:rsidR="00A70417">
        <w:rPr>
          <w:rFonts w:ascii="Times New Roman" w:hAnsi="Times New Roman" w:cs="Times New Roman"/>
          <w:sz w:val="16"/>
          <w:szCs w:val="16"/>
        </w:rPr>
        <w:t>, per lo più</w:t>
      </w:r>
      <w:r w:rsidR="00A70417" w:rsidRPr="00151324">
        <w:rPr>
          <w:rFonts w:ascii="Times New Roman" w:hAnsi="Times New Roman" w:cs="Times New Roman"/>
          <w:sz w:val="16"/>
          <w:szCs w:val="16"/>
        </w:rPr>
        <w:t xml:space="preserve"> connotate da modalità e tempistiche diverse.</w:t>
      </w:r>
      <w:r w:rsidR="00A70417">
        <w:rPr>
          <w:rFonts w:ascii="Times New Roman" w:hAnsi="Times New Roman" w:cs="Times New Roman"/>
          <w:sz w:val="16"/>
          <w:szCs w:val="16"/>
        </w:rPr>
        <w:t xml:space="preserve"> </w:t>
      </w:r>
      <w:r w:rsidR="00A70417" w:rsidRPr="00151324">
        <w:rPr>
          <w:rFonts w:ascii="Times New Roman" w:hAnsi="Times New Roman" w:cs="Times New Roman"/>
          <w:sz w:val="16"/>
          <w:szCs w:val="16"/>
        </w:rPr>
        <w:t>Sul</w:t>
      </w:r>
      <w:r w:rsidR="00A70417">
        <w:rPr>
          <w:rFonts w:ascii="Times New Roman" w:hAnsi="Times New Roman" w:cs="Times New Roman"/>
          <w:sz w:val="16"/>
          <w:szCs w:val="16"/>
        </w:rPr>
        <w:t xml:space="preserve">la sopravvenienza </w:t>
      </w:r>
      <w:r w:rsidR="00881714">
        <w:rPr>
          <w:rFonts w:ascii="Times New Roman" w:hAnsi="Times New Roman" w:cs="Times New Roman"/>
          <w:sz w:val="16"/>
          <w:szCs w:val="16"/>
        </w:rPr>
        <w:t xml:space="preserve">della sanzione della chiusura dell’attività commerciale a distanza di anni dall’illecito, </w:t>
      </w:r>
      <w:r w:rsidR="00A70417" w:rsidRPr="00151324">
        <w:rPr>
          <w:rFonts w:ascii="Times New Roman" w:hAnsi="Times New Roman" w:cs="Times New Roman"/>
          <w:sz w:val="16"/>
          <w:szCs w:val="16"/>
        </w:rPr>
        <w:t xml:space="preserve">v. Cons. Stato, sez. II, 4 giugno 2020, n. 3548, </w:t>
      </w:r>
      <w:r w:rsidR="00A70417">
        <w:rPr>
          <w:rFonts w:ascii="Times New Roman" w:hAnsi="Times New Roman" w:cs="Times New Roman"/>
          <w:sz w:val="16"/>
          <w:szCs w:val="16"/>
        </w:rPr>
        <w:t xml:space="preserve">riferita alla </w:t>
      </w:r>
      <w:r w:rsidR="00881714">
        <w:rPr>
          <w:rFonts w:ascii="Times New Roman" w:hAnsi="Times New Roman" w:cs="Times New Roman"/>
          <w:sz w:val="16"/>
          <w:szCs w:val="16"/>
        </w:rPr>
        <w:t>previsione dell’</w:t>
      </w:r>
      <w:r w:rsidR="00A70417" w:rsidRPr="00151324">
        <w:rPr>
          <w:rFonts w:ascii="Times New Roman" w:hAnsi="Times New Roman" w:cs="Times New Roman"/>
          <w:sz w:val="16"/>
          <w:szCs w:val="16"/>
        </w:rPr>
        <w:t xml:space="preserve">art. 5, comma 2, della l. 18 gennaio 1994, n. 50, </w:t>
      </w:r>
      <w:r w:rsidR="00881714">
        <w:rPr>
          <w:rFonts w:ascii="Times New Roman" w:hAnsi="Times New Roman" w:cs="Times New Roman"/>
          <w:sz w:val="16"/>
          <w:szCs w:val="16"/>
        </w:rPr>
        <w:t xml:space="preserve">quale conseguenza dell’accertamento del reato (per il quale era peraltro intervenuta estinzione per oblazione) </w:t>
      </w:r>
      <w:r w:rsidR="00A70417" w:rsidRPr="00151324">
        <w:rPr>
          <w:rFonts w:ascii="Times New Roman" w:hAnsi="Times New Roman" w:cs="Times New Roman"/>
          <w:sz w:val="16"/>
          <w:szCs w:val="16"/>
        </w:rPr>
        <w:t>di cui agli artt. 291-</w:t>
      </w:r>
      <w:r w:rsidR="00A70417" w:rsidRPr="00151324">
        <w:rPr>
          <w:rFonts w:ascii="Times New Roman" w:hAnsi="Times New Roman" w:cs="Times New Roman"/>
          <w:i/>
          <w:sz w:val="16"/>
          <w:szCs w:val="16"/>
        </w:rPr>
        <w:t>bis</w:t>
      </w:r>
      <w:r w:rsidR="00A70417" w:rsidRPr="00151324">
        <w:rPr>
          <w:rFonts w:ascii="Times New Roman" w:hAnsi="Times New Roman" w:cs="Times New Roman"/>
          <w:sz w:val="16"/>
          <w:szCs w:val="16"/>
        </w:rPr>
        <w:t xml:space="preserve"> e 291-</w:t>
      </w:r>
      <w:r w:rsidR="00A70417" w:rsidRPr="00151324">
        <w:rPr>
          <w:rFonts w:ascii="Times New Roman" w:hAnsi="Times New Roman" w:cs="Times New Roman"/>
          <w:i/>
          <w:sz w:val="16"/>
          <w:szCs w:val="16"/>
        </w:rPr>
        <w:t>ter</w:t>
      </w:r>
      <w:r w:rsidR="00A70417" w:rsidRPr="00151324">
        <w:rPr>
          <w:rFonts w:ascii="Times New Roman" w:hAnsi="Times New Roman" w:cs="Times New Roman"/>
          <w:sz w:val="16"/>
          <w:szCs w:val="16"/>
        </w:rPr>
        <w:t xml:space="preserve"> del d.P.R. 23 gennaio 1973, n. 43, relativ</w:t>
      </w:r>
      <w:r w:rsidR="00994C51">
        <w:rPr>
          <w:rFonts w:ascii="Times New Roman" w:hAnsi="Times New Roman" w:cs="Times New Roman"/>
          <w:sz w:val="16"/>
          <w:szCs w:val="16"/>
        </w:rPr>
        <w:t>o</w:t>
      </w:r>
      <w:r w:rsidR="00A70417" w:rsidRPr="00151324">
        <w:rPr>
          <w:rFonts w:ascii="Times New Roman" w:hAnsi="Times New Roman" w:cs="Times New Roman"/>
          <w:sz w:val="16"/>
          <w:szCs w:val="16"/>
        </w:rPr>
        <w:t xml:space="preserve"> alla detenzione di tabacchi lavorati di contrabbando</w:t>
      </w:r>
      <w:r w:rsidR="00A70417">
        <w:rPr>
          <w:rFonts w:ascii="Times New Roman" w:hAnsi="Times New Roman" w:cs="Times New Roman"/>
          <w:sz w:val="16"/>
          <w:szCs w:val="16"/>
        </w:rPr>
        <w:t xml:space="preserve">. </w:t>
      </w:r>
      <w:r w:rsidR="00A70417" w:rsidRPr="00151324">
        <w:rPr>
          <w:rFonts w:ascii="Times New Roman" w:hAnsi="Times New Roman" w:cs="Times New Roman"/>
          <w:sz w:val="16"/>
          <w:szCs w:val="16"/>
        </w:rPr>
        <w:t>La sentenza affronta anche il tema de</w:t>
      </w:r>
      <w:r w:rsidR="00A70417">
        <w:rPr>
          <w:rFonts w:ascii="Times New Roman" w:hAnsi="Times New Roman" w:cs="Times New Roman"/>
          <w:sz w:val="16"/>
          <w:szCs w:val="16"/>
        </w:rPr>
        <w:t>gli effetti de</w:t>
      </w:r>
      <w:r w:rsidR="00A70417" w:rsidRPr="00151324">
        <w:rPr>
          <w:rFonts w:ascii="Times New Roman" w:hAnsi="Times New Roman" w:cs="Times New Roman"/>
          <w:sz w:val="16"/>
          <w:szCs w:val="16"/>
        </w:rPr>
        <w:t>l subingresso nell’attività commerciale</w:t>
      </w:r>
      <w:r w:rsidR="00A70417">
        <w:rPr>
          <w:rFonts w:ascii="Times New Roman" w:hAnsi="Times New Roman" w:cs="Times New Roman"/>
          <w:sz w:val="16"/>
          <w:szCs w:val="16"/>
        </w:rPr>
        <w:t xml:space="preserve"> intervenuto </w:t>
      </w:r>
      <w:r w:rsidR="00A70417" w:rsidRPr="00E70CF2">
        <w:rPr>
          <w:rFonts w:ascii="Times New Roman" w:hAnsi="Times New Roman" w:cs="Times New Roman"/>
          <w:i/>
          <w:sz w:val="16"/>
          <w:szCs w:val="16"/>
        </w:rPr>
        <w:t>medio tempore</w:t>
      </w:r>
      <w:r w:rsidR="00A70417" w:rsidRPr="00151324">
        <w:rPr>
          <w:rFonts w:ascii="Times New Roman" w:hAnsi="Times New Roman" w:cs="Times New Roman"/>
          <w:sz w:val="16"/>
          <w:szCs w:val="16"/>
        </w:rPr>
        <w:t xml:space="preserve">, che può comportare l’estraneità dell’acquirente all’illecito originario, non potendoglisi </w:t>
      </w:r>
      <w:r w:rsidR="00A70417">
        <w:rPr>
          <w:rFonts w:ascii="Times New Roman" w:hAnsi="Times New Roman" w:cs="Times New Roman"/>
          <w:sz w:val="16"/>
          <w:szCs w:val="16"/>
        </w:rPr>
        <w:t>certo</w:t>
      </w:r>
      <w:r w:rsidR="00A70417" w:rsidRPr="00151324">
        <w:rPr>
          <w:rFonts w:ascii="Times New Roman" w:hAnsi="Times New Roman" w:cs="Times New Roman"/>
          <w:sz w:val="16"/>
          <w:szCs w:val="16"/>
        </w:rPr>
        <w:t xml:space="preserve"> imporre un onere di informativa sui procedimenti sanzionatori, di qualsiasi tipologia, pendenti</w:t>
      </w:r>
      <w:r w:rsidR="00994C51">
        <w:rPr>
          <w:rFonts w:ascii="Times New Roman" w:hAnsi="Times New Roman" w:cs="Times New Roman"/>
          <w:sz w:val="16"/>
          <w:szCs w:val="16"/>
        </w:rPr>
        <w:t xml:space="preserve"> o pregressi</w:t>
      </w:r>
      <w:r w:rsidR="00A70417" w:rsidRPr="00151324">
        <w:rPr>
          <w:rFonts w:ascii="Times New Roman" w:hAnsi="Times New Roman" w:cs="Times New Roman"/>
          <w:sz w:val="16"/>
          <w:szCs w:val="16"/>
        </w:rPr>
        <w:t xml:space="preserve">, vuoi in ragione della inesistenza di un’effettiva banca dati al riguardo, vuoi per non incorrere in violazione del divieto di </w:t>
      </w:r>
      <w:proofErr w:type="spellStart"/>
      <w:r w:rsidR="00A70417" w:rsidRPr="00151324">
        <w:rPr>
          <w:rFonts w:ascii="Times New Roman" w:hAnsi="Times New Roman" w:cs="Times New Roman"/>
          <w:i/>
          <w:sz w:val="16"/>
          <w:szCs w:val="16"/>
        </w:rPr>
        <w:t>gold</w:t>
      </w:r>
      <w:proofErr w:type="spellEnd"/>
      <w:r w:rsidR="00A70417" w:rsidRPr="00151324">
        <w:rPr>
          <w:rFonts w:ascii="Times New Roman" w:hAnsi="Times New Roman" w:cs="Times New Roman"/>
          <w:i/>
          <w:sz w:val="16"/>
          <w:szCs w:val="16"/>
        </w:rPr>
        <w:t xml:space="preserve"> </w:t>
      </w:r>
      <w:proofErr w:type="spellStart"/>
      <w:r w:rsidR="00A70417" w:rsidRPr="00151324">
        <w:rPr>
          <w:rFonts w:ascii="Times New Roman" w:hAnsi="Times New Roman" w:cs="Times New Roman"/>
          <w:i/>
          <w:sz w:val="16"/>
          <w:szCs w:val="16"/>
        </w:rPr>
        <w:t>plating</w:t>
      </w:r>
      <w:proofErr w:type="spellEnd"/>
      <w:r w:rsidR="00A70417" w:rsidRPr="00151324">
        <w:rPr>
          <w:rFonts w:ascii="Times New Roman" w:hAnsi="Times New Roman" w:cs="Times New Roman"/>
          <w:sz w:val="16"/>
          <w:szCs w:val="16"/>
        </w:rPr>
        <w:t xml:space="preserve"> nelle transazioni commerciali.    </w:t>
      </w:r>
    </w:p>
    <w:p w14:paraId="650E525C" w14:textId="77777777" w:rsidR="00151324" w:rsidRPr="00151324" w:rsidRDefault="00151324" w:rsidP="00151324">
      <w:pPr>
        <w:pStyle w:val="Testonotaapidipagina"/>
        <w:jc w:val="both"/>
        <w:rPr>
          <w:rFonts w:ascii="Times New Roman" w:hAnsi="Times New Roman" w:cs="Times New Roman"/>
          <w:sz w:val="16"/>
          <w:szCs w:val="16"/>
        </w:rPr>
      </w:pPr>
    </w:p>
  </w:footnote>
  <w:footnote w:id="3">
    <w:p w14:paraId="2E99E6B6" w14:textId="2203988D"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Alla logica di semplificazione nell’accesso agli uffici pubblici rispond</w:t>
      </w:r>
      <w:r w:rsidR="00994C51">
        <w:rPr>
          <w:rFonts w:ascii="Times New Roman" w:hAnsi="Times New Roman" w:cs="Times New Roman"/>
          <w:sz w:val="16"/>
          <w:szCs w:val="16"/>
        </w:rPr>
        <w:t>ono, come noto,</w:t>
      </w:r>
      <w:r w:rsidRPr="00151324">
        <w:rPr>
          <w:rFonts w:ascii="Times New Roman" w:hAnsi="Times New Roman" w:cs="Times New Roman"/>
          <w:sz w:val="16"/>
          <w:szCs w:val="16"/>
        </w:rPr>
        <w:t xml:space="preserve"> l’art. 24 del d.lgs. 31 marzo 1998, n. 112, di istituzione dello s</w:t>
      </w:r>
      <w:r w:rsidRPr="00151324">
        <w:rPr>
          <w:rFonts w:ascii="Times New Roman" w:hAnsi="Times New Roman" w:cs="Times New Roman"/>
          <w:color w:val="000000"/>
          <w:sz w:val="16"/>
          <w:szCs w:val="16"/>
        </w:rPr>
        <w:t>portello unico delle attività produttive (S.U.A.P.)</w:t>
      </w:r>
      <w:r w:rsidR="00994C51">
        <w:rPr>
          <w:rFonts w:ascii="Times New Roman" w:hAnsi="Times New Roman" w:cs="Times New Roman"/>
          <w:color w:val="000000"/>
          <w:sz w:val="16"/>
          <w:szCs w:val="16"/>
        </w:rPr>
        <w:t xml:space="preserve"> - </w:t>
      </w:r>
      <w:r w:rsidRPr="00151324">
        <w:rPr>
          <w:rFonts w:ascii="Times New Roman" w:hAnsi="Times New Roman" w:cs="Times New Roman"/>
          <w:color w:val="000000"/>
          <w:sz w:val="16"/>
          <w:szCs w:val="16"/>
        </w:rPr>
        <w:t xml:space="preserve">la cui concreta operatività </w:t>
      </w:r>
      <w:r w:rsidR="00994C51">
        <w:rPr>
          <w:rFonts w:ascii="Times New Roman" w:hAnsi="Times New Roman" w:cs="Times New Roman"/>
          <w:color w:val="000000"/>
          <w:sz w:val="16"/>
          <w:szCs w:val="16"/>
        </w:rPr>
        <w:t xml:space="preserve">non a caso </w:t>
      </w:r>
      <w:r w:rsidRPr="00151324">
        <w:rPr>
          <w:rFonts w:ascii="Times New Roman" w:hAnsi="Times New Roman" w:cs="Times New Roman"/>
          <w:color w:val="000000"/>
          <w:sz w:val="16"/>
          <w:szCs w:val="16"/>
        </w:rPr>
        <w:t xml:space="preserve">è stata tuttavia oggetto di disciplina regolamentare </w:t>
      </w:r>
      <w:r w:rsidR="00994C51">
        <w:rPr>
          <w:rFonts w:ascii="Times New Roman" w:hAnsi="Times New Roman" w:cs="Times New Roman"/>
          <w:color w:val="000000"/>
          <w:sz w:val="16"/>
          <w:szCs w:val="16"/>
        </w:rPr>
        <w:t xml:space="preserve">solo </w:t>
      </w:r>
      <w:r w:rsidRPr="00151324">
        <w:rPr>
          <w:rFonts w:ascii="Times New Roman" w:hAnsi="Times New Roman" w:cs="Times New Roman"/>
          <w:color w:val="000000"/>
          <w:sz w:val="16"/>
          <w:szCs w:val="16"/>
        </w:rPr>
        <w:t>a distanza di molti anni (si veda da ultimo il d.P.R. 7 settembre 2010, n. 160)</w:t>
      </w:r>
      <w:r w:rsidR="00994C51">
        <w:rPr>
          <w:rFonts w:ascii="Times New Roman" w:hAnsi="Times New Roman" w:cs="Times New Roman"/>
          <w:color w:val="000000"/>
          <w:sz w:val="16"/>
          <w:szCs w:val="16"/>
        </w:rPr>
        <w:t xml:space="preserve"> -</w:t>
      </w:r>
      <w:r w:rsidRPr="00151324">
        <w:rPr>
          <w:rFonts w:ascii="Times New Roman" w:hAnsi="Times New Roman" w:cs="Times New Roman"/>
          <w:color w:val="000000"/>
          <w:sz w:val="16"/>
          <w:szCs w:val="16"/>
        </w:rPr>
        <w:t xml:space="preserve"> nonché</w:t>
      </w:r>
      <w:r w:rsidRPr="00151324">
        <w:rPr>
          <w:rFonts w:ascii="Times New Roman" w:hAnsi="Times New Roman" w:cs="Times New Roman"/>
          <w:sz w:val="16"/>
          <w:szCs w:val="16"/>
        </w:rPr>
        <w:t xml:space="preserve"> l’art. 5 del d.P.R. 30 giugno 2001, n. 380 (</w:t>
      </w:r>
      <w:proofErr w:type="spellStart"/>
      <w:r w:rsidRPr="00151324">
        <w:rPr>
          <w:rFonts w:ascii="Times New Roman" w:hAnsi="Times New Roman" w:cs="Times New Roman"/>
          <w:sz w:val="16"/>
          <w:szCs w:val="16"/>
        </w:rPr>
        <w:t>T.u.e</w:t>
      </w:r>
      <w:proofErr w:type="spellEnd"/>
      <w:r w:rsidRPr="00151324">
        <w:rPr>
          <w:rFonts w:ascii="Times New Roman" w:hAnsi="Times New Roman" w:cs="Times New Roman"/>
          <w:sz w:val="16"/>
          <w:szCs w:val="16"/>
        </w:rPr>
        <w:t xml:space="preserve">.) concernente l’analoga struttura deputata all’istruttoria, anche informativa, delle sole pratiche edilizie di diversa natura. La prassi </w:t>
      </w:r>
      <w:r w:rsidR="00750D90">
        <w:rPr>
          <w:rFonts w:ascii="Times New Roman" w:hAnsi="Times New Roman" w:cs="Times New Roman"/>
          <w:sz w:val="16"/>
          <w:szCs w:val="16"/>
        </w:rPr>
        <w:t xml:space="preserve">ha da subito evidenziato </w:t>
      </w:r>
      <w:r w:rsidRPr="00151324">
        <w:rPr>
          <w:rFonts w:ascii="Times New Roman" w:hAnsi="Times New Roman" w:cs="Times New Roman"/>
          <w:sz w:val="16"/>
          <w:szCs w:val="16"/>
        </w:rPr>
        <w:t xml:space="preserve">difficoltà di coordinamento </w:t>
      </w:r>
      <w:r w:rsidR="00750D90">
        <w:rPr>
          <w:rFonts w:ascii="Times New Roman" w:hAnsi="Times New Roman" w:cs="Times New Roman"/>
          <w:sz w:val="16"/>
          <w:szCs w:val="16"/>
        </w:rPr>
        <w:t xml:space="preserve">finanche </w:t>
      </w:r>
      <w:r w:rsidRPr="00151324">
        <w:rPr>
          <w:rFonts w:ascii="Times New Roman" w:hAnsi="Times New Roman" w:cs="Times New Roman"/>
          <w:sz w:val="16"/>
          <w:szCs w:val="16"/>
        </w:rPr>
        <w:t>tra ridette articolazioni</w:t>
      </w:r>
      <w:r w:rsidR="00750D90">
        <w:rPr>
          <w:rFonts w:ascii="Times New Roman" w:hAnsi="Times New Roman" w:cs="Times New Roman"/>
          <w:sz w:val="16"/>
          <w:szCs w:val="16"/>
        </w:rPr>
        <w:t xml:space="preserve"> organizzative</w:t>
      </w:r>
      <w:r w:rsidRPr="00151324">
        <w:rPr>
          <w:rFonts w:ascii="Times New Roman" w:hAnsi="Times New Roman" w:cs="Times New Roman"/>
          <w:sz w:val="16"/>
          <w:szCs w:val="16"/>
        </w:rPr>
        <w:t xml:space="preserve">, in particolare negli Enti territoriali di dimensioni ridotte, </w:t>
      </w:r>
      <w:r w:rsidR="00750D90">
        <w:rPr>
          <w:rFonts w:ascii="Times New Roman" w:hAnsi="Times New Roman" w:cs="Times New Roman"/>
          <w:sz w:val="16"/>
          <w:szCs w:val="16"/>
        </w:rPr>
        <w:t xml:space="preserve">anche </w:t>
      </w:r>
      <w:r w:rsidRPr="00151324">
        <w:rPr>
          <w:rFonts w:ascii="Times New Roman" w:hAnsi="Times New Roman" w:cs="Times New Roman"/>
          <w:sz w:val="16"/>
          <w:szCs w:val="16"/>
        </w:rPr>
        <w:t>laddove ci si avvalga d</w:t>
      </w:r>
      <w:r w:rsidR="00750D90">
        <w:rPr>
          <w:rFonts w:ascii="Times New Roman" w:hAnsi="Times New Roman" w:cs="Times New Roman"/>
          <w:sz w:val="16"/>
          <w:szCs w:val="16"/>
        </w:rPr>
        <w:t xml:space="preserve">ei previsti strumenti </w:t>
      </w:r>
      <w:r w:rsidRPr="00151324">
        <w:rPr>
          <w:rFonts w:ascii="Times New Roman" w:hAnsi="Times New Roman" w:cs="Times New Roman"/>
          <w:sz w:val="16"/>
          <w:szCs w:val="16"/>
        </w:rPr>
        <w:t xml:space="preserve">di gestione associata, </w:t>
      </w:r>
      <w:r w:rsidR="00750D90">
        <w:rPr>
          <w:rFonts w:ascii="Times New Roman" w:hAnsi="Times New Roman" w:cs="Times New Roman"/>
          <w:sz w:val="16"/>
          <w:szCs w:val="16"/>
        </w:rPr>
        <w:t xml:space="preserve">per uno solo o per entrambi gli sportelli, </w:t>
      </w:r>
      <w:r w:rsidRPr="00151324">
        <w:rPr>
          <w:rFonts w:ascii="Times New Roman" w:hAnsi="Times New Roman" w:cs="Times New Roman"/>
          <w:sz w:val="16"/>
          <w:szCs w:val="16"/>
        </w:rPr>
        <w:t xml:space="preserve">con quanto ne </w:t>
      </w:r>
      <w:r w:rsidR="00750D90">
        <w:rPr>
          <w:rFonts w:ascii="Times New Roman" w:hAnsi="Times New Roman" w:cs="Times New Roman"/>
          <w:sz w:val="16"/>
          <w:szCs w:val="16"/>
        </w:rPr>
        <w:t xml:space="preserve">è </w:t>
      </w:r>
      <w:r w:rsidRPr="00151324">
        <w:rPr>
          <w:rFonts w:ascii="Times New Roman" w:hAnsi="Times New Roman" w:cs="Times New Roman"/>
          <w:sz w:val="16"/>
          <w:szCs w:val="16"/>
        </w:rPr>
        <w:t>consegu</w:t>
      </w:r>
      <w:r w:rsidR="00750D90">
        <w:rPr>
          <w:rFonts w:ascii="Times New Roman" w:hAnsi="Times New Roman" w:cs="Times New Roman"/>
          <w:sz w:val="16"/>
          <w:szCs w:val="16"/>
        </w:rPr>
        <w:t xml:space="preserve">ito </w:t>
      </w:r>
      <w:r w:rsidRPr="00151324">
        <w:rPr>
          <w:rFonts w:ascii="Times New Roman" w:hAnsi="Times New Roman" w:cs="Times New Roman"/>
          <w:sz w:val="16"/>
          <w:szCs w:val="16"/>
        </w:rPr>
        <w:t>in termini di individuazione della effettiva titolarità delle competenze e</w:t>
      </w:r>
      <w:r w:rsidR="00750D90">
        <w:rPr>
          <w:rFonts w:ascii="Times New Roman" w:hAnsi="Times New Roman" w:cs="Times New Roman"/>
          <w:sz w:val="16"/>
          <w:szCs w:val="16"/>
        </w:rPr>
        <w:t xml:space="preserve">, a cascata, </w:t>
      </w:r>
      <w:r w:rsidRPr="00151324">
        <w:rPr>
          <w:rFonts w:ascii="Times New Roman" w:hAnsi="Times New Roman" w:cs="Times New Roman"/>
          <w:sz w:val="16"/>
          <w:szCs w:val="16"/>
        </w:rPr>
        <w:t xml:space="preserve">delle conseguenti responsabilità). V. in proposito Cons. Stato, sez. IV, 9 dicembre 2020, n. 7773; sez. II, 27 febbraio 2020, n. 4774.   </w:t>
      </w:r>
    </w:p>
  </w:footnote>
  <w:footnote w:id="4">
    <w:p w14:paraId="2B6AB83E" w14:textId="3DBEE4C1" w:rsidR="004B5820" w:rsidRDefault="004B5820"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L’elencazione </w:t>
      </w:r>
      <w:r w:rsidR="00F07E10">
        <w:rPr>
          <w:rFonts w:ascii="Times New Roman" w:hAnsi="Times New Roman" w:cs="Times New Roman"/>
          <w:sz w:val="16"/>
          <w:szCs w:val="16"/>
        </w:rPr>
        <w:t>delle sanzioni in materia urbanistico-edilizia riportata nel testo è volutamente limitata ad alcu</w:t>
      </w:r>
      <w:r w:rsidR="0008429E">
        <w:rPr>
          <w:rFonts w:ascii="Times New Roman" w:hAnsi="Times New Roman" w:cs="Times New Roman"/>
          <w:sz w:val="16"/>
          <w:szCs w:val="16"/>
        </w:rPr>
        <w:t>n</w:t>
      </w:r>
      <w:r w:rsidR="00F07E10">
        <w:rPr>
          <w:rFonts w:ascii="Times New Roman" w:hAnsi="Times New Roman" w:cs="Times New Roman"/>
          <w:sz w:val="16"/>
          <w:szCs w:val="16"/>
        </w:rPr>
        <w:t xml:space="preserve">i dei casi più frequenti </w:t>
      </w:r>
      <w:r w:rsidRPr="00151324">
        <w:rPr>
          <w:rFonts w:ascii="Times New Roman" w:hAnsi="Times New Roman" w:cs="Times New Roman"/>
          <w:sz w:val="16"/>
          <w:szCs w:val="16"/>
        </w:rPr>
        <w:t xml:space="preserve">di irrogazione di sanzioni </w:t>
      </w:r>
      <w:r w:rsidR="00F07E10">
        <w:rPr>
          <w:rFonts w:ascii="Times New Roman" w:hAnsi="Times New Roman" w:cs="Times New Roman"/>
          <w:sz w:val="16"/>
          <w:szCs w:val="16"/>
        </w:rPr>
        <w:t>pecuniarie individuate in u</w:t>
      </w:r>
      <w:r w:rsidRPr="00151324">
        <w:rPr>
          <w:rFonts w:ascii="Times New Roman" w:hAnsi="Times New Roman" w:cs="Times New Roman"/>
          <w:sz w:val="16"/>
          <w:szCs w:val="16"/>
        </w:rPr>
        <w:t>na forbice edittale predeterminata</w:t>
      </w:r>
      <w:r w:rsidR="00F07E10">
        <w:rPr>
          <w:rFonts w:ascii="Times New Roman" w:hAnsi="Times New Roman" w:cs="Times New Roman"/>
          <w:sz w:val="16"/>
          <w:szCs w:val="16"/>
        </w:rPr>
        <w:t xml:space="preserve">. Più complesso l’inquadramento –ma di certo non il regime delle tutele, per quanto qui di interesse- delle medesime sanzioni pecuniarie, ove previste in </w:t>
      </w:r>
      <w:r w:rsidR="00DC775C" w:rsidRPr="00151324">
        <w:rPr>
          <w:rFonts w:ascii="Times New Roman" w:hAnsi="Times New Roman" w:cs="Times New Roman"/>
          <w:sz w:val="16"/>
          <w:szCs w:val="16"/>
        </w:rPr>
        <w:t>alternativ</w:t>
      </w:r>
      <w:r w:rsidR="00F07E10">
        <w:rPr>
          <w:rFonts w:ascii="Times New Roman" w:hAnsi="Times New Roman" w:cs="Times New Roman"/>
          <w:sz w:val="16"/>
          <w:szCs w:val="16"/>
        </w:rPr>
        <w:t>a</w:t>
      </w:r>
      <w:r w:rsidR="00DC775C" w:rsidRPr="00151324">
        <w:rPr>
          <w:rFonts w:ascii="Times New Roman" w:hAnsi="Times New Roman" w:cs="Times New Roman"/>
          <w:sz w:val="16"/>
          <w:szCs w:val="16"/>
        </w:rPr>
        <w:t xml:space="preserve"> alla demolizione, resa impossibile dal pregiudizio che ne deriverebbe alla parte “lecita” del manufatto (v. art. 34, comma 2, per il caso di realizzazione di un intervento in parziale difformità dal permesso di costruire)</w:t>
      </w:r>
      <w:r w:rsidR="00F07E10">
        <w:rPr>
          <w:rFonts w:ascii="Times New Roman" w:hAnsi="Times New Roman" w:cs="Times New Roman"/>
          <w:sz w:val="16"/>
          <w:szCs w:val="16"/>
        </w:rPr>
        <w:t>,</w:t>
      </w:r>
      <w:r w:rsidR="00DC775C" w:rsidRPr="00151324">
        <w:rPr>
          <w:rFonts w:ascii="Times New Roman" w:hAnsi="Times New Roman" w:cs="Times New Roman"/>
          <w:sz w:val="16"/>
          <w:szCs w:val="16"/>
        </w:rPr>
        <w:t xml:space="preserve"> </w:t>
      </w:r>
      <w:r w:rsidRPr="00151324">
        <w:rPr>
          <w:rFonts w:ascii="Times New Roman" w:hAnsi="Times New Roman" w:cs="Times New Roman"/>
          <w:sz w:val="16"/>
          <w:szCs w:val="16"/>
        </w:rPr>
        <w:t>commisurat</w:t>
      </w:r>
      <w:r w:rsidR="00F07E10">
        <w:rPr>
          <w:rFonts w:ascii="Times New Roman" w:hAnsi="Times New Roman" w:cs="Times New Roman"/>
          <w:sz w:val="16"/>
          <w:szCs w:val="16"/>
        </w:rPr>
        <w:t xml:space="preserve">e pertanto </w:t>
      </w:r>
      <w:r w:rsidRPr="00151324">
        <w:rPr>
          <w:rFonts w:ascii="Times New Roman" w:hAnsi="Times New Roman" w:cs="Times New Roman"/>
          <w:sz w:val="16"/>
          <w:szCs w:val="16"/>
        </w:rPr>
        <w:t>al valore venale del bene</w:t>
      </w:r>
      <w:r w:rsidR="00F07E10">
        <w:rPr>
          <w:rFonts w:ascii="Times New Roman" w:hAnsi="Times New Roman" w:cs="Times New Roman"/>
          <w:sz w:val="16"/>
          <w:szCs w:val="16"/>
        </w:rPr>
        <w:t xml:space="preserve">. </w:t>
      </w:r>
      <w:r w:rsidRPr="00151324">
        <w:rPr>
          <w:rFonts w:ascii="Times New Roman" w:hAnsi="Times New Roman" w:cs="Times New Roman"/>
          <w:sz w:val="16"/>
          <w:szCs w:val="16"/>
          <w:shd w:val="clear" w:color="auto" w:fill="FFFFFF"/>
        </w:rPr>
        <w:t>Come è stato sottolineato dalla dottrina più rigorosa, il provvedimento che ingiunge la demolizione di un</w:t>
      </w:r>
      <w:r w:rsidR="00F07E10">
        <w:rPr>
          <w:rFonts w:ascii="Times New Roman" w:hAnsi="Times New Roman" w:cs="Times New Roman"/>
          <w:sz w:val="16"/>
          <w:szCs w:val="16"/>
          <w:shd w:val="clear" w:color="auto" w:fill="FFFFFF"/>
        </w:rPr>
        <w:t>’</w:t>
      </w:r>
      <w:r w:rsidRPr="00151324">
        <w:rPr>
          <w:rFonts w:ascii="Times New Roman" w:hAnsi="Times New Roman" w:cs="Times New Roman"/>
          <w:sz w:val="16"/>
          <w:szCs w:val="16"/>
          <w:shd w:val="clear" w:color="auto" w:fill="FFFFFF"/>
        </w:rPr>
        <w:t>opera abusiva</w:t>
      </w:r>
      <w:r w:rsidR="00F07E10">
        <w:rPr>
          <w:rFonts w:ascii="Times New Roman" w:hAnsi="Times New Roman" w:cs="Times New Roman"/>
          <w:sz w:val="16"/>
          <w:szCs w:val="16"/>
          <w:shd w:val="clear" w:color="auto" w:fill="FFFFFF"/>
        </w:rPr>
        <w:t>, infatti,</w:t>
      </w:r>
      <w:r w:rsidRPr="00151324">
        <w:rPr>
          <w:rFonts w:ascii="Times New Roman" w:hAnsi="Times New Roman" w:cs="Times New Roman"/>
          <w:sz w:val="16"/>
          <w:szCs w:val="16"/>
          <w:shd w:val="clear" w:color="auto" w:fill="FFFFFF"/>
        </w:rPr>
        <w:t xml:space="preserve"> non ha natura propriamente sanzionatoria, ma è finalizzato a ripristinare la legalità oggettiva violata dall</w:t>
      </w:r>
      <w:r w:rsidR="00F07E10">
        <w:rPr>
          <w:rFonts w:ascii="Times New Roman" w:hAnsi="Times New Roman" w:cs="Times New Roman"/>
          <w:sz w:val="16"/>
          <w:szCs w:val="16"/>
          <w:shd w:val="clear" w:color="auto" w:fill="FFFFFF"/>
        </w:rPr>
        <w:t>’</w:t>
      </w:r>
      <w:r w:rsidRPr="00151324">
        <w:rPr>
          <w:rFonts w:ascii="Times New Roman" w:hAnsi="Times New Roman" w:cs="Times New Roman"/>
          <w:sz w:val="16"/>
          <w:szCs w:val="16"/>
          <w:shd w:val="clear" w:color="auto" w:fill="FFFFFF"/>
        </w:rPr>
        <w:t>abuso</w:t>
      </w:r>
      <w:r w:rsidR="00F07E10">
        <w:rPr>
          <w:rFonts w:ascii="Times New Roman" w:hAnsi="Times New Roman" w:cs="Times New Roman"/>
          <w:sz w:val="16"/>
          <w:szCs w:val="16"/>
          <w:shd w:val="clear" w:color="auto" w:fill="FFFFFF"/>
        </w:rPr>
        <w:t>, tant’è che finisce per operare in maniera necessitata a prescindere dai profili di colpevolezza del proprietario dell’immobile</w:t>
      </w:r>
      <w:r w:rsidRPr="00151324">
        <w:rPr>
          <w:rFonts w:ascii="Times New Roman" w:hAnsi="Times New Roman" w:cs="Times New Roman"/>
          <w:sz w:val="16"/>
          <w:szCs w:val="16"/>
          <w:shd w:val="clear" w:color="auto" w:fill="FFFFFF"/>
        </w:rPr>
        <w:t>. La stessa finalità</w:t>
      </w:r>
      <w:r w:rsidR="00F07E10">
        <w:rPr>
          <w:rFonts w:ascii="Times New Roman" w:hAnsi="Times New Roman" w:cs="Times New Roman"/>
          <w:sz w:val="16"/>
          <w:szCs w:val="16"/>
          <w:shd w:val="clear" w:color="auto" w:fill="FFFFFF"/>
        </w:rPr>
        <w:t xml:space="preserve"> finirebbe per </w:t>
      </w:r>
      <w:r w:rsidRPr="00151324">
        <w:rPr>
          <w:rFonts w:ascii="Times New Roman" w:hAnsi="Times New Roman" w:cs="Times New Roman"/>
          <w:sz w:val="16"/>
          <w:szCs w:val="16"/>
          <w:shd w:val="clear" w:color="auto" w:fill="FFFFFF"/>
        </w:rPr>
        <w:t>condizion</w:t>
      </w:r>
      <w:r w:rsidR="00F07E10">
        <w:rPr>
          <w:rFonts w:ascii="Times New Roman" w:hAnsi="Times New Roman" w:cs="Times New Roman"/>
          <w:sz w:val="16"/>
          <w:szCs w:val="16"/>
          <w:shd w:val="clear" w:color="auto" w:fill="FFFFFF"/>
        </w:rPr>
        <w:t>are</w:t>
      </w:r>
      <w:r w:rsidRPr="00151324">
        <w:rPr>
          <w:rFonts w:ascii="Times New Roman" w:hAnsi="Times New Roman" w:cs="Times New Roman"/>
          <w:sz w:val="16"/>
          <w:szCs w:val="16"/>
          <w:shd w:val="clear" w:color="auto" w:fill="FFFFFF"/>
        </w:rPr>
        <w:t xml:space="preserve"> anche le misure </w:t>
      </w:r>
      <w:r w:rsidRPr="00151324">
        <w:rPr>
          <w:rStyle w:val="highlight"/>
          <w:rFonts w:ascii="Times New Roman" w:hAnsi="Times New Roman" w:cs="Times New Roman"/>
          <w:sz w:val="16"/>
          <w:szCs w:val="16"/>
          <w:shd w:val="clear" w:color="auto" w:fill="FFFFFF"/>
        </w:rPr>
        <w:t>pecuniarie</w:t>
      </w:r>
      <w:r w:rsidRPr="00151324">
        <w:rPr>
          <w:rFonts w:ascii="Times New Roman" w:hAnsi="Times New Roman" w:cs="Times New Roman"/>
          <w:sz w:val="16"/>
          <w:szCs w:val="16"/>
          <w:shd w:val="clear" w:color="auto" w:fill="FFFFFF"/>
        </w:rPr>
        <w:t xml:space="preserve"> previste, per alcune fattispecie, </w:t>
      </w:r>
      <w:r w:rsidR="00F07E10">
        <w:rPr>
          <w:rFonts w:ascii="Times New Roman" w:hAnsi="Times New Roman" w:cs="Times New Roman"/>
          <w:sz w:val="16"/>
          <w:szCs w:val="16"/>
          <w:shd w:val="clear" w:color="auto" w:fill="FFFFFF"/>
        </w:rPr>
        <w:t xml:space="preserve">proprio </w:t>
      </w:r>
      <w:r w:rsidRPr="00151324">
        <w:rPr>
          <w:rFonts w:ascii="Times New Roman" w:hAnsi="Times New Roman" w:cs="Times New Roman"/>
          <w:sz w:val="16"/>
          <w:szCs w:val="16"/>
          <w:shd w:val="clear" w:color="auto" w:fill="FFFFFF"/>
        </w:rPr>
        <w:t>in alternativa alla demolizione stessa</w:t>
      </w:r>
      <w:r w:rsidR="00F07E10">
        <w:rPr>
          <w:rFonts w:ascii="Times New Roman" w:hAnsi="Times New Roman" w:cs="Times New Roman"/>
          <w:sz w:val="16"/>
          <w:szCs w:val="16"/>
          <w:shd w:val="clear" w:color="auto" w:fill="FFFFFF"/>
        </w:rPr>
        <w:t>. Q</w:t>
      </w:r>
      <w:r w:rsidRPr="00151324">
        <w:rPr>
          <w:rFonts w:ascii="Times New Roman" w:hAnsi="Times New Roman" w:cs="Times New Roman"/>
          <w:sz w:val="16"/>
          <w:szCs w:val="16"/>
          <w:shd w:val="clear" w:color="auto" w:fill="FFFFFF"/>
        </w:rPr>
        <w:t xml:space="preserve">ueste misure patrimoniali, inaugurate dalla legge-ponte del 1967, costituirebbero </w:t>
      </w:r>
      <w:r w:rsidR="00F07E10">
        <w:rPr>
          <w:rFonts w:ascii="Times New Roman" w:hAnsi="Times New Roman" w:cs="Times New Roman"/>
          <w:sz w:val="16"/>
          <w:szCs w:val="16"/>
          <w:shd w:val="clear" w:color="auto" w:fill="FFFFFF"/>
        </w:rPr>
        <w:t xml:space="preserve">cioè </w:t>
      </w:r>
      <w:r w:rsidRPr="00151324">
        <w:rPr>
          <w:rFonts w:ascii="Times New Roman" w:hAnsi="Times New Roman" w:cs="Times New Roman"/>
          <w:sz w:val="16"/>
          <w:szCs w:val="16"/>
          <w:shd w:val="clear" w:color="auto" w:fill="FFFFFF"/>
        </w:rPr>
        <w:t>uno strumento di riequilibrio patrimoniale diretto ad evitare che la violazione di norme urbanistico-</w:t>
      </w:r>
      <w:r w:rsidRPr="00151324">
        <w:rPr>
          <w:rStyle w:val="highlight"/>
          <w:rFonts w:ascii="Times New Roman" w:hAnsi="Times New Roman" w:cs="Times New Roman"/>
          <w:sz w:val="16"/>
          <w:szCs w:val="16"/>
          <w:shd w:val="clear" w:color="auto" w:fill="FFFFFF"/>
        </w:rPr>
        <w:t>edilizie</w:t>
      </w:r>
      <w:r w:rsidRPr="00151324">
        <w:rPr>
          <w:rFonts w:ascii="Times New Roman" w:hAnsi="Times New Roman" w:cs="Times New Roman"/>
          <w:sz w:val="16"/>
          <w:szCs w:val="16"/>
          <w:shd w:val="clear" w:color="auto" w:fill="FFFFFF"/>
        </w:rPr>
        <w:t> possa determinare, in assenza della demolizione, un vantaggio patrimoniale in capo al titolare dell</w:t>
      </w:r>
      <w:r w:rsidR="00F07E10">
        <w:rPr>
          <w:rFonts w:ascii="Times New Roman" w:hAnsi="Times New Roman" w:cs="Times New Roman"/>
          <w:sz w:val="16"/>
          <w:szCs w:val="16"/>
          <w:shd w:val="clear" w:color="auto" w:fill="FFFFFF"/>
        </w:rPr>
        <w:t>’</w:t>
      </w:r>
      <w:r w:rsidRPr="00151324">
        <w:rPr>
          <w:rFonts w:ascii="Times New Roman" w:hAnsi="Times New Roman" w:cs="Times New Roman"/>
          <w:sz w:val="16"/>
          <w:szCs w:val="16"/>
          <w:shd w:val="clear" w:color="auto" w:fill="FFFFFF"/>
        </w:rPr>
        <w:t>immobile interessato</w:t>
      </w:r>
      <w:r w:rsidR="00F07E10">
        <w:rPr>
          <w:rFonts w:ascii="Times New Roman" w:hAnsi="Times New Roman" w:cs="Times New Roman"/>
          <w:sz w:val="16"/>
          <w:szCs w:val="16"/>
          <w:shd w:val="clear" w:color="auto" w:fill="FFFFFF"/>
        </w:rPr>
        <w:t xml:space="preserve">, assumendo pertanto </w:t>
      </w:r>
      <w:r w:rsidRPr="00151324">
        <w:rPr>
          <w:rFonts w:ascii="Times New Roman" w:hAnsi="Times New Roman" w:cs="Times New Roman"/>
          <w:sz w:val="16"/>
          <w:szCs w:val="16"/>
          <w:shd w:val="clear" w:color="auto" w:fill="FFFFFF"/>
        </w:rPr>
        <w:t xml:space="preserve">una finalità </w:t>
      </w:r>
      <w:r w:rsidR="00F07E10">
        <w:rPr>
          <w:rFonts w:ascii="Times New Roman" w:hAnsi="Times New Roman" w:cs="Times New Roman"/>
          <w:sz w:val="16"/>
          <w:szCs w:val="16"/>
          <w:shd w:val="clear" w:color="auto" w:fill="FFFFFF"/>
        </w:rPr>
        <w:t xml:space="preserve">più propriamente </w:t>
      </w:r>
      <w:r w:rsidRPr="00151324">
        <w:rPr>
          <w:rFonts w:ascii="Times New Roman" w:hAnsi="Times New Roman" w:cs="Times New Roman"/>
          <w:sz w:val="16"/>
          <w:szCs w:val="16"/>
          <w:shd w:val="clear" w:color="auto" w:fill="FFFFFF"/>
        </w:rPr>
        <w:t xml:space="preserve">perequativa, </w:t>
      </w:r>
      <w:r w:rsidR="00F07E10">
        <w:rPr>
          <w:rFonts w:ascii="Times New Roman" w:hAnsi="Times New Roman" w:cs="Times New Roman"/>
          <w:sz w:val="16"/>
          <w:szCs w:val="16"/>
          <w:shd w:val="clear" w:color="auto" w:fill="FFFFFF"/>
        </w:rPr>
        <w:t xml:space="preserve">che ontologicamente </w:t>
      </w:r>
      <w:r w:rsidRPr="00151324">
        <w:rPr>
          <w:rFonts w:ascii="Times New Roman" w:hAnsi="Times New Roman" w:cs="Times New Roman"/>
          <w:sz w:val="16"/>
          <w:szCs w:val="16"/>
          <w:shd w:val="clear" w:color="auto" w:fill="FFFFFF"/>
        </w:rPr>
        <w:t>sanzionatori</w:t>
      </w:r>
      <w:r w:rsidR="00F07E10">
        <w:rPr>
          <w:rFonts w:ascii="Times New Roman" w:hAnsi="Times New Roman" w:cs="Times New Roman"/>
          <w:sz w:val="16"/>
          <w:szCs w:val="16"/>
          <w:shd w:val="clear" w:color="auto" w:fill="FFFFFF"/>
        </w:rPr>
        <w:t>a</w:t>
      </w:r>
      <w:r w:rsidRPr="00151324">
        <w:rPr>
          <w:rFonts w:ascii="Times New Roman" w:hAnsi="Times New Roman" w:cs="Times New Roman"/>
          <w:sz w:val="16"/>
          <w:szCs w:val="16"/>
          <w:shd w:val="clear" w:color="auto" w:fill="FFFFFF"/>
        </w:rPr>
        <w:t>.</w:t>
      </w:r>
      <w:r w:rsidR="00DC775C" w:rsidRPr="00151324">
        <w:rPr>
          <w:rFonts w:ascii="Times New Roman" w:hAnsi="Times New Roman" w:cs="Times New Roman"/>
          <w:sz w:val="16"/>
          <w:szCs w:val="16"/>
          <w:shd w:val="clear" w:color="auto" w:fill="FFFFFF"/>
        </w:rPr>
        <w:t xml:space="preserve"> </w:t>
      </w:r>
      <w:r w:rsidRPr="00151324">
        <w:rPr>
          <w:rFonts w:ascii="Times New Roman" w:hAnsi="Times New Roman" w:cs="Times New Roman"/>
          <w:sz w:val="16"/>
          <w:szCs w:val="16"/>
          <w:shd w:val="clear" w:color="auto" w:fill="FFFFFF"/>
        </w:rPr>
        <w:t>Sul punto v. A. Albé, Provvedimenti repressivi di abusi e onere di motivazione, in Urbanistica e appalti, 2013, 12, 1329 (nota a Cons. Stato, sez. IV, 10 giugno 2013, n. 3182)</w:t>
      </w:r>
      <w:r w:rsidR="00F07E10">
        <w:rPr>
          <w:rFonts w:ascii="Times New Roman" w:hAnsi="Times New Roman" w:cs="Times New Roman"/>
          <w:sz w:val="16"/>
          <w:szCs w:val="16"/>
          <w:shd w:val="clear" w:color="auto" w:fill="FFFFFF"/>
        </w:rPr>
        <w:t>;</w:t>
      </w:r>
      <w:r w:rsidRPr="00151324">
        <w:rPr>
          <w:rFonts w:ascii="Times New Roman" w:hAnsi="Times New Roman" w:cs="Times New Roman"/>
          <w:sz w:val="16"/>
          <w:szCs w:val="16"/>
          <w:shd w:val="clear" w:color="auto" w:fill="FFFFFF"/>
        </w:rPr>
        <w:t xml:space="preserve"> </w:t>
      </w:r>
      <w:r w:rsidR="00DC775C" w:rsidRPr="00151324">
        <w:rPr>
          <w:rFonts w:ascii="Times New Roman" w:hAnsi="Times New Roman" w:cs="Times New Roman"/>
          <w:sz w:val="16"/>
          <w:szCs w:val="16"/>
          <w:shd w:val="clear" w:color="auto" w:fill="FFFFFF"/>
        </w:rPr>
        <w:t xml:space="preserve">D. </w:t>
      </w:r>
      <w:proofErr w:type="spellStart"/>
      <w:r w:rsidR="00DC775C" w:rsidRPr="00151324">
        <w:rPr>
          <w:rFonts w:ascii="Times New Roman" w:hAnsi="Times New Roman" w:cs="Times New Roman"/>
          <w:sz w:val="16"/>
          <w:szCs w:val="16"/>
          <w:shd w:val="clear" w:color="auto" w:fill="FFFFFF"/>
        </w:rPr>
        <w:t>Lavermicocca</w:t>
      </w:r>
      <w:proofErr w:type="spellEnd"/>
      <w:r w:rsidR="00DC775C" w:rsidRPr="00151324">
        <w:rPr>
          <w:rFonts w:ascii="Times New Roman" w:hAnsi="Times New Roman" w:cs="Times New Roman"/>
          <w:sz w:val="16"/>
          <w:szCs w:val="16"/>
          <w:shd w:val="clear" w:color="auto" w:fill="FFFFFF"/>
        </w:rPr>
        <w:t xml:space="preserve">, Le sanzioni in edilizia. Atto vincolato e legittimo affidamento, in Urbanistica e appalti, 2019, 5, 641 (nota a Cons. Stato, sez. VI, 14 maggio 2019, n. 3133). </w:t>
      </w:r>
      <w:r w:rsidRPr="00151324">
        <w:rPr>
          <w:rFonts w:ascii="Times New Roman" w:hAnsi="Times New Roman" w:cs="Times New Roman"/>
          <w:sz w:val="16"/>
          <w:szCs w:val="16"/>
          <w:shd w:val="clear" w:color="auto" w:fill="FFFFFF"/>
        </w:rPr>
        <w:t xml:space="preserve"> </w:t>
      </w:r>
      <w:r w:rsidRPr="00151324">
        <w:rPr>
          <w:rFonts w:ascii="Times New Roman" w:hAnsi="Times New Roman" w:cs="Times New Roman"/>
          <w:sz w:val="16"/>
          <w:szCs w:val="16"/>
        </w:rPr>
        <w:t xml:space="preserve"> </w:t>
      </w:r>
    </w:p>
    <w:p w14:paraId="717A8D41" w14:textId="77777777" w:rsidR="00151324" w:rsidRPr="00151324" w:rsidRDefault="00151324" w:rsidP="00151324">
      <w:pPr>
        <w:pStyle w:val="Testonotaapidipagina"/>
        <w:jc w:val="both"/>
        <w:rPr>
          <w:rFonts w:ascii="Times New Roman" w:hAnsi="Times New Roman" w:cs="Times New Roman"/>
          <w:sz w:val="16"/>
          <w:szCs w:val="16"/>
        </w:rPr>
      </w:pPr>
    </w:p>
  </w:footnote>
  <w:footnote w:id="5">
    <w:p w14:paraId="61348F16" w14:textId="33C9B99D"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Sul punto, v. </w:t>
      </w:r>
      <w:r w:rsidR="00713141" w:rsidRPr="00151324">
        <w:rPr>
          <w:rFonts w:ascii="Times New Roman" w:hAnsi="Times New Roman" w:cs="Times New Roman"/>
          <w:sz w:val="16"/>
          <w:szCs w:val="16"/>
        </w:rPr>
        <w:t xml:space="preserve">ancora </w:t>
      </w:r>
      <w:r w:rsidRPr="00151324">
        <w:rPr>
          <w:rFonts w:ascii="Times New Roman" w:hAnsi="Times New Roman" w:cs="Times New Roman"/>
          <w:sz w:val="16"/>
          <w:szCs w:val="16"/>
        </w:rPr>
        <w:t xml:space="preserve">Cons. Stato, sez. II, </w:t>
      </w:r>
      <w:r w:rsidR="00713141" w:rsidRPr="00151324">
        <w:rPr>
          <w:rFonts w:ascii="Times New Roman" w:hAnsi="Times New Roman" w:cs="Times New Roman"/>
          <w:sz w:val="16"/>
          <w:szCs w:val="16"/>
        </w:rPr>
        <w:t xml:space="preserve">n. 3548 del 2020, cit. </w:t>
      </w:r>
      <w:r w:rsidR="00713141" w:rsidRPr="00151324">
        <w:rPr>
          <w:rFonts w:ascii="Times New Roman" w:hAnsi="Times New Roman" w:cs="Times New Roman"/>
          <w:i/>
          <w:sz w:val="16"/>
          <w:szCs w:val="16"/>
        </w:rPr>
        <w:t>sub</w:t>
      </w:r>
      <w:r w:rsidR="00713141" w:rsidRPr="00151324">
        <w:rPr>
          <w:rFonts w:ascii="Times New Roman" w:hAnsi="Times New Roman" w:cs="Times New Roman"/>
          <w:sz w:val="16"/>
          <w:szCs w:val="16"/>
        </w:rPr>
        <w:t xml:space="preserve"> nota 2. </w:t>
      </w:r>
      <w:r w:rsidR="00745517" w:rsidRPr="00151324">
        <w:rPr>
          <w:rFonts w:ascii="Times New Roman" w:hAnsi="Times New Roman" w:cs="Times New Roman"/>
          <w:sz w:val="16"/>
          <w:szCs w:val="16"/>
        </w:rPr>
        <w:t xml:space="preserve">In dottrina, cfr. soprattutto gli studi di M.A. SANDULLI, </w:t>
      </w:r>
      <w:r w:rsidR="00745517" w:rsidRPr="00151324">
        <w:rPr>
          <w:rFonts w:ascii="Times New Roman" w:hAnsi="Times New Roman" w:cs="Times New Roman"/>
          <w:i/>
          <w:iCs/>
          <w:sz w:val="16"/>
          <w:szCs w:val="16"/>
        </w:rPr>
        <w:t>La potestà sanzionatoria della pubblica amministrazione. Studi preliminari</w:t>
      </w:r>
      <w:r w:rsidR="00745517" w:rsidRPr="00151324">
        <w:rPr>
          <w:rFonts w:ascii="Times New Roman" w:hAnsi="Times New Roman" w:cs="Times New Roman"/>
          <w:sz w:val="16"/>
          <w:szCs w:val="16"/>
        </w:rPr>
        <w:t>, Napoli, 1981</w:t>
      </w:r>
      <w:r w:rsidR="00D9050A" w:rsidRPr="00151324">
        <w:rPr>
          <w:rFonts w:ascii="Times New Roman" w:hAnsi="Times New Roman" w:cs="Times New Roman"/>
          <w:sz w:val="16"/>
          <w:szCs w:val="16"/>
        </w:rPr>
        <w:t xml:space="preserve"> (e ivi specifici </w:t>
      </w:r>
      <w:r w:rsidR="000A7332" w:rsidRPr="00151324">
        <w:rPr>
          <w:rFonts w:ascii="Times New Roman" w:hAnsi="Times New Roman" w:cs="Times New Roman"/>
          <w:sz w:val="16"/>
          <w:szCs w:val="16"/>
        </w:rPr>
        <w:t>ca</w:t>
      </w:r>
      <w:r w:rsidR="00D9050A" w:rsidRPr="00151324">
        <w:rPr>
          <w:rFonts w:ascii="Times New Roman" w:hAnsi="Times New Roman" w:cs="Times New Roman"/>
          <w:sz w:val="16"/>
          <w:szCs w:val="16"/>
        </w:rPr>
        <w:t>pitoli sulla confisca e sulle sanzioni edilizie)</w:t>
      </w:r>
      <w:r w:rsidR="00745517" w:rsidRPr="00151324">
        <w:rPr>
          <w:rFonts w:ascii="Times New Roman" w:hAnsi="Times New Roman" w:cs="Times New Roman"/>
          <w:sz w:val="16"/>
          <w:szCs w:val="16"/>
        </w:rPr>
        <w:t xml:space="preserve">; </w:t>
      </w:r>
      <w:r w:rsidR="00745517" w:rsidRPr="00151324">
        <w:rPr>
          <w:rFonts w:ascii="Times New Roman" w:hAnsi="Times New Roman" w:cs="Times New Roman"/>
          <w:i/>
          <w:iCs/>
          <w:sz w:val="16"/>
          <w:szCs w:val="16"/>
        </w:rPr>
        <w:t>Le sanzioni amministrative pecuniarie. Profili sostanziali e procedimentali</w:t>
      </w:r>
      <w:r w:rsidR="00745517" w:rsidRPr="00151324">
        <w:rPr>
          <w:rFonts w:ascii="Times New Roman" w:hAnsi="Times New Roman" w:cs="Times New Roman"/>
          <w:sz w:val="16"/>
          <w:szCs w:val="16"/>
        </w:rPr>
        <w:t xml:space="preserve">, Napoli, 1983; </w:t>
      </w:r>
      <w:r w:rsidR="00745517" w:rsidRPr="00151324">
        <w:rPr>
          <w:rFonts w:ascii="Times New Roman" w:hAnsi="Times New Roman" w:cs="Times New Roman"/>
          <w:i/>
          <w:iCs/>
          <w:sz w:val="16"/>
          <w:szCs w:val="16"/>
        </w:rPr>
        <w:t>Sanzione amministrativa</w:t>
      </w:r>
      <w:r w:rsidR="00745517" w:rsidRPr="00151324">
        <w:rPr>
          <w:rFonts w:ascii="Times New Roman" w:hAnsi="Times New Roman" w:cs="Times New Roman"/>
          <w:sz w:val="16"/>
          <w:szCs w:val="16"/>
        </w:rPr>
        <w:t xml:space="preserve">, </w:t>
      </w:r>
      <w:r w:rsidR="00D9050A" w:rsidRPr="00151324">
        <w:rPr>
          <w:rFonts w:ascii="Times New Roman" w:hAnsi="Times New Roman" w:cs="Times New Roman"/>
          <w:sz w:val="16"/>
          <w:szCs w:val="16"/>
        </w:rPr>
        <w:t xml:space="preserve">voce </w:t>
      </w:r>
      <w:r w:rsidR="000A7332" w:rsidRPr="00151324">
        <w:rPr>
          <w:rFonts w:ascii="Times New Roman" w:hAnsi="Times New Roman" w:cs="Times New Roman"/>
          <w:sz w:val="16"/>
          <w:szCs w:val="16"/>
        </w:rPr>
        <w:t>dell’</w:t>
      </w:r>
      <w:r w:rsidR="00745517" w:rsidRPr="00151324">
        <w:rPr>
          <w:rFonts w:ascii="Times New Roman" w:hAnsi="Times New Roman" w:cs="Times New Roman"/>
          <w:sz w:val="16"/>
          <w:szCs w:val="16"/>
        </w:rPr>
        <w:t xml:space="preserve">Enc. </w:t>
      </w:r>
      <w:r w:rsidR="00D9050A" w:rsidRPr="00151324">
        <w:rPr>
          <w:rFonts w:ascii="Times New Roman" w:hAnsi="Times New Roman" w:cs="Times New Roman"/>
          <w:sz w:val="16"/>
          <w:szCs w:val="16"/>
        </w:rPr>
        <w:t xml:space="preserve">giur. </w:t>
      </w:r>
      <w:r w:rsidR="00745517" w:rsidRPr="00151324">
        <w:rPr>
          <w:rFonts w:ascii="Times New Roman" w:hAnsi="Times New Roman" w:cs="Times New Roman"/>
          <w:sz w:val="16"/>
          <w:szCs w:val="16"/>
        </w:rPr>
        <w:t xml:space="preserve">Treccani, Roma; </w:t>
      </w:r>
      <w:r w:rsidR="000A7332" w:rsidRPr="00151324">
        <w:rPr>
          <w:rFonts w:ascii="Times New Roman" w:hAnsi="Times New Roman" w:cs="Times New Roman"/>
          <w:sz w:val="16"/>
          <w:szCs w:val="16"/>
        </w:rPr>
        <w:t xml:space="preserve">Sanzioni non pecuniarie della </w:t>
      </w:r>
      <w:r w:rsidR="000359D3" w:rsidRPr="00151324">
        <w:rPr>
          <w:rFonts w:ascii="Times New Roman" w:hAnsi="Times New Roman" w:cs="Times New Roman"/>
          <w:sz w:val="16"/>
          <w:szCs w:val="16"/>
        </w:rPr>
        <w:t>P</w:t>
      </w:r>
      <w:r w:rsidR="000A7332" w:rsidRPr="00151324">
        <w:rPr>
          <w:rFonts w:ascii="Times New Roman" w:hAnsi="Times New Roman" w:cs="Times New Roman"/>
          <w:sz w:val="16"/>
          <w:szCs w:val="16"/>
        </w:rPr>
        <w:t xml:space="preserve">.A., in </w:t>
      </w:r>
      <w:r w:rsidR="000A7332" w:rsidRPr="00151324">
        <w:rPr>
          <w:rFonts w:ascii="Times New Roman" w:hAnsi="Times New Roman" w:cs="Times New Roman"/>
          <w:i/>
          <w:iCs/>
          <w:sz w:val="16"/>
          <w:szCs w:val="16"/>
        </w:rPr>
        <w:t>Libro dell’anno del diritto</w:t>
      </w:r>
      <w:r w:rsidR="000A7332" w:rsidRPr="00151324">
        <w:rPr>
          <w:rFonts w:ascii="Times New Roman" w:hAnsi="Times New Roman" w:cs="Times New Roman"/>
          <w:sz w:val="16"/>
          <w:szCs w:val="16"/>
        </w:rPr>
        <w:t xml:space="preserve"> Treccani, Roma, 2015; </w:t>
      </w:r>
      <w:r w:rsidR="00745517" w:rsidRPr="00151324">
        <w:rPr>
          <w:rFonts w:ascii="Times New Roman" w:hAnsi="Times New Roman" w:cs="Times New Roman"/>
          <w:sz w:val="16"/>
          <w:szCs w:val="16"/>
        </w:rPr>
        <w:t xml:space="preserve">e </w:t>
      </w:r>
      <w:r w:rsidR="00D9050A" w:rsidRPr="00151324">
        <w:rPr>
          <w:rFonts w:ascii="Times New Roman" w:hAnsi="Times New Roman" w:cs="Times New Roman"/>
          <w:sz w:val="16"/>
          <w:szCs w:val="16"/>
        </w:rPr>
        <w:t xml:space="preserve">di A. TRAVI, </w:t>
      </w:r>
      <w:r w:rsidR="00D9050A" w:rsidRPr="00151324">
        <w:rPr>
          <w:rFonts w:ascii="Times New Roman" w:hAnsi="Times New Roman" w:cs="Times New Roman"/>
          <w:i/>
          <w:iCs/>
          <w:sz w:val="16"/>
          <w:szCs w:val="16"/>
        </w:rPr>
        <w:t>Sanzioni amministrative e pubblica amministrazione</w:t>
      </w:r>
      <w:r w:rsidR="00D9050A" w:rsidRPr="00151324">
        <w:rPr>
          <w:rFonts w:ascii="Times New Roman" w:hAnsi="Times New Roman" w:cs="Times New Roman"/>
          <w:sz w:val="16"/>
          <w:szCs w:val="16"/>
        </w:rPr>
        <w:t xml:space="preserve">, Padova, 1984; </w:t>
      </w:r>
      <w:r w:rsidR="00D9050A" w:rsidRPr="00151324">
        <w:rPr>
          <w:rFonts w:ascii="Times New Roman" w:hAnsi="Times New Roman" w:cs="Times New Roman"/>
          <w:i/>
          <w:iCs/>
          <w:sz w:val="16"/>
          <w:szCs w:val="16"/>
        </w:rPr>
        <w:t>Incertezza delle regole e sanzioni amministrative</w:t>
      </w:r>
      <w:r w:rsidR="00D9050A" w:rsidRPr="00151324">
        <w:rPr>
          <w:rFonts w:ascii="Times New Roman" w:hAnsi="Times New Roman" w:cs="Times New Roman"/>
          <w:sz w:val="16"/>
          <w:szCs w:val="16"/>
        </w:rPr>
        <w:t xml:space="preserve">, in </w:t>
      </w:r>
      <w:r w:rsidR="00D9050A" w:rsidRPr="00151324">
        <w:rPr>
          <w:rFonts w:ascii="Times New Roman" w:hAnsi="Times New Roman" w:cs="Times New Roman"/>
          <w:i/>
          <w:iCs/>
          <w:sz w:val="16"/>
          <w:szCs w:val="16"/>
        </w:rPr>
        <w:t xml:space="preserve">Dir. </w:t>
      </w:r>
      <w:proofErr w:type="spellStart"/>
      <w:r w:rsidR="00D9050A" w:rsidRPr="00151324">
        <w:rPr>
          <w:rFonts w:ascii="Times New Roman" w:hAnsi="Times New Roman" w:cs="Times New Roman"/>
          <w:i/>
          <w:iCs/>
          <w:sz w:val="16"/>
          <w:szCs w:val="16"/>
        </w:rPr>
        <w:t>amm</w:t>
      </w:r>
      <w:proofErr w:type="spellEnd"/>
      <w:r w:rsidR="00D9050A" w:rsidRPr="00151324">
        <w:rPr>
          <w:rFonts w:ascii="Times New Roman" w:hAnsi="Times New Roman" w:cs="Times New Roman"/>
          <w:sz w:val="16"/>
          <w:szCs w:val="16"/>
        </w:rPr>
        <w:t>. 2014.</w:t>
      </w:r>
    </w:p>
    <w:p w14:paraId="0589DDCB" w14:textId="77777777" w:rsidR="00151324" w:rsidRPr="00151324" w:rsidRDefault="00151324" w:rsidP="00151324">
      <w:pPr>
        <w:pStyle w:val="Testonotaapidipagina"/>
        <w:jc w:val="both"/>
        <w:rPr>
          <w:rFonts w:ascii="Times New Roman" w:hAnsi="Times New Roman" w:cs="Times New Roman"/>
          <w:sz w:val="16"/>
          <w:szCs w:val="16"/>
        </w:rPr>
      </w:pPr>
    </w:p>
  </w:footnote>
  <w:footnote w:id="6">
    <w:p w14:paraId="2F07440B" w14:textId="33401F1C" w:rsidR="00F07E10" w:rsidRPr="00151324" w:rsidRDefault="00F07E10" w:rsidP="00F07E10">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Cfr. Cons. Stato, sez. VI, 21 gennaio 2020, n. 512, ove si è esclusa la portata precettiva del termine per la contestazione delle violazioni solo </w:t>
      </w:r>
      <w:r w:rsidR="00C81D8C">
        <w:rPr>
          <w:rFonts w:ascii="Times New Roman" w:hAnsi="Times New Roman" w:cs="Times New Roman"/>
          <w:sz w:val="16"/>
          <w:szCs w:val="16"/>
        </w:rPr>
        <w:t xml:space="preserve">nel caso in cui esista </w:t>
      </w:r>
      <w:r w:rsidRPr="00151324">
        <w:rPr>
          <w:rFonts w:ascii="Times New Roman" w:hAnsi="Times New Roman" w:cs="Times New Roman"/>
          <w:sz w:val="16"/>
          <w:szCs w:val="16"/>
        </w:rPr>
        <w:t xml:space="preserve">una diversa regolamentazione da parte di fonte normativa pari ordinata che per il suo carattere di specialità si configuri idonea ad introdurre deroga alla norma generale e di principio. </w:t>
      </w:r>
      <w:r w:rsidR="00C81D8C">
        <w:rPr>
          <w:rFonts w:ascii="Times New Roman" w:hAnsi="Times New Roman" w:cs="Times New Roman"/>
          <w:sz w:val="16"/>
          <w:szCs w:val="16"/>
        </w:rPr>
        <w:t xml:space="preserve">La fattispecie esaminata dai giudici di Palazzo Spada concerneva le </w:t>
      </w:r>
      <w:r w:rsidRPr="00151324">
        <w:rPr>
          <w:rFonts w:ascii="Times New Roman" w:hAnsi="Times New Roman" w:cs="Times New Roman"/>
          <w:sz w:val="16"/>
          <w:szCs w:val="16"/>
        </w:rPr>
        <w:t>sanzioni irrogate dall’Autorità garante della concorrenza e del mercato in materia antitrust</w:t>
      </w:r>
      <w:r w:rsidR="00C81D8C">
        <w:rPr>
          <w:rFonts w:ascii="Times New Roman" w:hAnsi="Times New Roman" w:cs="Times New Roman"/>
          <w:sz w:val="16"/>
          <w:szCs w:val="16"/>
        </w:rPr>
        <w:t>, con riferimento alle quali la tesi propugnata trova conforto anche nella previsione dell’</w:t>
      </w:r>
      <w:r w:rsidRPr="00151324">
        <w:rPr>
          <w:rFonts w:ascii="Times New Roman" w:hAnsi="Times New Roman" w:cs="Times New Roman"/>
          <w:sz w:val="16"/>
          <w:szCs w:val="16"/>
        </w:rPr>
        <w:t>art. 31 della l. 10 ottobre 1990, n. 287</w:t>
      </w:r>
      <w:r w:rsidR="00C81D8C">
        <w:rPr>
          <w:rFonts w:ascii="Times New Roman" w:hAnsi="Times New Roman" w:cs="Times New Roman"/>
          <w:sz w:val="16"/>
          <w:szCs w:val="16"/>
        </w:rPr>
        <w:t>,</w:t>
      </w:r>
      <w:r w:rsidRPr="00151324">
        <w:rPr>
          <w:rFonts w:ascii="Times New Roman" w:hAnsi="Times New Roman" w:cs="Times New Roman"/>
          <w:sz w:val="16"/>
          <w:szCs w:val="16"/>
        </w:rPr>
        <w:t xml:space="preserve"> che richiama le norme generali di cui alla l. 24 novembre 1981, n. 689 «</w:t>
      </w:r>
      <w:r w:rsidRPr="00151324">
        <w:rPr>
          <w:rFonts w:ascii="Times New Roman" w:hAnsi="Times New Roman" w:cs="Times New Roman"/>
          <w:i/>
          <w:sz w:val="16"/>
          <w:szCs w:val="16"/>
        </w:rPr>
        <w:t>in quanto applicabili</w:t>
      </w:r>
      <w:r w:rsidRPr="00151324">
        <w:rPr>
          <w:rFonts w:ascii="Times New Roman" w:hAnsi="Times New Roman" w:cs="Times New Roman"/>
          <w:sz w:val="16"/>
          <w:szCs w:val="16"/>
        </w:rPr>
        <w:t xml:space="preserve">», laddove il d.P.R. 30 aprile 1998, n. 217 non reca alcuna indicazione alternativa sulla scansione </w:t>
      </w:r>
      <w:r w:rsidR="00C81D8C">
        <w:rPr>
          <w:rFonts w:ascii="Times New Roman" w:hAnsi="Times New Roman" w:cs="Times New Roman"/>
          <w:sz w:val="16"/>
          <w:szCs w:val="16"/>
        </w:rPr>
        <w:t xml:space="preserve">temporale </w:t>
      </w:r>
      <w:r w:rsidRPr="00151324">
        <w:rPr>
          <w:rFonts w:ascii="Times New Roman" w:hAnsi="Times New Roman" w:cs="Times New Roman"/>
          <w:sz w:val="16"/>
          <w:szCs w:val="16"/>
        </w:rPr>
        <w:t xml:space="preserve">del procedimento sanzionatorio.   </w:t>
      </w:r>
    </w:p>
  </w:footnote>
  <w:footnote w:id="7">
    <w:p w14:paraId="386216F5" w14:textId="7B117F3E"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In taluni casi, tuttavia, la chiusura dell’attività sembra assumere proprio tale carattere riparatorio. Si pensi a quanto previsto a livello generale dall’art. 17-</w:t>
      </w:r>
      <w:r w:rsidRPr="00151324">
        <w:rPr>
          <w:rFonts w:ascii="Times New Roman" w:hAnsi="Times New Roman" w:cs="Times New Roman"/>
          <w:i/>
          <w:sz w:val="16"/>
          <w:szCs w:val="16"/>
        </w:rPr>
        <w:t xml:space="preserve">ter </w:t>
      </w:r>
      <w:r w:rsidRPr="00151324">
        <w:rPr>
          <w:rFonts w:ascii="Times New Roman" w:hAnsi="Times New Roman" w:cs="Times New Roman"/>
          <w:sz w:val="16"/>
          <w:szCs w:val="16"/>
        </w:rPr>
        <w:t xml:space="preserve">del </w:t>
      </w:r>
      <w:proofErr w:type="spellStart"/>
      <w:r w:rsidRPr="00151324">
        <w:rPr>
          <w:rFonts w:ascii="Times New Roman" w:hAnsi="Times New Roman" w:cs="Times New Roman"/>
          <w:sz w:val="16"/>
          <w:szCs w:val="16"/>
        </w:rPr>
        <w:t>r.d.</w:t>
      </w:r>
      <w:proofErr w:type="spellEnd"/>
      <w:r w:rsidRPr="00151324">
        <w:rPr>
          <w:rFonts w:ascii="Times New Roman" w:hAnsi="Times New Roman" w:cs="Times New Roman"/>
          <w:sz w:val="16"/>
          <w:szCs w:val="16"/>
        </w:rPr>
        <w:t xml:space="preserve"> 18 giugno 1931 (T.U.L.P.S.) per talune violazioni quali l’attivazione di un pubblico esercizio in assenza di titolo (violazione art. 86, sanzionata ai sensi dell’art. 17-</w:t>
      </w:r>
      <w:r w:rsidRPr="00151324">
        <w:rPr>
          <w:rFonts w:ascii="Times New Roman" w:hAnsi="Times New Roman" w:cs="Times New Roman"/>
          <w:i/>
          <w:sz w:val="16"/>
          <w:szCs w:val="16"/>
        </w:rPr>
        <w:t>bis</w:t>
      </w:r>
      <w:r w:rsidRPr="00151324">
        <w:rPr>
          <w:rFonts w:ascii="Times New Roman" w:hAnsi="Times New Roman" w:cs="Times New Roman"/>
          <w:sz w:val="16"/>
          <w:szCs w:val="16"/>
        </w:rPr>
        <w:t>): la previsione della cessazione dell’attività da disporsi entro 5 giorni costituisce un tipico esempio di misura cautelare riparatoria, al pari della sospensione per il tempo necessario ad adeguarsi alle prescrizioni, la cui durata non a caso viene scomputata dalla analoga sanzione accessoria (art. 17-</w:t>
      </w:r>
      <w:r w:rsidRPr="00151324">
        <w:rPr>
          <w:rFonts w:ascii="Times New Roman" w:hAnsi="Times New Roman" w:cs="Times New Roman"/>
          <w:i/>
          <w:sz w:val="16"/>
          <w:szCs w:val="16"/>
        </w:rPr>
        <w:t>quater</w:t>
      </w:r>
      <w:r w:rsidRPr="00151324">
        <w:rPr>
          <w:rFonts w:ascii="Times New Roman" w:hAnsi="Times New Roman" w:cs="Times New Roman"/>
          <w:sz w:val="16"/>
          <w:szCs w:val="16"/>
        </w:rPr>
        <w:t xml:space="preserve">). Solo nel primo caso si prescinde da qualsivoglia verifica sulla colpevolezza dell’autore della violazione, stante la finalità cautelare dell’intervento. </w:t>
      </w:r>
      <w:r w:rsidR="00C81D8C">
        <w:rPr>
          <w:rFonts w:ascii="Times New Roman" w:hAnsi="Times New Roman" w:cs="Times New Roman"/>
          <w:sz w:val="16"/>
          <w:szCs w:val="16"/>
        </w:rPr>
        <w:t xml:space="preserve">La circostanza che per talune tipologie di pubblici esercizi, quali quelli di somministrazione di alimenti e bevande, sia da tempo intervenuta una distinta legislazione di settore, anche a livello nazionale (l. n. 287 del 1991) rende a questo riguardo particolarmente sensibile la scelta del legislatore di non abrogare comunque il sistema sanzionatorio previsto dal </w:t>
      </w:r>
      <w:proofErr w:type="spellStart"/>
      <w:r w:rsidR="00C81D8C">
        <w:rPr>
          <w:rFonts w:ascii="Times New Roman" w:hAnsi="Times New Roman" w:cs="Times New Roman"/>
          <w:sz w:val="16"/>
          <w:szCs w:val="16"/>
        </w:rPr>
        <w:t>T.u.l.p.s</w:t>
      </w:r>
      <w:proofErr w:type="spellEnd"/>
      <w:r w:rsidR="00C81D8C">
        <w:rPr>
          <w:rFonts w:ascii="Times New Roman" w:hAnsi="Times New Roman" w:cs="Times New Roman"/>
          <w:sz w:val="16"/>
          <w:szCs w:val="16"/>
        </w:rPr>
        <w:t xml:space="preserve">., per la evidente finalità di conservare una qualche rilevanza alla vecchia categoria della autorizzazioni di polizia, tipicamente riconducibili allo stesso: pretermettendo tuttavia le conseguenti problematiche di potenziale duplicazione di sanzioni, anche accessorie, in tal modo previste, in dispregio del principio del </w:t>
      </w:r>
      <w:r w:rsidR="00C81D8C" w:rsidRPr="00C81D8C">
        <w:rPr>
          <w:rFonts w:ascii="Times New Roman" w:hAnsi="Times New Roman" w:cs="Times New Roman"/>
          <w:i/>
          <w:sz w:val="16"/>
          <w:szCs w:val="16"/>
        </w:rPr>
        <w:t>ne bis in idem</w:t>
      </w:r>
      <w:r w:rsidR="00C81D8C">
        <w:rPr>
          <w:rFonts w:ascii="Times New Roman" w:hAnsi="Times New Roman" w:cs="Times New Roman"/>
          <w:sz w:val="16"/>
          <w:szCs w:val="16"/>
        </w:rPr>
        <w:t xml:space="preserve">. </w:t>
      </w:r>
      <w:r w:rsidRPr="00151324">
        <w:rPr>
          <w:rFonts w:ascii="Times New Roman" w:hAnsi="Times New Roman" w:cs="Times New Roman"/>
          <w:sz w:val="16"/>
          <w:szCs w:val="16"/>
        </w:rPr>
        <w:t xml:space="preserve">  </w:t>
      </w:r>
    </w:p>
  </w:footnote>
  <w:footnote w:id="8">
    <w:p w14:paraId="26179849" w14:textId="098A23F4"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Si pensi al recente </w:t>
      </w:r>
      <w:r w:rsidRPr="00151324">
        <w:rPr>
          <w:rFonts w:ascii="Times New Roman" w:hAnsi="Times New Roman" w:cs="Times New Roman"/>
          <w:i/>
          <w:sz w:val="16"/>
          <w:szCs w:val="16"/>
        </w:rPr>
        <w:t xml:space="preserve">revirement </w:t>
      </w:r>
      <w:r w:rsidRPr="00151324">
        <w:rPr>
          <w:rFonts w:ascii="Times New Roman" w:hAnsi="Times New Roman" w:cs="Times New Roman"/>
          <w:sz w:val="16"/>
          <w:szCs w:val="16"/>
        </w:rPr>
        <w:t xml:space="preserve">della giurisprudenza amministrativa in materia di perentorietà dei termini dei procedimenti sanzionatori facenti capo all’Autorità di regolazione per energia reti e ambiente – ARERA. Se in linea generale, infatti, il carattere della perentorietà può essere riconosciuto a una scadenza temporale solo da un’espressa norma di legge, sicché, in assenza di una specifica disposizione che lo preveda come </w:t>
      </w:r>
      <w:r w:rsidR="00C81D8C">
        <w:rPr>
          <w:rFonts w:ascii="Times New Roman" w:hAnsi="Times New Roman" w:cs="Times New Roman"/>
          <w:sz w:val="16"/>
          <w:szCs w:val="16"/>
        </w:rPr>
        <w:t>tale</w:t>
      </w:r>
      <w:r w:rsidRPr="00151324">
        <w:rPr>
          <w:rFonts w:ascii="Times New Roman" w:hAnsi="Times New Roman" w:cs="Times New Roman"/>
          <w:sz w:val="16"/>
          <w:szCs w:val="16"/>
        </w:rPr>
        <w:t xml:space="preserve">, </w:t>
      </w:r>
      <w:r w:rsidR="00C81D8C">
        <w:rPr>
          <w:rFonts w:ascii="Times New Roman" w:hAnsi="Times New Roman" w:cs="Times New Roman"/>
          <w:sz w:val="16"/>
          <w:szCs w:val="16"/>
        </w:rPr>
        <w:t>esso va necessariamente i</w:t>
      </w:r>
      <w:r w:rsidRPr="00151324">
        <w:rPr>
          <w:rFonts w:ascii="Times New Roman" w:hAnsi="Times New Roman" w:cs="Times New Roman"/>
          <w:sz w:val="16"/>
          <w:szCs w:val="16"/>
        </w:rPr>
        <w:t xml:space="preserve">nteso come sollecitatorio o ordinatorio e il suo superamento non determina l’illegittimità dell’atto, la particolarità del procedimento sanzionatorio rispetto al paradigma del procedimento amministrativo </w:t>
      </w:r>
      <w:r w:rsidR="00BE370D">
        <w:rPr>
          <w:rFonts w:ascii="Times New Roman" w:hAnsi="Times New Roman" w:cs="Times New Roman"/>
          <w:sz w:val="16"/>
          <w:szCs w:val="16"/>
        </w:rPr>
        <w:t xml:space="preserve">ha opportunamente portato </w:t>
      </w:r>
      <w:r w:rsidRPr="00151324">
        <w:rPr>
          <w:rFonts w:ascii="Times New Roman" w:hAnsi="Times New Roman" w:cs="Times New Roman"/>
          <w:sz w:val="16"/>
          <w:szCs w:val="16"/>
        </w:rPr>
        <w:t xml:space="preserve">a diverse conseguenze, attesa la stretta correlazione sussistente tra il rispetto di quel termine e l’effettività del diritto di difesa, avente protezione costituzionale (nel combinato disposto degli articoli 24 e 97 Cost.). Difatti, nei procedimenti sanzionatori consentire l’adozione del provvedimento finale entro il lungo termine prescrizionale (cinque anni, </w:t>
      </w:r>
      <w:r w:rsidRPr="00151324">
        <w:rPr>
          <w:rFonts w:ascii="Times New Roman" w:hAnsi="Times New Roman" w:cs="Times New Roman"/>
          <w:i/>
          <w:iCs/>
          <w:sz w:val="16"/>
          <w:szCs w:val="16"/>
        </w:rPr>
        <w:t>ex</w:t>
      </w:r>
      <w:r w:rsidRPr="00151324">
        <w:rPr>
          <w:rFonts w:ascii="Times New Roman" w:hAnsi="Times New Roman" w:cs="Times New Roman"/>
          <w:sz w:val="16"/>
          <w:szCs w:val="16"/>
        </w:rPr>
        <w:t xml:space="preserve"> art. 28 della l. n. 689 del 1981), anziché nel rispetto del termine specificamente fissato per la sua adozione, equivarrebbe a esporre l’incolpato a un potere sanzionatorio di fronte al cui tardivo esercizio potrebbe essergli difficoltoso approntare in concreto adeguati strumenti di difesa</w:t>
      </w:r>
      <w:r w:rsidR="00BE370D">
        <w:rPr>
          <w:rFonts w:ascii="Times New Roman" w:hAnsi="Times New Roman" w:cs="Times New Roman"/>
          <w:sz w:val="16"/>
          <w:szCs w:val="16"/>
        </w:rPr>
        <w:t>, non adeguatamente tutelate dal generico richiamo ai principi sul giusto procedimento di cui alla l. n. 241 del 1990</w:t>
      </w:r>
      <w:r w:rsidRPr="00151324">
        <w:rPr>
          <w:rFonts w:ascii="Times New Roman" w:hAnsi="Times New Roman" w:cs="Times New Roman"/>
          <w:sz w:val="16"/>
          <w:szCs w:val="16"/>
        </w:rPr>
        <w:t xml:space="preserve">. L’esercizio di una potestà sanzionatoria, di qualsivoglia natura, non può dunque restare esposta </w:t>
      </w:r>
      <w:r w:rsidRPr="00151324">
        <w:rPr>
          <w:rFonts w:ascii="Times New Roman" w:hAnsi="Times New Roman" w:cs="Times New Roman"/>
          <w:i/>
          <w:iCs/>
          <w:sz w:val="16"/>
          <w:szCs w:val="16"/>
        </w:rPr>
        <w:t>sine die</w:t>
      </w:r>
      <w:r w:rsidRPr="00151324">
        <w:rPr>
          <w:rFonts w:ascii="Times New Roman" w:hAnsi="Times New Roman" w:cs="Times New Roman"/>
          <w:sz w:val="16"/>
          <w:szCs w:val="16"/>
        </w:rPr>
        <w:t xml:space="preserve"> all’inerzia dell’autorità preposta al procedimento, per elementari esigenze di sicurezza giuridica e di prevedibilità in tempi ragionevoli delle conseguenze dei propri comportamenti (Cons. Stato, sez. VI, 12 gennaio 2021, n. 584; </w:t>
      </w:r>
      <w:r w:rsidRPr="00151324">
        <w:rPr>
          <w:rFonts w:ascii="Times New Roman" w:hAnsi="Times New Roman" w:cs="Times New Roman"/>
          <w:i/>
          <w:iCs/>
          <w:sz w:val="16"/>
          <w:szCs w:val="16"/>
        </w:rPr>
        <w:t>id</w:t>
      </w:r>
      <w:r w:rsidRPr="00151324">
        <w:rPr>
          <w:rFonts w:ascii="Times New Roman" w:hAnsi="Times New Roman" w:cs="Times New Roman"/>
          <w:sz w:val="16"/>
          <w:szCs w:val="16"/>
        </w:rPr>
        <w:t xml:space="preserve">., 17 marzo 2021, </w:t>
      </w:r>
      <w:proofErr w:type="spellStart"/>
      <w:r w:rsidRPr="00151324">
        <w:rPr>
          <w:rFonts w:ascii="Times New Roman" w:hAnsi="Times New Roman" w:cs="Times New Roman"/>
          <w:sz w:val="16"/>
          <w:szCs w:val="16"/>
        </w:rPr>
        <w:t>nn</w:t>
      </w:r>
      <w:proofErr w:type="spellEnd"/>
      <w:r w:rsidRPr="00151324">
        <w:rPr>
          <w:rFonts w:ascii="Times New Roman" w:hAnsi="Times New Roman" w:cs="Times New Roman"/>
          <w:sz w:val="16"/>
          <w:szCs w:val="16"/>
        </w:rPr>
        <w:t xml:space="preserve">. 2307, 2308 e 2309, che hanno esteso i principi già affermati con riferimento ad altre Autorità - Cons. Stato, sez. VI, 23 marzo 2016, n. 1199; </w:t>
      </w:r>
      <w:r w:rsidRPr="00151324">
        <w:rPr>
          <w:rFonts w:ascii="Times New Roman" w:hAnsi="Times New Roman" w:cs="Times New Roman"/>
          <w:i/>
          <w:iCs/>
          <w:sz w:val="16"/>
          <w:szCs w:val="16"/>
        </w:rPr>
        <w:t>id</w:t>
      </w:r>
      <w:r w:rsidRPr="00151324">
        <w:rPr>
          <w:rFonts w:ascii="Times New Roman" w:hAnsi="Times New Roman" w:cs="Times New Roman"/>
          <w:sz w:val="16"/>
          <w:szCs w:val="16"/>
        </w:rPr>
        <w:t>., 6 agosto 2013, n. 4113; 29 gennaio 2013, n. 542, con riferimento alla Banca d’Italia; sez. VI, 4 aprile 2019, n. 2289, per l’ANAC; sez. VI, 17 novembre 2020, n. 7153, per l’Autorità per le garanzie nelle comunicazioni</w:t>
      </w:r>
      <w:r w:rsidR="00713141" w:rsidRPr="00151324">
        <w:rPr>
          <w:rFonts w:ascii="Times New Roman" w:hAnsi="Times New Roman" w:cs="Times New Roman"/>
          <w:sz w:val="16"/>
          <w:szCs w:val="16"/>
        </w:rPr>
        <w:t xml:space="preserve">; sez. VI, </w:t>
      </w:r>
      <w:r w:rsidR="00B32998" w:rsidRPr="00151324">
        <w:rPr>
          <w:rFonts w:ascii="Times New Roman" w:hAnsi="Times New Roman" w:cs="Times New Roman"/>
          <w:sz w:val="16"/>
          <w:szCs w:val="16"/>
        </w:rPr>
        <w:t xml:space="preserve">n. 512 del 2010, cit. </w:t>
      </w:r>
      <w:r w:rsidR="00B32998" w:rsidRPr="00151324">
        <w:rPr>
          <w:rFonts w:ascii="Times New Roman" w:hAnsi="Times New Roman" w:cs="Times New Roman"/>
          <w:i/>
          <w:sz w:val="16"/>
          <w:szCs w:val="16"/>
        </w:rPr>
        <w:t>sub</w:t>
      </w:r>
      <w:r w:rsidR="00B32998" w:rsidRPr="00151324">
        <w:rPr>
          <w:rFonts w:ascii="Times New Roman" w:hAnsi="Times New Roman" w:cs="Times New Roman"/>
          <w:sz w:val="16"/>
          <w:szCs w:val="16"/>
        </w:rPr>
        <w:t xml:space="preserve"> nota 6, </w:t>
      </w:r>
      <w:r w:rsidR="008F62F7" w:rsidRPr="00151324">
        <w:rPr>
          <w:rFonts w:ascii="Times New Roman" w:hAnsi="Times New Roman" w:cs="Times New Roman"/>
          <w:sz w:val="16"/>
          <w:szCs w:val="16"/>
        </w:rPr>
        <w:t>con riferimento all’Autorità garante della concorrenza e del mercato</w:t>
      </w:r>
      <w:r w:rsidR="00B32998" w:rsidRPr="00151324">
        <w:rPr>
          <w:rFonts w:ascii="Times New Roman" w:hAnsi="Times New Roman" w:cs="Times New Roman"/>
          <w:sz w:val="16"/>
          <w:szCs w:val="16"/>
        </w:rPr>
        <w:t>, che ha tuttavia precisato come il termine di 90 giorni previsto dall’art. 14, comma 2, della l. n. 689 del 1981 per la contestazione dell’illecito, inizia a decorrere solo dal momento in cui è compiuta o si sarebbe dovuta ragionevolmente compi</w:t>
      </w:r>
      <w:r w:rsidR="004B6749" w:rsidRPr="00151324">
        <w:rPr>
          <w:rFonts w:ascii="Times New Roman" w:hAnsi="Times New Roman" w:cs="Times New Roman"/>
          <w:sz w:val="16"/>
          <w:szCs w:val="16"/>
        </w:rPr>
        <w:t>e</w:t>
      </w:r>
      <w:r w:rsidR="00B32998" w:rsidRPr="00151324">
        <w:rPr>
          <w:rFonts w:ascii="Times New Roman" w:hAnsi="Times New Roman" w:cs="Times New Roman"/>
          <w:sz w:val="16"/>
          <w:szCs w:val="16"/>
        </w:rPr>
        <w:t xml:space="preserve">re, anche in ragione della complessità della fattispecie, l’attività amministrativa intesa a verificare l’esistenza dell’infrazione, comprensiva dei suoi elementi oggettivi e soggettivi. </w:t>
      </w:r>
      <w:r w:rsidR="00713141" w:rsidRPr="00151324">
        <w:rPr>
          <w:rFonts w:ascii="Times New Roman" w:hAnsi="Times New Roman" w:cs="Times New Roman"/>
          <w:sz w:val="16"/>
          <w:szCs w:val="16"/>
        </w:rPr>
        <w:t xml:space="preserve">  </w:t>
      </w:r>
    </w:p>
    <w:p w14:paraId="150E6CDF" w14:textId="77777777" w:rsidR="00151324" w:rsidRPr="00151324" w:rsidRDefault="00151324" w:rsidP="00151324">
      <w:pPr>
        <w:pStyle w:val="Testonotaapidipagina"/>
        <w:jc w:val="both"/>
        <w:rPr>
          <w:rFonts w:ascii="Times New Roman" w:hAnsi="Times New Roman" w:cs="Times New Roman"/>
          <w:sz w:val="16"/>
          <w:szCs w:val="16"/>
        </w:rPr>
      </w:pPr>
    </w:p>
  </w:footnote>
  <w:footnote w:id="9">
    <w:p w14:paraId="7239F5D8" w14:textId="77777777"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Il sistema sanzionatorio previsto dal d.lgs. 30 aprile 1992, n. 285, c.d. Nuovo Codice della Strada, costituisce un caso paradigmatico di coesistenza di sanzioni accessorie ad illeciti penali e ad illeciti amministrativi, essendo previste condotte punite con sanzioni amministrative pecuniarie ed altre costituenti reato, con riferimento a ciascuna delle quali sono fornite anche importanti indicazioni procedurali per l’organo di polizia stradale chiamato ad intervenire.   </w:t>
      </w:r>
    </w:p>
    <w:p w14:paraId="65735C5C" w14:textId="77777777" w:rsidR="00151324" w:rsidRPr="00151324" w:rsidRDefault="00151324" w:rsidP="00151324">
      <w:pPr>
        <w:pStyle w:val="Testonotaapidipagina"/>
        <w:jc w:val="both"/>
        <w:rPr>
          <w:rFonts w:ascii="Times New Roman" w:hAnsi="Times New Roman" w:cs="Times New Roman"/>
          <w:sz w:val="16"/>
          <w:szCs w:val="16"/>
        </w:rPr>
      </w:pPr>
    </w:p>
  </w:footnote>
  <w:footnote w:id="10">
    <w:p w14:paraId="02199942" w14:textId="153E6215" w:rsidR="000359D3" w:rsidRDefault="000359D3"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w:t>
      </w:r>
      <w:r w:rsidR="000E0896" w:rsidRPr="00151324">
        <w:rPr>
          <w:rFonts w:ascii="Times New Roman" w:hAnsi="Times New Roman" w:cs="Times New Roman"/>
          <w:sz w:val="16"/>
          <w:szCs w:val="16"/>
        </w:rPr>
        <w:t xml:space="preserve">Sul punto v. G. Napolitano, Manuale dell’illecito amministrativo, </w:t>
      </w:r>
      <w:r w:rsidR="00834EAC" w:rsidRPr="00151324">
        <w:rPr>
          <w:rFonts w:ascii="Times New Roman" w:hAnsi="Times New Roman" w:cs="Times New Roman"/>
          <w:sz w:val="16"/>
          <w:szCs w:val="16"/>
        </w:rPr>
        <w:t xml:space="preserve">Sant’Arcangelo di Romagna, 2021, p. 318 ss.; G. </w:t>
      </w:r>
      <w:proofErr w:type="spellStart"/>
      <w:r w:rsidR="00834EAC" w:rsidRPr="00151324">
        <w:rPr>
          <w:rFonts w:ascii="Times New Roman" w:hAnsi="Times New Roman" w:cs="Times New Roman"/>
          <w:sz w:val="16"/>
          <w:szCs w:val="16"/>
        </w:rPr>
        <w:t>Crespaldi</w:t>
      </w:r>
      <w:proofErr w:type="spellEnd"/>
      <w:r w:rsidR="00BE370D">
        <w:rPr>
          <w:rFonts w:ascii="Times New Roman" w:hAnsi="Times New Roman" w:cs="Times New Roman"/>
          <w:sz w:val="16"/>
          <w:szCs w:val="16"/>
        </w:rPr>
        <w:t xml:space="preserve"> </w:t>
      </w:r>
      <w:r w:rsidR="00834EAC" w:rsidRPr="00151324">
        <w:rPr>
          <w:rFonts w:ascii="Times New Roman" w:hAnsi="Times New Roman" w:cs="Times New Roman"/>
          <w:sz w:val="16"/>
          <w:szCs w:val="16"/>
        </w:rPr>
        <w:t>-</w:t>
      </w:r>
      <w:r w:rsidR="00BE370D">
        <w:rPr>
          <w:rFonts w:ascii="Times New Roman" w:hAnsi="Times New Roman" w:cs="Times New Roman"/>
          <w:sz w:val="16"/>
          <w:szCs w:val="16"/>
        </w:rPr>
        <w:t xml:space="preserve"> </w:t>
      </w:r>
      <w:r w:rsidR="00834EAC" w:rsidRPr="00151324">
        <w:rPr>
          <w:rFonts w:ascii="Times New Roman" w:hAnsi="Times New Roman" w:cs="Times New Roman"/>
          <w:sz w:val="16"/>
          <w:szCs w:val="16"/>
        </w:rPr>
        <w:t>E.</w:t>
      </w:r>
      <w:r w:rsidR="008E1CBC">
        <w:rPr>
          <w:rFonts w:ascii="Times New Roman" w:hAnsi="Times New Roman" w:cs="Times New Roman"/>
          <w:sz w:val="16"/>
          <w:szCs w:val="16"/>
        </w:rPr>
        <w:t xml:space="preserve"> </w:t>
      </w:r>
      <w:r w:rsidR="00834EAC" w:rsidRPr="00151324">
        <w:rPr>
          <w:rFonts w:ascii="Times New Roman" w:hAnsi="Times New Roman" w:cs="Times New Roman"/>
          <w:sz w:val="16"/>
          <w:szCs w:val="16"/>
        </w:rPr>
        <w:t xml:space="preserve">Comi, Le sanzioni amministrative accessorie, in La sanzione amministrativa, principi generali, Torino, 2011. </w:t>
      </w:r>
      <w:r w:rsidR="000E0896" w:rsidRPr="00151324">
        <w:rPr>
          <w:rFonts w:ascii="Times New Roman" w:hAnsi="Times New Roman" w:cs="Times New Roman"/>
          <w:sz w:val="16"/>
          <w:szCs w:val="16"/>
        </w:rPr>
        <w:t xml:space="preserve"> </w:t>
      </w:r>
    </w:p>
    <w:p w14:paraId="15AB1BDA" w14:textId="77777777" w:rsidR="00151324" w:rsidRPr="00151324" w:rsidRDefault="00151324" w:rsidP="00151324">
      <w:pPr>
        <w:pStyle w:val="Testonotaapidipagina"/>
        <w:jc w:val="both"/>
        <w:rPr>
          <w:rFonts w:ascii="Times New Roman" w:hAnsi="Times New Roman" w:cs="Times New Roman"/>
          <w:sz w:val="16"/>
          <w:szCs w:val="16"/>
        </w:rPr>
      </w:pPr>
    </w:p>
  </w:footnote>
  <w:footnote w:id="11">
    <w:p w14:paraId="34994AB1" w14:textId="2D4F70BA" w:rsidR="00C01F9F" w:rsidRDefault="00C01F9F" w:rsidP="00151324">
      <w:pPr>
        <w:pStyle w:val="Testonotaapidipagina"/>
        <w:jc w:val="both"/>
        <w:rPr>
          <w:rFonts w:ascii="Times New Roman" w:eastAsia="Times New Roman" w:hAnsi="Times New Roman" w:cs="Times New Roman"/>
          <w:kern w:val="0"/>
          <w:sz w:val="16"/>
          <w:szCs w:val="16"/>
          <w:lang w:eastAsia="it-IT"/>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w:t>
      </w:r>
      <w:r w:rsidRPr="00151324">
        <w:rPr>
          <w:rFonts w:ascii="Times New Roman" w:eastAsia="Times New Roman" w:hAnsi="Times New Roman" w:cs="Times New Roman"/>
          <w:kern w:val="0"/>
          <w:sz w:val="16"/>
          <w:szCs w:val="16"/>
          <w:lang w:eastAsia="it-IT"/>
        </w:rPr>
        <w:t xml:space="preserve">ostituiscono una generalizzata eccezione le </w:t>
      </w:r>
      <w:r w:rsidR="004B6749" w:rsidRPr="00151324">
        <w:rPr>
          <w:rFonts w:ascii="Times New Roman" w:eastAsia="Times New Roman" w:hAnsi="Times New Roman" w:cs="Times New Roman"/>
          <w:kern w:val="0"/>
          <w:sz w:val="16"/>
          <w:szCs w:val="16"/>
          <w:lang w:eastAsia="it-IT"/>
        </w:rPr>
        <w:t xml:space="preserve">già ricordate </w:t>
      </w:r>
      <w:r w:rsidRPr="00151324">
        <w:rPr>
          <w:rFonts w:ascii="Times New Roman" w:eastAsia="Times New Roman" w:hAnsi="Times New Roman" w:cs="Times New Roman"/>
          <w:kern w:val="0"/>
          <w:sz w:val="16"/>
          <w:szCs w:val="16"/>
          <w:lang w:eastAsia="it-IT"/>
        </w:rPr>
        <w:t xml:space="preserve">violazioni in materia di circolazione stradale, caratterizzate da una sorta di anticipazione immediata degli effetti della sanzione, che talvolta ne esauriscono la portata afflittiva, talaltra necessitano di formalizzazione nell’atto di concreta irrogazione da parte dell’autorità competente. </w:t>
      </w:r>
    </w:p>
    <w:p w14:paraId="60583949" w14:textId="77777777" w:rsidR="00151324" w:rsidRPr="00151324" w:rsidRDefault="00151324" w:rsidP="00151324">
      <w:pPr>
        <w:pStyle w:val="Testonotaapidipagina"/>
        <w:jc w:val="both"/>
        <w:rPr>
          <w:rFonts w:ascii="Times New Roman" w:hAnsi="Times New Roman" w:cs="Times New Roman"/>
          <w:sz w:val="16"/>
          <w:szCs w:val="16"/>
        </w:rPr>
      </w:pPr>
    </w:p>
  </w:footnote>
  <w:footnote w:id="12">
    <w:p w14:paraId="77D33F70" w14:textId="5C963E2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Si pensi a quanto già detto </w:t>
      </w:r>
      <w:r w:rsidRPr="00151324">
        <w:rPr>
          <w:rFonts w:ascii="Times New Roman" w:hAnsi="Times New Roman" w:cs="Times New Roman"/>
          <w:i/>
          <w:sz w:val="16"/>
          <w:szCs w:val="16"/>
        </w:rPr>
        <w:t>sub</w:t>
      </w:r>
      <w:r w:rsidRPr="00151324">
        <w:rPr>
          <w:rFonts w:ascii="Times New Roman" w:hAnsi="Times New Roman" w:cs="Times New Roman"/>
          <w:sz w:val="16"/>
          <w:szCs w:val="16"/>
        </w:rPr>
        <w:t xml:space="preserve"> nota </w:t>
      </w:r>
      <w:r w:rsidR="00BE370D">
        <w:rPr>
          <w:rFonts w:ascii="Times New Roman" w:hAnsi="Times New Roman" w:cs="Times New Roman"/>
          <w:sz w:val="16"/>
          <w:szCs w:val="16"/>
        </w:rPr>
        <w:t>7</w:t>
      </w:r>
      <w:r w:rsidRPr="00151324">
        <w:rPr>
          <w:rFonts w:ascii="Times New Roman" w:hAnsi="Times New Roman" w:cs="Times New Roman"/>
          <w:sz w:val="16"/>
          <w:szCs w:val="16"/>
        </w:rPr>
        <w:t xml:space="preserve"> in ordine agli illeciti conseguiti alla depenalizzazione del T.U.L.P.S. ad opera del d.lgs. 13 luglio 1994, n. 480. In taluni casi peraltro l’inquadramento del provvedimento interdittivo in termini cautelari o sanzionatori è tutt’affatto agevole. Si pensi ancora a quanto previsto dall’art. 666 c.p. con riferimento alle attività di spettacolo senza autorizzazione (originario reato ora depenalizzato dal d.lgs. 30 dicembre 1999, n. 507) per le quali è prevista la cessazione, senza ulteriori esplicitazioni procedurali, sicché se ne può immaginare l’irrogazione anche con ordine verbale ovvero formalizzato nel relativo atto di accertamento. La sua obbligatorietà, per quanto sviluppato nel prosieguo nel testo, finirebbe per impattare anche sul regime delle competenze, laddove lo si inquadri quale sanzione e non quale misura cautelare, come invece ritiene chi scrive. </w:t>
      </w:r>
    </w:p>
  </w:footnote>
  <w:footnote w:id="13">
    <w:p w14:paraId="3AFE2536" w14:textId="79602A93" w:rsidR="00D3403F" w:rsidRPr="00151324" w:rsidRDefault="00D3403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Sul tema v. fra i tanti M. Allena, La sanzione amministrativa tra garanzie costituzionali e principi CEDU: il problema della tassatività-determinatezza e la prevedibilità</w:t>
      </w:r>
      <w:r w:rsidR="00945FE7">
        <w:rPr>
          <w:rFonts w:ascii="Times New Roman" w:hAnsi="Times New Roman" w:cs="Times New Roman"/>
          <w:sz w:val="16"/>
          <w:szCs w:val="16"/>
        </w:rPr>
        <w:t>, in federalismi, n. 4/</w:t>
      </w:r>
      <w:proofErr w:type="gramStart"/>
      <w:r w:rsidR="00945FE7">
        <w:rPr>
          <w:rFonts w:ascii="Times New Roman" w:hAnsi="Times New Roman" w:cs="Times New Roman"/>
          <w:sz w:val="16"/>
          <w:szCs w:val="16"/>
        </w:rPr>
        <w:t>2017.</w:t>
      </w:r>
      <w:r w:rsidRPr="00151324">
        <w:rPr>
          <w:rFonts w:ascii="Times New Roman" w:hAnsi="Times New Roman" w:cs="Times New Roman"/>
          <w:sz w:val="16"/>
          <w:szCs w:val="16"/>
        </w:rPr>
        <w:t>.</w:t>
      </w:r>
      <w:proofErr w:type="gramEnd"/>
      <w:r w:rsidRPr="00151324">
        <w:rPr>
          <w:rFonts w:ascii="Times New Roman" w:hAnsi="Times New Roman" w:cs="Times New Roman"/>
          <w:sz w:val="16"/>
          <w:szCs w:val="16"/>
        </w:rPr>
        <w:t xml:space="preserve"> </w:t>
      </w:r>
    </w:p>
  </w:footnote>
  <w:footnote w:id="14">
    <w:p w14:paraId="11C7D195" w14:textId="108951F3" w:rsidR="00C21CF2" w:rsidRDefault="00C21CF2"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In materia, da ultimi, in dottrina, S. </w:t>
      </w:r>
      <w:proofErr w:type="spellStart"/>
      <w:r w:rsidRPr="00151324">
        <w:rPr>
          <w:rFonts w:ascii="Times New Roman" w:hAnsi="Times New Roman" w:cs="Times New Roman"/>
          <w:sz w:val="16"/>
          <w:szCs w:val="16"/>
        </w:rPr>
        <w:t>L</w:t>
      </w:r>
      <w:r w:rsidR="00EF62E6" w:rsidRPr="00151324">
        <w:rPr>
          <w:rFonts w:ascii="Times New Roman" w:hAnsi="Times New Roman" w:cs="Times New Roman"/>
          <w:sz w:val="16"/>
          <w:szCs w:val="16"/>
        </w:rPr>
        <w:t>ucattini</w:t>
      </w:r>
      <w:proofErr w:type="spellEnd"/>
      <w:r w:rsidR="00EF62E6" w:rsidRPr="00151324">
        <w:rPr>
          <w:rFonts w:ascii="Times New Roman" w:hAnsi="Times New Roman" w:cs="Times New Roman"/>
          <w:sz w:val="16"/>
          <w:szCs w:val="16"/>
        </w:rPr>
        <w:t>, L</w:t>
      </w:r>
      <w:r w:rsidRPr="00151324">
        <w:rPr>
          <w:rFonts w:ascii="Times New Roman" w:hAnsi="Times New Roman" w:cs="Times New Roman"/>
          <w:sz w:val="16"/>
          <w:szCs w:val="16"/>
        </w:rPr>
        <w:t>e sanzioni a tutela del territorio, Torino, 2022 e M.A. SANDULLI, voce Edilizia, in</w:t>
      </w:r>
      <w:r w:rsidR="00876312" w:rsidRPr="00151324">
        <w:rPr>
          <w:rFonts w:ascii="Times New Roman" w:hAnsi="Times New Roman" w:cs="Times New Roman"/>
          <w:sz w:val="16"/>
          <w:szCs w:val="16"/>
        </w:rPr>
        <w:t xml:space="preserve"> Funzioni amministrative, volume de “I tematici” dell’Enciclopedia del diritto, Milano, 2022, leggibile anche, in versione più ampia e aggiornata, in Riv. giur. </w:t>
      </w:r>
      <w:proofErr w:type="spellStart"/>
      <w:r w:rsidR="00876312" w:rsidRPr="00151324">
        <w:rPr>
          <w:rFonts w:ascii="Times New Roman" w:hAnsi="Times New Roman" w:cs="Times New Roman"/>
          <w:sz w:val="16"/>
          <w:szCs w:val="16"/>
        </w:rPr>
        <w:t>edil</w:t>
      </w:r>
      <w:proofErr w:type="spellEnd"/>
      <w:r w:rsidR="00876312" w:rsidRPr="00151324">
        <w:rPr>
          <w:rFonts w:ascii="Times New Roman" w:hAnsi="Times New Roman" w:cs="Times New Roman"/>
          <w:sz w:val="16"/>
          <w:szCs w:val="16"/>
        </w:rPr>
        <w:t>. 2022.</w:t>
      </w:r>
      <w:r w:rsidRPr="00151324">
        <w:rPr>
          <w:rFonts w:ascii="Times New Roman" w:hAnsi="Times New Roman" w:cs="Times New Roman"/>
          <w:sz w:val="16"/>
          <w:szCs w:val="16"/>
        </w:rPr>
        <w:t xml:space="preserve"> </w:t>
      </w:r>
    </w:p>
    <w:p w14:paraId="339A7D1D" w14:textId="77777777" w:rsidR="00151324" w:rsidRPr="00151324" w:rsidRDefault="00151324" w:rsidP="00151324">
      <w:pPr>
        <w:pStyle w:val="Testonotaapidipagina"/>
        <w:jc w:val="both"/>
        <w:rPr>
          <w:rFonts w:ascii="Times New Roman" w:hAnsi="Times New Roman" w:cs="Times New Roman"/>
          <w:sz w:val="16"/>
          <w:szCs w:val="16"/>
        </w:rPr>
      </w:pPr>
    </w:p>
  </w:footnote>
  <w:footnote w:id="15">
    <w:p w14:paraId="7E35B567"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w:t>
      </w:r>
      <w:r w:rsidRPr="00151324">
        <w:rPr>
          <w:rFonts w:ascii="Times New Roman" w:hAnsi="Times New Roman" w:cs="Times New Roman"/>
          <w:color w:val="000000"/>
          <w:sz w:val="16"/>
          <w:szCs w:val="16"/>
        </w:rPr>
        <w:t xml:space="preserve">fr. Cons. Stato, sez. VI, 4 novembre 2021, n. 7380; </w:t>
      </w:r>
      <w:r w:rsidRPr="00151324">
        <w:rPr>
          <w:rFonts w:ascii="Times New Roman" w:hAnsi="Times New Roman" w:cs="Times New Roman"/>
          <w:i/>
          <w:color w:val="000000"/>
          <w:sz w:val="16"/>
          <w:szCs w:val="16"/>
        </w:rPr>
        <w:t>id.</w:t>
      </w:r>
      <w:r w:rsidRPr="00151324">
        <w:rPr>
          <w:rFonts w:ascii="Times New Roman" w:hAnsi="Times New Roman" w:cs="Times New Roman"/>
          <w:color w:val="000000"/>
          <w:sz w:val="16"/>
          <w:szCs w:val="16"/>
        </w:rPr>
        <w:t xml:space="preserve">, 3 febbraio 2020, n. 864; in senso contrario, v. </w:t>
      </w:r>
      <w:r w:rsidRPr="00151324">
        <w:rPr>
          <w:rFonts w:ascii="Times New Roman" w:eastAsia="Times New Roman" w:hAnsi="Times New Roman" w:cs="Times New Roman"/>
          <w:color w:val="000000"/>
          <w:kern w:val="0"/>
          <w:sz w:val="16"/>
          <w:szCs w:val="16"/>
          <w:lang w:eastAsia="it-IT"/>
        </w:rPr>
        <w:t xml:space="preserve">Cons. Stato, sez.VI, 20 settembre 2017, n. 4400. </w:t>
      </w:r>
      <w:r w:rsidRPr="00151324">
        <w:rPr>
          <w:rFonts w:ascii="Times New Roman" w:hAnsi="Times New Roman" w:cs="Times New Roman"/>
          <w:color w:val="000000"/>
          <w:sz w:val="16"/>
          <w:szCs w:val="16"/>
        </w:rPr>
        <w:t>Sul tema dell’applicabilità delle misure sanzionatorie in materia edilizia e della buona fede del terzo acquirente o, più in generale, del proprietario non responsabile dell’attività illecita, si richiama l’orientamento giurisprudenziale, che trae spunto dalla sentenza di Corte Costituzionale del 15 luglio 1991, n. 345, sviluppatosi in materia di acquisizione gratuita al patrimonio comunale dell'area sulla quale insiste l'opera abusiva nel caso di inottemperanza dell’ordine di demolizione, di cui all’art. 31 del D.P.R. 380/2001. Secondo l’indicata giurisprudenza amministrativa la sanzione acquisitiva al patrimonio dell’ente, a differenza di quella demolitoria volta al ripristino dello stato dei luoghi, non può essere comminata nei confronti del proprietario del fondo incolpevole, perché rimasto del tutto estraneo, dell’abuso edilizio. Da ciò discende la necessità per l’applicazione delle sanzioni amministrative privative della proprietà del bene, che non si palesino meramente ripristinatorie rispetto all’abuso perpetrato, di un elemento soggettivo almeno di carattere colposo da parte del soggetto proprietario che subisce la sanzione.</w:t>
      </w:r>
    </w:p>
  </w:footnote>
  <w:footnote w:id="16">
    <w:p w14:paraId="6D7D2B39" w14:textId="10AC76FA"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w:t>
      </w:r>
      <w:r w:rsidRPr="00151324">
        <w:rPr>
          <w:rFonts w:ascii="Times New Roman" w:hAnsi="Times New Roman" w:cs="Times New Roman"/>
          <w:color w:val="000000"/>
          <w:sz w:val="16"/>
          <w:szCs w:val="16"/>
        </w:rPr>
        <w:t xml:space="preserve">Sul tema dell’applicabilità delle misure sanzionatorie in materia edilizia e della buona fede del terzo acquirente o, più in generale, del proprietario non responsabile dell’attività illecita, si richiama l’orientamento giurisprudenziale, che trae spunto dalla sentenza di Corte </w:t>
      </w:r>
      <w:r w:rsidR="00876312" w:rsidRPr="00151324">
        <w:rPr>
          <w:rFonts w:ascii="Times New Roman" w:hAnsi="Times New Roman" w:cs="Times New Roman"/>
          <w:color w:val="000000"/>
          <w:sz w:val="16"/>
          <w:szCs w:val="16"/>
        </w:rPr>
        <w:t>c</w:t>
      </w:r>
      <w:r w:rsidRPr="00151324">
        <w:rPr>
          <w:rFonts w:ascii="Times New Roman" w:hAnsi="Times New Roman" w:cs="Times New Roman"/>
          <w:color w:val="000000"/>
          <w:sz w:val="16"/>
          <w:szCs w:val="16"/>
        </w:rPr>
        <w:t>ostituzionale del 15 luglio 1991, n. 345, sviluppatosi in materia di acquisizione gratuita al patrimonio comunale dell'area sulla quale insiste l'opera abusiva nel caso di inottemperanza dell’ordine di demolizione, di cui all’art. 31 del d.P.R. n.380/2001. Secondo l’indicata giurisprudenza amministrativa la sanzione acquisitiva al patrimonio dell’ente, a differenza di quella demolitoria volta al ripristino dello stato dei luoghi, non può essere comminata nei confronti del proprietario del fondo incolpevole, perché rimasto del tutto estraneo, dell’abuso edilizio. Da ciò discende la necessità per l’applicazione delle sanzioni amministrative privative della proprietà del bene che non si palesino meramente ripristinatorie rispetto all’abuso perpetrato, di un elemento soggettivo almeno di carattere colposo da parte del soggetto proprietario che subisce la sanzione.</w:t>
      </w:r>
    </w:p>
  </w:footnote>
  <w:footnote w:id="17">
    <w:p w14:paraId="5FC6E86D" w14:textId="0634973A" w:rsidR="00D334FC" w:rsidRDefault="00D334FC"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Sulla distinzione tra revoca in senso proprio e le altre figure così impropriamente qualificate nella prassi delle amministrazioni pubbliche e negli stessi testi legislativi, che in realtà hanno carattere sanzionatorio o decadenziale, appunto, in quanto trovano la loro fonte nella disciplina propria del rapporto o comunque connessa al rilascio del titolo (norma di legge, o regolamento, capitolato, convenzione, disciplinare, ecc.), v. V.</w:t>
      </w:r>
      <w:r w:rsidR="009E7B34" w:rsidRPr="00151324">
        <w:rPr>
          <w:rFonts w:ascii="Times New Roman" w:hAnsi="Times New Roman" w:cs="Times New Roman"/>
          <w:sz w:val="16"/>
          <w:szCs w:val="16"/>
        </w:rPr>
        <w:t xml:space="preserve"> </w:t>
      </w:r>
      <w:r w:rsidRPr="00151324">
        <w:rPr>
          <w:rFonts w:ascii="Times New Roman" w:hAnsi="Times New Roman" w:cs="Times New Roman"/>
          <w:sz w:val="16"/>
          <w:szCs w:val="16"/>
        </w:rPr>
        <w:t xml:space="preserve">Domenichelli, La revoca del provvedimento, in Codice dell’azione amministrativa a cura di M.A. Sandulli, Milano, 2017, con aggiornamento di </w:t>
      </w:r>
      <w:r w:rsidR="009E7B34" w:rsidRPr="00151324">
        <w:rPr>
          <w:rFonts w:ascii="Times New Roman" w:hAnsi="Times New Roman" w:cs="Times New Roman"/>
          <w:sz w:val="16"/>
          <w:szCs w:val="16"/>
        </w:rPr>
        <w:t>M</w:t>
      </w:r>
      <w:r w:rsidRPr="00151324">
        <w:rPr>
          <w:rFonts w:ascii="Times New Roman" w:hAnsi="Times New Roman" w:cs="Times New Roman"/>
          <w:sz w:val="16"/>
          <w:szCs w:val="16"/>
        </w:rPr>
        <w:t xml:space="preserve">. Sinisi, in particolare p. 1062.  </w:t>
      </w:r>
    </w:p>
    <w:p w14:paraId="48BE81F9" w14:textId="77777777" w:rsidR="00151324" w:rsidRPr="00151324" w:rsidRDefault="00151324" w:rsidP="00151324">
      <w:pPr>
        <w:pStyle w:val="Testonotaapidipagina"/>
        <w:jc w:val="both"/>
        <w:rPr>
          <w:rFonts w:ascii="Times New Roman" w:hAnsi="Times New Roman" w:cs="Times New Roman"/>
          <w:sz w:val="16"/>
          <w:szCs w:val="16"/>
        </w:rPr>
      </w:pPr>
    </w:p>
  </w:footnote>
  <w:footnote w:id="18">
    <w:p w14:paraId="7D9E6200" w14:textId="0E3BD535" w:rsidR="00D334FC" w:rsidRPr="00151324" w:rsidRDefault="00D334FC"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w:t>
      </w:r>
      <w:r w:rsidR="00B7228E" w:rsidRPr="00151324">
        <w:rPr>
          <w:rFonts w:ascii="Times New Roman" w:hAnsi="Times New Roman" w:cs="Times New Roman"/>
          <w:sz w:val="16"/>
          <w:szCs w:val="16"/>
        </w:rPr>
        <w:t>A ben vedere la si</w:t>
      </w:r>
      <w:r w:rsidR="00AD2FD4" w:rsidRPr="00151324">
        <w:rPr>
          <w:rFonts w:ascii="Times New Roman" w:hAnsi="Times New Roman" w:cs="Times New Roman"/>
          <w:sz w:val="16"/>
          <w:szCs w:val="16"/>
        </w:rPr>
        <w:t xml:space="preserve">stematizzazione della complessa materia della decadenza da parte dell’Adunanza plenaria risente forse dell’eccesso di sintesi con la quale si intende delimitare quella di specifico interesse, sicché non è da condividere il richiamo all’evenienza di una decadenza quale provvedimento di secondo livello con efficacia </w:t>
      </w:r>
      <w:r w:rsidR="00AD2FD4" w:rsidRPr="00151324">
        <w:rPr>
          <w:rFonts w:ascii="Times New Roman" w:hAnsi="Times New Roman" w:cs="Times New Roman"/>
          <w:i/>
          <w:sz w:val="16"/>
          <w:szCs w:val="16"/>
        </w:rPr>
        <w:t xml:space="preserve">ex </w:t>
      </w:r>
      <w:proofErr w:type="spellStart"/>
      <w:r w:rsidR="00AD2FD4" w:rsidRPr="00151324">
        <w:rPr>
          <w:rFonts w:ascii="Times New Roman" w:hAnsi="Times New Roman" w:cs="Times New Roman"/>
          <w:i/>
          <w:sz w:val="16"/>
          <w:szCs w:val="16"/>
        </w:rPr>
        <w:t>tunc</w:t>
      </w:r>
      <w:proofErr w:type="spellEnd"/>
      <w:r w:rsidR="00AD2FD4" w:rsidRPr="00151324">
        <w:rPr>
          <w:rFonts w:ascii="Times New Roman" w:hAnsi="Times New Roman" w:cs="Times New Roman"/>
          <w:sz w:val="16"/>
          <w:szCs w:val="16"/>
        </w:rPr>
        <w:t xml:space="preserve">, anziché </w:t>
      </w:r>
      <w:r w:rsidR="00AD2FD4" w:rsidRPr="00151324">
        <w:rPr>
          <w:rFonts w:ascii="Times New Roman" w:hAnsi="Times New Roman" w:cs="Times New Roman"/>
          <w:i/>
          <w:sz w:val="16"/>
          <w:szCs w:val="16"/>
        </w:rPr>
        <w:t xml:space="preserve">ex </w:t>
      </w:r>
      <w:proofErr w:type="spellStart"/>
      <w:r w:rsidR="00AD2FD4" w:rsidRPr="00151324">
        <w:rPr>
          <w:rFonts w:ascii="Times New Roman" w:hAnsi="Times New Roman" w:cs="Times New Roman"/>
          <w:i/>
          <w:sz w:val="16"/>
          <w:szCs w:val="16"/>
        </w:rPr>
        <w:t>nunc</w:t>
      </w:r>
      <w:proofErr w:type="spellEnd"/>
      <w:r w:rsidR="00AD2FD4" w:rsidRPr="00151324">
        <w:rPr>
          <w:rFonts w:ascii="Times New Roman" w:hAnsi="Times New Roman" w:cs="Times New Roman"/>
          <w:sz w:val="16"/>
          <w:szCs w:val="16"/>
        </w:rPr>
        <w:t xml:space="preserve">, come tipico della stessa. </w:t>
      </w:r>
      <w:r w:rsidR="00A93478" w:rsidRPr="00151324">
        <w:rPr>
          <w:rFonts w:ascii="Times New Roman" w:hAnsi="Times New Roman" w:cs="Times New Roman"/>
          <w:sz w:val="16"/>
          <w:szCs w:val="16"/>
        </w:rPr>
        <w:t xml:space="preserve">Per la distinzione tra tale ulteriore revoca in senso </w:t>
      </w:r>
      <w:proofErr w:type="spellStart"/>
      <w:r w:rsidR="00A93478" w:rsidRPr="00151324">
        <w:rPr>
          <w:rFonts w:ascii="Times New Roman" w:hAnsi="Times New Roman" w:cs="Times New Roman"/>
          <w:sz w:val="16"/>
          <w:szCs w:val="16"/>
        </w:rPr>
        <w:t>atecnico</w:t>
      </w:r>
      <w:proofErr w:type="spellEnd"/>
      <w:r w:rsidR="00A93478" w:rsidRPr="00151324">
        <w:rPr>
          <w:rFonts w:ascii="Times New Roman" w:hAnsi="Times New Roman" w:cs="Times New Roman"/>
          <w:sz w:val="16"/>
          <w:szCs w:val="16"/>
        </w:rPr>
        <w:t xml:space="preserve">, meglio definita quale rimozione o caducazione, che tende a rimuovere con effetto </w:t>
      </w:r>
      <w:r w:rsidR="00A93478" w:rsidRPr="00151324">
        <w:rPr>
          <w:rFonts w:ascii="Times New Roman" w:hAnsi="Times New Roman" w:cs="Times New Roman"/>
          <w:i/>
          <w:sz w:val="16"/>
          <w:szCs w:val="16"/>
        </w:rPr>
        <w:t xml:space="preserve">ex </w:t>
      </w:r>
      <w:proofErr w:type="spellStart"/>
      <w:r w:rsidR="00A93478" w:rsidRPr="00151324">
        <w:rPr>
          <w:rFonts w:ascii="Times New Roman" w:hAnsi="Times New Roman" w:cs="Times New Roman"/>
          <w:i/>
          <w:sz w:val="16"/>
          <w:szCs w:val="16"/>
        </w:rPr>
        <w:t>tunc</w:t>
      </w:r>
      <w:proofErr w:type="spellEnd"/>
      <w:r w:rsidR="00A93478" w:rsidRPr="00151324">
        <w:rPr>
          <w:rFonts w:ascii="Times New Roman" w:hAnsi="Times New Roman" w:cs="Times New Roman"/>
          <w:sz w:val="16"/>
          <w:szCs w:val="16"/>
        </w:rPr>
        <w:t xml:space="preserve"> un atto inopportuno </w:t>
      </w:r>
      <w:r w:rsidR="00A93478" w:rsidRPr="00BE370D">
        <w:rPr>
          <w:rFonts w:ascii="Times New Roman" w:hAnsi="Times New Roman" w:cs="Times New Roman"/>
          <w:i/>
          <w:sz w:val="16"/>
          <w:szCs w:val="16"/>
        </w:rPr>
        <w:t>ab origine</w:t>
      </w:r>
      <w:r w:rsidR="00A93478" w:rsidRPr="00151324">
        <w:rPr>
          <w:rFonts w:ascii="Times New Roman" w:hAnsi="Times New Roman" w:cs="Times New Roman"/>
          <w:sz w:val="16"/>
          <w:szCs w:val="16"/>
        </w:rPr>
        <w:t xml:space="preserve"> e abrogazione, con effetto </w:t>
      </w:r>
      <w:r w:rsidR="00A93478" w:rsidRPr="00151324">
        <w:rPr>
          <w:rFonts w:ascii="Times New Roman" w:hAnsi="Times New Roman" w:cs="Times New Roman"/>
          <w:i/>
          <w:sz w:val="16"/>
          <w:szCs w:val="16"/>
        </w:rPr>
        <w:t>ex nunc</w:t>
      </w:r>
      <w:r w:rsidR="00A93478" w:rsidRPr="00151324">
        <w:rPr>
          <w:rFonts w:ascii="Times New Roman" w:hAnsi="Times New Roman" w:cs="Times New Roman"/>
          <w:sz w:val="16"/>
          <w:szCs w:val="16"/>
        </w:rPr>
        <w:t xml:space="preserve">, avuto riguardo ai provvedimenti ad efficacia durevole, v. A.M. Sandulli, Manuale di diritto amministrativo, Napoli, 1984, p. 702 ss.; Benvenuti F., Appunti di diritto amministrativo, Padova, 1987, p. 157. </w:t>
      </w:r>
    </w:p>
  </w:footnote>
  <w:footnote w:id="19">
    <w:p w14:paraId="75F01ED1"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L’esatto inquadramento delle misure adottate dall’Autorità di regolazione per energia reti e ambiente – ARERA e della disciplina ad esse applicabile è tutt’affatto che semplice e ne è riprova il recente – e condivisibile – </w:t>
      </w:r>
      <w:r w:rsidRPr="00151324">
        <w:rPr>
          <w:rFonts w:ascii="Times New Roman" w:hAnsi="Times New Roman" w:cs="Times New Roman"/>
          <w:i/>
          <w:sz w:val="16"/>
          <w:szCs w:val="16"/>
        </w:rPr>
        <w:t>revirement</w:t>
      </w:r>
      <w:r w:rsidRPr="00151324">
        <w:rPr>
          <w:rFonts w:ascii="Times New Roman" w:hAnsi="Times New Roman" w:cs="Times New Roman"/>
          <w:sz w:val="16"/>
          <w:szCs w:val="16"/>
        </w:rPr>
        <w:t xml:space="preserve"> giurisprudenziale in materia di perentorietà dei termini del relativo procedimento “sanzionatorio”. Se in linea generale, infatti, il carattere della perentorietà può essere riconosciuto a una scadenza temporale solo da un’espressa norma di legge, sicché, in assenza di una specifica disposizione che lo preveda come perentorio, il termine va inteso come sollecitatorio o ordinatorio e il suo superamento non determina l’illegittimità dell’atto, tuttavia la particolarità del procedimento sanzionatorio rispetto al paradigma del procedimento amministrativo conduce a diverse conseguenze, attesa la stretta correlazione sussistente tra il rispetto di quel termine e l’effettività del diritto di difesa, avente protezione costituzionale (nel combinato disposto degli articoli 24 e 97 Cost.). Difatti, nei procedimenti sanzionatori consentire l’adozione del provvedimento finale entro il lungo termine prescrizionale (cinque anni, </w:t>
      </w:r>
      <w:r w:rsidRPr="00151324">
        <w:rPr>
          <w:rFonts w:ascii="Times New Roman" w:hAnsi="Times New Roman" w:cs="Times New Roman"/>
          <w:i/>
          <w:iCs/>
          <w:sz w:val="16"/>
          <w:szCs w:val="16"/>
        </w:rPr>
        <w:t>ex</w:t>
      </w:r>
      <w:r w:rsidRPr="00151324">
        <w:rPr>
          <w:rFonts w:ascii="Times New Roman" w:hAnsi="Times New Roman" w:cs="Times New Roman"/>
          <w:sz w:val="16"/>
          <w:szCs w:val="16"/>
        </w:rPr>
        <w:t xml:space="preserve"> art. 28 della l. n. 689 del 1981), anziché nel rispetto del termine specificamente fissato per la sua adozione, equivarrebbe a esporre l’incolpato a un potere sanzionatorio di fronte al cui tardivo esercizio potrebbe essergli difficoltoso approntare in concreto adeguati strumenti di difesa. L’esercizio di una potestà sanzionatoria, di qualsivoglia natura, non può dunque restare esposta </w:t>
      </w:r>
      <w:r w:rsidRPr="00151324">
        <w:rPr>
          <w:rFonts w:ascii="Times New Roman" w:hAnsi="Times New Roman" w:cs="Times New Roman"/>
          <w:i/>
          <w:iCs/>
          <w:sz w:val="16"/>
          <w:szCs w:val="16"/>
        </w:rPr>
        <w:t>sine die</w:t>
      </w:r>
      <w:r w:rsidRPr="00151324">
        <w:rPr>
          <w:rFonts w:ascii="Times New Roman" w:hAnsi="Times New Roman" w:cs="Times New Roman"/>
          <w:sz w:val="16"/>
          <w:szCs w:val="16"/>
        </w:rPr>
        <w:t xml:space="preserve"> all’inerzia dell’autorità preposta al procedimento, per elementari esigenze di sicurezza giuridica e di prevedibilità in tempi ragionevoli delle conseguenze dei propri comportamenti (Cons. Stato, sez. VI, 12 gennaio 2021, n. 584; </w:t>
      </w:r>
      <w:r w:rsidRPr="00151324">
        <w:rPr>
          <w:rFonts w:ascii="Times New Roman" w:hAnsi="Times New Roman" w:cs="Times New Roman"/>
          <w:i/>
          <w:iCs/>
          <w:sz w:val="16"/>
          <w:szCs w:val="16"/>
        </w:rPr>
        <w:t>id</w:t>
      </w:r>
      <w:r w:rsidRPr="00151324">
        <w:rPr>
          <w:rFonts w:ascii="Times New Roman" w:hAnsi="Times New Roman" w:cs="Times New Roman"/>
          <w:sz w:val="16"/>
          <w:szCs w:val="16"/>
        </w:rPr>
        <w:t xml:space="preserve">., 17 marzo 2021, </w:t>
      </w:r>
      <w:proofErr w:type="spellStart"/>
      <w:r w:rsidRPr="00151324">
        <w:rPr>
          <w:rFonts w:ascii="Times New Roman" w:hAnsi="Times New Roman" w:cs="Times New Roman"/>
          <w:sz w:val="16"/>
          <w:szCs w:val="16"/>
        </w:rPr>
        <w:t>nn</w:t>
      </w:r>
      <w:proofErr w:type="spellEnd"/>
      <w:r w:rsidRPr="00151324">
        <w:rPr>
          <w:rFonts w:ascii="Times New Roman" w:hAnsi="Times New Roman" w:cs="Times New Roman"/>
          <w:sz w:val="16"/>
          <w:szCs w:val="16"/>
        </w:rPr>
        <w:t xml:space="preserve">. 2307, 2308 e 2309, che hanno esteso i principi già affermati con riferimento ad altre Autorità - Cons. Stato, sez. VI, 23 marzo 2016, n. 1199; </w:t>
      </w:r>
      <w:r w:rsidRPr="00151324">
        <w:rPr>
          <w:rFonts w:ascii="Times New Roman" w:hAnsi="Times New Roman" w:cs="Times New Roman"/>
          <w:i/>
          <w:iCs/>
          <w:sz w:val="16"/>
          <w:szCs w:val="16"/>
        </w:rPr>
        <w:t>id</w:t>
      </w:r>
      <w:r w:rsidRPr="00151324">
        <w:rPr>
          <w:rFonts w:ascii="Times New Roman" w:hAnsi="Times New Roman" w:cs="Times New Roman"/>
          <w:sz w:val="16"/>
          <w:szCs w:val="16"/>
        </w:rPr>
        <w:t>., 6 agosto 2013, n. 4113; 29 gennaio 2013, n. 542, con riferimento alla Banca d’Italia; sez. VI, 4 aprile 2019, n. 2289, per l’ANAC; sez. VI, 17 novembre 2020, n. 7153, per l’Autorità per le garanzie nelle comunicazioni).</w:t>
      </w:r>
    </w:p>
    <w:p w14:paraId="17DB3489" w14:textId="77777777" w:rsidR="00C01F9F" w:rsidRPr="00151324" w:rsidRDefault="00C01F9F" w:rsidP="00151324">
      <w:pPr>
        <w:pStyle w:val="Testonotaapidipagina"/>
        <w:jc w:val="both"/>
        <w:rPr>
          <w:rFonts w:ascii="Times New Roman" w:hAnsi="Times New Roman" w:cs="Times New Roman"/>
          <w:sz w:val="16"/>
          <w:szCs w:val="16"/>
        </w:rPr>
      </w:pPr>
    </w:p>
  </w:footnote>
  <w:footnote w:id="20">
    <w:p w14:paraId="4818B590" w14:textId="0A96E066" w:rsidR="00F20F29" w:rsidRDefault="00F20F29"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Sui poteri di controllo del GSE cfr. da ultimo lo studio critico di A. </w:t>
      </w:r>
      <w:proofErr w:type="spellStart"/>
      <w:r w:rsidRPr="00151324">
        <w:rPr>
          <w:rFonts w:ascii="Times New Roman" w:hAnsi="Times New Roman" w:cs="Times New Roman"/>
          <w:sz w:val="16"/>
          <w:szCs w:val="16"/>
        </w:rPr>
        <w:t>C</w:t>
      </w:r>
      <w:r w:rsidR="009E7B34" w:rsidRPr="00151324">
        <w:rPr>
          <w:rFonts w:ascii="Times New Roman" w:hAnsi="Times New Roman" w:cs="Times New Roman"/>
          <w:sz w:val="16"/>
          <w:szCs w:val="16"/>
        </w:rPr>
        <w:t>oiante</w:t>
      </w:r>
      <w:proofErr w:type="spellEnd"/>
      <w:r w:rsidR="009E7B34" w:rsidRPr="00151324">
        <w:rPr>
          <w:rFonts w:ascii="Times New Roman" w:hAnsi="Times New Roman" w:cs="Times New Roman"/>
          <w:sz w:val="16"/>
          <w:szCs w:val="16"/>
        </w:rPr>
        <w:t xml:space="preserve">, </w:t>
      </w:r>
      <w:r w:rsidRPr="00151324">
        <w:rPr>
          <w:rFonts w:ascii="Times New Roman" w:hAnsi="Times New Roman" w:cs="Times New Roman"/>
          <w:i/>
          <w:iCs/>
          <w:sz w:val="16"/>
          <w:szCs w:val="16"/>
        </w:rPr>
        <w:t>I poteri del GSE nell’ambito dell’erogazione degli incentivi per la produzione di energia da fonte rinnovabile</w:t>
      </w:r>
      <w:r w:rsidRPr="00151324">
        <w:rPr>
          <w:rFonts w:ascii="Times New Roman" w:hAnsi="Times New Roman" w:cs="Times New Roman"/>
          <w:sz w:val="16"/>
          <w:szCs w:val="16"/>
        </w:rPr>
        <w:t xml:space="preserve">, in Federalismi, </w:t>
      </w:r>
      <w:r w:rsidR="00775FE4" w:rsidRPr="00151324">
        <w:rPr>
          <w:rFonts w:ascii="Times New Roman" w:hAnsi="Times New Roman" w:cs="Times New Roman"/>
          <w:sz w:val="16"/>
          <w:szCs w:val="16"/>
        </w:rPr>
        <w:t>n. 17/</w:t>
      </w:r>
      <w:r w:rsidRPr="00151324">
        <w:rPr>
          <w:rFonts w:ascii="Times New Roman" w:hAnsi="Times New Roman" w:cs="Times New Roman"/>
          <w:sz w:val="16"/>
          <w:szCs w:val="16"/>
        </w:rPr>
        <w:t>2022</w:t>
      </w:r>
      <w:r w:rsidR="00775FE4" w:rsidRPr="00151324">
        <w:rPr>
          <w:rFonts w:ascii="Times New Roman" w:hAnsi="Times New Roman" w:cs="Times New Roman"/>
          <w:sz w:val="16"/>
          <w:szCs w:val="16"/>
        </w:rPr>
        <w:t xml:space="preserve"> e ivi ampi richiami di e di giurisprudenza.</w:t>
      </w:r>
    </w:p>
    <w:p w14:paraId="4F8D0F63" w14:textId="77777777" w:rsidR="00151324" w:rsidRPr="00151324" w:rsidRDefault="00151324" w:rsidP="00151324">
      <w:pPr>
        <w:pStyle w:val="Testonotaapidipagina"/>
        <w:jc w:val="both"/>
        <w:rPr>
          <w:rFonts w:ascii="Times New Roman" w:hAnsi="Times New Roman" w:cs="Times New Roman"/>
          <w:sz w:val="16"/>
          <w:szCs w:val="16"/>
        </w:rPr>
      </w:pPr>
    </w:p>
  </w:footnote>
  <w:footnote w:id="21">
    <w:p w14:paraId="375BD293" w14:textId="4EB1F1FC" w:rsidR="009E7B34" w:rsidRDefault="009E7B34"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Vero è che nel caso di specie il legislatore finisce per attribuire rilievo all’inerzia protratta nel tempo dell’operatore economico, </w:t>
      </w:r>
      <w:r w:rsidR="00D23FA1" w:rsidRPr="00151324">
        <w:rPr>
          <w:rFonts w:ascii="Times New Roman" w:hAnsi="Times New Roman" w:cs="Times New Roman"/>
          <w:sz w:val="16"/>
          <w:szCs w:val="16"/>
        </w:rPr>
        <w:t xml:space="preserve">sì da attribuirle il significato di rinuncia implicita al titolo, al pari di quanto avviene, </w:t>
      </w:r>
      <w:r w:rsidR="00D23FA1" w:rsidRPr="00151324">
        <w:rPr>
          <w:rFonts w:ascii="Times New Roman" w:hAnsi="Times New Roman" w:cs="Times New Roman"/>
          <w:i/>
          <w:sz w:val="16"/>
          <w:szCs w:val="16"/>
        </w:rPr>
        <w:t>mutatis mutandis</w:t>
      </w:r>
      <w:r w:rsidR="00D23FA1" w:rsidRPr="00151324">
        <w:rPr>
          <w:rFonts w:ascii="Times New Roman" w:hAnsi="Times New Roman" w:cs="Times New Roman"/>
          <w:sz w:val="16"/>
          <w:szCs w:val="16"/>
        </w:rPr>
        <w:t xml:space="preserve">, in caso di mancato avvio dei lavori entro il termine normativamente dato dal rilascio del permesso di costruire. </w:t>
      </w:r>
      <w:r w:rsidRPr="00151324">
        <w:rPr>
          <w:rFonts w:ascii="Times New Roman" w:hAnsi="Times New Roman" w:cs="Times New Roman"/>
          <w:sz w:val="16"/>
          <w:szCs w:val="16"/>
        </w:rPr>
        <w:t xml:space="preserve">La stretta connessione, tuttavia, esistente fra titolarità della concessione di suolo pubblico e legittimazione all’esercizio della vendita </w:t>
      </w:r>
      <w:r w:rsidR="00D23FA1" w:rsidRPr="00151324">
        <w:rPr>
          <w:rFonts w:ascii="Times New Roman" w:hAnsi="Times New Roman" w:cs="Times New Roman"/>
          <w:sz w:val="16"/>
          <w:szCs w:val="16"/>
        </w:rPr>
        <w:t xml:space="preserve">fa sì che a tale decadenza/rinuncia consegua automaticamente la revoca/sanzione dell’autorizzazione, astrattamente riferibile, peraltro, anche ad altri posteggi ovvero all’esercizio dell’attività in forma itinerante.  </w:t>
      </w:r>
      <w:r w:rsidRPr="00151324">
        <w:rPr>
          <w:rFonts w:ascii="Times New Roman" w:hAnsi="Times New Roman" w:cs="Times New Roman"/>
          <w:sz w:val="16"/>
          <w:szCs w:val="16"/>
        </w:rPr>
        <w:t xml:space="preserve"> </w:t>
      </w:r>
    </w:p>
    <w:p w14:paraId="71943250" w14:textId="77777777" w:rsidR="00151324" w:rsidRPr="00151324" w:rsidRDefault="00151324" w:rsidP="00151324">
      <w:pPr>
        <w:pStyle w:val="Testonotaapidipagina"/>
        <w:jc w:val="both"/>
        <w:rPr>
          <w:rFonts w:ascii="Times New Roman" w:hAnsi="Times New Roman" w:cs="Times New Roman"/>
          <w:sz w:val="16"/>
          <w:szCs w:val="16"/>
        </w:rPr>
      </w:pPr>
    </w:p>
  </w:footnote>
  <w:footnote w:id="22">
    <w:p w14:paraId="4F7B21F1"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Ma non necessariamente: si pensi all’occupazione temporanea per l’effettuazione di un trasloco, o per l’installazione di un ponteggio funzionale all’effettuazione di lavori edilizi sull’immobile prospiciente. </w:t>
      </w:r>
    </w:p>
  </w:footnote>
  <w:footnote w:id="23">
    <w:p w14:paraId="41D200E7"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Cfr. Cass., SS.UU., 11 febbraio 2011, n. 3811 e 3813. Partendo dal richiamato assunto che supera ampiamente la tradizionale sistematica codicistica, i giudici di legittimità </w:t>
      </w:r>
      <w:r w:rsidRPr="00151324">
        <w:rPr>
          <w:rFonts w:ascii="Times New Roman" w:hAnsi="Times New Roman" w:cs="Times New Roman"/>
          <w:iCs/>
          <w:sz w:val="16"/>
          <w:szCs w:val="16"/>
          <w:shd w:val="clear" w:color="auto" w:fill="FFFFFF"/>
        </w:rPr>
        <w:t>reinterpretano il concetto di demanialità e auspicano politiche amministrative di tipo orizzontale che coinvolgano i cittadini nella gestione dei beni funzionali al soddisfacimento degli interessi della collettività.</w:t>
      </w:r>
      <w:r w:rsidRPr="00151324">
        <w:rPr>
          <w:rFonts w:ascii="Times New Roman" w:hAnsi="Times New Roman" w:cs="Times New Roman"/>
          <w:sz w:val="16"/>
          <w:szCs w:val="16"/>
        </w:rPr>
        <w:t xml:space="preserve"> A monte, sotto il profilo testuale, l’art. 822 c.c. ricomprende nel cosiddetto demanio marittimo il lido del mare, la spiaggia, le rade e i porti ma nulla dice delle lagune, ossia gli specchi d'acqua in immediata vicinanza al mare, la cui natura demaniale è stata riconosciuta ogni qual volta vi sia la libera comunicazione con esso. Per un approfondimento sulla tematica si veda G.P. Cirillo, Il diritto di accesso al mare, in </w:t>
      </w:r>
      <w:hyperlink r:id="rId1" w:history="1">
        <w:r w:rsidRPr="00151324">
          <w:rPr>
            <w:rFonts w:ascii="Times New Roman" w:hAnsi="Times New Roman" w:cs="Times New Roman"/>
            <w:sz w:val="16"/>
            <w:szCs w:val="16"/>
          </w:rPr>
          <w:t>www.giustizia.amministrativa.it</w:t>
        </w:r>
      </w:hyperlink>
      <w:r w:rsidRPr="00151324">
        <w:rPr>
          <w:rFonts w:ascii="Times New Roman" w:hAnsi="Times New Roman" w:cs="Times New Roman"/>
          <w:sz w:val="16"/>
          <w:szCs w:val="16"/>
        </w:rPr>
        <w:t xml:space="preserve">. </w:t>
      </w:r>
    </w:p>
    <w:p w14:paraId="30797C67" w14:textId="77777777" w:rsidR="00C01F9F" w:rsidRPr="00151324" w:rsidRDefault="00C01F9F" w:rsidP="00151324">
      <w:pPr>
        <w:pStyle w:val="Testonotaapidipagina"/>
        <w:jc w:val="both"/>
        <w:rPr>
          <w:rFonts w:ascii="Times New Roman" w:hAnsi="Times New Roman" w:cs="Times New Roman"/>
          <w:sz w:val="16"/>
          <w:szCs w:val="16"/>
        </w:rPr>
      </w:pPr>
    </w:p>
  </w:footnote>
  <w:footnote w:id="24">
    <w:p w14:paraId="3FA65721" w14:textId="551AEEC0" w:rsidR="00C01F9F" w:rsidRDefault="00C01F9F" w:rsidP="00151324">
      <w:pPr>
        <w:autoSpaceDE w:val="0"/>
        <w:spacing w:after="0"/>
        <w:jc w:val="both"/>
        <w:rPr>
          <w:rFonts w:ascii="Times New Roman" w:eastAsia="Times New Roman" w:hAnsi="Times New Roman" w:cs="Times New Roman"/>
          <w:color w:val="404040"/>
          <w:sz w:val="16"/>
          <w:szCs w:val="16"/>
          <w:lang w:eastAsia="it-IT"/>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Cfr. art. 190 del d.lgs. 18 aprile 2016, n. 50 del 2016, Codice dei contratti pubblici, che ha assorbito, in particolare dopo il così detto “correttivo”, </w:t>
      </w:r>
      <w:proofErr w:type="spellStart"/>
      <w:r w:rsidRPr="00151324">
        <w:rPr>
          <w:rFonts w:ascii="Times New Roman" w:hAnsi="Times New Roman" w:cs="Times New Roman"/>
          <w:sz w:val="16"/>
          <w:szCs w:val="16"/>
        </w:rPr>
        <w:t>d.lg.</w:t>
      </w:r>
      <w:proofErr w:type="spellEnd"/>
      <w:r w:rsidRPr="00151324">
        <w:rPr>
          <w:rFonts w:ascii="Times New Roman" w:hAnsi="Times New Roman" w:cs="Times New Roman"/>
          <w:sz w:val="16"/>
          <w:szCs w:val="16"/>
        </w:rPr>
        <w:t xml:space="preserve"> 19 aprile 2017, n. 56, la disposizione già contenuta nell’art. 24 del </w:t>
      </w:r>
      <w:proofErr w:type="spellStart"/>
      <w:r w:rsidRPr="00151324">
        <w:rPr>
          <w:rFonts w:ascii="Times New Roman" w:hAnsi="Times New Roman" w:cs="Times New Roman"/>
          <w:sz w:val="16"/>
          <w:szCs w:val="16"/>
        </w:rPr>
        <w:t>d.l.</w:t>
      </w:r>
      <w:proofErr w:type="spellEnd"/>
      <w:r w:rsidRPr="00151324">
        <w:rPr>
          <w:rFonts w:ascii="Times New Roman" w:hAnsi="Times New Roman" w:cs="Times New Roman"/>
          <w:sz w:val="16"/>
          <w:szCs w:val="16"/>
        </w:rPr>
        <w:t xml:space="preserve"> 12 settembre 2014, n.133, cosiddetto ‘sblocca Italia’, convertito, con modificazioni, dalla l. 11 novembre 2014, n. 164. Al riguardo v. A. Manzione, </w:t>
      </w:r>
      <w:r w:rsidRPr="008E1CBC">
        <w:rPr>
          <w:rFonts w:ascii="Times New Roman" w:eastAsia="Times New Roman" w:hAnsi="Times New Roman" w:cs="Times New Roman"/>
          <w:sz w:val="16"/>
          <w:szCs w:val="16"/>
          <w:lang w:eastAsia="it-IT"/>
        </w:rPr>
        <w:t>“Dal baratto amministrativo al partenariato sociale e oltre nel solco della atipicità”, in AA.VV., La co-città, a cura di P.</w:t>
      </w:r>
      <w:r w:rsidR="008E1CBC">
        <w:rPr>
          <w:rFonts w:ascii="Times New Roman" w:eastAsia="Times New Roman" w:hAnsi="Times New Roman" w:cs="Times New Roman"/>
          <w:sz w:val="16"/>
          <w:szCs w:val="16"/>
          <w:lang w:eastAsia="it-IT"/>
        </w:rPr>
        <w:t xml:space="preserve"> </w:t>
      </w:r>
      <w:proofErr w:type="spellStart"/>
      <w:r w:rsidRPr="008E1CBC">
        <w:rPr>
          <w:rFonts w:ascii="Times New Roman" w:eastAsia="Times New Roman" w:hAnsi="Times New Roman" w:cs="Times New Roman"/>
          <w:sz w:val="16"/>
          <w:szCs w:val="16"/>
          <w:lang w:eastAsia="it-IT"/>
        </w:rPr>
        <w:t>Chirulli</w:t>
      </w:r>
      <w:proofErr w:type="spellEnd"/>
      <w:r w:rsidRPr="008E1CBC">
        <w:rPr>
          <w:rFonts w:ascii="Times New Roman" w:eastAsia="Times New Roman" w:hAnsi="Times New Roman" w:cs="Times New Roman"/>
          <w:sz w:val="16"/>
          <w:szCs w:val="16"/>
          <w:lang w:eastAsia="it-IT"/>
        </w:rPr>
        <w:t xml:space="preserve"> e C.</w:t>
      </w:r>
      <w:r w:rsidR="008E1CBC">
        <w:rPr>
          <w:rFonts w:ascii="Times New Roman" w:eastAsia="Times New Roman" w:hAnsi="Times New Roman" w:cs="Times New Roman"/>
          <w:sz w:val="16"/>
          <w:szCs w:val="16"/>
          <w:lang w:eastAsia="it-IT"/>
        </w:rPr>
        <w:t xml:space="preserve"> </w:t>
      </w:r>
      <w:proofErr w:type="spellStart"/>
      <w:r w:rsidRPr="008E1CBC">
        <w:rPr>
          <w:rFonts w:ascii="Times New Roman" w:eastAsia="Times New Roman" w:hAnsi="Times New Roman" w:cs="Times New Roman"/>
          <w:sz w:val="16"/>
          <w:szCs w:val="16"/>
          <w:lang w:eastAsia="it-IT"/>
        </w:rPr>
        <w:t>Iaione</w:t>
      </w:r>
      <w:proofErr w:type="spellEnd"/>
      <w:r w:rsidRPr="008E1CBC">
        <w:rPr>
          <w:rFonts w:ascii="Times New Roman" w:eastAsia="Times New Roman" w:hAnsi="Times New Roman" w:cs="Times New Roman"/>
          <w:sz w:val="16"/>
          <w:szCs w:val="16"/>
          <w:lang w:eastAsia="it-IT"/>
        </w:rPr>
        <w:t xml:space="preserve">, Iovene ed., 2018. </w:t>
      </w:r>
    </w:p>
    <w:p w14:paraId="5D5B0FBC" w14:textId="77777777" w:rsidR="00151324" w:rsidRPr="00151324" w:rsidRDefault="00151324" w:rsidP="00151324">
      <w:pPr>
        <w:autoSpaceDE w:val="0"/>
        <w:spacing w:after="0"/>
        <w:jc w:val="both"/>
        <w:rPr>
          <w:rFonts w:ascii="Times New Roman" w:hAnsi="Times New Roman" w:cs="Times New Roman"/>
          <w:sz w:val="16"/>
          <w:szCs w:val="16"/>
        </w:rPr>
      </w:pPr>
    </w:p>
  </w:footnote>
  <w:footnote w:id="25">
    <w:p w14:paraId="432423D3" w14:textId="7F2D29D2" w:rsidR="00F932F3" w:rsidRDefault="00F932F3"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Per quanto, infatti, talvolta si utilizzi in maniera impropria il riferimento all’autorizzazione, correttamente la legislazione nazionale, anche tributaria, riconduce il relativo titolo a siffatta dizione, con quanto ne consegue in relazione all’applicabilità dei medesimi principi elaborati con riferimento alle concessioni demaniali marittime in applicazione della c.d. Direttiva Bolkestein.  </w:t>
      </w:r>
    </w:p>
    <w:p w14:paraId="09779610" w14:textId="77777777" w:rsidR="00151324" w:rsidRPr="00151324" w:rsidRDefault="00151324" w:rsidP="00151324">
      <w:pPr>
        <w:pStyle w:val="Testonotaapidipagina"/>
        <w:jc w:val="both"/>
        <w:rPr>
          <w:rFonts w:ascii="Times New Roman" w:hAnsi="Times New Roman" w:cs="Times New Roman"/>
          <w:sz w:val="16"/>
          <w:szCs w:val="16"/>
        </w:rPr>
      </w:pPr>
    </w:p>
  </w:footnote>
  <w:footnote w:id="26">
    <w:p w14:paraId="477D8EF6" w14:textId="054627A7" w:rsidR="00C01F9F" w:rsidRPr="00151324" w:rsidRDefault="00C01F9F" w:rsidP="00151324">
      <w:pPr>
        <w:pStyle w:val="Testonotaapidipagina"/>
        <w:jc w:val="both"/>
        <w:rPr>
          <w:rFonts w:ascii="Times New Roman" w:hAnsi="Times New Roman" w:cs="Times New Roman"/>
          <w:color w:val="000000"/>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Sulla materia è ormai nota la ricostruzione dei principi comunitari, seppure con specifico riferimento al tema delle concessioni demaniali marittime, contenuta nelle sentenze della Adunanza plenaria del Consiglio di Stato 9 novembre 2021, n. 17 e 18, cui ha fatto seguito un corposo dibattito dottrinario (v. </w:t>
      </w:r>
      <w:r w:rsidRPr="00151324">
        <w:rPr>
          <w:rFonts w:ascii="Times New Roman" w:hAnsi="Times New Roman" w:cs="Times New Roman"/>
          <w:i/>
          <w:sz w:val="16"/>
          <w:szCs w:val="16"/>
        </w:rPr>
        <w:t xml:space="preserve">ex </w:t>
      </w:r>
      <w:proofErr w:type="spellStart"/>
      <w:r w:rsidRPr="00151324">
        <w:rPr>
          <w:rFonts w:ascii="Times New Roman" w:hAnsi="Times New Roman" w:cs="Times New Roman"/>
          <w:i/>
          <w:sz w:val="16"/>
          <w:szCs w:val="16"/>
        </w:rPr>
        <w:t>multis</w:t>
      </w:r>
      <w:proofErr w:type="spellEnd"/>
      <w:r w:rsidRPr="00151324">
        <w:rPr>
          <w:rFonts w:ascii="Times New Roman" w:hAnsi="Times New Roman" w:cs="Times New Roman"/>
          <w:i/>
          <w:sz w:val="16"/>
          <w:szCs w:val="16"/>
        </w:rPr>
        <w:t xml:space="preserve"> </w:t>
      </w:r>
      <w:r w:rsidRPr="00151324">
        <w:rPr>
          <w:rFonts w:ascii="Times New Roman" w:hAnsi="Times New Roman" w:cs="Times New Roman"/>
          <w:sz w:val="16"/>
          <w:szCs w:val="16"/>
        </w:rPr>
        <w:t xml:space="preserve">  i contributi di </w:t>
      </w:r>
      <w:r w:rsidRPr="00151324">
        <w:rPr>
          <w:rFonts w:ascii="Times New Roman" w:hAnsi="Times New Roman" w:cs="Times New Roman"/>
          <w:color w:val="090E1D"/>
          <w:sz w:val="16"/>
          <w:szCs w:val="16"/>
          <w:shd w:val="clear" w:color="auto" w:fill="F5F5F5"/>
        </w:rPr>
        <w:t xml:space="preserve">M.A. Sandulli, F. Ferraro, G. Morbidelli, M. Gola, R. </w:t>
      </w:r>
      <w:proofErr w:type="spellStart"/>
      <w:r w:rsidRPr="00151324">
        <w:rPr>
          <w:rFonts w:ascii="Times New Roman" w:hAnsi="Times New Roman" w:cs="Times New Roman"/>
          <w:color w:val="090E1D"/>
          <w:sz w:val="16"/>
          <w:szCs w:val="16"/>
          <w:shd w:val="clear" w:color="auto" w:fill="F5F5F5"/>
        </w:rPr>
        <w:t>Dipace</w:t>
      </w:r>
      <w:proofErr w:type="spellEnd"/>
      <w:r w:rsidRPr="00151324">
        <w:rPr>
          <w:rFonts w:ascii="Times New Roman" w:hAnsi="Times New Roman" w:cs="Times New Roman"/>
          <w:color w:val="090E1D"/>
          <w:sz w:val="16"/>
          <w:szCs w:val="16"/>
          <w:shd w:val="clear" w:color="auto" w:fill="F5F5F5"/>
        </w:rPr>
        <w:t>, M. Calabrò, E. Lamarque, R.</w:t>
      </w:r>
      <w:r w:rsidR="008E1CBC">
        <w:rPr>
          <w:rFonts w:ascii="Times New Roman" w:hAnsi="Times New Roman" w:cs="Times New Roman"/>
          <w:color w:val="090E1D"/>
          <w:sz w:val="16"/>
          <w:szCs w:val="16"/>
          <w:shd w:val="clear" w:color="auto" w:fill="F5F5F5"/>
        </w:rPr>
        <w:t xml:space="preserve"> </w:t>
      </w:r>
      <w:r w:rsidRPr="00151324">
        <w:rPr>
          <w:rFonts w:ascii="Times New Roman" w:hAnsi="Times New Roman" w:cs="Times New Roman"/>
          <w:color w:val="090E1D"/>
          <w:sz w:val="16"/>
          <w:szCs w:val="16"/>
          <w:shd w:val="clear" w:color="auto" w:fill="F5F5F5"/>
        </w:rPr>
        <w:t xml:space="preserve">Rolli - D. </w:t>
      </w:r>
      <w:proofErr w:type="spellStart"/>
      <w:r w:rsidRPr="00151324">
        <w:rPr>
          <w:rFonts w:ascii="Times New Roman" w:hAnsi="Times New Roman" w:cs="Times New Roman"/>
          <w:color w:val="090E1D"/>
          <w:sz w:val="16"/>
          <w:szCs w:val="16"/>
          <w:shd w:val="clear" w:color="auto" w:fill="F5F5F5"/>
        </w:rPr>
        <w:t>Sammarro</w:t>
      </w:r>
      <w:proofErr w:type="spellEnd"/>
      <w:r w:rsidRPr="00151324">
        <w:rPr>
          <w:rFonts w:ascii="Times New Roman" w:hAnsi="Times New Roman" w:cs="Times New Roman"/>
          <w:color w:val="090E1D"/>
          <w:sz w:val="16"/>
          <w:szCs w:val="16"/>
          <w:shd w:val="clear" w:color="auto" w:fill="F5F5F5"/>
        </w:rPr>
        <w:t xml:space="preserve">, E. Zampetti, G. </w:t>
      </w:r>
      <w:proofErr w:type="spellStart"/>
      <w:r w:rsidRPr="00151324">
        <w:rPr>
          <w:rFonts w:ascii="Times New Roman" w:hAnsi="Times New Roman" w:cs="Times New Roman"/>
          <w:color w:val="090E1D"/>
          <w:sz w:val="16"/>
          <w:szCs w:val="16"/>
          <w:shd w:val="clear" w:color="auto" w:fill="F5F5F5"/>
        </w:rPr>
        <w:t>Iacovone</w:t>
      </w:r>
      <w:proofErr w:type="spellEnd"/>
      <w:r w:rsidRPr="00151324">
        <w:rPr>
          <w:rFonts w:ascii="Times New Roman" w:hAnsi="Times New Roman" w:cs="Times New Roman"/>
          <w:color w:val="090E1D"/>
          <w:sz w:val="16"/>
          <w:szCs w:val="16"/>
          <w:shd w:val="clear" w:color="auto" w:fill="F5F5F5"/>
        </w:rPr>
        <w:t xml:space="preserve">, M. Ragusa, P. Otranto, B. Caravita di </w:t>
      </w:r>
      <w:r w:rsidR="00F932F3" w:rsidRPr="00151324">
        <w:rPr>
          <w:rFonts w:ascii="Times New Roman" w:hAnsi="Times New Roman" w:cs="Times New Roman"/>
          <w:color w:val="090E1D"/>
          <w:sz w:val="16"/>
          <w:szCs w:val="16"/>
          <w:shd w:val="clear" w:color="auto" w:fill="F5F5F5"/>
        </w:rPr>
        <w:t>T</w:t>
      </w:r>
      <w:r w:rsidRPr="00151324">
        <w:rPr>
          <w:rFonts w:ascii="Times New Roman" w:hAnsi="Times New Roman" w:cs="Times New Roman"/>
          <w:color w:val="090E1D"/>
          <w:sz w:val="16"/>
          <w:szCs w:val="16"/>
          <w:shd w:val="clear" w:color="auto" w:fill="F5F5F5"/>
        </w:rPr>
        <w:t xml:space="preserve">oritto - G. Carlomagno. In Diritto e Società, n. 3 del 2021 dedicato a </w:t>
      </w:r>
      <w:r w:rsidRPr="00151324">
        <w:rPr>
          <w:rStyle w:val="Enfasicorsivo"/>
          <w:rFonts w:ascii="Times New Roman" w:hAnsi="Times New Roman" w:cs="Times New Roman"/>
          <w:color w:val="090E1D"/>
          <w:sz w:val="16"/>
          <w:szCs w:val="16"/>
          <w:shd w:val="clear" w:color="auto" w:fill="F5F5F5"/>
        </w:rPr>
        <w:t>La proroga delle “concessioni balneari” alla luce delle sentenza 17 e 18 del 2021 dell’Adunanza Plenaria.</w:t>
      </w:r>
      <w:r w:rsidR="00777FA3" w:rsidRPr="00151324">
        <w:rPr>
          <w:rStyle w:val="Enfasicorsivo"/>
          <w:rFonts w:ascii="Times New Roman" w:hAnsi="Times New Roman" w:cs="Times New Roman"/>
          <w:i w:val="0"/>
          <w:color w:val="090E1D"/>
          <w:sz w:val="16"/>
          <w:szCs w:val="16"/>
          <w:shd w:val="clear" w:color="auto" w:fill="F5F5F5"/>
        </w:rPr>
        <w:t xml:space="preserve"> </w:t>
      </w:r>
      <w:r w:rsidRPr="00151324">
        <w:rPr>
          <w:rStyle w:val="Enfasicorsivo"/>
          <w:rFonts w:ascii="Times New Roman" w:hAnsi="Times New Roman" w:cs="Times New Roman"/>
          <w:i w:val="0"/>
          <w:color w:val="090E1D"/>
          <w:sz w:val="16"/>
          <w:szCs w:val="16"/>
          <w:shd w:val="clear" w:color="auto" w:fill="F5F5F5"/>
        </w:rPr>
        <w:t xml:space="preserve">Per una valorizzazione della tutela storico-identitaria delle attività economiche ospitate nei relativi locali della Galleria Vittorio Emanuele di Milano, v. </w:t>
      </w:r>
      <w:r w:rsidRPr="008E1CBC">
        <w:rPr>
          <w:rStyle w:val="Enfasicorsivo"/>
          <w:rFonts w:ascii="Times New Roman" w:hAnsi="Times New Roman" w:cs="Times New Roman"/>
          <w:color w:val="090E1D"/>
          <w:sz w:val="16"/>
          <w:szCs w:val="16"/>
          <w:shd w:val="clear" w:color="auto" w:fill="F5F5F5"/>
        </w:rPr>
        <w:t xml:space="preserve">ex </w:t>
      </w:r>
      <w:proofErr w:type="spellStart"/>
      <w:r w:rsidRPr="008E1CBC">
        <w:rPr>
          <w:rStyle w:val="Enfasicorsivo"/>
          <w:rFonts w:ascii="Times New Roman" w:hAnsi="Times New Roman" w:cs="Times New Roman"/>
          <w:color w:val="090E1D"/>
          <w:sz w:val="16"/>
          <w:szCs w:val="16"/>
          <w:shd w:val="clear" w:color="auto" w:fill="F5F5F5"/>
        </w:rPr>
        <w:t>multis</w:t>
      </w:r>
      <w:proofErr w:type="spellEnd"/>
      <w:r w:rsidRPr="00151324">
        <w:rPr>
          <w:rStyle w:val="Enfasicorsivo"/>
          <w:rFonts w:ascii="Times New Roman" w:hAnsi="Times New Roman" w:cs="Times New Roman"/>
          <w:i w:val="0"/>
          <w:color w:val="090E1D"/>
          <w:sz w:val="16"/>
          <w:szCs w:val="16"/>
          <w:shd w:val="clear" w:color="auto" w:fill="F5F5F5"/>
        </w:rPr>
        <w:t xml:space="preserve"> </w:t>
      </w:r>
      <w:proofErr w:type="spellStart"/>
      <w:r w:rsidRPr="00151324">
        <w:rPr>
          <w:rStyle w:val="Enfasicorsivo"/>
          <w:rFonts w:ascii="Times New Roman" w:hAnsi="Times New Roman" w:cs="Times New Roman"/>
          <w:i w:val="0"/>
          <w:color w:val="090E1D"/>
          <w:sz w:val="16"/>
          <w:szCs w:val="16"/>
          <w:shd w:val="clear" w:color="auto" w:fill="F5F5F5"/>
        </w:rPr>
        <w:t>Cons</w:t>
      </w:r>
      <w:proofErr w:type="spellEnd"/>
      <w:r w:rsidRPr="00151324">
        <w:rPr>
          <w:rStyle w:val="Enfasicorsivo"/>
          <w:rFonts w:ascii="Times New Roman" w:hAnsi="Times New Roman" w:cs="Times New Roman"/>
          <w:i w:val="0"/>
          <w:color w:val="090E1D"/>
          <w:sz w:val="16"/>
          <w:szCs w:val="16"/>
          <w:shd w:val="clear" w:color="auto" w:fill="F5F5F5"/>
        </w:rPr>
        <w:t xml:space="preserve">. Stato sez. V. 3 novembre 2021, n. 7340, nonché, nella stessa direzione, </w:t>
      </w:r>
      <w:r w:rsidRPr="00151324">
        <w:rPr>
          <w:rFonts w:ascii="Times New Roman" w:hAnsi="Times New Roman" w:cs="Times New Roman"/>
          <w:color w:val="000000"/>
          <w:sz w:val="16"/>
          <w:szCs w:val="16"/>
        </w:rPr>
        <w:t>3 settembre 2018, n. 5157, secondo cui «</w:t>
      </w:r>
      <w:r w:rsidRPr="00151324">
        <w:rPr>
          <w:rFonts w:ascii="Times New Roman" w:hAnsi="Times New Roman" w:cs="Times New Roman"/>
          <w:i/>
          <w:iCs/>
          <w:color w:val="000000"/>
          <w:sz w:val="16"/>
          <w:szCs w:val="16"/>
        </w:rPr>
        <w:t xml:space="preserve">il principio della concorrenza deve recedere a fronte dell’interesse imperativo generale della tutela delle attività storiche e di tradizione che occupano immobili di proprietà pubblica, le quali contribuiscono a salvaguardare ed a conservare il patrimonio storico e artistico delle città». </w:t>
      </w:r>
      <w:r w:rsidRPr="00151324">
        <w:rPr>
          <w:rFonts w:ascii="Times New Roman" w:hAnsi="Times New Roman" w:cs="Times New Roman"/>
          <w:color w:val="000000"/>
          <w:sz w:val="16"/>
          <w:szCs w:val="16"/>
        </w:rPr>
        <w:t xml:space="preserve">In tali circostanze si è ritenuto altresì legittimo il criterio oggettivo scelto dal Comune per la determinazione del canone, non determinato a seguito di una procedura concorsuale, ove l’offerente più forte avrebbe prevalso, ma </w:t>
      </w:r>
      <w:proofErr w:type="gramStart"/>
      <w:r w:rsidRPr="00151324">
        <w:rPr>
          <w:rFonts w:ascii="Times New Roman" w:hAnsi="Times New Roman" w:cs="Times New Roman"/>
          <w:color w:val="000000"/>
          <w:sz w:val="16"/>
          <w:szCs w:val="16"/>
        </w:rPr>
        <w:t>« necessaria</w:t>
      </w:r>
      <w:proofErr w:type="gramEnd"/>
      <w:r w:rsidRPr="00151324">
        <w:rPr>
          <w:rFonts w:ascii="Times New Roman" w:hAnsi="Times New Roman" w:cs="Times New Roman"/>
          <w:color w:val="000000"/>
          <w:sz w:val="16"/>
          <w:szCs w:val="16"/>
        </w:rPr>
        <w:t xml:space="preserve"> </w:t>
      </w:r>
      <w:r w:rsidR="00777FA3" w:rsidRPr="00151324">
        <w:rPr>
          <w:rFonts w:ascii="Times New Roman" w:hAnsi="Times New Roman" w:cs="Times New Roman"/>
          <w:i/>
          <w:color w:val="000000"/>
          <w:sz w:val="16"/>
          <w:szCs w:val="16"/>
        </w:rPr>
        <w:t xml:space="preserve">secondo le risultanze di una dinamica di mercato di cui non può non tenersi conto, anche nell’ottica di </w:t>
      </w:r>
      <w:r w:rsidRPr="00151324">
        <w:rPr>
          <w:rFonts w:ascii="Times New Roman" w:hAnsi="Times New Roman" w:cs="Times New Roman"/>
          <w:color w:val="000000"/>
          <w:sz w:val="16"/>
          <w:szCs w:val="16"/>
        </w:rPr>
        <w:t>valorizzazione virtuosa dei beni pubblici, il rendimento dei quali contribuisce ad incrementare il bilancio dell’amministrazione».  In tali fattispecie il Comune ha dunque garantito agli esercenti le attività storiche il rinnovo senza gara delle loro concessioni demaniali, applicando un canone più che equo e nettamente inferiore rispetto a quello che si sarebbe determinato in seguito ad una procedura concorsuale.</w:t>
      </w:r>
    </w:p>
    <w:p w14:paraId="36E24B1C" w14:textId="77777777" w:rsidR="00C01F9F" w:rsidRPr="00151324" w:rsidRDefault="00C01F9F" w:rsidP="00151324">
      <w:pPr>
        <w:pStyle w:val="Testonotaapidipagina"/>
        <w:jc w:val="both"/>
        <w:rPr>
          <w:rFonts w:ascii="Times New Roman" w:hAnsi="Times New Roman" w:cs="Times New Roman"/>
          <w:sz w:val="16"/>
          <w:szCs w:val="16"/>
        </w:rPr>
      </w:pPr>
    </w:p>
  </w:footnote>
  <w:footnote w:id="27">
    <w:p w14:paraId="75F57914" w14:textId="201A4F88" w:rsidR="00BC30B3" w:rsidRDefault="00BC30B3"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Parere AS1721 del 15 febbraio 2021 dell’AGCOM, che opera anche un’accurata ricostruzione della normativa di settore, connotata, al pari di quanto avvenuto per le concessioni demaniali marittime, da un regime di reiterata proroga basato sull’assunto che la materia fosse estranea all’ambito di applicabilità della direttiva servizi. In particolare ha ricordato come con l’articolo 1, comma 686, della legge n. 145/2018 (c.d. legge di bilancio 2019) è stato modificato il d.lgs. n. 59 del 2010, di recepimento della Direttiva 2006/123/CE (c.d. Direttiva Servizi o Bolkestein), sottraendo espressamente l’intero settore del commercio al dettaglio su aree pubbliche dall’applicazione della stessa (artt. 7, lett. f-</w:t>
      </w:r>
      <w:r w:rsidRPr="00151324">
        <w:rPr>
          <w:rFonts w:ascii="Times New Roman" w:hAnsi="Times New Roman" w:cs="Times New Roman"/>
          <w:i/>
          <w:sz w:val="16"/>
          <w:szCs w:val="16"/>
        </w:rPr>
        <w:t>bis</w:t>
      </w:r>
      <w:r w:rsidRPr="00151324">
        <w:rPr>
          <w:rFonts w:ascii="Times New Roman" w:hAnsi="Times New Roman" w:cs="Times New Roman"/>
          <w:sz w:val="16"/>
          <w:szCs w:val="16"/>
        </w:rPr>
        <w:t>, e 16, comma 4-</w:t>
      </w:r>
      <w:r w:rsidRPr="00151324">
        <w:rPr>
          <w:rFonts w:ascii="Times New Roman" w:hAnsi="Times New Roman" w:cs="Times New Roman"/>
          <w:i/>
          <w:sz w:val="16"/>
          <w:szCs w:val="16"/>
        </w:rPr>
        <w:t>bis</w:t>
      </w:r>
      <w:r w:rsidRPr="00151324">
        <w:rPr>
          <w:rFonts w:ascii="Times New Roman" w:hAnsi="Times New Roman" w:cs="Times New Roman"/>
          <w:sz w:val="16"/>
          <w:szCs w:val="16"/>
        </w:rPr>
        <w:t xml:space="preserve">, del d.lgs. n. 59/2010, che escludono l’applicazione delle disposizioni normative che imponevano di individuare i prestatori all’esito di una procedura selettiva, secondo criteri trasparenti e non discriminatori, stabilendo una durata dei titoli autorizzatori limitata e non soggetta a rinnovo automatico).  Il </w:t>
      </w:r>
      <w:proofErr w:type="spellStart"/>
      <w:r w:rsidRPr="00151324">
        <w:rPr>
          <w:rFonts w:ascii="Times New Roman" w:hAnsi="Times New Roman" w:cs="Times New Roman"/>
          <w:sz w:val="16"/>
          <w:szCs w:val="16"/>
        </w:rPr>
        <w:t>d.l.</w:t>
      </w:r>
      <w:proofErr w:type="spellEnd"/>
      <w:r w:rsidRPr="00151324">
        <w:rPr>
          <w:rFonts w:ascii="Times New Roman" w:hAnsi="Times New Roman" w:cs="Times New Roman"/>
          <w:sz w:val="16"/>
          <w:szCs w:val="16"/>
        </w:rPr>
        <w:t xml:space="preserve"> n. 34/2020 (c.d. </w:t>
      </w:r>
      <w:r w:rsidR="002E39E2" w:rsidRPr="00151324">
        <w:rPr>
          <w:rFonts w:ascii="Times New Roman" w:hAnsi="Times New Roman" w:cs="Times New Roman"/>
          <w:sz w:val="16"/>
          <w:szCs w:val="16"/>
        </w:rPr>
        <w:t>d</w:t>
      </w:r>
      <w:r w:rsidRPr="00151324">
        <w:rPr>
          <w:rFonts w:ascii="Times New Roman" w:hAnsi="Times New Roman" w:cs="Times New Roman"/>
          <w:sz w:val="16"/>
          <w:szCs w:val="16"/>
        </w:rPr>
        <w:t>ecreto Rilancio), convertito in legge n. 77/2020, ha poi prorogato al 2032 le concessioni di posteggio per il commercio su aree pubbliche in scadenza (articolo 181</w:t>
      </w:r>
      <w:r w:rsidR="002E39E2" w:rsidRPr="00151324">
        <w:rPr>
          <w:rFonts w:ascii="Times New Roman" w:hAnsi="Times New Roman" w:cs="Times New Roman"/>
          <w:sz w:val="16"/>
          <w:szCs w:val="16"/>
        </w:rPr>
        <w:t>,</w:t>
      </w:r>
      <w:r w:rsidRPr="00151324">
        <w:rPr>
          <w:rFonts w:ascii="Times New Roman" w:hAnsi="Times New Roman" w:cs="Times New Roman"/>
          <w:sz w:val="16"/>
          <w:szCs w:val="16"/>
        </w:rPr>
        <w:t xml:space="preserve"> comma 4-bis), nonché previsto che eventuali posteggi liberi, vacanti o di nuova istituzione andassero assegnati </w:t>
      </w:r>
      <w:r w:rsidR="002E39E2" w:rsidRPr="00151324">
        <w:rPr>
          <w:rFonts w:ascii="Times New Roman" w:hAnsi="Times New Roman" w:cs="Times New Roman"/>
          <w:sz w:val="16"/>
          <w:szCs w:val="16"/>
        </w:rPr>
        <w:t>«</w:t>
      </w:r>
      <w:r w:rsidRPr="00151324">
        <w:rPr>
          <w:rFonts w:ascii="Times New Roman" w:hAnsi="Times New Roman" w:cs="Times New Roman"/>
          <w:i/>
          <w:sz w:val="16"/>
          <w:szCs w:val="16"/>
        </w:rPr>
        <w:t>in via prioritaria e in deroga a qualsiasi criterio</w:t>
      </w:r>
      <w:r w:rsidR="002E39E2" w:rsidRPr="00151324">
        <w:rPr>
          <w:rFonts w:ascii="Times New Roman" w:hAnsi="Times New Roman" w:cs="Times New Roman"/>
          <w:sz w:val="16"/>
          <w:szCs w:val="16"/>
        </w:rPr>
        <w:t>»</w:t>
      </w:r>
      <w:r w:rsidRPr="00151324">
        <w:rPr>
          <w:rFonts w:ascii="Times New Roman" w:hAnsi="Times New Roman" w:cs="Times New Roman"/>
          <w:sz w:val="16"/>
          <w:szCs w:val="16"/>
        </w:rPr>
        <w:t xml:space="preserve"> agli aventi titolo, senza l’espletamento di alcuna procedura ad evidenza pubblica (articolo 181, comma 4-ter). Tali previsioni hanno poi trovato ulteriore conferma nei punti 6, 7 e 9 dell’Allegato A al Decreto del Ministero dello Sviluppo Economico del 25 novembre 2020, recante le previste Linee Guida. </w:t>
      </w:r>
    </w:p>
    <w:p w14:paraId="4BC49377" w14:textId="77777777" w:rsidR="00151324" w:rsidRPr="00151324" w:rsidRDefault="00151324" w:rsidP="00151324">
      <w:pPr>
        <w:pStyle w:val="Testonotaapidipagina"/>
        <w:jc w:val="both"/>
        <w:rPr>
          <w:rFonts w:ascii="Times New Roman" w:hAnsi="Times New Roman" w:cs="Times New Roman"/>
          <w:sz w:val="16"/>
          <w:szCs w:val="16"/>
        </w:rPr>
      </w:pPr>
    </w:p>
  </w:footnote>
  <w:footnote w:id="28">
    <w:p w14:paraId="255440B6" w14:textId="618678FB" w:rsidR="00DE468B" w:rsidRDefault="00DE468B"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Dell’intera materia si occupa l’art. 2 del </w:t>
      </w:r>
      <w:proofErr w:type="spellStart"/>
      <w:r w:rsidRPr="00151324">
        <w:rPr>
          <w:rFonts w:ascii="Times New Roman" w:hAnsi="Times New Roman" w:cs="Times New Roman"/>
          <w:sz w:val="16"/>
          <w:szCs w:val="16"/>
        </w:rPr>
        <w:t>d.d.l.</w:t>
      </w:r>
      <w:proofErr w:type="spellEnd"/>
      <w:r w:rsidRPr="00151324">
        <w:rPr>
          <w:rFonts w:ascii="Times New Roman" w:hAnsi="Times New Roman" w:cs="Times New Roman"/>
          <w:sz w:val="16"/>
          <w:szCs w:val="16"/>
        </w:rPr>
        <w:t xml:space="preserve"> concorrenza 2021, AS 2469. </w:t>
      </w:r>
    </w:p>
    <w:p w14:paraId="4F5A2A26" w14:textId="77777777" w:rsidR="00151324" w:rsidRPr="00151324" w:rsidRDefault="00151324" w:rsidP="00151324">
      <w:pPr>
        <w:pStyle w:val="Testonotaapidipagina"/>
        <w:jc w:val="both"/>
        <w:rPr>
          <w:rFonts w:ascii="Times New Roman" w:hAnsi="Times New Roman" w:cs="Times New Roman"/>
          <w:sz w:val="16"/>
          <w:szCs w:val="16"/>
        </w:rPr>
      </w:pPr>
    </w:p>
  </w:footnote>
  <w:footnote w:id="29">
    <w:p w14:paraId="5E05722F" w14:textId="512D2611" w:rsidR="006B0E9A" w:rsidRDefault="006B0E9A"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Cfr. T.A.R. Lazio, </w:t>
      </w:r>
      <w:r w:rsidR="008E0964">
        <w:rPr>
          <w:rFonts w:ascii="Times New Roman" w:hAnsi="Times New Roman" w:cs="Times New Roman"/>
          <w:sz w:val="16"/>
          <w:szCs w:val="16"/>
        </w:rPr>
        <w:t xml:space="preserve">Roma, </w:t>
      </w:r>
      <w:r w:rsidRPr="00151324">
        <w:rPr>
          <w:rFonts w:ascii="Times New Roman" w:hAnsi="Times New Roman" w:cs="Times New Roman"/>
          <w:sz w:val="16"/>
          <w:szCs w:val="16"/>
        </w:rPr>
        <w:t>sez. II ter, 18 gennaio 2022, n. 530, ove peraltro si mutua anche il regime transitorio ideato dall’Adunanza plenaria, in quanto «c</w:t>
      </w:r>
      <w:r w:rsidRPr="00151324">
        <w:rPr>
          <w:rFonts w:ascii="Times New Roman" w:hAnsi="Times New Roman" w:cs="Times New Roman"/>
          <w:i/>
          <w:iCs/>
          <w:color w:val="000000"/>
          <w:sz w:val="16"/>
          <w:szCs w:val="16"/>
        </w:rPr>
        <w:t>onsapevole del notevole impatto (anche sociale ed economico) che tale immediata non applicazione può comportare, specie in un contesto caratterizzato da un regime di proroga che è frutto di interventi normativi stratificatisi nel corso degli anni». Il giudice di prime cure ha dunque affermato che «</w:t>
      </w:r>
      <w:r w:rsidRPr="00151324">
        <w:rPr>
          <w:rFonts w:ascii="Times New Roman" w:hAnsi="Times New Roman" w:cs="Times New Roman"/>
          <w:color w:val="000000"/>
          <w:sz w:val="16"/>
          <w:szCs w:val="16"/>
        </w:rPr>
        <w:t xml:space="preserve"> Alla stessa stregua, il Collegio ritiene di dover modulare gli effetti di questa pronuncia di rigetto, precisando che le concessioni cui si riferiscono i provvedimenti impugnati mantengono efficacia fino al 31 dicembre 2023, previo accertamento degli ulteriori presupposti richiesti dalla normativa vigente, fermo restando che, oltre tale data, anche in assenza di una disciplina legislativa, esse cesseranno di produrre effetti, nonostante qualsiasi eventuale ulteriore proroga legislativa che dovesse nel frattempo intervenire, la quale andrebbe considerata senza effetto perché in contrasto con le norme dell’ordinamento dell’U.E. e fermo restando che, nelle more, l’amministrazione ha il potere/dovere di avviare le procedure finalizzate all’assegnazione delle concessioni nel rispetto dei principi della normativa vigente, come delineati dalle sentenze dell’Adunanza Plenaria n. 17 e n. 18 del 2021». In pari data vedi anche </w:t>
      </w:r>
      <w:proofErr w:type="spellStart"/>
      <w:r w:rsidRPr="00151324">
        <w:rPr>
          <w:rFonts w:ascii="Times New Roman" w:hAnsi="Times New Roman" w:cs="Times New Roman"/>
          <w:color w:val="000000"/>
          <w:sz w:val="16"/>
          <w:szCs w:val="16"/>
        </w:rPr>
        <w:t>nn</w:t>
      </w:r>
      <w:proofErr w:type="spellEnd"/>
      <w:r w:rsidRPr="00151324">
        <w:rPr>
          <w:rFonts w:ascii="Times New Roman" w:hAnsi="Times New Roman" w:cs="Times New Roman"/>
          <w:color w:val="000000"/>
          <w:sz w:val="16"/>
          <w:szCs w:val="16"/>
        </w:rPr>
        <w:t>. 537 e 539</w:t>
      </w:r>
      <w:r w:rsidR="00D3403F" w:rsidRPr="00151324">
        <w:rPr>
          <w:rFonts w:ascii="Times New Roman" w:hAnsi="Times New Roman" w:cs="Times New Roman"/>
          <w:color w:val="000000"/>
          <w:sz w:val="16"/>
          <w:szCs w:val="16"/>
        </w:rPr>
        <w:t xml:space="preserve">. </w:t>
      </w:r>
      <w:r w:rsidRPr="00151324">
        <w:rPr>
          <w:rFonts w:ascii="Times New Roman" w:hAnsi="Times New Roman" w:cs="Times New Roman"/>
          <w:color w:val="000000"/>
          <w:sz w:val="16"/>
          <w:szCs w:val="16"/>
        </w:rPr>
        <w:t>Cfr. altresì nella stessa direzione T.A.R. Sardegna</w:t>
      </w:r>
      <w:r w:rsidR="00D3403F" w:rsidRPr="00151324">
        <w:rPr>
          <w:rFonts w:ascii="Times New Roman" w:hAnsi="Times New Roman" w:cs="Times New Roman"/>
          <w:color w:val="000000"/>
          <w:sz w:val="16"/>
          <w:szCs w:val="16"/>
        </w:rPr>
        <w:t xml:space="preserve">, sez. II, 28 dicembre 2021, n. 865. Per tutte e quattro le sentenze è pendente appello. </w:t>
      </w:r>
      <w:r w:rsidRPr="00151324">
        <w:rPr>
          <w:rFonts w:ascii="Times New Roman" w:hAnsi="Times New Roman" w:cs="Times New Roman"/>
          <w:sz w:val="16"/>
          <w:szCs w:val="16"/>
        </w:rPr>
        <w:t xml:space="preserve"> </w:t>
      </w:r>
    </w:p>
    <w:p w14:paraId="510FDF8D" w14:textId="77777777" w:rsidR="00151324" w:rsidRPr="00151324" w:rsidRDefault="00151324" w:rsidP="00151324">
      <w:pPr>
        <w:pStyle w:val="Testonotaapidipagina"/>
        <w:jc w:val="both"/>
        <w:rPr>
          <w:rFonts w:ascii="Times New Roman" w:hAnsi="Times New Roman" w:cs="Times New Roman"/>
          <w:sz w:val="16"/>
          <w:szCs w:val="16"/>
        </w:rPr>
      </w:pPr>
    </w:p>
  </w:footnote>
  <w:footnote w:id="30">
    <w:p w14:paraId="22683F8D"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Cfr. Cons. Stato, sez. V. 12 maggio 2016, n. 1926. </w:t>
      </w:r>
    </w:p>
  </w:footnote>
  <w:footnote w:id="31">
    <w:p w14:paraId="145AB78D" w14:textId="78DAF028"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Cfr. Cass. </w:t>
      </w:r>
      <w:proofErr w:type="spellStart"/>
      <w:r w:rsidRPr="00151324">
        <w:rPr>
          <w:rFonts w:ascii="Times New Roman" w:hAnsi="Times New Roman" w:cs="Times New Roman"/>
          <w:sz w:val="16"/>
          <w:szCs w:val="16"/>
        </w:rPr>
        <w:t>Ord</w:t>
      </w:r>
      <w:proofErr w:type="spellEnd"/>
      <w:r w:rsidRPr="00151324">
        <w:rPr>
          <w:rFonts w:ascii="Times New Roman" w:hAnsi="Times New Roman" w:cs="Times New Roman"/>
          <w:sz w:val="16"/>
          <w:szCs w:val="16"/>
        </w:rPr>
        <w:t xml:space="preserve">. Sez. 5 n. 2552 del 2018; Cass. </w:t>
      </w:r>
      <w:proofErr w:type="spellStart"/>
      <w:r w:rsidRPr="00151324">
        <w:rPr>
          <w:rFonts w:ascii="Times New Roman" w:hAnsi="Times New Roman" w:cs="Times New Roman"/>
          <w:sz w:val="16"/>
          <w:szCs w:val="16"/>
        </w:rPr>
        <w:t>Ord</w:t>
      </w:r>
      <w:proofErr w:type="spellEnd"/>
      <w:r w:rsidRPr="00151324">
        <w:rPr>
          <w:rFonts w:ascii="Times New Roman" w:hAnsi="Times New Roman" w:cs="Times New Roman"/>
          <w:sz w:val="16"/>
          <w:szCs w:val="16"/>
        </w:rPr>
        <w:t xml:space="preserve">. SS.UU. n. 24967 del 2017; </w:t>
      </w:r>
      <w:r w:rsidRPr="00151324">
        <w:rPr>
          <w:rFonts w:ascii="Times New Roman" w:hAnsi="Times New Roman" w:cs="Times New Roman"/>
          <w:i/>
          <w:sz w:val="16"/>
          <w:szCs w:val="16"/>
        </w:rPr>
        <w:t>id</w:t>
      </w:r>
      <w:r w:rsidRPr="00151324">
        <w:rPr>
          <w:rFonts w:ascii="Times New Roman" w:hAnsi="Times New Roman" w:cs="Times New Roman"/>
          <w:sz w:val="16"/>
          <w:szCs w:val="16"/>
        </w:rPr>
        <w:t xml:space="preserve">. n. 61 e n. 11134 del 2016; </w:t>
      </w:r>
      <w:r w:rsidRPr="00151324">
        <w:rPr>
          <w:rFonts w:ascii="Times New Roman" w:hAnsi="Times New Roman" w:cs="Times New Roman"/>
          <w:i/>
          <w:sz w:val="16"/>
          <w:szCs w:val="16"/>
        </w:rPr>
        <w:t>id</w:t>
      </w:r>
      <w:r w:rsidRPr="00151324">
        <w:rPr>
          <w:rFonts w:ascii="Times New Roman" w:hAnsi="Times New Roman" w:cs="Times New Roman"/>
          <w:sz w:val="16"/>
          <w:szCs w:val="16"/>
        </w:rPr>
        <w:t xml:space="preserve">. n. 21950 del 2015; Corte Costituzionale n. 64/2008. </w:t>
      </w:r>
    </w:p>
    <w:p w14:paraId="690005B4" w14:textId="77777777" w:rsidR="00151324" w:rsidRPr="00151324" w:rsidRDefault="00151324" w:rsidP="00151324">
      <w:pPr>
        <w:pStyle w:val="Testonotaapidipagina"/>
        <w:jc w:val="both"/>
        <w:rPr>
          <w:rFonts w:ascii="Times New Roman" w:hAnsi="Times New Roman" w:cs="Times New Roman"/>
          <w:sz w:val="16"/>
          <w:szCs w:val="16"/>
        </w:rPr>
      </w:pPr>
    </w:p>
  </w:footnote>
  <w:footnote w:id="32">
    <w:p w14:paraId="77405FF4"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V. Cons. Stato, sez.</w:t>
      </w:r>
      <w:r w:rsidRPr="00151324">
        <w:rPr>
          <w:rFonts w:ascii="Times New Roman" w:hAnsi="Times New Roman" w:cs="Times New Roman"/>
          <w:sz w:val="16"/>
          <w:szCs w:val="16"/>
          <w:shd w:val="clear" w:color="auto" w:fill="FFFFFF"/>
        </w:rPr>
        <w:t xml:space="preserve"> VI, 26 gennaio 2015, n. 336. </w:t>
      </w:r>
    </w:p>
  </w:footnote>
  <w:footnote w:id="33">
    <w:p w14:paraId="7BAE1BA2" w14:textId="77777777" w:rsidR="00C01F9F" w:rsidRPr="00151324" w:rsidRDefault="00C01F9F" w:rsidP="00151324">
      <w:pPr>
        <w:widowControl/>
        <w:suppressAutoHyphens w:val="0"/>
        <w:spacing w:after="0"/>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L’ordinanza richiama anche la assai più risalente Cass., n. 134 del 2001, che ha escluso la giurisdizione del giudice amministrativo in ragione del paradigma normativo applicabile, ovvero l’art. 22 della l.r. Emilia Romagna n. 17 del 1991, nonché n. 14633 del 2011, ove è precisato che in caso di sanzione alternativa o autonoma rispetto a quella pecuniaria è rilevante, ai fini della qualificazione della natura e funzione della sanzione, verificare se essa sia «</w:t>
      </w:r>
      <w:r w:rsidRPr="00151324">
        <w:rPr>
          <w:rFonts w:ascii="Times New Roman" w:hAnsi="Times New Roman" w:cs="Times New Roman"/>
          <w:i/>
          <w:sz w:val="16"/>
          <w:szCs w:val="16"/>
        </w:rPr>
        <w:t>il mezzo prioritario per attuare la legge violata</w:t>
      </w:r>
      <w:r w:rsidRPr="00151324">
        <w:rPr>
          <w:rFonts w:ascii="Times New Roman" w:hAnsi="Times New Roman" w:cs="Times New Roman"/>
          <w:sz w:val="16"/>
          <w:szCs w:val="16"/>
        </w:rPr>
        <w:t>».</w:t>
      </w:r>
    </w:p>
    <w:p w14:paraId="616709C4" w14:textId="77777777" w:rsidR="00C01F9F" w:rsidRPr="00151324" w:rsidRDefault="00C01F9F" w:rsidP="00151324">
      <w:pPr>
        <w:pStyle w:val="Testonotaapidipagina"/>
        <w:jc w:val="both"/>
        <w:rPr>
          <w:rFonts w:ascii="Times New Roman" w:hAnsi="Times New Roman" w:cs="Times New Roman"/>
          <w:sz w:val="16"/>
          <w:szCs w:val="16"/>
        </w:rPr>
      </w:pPr>
    </w:p>
  </w:footnote>
  <w:footnote w:id="34">
    <w:p w14:paraId="48EE7E0B" w14:textId="56F11EEF"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Cfr. </w:t>
      </w:r>
      <w:r w:rsidRPr="00151324">
        <w:rPr>
          <w:rFonts w:ascii="Times New Roman" w:hAnsi="Times New Roman" w:cs="Times New Roman"/>
          <w:sz w:val="16"/>
          <w:szCs w:val="16"/>
          <w:shd w:val="clear" w:color="auto" w:fill="FFFFFF"/>
        </w:rPr>
        <w:t xml:space="preserve">T.A.R. Lazio, </w:t>
      </w:r>
      <w:r w:rsidR="00945FE7">
        <w:rPr>
          <w:rFonts w:ascii="Times New Roman" w:hAnsi="Times New Roman" w:cs="Times New Roman"/>
          <w:sz w:val="16"/>
          <w:szCs w:val="16"/>
          <w:shd w:val="clear" w:color="auto" w:fill="FFFFFF"/>
        </w:rPr>
        <w:t xml:space="preserve">Roma, </w:t>
      </w:r>
      <w:r w:rsidRPr="00151324">
        <w:rPr>
          <w:rFonts w:ascii="Times New Roman" w:hAnsi="Times New Roman" w:cs="Times New Roman"/>
          <w:sz w:val="16"/>
          <w:szCs w:val="16"/>
          <w:shd w:val="clear" w:color="auto" w:fill="FFFFFF"/>
        </w:rPr>
        <w:t>sez</w:t>
      </w:r>
      <w:r w:rsidR="00945FE7">
        <w:rPr>
          <w:rFonts w:ascii="Times New Roman" w:hAnsi="Times New Roman" w:cs="Times New Roman"/>
          <w:sz w:val="16"/>
          <w:szCs w:val="16"/>
          <w:shd w:val="clear" w:color="auto" w:fill="FFFFFF"/>
        </w:rPr>
        <w:t>.</w:t>
      </w:r>
      <w:r w:rsidRPr="00151324">
        <w:rPr>
          <w:rFonts w:ascii="Times New Roman" w:hAnsi="Times New Roman" w:cs="Times New Roman"/>
          <w:sz w:val="16"/>
          <w:szCs w:val="16"/>
          <w:shd w:val="clear" w:color="auto" w:fill="FFFFFF"/>
        </w:rPr>
        <w:t xml:space="preserve"> II ter, 25 marzo 2021, n. 3699; </w:t>
      </w:r>
      <w:r w:rsidRPr="00151324">
        <w:rPr>
          <w:rFonts w:ascii="Times New Roman" w:hAnsi="Times New Roman" w:cs="Times New Roman"/>
          <w:i/>
          <w:sz w:val="16"/>
          <w:szCs w:val="16"/>
          <w:shd w:val="clear" w:color="auto" w:fill="FFFFFF"/>
        </w:rPr>
        <w:t>id</w:t>
      </w:r>
      <w:r w:rsidRPr="00151324">
        <w:rPr>
          <w:rFonts w:ascii="Times New Roman" w:hAnsi="Times New Roman" w:cs="Times New Roman"/>
          <w:sz w:val="16"/>
          <w:szCs w:val="16"/>
          <w:shd w:val="clear" w:color="auto" w:fill="FFFFFF"/>
        </w:rPr>
        <w:t>., 22 dicembre 2020, n. 13868; T.A.R. Sicilia, Catania, sez. III, 12 ottobre 2020, n. 2559.</w:t>
      </w:r>
    </w:p>
  </w:footnote>
  <w:footnote w:id="35">
    <w:p w14:paraId="00663DAC" w14:textId="77777777" w:rsidR="00C01F9F" w:rsidRDefault="00C01F9F" w:rsidP="00151324">
      <w:pPr>
        <w:pStyle w:val="Testonotaapidipagina"/>
        <w:jc w:val="both"/>
        <w:rPr>
          <w:rFonts w:ascii="Times New Roman" w:hAnsi="Times New Roman" w:cs="Times New Roman"/>
          <w:color w:val="000000"/>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La disposizione opera un non del tutto chiaro distinguo tra le esigenze di “ordine pubblico”, che necessitano l’intervento dell’apposita Autorità preposta alla relativa tutela e quelle di “sicurezza pubblica”, che invece consente sempre al Prefetto di intervenire. Il concetto di ordine pubblico scompare peraltro con il </w:t>
      </w:r>
      <w:proofErr w:type="spellStart"/>
      <w:r w:rsidRPr="00151324">
        <w:rPr>
          <w:rFonts w:ascii="Times New Roman" w:hAnsi="Times New Roman" w:cs="Times New Roman"/>
          <w:sz w:val="16"/>
          <w:szCs w:val="16"/>
        </w:rPr>
        <w:t>d.l.</w:t>
      </w:r>
      <w:proofErr w:type="spellEnd"/>
      <w:r w:rsidRPr="00151324">
        <w:rPr>
          <w:rFonts w:ascii="Times New Roman" w:hAnsi="Times New Roman" w:cs="Times New Roman"/>
          <w:sz w:val="16"/>
          <w:szCs w:val="16"/>
        </w:rPr>
        <w:t xml:space="preserve"> n. 14 del 2017, (che viene richiamato solo nell’art. 11, ma limitatamente al settore delle occupazioni arbitrarie di immobili) a favore della diversa nozione di sicurezza pubblica, sub specie di sicurezza urbana.  In passato la Corte costituzionale aveva più volte precisato come </w:t>
      </w:r>
      <w:r w:rsidRPr="00151324">
        <w:rPr>
          <w:rFonts w:ascii="Times New Roman" w:hAnsi="Times New Roman" w:cs="Times New Roman"/>
          <w:color w:val="000000"/>
          <w:sz w:val="16"/>
          <w:szCs w:val="16"/>
        </w:rPr>
        <w:t xml:space="preserve">la sicurezza pubblica si riferisce all’integrità fisica e all’incolumità delle persone e si sostanzia in un concetto differente rispetto a quello più ampio di ordine pubblico, richiamato nell’art. 2 Testo Unico delle leggi di pubblica sicurezza (la sicurezza pubblica si riferisce all’integrità fisica e all’incolumità delle persone e si sostanzia in un concetto differente rispetto a quello più ampio di ordine pubblico, richiamato nell’art. 2 Testo Unico delle leggi di pubblica sicurezza). </w:t>
      </w:r>
    </w:p>
    <w:p w14:paraId="40E7B04B" w14:textId="77777777" w:rsidR="00151324" w:rsidRPr="00644971" w:rsidRDefault="00151324" w:rsidP="00151324">
      <w:pPr>
        <w:pStyle w:val="Testonotaapidipagina"/>
        <w:jc w:val="both"/>
        <w:rPr>
          <w:rFonts w:ascii="Times New Roman" w:hAnsi="Times New Roman" w:cs="Times New Roman"/>
          <w:sz w:val="16"/>
          <w:szCs w:val="16"/>
        </w:rPr>
      </w:pPr>
    </w:p>
  </w:footnote>
  <w:footnote w:id="36">
    <w:p w14:paraId="6D58A282" w14:textId="4923BF47" w:rsidR="00C01F9F" w:rsidRPr="00151324" w:rsidRDefault="00C01F9F" w:rsidP="00151324">
      <w:pPr>
        <w:pStyle w:val="Standard"/>
        <w:spacing w:after="0" w:line="240" w:lineRule="auto"/>
        <w:jc w:val="both"/>
        <w:rPr>
          <w:rFonts w:ascii="Times New Roman" w:hAnsi="Times New Roman" w:cs="Times New Roman"/>
          <w:sz w:val="16"/>
          <w:szCs w:val="16"/>
        </w:rPr>
      </w:pPr>
      <w:r w:rsidRPr="00644971">
        <w:rPr>
          <w:rStyle w:val="Rimandonotaapidipagina"/>
          <w:rFonts w:ascii="Times New Roman" w:hAnsi="Times New Roman" w:cs="Times New Roman"/>
          <w:sz w:val="16"/>
          <w:szCs w:val="16"/>
        </w:rPr>
        <w:footnoteRef/>
      </w:r>
      <w:r w:rsidRPr="00644971">
        <w:rPr>
          <w:rFonts w:ascii="Times New Roman" w:hAnsi="Times New Roman" w:cs="Times New Roman"/>
          <w:sz w:val="16"/>
          <w:szCs w:val="16"/>
        </w:rPr>
        <w:t xml:space="preserve"> Ragioni di sintesi inducono a non approfondire oltre la tematica del rapporto tra le due fattispecie, che la giurisprudenza penale ha talvolta ritenuto sussistere in concorso tra di loro, essendo diversa l’obbiettività giuridica delle due norme, la prima in quanto posta a tutela del patrimonio, l</w:t>
      </w:r>
      <w:r w:rsidR="004B6749" w:rsidRPr="00644971">
        <w:rPr>
          <w:rFonts w:ascii="Times New Roman" w:hAnsi="Times New Roman" w:cs="Times New Roman"/>
          <w:sz w:val="16"/>
          <w:szCs w:val="16"/>
        </w:rPr>
        <w:t>’</w:t>
      </w:r>
      <w:r w:rsidRPr="00644971">
        <w:rPr>
          <w:rFonts w:ascii="Times New Roman" w:hAnsi="Times New Roman" w:cs="Times New Roman"/>
          <w:sz w:val="16"/>
          <w:szCs w:val="16"/>
        </w:rPr>
        <w:t>altra della sicurezza della circolazione stradale.</w:t>
      </w:r>
      <w:r w:rsidRPr="00151324">
        <w:rPr>
          <w:rFonts w:ascii="Times New Roman" w:hAnsi="Times New Roman" w:cs="Times New Roman"/>
          <w:color w:val="666666"/>
          <w:sz w:val="16"/>
          <w:szCs w:val="16"/>
        </w:rPr>
        <w:br/>
      </w:r>
    </w:p>
  </w:footnote>
  <w:footnote w:id="37">
    <w:p w14:paraId="7C5F49D0"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Per la ricostruzione della genesi e dei contenuti all’attualità della dizione di sicurezza urbana si veda A. Manzione, Potere di ordinanza e sicurezza urbana, in Fedarlismi.it, 13 settembre 2017, n. 17.  </w:t>
      </w:r>
    </w:p>
  </w:footnote>
  <w:footnote w:id="38">
    <w:p w14:paraId="6E9FB110"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La possibilità di applicare l’ordine di allontanamento alle aree destinate a fiere, mercati o pubblici spettacoli è stata inserita con il </w:t>
      </w:r>
      <w:proofErr w:type="spellStart"/>
      <w:r w:rsidRPr="00151324">
        <w:rPr>
          <w:rFonts w:ascii="Times New Roman" w:hAnsi="Times New Roman" w:cs="Times New Roman"/>
          <w:sz w:val="16"/>
          <w:szCs w:val="16"/>
        </w:rPr>
        <w:t>d.l.</w:t>
      </w:r>
      <w:proofErr w:type="spellEnd"/>
      <w:r w:rsidRPr="00151324">
        <w:rPr>
          <w:rFonts w:ascii="Times New Roman" w:hAnsi="Times New Roman" w:cs="Times New Roman"/>
          <w:sz w:val="16"/>
          <w:szCs w:val="16"/>
        </w:rPr>
        <w:t xml:space="preserve"> 4 ottobre 2018, n. 113, convertito con modificazioni dalla l. 1 dicembre 2018, n. 132. Per completezza va ricordato che l’ordine di allontanamento è previsto anche, senza necessità di apposita previsione regolamentare: </w:t>
      </w:r>
    </w:p>
    <w:p w14:paraId="7F58A06E" w14:textId="77777777" w:rsidR="00C01F9F" w:rsidRPr="00151324" w:rsidRDefault="00C01F9F" w:rsidP="00151324">
      <w:pPr>
        <w:pStyle w:val="Testonotaapidipagina"/>
        <w:widowControl/>
        <w:numPr>
          <w:ilvl w:val="0"/>
          <w:numId w:val="5"/>
        </w:numPr>
        <w:shd w:val="clear" w:color="auto" w:fill="FFFFFF"/>
        <w:tabs>
          <w:tab w:val="left" w:pos="150"/>
          <w:tab w:val="left" w:pos="1066"/>
          <w:tab w:val="left" w:pos="1982"/>
          <w:tab w:val="left" w:pos="2898"/>
          <w:tab w:val="left" w:pos="3814"/>
          <w:tab w:val="left" w:pos="4730"/>
          <w:tab w:val="left" w:pos="5646"/>
          <w:tab w:val="left" w:pos="6562"/>
          <w:tab w:val="left" w:pos="7478"/>
          <w:tab w:val="left" w:pos="8394"/>
          <w:tab w:val="left" w:pos="9310"/>
          <w:tab w:val="left" w:pos="10226"/>
          <w:tab w:val="left" w:pos="11142"/>
          <w:tab w:val="left" w:pos="12058"/>
          <w:tab w:val="left" w:pos="12974"/>
          <w:tab w:val="left" w:pos="13890"/>
        </w:tabs>
        <w:suppressAutoHyphens w:val="0"/>
        <w:ind w:left="0" w:firstLine="0"/>
        <w:jc w:val="both"/>
        <w:textAlignment w:val="auto"/>
        <w:rPr>
          <w:rFonts w:ascii="Times New Roman" w:eastAsia="Times New Roman" w:hAnsi="Times New Roman" w:cs="Times New Roman"/>
          <w:color w:val="19191A"/>
          <w:kern w:val="0"/>
          <w:sz w:val="16"/>
          <w:szCs w:val="16"/>
          <w:lang w:eastAsia="it-IT"/>
        </w:rPr>
      </w:pPr>
      <w:r w:rsidRPr="00151324">
        <w:rPr>
          <w:rFonts w:ascii="Times New Roman" w:eastAsia="Times New Roman" w:hAnsi="Times New Roman" w:cs="Times New Roman"/>
          <w:color w:val="19191A"/>
          <w:kern w:val="0"/>
          <w:sz w:val="16"/>
          <w:szCs w:val="16"/>
          <w:lang w:eastAsia="it-IT"/>
        </w:rPr>
        <w:t xml:space="preserve">quando lo stazionamento avviene nelle aree interne delle infrastrutture, fisse e mobili, ferroviarie, aeroportuali, marittime e di trasporto pubblico locale, urbano ed extraurbano, e delle relative pertinenze; </w:t>
      </w:r>
    </w:p>
    <w:p w14:paraId="13630849" w14:textId="77777777" w:rsidR="00151324" w:rsidRPr="00151324" w:rsidRDefault="00C01F9F" w:rsidP="00151324">
      <w:pPr>
        <w:pStyle w:val="Testonotaapidipagina"/>
        <w:widowControl/>
        <w:numPr>
          <w:ilvl w:val="0"/>
          <w:numId w:val="5"/>
        </w:numPr>
        <w:shd w:val="clear" w:color="auto" w:fill="FFFFFF"/>
        <w:tabs>
          <w:tab w:val="left" w:pos="150"/>
          <w:tab w:val="left" w:pos="1066"/>
          <w:tab w:val="left" w:pos="1982"/>
          <w:tab w:val="left" w:pos="2898"/>
          <w:tab w:val="left" w:pos="3814"/>
          <w:tab w:val="left" w:pos="4730"/>
          <w:tab w:val="left" w:pos="5646"/>
          <w:tab w:val="left" w:pos="6562"/>
          <w:tab w:val="left" w:pos="7478"/>
          <w:tab w:val="left" w:pos="8394"/>
          <w:tab w:val="left" w:pos="9310"/>
          <w:tab w:val="left" w:pos="10226"/>
          <w:tab w:val="left" w:pos="11142"/>
          <w:tab w:val="left" w:pos="12058"/>
          <w:tab w:val="left" w:pos="12974"/>
          <w:tab w:val="left" w:pos="13890"/>
        </w:tabs>
        <w:suppressAutoHyphens w:val="0"/>
        <w:ind w:left="0" w:firstLine="0"/>
        <w:jc w:val="both"/>
        <w:textAlignment w:val="auto"/>
        <w:rPr>
          <w:rFonts w:ascii="Times New Roman" w:hAnsi="Times New Roman" w:cs="Times New Roman"/>
          <w:sz w:val="16"/>
          <w:szCs w:val="16"/>
        </w:rPr>
      </w:pPr>
      <w:r w:rsidRPr="00151324">
        <w:rPr>
          <w:rFonts w:ascii="Times New Roman" w:eastAsia="Times New Roman" w:hAnsi="Times New Roman" w:cs="Times New Roman"/>
          <w:color w:val="19191A"/>
          <w:kern w:val="0"/>
          <w:sz w:val="16"/>
          <w:szCs w:val="16"/>
          <w:lang w:eastAsia="it-IT"/>
        </w:rPr>
        <w:t>in “aggiunta” alle sanzioni previste per le fattispecie di cui agli artt. 688 c.p. (Ubriachezza), 726 c.p. (Atti contrari alla pubblica decenza. Turpiloquio), 29 del d.lgs. 31 marzo 1998, n. 114 (Violazioni in materia di commercio su aree pubbliche), 7, comma 15-</w:t>
      </w:r>
      <w:r w:rsidRPr="00151324">
        <w:rPr>
          <w:rFonts w:ascii="Times New Roman" w:eastAsia="Times New Roman" w:hAnsi="Times New Roman" w:cs="Times New Roman"/>
          <w:i/>
          <w:color w:val="19191A"/>
          <w:kern w:val="0"/>
          <w:sz w:val="16"/>
          <w:szCs w:val="16"/>
          <w:lang w:eastAsia="it-IT"/>
        </w:rPr>
        <w:t>bis</w:t>
      </w:r>
      <w:r w:rsidRPr="00151324">
        <w:rPr>
          <w:rFonts w:ascii="Times New Roman" w:eastAsia="Times New Roman" w:hAnsi="Times New Roman" w:cs="Times New Roman"/>
          <w:color w:val="19191A"/>
          <w:kern w:val="0"/>
          <w:sz w:val="16"/>
          <w:szCs w:val="16"/>
          <w:lang w:eastAsia="it-IT"/>
        </w:rPr>
        <w:t>, del d.lgs. 30 aprile 1992, n. 285 (parcheggiatore o guardiamacchine abusivo), 1-</w:t>
      </w:r>
      <w:r w:rsidRPr="00151324">
        <w:rPr>
          <w:rFonts w:ascii="Times New Roman" w:eastAsia="Times New Roman" w:hAnsi="Times New Roman" w:cs="Times New Roman"/>
          <w:i/>
          <w:color w:val="19191A"/>
          <w:kern w:val="0"/>
          <w:sz w:val="16"/>
          <w:szCs w:val="16"/>
          <w:lang w:eastAsia="it-IT"/>
        </w:rPr>
        <w:t>sexies</w:t>
      </w:r>
      <w:r w:rsidRPr="00151324">
        <w:rPr>
          <w:rFonts w:ascii="Times New Roman" w:eastAsia="Times New Roman" w:hAnsi="Times New Roman" w:cs="Times New Roman"/>
          <w:color w:val="19191A"/>
          <w:kern w:val="0"/>
          <w:sz w:val="16"/>
          <w:szCs w:val="16"/>
          <w:lang w:eastAsia="it-IT"/>
        </w:rPr>
        <w:t xml:space="preserve"> del </w:t>
      </w:r>
      <w:proofErr w:type="spellStart"/>
      <w:r w:rsidRPr="00151324">
        <w:rPr>
          <w:rFonts w:ascii="Times New Roman" w:eastAsia="Times New Roman" w:hAnsi="Times New Roman" w:cs="Times New Roman"/>
          <w:color w:val="19191A"/>
          <w:kern w:val="0"/>
          <w:sz w:val="16"/>
          <w:szCs w:val="16"/>
          <w:lang w:eastAsia="it-IT"/>
        </w:rPr>
        <w:t>d.l.</w:t>
      </w:r>
      <w:proofErr w:type="spellEnd"/>
      <w:r w:rsidRPr="00151324">
        <w:rPr>
          <w:rFonts w:ascii="Times New Roman" w:eastAsia="Times New Roman" w:hAnsi="Times New Roman" w:cs="Times New Roman"/>
          <w:color w:val="19191A"/>
          <w:kern w:val="0"/>
          <w:sz w:val="16"/>
          <w:szCs w:val="16"/>
          <w:lang w:eastAsia="it-IT"/>
        </w:rPr>
        <w:t xml:space="preserve"> 24 febbraio 2003, n. 28, convertito con modificazioni dalla l. 24 aprile 2003, n. 88 (c.d. “bagarinaggio”).</w:t>
      </w:r>
    </w:p>
    <w:p w14:paraId="060F9247" w14:textId="5941A698" w:rsidR="00C01F9F" w:rsidRPr="00151324" w:rsidRDefault="00C01F9F" w:rsidP="00151324">
      <w:pPr>
        <w:pStyle w:val="Testonotaapidipagina"/>
        <w:widowControl/>
        <w:shd w:val="clear" w:color="auto" w:fill="FFFFFF"/>
        <w:tabs>
          <w:tab w:val="left" w:pos="150"/>
          <w:tab w:val="left" w:pos="1066"/>
          <w:tab w:val="left" w:pos="1982"/>
          <w:tab w:val="left" w:pos="2898"/>
          <w:tab w:val="left" w:pos="3814"/>
          <w:tab w:val="left" w:pos="4730"/>
          <w:tab w:val="left" w:pos="5646"/>
          <w:tab w:val="left" w:pos="6562"/>
          <w:tab w:val="left" w:pos="7478"/>
          <w:tab w:val="left" w:pos="8394"/>
          <w:tab w:val="left" w:pos="9310"/>
          <w:tab w:val="left" w:pos="10226"/>
          <w:tab w:val="left" w:pos="11142"/>
          <w:tab w:val="left" w:pos="12058"/>
          <w:tab w:val="left" w:pos="12974"/>
          <w:tab w:val="left" w:pos="13890"/>
        </w:tabs>
        <w:suppressAutoHyphens w:val="0"/>
        <w:jc w:val="both"/>
        <w:textAlignment w:val="auto"/>
        <w:rPr>
          <w:rFonts w:ascii="Times New Roman" w:hAnsi="Times New Roman" w:cs="Times New Roman"/>
          <w:sz w:val="16"/>
          <w:szCs w:val="16"/>
        </w:rPr>
      </w:pPr>
      <w:r w:rsidRPr="00151324">
        <w:rPr>
          <w:rFonts w:ascii="Times New Roman" w:hAnsi="Times New Roman" w:cs="Times New Roman"/>
          <w:sz w:val="16"/>
          <w:szCs w:val="16"/>
        </w:rPr>
        <w:t xml:space="preserve"> </w:t>
      </w:r>
    </w:p>
  </w:footnote>
  <w:footnote w:id="39">
    <w:p w14:paraId="1E6B5A14" w14:textId="77777777"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Con il risultato che l’ordine di allontanamento “accede” a tutte le ulteriori fattispecie di illecito esplicitamente menzionate, ovvero a generici comportamenti impeditivi della fruizione collettiva del suolo, quale tipicamente la sua occupazione nei luoghi individuati a livello regolamentare, ove potrebbe addirittura trovare spazio una procedimentalizzazione operativa della relativa applicazione. </w:t>
      </w:r>
    </w:p>
    <w:p w14:paraId="46A0F966" w14:textId="77777777" w:rsidR="00151324" w:rsidRPr="00151324" w:rsidRDefault="00151324" w:rsidP="00151324">
      <w:pPr>
        <w:pStyle w:val="Testonotaapidipagina"/>
        <w:jc w:val="both"/>
        <w:rPr>
          <w:rFonts w:ascii="Times New Roman" w:hAnsi="Times New Roman" w:cs="Times New Roman"/>
          <w:sz w:val="16"/>
          <w:szCs w:val="16"/>
        </w:rPr>
      </w:pPr>
    </w:p>
  </w:footnote>
  <w:footnote w:id="40">
    <w:p w14:paraId="176B7228"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La disposizione si completa con la riconosciuta possibilità di “riesame” </w:t>
      </w:r>
      <w:r w:rsidRPr="00151324">
        <w:rPr>
          <w:rFonts w:ascii="Times New Roman" w:hAnsi="Times New Roman" w:cs="Times New Roman"/>
          <w:i/>
          <w:sz w:val="16"/>
          <w:szCs w:val="16"/>
        </w:rPr>
        <w:t>ex</w:t>
      </w:r>
      <w:r w:rsidRPr="00151324">
        <w:rPr>
          <w:rFonts w:ascii="Times New Roman" w:hAnsi="Times New Roman" w:cs="Times New Roman"/>
          <w:sz w:val="16"/>
          <w:szCs w:val="16"/>
        </w:rPr>
        <w:t xml:space="preserve"> art. 21-</w:t>
      </w:r>
      <w:r w:rsidRPr="00151324">
        <w:rPr>
          <w:rFonts w:ascii="Times New Roman" w:hAnsi="Times New Roman" w:cs="Times New Roman"/>
          <w:i/>
          <w:sz w:val="16"/>
          <w:szCs w:val="16"/>
        </w:rPr>
        <w:t>quinquies</w:t>
      </w:r>
      <w:r w:rsidRPr="00151324">
        <w:rPr>
          <w:rFonts w:ascii="Times New Roman" w:hAnsi="Times New Roman" w:cs="Times New Roman"/>
          <w:sz w:val="16"/>
          <w:szCs w:val="16"/>
        </w:rPr>
        <w:t xml:space="preserve"> della l. n. 241 del 1990 delle autorizzazioni e delle concessioni di suolo pubblico non ritenute più compatibili con le esigenze di tutela fatte proprie dalla norma, anche in deroga alla disciplina regionale.  </w:t>
      </w:r>
    </w:p>
  </w:footnote>
  <w:footnote w:id="41">
    <w:p w14:paraId="1007278D" w14:textId="77777777" w:rsidR="00C01F9F" w:rsidRPr="00151324" w:rsidRDefault="00C01F9F" w:rsidP="00151324">
      <w:pPr>
        <w:pStyle w:val="NormaleWeb"/>
        <w:shd w:val="clear" w:color="auto" w:fill="FFFFFF"/>
        <w:spacing w:line="240" w:lineRule="auto"/>
        <w:jc w:val="both"/>
        <w:rPr>
          <w:color w:val="auto"/>
          <w:kern w:val="0"/>
          <w:sz w:val="16"/>
          <w:szCs w:val="16"/>
        </w:rPr>
      </w:pPr>
      <w:r w:rsidRPr="00151324">
        <w:rPr>
          <w:rStyle w:val="Rimandonotaapidipagina"/>
          <w:sz w:val="16"/>
          <w:szCs w:val="16"/>
        </w:rPr>
        <w:footnoteRef/>
      </w:r>
      <w:r w:rsidRPr="00151324">
        <w:rPr>
          <w:sz w:val="16"/>
          <w:szCs w:val="16"/>
        </w:rPr>
        <w:t xml:space="preserve"> </w:t>
      </w:r>
      <w:r w:rsidRPr="00151324">
        <w:rPr>
          <w:color w:val="auto"/>
          <w:sz w:val="16"/>
          <w:szCs w:val="16"/>
        </w:rPr>
        <w:t xml:space="preserve">Diversa è la questione con riferimento al c.d. DASPO urbano, ovvero il </w:t>
      </w:r>
      <w:r w:rsidRPr="00151324">
        <w:rPr>
          <w:bCs/>
          <w:color w:val="auto"/>
          <w:kern w:val="0"/>
          <w:sz w:val="16"/>
          <w:szCs w:val="16"/>
          <w:bdr w:val="none" w:sz="0" w:space="0" w:color="auto" w:frame="1"/>
        </w:rPr>
        <w:t>divieto</w:t>
      </w:r>
      <w:r w:rsidRPr="00151324">
        <w:rPr>
          <w:b/>
          <w:bCs/>
          <w:color w:val="auto"/>
          <w:kern w:val="0"/>
          <w:sz w:val="16"/>
          <w:szCs w:val="16"/>
          <w:bdr w:val="none" w:sz="0" w:space="0" w:color="auto" w:frame="1"/>
        </w:rPr>
        <w:t> </w:t>
      </w:r>
      <w:r w:rsidRPr="00151324">
        <w:rPr>
          <w:color w:val="auto"/>
          <w:kern w:val="0"/>
          <w:sz w:val="16"/>
          <w:szCs w:val="16"/>
          <w:bdr w:val="none" w:sz="0" w:space="0" w:color="auto" w:frame="1"/>
        </w:rPr>
        <w:t>di accesso indirizzato ad una singola persona in alcune zone su ordine del Questore. Esso viene definito come fattispecie a formazione progressiva, nel senso che l’ordine man mano che passa il tempo assume caratteristiche diverse. Dopo una prima fase necessaria in cui il contravventore è raggiunto dal provvedimento di </w:t>
      </w:r>
      <w:r w:rsidRPr="00151324">
        <w:rPr>
          <w:bCs/>
          <w:color w:val="auto"/>
          <w:kern w:val="0"/>
          <w:sz w:val="16"/>
          <w:szCs w:val="16"/>
          <w:bdr w:val="none" w:sz="0" w:space="0" w:color="auto" w:frame="1"/>
        </w:rPr>
        <w:t>allontanamento </w:t>
      </w:r>
      <w:r w:rsidRPr="00151324">
        <w:rPr>
          <w:color w:val="auto"/>
          <w:kern w:val="0"/>
          <w:sz w:val="16"/>
          <w:szCs w:val="16"/>
          <w:bdr w:val="none" w:sz="0" w:space="0" w:color="auto" w:frame="1"/>
        </w:rPr>
        <w:t>dell’organo accertatore e dalla </w:t>
      </w:r>
      <w:r w:rsidRPr="00151324">
        <w:rPr>
          <w:bCs/>
          <w:color w:val="auto"/>
          <w:kern w:val="0"/>
          <w:sz w:val="16"/>
          <w:szCs w:val="16"/>
          <w:bdr w:val="none" w:sz="0" w:space="0" w:color="auto" w:frame="1"/>
        </w:rPr>
        <w:t>sanzione amministrativa</w:t>
      </w:r>
      <w:r w:rsidRPr="00151324">
        <w:rPr>
          <w:color w:val="auto"/>
          <w:kern w:val="0"/>
          <w:sz w:val="16"/>
          <w:szCs w:val="16"/>
          <w:bdr w:val="none" w:sz="0" w:space="0" w:color="auto" w:frame="1"/>
        </w:rPr>
        <w:t> irrogata dal sindaco, si apre una fase eventuale, con finalità </w:t>
      </w:r>
      <w:r w:rsidRPr="00151324">
        <w:rPr>
          <w:bCs/>
          <w:color w:val="auto"/>
          <w:kern w:val="0"/>
          <w:sz w:val="16"/>
          <w:szCs w:val="16"/>
          <w:bdr w:val="none" w:sz="0" w:space="0" w:color="auto" w:frame="1"/>
        </w:rPr>
        <w:t>preventiva </w:t>
      </w:r>
      <w:r w:rsidRPr="00151324">
        <w:rPr>
          <w:color w:val="auto"/>
          <w:kern w:val="0"/>
          <w:sz w:val="16"/>
          <w:szCs w:val="16"/>
          <w:bdr w:val="none" w:sz="0" w:space="0" w:color="auto" w:frame="1"/>
        </w:rPr>
        <w:t>e non punitiva, in cui il Questore, in presenza di determinati presupposti può confermare il divieto di ingresso in una zona urbana estendendolo fino</w:t>
      </w:r>
      <w:r w:rsidRPr="00151324">
        <w:rPr>
          <w:bCs/>
          <w:color w:val="auto"/>
          <w:kern w:val="0"/>
          <w:sz w:val="16"/>
          <w:szCs w:val="16"/>
          <w:bdr w:val="none" w:sz="0" w:space="0" w:color="auto" w:frame="1"/>
        </w:rPr>
        <w:t> a 2 anni</w:t>
      </w:r>
      <w:r w:rsidRPr="00151324">
        <w:rPr>
          <w:color w:val="auto"/>
          <w:kern w:val="0"/>
          <w:sz w:val="16"/>
          <w:szCs w:val="16"/>
          <w:bdr w:val="none" w:sz="0" w:space="0" w:color="auto" w:frame="1"/>
        </w:rPr>
        <w:t>. Si tratta di un provvedimento collegato strumentalmente con quello dell’organo accertatore ma autonomamente impugnabile perché autonoma è la sua natura.</w:t>
      </w:r>
    </w:p>
    <w:p w14:paraId="7D84F67B" w14:textId="77777777" w:rsidR="00C01F9F" w:rsidRPr="00151324" w:rsidRDefault="00C01F9F" w:rsidP="00151324">
      <w:pPr>
        <w:pStyle w:val="Testonotaapidipagina"/>
        <w:jc w:val="both"/>
        <w:rPr>
          <w:rFonts w:ascii="Times New Roman" w:hAnsi="Times New Roman" w:cs="Times New Roman"/>
          <w:sz w:val="16"/>
          <w:szCs w:val="16"/>
        </w:rPr>
      </w:pPr>
    </w:p>
  </w:footnote>
  <w:footnote w:id="42">
    <w:p w14:paraId="70F0B79B" w14:textId="77777777"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Cons. Stato, sez. V, 14 giugno 2017, n. 2892. </w:t>
      </w:r>
    </w:p>
    <w:p w14:paraId="288C9247" w14:textId="77777777" w:rsidR="00151324" w:rsidRPr="00151324" w:rsidRDefault="00151324" w:rsidP="00151324">
      <w:pPr>
        <w:pStyle w:val="Testonotaapidipagina"/>
        <w:jc w:val="both"/>
        <w:rPr>
          <w:rFonts w:ascii="Times New Roman" w:hAnsi="Times New Roman" w:cs="Times New Roman"/>
          <w:sz w:val="16"/>
          <w:szCs w:val="16"/>
        </w:rPr>
      </w:pPr>
    </w:p>
  </w:footnote>
  <w:footnote w:id="43">
    <w:p w14:paraId="5DC096F0" w14:textId="77777777" w:rsidR="00C01F9F" w:rsidRPr="00151324"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Cons. Stato, sez. V, 11 maggio 2017, n. 2198.</w:t>
      </w:r>
    </w:p>
  </w:footnote>
  <w:footnote w:id="44">
    <w:p w14:paraId="406B691A" w14:textId="77777777" w:rsidR="00C01F9F" w:rsidRDefault="00C01F9F"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L’art. 8 della l. n. 689 del 1981, tuttavia, pare limitarlo ai soli casi di sanzioni amministrative pecuniarie, almeno secondo la lettura restrittiva dell’intero sistema dell’illecito amministrativo di cui ampiamente nel testo.  </w:t>
      </w:r>
    </w:p>
    <w:p w14:paraId="33D46790" w14:textId="77777777" w:rsidR="00151324" w:rsidRPr="00151324" w:rsidRDefault="00151324" w:rsidP="00151324">
      <w:pPr>
        <w:pStyle w:val="Testonotaapidipagina"/>
        <w:jc w:val="both"/>
        <w:rPr>
          <w:rFonts w:ascii="Times New Roman" w:hAnsi="Times New Roman" w:cs="Times New Roman"/>
          <w:sz w:val="16"/>
          <w:szCs w:val="16"/>
        </w:rPr>
      </w:pPr>
    </w:p>
  </w:footnote>
  <w:footnote w:id="45">
    <w:p w14:paraId="7B486A51" w14:textId="5AEFCF2B" w:rsidR="00B87BBD" w:rsidRPr="00151324" w:rsidRDefault="00B87BBD"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V. A. Procaccino, Ne bis in idem: un principio in evoluzione- Assestamenti e osmosi nazionali sul bis</w:t>
      </w:r>
      <w:r w:rsidR="004B6749" w:rsidRPr="00151324">
        <w:rPr>
          <w:rFonts w:ascii="Times New Roman" w:hAnsi="Times New Roman" w:cs="Times New Roman"/>
          <w:sz w:val="16"/>
          <w:szCs w:val="16"/>
        </w:rPr>
        <w:t xml:space="preserve"> in</w:t>
      </w:r>
      <w:r w:rsidRPr="00151324">
        <w:rPr>
          <w:rFonts w:ascii="Times New Roman" w:hAnsi="Times New Roman" w:cs="Times New Roman"/>
          <w:sz w:val="16"/>
          <w:szCs w:val="16"/>
        </w:rPr>
        <w:t xml:space="preserve"> idem in Giur. </w:t>
      </w:r>
      <w:proofErr w:type="spellStart"/>
      <w:r w:rsidRPr="00151324">
        <w:rPr>
          <w:rFonts w:ascii="Times New Roman" w:hAnsi="Times New Roman" w:cs="Times New Roman"/>
          <w:sz w:val="16"/>
          <w:szCs w:val="16"/>
        </w:rPr>
        <w:t>It</w:t>
      </w:r>
      <w:proofErr w:type="spellEnd"/>
      <w:r w:rsidRPr="00151324">
        <w:rPr>
          <w:rFonts w:ascii="Times New Roman" w:hAnsi="Times New Roman" w:cs="Times New Roman"/>
          <w:sz w:val="16"/>
          <w:szCs w:val="16"/>
        </w:rPr>
        <w:t xml:space="preserve">., 2019, 6, 1957; </w:t>
      </w:r>
      <w:proofErr w:type="spellStart"/>
      <w:proofErr w:type="gramStart"/>
      <w:r w:rsidRPr="00151324">
        <w:rPr>
          <w:rFonts w:ascii="Times New Roman" w:hAnsi="Times New Roman" w:cs="Times New Roman"/>
          <w:sz w:val="16"/>
          <w:szCs w:val="16"/>
        </w:rPr>
        <w:t>D.Cimadomo</w:t>
      </w:r>
      <w:proofErr w:type="spellEnd"/>
      <w:proofErr w:type="gramEnd"/>
      <w:r w:rsidRPr="00151324">
        <w:rPr>
          <w:rFonts w:ascii="Times New Roman" w:hAnsi="Times New Roman" w:cs="Times New Roman"/>
          <w:sz w:val="16"/>
          <w:szCs w:val="16"/>
        </w:rPr>
        <w:t xml:space="preserve">, Ne bis in idem: un principio in evoluzione-Illecito amministrativo e reato: un’apparente ipotesi di bis in idem, in Giur. </w:t>
      </w:r>
      <w:proofErr w:type="spellStart"/>
      <w:r w:rsidRPr="00151324">
        <w:rPr>
          <w:rFonts w:ascii="Times New Roman" w:hAnsi="Times New Roman" w:cs="Times New Roman"/>
          <w:sz w:val="16"/>
          <w:szCs w:val="16"/>
        </w:rPr>
        <w:t>It</w:t>
      </w:r>
      <w:proofErr w:type="spellEnd"/>
      <w:r w:rsidRPr="00151324">
        <w:rPr>
          <w:rFonts w:ascii="Times New Roman" w:hAnsi="Times New Roman" w:cs="Times New Roman"/>
          <w:sz w:val="16"/>
          <w:szCs w:val="16"/>
        </w:rPr>
        <w:t xml:space="preserve">., 2019, 6, 1457; B. </w:t>
      </w:r>
      <w:proofErr w:type="spellStart"/>
      <w:r w:rsidRPr="00151324">
        <w:rPr>
          <w:rFonts w:ascii="Times New Roman" w:hAnsi="Times New Roman" w:cs="Times New Roman"/>
          <w:sz w:val="16"/>
          <w:szCs w:val="16"/>
        </w:rPr>
        <w:t>Lavarini</w:t>
      </w:r>
      <w:proofErr w:type="spellEnd"/>
      <w:r w:rsidRPr="00151324">
        <w:rPr>
          <w:rFonts w:ascii="Times New Roman" w:hAnsi="Times New Roman" w:cs="Times New Roman"/>
          <w:sz w:val="16"/>
          <w:szCs w:val="16"/>
        </w:rPr>
        <w:t xml:space="preserve">, Corte europea dei diritti umani e ne bis in idem; la crisi del “doppio binario”, in Dir. Pen. E Processo, 2014, 12, Supplemento, 82 (commento alla normativa). </w:t>
      </w:r>
    </w:p>
  </w:footnote>
  <w:footnote w:id="46">
    <w:p w14:paraId="15E9BDDE" w14:textId="57358C44" w:rsidR="001E4361" w:rsidRPr="00151324" w:rsidRDefault="001E4361" w:rsidP="00151324">
      <w:pPr>
        <w:pStyle w:val="Testonotaapidipagina"/>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Cass., sez. III penale, 20 gennaio 2022, n. 2245.</w:t>
      </w:r>
    </w:p>
  </w:footnote>
  <w:footnote w:id="47">
    <w:p w14:paraId="73ABE435" w14:textId="19E5AE9D" w:rsidR="00C01F9F" w:rsidRPr="00151324" w:rsidRDefault="00C01F9F" w:rsidP="00151324">
      <w:pPr>
        <w:pStyle w:val="Standard"/>
        <w:spacing w:after="0" w:line="240" w:lineRule="auto"/>
        <w:jc w:val="both"/>
        <w:rPr>
          <w:rFonts w:ascii="Times New Roman" w:hAnsi="Times New Roman" w:cs="Times New Roman"/>
          <w:sz w:val="16"/>
          <w:szCs w:val="16"/>
        </w:rPr>
      </w:pPr>
      <w:r w:rsidRPr="00151324">
        <w:rPr>
          <w:rStyle w:val="Rimandonotaapidipagina"/>
          <w:rFonts w:ascii="Times New Roman" w:hAnsi="Times New Roman" w:cs="Times New Roman"/>
          <w:sz w:val="16"/>
          <w:szCs w:val="16"/>
        </w:rPr>
        <w:footnoteRef/>
      </w:r>
      <w:r w:rsidRPr="00151324">
        <w:rPr>
          <w:rFonts w:ascii="Times New Roman" w:hAnsi="Times New Roman" w:cs="Times New Roman"/>
          <w:sz w:val="16"/>
          <w:szCs w:val="16"/>
        </w:rPr>
        <w:t xml:space="preserve"> Per un</w:t>
      </w:r>
      <w:r w:rsidR="00300298" w:rsidRPr="00151324">
        <w:rPr>
          <w:rFonts w:ascii="Times New Roman" w:hAnsi="Times New Roman" w:cs="Times New Roman"/>
          <w:sz w:val="16"/>
          <w:szCs w:val="16"/>
        </w:rPr>
        <w:t>’</w:t>
      </w:r>
      <w:r w:rsidRPr="00151324">
        <w:rPr>
          <w:rFonts w:ascii="Times New Roman" w:hAnsi="Times New Roman" w:cs="Times New Roman"/>
          <w:sz w:val="16"/>
          <w:szCs w:val="16"/>
        </w:rPr>
        <w:t xml:space="preserve">interessante ricostruzione della disciplina vigente con riferimento alle strutture </w:t>
      </w:r>
      <w:r w:rsidRPr="00151324">
        <w:rPr>
          <w:rFonts w:ascii="Times New Roman" w:hAnsi="Times New Roman" w:cs="Times New Roman"/>
          <w:i/>
          <w:sz w:val="16"/>
          <w:szCs w:val="16"/>
        </w:rPr>
        <w:t xml:space="preserve">lato </w:t>
      </w:r>
      <w:proofErr w:type="spellStart"/>
      <w:r w:rsidRPr="00151324">
        <w:rPr>
          <w:rFonts w:ascii="Times New Roman" w:hAnsi="Times New Roman" w:cs="Times New Roman"/>
          <w:i/>
          <w:sz w:val="16"/>
          <w:szCs w:val="16"/>
        </w:rPr>
        <w:t>sensu</w:t>
      </w:r>
      <w:proofErr w:type="spellEnd"/>
      <w:r w:rsidRPr="00151324">
        <w:rPr>
          <w:rFonts w:ascii="Times New Roman" w:hAnsi="Times New Roman" w:cs="Times New Roman"/>
          <w:sz w:val="16"/>
          <w:szCs w:val="16"/>
        </w:rPr>
        <w:t xml:space="preserve"> denominate </w:t>
      </w:r>
      <w:proofErr w:type="spellStart"/>
      <w:r w:rsidRPr="00151324">
        <w:rPr>
          <w:rFonts w:ascii="Times New Roman" w:hAnsi="Times New Roman" w:cs="Times New Roman"/>
          <w:i/>
          <w:sz w:val="16"/>
          <w:szCs w:val="16"/>
        </w:rPr>
        <w:t>dehors</w:t>
      </w:r>
      <w:proofErr w:type="spellEnd"/>
      <w:r w:rsidRPr="00151324">
        <w:rPr>
          <w:rFonts w:ascii="Times New Roman" w:hAnsi="Times New Roman" w:cs="Times New Roman"/>
          <w:sz w:val="16"/>
          <w:szCs w:val="16"/>
        </w:rPr>
        <w:t xml:space="preserve"> utilizzate per lo più per la somministrazione di alimenti e bevande all’aperto, v. </w:t>
      </w:r>
      <w:r w:rsidRPr="00151324">
        <w:rPr>
          <w:rFonts w:ascii="Times New Roman" w:eastAsia="Times New Roman" w:hAnsi="Times New Roman" w:cs="Times New Roman"/>
          <w:color w:val="000000"/>
          <w:kern w:val="0"/>
          <w:sz w:val="16"/>
          <w:szCs w:val="16"/>
          <w:lang w:eastAsia="it-IT"/>
        </w:rPr>
        <w:t>Cons. Stato, sez. VI, 4 gennaio 2022, n. 32, relativo alle c.d. “</w:t>
      </w:r>
      <w:proofErr w:type="spellStart"/>
      <w:r w:rsidRPr="00151324">
        <w:rPr>
          <w:rFonts w:ascii="Times New Roman" w:eastAsia="Times New Roman" w:hAnsi="Times New Roman" w:cs="Times New Roman"/>
          <w:color w:val="000000"/>
          <w:kern w:val="0"/>
          <w:sz w:val="16"/>
          <w:szCs w:val="16"/>
          <w:lang w:eastAsia="it-IT"/>
        </w:rPr>
        <w:t>pergotende</w:t>
      </w:r>
      <w:proofErr w:type="spellEnd"/>
      <w:r w:rsidRPr="00151324">
        <w:rPr>
          <w:rFonts w:ascii="Times New Roman" w:eastAsia="Times New Roman" w:hAnsi="Times New Roman" w:cs="Times New Roman"/>
          <w:color w:val="000000"/>
          <w:kern w:val="0"/>
          <w:sz w:val="16"/>
          <w:szCs w:val="16"/>
          <w:lang w:eastAsia="it-IT"/>
        </w:rPr>
        <w:t xml:space="preserve">”. L’art. 6 del </w:t>
      </w:r>
      <w:r w:rsidR="004B6749" w:rsidRPr="00151324">
        <w:rPr>
          <w:rFonts w:ascii="Times New Roman" w:eastAsia="Times New Roman" w:hAnsi="Times New Roman" w:cs="Times New Roman"/>
          <w:color w:val="000000"/>
          <w:kern w:val="0"/>
          <w:sz w:val="16"/>
          <w:szCs w:val="16"/>
          <w:lang w:eastAsia="it-IT"/>
        </w:rPr>
        <w:t>d</w:t>
      </w:r>
      <w:r w:rsidRPr="00151324">
        <w:rPr>
          <w:rFonts w:ascii="Times New Roman" w:eastAsia="Times New Roman" w:hAnsi="Times New Roman" w:cs="Times New Roman"/>
          <w:color w:val="000000"/>
          <w:kern w:val="0"/>
          <w:sz w:val="16"/>
          <w:szCs w:val="16"/>
          <w:lang w:eastAsia="it-IT"/>
        </w:rPr>
        <w:t>.P.R. n. 380/2001 elenca una serie di opere eseguibili senza alcun titolo abilitativo, fatte salve le prescrizioni degli strumenti urbanistici comunali: tale elencazione, consentendo la realizzazione di interventi edilizi che non comportano/consentono alcun tipo di controllo da parte dell’autorità pubblica, deve ritenersi in sé tassativo, ferma restando l’eventuale elasticità delle definizioni utilizzate, che può richiedere un’opera interpretativa del giudicante. In particolare va ricordata la definizione di opera stagionale (lett. </w:t>
      </w:r>
      <w:r w:rsidRPr="00151324">
        <w:rPr>
          <w:rFonts w:ascii="Times New Roman" w:eastAsia="Times New Roman" w:hAnsi="Times New Roman" w:cs="Times New Roman"/>
          <w:i/>
          <w:iCs/>
          <w:color w:val="000000"/>
          <w:kern w:val="0"/>
          <w:sz w:val="16"/>
          <w:szCs w:val="16"/>
          <w:lang w:eastAsia="it-IT"/>
        </w:rPr>
        <w:t>e-bis</w:t>
      </w:r>
      <w:r w:rsidRPr="00151324">
        <w:rPr>
          <w:rFonts w:ascii="Times New Roman" w:eastAsia="Times New Roman" w:hAnsi="Times New Roman" w:cs="Times New Roman"/>
          <w:color w:val="000000"/>
          <w:kern w:val="0"/>
          <w:sz w:val="16"/>
          <w:szCs w:val="16"/>
          <w:lang w:eastAsia="it-IT"/>
        </w:rPr>
        <w:t>), che presuppone un tempo di installazione correlato all’utilizzo e comunque non superiore a 180 giorni, incluso montaggio e smontaggio;</w:t>
      </w:r>
      <w:r w:rsidR="004B6749" w:rsidRPr="00151324">
        <w:rPr>
          <w:rFonts w:ascii="Times New Roman" w:eastAsia="Times New Roman" w:hAnsi="Times New Roman" w:cs="Times New Roman"/>
          <w:color w:val="000000"/>
          <w:kern w:val="0"/>
          <w:sz w:val="16"/>
          <w:szCs w:val="16"/>
          <w:lang w:eastAsia="it-IT"/>
        </w:rPr>
        <w:t xml:space="preserve"> </w:t>
      </w:r>
      <w:r w:rsidRPr="00151324">
        <w:rPr>
          <w:rFonts w:ascii="Times New Roman" w:eastAsia="Times New Roman" w:hAnsi="Times New Roman" w:cs="Times New Roman"/>
          <w:color w:val="000000"/>
          <w:kern w:val="0"/>
          <w:sz w:val="16"/>
          <w:szCs w:val="16"/>
          <w:lang w:eastAsia="it-IT"/>
        </w:rPr>
        <w:t>lett. </w:t>
      </w:r>
      <w:r w:rsidRPr="00151324">
        <w:rPr>
          <w:rFonts w:ascii="Times New Roman" w:eastAsia="Times New Roman" w:hAnsi="Times New Roman" w:cs="Times New Roman"/>
          <w:i/>
          <w:iCs/>
          <w:color w:val="000000"/>
          <w:kern w:val="0"/>
          <w:sz w:val="16"/>
          <w:szCs w:val="16"/>
          <w:lang w:eastAsia="it-IT"/>
        </w:rPr>
        <w:t>e-ter</w:t>
      </w:r>
      <w:r w:rsidRPr="00151324">
        <w:rPr>
          <w:rFonts w:ascii="Times New Roman" w:eastAsia="Times New Roman" w:hAnsi="Times New Roman" w:cs="Times New Roman"/>
          <w:color w:val="000000"/>
          <w:kern w:val="0"/>
          <w:sz w:val="16"/>
          <w:szCs w:val="16"/>
          <w:lang w:eastAsia="it-IT"/>
        </w:rPr>
        <w:t>), consistenti in opere di pavimentazione e di finitura di spazi esterni, che non può mai ricomprendere le strutture soprastanti una pedana, i cui elementi portanti sono costituiti da pilastri, travi e tetto; lett. e-</w:t>
      </w:r>
      <w:r w:rsidRPr="00151324">
        <w:rPr>
          <w:rFonts w:ascii="Times New Roman" w:eastAsia="Times New Roman" w:hAnsi="Times New Roman" w:cs="Times New Roman"/>
          <w:i/>
          <w:color w:val="000000"/>
          <w:kern w:val="0"/>
          <w:sz w:val="16"/>
          <w:szCs w:val="16"/>
          <w:lang w:eastAsia="it-IT"/>
        </w:rPr>
        <w:t>quinquies</w:t>
      </w:r>
      <w:r w:rsidRPr="00151324">
        <w:rPr>
          <w:rFonts w:ascii="Times New Roman" w:eastAsia="Times New Roman" w:hAnsi="Times New Roman" w:cs="Times New Roman"/>
          <w:color w:val="000000"/>
          <w:kern w:val="0"/>
          <w:sz w:val="16"/>
          <w:szCs w:val="16"/>
          <w:lang w:eastAsia="it-IT"/>
        </w:rPr>
        <w:t>), ovvero “</w:t>
      </w:r>
      <w:r w:rsidRPr="00151324">
        <w:rPr>
          <w:rFonts w:ascii="Times New Roman" w:eastAsia="Times New Roman" w:hAnsi="Times New Roman" w:cs="Times New Roman"/>
          <w:i/>
          <w:iCs/>
          <w:color w:val="000000"/>
          <w:kern w:val="0"/>
          <w:sz w:val="16"/>
          <w:szCs w:val="16"/>
          <w:lang w:eastAsia="it-IT"/>
        </w:rPr>
        <w:t>area ludica senza fini di lucro</w:t>
      </w:r>
      <w:r w:rsidRPr="00151324">
        <w:rPr>
          <w:rFonts w:ascii="Times New Roman" w:eastAsia="Times New Roman" w:hAnsi="Times New Roman" w:cs="Times New Roman"/>
          <w:color w:val="000000"/>
          <w:kern w:val="0"/>
          <w:sz w:val="16"/>
          <w:szCs w:val="16"/>
          <w:lang w:eastAsia="it-IT"/>
        </w:rPr>
        <w:t>” o “</w:t>
      </w:r>
      <w:r w:rsidRPr="00151324">
        <w:rPr>
          <w:rFonts w:ascii="Times New Roman" w:eastAsia="Times New Roman" w:hAnsi="Times New Roman" w:cs="Times New Roman"/>
          <w:i/>
          <w:iCs/>
          <w:color w:val="000000"/>
          <w:kern w:val="0"/>
          <w:sz w:val="16"/>
          <w:szCs w:val="16"/>
          <w:lang w:eastAsia="it-IT"/>
        </w:rPr>
        <w:t>elemento di arredo</w:t>
      </w:r>
      <w:r w:rsidRPr="00151324">
        <w:rPr>
          <w:rFonts w:ascii="Times New Roman" w:eastAsia="Times New Roman" w:hAnsi="Times New Roman" w:cs="Times New Roman"/>
          <w:color w:val="000000"/>
          <w:kern w:val="0"/>
          <w:sz w:val="16"/>
          <w:szCs w:val="16"/>
          <w:lang w:eastAsia="it-IT"/>
        </w:rPr>
        <w:t>” di area pertinenziale all’edificio, cui non è mai riconducibile un’area destinata ad ospitare la clientela dell’esercizio, perciò destinata ad un fine non ludico né di mero arredo, ma invece di lucro. Quanto sopra trova conferma nelle previsioni del D.M. 2 marzo 2018, pubblicato nella G.U. 7 aprile 2018 n.81, di “</w:t>
      </w:r>
      <w:r w:rsidRPr="00151324">
        <w:rPr>
          <w:rFonts w:ascii="Times New Roman" w:eastAsia="Times New Roman" w:hAnsi="Times New Roman" w:cs="Times New Roman"/>
          <w:i/>
          <w:iCs/>
          <w:color w:val="000000"/>
          <w:kern w:val="0"/>
          <w:sz w:val="16"/>
          <w:szCs w:val="16"/>
          <w:lang w:eastAsia="it-IT"/>
        </w:rPr>
        <w:t>Approvazione del glossario contenente l'elenco non esaustivo delle principali opere edilizie realizzabili in regime di attività edilizia libera</w:t>
      </w:r>
      <w:r w:rsidRPr="00151324">
        <w:rPr>
          <w:rFonts w:ascii="Times New Roman" w:eastAsia="Times New Roman" w:hAnsi="Times New Roman" w:cs="Times New Roman"/>
          <w:color w:val="000000"/>
          <w:kern w:val="0"/>
          <w:sz w:val="16"/>
          <w:szCs w:val="16"/>
          <w:lang w:eastAsia="it-IT"/>
        </w:rPr>
        <w:t>”, ai sensi dell’articolo 1, comma 2 del citato d. lgs. 222/2016, il quale individua tra le principali opere di edilizia libera, riconducibili all’art. 6, comma 1, lett. </w:t>
      </w:r>
      <w:r w:rsidRPr="00151324">
        <w:rPr>
          <w:rFonts w:ascii="Times New Roman" w:eastAsia="Times New Roman" w:hAnsi="Times New Roman" w:cs="Times New Roman"/>
          <w:i/>
          <w:iCs/>
          <w:color w:val="000000"/>
          <w:kern w:val="0"/>
          <w:sz w:val="16"/>
          <w:szCs w:val="16"/>
          <w:lang w:eastAsia="it-IT"/>
        </w:rPr>
        <w:t>e-quinquies</w:t>
      </w:r>
      <w:r w:rsidRPr="00151324">
        <w:rPr>
          <w:rFonts w:ascii="Times New Roman" w:eastAsia="Times New Roman" w:hAnsi="Times New Roman" w:cs="Times New Roman"/>
          <w:color w:val="000000"/>
          <w:kern w:val="0"/>
          <w:sz w:val="16"/>
          <w:szCs w:val="16"/>
          <w:lang w:eastAsia="it-IT"/>
        </w:rPr>
        <w:t>), singoli arredi (quali barbecue, fioriere, fontane, muretti, panche), giochi per bambini, pergolati di limitate dimensioni, ricoveri per animali domestici e da cortile, ripostigli per attrezzi, sbarre d’accesso, separatori, stalli per biciclette, elementi divisori e “</w:t>
      </w:r>
      <w:r w:rsidRPr="00151324">
        <w:rPr>
          <w:rFonts w:ascii="Times New Roman" w:eastAsia="Times New Roman" w:hAnsi="Times New Roman" w:cs="Times New Roman"/>
          <w:i/>
          <w:iCs/>
          <w:color w:val="000000"/>
          <w:kern w:val="0"/>
          <w:sz w:val="16"/>
          <w:szCs w:val="16"/>
          <w:lang w:eastAsia="it-IT"/>
        </w:rPr>
        <w:t xml:space="preserve">tende, tende a pergola, </w:t>
      </w:r>
      <w:proofErr w:type="spellStart"/>
      <w:r w:rsidRPr="00151324">
        <w:rPr>
          <w:rFonts w:ascii="Times New Roman" w:eastAsia="Times New Roman" w:hAnsi="Times New Roman" w:cs="Times New Roman"/>
          <w:i/>
          <w:iCs/>
          <w:color w:val="000000"/>
          <w:kern w:val="0"/>
          <w:sz w:val="16"/>
          <w:szCs w:val="16"/>
          <w:lang w:eastAsia="it-IT"/>
        </w:rPr>
        <w:t>pergotende</w:t>
      </w:r>
      <w:proofErr w:type="spellEnd"/>
      <w:r w:rsidRPr="00151324">
        <w:rPr>
          <w:rFonts w:ascii="Times New Roman" w:eastAsia="Times New Roman" w:hAnsi="Times New Roman" w:cs="Times New Roman"/>
          <w:i/>
          <w:iCs/>
          <w:color w:val="000000"/>
          <w:kern w:val="0"/>
          <w:sz w:val="16"/>
          <w:szCs w:val="16"/>
          <w:lang w:eastAsia="it-IT"/>
        </w:rPr>
        <w:t>, coperture leggere di arredo</w:t>
      </w:r>
      <w:r w:rsidRPr="00151324">
        <w:rPr>
          <w:rFonts w:ascii="Times New Roman" w:eastAsia="Times New Roman" w:hAnsi="Times New Roman" w:cs="Times New Roman"/>
          <w:color w:val="000000"/>
          <w:kern w:val="0"/>
          <w:sz w:val="16"/>
          <w:szCs w:val="16"/>
          <w:lang w:eastAsia="it-IT"/>
        </w:rPr>
        <w:t>”; e tra le opere riconducibili all’art. 6, comma 1, lett. </w:t>
      </w:r>
      <w:r w:rsidRPr="00151324">
        <w:rPr>
          <w:rFonts w:ascii="Times New Roman" w:eastAsia="Times New Roman" w:hAnsi="Times New Roman" w:cs="Times New Roman"/>
          <w:i/>
          <w:iCs/>
          <w:color w:val="000000"/>
          <w:kern w:val="0"/>
          <w:sz w:val="16"/>
          <w:szCs w:val="16"/>
          <w:lang w:eastAsia="it-IT"/>
        </w:rPr>
        <w:t>e-bis</w:t>
      </w:r>
      <w:r w:rsidRPr="00151324">
        <w:rPr>
          <w:rFonts w:ascii="Times New Roman" w:eastAsia="Times New Roman" w:hAnsi="Times New Roman" w:cs="Times New Roman"/>
          <w:color w:val="000000"/>
          <w:kern w:val="0"/>
          <w:sz w:val="16"/>
          <w:szCs w:val="16"/>
          <w:lang w:eastAsia="it-IT"/>
        </w:rPr>
        <w:t xml:space="preserve">), </w:t>
      </w:r>
      <w:r w:rsidRPr="00151324">
        <w:rPr>
          <w:rFonts w:ascii="Times New Roman" w:eastAsia="Times New Roman" w:hAnsi="Times New Roman" w:cs="Times New Roman"/>
          <w:color w:val="000000"/>
          <w:kern w:val="0"/>
          <w:sz w:val="16"/>
          <w:szCs w:val="16"/>
          <w:u w:val="single"/>
          <w:lang w:eastAsia="it-IT"/>
        </w:rPr>
        <w:t>i gazebo</w:t>
      </w:r>
      <w:r w:rsidRPr="00151324">
        <w:rPr>
          <w:rFonts w:ascii="Times New Roman" w:eastAsia="Times New Roman" w:hAnsi="Times New Roman" w:cs="Times New Roman"/>
          <w:color w:val="000000"/>
          <w:kern w:val="0"/>
          <w:sz w:val="16"/>
          <w:szCs w:val="16"/>
          <w:lang w:eastAsia="it-IT"/>
        </w:rPr>
        <w:t>, gli </w:t>
      </w:r>
      <w:r w:rsidRPr="00151324">
        <w:rPr>
          <w:rFonts w:ascii="Times New Roman" w:eastAsia="Times New Roman" w:hAnsi="Times New Roman" w:cs="Times New Roman"/>
          <w:i/>
          <w:iCs/>
          <w:color w:val="000000"/>
          <w:kern w:val="0"/>
          <w:sz w:val="16"/>
          <w:szCs w:val="16"/>
          <w:lang w:eastAsia="it-IT"/>
        </w:rPr>
        <w:t>stand</w:t>
      </w:r>
      <w:r w:rsidRPr="00151324">
        <w:rPr>
          <w:rFonts w:ascii="Times New Roman" w:eastAsia="Times New Roman" w:hAnsi="Times New Roman" w:cs="Times New Roman"/>
          <w:color w:val="000000"/>
          <w:kern w:val="0"/>
          <w:sz w:val="16"/>
          <w:szCs w:val="16"/>
          <w:lang w:eastAsia="it-IT"/>
        </w:rPr>
        <w:t> fieristici, i servizi igienici mobili, elementi di esposizione vari, aree di parcheggio, tensostrutture, pressostrutture e assimilabili. La norma va integrata con le previsioni dell’art. 3, comma 5, che definisce gli interventi di nuova costruzione, dai quali sono stralciati quelli volti ad edificare manufatti “</w:t>
      </w:r>
      <w:r w:rsidRPr="00151324">
        <w:rPr>
          <w:rFonts w:ascii="Times New Roman" w:eastAsia="Times New Roman" w:hAnsi="Times New Roman" w:cs="Times New Roman"/>
          <w:i/>
          <w:iCs/>
          <w:color w:val="000000"/>
          <w:kern w:val="0"/>
          <w:sz w:val="16"/>
          <w:szCs w:val="16"/>
          <w:lang w:eastAsia="it-IT"/>
        </w:rPr>
        <w:t>diretti a soddisfare esigenze meramente temporanee</w:t>
      </w:r>
      <w:r w:rsidRPr="00151324">
        <w:rPr>
          <w:rFonts w:ascii="Times New Roman" w:eastAsia="Times New Roman" w:hAnsi="Times New Roman" w:cs="Times New Roman"/>
          <w:color w:val="000000"/>
          <w:kern w:val="0"/>
          <w:sz w:val="16"/>
          <w:szCs w:val="16"/>
          <w:lang w:eastAsia="it-IT"/>
        </w:rPr>
        <w:t>”, nonché “</w:t>
      </w:r>
      <w:r w:rsidRPr="00151324">
        <w:rPr>
          <w:rFonts w:ascii="Times New Roman" w:eastAsia="Times New Roman" w:hAnsi="Times New Roman" w:cs="Times New Roman"/>
          <w:i/>
          <w:iCs/>
          <w:color w:val="000000"/>
          <w:kern w:val="0"/>
          <w:sz w:val="16"/>
          <w:szCs w:val="16"/>
          <w:lang w:eastAsia="it-IT"/>
        </w:rPr>
        <w:t xml:space="preserve">tende” e “ </w:t>
      </w:r>
      <w:proofErr w:type="spellStart"/>
      <w:r w:rsidRPr="00151324">
        <w:rPr>
          <w:rFonts w:ascii="Times New Roman" w:eastAsia="Times New Roman" w:hAnsi="Times New Roman" w:cs="Times New Roman"/>
          <w:i/>
          <w:iCs/>
          <w:color w:val="000000"/>
          <w:kern w:val="0"/>
          <w:sz w:val="16"/>
          <w:szCs w:val="16"/>
          <w:lang w:eastAsia="it-IT"/>
        </w:rPr>
        <w:t>unita'</w:t>
      </w:r>
      <w:proofErr w:type="spellEnd"/>
      <w:r w:rsidRPr="00151324">
        <w:rPr>
          <w:rFonts w:ascii="Times New Roman" w:eastAsia="Times New Roman" w:hAnsi="Times New Roman" w:cs="Times New Roman"/>
          <w:i/>
          <w:iCs/>
          <w:color w:val="000000"/>
          <w:kern w:val="0"/>
          <w:sz w:val="16"/>
          <w:szCs w:val="16"/>
          <w:lang w:eastAsia="it-IT"/>
        </w:rPr>
        <w:t xml:space="preserve"> abitative mobili con meccanismi di rotazione in funzione, e loro pertinenze e accessori, che siano collocate, anche in via continuativa, in strutture ricettive all'aperto per la sosta e il soggiorno dei turisti previamente autorizzate sotto il profilo urbanistico, edilizio e, ove previsto, paesaggistico, che non posseggano alcun collegamento di natura permanente al terreno e presentino le caratteristiche dimensionali e tecnico-costruttive previste dalle normative regionali di settore ove esistenti</w:t>
      </w:r>
      <w:r w:rsidRPr="00151324">
        <w:rPr>
          <w:rFonts w:ascii="Times New Roman" w:eastAsia="Times New Roman" w:hAnsi="Times New Roman" w:cs="Times New Roman"/>
          <w:color w:val="000000"/>
          <w:kern w:val="0"/>
          <w:sz w:val="16"/>
          <w:szCs w:val="16"/>
          <w:lang w:eastAsia="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257D"/>
    <w:multiLevelType w:val="multilevel"/>
    <w:tmpl w:val="DB12EBA0"/>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1" w15:restartNumberingAfterBreak="0">
    <w:nsid w:val="39B76A1A"/>
    <w:multiLevelType w:val="multilevel"/>
    <w:tmpl w:val="562A250A"/>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734C67"/>
    <w:multiLevelType w:val="multilevel"/>
    <w:tmpl w:val="95E6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D10C3"/>
    <w:multiLevelType w:val="hybridMultilevel"/>
    <w:tmpl w:val="55DEA2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26014B"/>
    <w:multiLevelType w:val="multilevel"/>
    <w:tmpl w:val="9C5E3FEC"/>
    <w:lvl w:ilvl="0">
      <w:start w:val="1"/>
      <w:numFmt w:val="lowerLetter"/>
      <w:lvlText w:val="%1)"/>
      <w:lvlJc w:val="left"/>
      <w:pPr>
        <w:ind w:left="720" w:hanging="360"/>
      </w:pPr>
      <w:rPr>
        <w:rFonts w:ascii="Calibri" w:hAnsi="Calibri" w:cs="Tahom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FC6750"/>
    <w:multiLevelType w:val="hybridMultilevel"/>
    <w:tmpl w:val="29CC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BA"/>
    <w:rsid w:val="0000223C"/>
    <w:rsid w:val="00003DCC"/>
    <w:rsid w:val="000200F3"/>
    <w:rsid w:val="000359D3"/>
    <w:rsid w:val="000478C1"/>
    <w:rsid w:val="00056E6C"/>
    <w:rsid w:val="0007146D"/>
    <w:rsid w:val="0008429E"/>
    <w:rsid w:val="000A7332"/>
    <w:rsid w:val="000B3674"/>
    <w:rsid w:val="000E048E"/>
    <w:rsid w:val="000E0896"/>
    <w:rsid w:val="000E733B"/>
    <w:rsid w:val="001033AF"/>
    <w:rsid w:val="00151324"/>
    <w:rsid w:val="001646D7"/>
    <w:rsid w:val="00167ACC"/>
    <w:rsid w:val="00175CC8"/>
    <w:rsid w:val="00181A29"/>
    <w:rsid w:val="00190D19"/>
    <w:rsid w:val="001D34DA"/>
    <w:rsid w:val="001E4361"/>
    <w:rsid w:val="0025370C"/>
    <w:rsid w:val="00265DF0"/>
    <w:rsid w:val="00267823"/>
    <w:rsid w:val="002A7369"/>
    <w:rsid w:val="002A7519"/>
    <w:rsid w:val="002B4F26"/>
    <w:rsid w:val="002E39E2"/>
    <w:rsid w:val="002F23BA"/>
    <w:rsid w:val="00300298"/>
    <w:rsid w:val="00316601"/>
    <w:rsid w:val="00371E9A"/>
    <w:rsid w:val="003770AD"/>
    <w:rsid w:val="003C1353"/>
    <w:rsid w:val="003C1381"/>
    <w:rsid w:val="003D0F66"/>
    <w:rsid w:val="003D3713"/>
    <w:rsid w:val="003D66F7"/>
    <w:rsid w:val="003D7FBF"/>
    <w:rsid w:val="003E5A68"/>
    <w:rsid w:val="00407CF8"/>
    <w:rsid w:val="00410193"/>
    <w:rsid w:val="00445AD1"/>
    <w:rsid w:val="0049610B"/>
    <w:rsid w:val="004B5820"/>
    <w:rsid w:val="004B6749"/>
    <w:rsid w:val="004D6B95"/>
    <w:rsid w:val="004E2C42"/>
    <w:rsid w:val="004E3F95"/>
    <w:rsid w:val="00513B71"/>
    <w:rsid w:val="005233E6"/>
    <w:rsid w:val="0053532B"/>
    <w:rsid w:val="005449AC"/>
    <w:rsid w:val="0057307F"/>
    <w:rsid w:val="00574967"/>
    <w:rsid w:val="00576357"/>
    <w:rsid w:val="00584F1A"/>
    <w:rsid w:val="0059700F"/>
    <w:rsid w:val="005A0952"/>
    <w:rsid w:val="005B43FB"/>
    <w:rsid w:val="005C4DC0"/>
    <w:rsid w:val="005C7666"/>
    <w:rsid w:val="005D6695"/>
    <w:rsid w:val="006116F4"/>
    <w:rsid w:val="00622CA9"/>
    <w:rsid w:val="00624121"/>
    <w:rsid w:val="0062471C"/>
    <w:rsid w:val="00633FA3"/>
    <w:rsid w:val="006367C1"/>
    <w:rsid w:val="006374A6"/>
    <w:rsid w:val="00644971"/>
    <w:rsid w:val="00651BC4"/>
    <w:rsid w:val="00682D68"/>
    <w:rsid w:val="006B0E9A"/>
    <w:rsid w:val="006C42E3"/>
    <w:rsid w:val="006D59D8"/>
    <w:rsid w:val="006E0B78"/>
    <w:rsid w:val="006F5169"/>
    <w:rsid w:val="0070466B"/>
    <w:rsid w:val="00707E02"/>
    <w:rsid w:val="00713141"/>
    <w:rsid w:val="00713A25"/>
    <w:rsid w:val="00720C51"/>
    <w:rsid w:val="00745517"/>
    <w:rsid w:val="00750D90"/>
    <w:rsid w:val="00775FE4"/>
    <w:rsid w:val="00777FA3"/>
    <w:rsid w:val="007929E9"/>
    <w:rsid w:val="007B747E"/>
    <w:rsid w:val="007E5843"/>
    <w:rsid w:val="008148A3"/>
    <w:rsid w:val="00820D18"/>
    <w:rsid w:val="00832D55"/>
    <w:rsid w:val="00834EAC"/>
    <w:rsid w:val="00843E06"/>
    <w:rsid w:val="008577F0"/>
    <w:rsid w:val="00866428"/>
    <w:rsid w:val="00876312"/>
    <w:rsid w:val="00881714"/>
    <w:rsid w:val="008B50BD"/>
    <w:rsid w:val="008D35E3"/>
    <w:rsid w:val="008E0964"/>
    <w:rsid w:val="008E119D"/>
    <w:rsid w:val="008E1CBC"/>
    <w:rsid w:val="008F62F7"/>
    <w:rsid w:val="00903833"/>
    <w:rsid w:val="00916B06"/>
    <w:rsid w:val="009411CD"/>
    <w:rsid w:val="009425AC"/>
    <w:rsid w:val="00945FE7"/>
    <w:rsid w:val="00975A34"/>
    <w:rsid w:val="009877D7"/>
    <w:rsid w:val="00992D3C"/>
    <w:rsid w:val="00994C51"/>
    <w:rsid w:val="00997988"/>
    <w:rsid w:val="009D003A"/>
    <w:rsid w:val="009E7B34"/>
    <w:rsid w:val="00A143E2"/>
    <w:rsid w:val="00A22C8C"/>
    <w:rsid w:val="00A361EF"/>
    <w:rsid w:val="00A36FA8"/>
    <w:rsid w:val="00A54739"/>
    <w:rsid w:val="00A64C4B"/>
    <w:rsid w:val="00A70417"/>
    <w:rsid w:val="00A93478"/>
    <w:rsid w:val="00AC26CB"/>
    <w:rsid w:val="00AC3CAB"/>
    <w:rsid w:val="00AD2FD4"/>
    <w:rsid w:val="00B0582C"/>
    <w:rsid w:val="00B12662"/>
    <w:rsid w:val="00B25976"/>
    <w:rsid w:val="00B32998"/>
    <w:rsid w:val="00B43D4A"/>
    <w:rsid w:val="00B5248C"/>
    <w:rsid w:val="00B7228E"/>
    <w:rsid w:val="00B76E35"/>
    <w:rsid w:val="00B84163"/>
    <w:rsid w:val="00B87BBD"/>
    <w:rsid w:val="00BA7642"/>
    <w:rsid w:val="00BC21BC"/>
    <w:rsid w:val="00BC30B3"/>
    <w:rsid w:val="00BE370D"/>
    <w:rsid w:val="00C01F9F"/>
    <w:rsid w:val="00C02FD2"/>
    <w:rsid w:val="00C16919"/>
    <w:rsid w:val="00C21CF2"/>
    <w:rsid w:val="00C4237B"/>
    <w:rsid w:val="00C44BC3"/>
    <w:rsid w:val="00C46B97"/>
    <w:rsid w:val="00C60E0B"/>
    <w:rsid w:val="00C610EF"/>
    <w:rsid w:val="00C71E6A"/>
    <w:rsid w:val="00C81D8C"/>
    <w:rsid w:val="00CB305F"/>
    <w:rsid w:val="00CF157B"/>
    <w:rsid w:val="00D1084E"/>
    <w:rsid w:val="00D14CA6"/>
    <w:rsid w:val="00D21FB1"/>
    <w:rsid w:val="00D23FA1"/>
    <w:rsid w:val="00D24239"/>
    <w:rsid w:val="00D2501E"/>
    <w:rsid w:val="00D334FC"/>
    <w:rsid w:val="00D3403F"/>
    <w:rsid w:val="00D3712F"/>
    <w:rsid w:val="00D5361B"/>
    <w:rsid w:val="00D82255"/>
    <w:rsid w:val="00D8417C"/>
    <w:rsid w:val="00D8786E"/>
    <w:rsid w:val="00D9050A"/>
    <w:rsid w:val="00DB319F"/>
    <w:rsid w:val="00DC4C2D"/>
    <w:rsid w:val="00DC775C"/>
    <w:rsid w:val="00DE232C"/>
    <w:rsid w:val="00DE468B"/>
    <w:rsid w:val="00DF1B74"/>
    <w:rsid w:val="00E100F7"/>
    <w:rsid w:val="00E14C06"/>
    <w:rsid w:val="00E17D4E"/>
    <w:rsid w:val="00E301ED"/>
    <w:rsid w:val="00E32DDF"/>
    <w:rsid w:val="00E5265E"/>
    <w:rsid w:val="00E70CF2"/>
    <w:rsid w:val="00EA72F1"/>
    <w:rsid w:val="00EB3D66"/>
    <w:rsid w:val="00ED264D"/>
    <w:rsid w:val="00ED764D"/>
    <w:rsid w:val="00EE5776"/>
    <w:rsid w:val="00EF62E6"/>
    <w:rsid w:val="00F07E10"/>
    <w:rsid w:val="00F16482"/>
    <w:rsid w:val="00F20F29"/>
    <w:rsid w:val="00F30215"/>
    <w:rsid w:val="00F30292"/>
    <w:rsid w:val="00F3393C"/>
    <w:rsid w:val="00F51AE2"/>
    <w:rsid w:val="00F55FB2"/>
    <w:rsid w:val="00F7349B"/>
    <w:rsid w:val="00F842B9"/>
    <w:rsid w:val="00F932F3"/>
    <w:rsid w:val="00FB01D9"/>
    <w:rsid w:val="00FC1A68"/>
    <w:rsid w:val="00FC2BA8"/>
    <w:rsid w:val="00FC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48B1"/>
  <w15:chartTrackingRefBased/>
  <w15:docId w15:val="{B1B9DF8F-223E-4A7E-9E8B-845DD44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F23BA"/>
    <w:pPr>
      <w:widowControl w:val="0"/>
      <w:suppressAutoHyphens/>
      <w:autoSpaceDN w:val="0"/>
      <w:textAlignment w:val="baseline"/>
    </w:pPr>
    <w:rPr>
      <w:rFonts w:ascii="Calibri" w:eastAsia="SimSun" w:hAnsi="Calibri" w:cs="Tahoma"/>
      <w:kern w:val="3"/>
    </w:rPr>
  </w:style>
  <w:style w:type="paragraph" w:styleId="Titolo1">
    <w:name w:val="heading 1"/>
    <w:basedOn w:val="Normale"/>
    <w:next w:val="Normale"/>
    <w:link w:val="Titolo1Carattere"/>
    <w:uiPriority w:val="9"/>
    <w:qFormat/>
    <w:rsid w:val="00F20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0200F3"/>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23BA"/>
    <w:pPr>
      <w:suppressAutoHyphens/>
      <w:autoSpaceDN w:val="0"/>
      <w:spacing w:line="247" w:lineRule="auto"/>
      <w:textAlignment w:val="baseline"/>
    </w:pPr>
    <w:rPr>
      <w:rFonts w:ascii="Calibri" w:eastAsia="SimSun" w:hAnsi="Calibri" w:cs="Tahoma"/>
      <w:kern w:val="3"/>
    </w:rPr>
  </w:style>
  <w:style w:type="paragraph" w:styleId="NormaleWeb">
    <w:name w:val="Normal (Web)"/>
    <w:basedOn w:val="Standard"/>
    <w:uiPriority w:val="99"/>
    <w:rsid w:val="002F23BA"/>
    <w:pPr>
      <w:spacing w:after="0" w:line="270" w:lineRule="atLeast"/>
    </w:pPr>
    <w:rPr>
      <w:rFonts w:ascii="Times New Roman" w:eastAsia="Times New Roman" w:hAnsi="Times New Roman" w:cs="Times New Roman"/>
      <w:color w:val="272B33"/>
      <w:sz w:val="18"/>
      <w:szCs w:val="18"/>
      <w:lang w:eastAsia="it-IT"/>
    </w:rPr>
  </w:style>
  <w:style w:type="paragraph" w:customStyle="1" w:styleId="sentnormal">
    <w:name w:val="sent_normal"/>
    <w:basedOn w:val="Normale"/>
    <w:uiPriority w:val="99"/>
    <w:rsid w:val="002F23BA"/>
    <w:pPr>
      <w:widowControl/>
      <w:suppressAutoHyphens w:val="0"/>
      <w:spacing w:before="100" w:after="100"/>
      <w:textAlignment w:val="auto"/>
    </w:pPr>
    <w:rPr>
      <w:rFonts w:ascii="Times New Roman" w:eastAsia="Times New Roman" w:hAnsi="Times New Roman" w:cs="Times New Roman"/>
      <w:kern w:val="0"/>
      <w:sz w:val="24"/>
      <w:szCs w:val="24"/>
      <w:lang w:eastAsia="it-IT"/>
    </w:rPr>
  </w:style>
  <w:style w:type="character" w:styleId="Rimandocommento">
    <w:name w:val="annotation reference"/>
    <w:basedOn w:val="Carpredefinitoparagrafo"/>
    <w:uiPriority w:val="99"/>
    <w:semiHidden/>
    <w:unhideWhenUsed/>
    <w:rsid w:val="00C16919"/>
    <w:rPr>
      <w:sz w:val="16"/>
      <w:szCs w:val="16"/>
    </w:rPr>
  </w:style>
  <w:style w:type="paragraph" w:styleId="Testocommento">
    <w:name w:val="annotation text"/>
    <w:basedOn w:val="Normale"/>
    <w:link w:val="TestocommentoCarattere"/>
    <w:uiPriority w:val="99"/>
    <w:semiHidden/>
    <w:unhideWhenUsed/>
    <w:rsid w:val="00C16919"/>
    <w:rPr>
      <w:sz w:val="20"/>
      <w:szCs w:val="20"/>
    </w:rPr>
  </w:style>
  <w:style w:type="character" w:customStyle="1" w:styleId="TestocommentoCarattere">
    <w:name w:val="Testo commento Carattere"/>
    <w:basedOn w:val="Carpredefinitoparagrafo"/>
    <w:link w:val="Testocommento"/>
    <w:uiPriority w:val="99"/>
    <w:semiHidden/>
    <w:rsid w:val="00C16919"/>
    <w:rPr>
      <w:rFonts w:ascii="Calibri" w:eastAsia="SimSun" w:hAnsi="Calibri" w:cs="Tahoma"/>
      <w:kern w:val="3"/>
      <w:sz w:val="20"/>
      <w:szCs w:val="20"/>
    </w:rPr>
  </w:style>
  <w:style w:type="paragraph" w:styleId="Soggettocommento">
    <w:name w:val="annotation subject"/>
    <w:basedOn w:val="Testocommento"/>
    <w:next w:val="Testocommento"/>
    <w:link w:val="SoggettocommentoCarattere"/>
    <w:uiPriority w:val="99"/>
    <w:semiHidden/>
    <w:unhideWhenUsed/>
    <w:rsid w:val="00C16919"/>
    <w:rPr>
      <w:b/>
      <w:bCs/>
    </w:rPr>
  </w:style>
  <w:style w:type="character" w:customStyle="1" w:styleId="SoggettocommentoCarattere">
    <w:name w:val="Soggetto commento Carattere"/>
    <w:basedOn w:val="TestocommentoCarattere"/>
    <w:link w:val="Soggettocommento"/>
    <w:uiPriority w:val="99"/>
    <w:semiHidden/>
    <w:rsid w:val="00C16919"/>
    <w:rPr>
      <w:rFonts w:ascii="Calibri" w:eastAsia="SimSun" w:hAnsi="Calibri" w:cs="Tahoma"/>
      <w:b/>
      <w:bCs/>
      <w:kern w:val="3"/>
      <w:sz w:val="20"/>
      <w:szCs w:val="20"/>
    </w:rPr>
  </w:style>
  <w:style w:type="paragraph" w:styleId="Testofumetto">
    <w:name w:val="Balloon Text"/>
    <w:basedOn w:val="Normale"/>
    <w:link w:val="TestofumettoCarattere"/>
    <w:uiPriority w:val="99"/>
    <w:semiHidden/>
    <w:unhideWhenUsed/>
    <w:rsid w:val="00C1691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919"/>
    <w:rPr>
      <w:rFonts w:ascii="Segoe UI" w:eastAsia="SimSun" w:hAnsi="Segoe UI" w:cs="Segoe UI"/>
      <w:kern w:val="3"/>
      <w:sz w:val="18"/>
      <w:szCs w:val="18"/>
    </w:rPr>
  </w:style>
  <w:style w:type="paragraph" w:styleId="Testonotaapidipagina">
    <w:name w:val="footnote text"/>
    <w:basedOn w:val="Normale"/>
    <w:link w:val="TestonotaapidipaginaCarattere"/>
    <w:unhideWhenUsed/>
    <w:rsid w:val="00C16919"/>
    <w:pPr>
      <w:spacing w:after="0"/>
    </w:pPr>
    <w:rPr>
      <w:sz w:val="20"/>
      <w:szCs w:val="20"/>
    </w:rPr>
  </w:style>
  <w:style w:type="character" w:customStyle="1" w:styleId="TestonotaapidipaginaCarattere">
    <w:name w:val="Testo nota a piè di pagina Carattere"/>
    <w:basedOn w:val="Carpredefinitoparagrafo"/>
    <w:link w:val="Testonotaapidipagina"/>
    <w:rsid w:val="00C16919"/>
    <w:rPr>
      <w:rFonts w:ascii="Calibri" w:eastAsia="SimSun" w:hAnsi="Calibri" w:cs="Tahoma"/>
      <w:kern w:val="3"/>
      <w:sz w:val="20"/>
      <w:szCs w:val="20"/>
    </w:rPr>
  </w:style>
  <w:style w:type="character" w:styleId="Rimandonotaapidipagina">
    <w:name w:val="footnote reference"/>
    <w:basedOn w:val="Carpredefinitoparagrafo"/>
    <w:unhideWhenUsed/>
    <w:rsid w:val="00C16919"/>
    <w:rPr>
      <w:vertAlign w:val="superscript"/>
    </w:rPr>
  </w:style>
  <w:style w:type="character" w:customStyle="1" w:styleId="Titolo3Carattere">
    <w:name w:val="Titolo 3 Carattere"/>
    <w:basedOn w:val="Carpredefinitoparagrafo"/>
    <w:link w:val="Titolo3"/>
    <w:uiPriority w:val="9"/>
    <w:rsid w:val="000200F3"/>
    <w:rPr>
      <w:rFonts w:ascii="Times New Roman" w:eastAsia="Times New Roman" w:hAnsi="Times New Roman" w:cs="Times New Roman"/>
      <w:b/>
      <w:bCs/>
      <w:sz w:val="27"/>
      <w:szCs w:val="27"/>
      <w:lang w:eastAsia="it-IT"/>
    </w:rPr>
  </w:style>
  <w:style w:type="paragraph" w:customStyle="1" w:styleId="popolo">
    <w:name w:val="popolo"/>
    <w:basedOn w:val="Normale"/>
    <w:rsid w:val="00633FA3"/>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it-IT"/>
    </w:rPr>
  </w:style>
  <w:style w:type="character" w:styleId="Enfasicorsivo">
    <w:name w:val="Emphasis"/>
    <w:basedOn w:val="Carpredefinitoparagrafo"/>
    <w:uiPriority w:val="20"/>
    <w:qFormat/>
    <w:rsid w:val="004D6B95"/>
    <w:rPr>
      <w:i/>
      <w:iCs/>
    </w:rPr>
  </w:style>
  <w:style w:type="paragraph" w:styleId="Paragrafoelenco">
    <w:name w:val="List Paragraph"/>
    <w:basedOn w:val="Standard"/>
    <w:rsid w:val="00F51AE2"/>
    <w:pPr>
      <w:ind w:left="720"/>
    </w:pPr>
  </w:style>
  <w:style w:type="character" w:styleId="Collegamentoipertestuale">
    <w:name w:val="Hyperlink"/>
    <w:basedOn w:val="Carpredefinitoparagrafo"/>
    <w:rsid w:val="00F51AE2"/>
    <w:rPr>
      <w:color w:val="0000FF"/>
      <w:u w:val="single"/>
    </w:rPr>
  </w:style>
  <w:style w:type="numbering" w:customStyle="1" w:styleId="WWNum45">
    <w:name w:val="WWNum45"/>
    <w:basedOn w:val="Nessunelenco"/>
    <w:rsid w:val="00F51AE2"/>
    <w:pPr>
      <w:numPr>
        <w:numId w:val="1"/>
      </w:numPr>
    </w:pPr>
  </w:style>
  <w:style w:type="paragraph" w:styleId="PreformattatoHTML">
    <w:name w:val="HTML Preformatted"/>
    <w:basedOn w:val="Normale"/>
    <w:link w:val="PreformattatoHTMLCarattere"/>
    <w:uiPriority w:val="99"/>
    <w:unhideWhenUsed/>
    <w:rsid w:val="00584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kern w:val="0"/>
      <w:sz w:val="20"/>
      <w:szCs w:val="20"/>
      <w:lang w:eastAsia="it-IT"/>
    </w:rPr>
  </w:style>
  <w:style w:type="character" w:customStyle="1" w:styleId="PreformattatoHTMLCarattere">
    <w:name w:val="Preformattato HTML Carattere"/>
    <w:basedOn w:val="Carpredefinitoparagrafo"/>
    <w:link w:val="PreformattatoHTML"/>
    <w:uiPriority w:val="99"/>
    <w:rsid w:val="00584F1A"/>
    <w:rPr>
      <w:rFonts w:ascii="Courier New" w:eastAsia="Times New Roman" w:hAnsi="Courier New" w:cs="Courier New"/>
      <w:sz w:val="20"/>
      <w:szCs w:val="20"/>
      <w:lang w:eastAsia="it-IT"/>
    </w:rPr>
  </w:style>
  <w:style w:type="paragraph" w:styleId="Revisione">
    <w:name w:val="Revision"/>
    <w:hidden/>
    <w:uiPriority w:val="99"/>
    <w:semiHidden/>
    <w:rsid w:val="00B5248C"/>
    <w:pPr>
      <w:spacing w:after="0"/>
    </w:pPr>
    <w:rPr>
      <w:rFonts w:ascii="Calibri" w:eastAsia="SimSun" w:hAnsi="Calibri" w:cs="Tahoma"/>
      <w:kern w:val="3"/>
    </w:rPr>
  </w:style>
  <w:style w:type="character" w:customStyle="1" w:styleId="Titolo1Carattere">
    <w:name w:val="Titolo 1 Carattere"/>
    <w:basedOn w:val="Carpredefinitoparagrafo"/>
    <w:link w:val="Titolo1"/>
    <w:uiPriority w:val="9"/>
    <w:rsid w:val="00F20F29"/>
    <w:rPr>
      <w:rFonts w:asciiTheme="majorHAnsi" w:eastAsiaTheme="majorEastAsia" w:hAnsiTheme="majorHAnsi" w:cstheme="majorBidi"/>
      <w:color w:val="2E74B5" w:themeColor="accent1" w:themeShade="BF"/>
      <w:kern w:val="3"/>
      <w:sz w:val="32"/>
      <w:szCs w:val="32"/>
    </w:rPr>
  </w:style>
  <w:style w:type="character" w:customStyle="1" w:styleId="highlight">
    <w:name w:val="highlight"/>
    <w:basedOn w:val="Carpredefinitoparagrafo"/>
    <w:rsid w:val="004B5820"/>
  </w:style>
  <w:style w:type="character" w:styleId="Enfasigrassetto">
    <w:name w:val="Strong"/>
    <w:basedOn w:val="Carpredefinitoparagrafo"/>
    <w:uiPriority w:val="22"/>
    <w:qFormat/>
    <w:rsid w:val="00F55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874">
      <w:bodyDiv w:val="1"/>
      <w:marLeft w:val="0"/>
      <w:marRight w:val="0"/>
      <w:marTop w:val="0"/>
      <w:marBottom w:val="0"/>
      <w:divBdr>
        <w:top w:val="none" w:sz="0" w:space="0" w:color="auto"/>
        <w:left w:val="none" w:sz="0" w:space="0" w:color="auto"/>
        <w:bottom w:val="none" w:sz="0" w:space="0" w:color="auto"/>
        <w:right w:val="none" w:sz="0" w:space="0" w:color="auto"/>
      </w:divBdr>
    </w:div>
    <w:div w:id="78447461">
      <w:bodyDiv w:val="1"/>
      <w:marLeft w:val="0"/>
      <w:marRight w:val="0"/>
      <w:marTop w:val="0"/>
      <w:marBottom w:val="0"/>
      <w:divBdr>
        <w:top w:val="none" w:sz="0" w:space="0" w:color="auto"/>
        <w:left w:val="none" w:sz="0" w:space="0" w:color="auto"/>
        <w:bottom w:val="none" w:sz="0" w:space="0" w:color="auto"/>
        <w:right w:val="none" w:sz="0" w:space="0" w:color="auto"/>
      </w:divBdr>
    </w:div>
    <w:div w:id="274674249">
      <w:bodyDiv w:val="1"/>
      <w:marLeft w:val="0"/>
      <w:marRight w:val="0"/>
      <w:marTop w:val="0"/>
      <w:marBottom w:val="0"/>
      <w:divBdr>
        <w:top w:val="none" w:sz="0" w:space="0" w:color="auto"/>
        <w:left w:val="none" w:sz="0" w:space="0" w:color="auto"/>
        <w:bottom w:val="none" w:sz="0" w:space="0" w:color="auto"/>
        <w:right w:val="none" w:sz="0" w:space="0" w:color="auto"/>
      </w:divBdr>
    </w:div>
    <w:div w:id="852457612">
      <w:bodyDiv w:val="1"/>
      <w:marLeft w:val="0"/>
      <w:marRight w:val="0"/>
      <w:marTop w:val="0"/>
      <w:marBottom w:val="0"/>
      <w:divBdr>
        <w:top w:val="none" w:sz="0" w:space="0" w:color="auto"/>
        <w:left w:val="none" w:sz="0" w:space="0" w:color="auto"/>
        <w:bottom w:val="none" w:sz="0" w:space="0" w:color="auto"/>
        <w:right w:val="none" w:sz="0" w:space="0" w:color="auto"/>
      </w:divBdr>
    </w:div>
    <w:div w:id="985822379">
      <w:bodyDiv w:val="1"/>
      <w:marLeft w:val="0"/>
      <w:marRight w:val="0"/>
      <w:marTop w:val="0"/>
      <w:marBottom w:val="0"/>
      <w:divBdr>
        <w:top w:val="none" w:sz="0" w:space="0" w:color="auto"/>
        <w:left w:val="none" w:sz="0" w:space="0" w:color="auto"/>
        <w:bottom w:val="none" w:sz="0" w:space="0" w:color="auto"/>
        <w:right w:val="none" w:sz="0" w:space="0" w:color="auto"/>
      </w:divBdr>
    </w:div>
    <w:div w:id="990862712">
      <w:bodyDiv w:val="1"/>
      <w:marLeft w:val="0"/>
      <w:marRight w:val="0"/>
      <w:marTop w:val="0"/>
      <w:marBottom w:val="0"/>
      <w:divBdr>
        <w:top w:val="none" w:sz="0" w:space="0" w:color="auto"/>
        <w:left w:val="none" w:sz="0" w:space="0" w:color="auto"/>
        <w:bottom w:val="none" w:sz="0" w:space="0" w:color="auto"/>
        <w:right w:val="none" w:sz="0" w:space="0" w:color="auto"/>
      </w:divBdr>
    </w:div>
    <w:div w:id="1051615051">
      <w:bodyDiv w:val="1"/>
      <w:marLeft w:val="0"/>
      <w:marRight w:val="0"/>
      <w:marTop w:val="0"/>
      <w:marBottom w:val="0"/>
      <w:divBdr>
        <w:top w:val="none" w:sz="0" w:space="0" w:color="auto"/>
        <w:left w:val="none" w:sz="0" w:space="0" w:color="auto"/>
        <w:bottom w:val="none" w:sz="0" w:space="0" w:color="auto"/>
        <w:right w:val="none" w:sz="0" w:space="0" w:color="auto"/>
      </w:divBdr>
    </w:div>
    <w:div w:id="1086413570">
      <w:bodyDiv w:val="1"/>
      <w:marLeft w:val="0"/>
      <w:marRight w:val="0"/>
      <w:marTop w:val="0"/>
      <w:marBottom w:val="0"/>
      <w:divBdr>
        <w:top w:val="none" w:sz="0" w:space="0" w:color="auto"/>
        <w:left w:val="none" w:sz="0" w:space="0" w:color="auto"/>
        <w:bottom w:val="none" w:sz="0" w:space="0" w:color="auto"/>
        <w:right w:val="none" w:sz="0" w:space="0" w:color="auto"/>
      </w:divBdr>
    </w:div>
    <w:div w:id="1563636867">
      <w:bodyDiv w:val="1"/>
      <w:marLeft w:val="0"/>
      <w:marRight w:val="0"/>
      <w:marTop w:val="0"/>
      <w:marBottom w:val="0"/>
      <w:divBdr>
        <w:top w:val="none" w:sz="0" w:space="0" w:color="auto"/>
        <w:left w:val="none" w:sz="0" w:space="0" w:color="auto"/>
        <w:bottom w:val="none" w:sz="0" w:space="0" w:color="auto"/>
        <w:right w:val="none" w:sz="0" w:space="0" w:color="auto"/>
      </w:divBdr>
    </w:div>
    <w:div w:id="1737391334">
      <w:bodyDiv w:val="1"/>
      <w:marLeft w:val="0"/>
      <w:marRight w:val="0"/>
      <w:marTop w:val="0"/>
      <w:marBottom w:val="0"/>
      <w:divBdr>
        <w:top w:val="none" w:sz="0" w:space="0" w:color="auto"/>
        <w:left w:val="none" w:sz="0" w:space="0" w:color="auto"/>
        <w:bottom w:val="none" w:sz="0" w:space="0" w:color="auto"/>
        <w:right w:val="none" w:sz="0" w:space="0" w:color="auto"/>
      </w:divBdr>
    </w:div>
    <w:div w:id="1904561124">
      <w:bodyDiv w:val="1"/>
      <w:marLeft w:val="0"/>
      <w:marRight w:val="0"/>
      <w:marTop w:val="0"/>
      <w:marBottom w:val="0"/>
      <w:divBdr>
        <w:top w:val="none" w:sz="0" w:space="0" w:color="auto"/>
        <w:left w:val="none" w:sz="0" w:space="0" w:color="auto"/>
        <w:bottom w:val="none" w:sz="0" w:space="0" w:color="auto"/>
        <w:right w:val="none" w:sz="0" w:space="0" w:color="auto"/>
      </w:divBdr>
    </w:div>
    <w:div w:id="19490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5_012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B2FB-52DC-48AB-B53B-F2ADC238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11494</Words>
  <Characters>65522</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MANZIONE Antonella</dc:creator>
  <cp:keywords/>
  <dc:description/>
  <cp:lastModifiedBy>FERRARI Giulia</cp:lastModifiedBy>
  <cp:revision>3</cp:revision>
  <dcterms:created xsi:type="dcterms:W3CDTF">2022-09-15T19:50:00Z</dcterms:created>
  <dcterms:modified xsi:type="dcterms:W3CDTF">2022-09-28T21:01:00Z</dcterms:modified>
</cp:coreProperties>
</file>