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E7C" w:rsidRPr="00E5738E" w:rsidRDefault="002F286A" w:rsidP="00E5738E">
      <w:pPr>
        <w:jc w:val="center"/>
        <w:rPr>
          <w:rFonts w:ascii="Times New Roman" w:hAnsi="Times New Roman" w:cs="Times New Roman"/>
          <w:b/>
          <w:sz w:val="40"/>
          <w:szCs w:val="40"/>
        </w:rPr>
      </w:pPr>
      <w:r w:rsidRPr="00E5738E">
        <w:rPr>
          <w:rFonts w:ascii="Times New Roman" w:hAnsi="Times New Roman" w:cs="Times New Roman"/>
          <w:b/>
          <w:sz w:val="40"/>
          <w:szCs w:val="40"/>
        </w:rPr>
        <w:t>Gli effetti nel tempo dell’</w:t>
      </w:r>
      <w:proofErr w:type="spellStart"/>
      <w:r w:rsidRPr="00E5738E">
        <w:rPr>
          <w:rFonts w:ascii="Times New Roman" w:hAnsi="Times New Roman" w:cs="Times New Roman"/>
          <w:b/>
          <w:sz w:val="40"/>
          <w:szCs w:val="40"/>
        </w:rPr>
        <w:t>interdittiva</w:t>
      </w:r>
      <w:proofErr w:type="spellEnd"/>
      <w:r w:rsidRPr="00E5738E">
        <w:rPr>
          <w:rFonts w:ascii="Times New Roman" w:hAnsi="Times New Roman" w:cs="Times New Roman"/>
          <w:b/>
          <w:sz w:val="40"/>
          <w:szCs w:val="40"/>
        </w:rPr>
        <w:t xml:space="preserve"> ed il potere di riesame</w:t>
      </w:r>
      <w:r w:rsidR="00FF4326">
        <w:rPr>
          <w:rStyle w:val="Rimandonotaapidipagina"/>
          <w:rFonts w:ascii="Times New Roman" w:hAnsi="Times New Roman" w:cs="Times New Roman"/>
          <w:b/>
          <w:sz w:val="40"/>
          <w:szCs w:val="40"/>
        </w:rPr>
        <w:footnoteReference w:id="1"/>
      </w:r>
    </w:p>
    <w:p w:rsidR="00A32DF5" w:rsidRDefault="00A32DF5" w:rsidP="00BB2A3A">
      <w:pPr>
        <w:spacing w:after="0" w:line="360" w:lineRule="auto"/>
        <w:jc w:val="both"/>
        <w:rPr>
          <w:rFonts w:ascii="Times New Roman" w:hAnsi="Times New Roman" w:cs="Times New Roman"/>
          <w:b/>
          <w:sz w:val="24"/>
          <w:szCs w:val="24"/>
          <w:u w:val="single"/>
        </w:rPr>
      </w:pPr>
    </w:p>
    <w:p w:rsidR="00EF0030" w:rsidRPr="007D0C8A" w:rsidRDefault="007D0C8A" w:rsidP="00BB2A3A">
      <w:pPr>
        <w:spacing w:after="0" w:line="360" w:lineRule="auto"/>
        <w:jc w:val="both"/>
        <w:rPr>
          <w:rFonts w:ascii="Times New Roman" w:hAnsi="Times New Roman" w:cs="Times New Roman"/>
          <w:sz w:val="24"/>
          <w:szCs w:val="24"/>
        </w:rPr>
      </w:pPr>
      <w:r w:rsidRPr="007D0C8A">
        <w:rPr>
          <w:rFonts w:ascii="Times New Roman" w:hAnsi="Times New Roman" w:cs="Times New Roman"/>
          <w:sz w:val="24"/>
          <w:szCs w:val="24"/>
        </w:rPr>
        <w:t>La validità dell’informazione antimafia e il potere, ma forse sarebbe più corretto parlare</w:t>
      </w:r>
      <w:r>
        <w:rPr>
          <w:rFonts w:ascii="Times New Roman" w:hAnsi="Times New Roman" w:cs="Times New Roman"/>
          <w:sz w:val="24"/>
          <w:szCs w:val="24"/>
        </w:rPr>
        <w:t xml:space="preserve">, </w:t>
      </w:r>
      <w:r w:rsidRPr="007D0C8A">
        <w:rPr>
          <w:rFonts w:ascii="Times New Roman" w:hAnsi="Times New Roman" w:cs="Times New Roman"/>
          <w:sz w:val="24"/>
          <w:szCs w:val="24"/>
        </w:rPr>
        <w:t xml:space="preserve">di dovere di riesame, costituiscono </w:t>
      </w:r>
      <w:r>
        <w:rPr>
          <w:rFonts w:ascii="Times New Roman" w:hAnsi="Times New Roman" w:cs="Times New Roman"/>
          <w:sz w:val="24"/>
          <w:szCs w:val="24"/>
        </w:rPr>
        <w:t xml:space="preserve">profili che si intersecano e si compenetrano nell’ambito di un istituto, quello delle informazioni antimafia </w:t>
      </w:r>
      <w:proofErr w:type="spellStart"/>
      <w:r>
        <w:rPr>
          <w:rFonts w:ascii="Times New Roman" w:hAnsi="Times New Roman" w:cs="Times New Roman"/>
          <w:sz w:val="24"/>
          <w:szCs w:val="24"/>
        </w:rPr>
        <w:t>interdittive</w:t>
      </w:r>
      <w:proofErr w:type="spellEnd"/>
      <w:r>
        <w:rPr>
          <w:rFonts w:ascii="Times New Roman" w:hAnsi="Times New Roman" w:cs="Times New Roman"/>
          <w:sz w:val="24"/>
          <w:szCs w:val="24"/>
        </w:rPr>
        <w:t xml:space="preserve">, che </w:t>
      </w:r>
      <w:r w:rsidR="00A51072">
        <w:rPr>
          <w:rFonts w:ascii="Times New Roman" w:hAnsi="Times New Roman" w:cs="Times New Roman"/>
          <w:sz w:val="24"/>
          <w:szCs w:val="24"/>
        </w:rPr>
        <w:t>si pone su uno stretto crinale tra contrapposti valori costituzionali, quello della libertà di impresa</w:t>
      </w:r>
      <w:r w:rsidR="00A26A03">
        <w:rPr>
          <w:rFonts w:ascii="Times New Roman" w:hAnsi="Times New Roman" w:cs="Times New Roman"/>
          <w:sz w:val="24"/>
          <w:szCs w:val="24"/>
        </w:rPr>
        <w:t>,</w:t>
      </w:r>
      <w:r w:rsidR="00A51072">
        <w:rPr>
          <w:rFonts w:ascii="Times New Roman" w:hAnsi="Times New Roman" w:cs="Times New Roman"/>
          <w:sz w:val="24"/>
          <w:szCs w:val="24"/>
        </w:rPr>
        <w:t xml:space="preserve"> da un lato</w:t>
      </w:r>
      <w:r w:rsidR="00A26A03">
        <w:rPr>
          <w:rFonts w:ascii="Times New Roman" w:hAnsi="Times New Roman" w:cs="Times New Roman"/>
          <w:sz w:val="24"/>
          <w:szCs w:val="24"/>
        </w:rPr>
        <w:t>,</w:t>
      </w:r>
      <w:r w:rsidR="00EF0030">
        <w:rPr>
          <w:rFonts w:ascii="Times New Roman" w:hAnsi="Times New Roman" w:cs="Times New Roman"/>
          <w:sz w:val="24"/>
          <w:szCs w:val="24"/>
        </w:rPr>
        <w:t xml:space="preserve"> e </w:t>
      </w:r>
      <w:r w:rsidR="00EF0030" w:rsidRPr="00EF0030">
        <w:rPr>
          <w:rFonts w:ascii="Times New Roman" w:hAnsi="Times New Roman" w:cs="Times New Roman"/>
          <w:sz w:val="24"/>
          <w:szCs w:val="24"/>
        </w:rPr>
        <w:t>i principi di legalità, imparzialità e buon andamento</w:t>
      </w:r>
      <w:r w:rsidR="00EF0030">
        <w:rPr>
          <w:rFonts w:ascii="Times New Roman" w:hAnsi="Times New Roman" w:cs="Times New Roman"/>
          <w:sz w:val="24"/>
          <w:szCs w:val="24"/>
        </w:rPr>
        <w:t xml:space="preserve"> dell’Amministrazione, e di</w:t>
      </w:r>
      <w:r w:rsidR="00EF0030" w:rsidRPr="00EF0030">
        <w:rPr>
          <w:rFonts w:ascii="Times New Roman" w:hAnsi="Times New Roman" w:cs="Times New Roman"/>
          <w:sz w:val="24"/>
          <w:szCs w:val="24"/>
        </w:rPr>
        <w:t xml:space="preserve"> concorrenza tra le stesse imprese nel mercato</w:t>
      </w:r>
      <w:r w:rsidR="00EF0030">
        <w:rPr>
          <w:rFonts w:ascii="Times New Roman" w:hAnsi="Times New Roman" w:cs="Times New Roman"/>
          <w:sz w:val="24"/>
          <w:szCs w:val="24"/>
        </w:rPr>
        <w:t xml:space="preserve">, </w:t>
      </w:r>
      <w:r w:rsidR="00A26A03">
        <w:rPr>
          <w:rFonts w:ascii="Times New Roman" w:hAnsi="Times New Roman" w:cs="Times New Roman"/>
          <w:sz w:val="24"/>
          <w:szCs w:val="24"/>
        </w:rPr>
        <w:t xml:space="preserve">dall’altro, </w:t>
      </w:r>
      <w:r w:rsidR="00EF0030">
        <w:rPr>
          <w:rFonts w:ascii="Times New Roman" w:hAnsi="Times New Roman" w:cs="Times New Roman"/>
          <w:sz w:val="24"/>
          <w:szCs w:val="24"/>
        </w:rPr>
        <w:t>crinale reso ancora più scosceso dalla natura preventiva della misura che colpisce il rischio e non già l’infiltrazione della criminalità organizzata</w:t>
      </w:r>
      <w:r w:rsidR="00503274">
        <w:rPr>
          <w:rFonts w:ascii="Times New Roman" w:hAnsi="Times New Roman" w:cs="Times New Roman"/>
          <w:sz w:val="24"/>
          <w:szCs w:val="24"/>
        </w:rPr>
        <w:t>, attestandosi quindi su un soglia assai anticipata di tutela</w:t>
      </w:r>
      <w:r w:rsidR="00A26A03">
        <w:rPr>
          <w:rStyle w:val="Rimandonotaapidipagina"/>
          <w:rFonts w:ascii="Times New Roman" w:hAnsi="Times New Roman" w:cs="Times New Roman"/>
          <w:sz w:val="24"/>
          <w:szCs w:val="24"/>
        </w:rPr>
        <w:footnoteReference w:id="2"/>
      </w:r>
      <w:r w:rsidR="00503274">
        <w:rPr>
          <w:rFonts w:ascii="Times New Roman" w:hAnsi="Times New Roman" w:cs="Times New Roman"/>
          <w:sz w:val="24"/>
          <w:szCs w:val="24"/>
        </w:rPr>
        <w:t>.</w:t>
      </w:r>
    </w:p>
    <w:p w:rsidR="00691CBF" w:rsidRPr="007D0C8A" w:rsidRDefault="00691CBF" w:rsidP="00BB2A3A">
      <w:pPr>
        <w:spacing w:after="0" w:line="360" w:lineRule="auto"/>
        <w:jc w:val="both"/>
        <w:rPr>
          <w:rFonts w:ascii="Times New Roman" w:hAnsi="Times New Roman" w:cs="Times New Roman"/>
          <w:sz w:val="24"/>
          <w:szCs w:val="24"/>
        </w:rPr>
      </w:pPr>
    </w:p>
    <w:p w:rsidR="00691CBF" w:rsidRDefault="00691CBF" w:rsidP="00BB2A3A">
      <w:pPr>
        <w:spacing w:after="0" w:line="360" w:lineRule="auto"/>
        <w:jc w:val="both"/>
        <w:rPr>
          <w:rFonts w:ascii="Times New Roman" w:hAnsi="Times New Roman" w:cs="Times New Roman"/>
          <w:sz w:val="24"/>
          <w:szCs w:val="24"/>
        </w:rPr>
      </w:pPr>
      <w:r w:rsidRPr="007D0C8A">
        <w:rPr>
          <w:rFonts w:ascii="Times New Roman" w:hAnsi="Times New Roman" w:cs="Times New Roman"/>
          <w:sz w:val="24"/>
          <w:szCs w:val="24"/>
        </w:rPr>
        <w:t xml:space="preserve">Il tema della validità temporale </w:t>
      </w:r>
      <w:r w:rsidR="00503274">
        <w:rPr>
          <w:rFonts w:ascii="Times New Roman" w:hAnsi="Times New Roman" w:cs="Times New Roman"/>
          <w:sz w:val="24"/>
          <w:szCs w:val="24"/>
        </w:rPr>
        <w:t xml:space="preserve">delle informazioni </w:t>
      </w:r>
      <w:proofErr w:type="spellStart"/>
      <w:r w:rsidR="00503274">
        <w:rPr>
          <w:rFonts w:ascii="Times New Roman" w:hAnsi="Times New Roman" w:cs="Times New Roman"/>
          <w:sz w:val="24"/>
          <w:szCs w:val="24"/>
        </w:rPr>
        <w:t>interdittive</w:t>
      </w:r>
      <w:proofErr w:type="spellEnd"/>
      <w:r w:rsidR="00503274">
        <w:rPr>
          <w:rFonts w:ascii="Times New Roman" w:hAnsi="Times New Roman" w:cs="Times New Roman"/>
          <w:sz w:val="24"/>
          <w:szCs w:val="24"/>
        </w:rPr>
        <w:t xml:space="preserve"> </w:t>
      </w:r>
      <w:r w:rsidRPr="007D0C8A">
        <w:rPr>
          <w:rFonts w:ascii="Times New Roman" w:hAnsi="Times New Roman" w:cs="Times New Roman"/>
          <w:sz w:val="24"/>
          <w:szCs w:val="24"/>
        </w:rPr>
        <w:t>assume un ruolo centrale qua</w:t>
      </w:r>
      <w:r w:rsidR="00503274">
        <w:rPr>
          <w:rFonts w:ascii="Times New Roman" w:hAnsi="Times New Roman" w:cs="Times New Roman"/>
          <w:sz w:val="24"/>
          <w:szCs w:val="24"/>
        </w:rPr>
        <w:t xml:space="preserve">le </w:t>
      </w:r>
      <w:r w:rsidRPr="007D0C8A">
        <w:rPr>
          <w:rFonts w:ascii="Times New Roman" w:hAnsi="Times New Roman" w:cs="Times New Roman"/>
          <w:sz w:val="24"/>
          <w:szCs w:val="24"/>
        </w:rPr>
        <w:t>punto di equilibrio tra anticipazione della difesa della legalità e libertà di iniziativa economica.</w:t>
      </w:r>
    </w:p>
    <w:p w:rsidR="00503274" w:rsidRDefault="00503274" w:rsidP="00BB2A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Tanto è vero questo che </w:t>
      </w:r>
      <w:r w:rsidRPr="00503274">
        <w:rPr>
          <w:rFonts w:ascii="Times New Roman" w:hAnsi="Times New Roman" w:cs="Times New Roman"/>
          <w:sz w:val="24"/>
          <w:szCs w:val="24"/>
        </w:rPr>
        <w:t>la Corte Costituzionale con la sentenza n. 57 del 26 marzo 2020</w:t>
      </w:r>
      <w:r>
        <w:rPr>
          <w:rFonts w:ascii="Times New Roman" w:hAnsi="Times New Roman" w:cs="Times New Roman"/>
          <w:sz w:val="24"/>
          <w:szCs w:val="24"/>
        </w:rPr>
        <w:t xml:space="preserve"> salva l’istituto proprio in ragione del carattere provvisorio della misura</w:t>
      </w:r>
      <w:r>
        <w:rPr>
          <w:rStyle w:val="Rimandonotaapidipagina"/>
          <w:rFonts w:ascii="Times New Roman" w:hAnsi="Times New Roman" w:cs="Times New Roman"/>
          <w:sz w:val="24"/>
          <w:szCs w:val="24"/>
        </w:rPr>
        <w:footnoteReference w:id="3"/>
      </w:r>
      <w:r>
        <w:rPr>
          <w:rFonts w:ascii="Times New Roman" w:hAnsi="Times New Roman" w:cs="Times New Roman"/>
          <w:sz w:val="24"/>
          <w:szCs w:val="24"/>
        </w:rPr>
        <w:t>.</w:t>
      </w:r>
    </w:p>
    <w:p w:rsidR="00503274" w:rsidRDefault="00503274" w:rsidP="00BB2A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 su questo torneremo più avanti.</w:t>
      </w:r>
    </w:p>
    <w:p w:rsidR="00503274" w:rsidRDefault="00503274" w:rsidP="00BB2A3A">
      <w:pPr>
        <w:spacing w:after="0" w:line="360" w:lineRule="auto"/>
        <w:jc w:val="both"/>
        <w:rPr>
          <w:rFonts w:ascii="Times New Roman" w:hAnsi="Times New Roman" w:cs="Times New Roman"/>
          <w:sz w:val="24"/>
          <w:szCs w:val="24"/>
        </w:rPr>
      </w:pPr>
    </w:p>
    <w:p w:rsidR="00503274" w:rsidRDefault="00503274" w:rsidP="00BB2A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Come noto l’art. 86 comma 2 del D.lgs. 159/2011 dispone che l</w:t>
      </w:r>
      <w:r w:rsidRPr="00503274">
        <w:rPr>
          <w:rFonts w:ascii="Times New Roman" w:hAnsi="Times New Roman" w:cs="Times New Roman"/>
          <w:sz w:val="24"/>
          <w:szCs w:val="24"/>
        </w:rPr>
        <w:t>'informazione antimafia ha una validità di dodici mesi dalla data dell'acquisizione</w:t>
      </w:r>
      <w:r>
        <w:rPr>
          <w:rFonts w:ascii="Times New Roman" w:hAnsi="Times New Roman" w:cs="Times New Roman"/>
          <w:sz w:val="24"/>
          <w:szCs w:val="24"/>
        </w:rPr>
        <w:t>.</w:t>
      </w:r>
    </w:p>
    <w:p w:rsidR="00594A9E" w:rsidRPr="007D0C8A" w:rsidRDefault="00503274" w:rsidP="00BB2A3A">
      <w:pPr>
        <w:spacing w:after="0" w:line="360" w:lineRule="auto"/>
        <w:jc w:val="both"/>
        <w:rPr>
          <w:rFonts w:ascii="Times New Roman" w:hAnsi="Times New Roman" w:cs="Times New Roman"/>
          <w:sz w:val="24"/>
          <w:szCs w:val="24"/>
        </w:rPr>
      </w:pPr>
      <w:r w:rsidRPr="007D0C8A">
        <w:rPr>
          <w:rFonts w:ascii="Times New Roman" w:hAnsi="Times New Roman" w:cs="Times New Roman"/>
          <w:sz w:val="24"/>
          <w:szCs w:val="24"/>
        </w:rPr>
        <w:t xml:space="preserve"> </w:t>
      </w:r>
    </w:p>
    <w:p w:rsidR="00594A9E" w:rsidRPr="007D0C8A" w:rsidRDefault="00976100" w:rsidP="00BB2A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riguardo, ovvero sulla validità temporale dell’efficacia dell’informazione antimafia,</w:t>
      </w:r>
      <w:r w:rsidR="00594A9E" w:rsidRPr="007D0C8A">
        <w:rPr>
          <w:rFonts w:ascii="Times New Roman" w:hAnsi="Times New Roman" w:cs="Times New Roman"/>
          <w:sz w:val="24"/>
          <w:szCs w:val="24"/>
        </w:rPr>
        <w:t xml:space="preserve"> si sono fronteggiati </w:t>
      </w:r>
      <w:r w:rsidR="00D65E2F">
        <w:rPr>
          <w:rFonts w:ascii="Times New Roman" w:hAnsi="Times New Roman" w:cs="Times New Roman"/>
          <w:sz w:val="24"/>
          <w:szCs w:val="24"/>
        </w:rPr>
        <w:t xml:space="preserve">nel tempo </w:t>
      </w:r>
      <w:r w:rsidR="00594A9E" w:rsidRPr="007D0C8A">
        <w:rPr>
          <w:rFonts w:ascii="Times New Roman" w:hAnsi="Times New Roman" w:cs="Times New Roman"/>
          <w:sz w:val="24"/>
          <w:szCs w:val="24"/>
        </w:rPr>
        <w:t>due orientamenti.</w:t>
      </w:r>
    </w:p>
    <w:p w:rsidR="00503274" w:rsidRDefault="00503274" w:rsidP="00BB2A3A">
      <w:pPr>
        <w:spacing w:after="0" w:line="360" w:lineRule="auto"/>
        <w:jc w:val="both"/>
        <w:rPr>
          <w:rFonts w:ascii="Times New Roman" w:hAnsi="Times New Roman" w:cs="Times New Roman"/>
          <w:sz w:val="24"/>
          <w:szCs w:val="24"/>
        </w:rPr>
      </w:pPr>
    </w:p>
    <w:p w:rsidR="00594A9E" w:rsidRDefault="00594A9E" w:rsidP="00BB2A3A">
      <w:pPr>
        <w:spacing w:after="0" w:line="360" w:lineRule="auto"/>
        <w:jc w:val="both"/>
        <w:rPr>
          <w:rFonts w:ascii="Times New Roman" w:hAnsi="Times New Roman" w:cs="Times New Roman"/>
          <w:sz w:val="24"/>
          <w:szCs w:val="24"/>
        </w:rPr>
      </w:pPr>
      <w:r w:rsidRPr="007D0C8A">
        <w:rPr>
          <w:rFonts w:ascii="Times New Roman" w:hAnsi="Times New Roman" w:cs="Times New Roman"/>
          <w:sz w:val="24"/>
          <w:szCs w:val="24"/>
        </w:rPr>
        <w:t>Secondo l’orientamento prevalente e consolidato la limitazione temporale di efficacia dell’informativa antimafia deve essere riferita alle sole ipotesi di informativa di contenuto liberatorio (in cui sia attestata l’assenza di pericolo di infiltrazione mafiosa), e non anche alle ipotesi in cui l’informativa dia atto di riscontri indicativi del pericolo di infiltrazioni malavitose, i quali ultimi conservano la loro valenza anche oltre il termine indicato nella norma.</w:t>
      </w:r>
    </w:p>
    <w:p w:rsidR="00503274" w:rsidRPr="007D0C8A" w:rsidRDefault="00503274" w:rsidP="00BB2A3A">
      <w:pPr>
        <w:spacing w:after="0" w:line="360" w:lineRule="auto"/>
        <w:jc w:val="both"/>
        <w:rPr>
          <w:rFonts w:ascii="Times New Roman" w:hAnsi="Times New Roman" w:cs="Times New Roman"/>
          <w:sz w:val="24"/>
          <w:szCs w:val="24"/>
        </w:rPr>
      </w:pPr>
    </w:p>
    <w:p w:rsidR="00594A9E" w:rsidRDefault="00594A9E" w:rsidP="00BB2A3A">
      <w:pPr>
        <w:spacing w:after="0" w:line="360" w:lineRule="auto"/>
        <w:jc w:val="both"/>
        <w:rPr>
          <w:rFonts w:ascii="Times New Roman" w:hAnsi="Times New Roman" w:cs="Times New Roman"/>
          <w:sz w:val="24"/>
          <w:szCs w:val="24"/>
        </w:rPr>
      </w:pPr>
      <w:r w:rsidRPr="007D0C8A">
        <w:rPr>
          <w:rFonts w:ascii="Times New Roman" w:hAnsi="Times New Roman" w:cs="Times New Roman"/>
          <w:sz w:val="24"/>
          <w:szCs w:val="24"/>
        </w:rPr>
        <w:t xml:space="preserve">Questo orientamento maggioritario opera una scissione degli effetti delle informative tra quelle </w:t>
      </w:r>
      <w:proofErr w:type="spellStart"/>
      <w:r w:rsidRPr="007D0C8A">
        <w:rPr>
          <w:rFonts w:ascii="Times New Roman" w:hAnsi="Times New Roman" w:cs="Times New Roman"/>
          <w:sz w:val="24"/>
          <w:szCs w:val="24"/>
        </w:rPr>
        <w:t>interdittive</w:t>
      </w:r>
      <w:proofErr w:type="spellEnd"/>
      <w:r w:rsidRPr="007D0C8A">
        <w:rPr>
          <w:rFonts w:ascii="Times New Roman" w:hAnsi="Times New Roman" w:cs="Times New Roman"/>
          <w:sz w:val="24"/>
          <w:szCs w:val="24"/>
        </w:rPr>
        <w:t xml:space="preserve"> e quelle liberatorie (</w:t>
      </w:r>
      <w:r w:rsidR="00503274">
        <w:rPr>
          <w:rFonts w:ascii="Times New Roman" w:hAnsi="Times New Roman" w:cs="Times New Roman"/>
          <w:sz w:val="24"/>
          <w:szCs w:val="24"/>
        </w:rPr>
        <w:t>cioè</w:t>
      </w:r>
      <w:r w:rsidRPr="007D0C8A">
        <w:rPr>
          <w:rFonts w:ascii="Times New Roman" w:hAnsi="Times New Roman" w:cs="Times New Roman"/>
          <w:sz w:val="24"/>
          <w:szCs w:val="24"/>
        </w:rPr>
        <w:t xml:space="preserve"> afferma la tendenziale ultrattività dell’informativa antimafia </w:t>
      </w:r>
      <w:proofErr w:type="spellStart"/>
      <w:r w:rsidRPr="007D0C8A">
        <w:rPr>
          <w:rFonts w:ascii="Times New Roman" w:hAnsi="Times New Roman" w:cs="Times New Roman"/>
          <w:sz w:val="24"/>
          <w:szCs w:val="24"/>
        </w:rPr>
        <w:t>interdittiva</w:t>
      </w:r>
      <w:proofErr w:type="spellEnd"/>
      <w:r w:rsidRPr="007D0C8A">
        <w:rPr>
          <w:rFonts w:ascii="Times New Roman" w:hAnsi="Times New Roman" w:cs="Times New Roman"/>
          <w:sz w:val="24"/>
          <w:szCs w:val="24"/>
        </w:rPr>
        <w:t>), e fa leva su una serie di argomenti</w:t>
      </w:r>
      <w:r w:rsidR="00BB2A3A">
        <w:rPr>
          <w:rFonts w:ascii="Times New Roman" w:hAnsi="Times New Roman" w:cs="Times New Roman"/>
          <w:sz w:val="24"/>
          <w:szCs w:val="24"/>
        </w:rPr>
        <w:t xml:space="preserve"> </w:t>
      </w:r>
      <w:r w:rsidR="00BB2A3A">
        <w:rPr>
          <w:rStyle w:val="Rimandonotaapidipagina"/>
          <w:rFonts w:ascii="Times New Roman" w:hAnsi="Times New Roman" w:cs="Times New Roman"/>
          <w:sz w:val="24"/>
          <w:szCs w:val="24"/>
        </w:rPr>
        <w:footnoteReference w:id="4"/>
      </w:r>
      <w:r w:rsidRPr="007D0C8A">
        <w:rPr>
          <w:rFonts w:ascii="Times New Roman" w:hAnsi="Times New Roman" w:cs="Times New Roman"/>
          <w:sz w:val="24"/>
          <w:szCs w:val="24"/>
        </w:rPr>
        <w:t>.</w:t>
      </w:r>
    </w:p>
    <w:p w:rsidR="00503274" w:rsidRPr="007D0C8A" w:rsidRDefault="00503274" w:rsidP="00BB2A3A">
      <w:pPr>
        <w:spacing w:after="0" w:line="360" w:lineRule="auto"/>
        <w:jc w:val="both"/>
        <w:rPr>
          <w:rFonts w:ascii="Times New Roman" w:hAnsi="Times New Roman" w:cs="Times New Roman"/>
          <w:sz w:val="24"/>
          <w:szCs w:val="24"/>
        </w:rPr>
      </w:pPr>
    </w:p>
    <w:p w:rsidR="001F5380" w:rsidRDefault="00594A9E" w:rsidP="00BB2A3A">
      <w:pPr>
        <w:spacing w:after="0" w:line="360" w:lineRule="auto"/>
        <w:jc w:val="both"/>
        <w:rPr>
          <w:rFonts w:ascii="Times New Roman" w:hAnsi="Times New Roman" w:cs="Times New Roman"/>
          <w:sz w:val="24"/>
          <w:szCs w:val="24"/>
        </w:rPr>
      </w:pPr>
      <w:r w:rsidRPr="007D0C8A">
        <w:rPr>
          <w:rFonts w:ascii="Times New Roman" w:hAnsi="Times New Roman" w:cs="Times New Roman"/>
          <w:sz w:val="24"/>
          <w:szCs w:val="24"/>
        </w:rPr>
        <w:t>Il primo argomento è di carattere testuale e muove dal combinato disposto dell’art. 86, comma 2 e dell’art. 83, comma 1, D.lgs. n. 159/2011</w:t>
      </w:r>
      <w:r w:rsidR="001F5380">
        <w:rPr>
          <w:rStyle w:val="Rimandonotaapidipagina"/>
          <w:rFonts w:ascii="Times New Roman" w:hAnsi="Times New Roman" w:cs="Times New Roman"/>
          <w:sz w:val="24"/>
          <w:szCs w:val="24"/>
        </w:rPr>
        <w:footnoteReference w:id="5"/>
      </w:r>
      <w:r w:rsidRPr="007D0C8A">
        <w:rPr>
          <w:rFonts w:ascii="Times New Roman" w:hAnsi="Times New Roman" w:cs="Times New Roman"/>
          <w:sz w:val="24"/>
          <w:szCs w:val="24"/>
        </w:rPr>
        <w:t xml:space="preserve"> (disposizione che individua quali sono gli obblighi che ricadono in capo alle pubbliche amministrazioni quando si trovino a stipulare, autorizzare o approvare contratti pubblici). </w:t>
      </w:r>
    </w:p>
    <w:p w:rsidR="00594A9E" w:rsidRPr="007D0C8A" w:rsidRDefault="00594A9E" w:rsidP="00BB2A3A">
      <w:pPr>
        <w:spacing w:after="0" w:line="360" w:lineRule="auto"/>
        <w:jc w:val="both"/>
        <w:rPr>
          <w:rFonts w:ascii="Times New Roman" w:hAnsi="Times New Roman" w:cs="Times New Roman"/>
          <w:sz w:val="24"/>
          <w:szCs w:val="24"/>
        </w:rPr>
      </w:pPr>
      <w:r w:rsidRPr="007D0C8A">
        <w:rPr>
          <w:rFonts w:ascii="Times New Roman" w:hAnsi="Times New Roman" w:cs="Times New Roman"/>
          <w:sz w:val="24"/>
          <w:szCs w:val="24"/>
        </w:rPr>
        <w:t>È stato al riguardo sostenuto che q</w:t>
      </w:r>
      <w:r w:rsidR="00BB2A3A">
        <w:rPr>
          <w:rFonts w:ascii="Times New Roman" w:hAnsi="Times New Roman" w:cs="Times New Roman"/>
          <w:sz w:val="24"/>
          <w:szCs w:val="24"/>
        </w:rPr>
        <w:t xml:space="preserve">uesta previsione normativa priverebbe di significato </w:t>
      </w:r>
      <w:r w:rsidRPr="007D0C8A">
        <w:rPr>
          <w:rFonts w:ascii="Times New Roman" w:hAnsi="Times New Roman" w:cs="Times New Roman"/>
          <w:sz w:val="24"/>
          <w:szCs w:val="24"/>
        </w:rPr>
        <w:t xml:space="preserve">un’interpretazione che affermi che il decorso del tempo comporta la perdita di efficacia dell’informativa </w:t>
      </w:r>
      <w:proofErr w:type="spellStart"/>
      <w:r w:rsidRPr="007D0C8A">
        <w:rPr>
          <w:rFonts w:ascii="Times New Roman" w:hAnsi="Times New Roman" w:cs="Times New Roman"/>
          <w:sz w:val="24"/>
          <w:szCs w:val="24"/>
        </w:rPr>
        <w:t>interdittiva</w:t>
      </w:r>
      <w:proofErr w:type="spellEnd"/>
      <w:r w:rsidRPr="007D0C8A">
        <w:rPr>
          <w:rFonts w:ascii="Times New Roman" w:hAnsi="Times New Roman" w:cs="Times New Roman"/>
          <w:sz w:val="24"/>
          <w:szCs w:val="24"/>
        </w:rPr>
        <w:t xml:space="preserve">, atteso che le amministrazioni non potrebbero comunque procedere alla stipula, autorizzazione o approvazione di contratti in mancanza del rilascio di una nuova </w:t>
      </w:r>
      <w:proofErr w:type="spellStart"/>
      <w:r w:rsidRPr="007D0C8A">
        <w:rPr>
          <w:rFonts w:ascii="Times New Roman" w:hAnsi="Times New Roman" w:cs="Times New Roman"/>
          <w:sz w:val="24"/>
          <w:szCs w:val="24"/>
        </w:rPr>
        <w:t>interdittiva</w:t>
      </w:r>
      <w:proofErr w:type="spellEnd"/>
      <w:r w:rsidRPr="007D0C8A">
        <w:rPr>
          <w:rFonts w:ascii="Times New Roman" w:hAnsi="Times New Roman" w:cs="Times New Roman"/>
          <w:sz w:val="24"/>
          <w:szCs w:val="24"/>
        </w:rPr>
        <w:t>.</w:t>
      </w:r>
    </w:p>
    <w:p w:rsidR="00BB2A3A" w:rsidRDefault="00BB2A3A" w:rsidP="00BB2A3A">
      <w:pPr>
        <w:spacing w:after="0" w:line="360" w:lineRule="auto"/>
        <w:jc w:val="both"/>
        <w:rPr>
          <w:rFonts w:ascii="Times New Roman" w:hAnsi="Times New Roman" w:cs="Times New Roman"/>
          <w:sz w:val="24"/>
          <w:szCs w:val="24"/>
        </w:rPr>
      </w:pPr>
    </w:p>
    <w:p w:rsidR="00594A9E" w:rsidRDefault="00594A9E" w:rsidP="00BB2A3A">
      <w:pPr>
        <w:spacing w:after="0" w:line="360" w:lineRule="auto"/>
        <w:jc w:val="both"/>
        <w:rPr>
          <w:rFonts w:ascii="Times New Roman" w:hAnsi="Times New Roman" w:cs="Times New Roman"/>
          <w:sz w:val="24"/>
          <w:szCs w:val="24"/>
        </w:rPr>
      </w:pPr>
      <w:r w:rsidRPr="007D0C8A">
        <w:rPr>
          <w:rFonts w:ascii="Times New Roman" w:hAnsi="Times New Roman" w:cs="Times New Roman"/>
          <w:sz w:val="24"/>
          <w:szCs w:val="24"/>
        </w:rPr>
        <w:t xml:space="preserve">Il secondo argomento è di carattere teleologico e si fonda sulla piena coerenza che sussiste fra la finalità preventiva e </w:t>
      </w:r>
      <w:r w:rsidRPr="00976100">
        <w:rPr>
          <w:rFonts w:ascii="Times New Roman" w:hAnsi="Times New Roman" w:cs="Times New Roman"/>
          <w:i/>
          <w:sz w:val="24"/>
          <w:szCs w:val="24"/>
        </w:rPr>
        <w:t xml:space="preserve">lato </w:t>
      </w:r>
      <w:proofErr w:type="spellStart"/>
      <w:r w:rsidRPr="00976100">
        <w:rPr>
          <w:rFonts w:ascii="Times New Roman" w:hAnsi="Times New Roman" w:cs="Times New Roman"/>
          <w:i/>
          <w:sz w:val="24"/>
          <w:szCs w:val="24"/>
        </w:rPr>
        <w:t>sensu</w:t>
      </w:r>
      <w:proofErr w:type="spellEnd"/>
      <w:r w:rsidRPr="007D0C8A">
        <w:rPr>
          <w:rFonts w:ascii="Times New Roman" w:hAnsi="Times New Roman" w:cs="Times New Roman"/>
          <w:sz w:val="24"/>
          <w:szCs w:val="24"/>
        </w:rPr>
        <w:t xml:space="preserve"> anticipatoria che deve essere riconosciuta alle informative antimafia di contenuto liberatorio e l’efficacia temporale tendenzialmente illimitata che può e deve essere riconosciuta alle informative </w:t>
      </w:r>
      <w:proofErr w:type="spellStart"/>
      <w:r w:rsidRPr="007D0C8A">
        <w:rPr>
          <w:rFonts w:ascii="Times New Roman" w:hAnsi="Times New Roman" w:cs="Times New Roman"/>
          <w:sz w:val="24"/>
          <w:szCs w:val="24"/>
        </w:rPr>
        <w:t>interdittive</w:t>
      </w:r>
      <w:proofErr w:type="spellEnd"/>
      <w:r w:rsidRPr="007D0C8A">
        <w:rPr>
          <w:rFonts w:ascii="Times New Roman" w:hAnsi="Times New Roman" w:cs="Times New Roman"/>
          <w:sz w:val="24"/>
          <w:szCs w:val="24"/>
        </w:rPr>
        <w:t>.  Si tratta di una finalità che, mirando a perseguire scopi di preminente interesse pubblico (quali quelli legati al contrasto ai tentativi di infiltrazione mafiosa negli appalti pubblici), non toller</w:t>
      </w:r>
      <w:r w:rsidR="00BB2A3A">
        <w:rPr>
          <w:rFonts w:ascii="Times New Roman" w:hAnsi="Times New Roman" w:cs="Times New Roman"/>
          <w:sz w:val="24"/>
          <w:szCs w:val="24"/>
        </w:rPr>
        <w:t>erebbe</w:t>
      </w:r>
      <w:r w:rsidRPr="007D0C8A">
        <w:rPr>
          <w:rFonts w:ascii="Times New Roman" w:hAnsi="Times New Roman" w:cs="Times New Roman"/>
          <w:sz w:val="24"/>
          <w:szCs w:val="24"/>
        </w:rPr>
        <w:t xml:space="preserve"> in via di principio l’imposizione di vincoli temporali di sorta. </w:t>
      </w:r>
    </w:p>
    <w:p w:rsidR="004F1679" w:rsidRDefault="00D65E2F" w:rsidP="00BB2A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Questo argomento a mio parere si scontra con il dato testuale della norma (che diversamente perderebbe di significato) </w:t>
      </w:r>
      <w:r w:rsidR="004F1679">
        <w:rPr>
          <w:rFonts w:ascii="Times New Roman" w:hAnsi="Times New Roman" w:cs="Times New Roman"/>
          <w:sz w:val="24"/>
          <w:szCs w:val="24"/>
        </w:rPr>
        <w:t xml:space="preserve">e rischia una cristallizzazione </w:t>
      </w:r>
      <w:r w:rsidR="004F1679" w:rsidRPr="00B57017">
        <w:rPr>
          <w:rFonts w:ascii="Times New Roman" w:hAnsi="Times New Roman" w:cs="Times New Roman"/>
          <w:i/>
          <w:sz w:val="24"/>
          <w:szCs w:val="24"/>
        </w:rPr>
        <w:t xml:space="preserve">in </w:t>
      </w:r>
      <w:proofErr w:type="spellStart"/>
      <w:r w:rsidR="004F1679" w:rsidRPr="00B57017">
        <w:rPr>
          <w:rFonts w:ascii="Times New Roman" w:hAnsi="Times New Roman" w:cs="Times New Roman"/>
          <w:i/>
          <w:sz w:val="24"/>
          <w:szCs w:val="24"/>
        </w:rPr>
        <w:t>aeternum</w:t>
      </w:r>
      <w:proofErr w:type="spellEnd"/>
      <w:r w:rsidR="004F1679">
        <w:rPr>
          <w:rFonts w:ascii="Times New Roman" w:hAnsi="Times New Roman" w:cs="Times New Roman"/>
          <w:sz w:val="24"/>
          <w:szCs w:val="24"/>
        </w:rPr>
        <w:t xml:space="preserve"> della valutazione della Prefettura, scollegata da elementi fattuali di attualità (che, a mio avviso, costituisce la “salvezza” dell’istituto nella logica di un ragionevole bilanciamento dei valori costituzionali in gioco</w:t>
      </w:r>
      <w:r w:rsidR="00B57017">
        <w:rPr>
          <w:rFonts w:ascii="Times New Roman" w:hAnsi="Times New Roman" w:cs="Times New Roman"/>
          <w:sz w:val="24"/>
          <w:szCs w:val="24"/>
        </w:rPr>
        <w:t>, pur nella prospettiva anticipatoria della difesa della legalità</w:t>
      </w:r>
      <w:r w:rsidR="004F1679">
        <w:rPr>
          <w:rFonts w:ascii="Times New Roman" w:hAnsi="Times New Roman" w:cs="Times New Roman"/>
          <w:sz w:val="24"/>
          <w:szCs w:val="24"/>
        </w:rPr>
        <w:t>).</w:t>
      </w:r>
    </w:p>
    <w:p w:rsidR="00BB2A3A" w:rsidRPr="007D0C8A" w:rsidRDefault="00BB2A3A" w:rsidP="00BB2A3A">
      <w:pPr>
        <w:spacing w:after="0" w:line="360" w:lineRule="auto"/>
        <w:jc w:val="both"/>
        <w:rPr>
          <w:rFonts w:ascii="Times New Roman" w:hAnsi="Times New Roman" w:cs="Times New Roman"/>
          <w:sz w:val="24"/>
          <w:szCs w:val="24"/>
        </w:rPr>
      </w:pPr>
    </w:p>
    <w:p w:rsidR="004F1679" w:rsidRDefault="00594A9E" w:rsidP="00BB2A3A">
      <w:pPr>
        <w:spacing w:after="0" w:line="360" w:lineRule="auto"/>
        <w:jc w:val="both"/>
        <w:rPr>
          <w:rFonts w:ascii="Times New Roman" w:hAnsi="Times New Roman" w:cs="Times New Roman"/>
          <w:sz w:val="24"/>
          <w:szCs w:val="24"/>
        </w:rPr>
      </w:pPr>
      <w:r w:rsidRPr="007D0C8A">
        <w:rPr>
          <w:rFonts w:ascii="Times New Roman" w:hAnsi="Times New Roman" w:cs="Times New Roman"/>
          <w:sz w:val="24"/>
          <w:szCs w:val="24"/>
        </w:rPr>
        <w:t xml:space="preserve">Il terzo è collegato al carattere di permanente significatività della rilevata sussistenza di </w:t>
      </w:r>
      <w:r w:rsidR="009D291A">
        <w:rPr>
          <w:rFonts w:ascii="Times New Roman" w:hAnsi="Times New Roman" w:cs="Times New Roman"/>
          <w:sz w:val="24"/>
          <w:szCs w:val="24"/>
        </w:rPr>
        <w:t xml:space="preserve">fatti idonei a rivelare </w:t>
      </w:r>
      <w:r w:rsidRPr="007D0C8A">
        <w:rPr>
          <w:rFonts w:ascii="Times New Roman" w:hAnsi="Times New Roman" w:cs="Times New Roman"/>
          <w:sz w:val="24"/>
          <w:szCs w:val="24"/>
        </w:rPr>
        <w:t xml:space="preserve">tentativi di infiltrazione malavitosa, fino al sopraggiungere di fatti positivi, che persuasivamente e fattivamente introducano elementi di inattendibilità della situazione rilevata in precedenza. </w:t>
      </w:r>
    </w:p>
    <w:p w:rsidR="00594A9E" w:rsidRDefault="00594A9E" w:rsidP="00BB2A3A">
      <w:pPr>
        <w:spacing w:after="0" w:line="360" w:lineRule="auto"/>
        <w:jc w:val="both"/>
        <w:rPr>
          <w:rFonts w:ascii="Times New Roman" w:hAnsi="Times New Roman" w:cs="Times New Roman"/>
          <w:sz w:val="24"/>
          <w:szCs w:val="24"/>
        </w:rPr>
      </w:pPr>
      <w:r w:rsidRPr="007D0C8A">
        <w:rPr>
          <w:rFonts w:ascii="Times New Roman" w:hAnsi="Times New Roman" w:cs="Times New Roman"/>
          <w:sz w:val="24"/>
          <w:szCs w:val="24"/>
        </w:rPr>
        <w:t>È stato al riguardo sostenuto che l’</w:t>
      </w:r>
      <w:proofErr w:type="spellStart"/>
      <w:r w:rsidRPr="007D0C8A">
        <w:rPr>
          <w:rFonts w:ascii="Times New Roman" w:hAnsi="Times New Roman" w:cs="Times New Roman"/>
          <w:sz w:val="24"/>
          <w:szCs w:val="24"/>
        </w:rPr>
        <w:t>interdittiva</w:t>
      </w:r>
      <w:proofErr w:type="spellEnd"/>
      <w:r w:rsidRPr="007D0C8A">
        <w:rPr>
          <w:rFonts w:ascii="Times New Roman" w:hAnsi="Times New Roman" w:cs="Times New Roman"/>
          <w:sz w:val="24"/>
          <w:szCs w:val="24"/>
        </w:rPr>
        <w:t xml:space="preserve"> antimafia può legittimamente fondarsi, oltre che su fatti recenti, anche su fatti pregressi e più risalenti nel tempo, laddove gli elementi a tal fine raccolti dal Prefetto siano comunque sintomatici di un condizionamento attuale dell’attività d’impresa</w:t>
      </w:r>
      <w:r w:rsidR="004F1679">
        <w:rPr>
          <w:rFonts w:ascii="Times New Roman" w:hAnsi="Times New Roman" w:cs="Times New Roman"/>
          <w:sz w:val="24"/>
          <w:szCs w:val="24"/>
        </w:rPr>
        <w:t xml:space="preserve"> </w:t>
      </w:r>
      <w:r w:rsidR="004F1679">
        <w:rPr>
          <w:rStyle w:val="Rimandonotaapidipagina"/>
          <w:rFonts w:ascii="Times New Roman" w:hAnsi="Times New Roman" w:cs="Times New Roman"/>
          <w:sz w:val="24"/>
          <w:szCs w:val="24"/>
        </w:rPr>
        <w:footnoteReference w:id="6"/>
      </w:r>
      <w:r w:rsidRPr="007D0C8A">
        <w:rPr>
          <w:rFonts w:ascii="Times New Roman" w:hAnsi="Times New Roman" w:cs="Times New Roman"/>
          <w:sz w:val="24"/>
          <w:szCs w:val="24"/>
        </w:rPr>
        <w:t xml:space="preserve">. </w:t>
      </w:r>
    </w:p>
    <w:p w:rsidR="00085085" w:rsidRDefault="00085085" w:rsidP="00085085">
      <w:pPr>
        <w:spacing w:after="0" w:line="360" w:lineRule="auto"/>
        <w:jc w:val="both"/>
        <w:rPr>
          <w:rFonts w:ascii="Times New Roman" w:hAnsi="Times New Roman" w:cs="Times New Roman"/>
          <w:sz w:val="24"/>
          <w:szCs w:val="24"/>
        </w:rPr>
      </w:pPr>
    </w:p>
    <w:p w:rsidR="00594A9E" w:rsidRPr="007D0C8A" w:rsidRDefault="004F1679" w:rsidP="00BB2A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00594A9E" w:rsidRPr="007D0C8A">
        <w:rPr>
          <w:rFonts w:ascii="Times New Roman" w:hAnsi="Times New Roman" w:cs="Times New Roman"/>
          <w:sz w:val="24"/>
          <w:szCs w:val="24"/>
        </w:rPr>
        <w:t xml:space="preserve">’orientamento minoritario </w:t>
      </w:r>
      <w:r>
        <w:rPr>
          <w:rFonts w:ascii="Times New Roman" w:hAnsi="Times New Roman" w:cs="Times New Roman"/>
          <w:sz w:val="24"/>
          <w:szCs w:val="24"/>
        </w:rPr>
        <w:t>sull’interpretazione de</w:t>
      </w:r>
      <w:r w:rsidR="00594A9E" w:rsidRPr="007D0C8A">
        <w:rPr>
          <w:rFonts w:ascii="Times New Roman" w:hAnsi="Times New Roman" w:cs="Times New Roman"/>
          <w:sz w:val="24"/>
          <w:szCs w:val="24"/>
        </w:rPr>
        <w:t xml:space="preserve">ll’art. 86, comma 2, </w:t>
      </w:r>
      <w:r>
        <w:rPr>
          <w:rFonts w:ascii="Times New Roman" w:hAnsi="Times New Roman" w:cs="Times New Roman"/>
          <w:sz w:val="24"/>
          <w:szCs w:val="24"/>
        </w:rPr>
        <w:t>fondandosi sul mero dato letterale, ha sostenuto</w:t>
      </w:r>
      <w:r w:rsidR="00594A9E" w:rsidRPr="007D0C8A">
        <w:rPr>
          <w:rFonts w:ascii="Times New Roman" w:hAnsi="Times New Roman" w:cs="Times New Roman"/>
          <w:sz w:val="24"/>
          <w:szCs w:val="24"/>
        </w:rPr>
        <w:t xml:space="preserve"> che tutte le informative antimafia (ivi comprese quelle </w:t>
      </w:r>
      <w:proofErr w:type="spellStart"/>
      <w:r w:rsidR="00594A9E" w:rsidRPr="007D0C8A">
        <w:rPr>
          <w:rFonts w:ascii="Times New Roman" w:hAnsi="Times New Roman" w:cs="Times New Roman"/>
          <w:sz w:val="24"/>
          <w:szCs w:val="24"/>
        </w:rPr>
        <w:t>interdittive</w:t>
      </w:r>
      <w:proofErr w:type="spellEnd"/>
      <w:r w:rsidR="00594A9E" w:rsidRPr="007D0C8A">
        <w:rPr>
          <w:rFonts w:ascii="Times New Roman" w:hAnsi="Times New Roman" w:cs="Times New Roman"/>
          <w:sz w:val="24"/>
          <w:szCs w:val="24"/>
        </w:rPr>
        <w:t xml:space="preserve">) perdono </w:t>
      </w:r>
      <w:r>
        <w:rPr>
          <w:rFonts w:ascii="Times New Roman" w:hAnsi="Times New Roman" w:cs="Times New Roman"/>
          <w:sz w:val="24"/>
          <w:szCs w:val="24"/>
        </w:rPr>
        <w:t>efficacia</w:t>
      </w:r>
      <w:r w:rsidR="00594A9E" w:rsidRPr="007D0C8A">
        <w:rPr>
          <w:rFonts w:ascii="Times New Roman" w:hAnsi="Times New Roman" w:cs="Times New Roman"/>
          <w:sz w:val="24"/>
          <w:szCs w:val="24"/>
        </w:rPr>
        <w:t xml:space="preserve"> decorso il termine annuale</w:t>
      </w:r>
      <w:r>
        <w:rPr>
          <w:rFonts w:ascii="Times New Roman" w:hAnsi="Times New Roman" w:cs="Times New Roman"/>
          <w:sz w:val="24"/>
          <w:szCs w:val="24"/>
        </w:rPr>
        <w:t xml:space="preserve"> </w:t>
      </w:r>
      <w:r>
        <w:rPr>
          <w:rStyle w:val="Rimandonotaapidipagina"/>
          <w:rFonts w:ascii="Times New Roman" w:hAnsi="Times New Roman" w:cs="Times New Roman"/>
          <w:sz w:val="24"/>
          <w:szCs w:val="24"/>
        </w:rPr>
        <w:footnoteReference w:id="7"/>
      </w:r>
      <w:r w:rsidR="00594A9E" w:rsidRPr="007D0C8A">
        <w:rPr>
          <w:rFonts w:ascii="Times New Roman" w:hAnsi="Times New Roman" w:cs="Times New Roman"/>
          <w:sz w:val="24"/>
          <w:szCs w:val="24"/>
        </w:rPr>
        <w:t xml:space="preserve">. </w:t>
      </w:r>
    </w:p>
    <w:p w:rsidR="004F1679" w:rsidRDefault="004F1679" w:rsidP="00BB2A3A">
      <w:pPr>
        <w:spacing w:after="0" w:line="360" w:lineRule="auto"/>
        <w:jc w:val="both"/>
        <w:rPr>
          <w:rFonts w:ascii="Times New Roman" w:hAnsi="Times New Roman" w:cs="Times New Roman"/>
          <w:sz w:val="24"/>
          <w:szCs w:val="24"/>
        </w:rPr>
      </w:pPr>
    </w:p>
    <w:p w:rsidR="00594A9E" w:rsidRPr="007D0C8A" w:rsidRDefault="00594A9E" w:rsidP="00BB2A3A">
      <w:pPr>
        <w:spacing w:after="0" w:line="360" w:lineRule="auto"/>
        <w:jc w:val="both"/>
        <w:rPr>
          <w:rFonts w:ascii="Times New Roman" w:hAnsi="Times New Roman" w:cs="Times New Roman"/>
          <w:sz w:val="24"/>
          <w:szCs w:val="24"/>
        </w:rPr>
      </w:pPr>
      <w:r w:rsidRPr="007D0C8A">
        <w:rPr>
          <w:rFonts w:ascii="Times New Roman" w:hAnsi="Times New Roman" w:cs="Times New Roman"/>
          <w:sz w:val="24"/>
          <w:szCs w:val="24"/>
        </w:rPr>
        <w:t>In</w:t>
      </w:r>
      <w:r w:rsidR="004F1679">
        <w:rPr>
          <w:rFonts w:ascii="Times New Roman" w:hAnsi="Times New Roman" w:cs="Times New Roman"/>
          <w:sz w:val="24"/>
          <w:szCs w:val="24"/>
        </w:rPr>
        <w:t>nanzi tutto</w:t>
      </w:r>
      <w:r w:rsidRPr="007D0C8A">
        <w:rPr>
          <w:rFonts w:ascii="Times New Roman" w:hAnsi="Times New Roman" w:cs="Times New Roman"/>
          <w:sz w:val="24"/>
          <w:szCs w:val="24"/>
        </w:rPr>
        <w:t>, i fautori della tesi minoritaria affermano che l’orientamento maggioritario introduce - in contrasto ad un ben noto canone ermeneutico, effettuando un’operazione interpretativa complessa - elementi di discrimine non emergenti dal chiaro ed univoco significato letterale del testo normativo.</w:t>
      </w:r>
    </w:p>
    <w:p w:rsidR="004F1679" w:rsidRDefault="004F1679" w:rsidP="00BB2A3A">
      <w:pPr>
        <w:spacing w:after="0" w:line="360" w:lineRule="auto"/>
        <w:jc w:val="both"/>
        <w:rPr>
          <w:rFonts w:ascii="Times New Roman" w:hAnsi="Times New Roman" w:cs="Times New Roman"/>
          <w:sz w:val="24"/>
          <w:szCs w:val="24"/>
        </w:rPr>
      </w:pPr>
    </w:p>
    <w:p w:rsidR="00594A9E" w:rsidRPr="007D0C8A" w:rsidRDefault="00594A9E" w:rsidP="00BB2A3A">
      <w:pPr>
        <w:spacing w:after="0" w:line="360" w:lineRule="auto"/>
        <w:jc w:val="both"/>
        <w:rPr>
          <w:rFonts w:ascii="Times New Roman" w:hAnsi="Times New Roman" w:cs="Times New Roman"/>
          <w:sz w:val="24"/>
          <w:szCs w:val="24"/>
        </w:rPr>
      </w:pPr>
      <w:r w:rsidRPr="007D0C8A">
        <w:rPr>
          <w:rFonts w:ascii="Times New Roman" w:hAnsi="Times New Roman" w:cs="Times New Roman"/>
          <w:sz w:val="24"/>
          <w:szCs w:val="24"/>
        </w:rPr>
        <w:t>In sec</w:t>
      </w:r>
      <w:r w:rsidR="004F1679">
        <w:rPr>
          <w:rFonts w:ascii="Times New Roman" w:hAnsi="Times New Roman" w:cs="Times New Roman"/>
          <w:sz w:val="24"/>
          <w:szCs w:val="24"/>
        </w:rPr>
        <w:t>ondo luogo</w:t>
      </w:r>
      <w:r w:rsidRPr="007D0C8A">
        <w:rPr>
          <w:rFonts w:ascii="Times New Roman" w:hAnsi="Times New Roman" w:cs="Times New Roman"/>
          <w:sz w:val="24"/>
          <w:szCs w:val="24"/>
        </w:rPr>
        <w:t xml:space="preserve"> viene evidenziato che in virtù del principio trasfuso nel brocardo </w:t>
      </w:r>
      <w:proofErr w:type="spellStart"/>
      <w:r w:rsidRPr="004F1679">
        <w:rPr>
          <w:rFonts w:ascii="Times New Roman" w:hAnsi="Times New Roman" w:cs="Times New Roman"/>
          <w:i/>
          <w:sz w:val="24"/>
          <w:szCs w:val="24"/>
        </w:rPr>
        <w:t>ubi</w:t>
      </w:r>
      <w:proofErr w:type="spellEnd"/>
      <w:r w:rsidRPr="004F1679">
        <w:rPr>
          <w:rFonts w:ascii="Times New Roman" w:hAnsi="Times New Roman" w:cs="Times New Roman"/>
          <w:i/>
          <w:sz w:val="24"/>
          <w:szCs w:val="24"/>
        </w:rPr>
        <w:t xml:space="preserve"> </w:t>
      </w:r>
      <w:proofErr w:type="spellStart"/>
      <w:r w:rsidRPr="004F1679">
        <w:rPr>
          <w:rFonts w:ascii="Times New Roman" w:hAnsi="Times New Roman" w:cs="Times New Roman"/>
          <w:i/>
          <w:sz w:val="24"/>
          <w:szCs w:val="24"/>
        </w:rPr>
        <w:t>lex</w:t>
      </w:r>
      <w:proofErr w:type="spellEnd"/>
      <w:r w:rsidRPr="004F1679">
        <w:rPr>
          <w:rFonts w:ascii="Times New Roman" w:hAnsi="Times New Roman" w:cs="Times New Roman"/>
          <w:i/>
          <w:sz w:val="24"/>
          <w:szCs w:val="24"/>
        </w:rPr>
        <w:t xml:space="preserve"> non </w:t>
      </w:r>
      <w:proofErr w:type="spellStart"/>
      <w:r w:rsidRPr="004F1679">
        <w:rPr>
          <w:rFonts w:ascii="Times New Roman" w:hAnsi="Times New Roman" w:cs="Times New Roman"/>
          <w:i/>
          <w:sz w:val="24"/>
          <w:szCs w:val="24"/>
        </w:rPr>
        <w:t>distinguit</w:t>
      </w:r>
      <w:proofErr w:type="spellEnd"/>
      <w:r w:rsidRPr="004F1679">
        <w:rPr>
          <w:rFonts w:ascii="Times New Roman" w:hAnsi="Times New Roman" w:cs="Times New Roman"/>
          <w:i/>
          <w:sz w:val="24"/>
          <w:szCs w:val="24"/>
        </w:rPr>
        <w:t xml:space="preserve"> </w:t>
      </w:r>
      <w:proofErr w:type="spellStart"/>
      <w:r w:rsidRPr="004F1679">
        <w:rPr>
          <w:rFonts w:ascii="Times New Roman" w:hAnsi="Times New Roman" w:cs="Times New Roman"/>
          <w:i/>
          <w:sz w:val="24"/>
          <w:szCs w:val="24"/>
        </w:rPr>
        <w:t>nec</w:t>
      </w:r>
      <w:proofErr w:type="spellEnd"/>
      <w:r w:rsidRPr="004F1679">
        <w:rPr>
          <w:rFonts w:ascii="Times New Roman" w:hAnsi="Times New Roman" w:cs="Times New Roman"/>
          <w:i/>
          <w:sz w:val="24"/>
          <w:szCs w:val="24"/>
        </w:rPr>
        <w:t xml:space="preserve"> nos distinguere </w:t>
      </w:r>
      <w:proofErr w:type="spellStart"/>
      <w:r w:rsidRPr="004F1679">
        <w:rPr>
          <w:rFonts w:ascii="Times New Roman" w:hAnsi="Times New Roman" w:cs="Times New Roman"/>
          <w:i/>
          <w:sz w:val="24"/>
          <w:szCs w:val="24"/>
        </w:rPr>
        <w:t>debemus</w:t>
      </w:r>
      <w:proofErr w:type="spellEnd"/>
      <w:r w:rsidRPr="007D0C8A">
        <w:rPr>
          <w:rFonts w:ascii="Times New Roman" w:hAnsi="Times New Roman" w:cs="Times New Roman"/>
          <w:sz w:val="24"/>
          <w:szCs w:val="24"/>
        </w:rPr>
        <w:t>, ove il legislatore non ha operato una distinzione di questo tipo (come risulta dalla disposizione normativa in esame) l’interprete non dovrebbe essere legittimato a farlo.</w:t>
      </w:r>
    </w:p>
    <w:p w:rsidR="004F1679" w:rsidRDefault="004F1679" w:rsidP="00BB2A3A">
      <w:pPr>
        <w:spacing w:after="0" w:line="360" w:lineRule="auto"/>
        <w:jc w:val="both"/>
        <w:rPr>
          <w:rFonts w:ascii="Times New Roman" w:hAnsi="Times New Roman" w:cs="Times New Roman"/>
          <w:sz w:val="24"/>
          <w:szCs w:val="24"/>
        </w:rPr>
      </w:pPr>
    </w:p>
    <w:p w:rsidR="00594A9E" w:rsidRPr="007D0C8A" w:rsidRDefault="00594A9E" w:rsidP="00BB2A3A">
      <w:pPr>
        <w:spacing w:after="0" w:line="360" w:lineRule="auto"/>
        <w:jc w:val="both"/>
        <w:rPr>
          <w:rFonts w:ascii="Times New Roman" w:hAnsi="Times New Roman" w:cs="Times New Roman"/>
          <w:sz w:val="24"/>
          <w:szCs w:val="24"/>
        </w:rPr>
      </w:pPr>
      <w:r w:rsidRPr="007D0C8A">
        <w:rPr>
          <w:rFonts w:ascii="Times New Roman" w:hAnsi="Times New Roman" w:cs="Times New Roman"/>
          <w:sz w:val="24"/>
          <w:szCs w:val="24"/>
        </w:rPr>
        <w:t>Inoltre, secondo la tesi minoritaria, l’opposta interpretazione appare rivolta ad “estendere”, in mancanza di idonei strumenti di garanzia, la “stretta” portata di “norme emergenziali” introduttive di “p</w:t>
      </w:r>
      <w:r w:rsidR="003C1904" w:rsidRPr="007D0C8A">
        <w:rPr>
          <w:rFonts w:ascii="Times New Roman" w:hAnsi="Times New Roman" w:cs="Times New Roman"/>
          <w:sz w:val="24"/>
          <w:szCs w:val="24"/>
        </w:rPr>
        <w:t>otestà ablatorie straordinarie”</w:t>
      </w:r>
      <w:r w:rsidRPr="007D0C8A">
        <w:rPr>
          <w:rFonts w:ascii="Times New Roman" w:hAnsi="Times New Roman" w:cs="Times New Roman"/>
          <w:sz w:val="24"/>
          <w:szCs w:val="24"/>
        </w:rPr>
        <w:t xml:space="preserve">. </w:t>
      </w:r>
    </w:p>
    <w:p w:rsidR="004F1679" w:rsidRDefault="004F1679" w:rsidP="00BB2A3A">
      <w:pPr>
        <w:spacing w:after="0" w:line="360" w:lineRule="auto"/>
        <w:jc w:val="both"/>
        <w:rPr>
          <w:rFonts w:ascii="Times New Roman" w:hAnsi="Times New Roman" w:cs="Times New Roman"/>
          <w:sz w:val="24"/>
          <w:szCs w:val="24"/>
        </w:rPr>
      </w:pPr>
    </w:p>
    <w:p w:rsidR="00594A9E" w:rsidRPr="007D0C8A" w:rsidRDefault="00594A9E" w:rsidP="00BB2A3A">
      <w:pPr>
        <w:spacing w:after="0" w:line="360" w:lineRule="auto"/>
        <w:jc w:val="both"/>
        <w:rPr>
          <w:rFonts w:ascii="Times New Roman" w:hAnsi="Times New Roman" w:cs="Times New Roman"/>
          <w:sz w:val="24"/>
          <w:szCs w:val="24"/>
        </w:rPr>
      </w:pPr>
      <w:r w:rsidRPr="007D0C8A">
        <w:rPr>
          <w:rFonts w:ascii="Times New Roman" w:hAnsi="Times New Roman" w:cs="Times New Roman"/>
          <w:sz w:val="24"/>
          <w:szCs w:val="24"/>
        </w:rPr>
        <w:t xml:space="preserve">Infine, i fautori della tesi minoritaria sostengono che, anche a condividere l’orientamento che riconosce una sorta di valore indiziante agli elementi posti a fondamento della precedente informativa </w:t>
      </w:r>
      <w:proofErr w:type="spellStart"/>
      <w:r w:rsidRPr="007D0C8A">
        <w:rPr>
          <w:rFonts w:ascii="Times New Roman" w:hAnsi="Times New Roman" w:cs="Times New Roman"/>
          <w:sz w:val="24"/>
          <w:szCs w:val="24"/>
        </w:rPr>
        <w:t>interdittiva</w:t>
      </w:r>
      <w:proofErr w:type="spellEnd"/>
      <w:r w:rsidRPr="007D0C8A">
        <w:rPr>
          <w:rFonts w:ascii="Times New Roman" w:hAnsi="Times New Roman" w:cs="Times New Roman"/>
          <w:sz w:val="24"/>
          <w:szCs w:val="24"/>
        </w:rPr>
        <w:t>, appare necessario comprendere esattamente su chi gravi l’onere della prova in contrario. In particolare, anche laddove la Prefettura abbia del tutto persuasivamente e motivatamente adottato la prima informativa di carattere preclusivo, occorre</w:t>
      </w:r>
      <w:r w:rsidR="00085085">
        <w:rPr>
          <w:rFonts w:ascii="Times New Roman" w:hAnsi="Times New Roman" w:cs="Times New Roman"/>
          <w:sz w:val="24"/>
          <w:szCs w:val="24"/>
        </w:rPr>
        <w:t>rebbe</w:t>
      </w:r>
      <w:r w:rsidRPr="007D0C8A">
        <w:rPr>
          <w:rFonts w:ascii="Times New Roman" w:hAnsi="Times New Roman" w:cs="Times New Roman"/>
          <w:sz w:val="24"/>
          <w:szCs w:val="24"/>
        </w:rPr>
        <w:t xml:space="preserve"> in questo caso verificare se gravi sulla Prefettura l’onere di volta in volta di riverificare - se del caso su iniziativa della parte privata - tutti gli elementi potenzialmente idonei a giungere ad una soluzione di segno diverso, oppure se gravi sulla parte privata l’onere di provare  l’esistenza di elementi nuovi e diversi che evidenzino il venir meno della situazione di pericolo.</w:t>
      </w:r>
    </w:p>
    <w:p w:rsidR="00A32DF5" w:rsidRDefault="00A32DF5" w:rsidP="00BB2A3A">
      <w:pPr>
        <w:spacing w:after="0" w:line="360" w:lineRule="auto"/>
        <w:jc w:val="both"/>
        <w:rPr>
          <w:rFonts w:ascii="Times New Roman" w:hAnsi="Times New Roman" w:cs="Times New Roman"/>
          <w:sz w:val="24"/>
          <w:szCs w:val="24"/>
        </w:rPr>
      </w:pPr>
    </w:p>
    <w:p w:rsidR="00FA361C" w:rsidRDefault="00B57017" w:rsidP="00BB2A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questo quadro interpretativo </w:t>
      </w:r>
      <w:r w:rsidR="00085085">
        <w:rPr>
          <w:rFonts w:ascii="Times New Roman" w:hAnsi="Times New Roman" w:cs="Times New Roman"/>
          <w:sz w:val="24"/>
          <w:szCs w:val="24"/>
        </w:rPr>
        <w:t>è intervenuta</w:t>
      </w:r>
      <w:r>
        <w:rPr>
          <w:rFonts w:ascii="Times New Roman" w:hAnsi="Times New Roman" w:cs="Times New Roman"/>
          <w:sz w:val="24"/>
          <w:szCs w:val="24"/>
        </w:rPr>
        <w:t xml:space="preserve"> la sentenza della Corte Costituzionale n. 57 del </w:t>
      </w:r>
      <w:r w:rsidR="00FA361C">
        <w:rPr>
          <w:rFonts w:ascii="Times New Roman" w:hAnsi="Times New Roman" w:cs="Times New Roman"/>
          <w:sz w:val="24"/>
          <w:szCs w:val="24"/>
        </w:rPr>
        <w:t xml:space="preserve">26 marzo 2020 che, pur non occupandosi in via diretta dell’art. 86 comma 2 del Codice antimafia (sottoposti al giudizio della Corte erano </w:t>
      </w:r>
      <w:r w:rsidR="00085085">
        <w:rPr>
          <w:rFonts w:ascii="Times New Roman" w:hAnsi="Times New Roman" w:cs="Times New Roman"/>
          <w:sz w:val="24"/>
          <w:szCs w:val="24"/>
        </w:rPr>
        <w:t xml:space="preserve">infatti </w:t>
      </w:r>
      <w:r w:rsidR="00FA361C">
        <w:rPr>
          <w:rFonts w:ascii="Times New Roman" w:hAnsi="Times New Roman" w:cs="Times New Roman"/>
          <w:sz w:val="24"/>
          <w:szCs w:val="24"/>
        </w:rPr>
        <w:t xml:space="preserve">gli artt. 89 bis e 92 commi 3 e 4) </w:t>
      </w:r>
      <w:r w:rsidR="00085085">
        <w:rPr>
          <w:rFonts w:ascii="Times New Roman" w:hAnsi="Times New Roman" w:cs="Times New Roman"/>
          <w:sz w:val="24"/>
          <w:szCs w:val="24"/>
        </w:rPr>
        <w:t>ha fornito</w:t>
      </w:r>
      <w:r w:rsidR="00FA361C">
        <w:rPr>
          <w:rFonts w:ascii="Times New Roman" w:hAnsi="Times New Roman" w:cs="Times New Roman"/>
          <w:sz w:val="24"/>
          <w:szCs w:val="24"/>
        </w:rPr>
        <w:t xml:space="preserve"> una chiave ermeneutica fondamentale anche in relazione al tema della validità dell’informativa </w:t>
      </w:r>
      <w:proofErr w:type="spellStart"/>
      <w:r w:rsidR="00FA361C">
        <w:rPr>
          <w:rFonts w:ascii="Times New Roman" w:hAnsi="Times New Roman" w:cs="Times New Roman"/>
          <w:sz w:val="24"/>
          <w:szCs w:val="24"/>
        </w:rPr>
        <w:t>interdittiva</w:t>
      </w:r>
      <w:proofErr w:type="spellEnd"/>
      <w:r w:rsidR="00FA361C">
        <w:rPr>
          <w:rFonts w:ascii="Times New Roman" w:hAnsi="Times New Roman" w:cs="Times New Roman"/>
          <w:sz w:val="24"/>
          <w:szCs w:val="24"/>
        </w:rPr>
        <w:t xml:space="preserve"> e della sua (possibile o non possibile) ultrattività. </w:t>
      </w:r>
    </w:p>
    <w:p w:rsidR="00B57017" w:rsidRPr="007D0C8A" w:rsidRDefault="00FA361C" w:rsidP="00BB2A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3C1904" w:rsidRPr="007D0C8A" w:rsidRDefault="003C1904" w:rsidP="00BB2A3A">
      <w:pPr>
        <w:spacing w:after="0" w:line="360" w:lineRule="auto"/>
        <w:jc w:val="both"/>
        <w:rPr>
          <w:rFonts w:ascii="Times New Roman" w:hAnsi="Times New Roman" w:cs="Times New Roman"/>
          <w:sz w:val="24"/>
          <w:szCs w:val="24"/>
        </w:rPr>
      </w:pPr>
      <w:r w:rsidRPr="007D0C8A">
        <w:rPr>
          <w:rFonts w:ascii="Times New Roman" w:hAnsi="Times New Roman" w:cs="Times New Roman"/>
          <w:sz w:val="24"/>
          <w:szCs w:val="24"/>
        </w:rPr>
        <w:t xml:space="preserve">La sentenza della Corte </w:t>
      </w:r>
      <w:proofErr w:type="spellStart"/>
      <w:r w:rsidRPr="007D0C8A">
        <w:rPr>
          <w:rFonts w:ascii="Times New Roman" w:hAnsi="Times New Roman" w:cs="Times New Roman"/>
          <w:sz w:val="24"/>
          <w:szCs w:val="24"/>
        </w:rPr>
        <w:t>Cost</w:t>
      </w:r>
      <w:proofErr w:type="spellEnd"/>
      <w:r w:rsidRPr="007D0C8A">
        <w:rPr>
          <w:rFonts w:ascii="Times New Roman" w:hAnsi="Times New Roman" w:cs="Times New Roman"/>
          <w:sz w:val="24"/>
          <w:szCs w:val="24"/>
        </w:rPr>
        <w:t>. n. 57/2020 salva la legittimità costituzionale del sistema proprio in ragione del limite temporale di durata</w:t>
      </w:r>
      <w:r w:rsidR="00FA361C">
        <w:rPr>
          <w:rFonts w:ascii="Times New Roman" w:hAnsi="Times New Roman" w:cs="Times New Roman"/>
          <w:sz w:val="24"/>
          <w:szCs w:val="24"/>
        </w:rPr>
        <w:t xml:space="preserve"> delle </w:t>
      </w:r>
      <w:r w:rsidR="004B39D4">
        <w:rPr>
          <w:rFonts w:ascii="Times New Roman" w:hAnsi="Times New Roman" w:cs="Times New Roman"/>
          <w:sz w:val="24"/>
          <w:szCs w:val="24"/>
        </w:rPr>
        <w:t xml:space="preserve">informazioni </w:t>
      </w:r>
      <w:proofErr w:type="spellStart"/>
      <w:r w:rsidR="00FA361C">
        <w:rPr>
          <w:rFonts w:ascii="Times New Roman" w:hAnsi="Times New Roman" w:cs="Times New Roman"/>
          <w:sz w:val="24"/>
          <w:szCs w:val="24"/>
        </w:rPr>
        <w:t>interdittive</w:t>
      </w:r>
      <w:proofErr w:type="spellEnd"/>
      <w:r w:rsidRPr="007D0C8A">
        <w:rPr>
          <w:rFonts w:ascii="Times New Roman" w:hAnsi="Times New Roman" w:cs="Times New Roman"/>
          <w:sz w:val="24"/>
          <w:szCs w:val="24"/>
        </w:rPr>
        <w:t>. La Corte afferma “</w:t>
      </w:r>
      <w:r w:rsidRPr="007D0C8A">
        <w:rPr>
          <w:rFonts w:ascii="Times New Roman" w:hAnsi="Times New Roman" w:cs="Times New Roman"/>
          <w:i/>
          <w:sz w:val="24"/>
          <w:szCs w:val="24"/>
        </w:rPr>
        <w:t xml:space="preserve">…Quanto al profilo della ragionevolezza, la risposta amministrativa, non si può ritenere sproporzionata rispetto ai valori in gioco, la cui tutela impone di colpire in anticipo quel fenomeno mafioso, sulla cui gravità e persistenza - malgrado il costante e talvolta eroico impegno delle Forze dell'ordine e della magistratura penale - non è necessario soffermarsi ulteriormente. In questa valutazione complessiva dell'istituto un ruolo particolarmente rilevante assume il carattere provvisorio della misura. È questo il senso della disposizione dell'art. 86, comma 2, del </w:t>
      </w:r>
      <w:proofErr w:type="spellStart"/>
      <w:r w:rsidRPr="007D0C8A">
        <w:rPr>
          <w:rFonts w:ascii="Times New Roman" w:hAnsi="Times New Roman" w:cs="Times New Roman"/>
          <w:i/>
          <w:sz w:val="24"/>
          <w:szCs w:val="24"/>
        </w:rPr>
        <w:t>D.Lgs.</w:t>
      </w:r>
      <w:proofErr w:type="spellEnd"/>
      <w:r w:rsidRPr="007D0C8A">
        <w:rPr>
          <w:rFonts w:ascii="Times New Roman" w:hAnsi="Times New Roman" w:cs="Times New Roman"/>
          <w:i/>
          <w:sz w:val="24"/>
          <w:szCs w:val="24"/>
        </w:rPr>
        <w:t xml:space="preserve"> n. 159 del 2011, secondo il quale l'informativa antimafia ha una validità limitata di dodici mesi, </w:t>
      </w:r>
      <w:r w:rsidRPr="00A85B49">
        <w:rPr>
          <w:rFonts w:ascii="Times New Roman" w:hAnsi="Times New Roman" w:cs="Times New Roman"/>
          <w:i/>
          <w:sz w:val="24"/>
          <w:szCs w:val="24"/>
        </w:rPr>
        <w:t>cosicché alla scadenza del termine occorre procedere alla verifica della persistenza o meno delle circostanze poste a fondamento dell'</w:t>
      </w:r>
      <w:proofErr w:type="spellStart"/>
      <w:r w:rsidRPr="00A85B49">
        <w:rPr>
          <w:rFonts w:ascii="Times New Roman" w:hAnsi="Times New Roman" w:cs="Times New Roman"/>
          <w:i/>
          <w:sz w:val="24"/>
          <w:szCs w:val="24"/>
        </w:rPr>
        <w:t>interdittiva</w:t>
      </w:r>
      <w:proofErr w:type="spellEnd"/>
      <w:r w:rsidRPr="00A85B49">
        <w:rPr>
          <w:rFonts w:ascii="Times New Roman" w:hAnsi="Times New Roman" w:cs="Times New Roman"/>
          <w:i/>
          <w:sz w:val="24"/>
          <w:szCs w:val="24"/>
        </w:rPr>
        <w:t>,</w:t>
      </w:r>
      <w:r w:rsidRPr="007D0C8A">
        <w:rPr>
          <w:rFonts w:ascii="Times New Roman" w:hAnsi="Times New Roman" w:cs="Times New Roman"/>
          <w:i/>
          <w:sz w:val="24"/>
          <w:szCs w:val="24"/>
        </w:rPr>
        <w:t xml:space="preserve"> con l'effetto, in caso di conclusione positiva, della </w:t>
      </w:r>
      <w:proofErr w:type="spellStart"/>
      <w:r w:rsidRPr="007D0C8A">
        <w:rPr>
          <w:rFonts w:ascii="Times New Roman" w:hAnsi="Times New Roman" w:cs="Times New Roman"/>
          <w:i/>
          <w:sz w:val="24"/>
          <w:szCs w:val="24"/>
        </w:rPr>
        <w:t>reiscrizione</w:t>
      </w:r>
      <w:proofErr w:type="spellEnd"/>
      <w:r w:rsidRPr="007D0C8A">
        <w:rPr>
          <w:rFonts w:ascii="Times New Roman" w:hAnsi="Times New Roman" w:cs="Times New Roman"/>
          <w:i/>
          <w:sz w:val="24"/>
          <w:szCs w:val="24"/>
        </w:rPr>
        <w:t xml:space="preserve"> nell'albo delle imprese artigiane, nella specie, e in generale del recupero dell'impresa al mercato. E va sottolineata al riguardo la necessità di un'applicazione puntuale e sostanziale della norma, per scongiurare il rischio della persistenza di una misura non più giustificata e quindi di un danno realmente irreversibile</w:t>
      </w:r>
      <w:r w:rsidRPr="007D0C8A">
        <w:rPr>
          <w:rFonts w:ascii="Times New Roman" w:hAnsi="Times New Roman" w:cs="Times New Roman"/>
          <w:sz w:val="24"/>
          <w:szCs w:val="24"/>
        </w:rPr>
        <w:t>".</w:t>
      </w:r>
    </w:p>
    <w:p w:rsidR="003C1904" w:rsidRPr="007D0C8A" w:rsidRDefault="003C1904" w:rsidP="00BB2A3A">
      <w:pPr>
        <w:spacing w:after="0" w:line="360" w:lineRule="auto"/>
        <w:jc w:val="both"/>
        <w:rPr>
          <w:rFonts w:ascii="Times New Roman" w:hAnsi="Times New Roman" w:cs="Times New Roman"/>
          <w:sz w:val="24"/>
          <w:szCs w:val="24"/>
        </w:rPr>
      </w:pPr>
    </w:p>
    <w:p w:rsidR="00A32DF5" w:rsidRDefault="00A32DF5" w:rsidP="00BB2A3A">
      <w:pPr>
        <w:spacing w:after="0" w:line="360" w:lineRule="auto"/>
        <w:jc w:val="both"/>
        <w:rPr>
          <w:rFonts w:ascii="Times New Roman" w:hAnsi="Times New Roman" w:cs="Times New Roman"/>
          <w:sz w:val="24"/>
          <w:szCs w:val="24"/>
        </w:rPr>
      </w:pPr>
      <w:r w:rsidRPr="007D0C8A">
        <w:rPr>
          <w:rFonts w:ascii="Times New Roman" w:hAnsi="Times New Roman" w:cs="Times New Roman"/>
          <w:sz w:val="24"/>
          <w:szCs w:val="24"/>
        </w:rPr>
        <w:t xml:space="preserve">A seguito della sentenza della </w:t>
      </w:r>
      <w:r w:rsidR="00594A9E" w:rsidRPr="007D0C8A">
        <w:rPr>
          <w:rFonts w:ascii="Times New Roman" w:hAnsi="Times New Roman" w:cs="Times New Roman"/>
          <w:sz w:val="24"/>
          <w:szCs w:val="24"/>
        </w:rPr>
        <w:t>Corte Costituzionale</w:t>
      </w:r>
      <w:r w:rsidRPr="007D0C8A">
        <w:rPr>
          <w:rFonts w:ascii="Times New Roman" w:hAnsi="Times New Roman" w:cs="Times New Roman"/>
          <w:sz w:val="24"/>
          <w:szCs w:val="24"/>
        </w:rPr>
        <w:t xml:space="preserve"> n. 57/2020 è sembrato che la tesi minoritaria potesse riprendere spazio e vigore</w:t>
      </w:r>
      <w:r w:rsidR="00594A9E" w:rsidRPr="007D0C8A">
        <w:rPr>
          <w:rFonts w:ascii="Times New Roman" w:hAnsi="Times New Roman" w:cs="Times New Roman"/>
          <w:sz w:val="24"/>
          <w:szCs w:val="24"/>
        </w:rPr>
        <w:t>,</w:t>
      </w:r>
      <w:r w:rsidRPr="007D0C8A">
        <w:rPr>
          <w:rFonts w:ascii="Times New Roman" w:hAnsi="Times New Roman" w:cs="Times New Roman"/>
          <w:sz w:val="24"/>
          <w:szCs w:val="24"/>
        </w:rPr>
        <w:t xml:space="preserve"> sostenendosi che </w:t>
      </w:r>
      <w:r w:rsidR="00A85B49" w:rsidRPr="00A85B49">
        <w:rPr>
          <w:rFonts w:ascii="Times New Roman" w:hAnsi="Times New Roman" w:cs="Times New Roman"/>
          <w:sz w:val="24"/>
          <w:szCs w:val="24"/>
        </w:rPr>
        <w:t xml:space="preserve">la scadenza del termine di validità </w:t>
      </w:r>
      <w:r w:rsidR="00A85B49">
        <w:rPr>
          <w:rFonts w:ascii="Times New Roman" w:hAnsi="Times New Roman" w:cs="Times New Roman"/>
          <w:sz w:val="24"/>
          <w:szCs w:val="24"/>
        </w:rPr>
        <w:t>d</w:t>
      </w:r>
      <w:r w:rsidR="00A85B49" w:rsidRPr="00A85B49">
        <w:rPr>
          <w:rFonts w:ascii="Times New Roman" w:hAnsi="Times New Roman" w:cs="Times New Roman"/>
          <w:sz w:val="24"/>
          <w:szCs w:val="24"/>
        </w:rPr>
        <w:t>etermina</w:t>
      </w:r>
      <w:r w:rsidR="00A85B49">
        <w:rPr>
          <w:rFonts w:ascii="Times New Roman" w:hAnsi="Times New Roman" w:cs="Times New Roman"/>
          <w:sz w:val="24"/>
          <w:szCs w:val="24"/>
        </w:rPr>
        <w:t>sse</w:t>
      </w:r>
      <w:r w:rsidR="00A85B49" w:rsidRPr="00A85B49">
        <w:rPr>
          <w:rFonts w:ascii="Times New Roman" w:hAnsi="Times New Roman" w:cs="Times New Roman"/>
          <w:sz w:val="24"/>
          <w:szCs w:val="24"/>
        </w:rPr>
        <w:t xml:space="preserve"> </w:t>
      </w:r>
      <w:r w:rsidR="00A85B49" w:rsidRPr="004B39D4">
        <w:rPr>
          <w:rFonts w:ascii="Times New Roman" w:hAnsi="Times New Roman" w:cs="Times New Roman"/>
          <w:i/>
          <w:sz w:val="24"/>
          <w:szCs w:val="24"/>
        </w:rPr>
        <w:t>ipso iure</w:t>
      </w:r>
      <w:r w:rsidR="00A85B49" w:rsidRPr="00A85B49">
        <w:rPr>
          <w:rFonts w:ascii="Times New Roman" w:hAnsi="Times New Roman" w:cs="Times New Roman"/>
          <w:sz w:val="24"/>
          <w:szCs w:val="24"/>
        </w:rPr>
        <w:t xml:space="preserve"> l’inefficacia del provvedimento </w:t>
      </w:r>
      <w:proofErr w:type="spellStart"/>
      <w:r w:rsidR="00A85B49" w:rsidRPr="00A85B49">
        <w:rPr>
          <w:rFonts w:ascii="Times New Roman" w:hAnsi="Times New Roman" w:cs="Times New Roman"/>
          <w:sz w:val="24"/>
          <w:szCs w:val="24"/>
        </w:rPr>
        <w:t>interditti</w:t>
      </w:r>
      <w:r w:rsidR="00A85B49">
        <w:rPr>
          <w:rFonts w:ascii="Times New Roman" w:hAnsi="Times New Roman" w:cs="Times New Roman"/>
          <w:sz w:val="24"/>
          <w:szCs w:val="24"/>
        </w:rPr>
        <w:t>vo</w:t>
      </w:r>
      <w:proofErr w:type="spellEnd"/>
      <w:r w:rsidR="00A85B49">
        <w:rPr>
          <w:rFonts w:ascii="Times New Roman" w:hAnsi="Times New Roman" w:cs="Times New Roman"/>
          <w:sz w:val="24"/>
          <w:szCs w:val="24"/>
        </w:rPr>
        <w:t>.</w:t>
      </w:r>
    </w:p>
    <w:p w:rsidR="00A85B49" w:rsidRPr="007D0C8A" w:rsidRDefault="00A85B49" w:rsidP="00BB2A3A">
      <w:pPr>
        <w:spacing w:after="0" w:line="360" w:lineRule="auto"/>
        <w:jc w:val="both"/>
        <w:rPr>
          <w:rFonts w:ascii="Times New Roman" w:hAnsi="Times New Roman" w:cs="Times New Roman"/>
          <w:sz w:val="24"/>
          <w:szCs w:val="24"/>
        </w:rPr>
      </w:pPr>
    </w:p>
    <w:p w:rsidR="00BC1EC6" w:rsidRPr="007D0C8A" w:rsidRDefault="00BC1EC6" w:rsidP="00BB2A3A">
      <w:pPr>
        <w:spacing w:after="0" w:line="360" w:lineRule="auto"/>
        <w:jc w:val="both"/>
        <w:rPr>
          <w:rFonts w:ascii="Times New Roman" w:hAnsi="Times New Roman" w:cs="Times New Roman"/>
          <w:sz w:val="24"/>
          <w:szCs w:val="24"/>
        </w:rPr>
      </w:pPr>
      <w:r w:rsidRPr="007D0C8A">
        <w:rPr>
          <w:rFonts w:ascii="Times New Roman" w:hAnsi="Times New Roman" w:cs="Times New Roman"/>
          <w:sz w:val="24"/>
          <w:szCs w:val="24"/>
        </w:rPr>
        <w:t>In realtà la tesi maggioritaria è stata subito riaffermata e rafforzata proprio alla luce della sentenza della Corte.</w:t>
      </w:r>
    </w:p>
    <w:p w:rsidR="00BC1EC6" w:rsidRPr="007D0C8A" w:rsidRDefault="00BC1EC6" w:rsidP="00BB2A3A">
      <w:pPr>
        <w:spacing w:after="0" w:line="360" w:lineRule="auto"/>
        <w:jc w:val="both"/>
        <w:rPr>
          <w:rFonts w:ascii="Times New Roman" w:hAnsi="Times New Roman" w:cs="Times New Roman"/>
          <w:sz w:val="24"/>
          <w:szCs w:val="24"/>
        </w:rPr>
      </w:pPr>
    </w:p>
    <w:p w:rsidR="00D2694C" w:rsidRPr="007D0C8A" w:rsidRDefault="00BC1EC6" w:rsidP="00BB2A3A">
      <w:pPr>
        <w:spacing w:after="0" w:line="360" w:lineRule="auto"/>
        <w:jc w:val="both"/>
        <w:rPr>
          <w:rFonts w:ascii="Times New Roman" w:hAnsi="Times New Roman" w:cs="Times New Roman"/>
          <w:sz w:val="24"/>
          <w:szCs w:val="24"/>
        </w:rPr>
      </w:pPr>
      <w:r w:rsidRPr="007D0C8A">
        <w:rPr>
          <w:rFonts w:ascii="Times New Roman" w:hAnsi="Times New Roman" w:cs="Times New Roman"/>
          <w:sz w:val="24"/>
          <w:szCs w:val="24"/>
        </w:rPr>
        <w:t>N</w:t>
      </w:r>
      <w:r w:rsidR="008C5273" w:rsidRPr="007D0C8A">
        <w:rPr>
          <w:rFonts w:ascii="Times New Roman" w:hAnsi="Times New Roman" w:cs="Times New Roman"/>
          <w:sz w:val="24"/>
          <w:szCs w:val="24"/>
        </w:rPr>
        <w:t>on si può</w:t>
      </w:r>
      <w:r w:rsidR="004B39D4">
        <w:rPr>
          <w:rFonts w:ascii="Times New Roman" w:hAnsi="Times New Roman" w:cs="Times New Roman"/>
          <w:sz w:val="24"/>
          <w:szCs w:val="24"/>
        </w:rPr>
        <w:t xml:space="preserve"> infatti</w:t>
      </w:r>
      <w:r w:rsidR="008C5273" w:rsidRPr="007D0C8A">
        <w:rPr>
          <w:rFonts w:ascii="Times New Roman" w:hAnsi="Times New Roman" w:cs="Times New Roman"/>
          <w:sz w:val="24"/>
          <w:szCs w:val="24"/>
        </w:rPr>
        <w:t xml:space="preserve"> affermare che il decorso del tempo faccia venir meno gli effetti della </w:t>
      </w:r>
      <w:proofErr w:type="spellStart"/>
      <w:r w:rsidR="008C5273" w:rsidRPr="007D0C8A">
        <w:rPr>
          <w:rFonts w:ascii="Times New Roman" w:hAnsi="Times New Roman" w:cs="Times New Roman"/>
          <w:sz w:val="24"/>
          <w:szCs w:val="24"/>
        </w:rPr>
        <w:t>interdittiva</w:t>
      </w:r>
      <w:proofErr w:type="spellEnd"/>
      <w:r w:rsidR="008C5273" w:rsidRPr="007D0C8A">
        <w:rPr>
          <w:rFonts w:ascii="Times New Roman" w:hAnsi="Times New Roman" w:cs="Times New Roman"/>
          <w:sz w:val="24"/>
          <w:szCs w:val="24"/>
        </w:rPr>
        <w:t>.</w:t>
      </w:r>
    </w:p>
    <w:p w:rsidR="008C5273" w:rsidRPr="007D0C8A" w:rsidRDefault="008C5273" w:rsidP="00BB2A3A">
      <w:pPr>
        <w:spacing w:after="0" w:line="360" w:lineRule="auto"/>
        <w:jc w:val="both"/>
        <w:rPr>
          <w:rFonts w:ascii="Times New Roman" w:hAnsi="Times New Roman" w:cs="Times New Roman"/>
          <w:sz w:val="24"/>
          <w:szCs w:val="24"/>
        </w:rPr>
      </w:pPr>
      <w:r w:rsidRPr="007D0C8A">
        <w:rPr>
          <w:rFonts w:ascii="Times New Roman" w:hAnsi="Times New Roman" w:cs="Times New Roman"/>
          <w:sz w:val="24"/>
          <w:szCs w:val="24"/>
        </w:rPr>
        <w:t>Piuttosto, stante il necessario e presupposto accertamento di fatto che legittima l’assunzione dell’</w:t>
      </w:r>
      <w:proofErr w:type="spellStart"/>
      <w:r w:rsidRPr="007D0C8A">
        <w:rPr>
          <w:rFonts w:ascii="Times New Roman" w:hAnsi="Times New Roman" w:cs="Times New Roman"/>
          <w:sz w:val="24"/>
          <w:szCs w:val="24"/>
        </w:rPr>
        <w:t>interdittiva</w:t>
      </w:r>
      <w:proofErr w:type="spellEnd"/>
      <w:r w:rsidRPr="007D0C8A">
        <w:rPr>
          <w:rFonts w:ascii="Times New Roman" w:hAnsi="Times New Roman" w:cs="Times New Roman"/>
          <w:sz w:val="24"/>
          <w:szCs w:val="24"/>
        </w:rPr>
        <w:t>, il decorso del tempo</w:t>
      </w:r>
      <w:r w:rsidR="00E7408E" w:rsidRPr="007D0C8A">
        <w:rPr>
          <w:rFonts w:ascii="Times New Roman" w:hAnsi="Times New Roman" w:cs="Times New Roman"/>
          <w:sz w:val="24"/>
          <w:szCs w:val="24"/>
        </w:rPr>
        <w:t xml:space="preserve"> </w:t>
      </w:r>
      <w:r w:rsidR="00E41A15" w:rsidRPr="007D0C8A">
        <w:rPr>
          <w:rFonts w:ascii="Times New Roman" w:hAnsi="Times New Roman" w:cs="Times New Roman"/>
          <w:sz w:val="24"/>
          <w:szCs w:val="24"/>
        </w:rPr>
        <w:t>impone la verifica della persistenza (ovvero della persistente attualità de)</w:t>
      </w:r>
      <w:r w:rsidR="00E7408E" w:rsidRPr="007D0C8A">
        <w:rPr>
          <w:rFonts w:ascii="Times New Roman" w:hAnsi="Times New Roman" w:cs="Times New Roman"/>
          <w:sz w:val="24"/>
          <w:szCs w:val="24"/>
        </w:rPr>
        <w:t xml:space="preserve"> il presupposto dell’accertamento di fatto.</w:t>
      </w:r>
    </w:p>
    <w:p w:rsidR="00A85B49" w:rsidRDefault="00BC1EC6" w:rsidP="00BB2A3A">
      <w:pPr>
        <w:spacing w:after="0" w:line="360" w:lineRule="auto"/>
        <w:jc w:val="both"/>
        <w:rPr>
          <w:rFonts w:ascii="Times New Roman" w:hAnsi="Times New Roman" w:cs="Times New Roman"/>
          <w:sz w:val="24"/>
          <w:szCs w:val="24"/>
        </w:rPr>
      </w:pPr>
      <w:r w:rsidRPr="007D0C8A">
        <w:rPr>
          <w:rFonts w:ascii="Times New Roman" w:hAnsi="Times New Roman" w:cs="Times New Roman"/>
          <w:sz w:val="24"/>
          <w:szCs w:val="24"/>
        </w:rPr>
        <w:t>Non può in altri termini ritenersi che alla scadenza del termine annuale</w:t>
      </w:r>
      <w:r w:rsidR="004B39D4">
        <w:rPr>
          <w:rFonts w:ascii="Times New Roman" w:hAnsi="Times New Roman" w:cs="Times New Roman"/>
          <w:sz w:val="24"/>
          <w:szCs w:val="24"/>
        </w:rPr>
        <w:t xml:space="preserve"> (e per mero decorso del tempo)</w:t>
      </w:r>
      <w:r w:rsidRPr="007D0C8A">
        <w:rPr>
          <w:rFonts w:ascii="Times New Roman" w:hAnsi="Times New Roman" w:cs="Times New Roman"/>
          <w:sz w:val="24"/>
          <w:szCs w:val="24"/>
        </w:rPr>
        <w:t xml:space="preserve"> si determini una automatica e radicale caducazione del valore indiziante delle circostanze poste a base dei provvedimenti </w:t>
      </w:r>
      <w:proofErr w:type="spellStart"/>
      <w:r w:rsidRPr="007D0C8A">
        <w:rPr>
          <w:rFonts w:ascii="Times New Roman" w:hAnsi="Times New Roman" w:cs="Times New Roman"/>
          <w:sz w:val="24"/>
          <w:szCs w:val="24"/>
        </w:rPr>
        <w:t>interdittivi</w:t>
      </w:r>
      <w:proofErr w:type="spellEnd"/>
      <w:r w:rsidRPr="007D0C8A">
        <w:rPr>
          <w:rFonts w:ascii="Times New Roman" w:hAnsi="Times New Roman" w:cs="Times New Roman"/>
          <w:sz w:val="24"/>
          <w:szCs w:val="24"/>
        </w:rPr>
        <w:t xml:space="preserve"> precedentemente</w:t>
      </w:r>
      <w:r w:rsidR="00A85B49">
        <w:rPr>
          <w:rFonts w:ascii="Times New Roman" w:hAnsi="Times New Roman" w:cs="Times New Roman"/>
          <w:sz w:val="24"/>
          <w:szCs w:val="24"/>
        </w:rPr>
        <w:t xml:space="preserve"> </w:t>
      </w:r>
      <w:r w:rsidRPr="007D0C8A">
        <w:rPr>
          <w:rFonts w:ascii="Times New Roman" w:hAnsi="Times New Roman" w:cs="Times New Roman"/>
          <w:sz w:val="24"/>
          <w:szCs w:val="24"/>
        </w:rPr>
        <w:t>adottati</w:t>
      </w:r>
      <w:r w:rsidR="00A85B49">
        <w:rPr>
          <w:rStyle w:val="Rimandonotaapidipagina"/>
          <w:rFonts w:ascii="Times New Roman" w:hAnsi="Times New Roman" w:cs="Times New Roman"/>
          <w:sz w:val="24"/>
          <w:szCs w:val="24"/>
        </w:rPr>
        <w:footnoteReference w:id="8"/>
      </w:r>
      <w:r w:rsidR="00A85B49">
        <w:rPr>
          <w:rFonts w:ascii="Times New Roman" w:hAnsi="Times New Roman" w:cs="Times New Roman"/>
          <w:sz w:val="24"/>
          <w:szCs w:val="24"/>
        </w:rPr>
        <w:t>.</w:t>
      </w:r>
      <w:r w:rsidR="00932F4E" w:rsidRPr="007D0C8A">
        <w:rPr>
          <w:rFonts w:ascii="Times New Roman" w:hAnsi="Times New Roman" w:cs="Times New Roman"/>
          <w:sz w:val="24"/>
          <w:szCs w:val="24"/>
        </w:rPr>
        <w:t xml:space="preserve"> </w:t>
      </w:r>
    </w:p>
    <w:p w:rsidR="00A85B49" w:rsidRDefault="00A85B49" w:rsidP="00BB2A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Pr="00A85B49">
        <w:rPr>
          <w:rFonts w:ascii="Times New Roman" w:hAnsi="Times New Roman" w:cs="Times New Roman"/>
          <w:sz w:val="24"/>
          <w:szCs w:val="24"/>
        </w:rPr>
        <w:t xml:space="preserve">l venir meno delle circostanze rilevanti </w:t>
      </w:r>
      <w:r>
        <w:rPr>
          <w:rFonts w:ascii="Times New Roman" w:hAnsi="Times New Roman" w:cs="Times New Roman"/>
          <w:sz w:val="24"/>
          <w:szCs w:val="24"/>
        </w:rPr>
        <w:t xml:space="preserve">per l’adozione del provvedimento </w:t>
      </w:r>
      <w:proofErr w:type="spellStart"/>
      <w:r>
        <w:rPr>
          <w:rFonts w:ascii="Times New Roman" w:hAnsi="Times New Roman" w:cs="Times New Roman"/>
          <w:sz w:val="24"/>
          <w:szCs w:val="24"/>
        </w:rPr>
        <w:t>interdittivo</w:t>
      </w:r>
      <w:proofErr w:type="spellEnd"/>
      <w:r w:rsidRPr="00A85B49">
        <w:rPr>
          <w:rFonts w:ascii="Times New Roman" w:hAnsi="Times New Roman" w:cs="Times New Roman"/>
          <w:sz w:val="24"/>
          <w:szCs w:val="24"/>
        </w:rPr>
        <w:t xml:space="preserve"> non dipende dal mero trascorrere del tempo in sé, ma dal sopraggiungere di obiettivi elementi diversi o contrari che ne facciano venir meno la portata sintomatica, in quant</w:t>
      </w:r>
      <w:r w:rsidR="004B39D4">
        <w:rPr>
          <w:rFonts w:ascii="Times New Roman" w:hAnsi="Times New Roman" w:cs="Times New Roman"/>
          <w:sz w:val="24"/>
          <w:szCs w:val="24"/>
        </w:rPr>
        <w:t>o ne controbilancino, smentisca</w:t>
      </w:r>
      <w:r w:rsidRPr="00A85B49">
        <w:rPr>
          <w:rFonts w:ascii="Times New Roman" w:hAnsi="Times New Roman" w:cs="Times New Roman"/>
          <w:sz w:val="24"/>
          <w:szCs w:val="24"/>
        </w:rPr>
        <w:t>no e super</w:t>
      </w:r>
      <w:r w:rsidR="004B39D4">
        <w:rPr>
          <w:rFonts w:ascii="Times New Roman" w:hAnsi="Times New Roman" w:cs="Times New Roman"/>
          <w:sz w:val="24"/>
          <w:szCs w:val="24"/>
        </w:rPr>
        <w:t>i</w:t>
      </w:r>
      <w:r w:rsidRPr="00A85B49">
        <w:rPr>
          <w:rFonts w:ascii="Times New Roman" w:hAnsi="Times New Roman" w:cs="Times New Roman"/>
          <w:sz w:val="24"/>
          <w:szCs w:val="24"/>
        </w:rPr>
        <w:t>no la forza indiziante</w:t>
      </w:r>
      <w:r>
        <w:rPr>
          <w:rFonts w:ascii="Times New Roman" w:hAnsi="Times New Roman" w:cs="Times New Roman"/>
          <w:sz w:val="24"/>
          <w:szCs w:val="24"/>
        </w:rPr>
        <w:t xml:space="preserve"> </w:t>
      </w:r>
      <w:r>
        <w:rPr>
          <w:rStyle w:val="Rimandonotaapidipagina"/>
          <w:rFonts w:ascii="Times New Roman" w:hAnsi="Times New Roman" w:cs="Times New Roman"/>
          <w:sz w:val="24"/>
          <w:szCs w:val="24"/>
        </w:rPr>
        <w:footnoteReference w:id="9"/>
      </w:r>
      <w:r>
        <w:rPr>
          <w:rFonts w:ascii="Times New Roman" w:hAnsi="Times New Roman" w:cs="Times New Roman"/>
          <w:sz w:val="24"/>
          <w:szCs w:val="24"/>
        </w:rPr>
        <w:t>.</w:t>
      </w:r>
    </w:p>
    <w:p w:rsidR="00A46A5A" w:rsidRPr="007D0C8A" w:rsidRDefault="00BC1EC6" w:rsidP="00BB2A3A">
      <w:pPr>
        <w:spacing w:after="0" w:line="360" w:lineRule="auto"/>
        <w:jc w:val="both"/>
        <w:rPr>
          <w:rFonts w:ascii="Times New Roman" w:hAnsi="Times New Roman" w:cs="Times New Roman"/>
          <w:sz w:val="24"/>
          <w:szCs w:val="24"/>
        </w:rPr>
      </w:pPr>
      <w:r w:rsidRPr="007D0C8A">
        <w:rPr>
          <w:rFonts w:ascii="Times New Roman" w:hAnsi="Times New Roman" w:cs="Times New Roman"/>
          <w:sz w:val="24"/>
          <w:szCs w:val="24"/>
        </w:rPr>
        <w:br/>
        <w:t>L</w:t>
      </w:r>
      <w:r w:rsidR="00A46A5A" w:rsidRPr="007D0C8A">
        <w:rPr>
          <w:rFonts w:ascii="Times New Roman" w:hAnsi="Times New Roman" w:cs="Times New Roman"/>
          <w:sz w:val="24"/>
          <w:szCs w:val="24"/>
        </w:rPr>
        <w:t>e esigenze di prevenzione</w:t>
      </w:r>
      <w:r w:rsidR="00A85B49">
        <w:rPr>
          <w:rFonts w:ascii="Times New Roman" w:hAnsi="Times New Roman" w:cs="Times New Roman"/>
          <w:sz w:val="24"/>
          <w:szCs w:val="24"/>
        </w:rPr>
        <w:t>,</w:t>
      </w:r>
      <w:r w:rsidR="00A46A5A" w:rsidRPr="007D0C8A">
        <w:rPr>
          <w:rFonts w:ascii="Times New Roman" w:hAnsi="Times New Roman" w:cs="Times New Roman"/>
          <w:sz w:val="24"/>
          <w:szCs w:val="24"/>
        </w:rPr>
        <w:t xml:space="preserve"> cui risponde l’azione amministrativa in materia, richiedono giudizi legati all’attualità dei dati rilevanti per la tutela d</w:t>
      </w:r>
      <w:r w:rsidR="00A85B49">
        <w:rPr>
          <w:rFonts w:ascii="Times New Roman" w:hAnsi="Times New Roman" w:cs="Times New Roman"/>
          <w:sz w:val="24"/>
          <w:szCs w:val="24"/>
        </w:rPr>
        <w:t>i</w:t>
      </w:r>
      <w:r w:rsidR="00A46A5A" w:rsidRPr="007D0C8A">
        <w:rPr>
          <w:rFonts w:ascii="Times New Roman" w:hAnsi="Times New Roman" w:cs="Times New Roman"/>
          <w:sz w:val="24"/>
          <w:szCs w:val="24"/>
        </w:rPr>
        <w:t xml:space="preserve"> dette esigenze.</w:t>
      </w:r>
    </w:p>
    <w:p w:rsidR="00BC1EC6" w:rsidRPr="007D0C8A" w:rsidRDefault="00BC1EC6" w:rsidP="00BB2A3A">
      <w:pPr>
        <w:spacing w:after="0" w:line="360" w:lineRule="auto"/>
        <w:jc w:val="both"/>
        <w:rPr>
          <w:rFonts w:ascii="Times New Roman" w:hAnsi="Times New Roman" w:cs="Times New Roman"/>
          <w:sz w:val="24"/>
          <w:szCs w:val="24"/>
        </w:rPr>
      </w:pPr>
    </w:p>
    <w:p w:rsidR="003068AB" w:rsidRDefault="00394244" w:rsidP="00BB2A3A">
      <w:pPr>
        <w:spacing w:after="0" w:line="360" w:lineRule="auto"/>
        <w:jc w:val="both"/>
        <w:rPr>
          <w:rFonts w:ascii="Times New Roman" w:hAnsi="Times New Roman" w:cs="Times New Roman"/>
          <w:sz w:val="24"/>
          <w:szCs w:val="24"/>
        </w:rPr>
      </w:pPr>
      <w:r w:rsidRPr="007D0C8A">
        <w:rPr>
          <w:rFonts w:ascii="Times New Roman" w:hAnsi="Times New Roman" w:cs="Times New Roman"/>
          <w:sz w:val="24"/>
          <w:szCs w:val="24"/>
        </w:rPr>
        <w:t>In altri termini il periodo di validità dell’</w:t>
      </w:r>
      <w:proofErr w:type="spellStart"/>
      <w:r w:rsidRPr="007D0C8A">
        <w:rPr>
          <w:rFonts w:ascii="Times New Roman" w:hAnsi="Times New Roman" w:cs="Times New Roman"/>
          <w:sz w:val="24"/>
          <w:szCs w:val="24"/>
        </w:rPr>
        <w:t>interdittiva</w:t>
      </w:r>
      <w:proofErr w:type="spellEnd"/>
      <w:r w:rsidRPr="007D0C8A">
        <w:rPr>
          <w:rFonts w:ascii="Times New Roman" w:hAnsi="Times New Roman" w:cs="Times New Roman"/>
          <w:sz w:val="24"/>
          <w:szCs w:val="24"/>
        </w:rPr>
        <w:t xml:space="preserve"> costituisce il dato positivo del </w:t>
      </w:r>
      <w:r w:rsidR="00956C9A">
        <w:rPr>
          <w:rFonts w:ascii="Times New Roman" w:hAnsi="Times New Roman" w:cs="Times New Roman"/>
          <w:sz w:val="24"/>
          <w:szCs w:val="24"/>
        </w:rPr>
        <w:t xml:space="preserve">necessario </w:t>
      </w:r>
      <w:r w:rsidRPr="007D0C8A">
        <w:rPr>
          <w:rFonts w:ascii="Times New Roman" w:hAnsi="Times New Roman" w:cs="Times New Roman"/>
          <w:sz w:val="24"/>
          <w:szCs w:val="24"/>
        </w:rPr>
        <w:t>carattere dell’attualità</w:t>
      </w:r>
      <w:r w:rsidR="00956C9A">
        <w:rPr>
          <w:rFonts w:ascii="Times New Roman" w:hAnsi="Times New Roman" w:cs="Times New Roman"/>
          <w:sz w:val="24"/>
          <w:szCs w:val="24"/>
        </w:rPr>
        <w:t xml:space="preserve"> dei presupposti di fatto</w:t>
      </w:r>
      <w:r w:rsidRPr="007D0C8A">
        <w:rPr>
          <w:rFonts w:ascii="Times New Roman" w:hAnsi="Times New Roman" w:cs="Times New Roman"/>
          <w:sz w:val="24"/>
          <w:szCs w:val="24"/>
        </w:rPr>
        <w:t>.</w:t>
      </w:r>
      <w:r w:rsidR="00A46A5A" w:rsidRPr="007D0C8A">
        <w:rPr>
          <w:rFonts w:ascii="Times New Roman" w:hAnsi="Times New Roman" w:cs="Times New Roman"/>
          <w:sz w:val="24"/>
          <w:szCs w:val="24"/>
        </w:rPr>
        <w:t xml:space="preserve"> </w:t>
      </w:r>
    </w:p>
    <w:p w:rsidR="00A46A5A" w:rsidRPr="007D0C8A" w:rsidRDefault="00A46A5A" w:rsidP="00BB2A3A">
      <w:pPr>
        <w:spacing w:after="0" w:line="360" w:lineRule="auto"/>
        <w:jc w:val="both"/>
        <w:rPr>
          <w:rFonts w:ascii="Times New Roman" w:hAnsi="Times New Roman" w:cs="Times New Roman"/>
          <w:sz w:val="24"/>
          <w:szCs w:val="24"/>
        </w:rPr>
      </w:pPr>
      <w:r w:rsidRPr="007D0C8A">
        <w:rPr>
          <w:rFonts w:ascii="Times New Roman" w:hAnsi="Times New Roman" w:cs="Times New Roman"/>
          <w:sz w:val="24"/>
          <w:szCs w:val="24"/>
        </w:rPr>
        <w:t>Il carattere dell'“attualità” delle risultanze delle informative prefettizie è assicurato dal legislatore con la previsione di un termine univoco per il periodo di validità dei documenti antimafia</w:t>
      </w:r>
      <w:r w:rsidR="003068AB">
        <w:rPr>
          <w:rFonts w:ascii="Times New Roman" w:hAnsi="Times New Roman" w:cs="Times New Roman"/>
          <w:sz w:val="24"/>
          <w:szCs w:val="24"/>
        </w:rPr>
        <w:t>.</w:t>
      </w:r>
    </w:p>
    <w:p w:rsidR="00A46A5A" w:rsidRPr="007D0C8A" w:rsidRDefault="00A46A5A" w:rsidP="00BB2A3A">
      <w:pPr>
        <w:spacing w:after="0" w:line="360" w:lineRule="auto"/>
        <w:jc w:val="both"/>
        <w:rPr>
          <w:rFonts w:ascii="Times New Roman" w:hAnsi="Times New Roman" w:cs="Times New Roman"/>
          <w:sz w:val="24"/>
          <w:szCs w:val="24"/>
        </w:rPr>
      </w:pPr>
    </w:p>
    <w:p w:rsidR="00394244" w:rsidRPr="007D0C8A" w:rsidRDefault="00394244" w:rsidP="00BB2A3A">
      <w:pPr>
        <w:spacing w:after="0" w:line="360" w:lineRule="auto"/>
        <w:jc w:val="both"/>
        <w:rPr>
          <w:rFonts w:ascii="Times New Roman" w:hAnsi="Times New Roman" w:cs="Times New Roman"/>
          <w:sz w:val="24"/>
          <w:szCs w:val="24"/>
        </w:rPr>
      </w:pPr>
      <w:r w:rsidRPr="007D0C8A">
        <w:rPr>
          <w:rFonts w:ascii="Times New Roman" w:hAnsi="Times New Roman" w:cs="Times New Roman"/>
          <w:sz w:val="24"/>
          <w:szCs w:val="24"/>
        </w:rPr>
        <w:t>Non può esserci “attualità p</w:t>
      </w:r>
      <w:r w:rsidR="00932F4E" w:rsidRPr="007D0C8A">
        <w:rPr>
          <w:rFonts w:ascii="Times New Roman" w:hAnsi="Times New Roman" w:cs="Times New Roman"/>
          <w:sz w:val="24"/>
          <w:szCs w:val="24"/>
        </w:rPr>
        <w:t>resunta</w:t>
      </w:r>
      <w:r w:rsidR="003068AB">
        <w:rPr>
          <w:rFonts w:ascii="Times New Roman" w:hAnsi="Times New Roman" w:cs="Times New Roman"/>
          <w:sz w:val="24"/>
          <w:szCs w:val="24"/>
        </w:rPr>
        <w:t>” né “attualità perpetua”.</w:t>
      </w:r>
    </w:p>
    <w:p w:rsidR="00BC1EC6" w:rsidRDefault="00BC1EC6" w:rsidP="00BB2A3A">
      <w:pPr>
        <w:spacing w:after="0" w:line="360" w:lineRule="auto"/>
        <w:jc w:val="both"/>
        <w:rPr>
          <w:rFonts w:ascii="Times New Roman" w:hAnsi="Times New Roman" w:cs="Times New Roman"/>
          <w:sz w:val="24"/>
          <w:szCs w:val="24"/>
        </w:rPr>
      </w:pPr>
    </w:p>
    <w:p w:rsidR="00A85B49" w:rsidRDefault="003068AB" w:rsidP="00BB2A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Certamente i</w:t>
      </w:r>
      <w:r w:rsidR="00A85B49" w:rsidRPr="00A85B49">
        <w:rPr>
          <w:rFonts w:ascii="Times New Roman" w:hAnsi="Times New Roman" w:cs="Times New Roman"/>
          <w:sz w:val="24"/>
          <w:szCs w:val="24"/>
        </w:rPr>
        <w:t xml:space="preserve">l decorso del termine annuale </w:t>
      </w:r>
      <w:r w:rsidR="00A85B49" w:rsidRPr="00956C9A">
        <w:rPr>
          <w:rFonts w:ascii="Times New Roman" w:hAnsi="Times New Roman" w:cs="Times New Roman"/>
          <w:i/>
          <w:sz w:val="24"/>
          <w:szCs w:val="24"/>
        </w:rPr>
        <w:t>ex</w:t>
      </w:r>
      <w:r w:rsidR="00A85B49" w:rsidRPr="00A85B49">
        <w:rPr>
          <w:rFonts w:ascii="Times New Roman" w:hAnsi="Times New Roman" w:cs="Times New Roman"/>
          <w:sz w:val="24"/>
          <w:szCs w:val="24"/>
        </w:rPr>
        <w:t xml:space="preserve"> art. 86, comma 2, </w:t>
      </w:r>
      <w:r w:rsidR="00A85B49">
        <w:rPr>
          <w:rFonts w:ascii="Times New Roman" w:hAnsi="Times New Roman" w:cs="Times New Roman"/>
          <w:sz w:val="24"/>
          <w:szCs w:val="24"/>
        </w:rPr>
        <w:t xml:space="preserve">D.lgs. </w:t>
      </w:r>
      <w:r w:rsidR="00A85B49" w:rsidRPr="00A85B49">
        <w:rPr>
          <w:rFonts w:ascii="Times New Roman" w:hAnsi="Times New Roman" w:cs="Times New Roman"/>
          <w:sz w:val="24"/>
          <w:szCs w:val="24"/>
        </w:rPr>
        <w:t xml:space="preserve">n. 159/2011 non produce </w:t>
      </w:r>
      <w:r w:rsidR="00A85B49" w:rsidRPr="00956C9A">
        <w:rPr>
          <w:rFonts w:ascii="Times New Roman" w:hAnsi="Times New Roman" w:cs="Times New Roman"/>
          <w:i/>
          <w:sz w:val="24"/>
          <w:szCs w:val="24"/>
        </w:rPr>
        <w:t>ex se</w:t>
      </w:r>
      <w:r w:rsidR="00A85B49" w:rsidRPr="00A85B49">
        <w:rPr>
          <w:rFonts w:ascii="Times New Roman" w:hAnsi="Times New Roman" w:cs="Times New Roman"/>
          <w:sz w:val="24"/>
          <w:szCs w:val="24"/>
        </w:rPr>
        <w:t xml:space="preserve"> la perdita di efficacia del provvedimento </w:t>
      </w:r>
      <w:proofErr w:type="spellStart"/>
      <w:r w:rsidR="00A85B49" w:rsidRPr="00A85B49">
        <w:rPr>
          <w:rFonts w:ascii="Times New Roman" w:hAnsi="Times New Roman" w:cs="Times New Roman"/>
          <w:sz w:val="24"/>
          <w:szCs w:val="24"/>
        </w:rPr>
        <w:t>interdittivo</w:t>
      </w:r>
      <w:proofErr w:type="spellEnd"/>
      <w:r w:rsidR="00A85B49" w:rsidRPr="00A85B49">
        <w:rPr>
          <w:rFonts w:ascii="Times New Roman" w:hAnsi="Times New Roman" w:cs="Times New Roman"/>
          <w:sz w:val="24"/>
          <w:szCs w:val="24"/>
        </w:rPr>
        <w:t xml:space="preserve">, il quale, una volta spirato il termine suindicato, dovrebbe considerarsi </w:t>
      </w:r>
      <w:proofErr w:type="spellStart"/>
      <w:r w:rsidR="00A85B49" w:rsidRPr="00A85B49">
        <w:rPr>
          <w:rFonts w:ascii="Times New Roman" w:hAnsi="Times New Roman" w:cs="Times New Roman"/>
          <w:i/>
          <w:sz w:val="24"/>
          <w:szCs w:val="24"/>
        </w:rPr>
        <w:t>tamquam</w:t>
      </w:r>
      <w:proofErr w:type="spellEnd"/>
      <w:r w:rsidR="00A85B49" w:rsidRPr="00A85B49">
        <w:rPr>
          <w:rFonts w:ascii="Times New Roman" w:hAnsi="Times New Roman" w:cs="Times New Roman"/>
          <w:i/>
          <w:sz w:val="24"/>
          <w:szCs w:val="24"/>
        </w:rPr>
        <w:t xml:space="preserve"> non </w:t>
      </w:r>
      <w:proofErr w:type="spellStart"/>
      <w:r w:rsidR="00A85B49" w:rsidRPr="00A85B49">
        <w:rPr>
          <w:rFonts w:ascii="Times New Roman" w:hAnsi="Times New Roman" w:cs="Times New Roman"/>
          <w:i/>
          <w:sz w:val="24"/>
          <w:szCs w:val="24"/>
        </w:rPr>
        <w:t>esset</w:t>
      </w:r>
      <w:proofErr w:type="spellEnd"/>
      <w:r w:rsidR="00A85B49" w:rsidRPr="00A85B49">
        <w:rPr>
          <w:rFonts w:ascii="Times New Roman" w:hAnsi="Times New Roman" w:cs="Times New Roman"/>
          <w:sz w:val="24"/>
          <w:szCs w:val="24"/>
        </w:rPr>
        <w:t>, ma produce l’effetto (strumentale e procedimentale) di imporre all’Autorità prefettizia il riesame della vicenda complessiva, ergo dei sintomi di condizionamento dai quali era stato distillato il pericolo infiltrativo, ai fini dell’aggiornamento della o</w:t>
      </w:r>
      <w:r w:rsidR="00A85B49">
        <w:rPr>
          <w:rFonts w:ascii="Times New Roman" w:hAnsi="Times New Roman" w:cs="Times New Roman"/>
          <w:sz w:val="24"/>
          <w:szCs w:val="24"/>
        </w:rPr>
        <w:t xml:space="preserve">riginaria prognosi </w:t>
      </w:r>
      <w:proofErr w:type="spellStart"/>
      <w:r w:rsidR="00A85B49">
        <w:rPr>
          <w:rFonts w:ascii="Times New Roman" w:hAnsi="Times New Roman" w:cs="Times New Roman"/>
          <w:sz w:val="24"/>
          <w:szCs w:val="24"/>
        </w:rPr>
        <w:t>interdittiva</w:t>
      </w:r>
      <w:proofErr w:type="spellEnd"/>
      <w:r w:rsidR="00A85B49">
        <w:rPr>
          <w:rFonts w:ascii="Times New Roman" w:hAnsi="Times New Roman" w:cs="Times New Roman"/>
          <w:sz w:val="24"/>
          <w:szCs w:val="24"/>
        </w:rPr>
        <w:t xml:space="preserve"> </w:t>
      </w:r>
      <w:r w:rsidR="00A85B49">
        <w:rPr>
          <w:rStyle w:val="Rimandonotaapidipagina"/>
          <w:rFonts w:ascii="Times New Roman" w:hAnsi="Times New Roman" w:cs="Times New Roman"/>
          <w:sz w:val="24"/>
          <w:szCs w:val="24"/>
        </w:rPr>
        <w:footnoteReference w:id="10"/>
      </w:r>
      <w:r w:rsidR="00A85B49">
        <w:rPr>
          <w:rFonts w:ascii="Times New Roman" w:hAnsi="Times New Roman" w:cs="Times New Roman"/>
          <w:sz w:val="24"/>
          <w:szCs w:val="24"/>
        </w:rPr>
        <w:t>.</w:t>
      </w:r>
    </w:p>
    <w:p w:rsidR="00314DB6" w:rsidRDefault="00314DB6" w:rsidP="00BB2A3A">
      <w:pPr>
        <w:spacing w:after="0" w:line="360" w:lineRule="auto"/>
        <w:jc w:val="both"/>
        <w:rPr>
          <w:rFonts w:ascii="Times New Roman" w:hAnsi="Times New Roman" w:cs="Times New Roman"/>
          <w:sz w:val="24"/>
          <w:szCs w:val="24"/>
        </w:rPr>
      </w:pPr>
    </w:p>
    <w:p w:rsidR="003068AB" w:rsidRDefault="00E7408E" w:rsidP="00BB2A3A">
      <w:pPr>
        <w:spacing w:after="0" w:line="360" w:lineRule="auto"/>
        <w:jc w:val="both"/>
        <w:rPr>
          <w:rFonts w:ascii="Times New Roman" w:hAnsi="Times New Roman" w:cs="Times New Roman"/>
          <w:sz w:val="24"/>
          <w:szCs w:val="24"/>
        </w:rPr>
      </w:pPr>
      <w:proofErr w:type="spellStart"/>
      <w:r w:rsidRPr="007D0C8A">
        <w:rPr>
          <w:rFonts w:ascii="Times New Roman" w:hAnsi="Times New Roman" w:cs="Times New Roman"/>
          <w:sz w:val="24"/>
          <w:szCs w:val="24"/>
        </w:rPr>
        <w:t>Sicchè</w:t>
      </w:r>
      <w:proofErr w:type="spellEnd"/>
      <w:r w:rsidRPr="007D0C8A">
        <w:rPr>
          <w:rFonts w:ascii="Times New Roman" w:hAnsi="Times New Roman" w:cs="Times New Roman"/>
          <w:sz w:val="24"/>
          <w:szCs w:val="24"/>
        </w:rPr>
        <w:t xml:space="preserve"> al decorso del termine di un anno la Prefettura</w:t>
      </w:r>
      <w:r w:rsidR="003068AB">
        <w:rPr>
          <w:rFonts w:ascii="Times New Roman" w:hAnsi="Times New Roman" w:cs="Times New Roman"/>
          <w:sz w:val="24"/>
          <w:szCs w:val="24"/>
        </w:rPr>
        <w:t xml:space="preserve"> è tenuta a verificare </w:t>
      </w:r>
      <w:r w:rsidRPr="007D0C8A">
        <w:rPr>
          <w:rFonts w:ascii="Times New Roman" w:hAnsi="Times New Roman" w:cs="Times New Roman"/>
          <w:sz w:val="24"/>
          <w:szCs w:val="24"/>
        </w:rPr>
        <w:t xml:space="preserve">la permanenza </w:t>
      </w:r>
      <w:r w:rsidR="00BC1EC6" w:rsidRPr="007D0C8A">
        <w:rPr>
          <w:rFonts w:ascii="Times New Roman" w:hAnsi="Times New Roman" w:cs="Times New Roman"/>
          <w:sz w:val="24"/>
          <w:szCs w:val="24"/>
        </w:rPr>
        <w:t>o meno dei presupposti di fatto</w:t>
      </w:r>
      <w:r w:rsidR="003068AB">
        <w:rPr>
          <w:rFonts w:ascii="Times New Roman" w:hAnsi="Times New Roman" w:cs="Times New Roman"/>
          <w:sz w:val="24"/>
          <w:szCs w:val="24"/>
        </w:rPr>
        <w:t>.</w:t>
      </w:r>
    </w:p>
    <w:p w:rsidR="00E7408E" w:rsidRDefault="003068AB" w:rsidP="00BB2A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Il che</w:t>
      </w:r>
      <w:r w:rsidR="00BC1EC6" w:rsidRPr="007D0C8A">
        <w:rPr>
          <w:rFonts w:ascii="Times New Roman" w:hAnsi="Times New Roman" w:cs="Times New Roman"/>
          <w:sz w:val="24"/>
          <w:szCs w:val="24"/>
        </w:rPr>
        <w:t xml:space="preserve"> </w:t>
      </w:r>
      <w:r>
        <w:rPr>
          <w:rFonts w:ascii="Times New Roman" w:hAnsi="Times New Roman" w:cs="Times New Roman"/>
          <w:sz w:val="24"/>
          <w:szCs w:val="24"/>
        </w:rPr>
        <w:t>può</w:t>
      </w:r>
      <w:r w:rsidR="00BC1EC6" w:rsidRPr="007D0C8A">
        <w:rPr>
          <w:rFonts w:ascii="Times New Roman" w:hAnsi="Times New Roman" w:cs="Times New Roman"/>
          <w:sz w:val="24"/>
          <w:szCs w:val="24"/>
        </w:rPr>
        <w:t xml:space="preserve"> anche significare </w:t>
      </w:r>
      <w:r w:rsidR="005259D5" w:rsidRPr="007D0C8A">
        <w:rPr>
          <w:rFonts w:ascii="Times New Roman" w:hAnsi="Times New Roman" w:cs="Times New Roman"/>
          <w:sz w:val="24"/>
          <w:szCs w:val="24"/>
        </w:rPr>
        <w:t>ultrattività dei fatti posti a fondamento dell’</w:t>
      </w:r>
      <w:proofErr w:type="spellStart"/>
      <w:r w:rsidR="005259D5" w:rsidRPr="007D0C8A">
        <w:rPr>
          <w:rFonts w:ascii="Times New Roman" w:hAnsi="Times New Roman" w:cs="Times New Roman"/>
          <w:sz w:val="24"/>
          <w:szCs w:val="24"/>
        </w:rPr>
        <w:t>interdittiva</w:t>
      </w:r>
      <w:proofErr w:type="spellEnd"/>
      <w:r w:rsidR="005259D5" w:rsidRPr="007D0C8A">
        <w:rPr>
          <w:rFonts w:ascii="Times New Roman" w:hAnsi="Times New Roman" w:cs="Times New Roman"/>
          <w:sz w:val="24"/>
          <w:szCs w:val="24"/>
        </w:rPr>
        <w:t xml:space="preserve"> secondo, come noto, una verifica in concreto dell’attualità degli elementi considerati.</w:t>
      </w:r>
    </w:p>
    <w:p w:rsidR="003068AB" w:rsidRPr="007D0C8A" w:rsidRDefault="003068AB" w:rsidP="00BB2A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 lo snodo fondamentale della complessa valutazione da operare è sempre quella della attualità degli elementi considerati che fanno ritenere altrettanto attuale il rischio di penetrabilità della criminalità organizzata nell</w:t>
      </w:r>
      <w:r w:rsidR="00956C9A">
        <w:rPr>
          <w:rFonts w:ascii="Times New Roman" w:hAnsi="Times New Roman" w:cs="Times New Roman"/>
          <w:sz w:val="24"/>
          <w:szCs w:val="24"/>
        </w:rPr>
        <w:t>a struttura e nell’attività dell</w:t>
      </w:r>
      <w:r>
        <w:rPr>
          <w:rFonts w:ascii="Times New Roman" w:hAnsi="Times New Roman" w:cs="Times New Roman"/>
          <w:sz w:val="24"/>
          <w:szCs w:val="24"/>
        </w:rPr>
        <w:t>’</w:t>
      </w:r>
      <w:r w:rsidR="00956C9A">
        <w:rPr>
          <w:rFonts w:ascii="Times New Roman" w:hAnsi="Times New Roman" w:cs="Times New Roman"/>
          <w:sz w:val="24"/>
          <w:szCs w:val="24"/>
        </w:rPr>
        <w:t>operatore economico</w:t>
      </w:r>
      <w:r>
        <w:rPr>
          <w:rFonts w:ascii="Times New Roman" w:hAnsi="Times New Roman" w:cs="Times New Roman"/>
          <w:sz w:val="24"/>
          <w:szCs w:val="24"/>
        </w:rPr>
        <w:t>.</w:t>
      </w:r>
    </w:p>
    <w:p w:rsidR="00394244" w:rsidRDefault="00394244" w:rsidP="00BB2A3A">
      <w:pPr>
        <w:spacing w:after="0" w:line="360" w:lineRule="auto"/>
        <w:jc w:val="both"/>
        <w:rPr>
          <w:rFonts w:ascii="Times New Roman" w:hAnsi="Times New Roman" w:cs="Times New Roman"/>
          <w:sz w:val="24"/>
          <w:szCs w:val="24"/>
        </w:rPr>
      </w:pPr>
    </w:p>
    <w:p w:rsidR="007A739A" w:rsidRDefault="007A739A" w:rsidP="00BB2A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Pr="007A739A">
        <w:rPr>
          <w:rFonts w:ascii="Times New Roman" w:hAnsi="Times New Roman" w:cs="Times New Roman"/>
          <w:sz w:val="24"/>
          <w:szCs w:val="24"/>
        </w:rPr>
        <w:t>a messa a tema del fattore "temporale" deve tenere conto della oggettiva necessità (posta in rilievo dalla Corte Costituzionale n. 57/2020) che, in accordo al limite di validità dell’informativa ostativa fissato dall’art. 86, comma 2, del d.lgs. n. 159 del 2011 in dodici mesi, la Prefettura provveda ad una rivalutazione aggiornata del quadro istruttorio, sul presupposto che questo non può conservare piena e immutata concludenza oltre detto limite temporale</w:t>
      </w:r>
      <w:r>
        <w:rPr>
          <w:rFonts w:ascii="Times New Roman" w:hAnsi="Times New Roman" w:cs="Times New Roman"/>
          <w:sz w:val="24"/>
          <w:szCs w:val="24"/>
        </w:rPr>
        <w:t xml:space="preserve"> </w:t>
      </w:r>
      <w:r>
        <w:rPr>
          <w:rStyle w:val="Rimandonotaapidipagina"/>
          <w:rFonts w:ascii="Times New Roman" w:hAnsi="Times New Roman" w:cs="Times New Roman"/>
          <w:sz w:val="24"/>
          <w:szCs w:val="24"/>
        </w:rPr>
        <w:footnoteReference w:id="11"/>
      </w:r>
      <w:r>
        <w:rPr>
          <w:rFonts w:ascii="Times New Roman" w:hAnsi="Times New Roman" w:cs="Times New Roman"/>
          <w:sz w:val="24"/>
          <w:szCs w:val="24"/>
        </w:rPr>
        <w:t>.</w:t>
      </w:r>
    </w:p>
    <w:p w:rsidR="007A739A" w:rsidRPr="007D0C8A" w:rsidRDefault="007A739A" w:rsidP="00BB2A3A">
      <w:pPr>
        <w:spacing w:after="0" w:line="360" w:lineRule="auto"/>
        <w:jc w:val="both"/>
        <w:rPr>
          <w:rFonts w:ascii="Times New Roman" w:hAnsi="Times New Roman" w:cs="Times New Roman"/>
          <w:sz w:val="24"/>
          <w:szCs w:val="24"/>
        </w:rPr>
      </w:pPr>
    </w:p>
    <w:p w:rsidR="003068AB" w:rsidRDefault="00E7408E" w:rsidP="00BB2A3A">
      <w:pPr>
        <w:spacing w:after="0" w:line="360" w:lineRule="auto"/>
        <w:jc w:val="both"/>
        <w:rPr>
          <w:rFonts w:ascii="Times New Roman" w:hAnsi="Times New Roman" w:cs="Times New Roman"/>
          <w:sz w:val="24"/>
          <w:szCs w:val="24"/>
        </w:rPr>
      </w:pPr>
      <w:r w:rsidRPr="007D0C8A">
        <w:rPr>
          <w:rFonts w:ascii="Times New Roman" w:hAnsi="Times New Roman" w:cs="Times New Roman"/>
          <w:sz w:val="24"/>
          <w:szCs w:val="24"/>
        </w:rPr>
        <w:t>E ciò non solo nel caso in cui il soggetto interessato abbia chiesto espressamente alla competente Prefettura la revisione, ma anche a prescindere da una richiesta di riesame da parte del privato.</w:t>
      </w:r>
    </w:p>
    <w:p w:rsidR="003068AB" w:rsidRDefault="003068AB" w:rsidP="00BB2A3A">
      <w:pPr>
        <w:spacing w:after="0" w:line="360" w:lineRule="auto"/>
        <w:jc w:val="both"/>
        <w:rPr>
          <w:rFonts w:ascii="Times New Roman" w:hAnsi="Times New Roman" w:cs="Times New Roman"/>
          <w:sz w:val="24"/>
          <w:szCs w:val="24"/>
        </w:rPr>
      </w:pPr>
    </w:p>
    <w:p w:rsidR="00BB7638" w:rsidRDefault="00E7408E" w:rsidP="00BB2A3A">
      <w:pPr>
        <w:spacing w:after="0" w:line="360" w:lineRule="auto"/>
        <w:jc w:val="both"/>
        <w:rPr>
          <w:rFonts w:ascii="Times New Roman" w:hAnsi="Times New Roman" w:cs="Times New Roman"/>
          <w:sz w:val="24"/>
          <w:szCs w:val="24"/>
        </w:rPr>
      </w:pPr>
      <w:r w:rsidRPr="007D0C8A">
        <w:rPr>
          <w:rFonts w:ascii="Times New Roman" w:hAnsi="Times New Roman" w:cs="Times New Roman"/>
          <w:sz w:val="24"/>
          <w:szCs w:val="24"/>
        </w:rPr>
        <w:t xml:space="preserve">Il trascorrere del tempo </w:t>
      </w:r>
      <w:r w:rsidR="00BB7638">
        <w:rPr>
          <w:rFonts w:ascii="Times New Roman" w:hAnsi="Times New Roman" w:cs="Times New Roman"/>
          <w:sz w:val="24"/>
          <w:szCs w:val="24"/>
        </w:rPr>
        <w:t xml:space="preserve">conduce ad un procedimento volto a verificare l’esistenza </w:t>
      </w:r>
      <w:r w:rsidRPr="007D0C8A">
        <w:rPr>
          <w:rFonts w:ascii="Times New Roman" w:hAnsi="Times New Roman" w:cs="Times New Roman"/>
          <w:sz w:val="24"/>
          <w:szCs w:val="24"/>
        </w:rPr>
        <w:t>di sopravvenienze, astrattamente idonee a far venire meno la situazione di permeabilità mafiosa</w:t>
      </w:r>
      <w:r w:rsidR="00BB7638">
        <w:rPr>
          <w:rFonts w:ascii="Times New Roman" w:hAnsi="Times New Roman" w:cs="Times New Roman"/>
          <w:sz w:val="24"/>
          <w:szCs w:val="24"/>
        </w:rPr>
        <w:t xml:space="preserve">, ovvero la permanenza di elementi </w:t>
      </w:r>
      <w:r w:rsidRPr="007D0C8A">
        <w:rPr>
          <w:rFonts w:ascii="Times New Roman" w:hAnsi="Times New Roman" w:cs="Times New Roman"/>
          <w:sz w:val="24"/>
          <w:szCs w:val="24"/>
        </w:rPr>
        <w:t>sintomatici di un condizionamento attuale dell’attività d’impresa.</w:t>
      </w:r>
    </w:p>
    <w:p w:rsidR="007A739A" w:rsidRDefault="007A739A" w:rsidP="00BB2A3A">
      <w:pPr>
        <w:spacing w:after="0" w:line="360" w:lineRule="auto"/>
        <w:jc w:val="both"/>
        <w:rPr>
          <w:rFonts w:ascii="Times New Roman" w:hAnsi="Times New Roman" w:cs="Times New Roman"/>
          <w:sz w:val="24"/>
          <w:szCs w:val="24"/>
        </w:rPr>
      </w:pPr>
    </w:p>
    <w:p w:rsidR="00797902" w:rsidRPr="007D0C8A" w:rsidRDefault="00797902" w:rsidP="00BB2A3A">
      <w:pPr>
        <w:spacing w:after="0" w:line="360" w:lineRule="auto"/>
        <w:jc w:val="both"/>
        <w:rPr>
          <w:rFonts w:ascii="Times New Roman" w:hAnsi="Times New Roman" w:cs="Times New Roman"/>
          <w:sz w:val="24"/>
          <w:szCs w:val="24"/>
        </w:rPr>
      </w:pPr>
      <w:r w:rsidRPr="007D0C8A">
        <w:rPr>
          <w:rFonts w:ascii="Times New Roman" w:hAnsi="Times New Roman" w:cs="Times New Roman"/>
          <w:sz w:val="24"/>
          <w:szCs w:val="24"/>
        </w:rPr>
        <w:t xml:space="preserve">Merita ancora riflettere sul fatto che la durata dell’efficacia della misura </w:t>
      </w:r>
      <w:proofErr w:type="spellStart"/>
      <w:r w:rsidRPr="007D0C8A">
        <w:rPr>
          <w:rFonts w:ascii="Times New Roman" w:hAnsi="Times New Roman" w:cs="Times New Roman"/>
          <w:sz w:val="24"/>
          <w:szCs w:val="24"/>
        </w:rPr>
        <w:t>interdittiva</w:t>
      </w:r>
      <w:proofErr w:type="spellEnd"/>
      <w:r w:rsidRPr="007D0C8A">
        <w:rPr>
          <w:rFonts w:ascii="Times New Roman" w:hAnsi="Times New Roman" w:cs="Times New Roman"/>
          <w:sz w:val="24"/>
          <w:szCs w:val="24"/>
        </w:rPr>
        <w:t xml:space="preserve"> appare un tempo sufficiente a creare un pregiudizio che può essere anche definitivo per l’impresa colpita, laddove questa costituisce la fonte di sostentamento unica per il titolare della stessa, come evidenziato da</w:t>
      </w:r>
      <w:r w:rsidR="00956C9A">
        <w:rPr>
          <w:rFonts w:ascii="Times New Roman" w:hAnsi="Times New Roman" w:cs="Times New Roman"/>
          <w:sz w:val="24"/>
          <w:szCs w:val="24"/>
        </w:rPr>
        <w:t xml:space="preserve">l Tar Reggio Calabria </w:t>
      </w:r>
      <w:r w:rsidRPr="007D0C8A">
        <w:rPr>
          <w:rFonts w:ascii="Times New Roman" w:hAnsi="Times New Roman" w:cs="Times New Roman"/>
          <w:sz w:val="24"/>
          <w:szCs w:val="24"/>
        </w:rPr>
        <w:t xml:space="preserve">nell’ordinanza di rimessione alla Corte costituzionale </w:t>
      </w:r>
      <w:r w:rsidR="00956C9A" w:rsidRPr="007D0C8A">
        <w:rPr>
          <w:rFonts w:ascii="Times New Roman" w:hAnsi="Times New Roman" w:cs="Times New Roman"/>
          <w:sz w:val="24"/>
          <w:szCs w:val="24"/>
        </w:rPr>
        <w:t>11/12/2020, n.732</w:t>
      </w:r>
      <w:r w:rsidR="00956C9A">
        <w:rPr>
          <w:rStyle w:val="Rimandonotaapidipagina"/>
          <w:rFonts w:ascii="Times New Roman" w:hAnsi="Times New Roman" w:cs="Times New Roman"/>
          <w:sz w:val="24"/>
          <w:szCs w:val="24"/>
        </w:rPr>
        <w:footnoteReference w:id="12"/>
      </w:r>
      <w:r w:rsidR="00956C9A">
        <w:rPr>
          <w:rFonts w:ascii="Times New Roman" w:hAnsi="Times New Roman" w:cs="Times New Roman"/>
          <w:sz w:val="24"/>
          <w:szCs w:val="24"/>
        </w:rPr>
        <w:t>.</w:t>
      </w:r>
      <w:r w:rsidR="00956C9A" w:rsidRPr="007D0C8A">
        <w:rPr>
          <w:rFonts w:ascii="Times New Roman" w:hAnsi="Times New Roman" w:cs="Times New Roman"/>
          <w:sz w:val="24"/>
          <w:szCs w:val="24"/>
        </w:rPr>
        <w:t xml:space="preserve"> </w:t>
      </w:r>
    </w:p>
    <w:p w:rsidR="00BB7638" w:rsidRDefault="00BB7638" w:rsidP="00BB76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Va quindi ribadita la necessità di riempire di contenuto sostanziale la previsione della durata annuale dell’</w:t>
      </w:r>
      <w:proofErr w:type="spellStart"/>
      <w:r>
        <w:rPr>
          <w:rFonts w:ascii="Times New Roman" w:hAnsi="Times New Roman" w:cs="Times New Roman"/>
          <w:sz w:val="24"/>
          <w:szCs w:val="24"/>
        </w:rPr>
        <w:t>interdittiva</w:t>
      </w:r>
      <w:proofErr w:type="spellEnd"/>
      <w:r>
        <w:rPr>
          <w:rFonts w:ascii="Times New Roman" w:hAnsi="Times New Roman" w:cs="Times New Roman"/>
          <w:sz w:val="24"/>
          <w:szCs w:val="24"/>
        </w:rPr>
        <w:t xml:space="preserve">, al fine di consentire all’impresa di reintrodursi nel mercato una volta accertato il venir meno dei presupposti indiziari di rischio di infiltrazione. </w:t>
      </w:r>
    </w:p>
    <w:p w:rsidR="00BB7638" w:rsidRPr="00BB7638" w:rsidRDefault="00BB7638" w:rsidP="00BB76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Diversamente la misura </w:t>
      </w:r>
      <w:r w:rsidR="00314DB6">
        <w:rPr>
          <w:rFonts w:ascii="Times New Roman" w:hAnsi="Times New Roman" w:cs="Times New Roman"/>
          <w:sz w:val="24"/>
          <w:szCs w:val="24"/>
        </w:rPr>
        <w:t>sarebbe snaturata del carattere preventivo che le è proprio, per trasformarsi in una fuoriuscita definitiva dal mondo produttivo, con grave danno non solo per l’impresa, ma per lo stesso mercato di riferimento.</w:t>
      </w:r>
    </w:p>
    <w:p w:rsidR="00E7408E" w:rsidRDefault="00E7408E" w:rsidP="00BB7638">
      <w:pPr>
        <w:spacing w:after="0" w:line="360" w:lineRule="auto"/>
        <w:jc w:val="both"/>
        <w:rPr>
          <w:rFonts w:ascii="Times New Roman" w:hAnsi="Times New Roman" w:cs="Times New Roman"/>
          <w:sz w:val="24"/>
          <w:szCs w:val="24"/>
        </w:rPr>
      </w:pPr>
    </w:p>
    <w:p w:rsidR="00314DB6" w:rsidRDefault="00314DB6" w:rsidP="00BB76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Dunque il procedimento di riesame assume un ruolo fondamentale, nel perpetuare quel bilanciamento di interessi di rango costituzionale componibili, come dice la Corte Costituzionale, grazie alla provvisorietà della misura </w:t>
      </w:r>
      <w:proofErr w:type="spellStart"/>
      <w:r>
        <w:rPr>
          <w:rFonts w:ascii="Times New Roman" w:hAnsi="Times New Roman" w:cs="Times New Roman"/>
          <w:sz w:val="24"/>
          <w:szCs w:val="24"/>
        </w:rPr>
        <w:t>interdittiva</w:t>
      </w:r>
      <w:proofErr w:type="spellEnd"/>
      <w:r>
        <w:rPr>
          <w:rFonts w:ascii="Times New Roman" w:hAnsi="Times New Roman" w:cs="Times New Roman"/>
          <w:sz w:val="24"/>
          <w:szCs w:val="24"/>
        </w:rPr>
        <w:t>.</w:t>
      </w:r>
    </w:p>
    <w:p w:rsidR="00F506CA" w:rsidRPr="00314DB6" w:rsidRDefault="00314DB6" w:rsidP="00314D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 noto che esiste una disciplina positiva quanto al procedimento di riesame, rinvenibile nell’art. </w:t>
      </w:r>
      <w:r w:rsidR="00F506CA" w:rsidRPr="00314DB6">
        <w:rPr>
          <w:rFonts w:ascii="Times New Roman" w:hAnsi="Times New Roman" w:cs="Times New Roman"/>
          <w:sz w:val="24"/>
          <w:szCs w:val="24"/>
        </w:rPr>
        <w:t>91 comma 5 ultima parte del D.lgs. 159/2011</w:t>
      </w:r>
      <w:r>
        <w:rPr>
          <w:rStyle w:val="Rimandonotaapidipagina"/>
          <w:rFonts w:ascii="Times New Roman" w:hAnsi="Times New Roman" w:cs="Times New Roman"/>
          <w:sz w:val="24"/>
          <w:szCs w:val="24"/>
        </w:rPr>
        <w:footnoteReference w:id="13"/>
      </w:r>
      <w:r>
        <w:rPr>
          <w:rFonts w:ascii="Times New Roman" w:hAnsi="Times New Roman" w:cs="Times New Roman"/>
          <w:sz w:val="24"/>
          <w:szCs w:val="24"/>
        </w:rPr>
        <w:t>.</w:t>
      </w:r>
    </w:p>
    <w:p w:rsidR="00F506CA" w:rsidRPr="007D0C8A" w:rsidRDefault="00F506CA" w:rsidP="00594A9E">
      <w:pPr>
        <w:spacing w:after="0"/>
        <w:jc w:val="both"/>
        <w:rPr>
          <w:rFonts w:ascii="Times New Roman" w:hAnsi="Times New Roman" w:cs="Times New Roman"/>
          <w:b/>
          <w:sz w:val="24"/>
          <w:szCs w:val="24"/>
        </w:rPr>
      </w:pPr>
    </w:p>
    <w:p w:rsidR="00A32DF5" w:rsidRDefault="00326B10" w:rsidP="00BB2A3A">
      <w:pPr>
        <w:spacing w:after="0" w:line="360" w:lineRule="auto"/>
        <w:jc w:val="both"/>
        <w:rPr>
          <w:rFonts w:ascii="Times New Roman" w:hAnsi="Times New Roman" w:cs="Times New Roman"/>
          <w:sz w:val="24"/>
          <w:szCs w:val="24"/>
        </w:rPr>
      </w:pPr>
      <w:r w:rsidRPr="007D0C8A">
        <w:rPr>
          <w:rFonts w:ascii="Times New Roman" w:hAnsi="Times New Roman" w:cs="Times New Roman"/>
          <w:sz w:val="24"/>
          <w:szCs w:val="24"/>
        </w:rPr>
        <w:t>Ancor prima dell’entrata in vigore del D.L. 152/2021 (che ha riconosciuto la necessità di partecipazione del privato fin dalla fase antecede</w:t>
      </w:r>
      <w:r w:rsidR="00633CA8" w:rsidRPr="007D0C8A">
        <w:rPr>
          <w:rFonts w:ascii="Times New Roman" w:hAnsi="Times New Roman" w:cs="Times New Roman"/>
          <w:sz w:val="24"/>
          <w:szCs w:val="24"/>
        </w:rPr>
        <w:t>n</w:t>
      </w:r>
      <w:r w:rsidRPr="007D0C8A">
        <w:rPr>
          <w:rFonts w:ascii="Times New Roman" w:hAnsi="Times New Roman" w:cs="Times New Roman"/>
          <w:sz w:val="24"/>
          <w:szCs w:val="24"/>
        </w:rPr>
        <w:t xml:space="preserve">te all’adozione della primigenia informazione </w:t>
      </w:r>
      <w:proofErr w:type="spellStart"/>
      <w:r w:rsidRPr="007D0C8A">
        <w:rPr>
          <w:rFonts w:ascii="Times New Roman" w:hAnsi="Times New Roman" w:cs="Times New Roman"/>
          <w:sz w:val="24"/>
          <w:szCs w:val="24"/>
        </w:rPr>
        <w:t>interdittiva</w:t>
      </w:r>
      <w:proofErr w:type="spellEnd"/>
      <w:r w:rsidRPr="007D0C8A">
        <w:rPr>
          <w:rFonts w:ascii="Times New Roman" w:hAnsi="Times New Roman" w:cs="Times New Roman"/>
          <w:sz w:val="24"/>
          <w:szCs w:val="24"/>
        </w:rPr>
        <w:t xml:space="preserve">) la giurisprudenza aveva valorizzato la necessità dell’applicazione degli istituti partecipativi di cui alla L. 241/1990 al procedimento successivo alla richiesta di riesame dell’informativa antimafia </w:t>
      </w:r>
      <w:proofErr w:type="spellStart"/>
      <w:r w:rsidRPr="007D0C8A">
        <w:rPr>
          <w:rFonts w:ascii="Times New Roman" w:hAnsi="Times New Roman" w:cs="Times New Roman"/>
          <w:sz w:val="24"/>
          <w:szCs w:val="24"/>
        </w:rPr>
        <w:t>interdittiva</w:t>
      </w:r>
      <w:proofErr w:type="spellEnd"/>
      <w:r w:rsidRPr="007D0C8A">
        <w:rPr>
          <w:rFonts w:ascii="Times New Roman" w:hAnsi="Times New Roman" w:cs="Times New Roman"/>
          <w:sz w:val="24"/>
          <w:szCs w:val="24"/>
        </w:rPr>
        <w:t>.</w:t>
      </w:r>
    </w:p>
    <w:p w:rsidR="00326B10" w:rsidRPr="003C0A29" w:rsidRDefault="00314DB6" w:rsidP="003C0A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 stato infatti sottolineato</w:t>
      </w:r>
      <w:r>
        <w:rPr>
          <w:rStyle w:val="Rimandonotaapidipagina"/>
          <w:rFonts w:ascii="Times New Roman" w:hAnsi="Times New Roman" w:cs="Times New Roman"/>
          <w:sz w:val="24"/>
          <w:szCs w:val="24"/>
        </w:rPr>
        <w:footnoteReference w:id="14"/>
      </w:r>
      <w:r>
        <w:rPr>
          <w:rFonts w:ascii="Times New Roman" w:hAnsi="Times New Roman" w:cs="Times New Roman"/>
          <w:sz w:val="24"/>
          <w:szCs w:val="24"/>
        </w:rPr>
        <w:t xml:space="preserve"> che </w:t>
      </w:r>
      <w:r w:rsidR="003C0A29">
        <w:rPr>
          <w:rFonts w:ascii="Times New Roman" w:hAnsi="Times New Roman" w:cs="Times New Roman"/>
          <w:sz w:val="24"/>
          <w:szCs w:val="24"/>
        </w:rPr>
        <w:t>s</w:t>
      </w:r>
      <w:r w:rsidR="00326B10" w:rsidRPr="003C0A29">
        <w:rPr>
          <w:rFonts w:ascii="Times New Roman" w:hAnsi="Times New Roman" w:cs="Times New Roman"/>
          <w:sz w:val="24"/>
          <w:szCs w:val="24"/>
        </w:rPr>
        <w:t xml:space="preserve">e nel contestare il provvedimento </w:t>
      </w:r>
      <w:proofErr w:type="spellStart"/>
      <w:r w:rsidR="00326B10" w:rsidRPr="003C0A29">
        <w:rPr>
          <w:rFonts w:ascii="Times New Roman" w:hAnsi="Times New Roman" w:cs="Times New Roman"/>
          <w:sz w:val="24"/>
          <w:szCs w:val="24"/>
        </w:rPr>
        <w:t>interdittivo</w:t>
      </w:r>
      <w:proofErr w:type="spellEnd"/>
      <w:r w:rsidR="00326B10" w:rsidRPr="003C0A29">
        <w:rPr>
          <w:rFonts w:ascii="Times New Roman" w:hAnsi="Times New Roman" w:cs="Times New Roman"/>
          <w:sz w:val="24"/>
          <w:szCs w:val="24"/>
        </w:rPr>
        <w:t xml:space="preserve"> si è in presenza di un interesse legittimo oppositivo, con la richiesta di riesame del precedente provvedimento l’interesse legittimo si converte in </w:t>
      </w:r>
      <w:proofErr w:type="spellStart"/>
      <w:r w:rsidR="00326B10" w:rsidRPr="003C0A29">
        <w:rPr>
          <w:rFonts w:ascii="Times New Roman" w:hAnsi="Times New Roman" w:cs="Times New Roman"/>
          <w:sz w:val="24"/>
          <w:szCs w:val="24"/>
        </w:rPr>
        <w:t>pretensivo</w:t>
      </w:r>
      <w:proofErr w:type="spellEnd"/>
      <w:r w:rsidR="003C0A29">
        <w:rPr>
          <w:rFonts w:ascii="Times New Roman" w:hAnsi="Times New Roman" w:cs="Times New Roman"/>
          <w:sz w:val="24"/>
          <w:szCs w:val="24"/>
        </w:rPr>
        <w:t xml:space="preserve">, e dunque, </w:t>
      </w:r>
      <w:r w:rsidR="00326B10" w:rsidRPr="003C0A29">
        <w:rPr>
          <w:rFonts w:ascii="Times New Roman" w:hAnsi="Times New Roman" w:cs="Times New Roman"/>
          <w:sz w:val="24"/>
          <w:szCs w:val="24"/>
        </w:rPr>
        <w:t xml:space="preserve">anche </w:t>
      </w:r>
      <w:r w:rsidR="003C0A29">
        <w:rPr>
          <w:rFonts w:ascii="Times New Roman" w:hAnsi="Times New Roman" w:cs="Times New Roman"/>
          <w:sz w:val="24"/>
          <w:szCs w:val="24"/>
        </w:rPr>
        <w:t>in tale</w:t>
      </w:r>
      <w:r w:rsidR="00326B10" w:rsidRPr="003C0A29">
        <w:rPr>
          <w:rFonts w:ascii="Times New Roman" w:hAnsi="Times New Roman" w:cs="Times New Roman"/>
          <w:sz w:val="24"/>
          <w:szCs w:val="24"/>
        </w:rPr>
        <w:t xml:space="preserve"> segmento procedimentale trov</w:t>
      </w:r>
      <w:r w:rsidR="003C0A29">
        <w:rPr>
          <w:rFonts w:ascii="Times New Roman" w:hAnsi="Times New Roman" w:cs="Times New Roman"/>
          <w:sz w:val="24"/>
          <w:szCs w:val="24"/>
        </w:rPr>
        <w:t>a</w:t>
      </w:r>
      <w:r w:rsidR="00326B10" w:rsidRPr="003C0A29">
        <w:rPr>
          <w:rFonts w:ascii="Times New Roman" w:hAnsi="Times New Roman" w:cs="Times New Roman"/>
          <w:sz w:val="24"/>
          <w:szCs w:val="24"/>
        </w:rPr>
        <w:t>no applicazione le norme della l. n. 241 del 1990 dedicate alla partecipazione del privato e all’obbligo di motivazione dei provvedimenti.</w:t>
      </w:r>
    </w:p>
    <w:p w:rsidR="00326B10" w:rsidRPr="003C0A29" w:rsidRDefault="0069198E" w:rsidP="003C0A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particolare t</w:t>
      </w:r>
      <w:r w:rsidR="00326B10" w:rsidRPr="003C0A29">
        <w:rPr>
          <w:rFonts w:ascii="Times New Roman" w:hAnsi="Times New Roman" w:cs="Times New Roman"/>
          <w:sz w:val="24"/>
          <w:szCs w:val="24"/>
        </w:rPr>
        <w:t xml:space="preserve">rattandosi di istanza di parte, trova applicazione l’art. 10 bis l. n. 241/1990 </w:t>
      </w:r>
      <w:r w:rsidR="00BD161A">
        <w:rPr>
          <w:rFonts w:ascii="Times New Roman" w:hAnsi="Times New Roman" w:cs="Times New Roman"/>
          <w:sz w:val="24"/>
          <w:szCs w:val="24"/>
        </w:rPr>
        <w:t xml:space="preserve">- nella versione introdotta  </w:t>
      </w:r>
      <w:r w:rsidR="00BD161A" w:rsidRPr="00BD161A">
        <w:rPr>
          <w:rFonts w:ascii="Times New Roman" w:hAnsi="Times New Roman" w:cs="Times New Roman"/>
          <w:sz w:val="24"/>
          <w:szCs w:val="24"/>
        </w:rPr>
        <w:t xml:space="preserve">dall'art. 12, comma 1, </w:t>
      </w:r>
      <w:proofErr w:type="spellStart"/>
      <w:r w:rsidR="00BD161A" w:rsidRPr="00BD161A">
        <w:rPr>
          <w:rFonts w:ascii="Times New Roman" w:hAnsi="Times New Roman" w:cs="Times New Roman"/>
          <w:sz w:val="24"/>
          <w:szCs w:val="24"/>
        </w:rPr>
        <w:t>lett</w:t>
      </w:r>
      <w:proofErr w:type="spellEnd"/>
      <w:r w:rsidR="00BD161A" w:rsidRPr="00BD161A">
        <w:rPr>
          <w:rFonts w:ascii="Times New Roman" w:hAnsi="Times New Roman" w:cs="Times New Roman"/>
          <w:sz w:val="24"/>
          <w:szCs w:val="24"/>
        </w:rPr>
        <w:t>. e), D.L. 16 luglio 2020, n. 76, convertito, con modificazioni, dalla L. 11 settembre 2020, n. 120</w:t>
      </w:r>
      <w:r w:rsidR="00BD161A">
        <w:rPr>
          <w:rFonts w:ascii="Times New Roman" w:hAnsi="Times New Roman" w:cs="Times New Roman"/>
          <w:sz w:val="24"/>
          <w:szCs w:val="24"/>
        </w:rPr>
        <w:t xml:space="preserve"> - </w:t>
      </w:r>
      <w:r w:rsidR="00326B10" w:rsidRPr="003C0A29">
        <w:rPr>
          <w:rFonts w:ascii="Times New Roman" w:hAnsi="Times New Roman" w:cs="Times New Roman"/>
          <w:sz w:val="24"/>
          <w:szCs w:val="24"/>
        </w:rPr>
        <w:t>potendosi instaurare così un contraddittorio</w:t>
      </w:r>
      <w:r w:rsidR="00BD161A">
        <w:rPr>
          <w:rFonts w:ascii="Times New Roman" w:hAnsi="Times New Roman" w:cs="Times New Roman"/>
          <w:sz w:val="24"/>
          <w:szCs w:val="24"/>
        </w:rPr>
        <w:t xml:space="preserve"> pieno</w:t>
      </w:r>
      <w:r w:rsidR="00326B10" w:rsidRPr="003C0A29">
        <w:rPr>
          <w:rFonts w:ascii="Times New Roman" w:hAnsi="Times New Roman" w:cs="Times New Roman"/>
          <w:sz w:val="24"/>
          <w:szCs w:val="24"/>
        </w:rPr>
        <w:t xml:space="preserve"> con l’interessato, in grado di condizionare i contenuti del provvedimento finale</w:t>
      </w:r>
      <w:r w:rsidR="00BD161A">
        <w:rPr>
          <w:rFonts w:ascii="Times New Roman" w:hAnsi="Times New Roman" w:cs="Times New Roman"/>
          <w:sz w:val="24"/>
          <w:szCs w:val="24"/>
        </w:rPr>
        <w:t>, contraddittorio che deve essere improntato alla lealtà reciproca delle parti e al disvelamento, da parte dell’Amministrazione, di tutti gli elementi ostativi all’accoglimento dell’istanza di riesame</w:t>
      </w:r>
      <w:r w:rsidR="00326B10" w:rsidRPr="003C0A29">
        <w:rPr>
          <w:rFonts w:ascii="Times New Roman" w:hAnsi="Times New Roman" w:cs="Times New Roman"/>
          <w:sz w:val="24"/>
          <w:szCs w:val="24"/>
        </w:rPr>
        <w:t>.</w:t>
      </w:r>
      <w:r w:rsidR="00BD161A">
        <w:rPr>
          <w:rFonts w:ascii="Times New Roman" w:hAnsi="Times New Roman" w:cs="Times New Roman"/>
          <w:sz w:val="24"/>
          <w:szCs w:val="24"/>
        </w:rPr>
        <w:t xml:space="preserve"> </w:t>
      </w:r>
    </w:p>
    <w:p w:rsidR="00E10FC7" w:rsidRPr="007D0C8A" w:rsidRDefault="00E10FC7" w:rsidP="00326B10">
      <w:pPr>
        <w:spacing w:after="0"/>
        <w:jc w:val="both"/>
        <w:rPr>
          <w:rFonts w:ascii="Times New Roman" w:hAnsi="Times New Roman" w:cs="Times New Roman"/>
          <w:sz w:val="24"/>
          <w:szCs w:val="24"/>
        </w:rPr>
      </w:pPr>
    </w:p>
    <w:p w:rsidR="00E10FC7" w:rsidRPr="007D0C8A" w:rsidRDefault="00E10FC7" w:rsidP="00BB2A3A">
      <w:pPr>
        <w:spacing w:after="0" w:line="360" w:lineRule="auto"/>
        <w:jc w:val="both"/>
        <w:rPr>
          <w:rFonts w:ascii="Times New Roman" w:hAnsi="Times New Roman" w:cs="Times New Roman"/>
          <w:sz w:val="24"/>
          <w:szCs w:val="24"/>
        </w:rPr>
      </w:pPr>
      <w:r w:rsidRPr="007D0C8A">
        <w:rPr>
          <w:rFonts w:ascii="Times New Roman" w:hAnsi="Times New Roman" w:cs="Times New Roman"/>
          <w:sz w:val="24"/>
          <w:szCs w:val="24"/>
        </w:rPr>
        <w:t>La pendenza di un’istanza di riesame comporta una pluralità di effetti, sia sul piano processuale che su quello sostanziale.</w:t>
      </w:r>
    </w:p>
    <w:p w:rsidR="00E10FC7" w:rsidRPr="007D0C8A" w:rsidRDefault="00E10FC7" w:rsidP="00BB2A3A">
      <w:pPr>
        <w:spacing w:after="0" w:line="360" w:lineRule="auto"/>
        <w:jc w:val="both"/>
        <w:rPr>
          <w:rFonts w:ascii="Times New Roman" w:hAnsi="Times New Roman" w:cs="Times New Roman"/>
          <w:sz w:val="24"/>
          <w:szCs w:val="24"/>
        </w:rPr>
      </w:pPr>
    </w:p>
    <w:p w:rsidR="00E10FC7" w:rsidRDefault="000D2C27" w:rsidP="00BB2A3A">
      <w:pPr>
        <w:spacing w:after="0" w:line="360" w:lineRule="auto"/>
        <w:jc w:val="both"/>
        <w:rPr>
          <w:rFonts w:ascii="Times New Roman" w:hAnsi="Times New Roman" w:cs="Times New Roman"/>
          <w:sz w:val="24"/>
          <w:szCs w:val="24"/>
        </w:rPr>
      </w:pPr>
      <w:r w:rsidRPr="007D0C8A">
        <w:rPr>
          <w:rFonts w:ascii="Times New Roman" w:hAnsi="Times New Roman" w:cs="Times New Roman"/>
          <w:sz w:val="24"/>
          <w:szCs w:val="24"/>
        </w:rPr>
        <w:t>Quanto a quello processuale i</w:t>
      </w:r>
      <w:r w:rsidR="00E10FC7" w:rsidRPr="007D0C8A">
        <w:rPr>
          <w:rFonts w:ascii="Times New Roman" w:hAnsi="Times New Roman" w:cs="Times New Roman"/>
          <w:sz w:val="24"/>
          <w:szCs w:val="24"/>
        </w:rPr>
        <w:t>n caso di inerzia della Prefettura di fronte ad un’istanza di riesame l’operatore economic</w:t>
      </w:r>
      <w:r w:rsidR="003C0A29">
        <w:rPr>
          <w:rFonts w:ascii="Times New Roman" w:hAnsi="Times New Roman" w:cs="Times New Roman"/>
          <w:sz w:val="24"/>
          <w:szCs w:val="24"/>
        </w:rPr>
        <w:t>o</w:t>
      </w:r>
      <w:r w:rsidR="00E10FC7" w:rsidRPr="007D0C8A">
        <w:rPr>
          <w:rFonts w:ascii="Times New Roman" w:hAnsi="Times New Roman" w:cs="Times New Roman"/>
          <w:sz w:val="24"/>
          <w:szCs w:val="24"/>
        </w:rPr>
        <w:t xml:space="preserve"> potrà sicuramente azion</w:t>
      </w:r>
      <w:r w:rsidR="003C0A29">
        <w:rPr>
          <w:rFonts w:ascii="Times New Roman" w:hAnsi="Times New Roman" w:cs="Times New Roman"/>
          <w:sz w:val="24"/>
          <w:szCs w:val="24"/>
        </w:rPr>
        <w:t>are</w:t>
      </w:r>
      <w:r w:rsidR="00E10FC7" w:rsidRPr="007D0C8A">
        <w:rPr>
          <w:rFonts w:ascii="Times New Roman" w:hAnsi="Times New Roman" w:cs="Times New Roman"/>
          <w:sz w:val="24"/>
          <w:szCs w:val="24"/>
        </w:rPr>
        <w:t xml:space="preserve"> la domanda </w:t>
      </w:r>
      <w:r w:rsidR="00E10FC7" w:rsidRPr="007D0C8A">
        <w:rPr>
          <w:rFonts w:ascii="Times New Roman" w:hAnsi="Times New Roman" w:cs="Times New Roman"/>
          <w:i/>
          <w:sz w:val="24"/>
          <w:szCs w:val="24"/>
        </w:rPr>
        <w:t xml:space="preserve">contra </w:t>
      </w:r>
      <w:proofErr w:type="spellStart"/>
      <w:r w:rsidR="00E10FC7" w:rsidRPr="007D0C8A">
        <w:rPr>
          <w:rFonts w:ascii="Times New Roman" w:hAnsi="Times New Roman" w:cs="Times New Roman"/>
          <w:i/>
          <w:sz w:val="24"/>
          <w:szCs w:val="24"/>
        </w:rPr>
        <w:t>silentium</w:t>
      </w:r>
      <w:proofErr w:type="spellEnd"/>
      <w:r w:rsidR="00E10FC7" w:rsidRPr="007D0C8A">
        <w:rPr>
          <w:rFonts w:ascii="Times New Roman" w:hAnsi="Times New Roman" w:cs="Times New Roman"/>
          <w:sz w:val="24"/>
          <w:szCs w:val="24"/>
        </w:rPr>
        <w:t xml:space="preserve">. Siamo sicuramente in presenza di un’attività doverosa da parte della Prefettura, di un obbligo di provvedere reso ancor più pregnante dall’affermazione della Corte Costituzione </w:t>
      </w:r>
      <w:r w:rsidRPr="007D0C8A">
        <w:rPr>
          <w:rFonts w:ascii="Times New Roman" w:hAnsi="Times New Roman" w:cs="Times New Roman"/>
          <w:sz w:val="24"/>
          <w:szCs w:val="24"/>
        </w:rPr>
        <w:t>“</w:t>
      </w:r>
      <w:r w:rsidR="00E10FC7" w:rsidRPr="007D0C8A">
        <w:rPr>
          <w:rFonts w:ascii="Times New Roman" w:hAnsi="Times New Roman" w:cs="Times New Roman"/>
          <w:i/>
          <w:sz w:val="24"/>
          <w:szCs w:val="24"/>
        </w:rPr>
        <w:t>per scongiurare il rischio della persistenza di una misura non più giustificata e quindi di un danno realmente irreversibile</w:t>
      </w:r>
      <w:r w:rsidR="00E10FC7" w:rsidRPr="007D0C8A">
        <w:rPr>
          <w:rFonts w:ascii="Times New Roman" w:hAnsi="Times New Roman" w:cs="Times New Roman"/>
          <w:sz w:val="24"/>
          <w:szCs w:val="24"/>
        </w:rPr>
        <w:t>".</w:t>
      </w:r>
    </w:p>
    <w:p w:rsidR="003C0A29" w:rsidRPr="007D0C8A" w:rsidRDefault="003C0A29" w:rsidP="00BB2A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Pr="003C0A29">
        <w:rPr>
          <w:rFonts w:ascii="Times New Roman" w:hAnsi="Times New Roman" w:cs="Times New Roman"/>
          <w:sz w:val="24"/>
          <w:szCs w:val="24"/>
        </w:rPr>
        <w:t xml:space="preserve">l prefetto non </w:t>
      </w:r>
      <w:r>
        <w:rPr>
          <w:rFonts w:ascii="Times New Roman" w:hAnsi="Times New Roman" w:cs="Times New Roman"/>
          <w:sz w:val="24"/>
          <w:szCs w:val="24"/>
        </w:rPr>
        <w:t>può</w:t>
      </w:r>
      <w:r w:rsidRPr="003C0A29">
        <w:rPr>
          <w:rFonts w:ascii="Times New Roman" w:hAnsi="Times New Roman" w:cs="Times New Roman"/>
          <w:sz w:val="24"/>
          <w:szCs w:val="24"/>
        </w:rPr>
        <w:t xml:space="preserve"> legittimamente sottrarsi all’obbligo di riesaminare il quadro indiziario esistente alla luce dei nuovi dati segnalatigli e di </w:t>
      </w:r>
      <w:proofErr w:type="spellStart"/>
      <w:r w:rsidRPr="003C0A29">
        <w:rPr>
          <w:rFonts w:ascii="Times New Roman" w:hAnsi="Times New Roman" w:cs="Times New Roman"/>
          <w:sz w:val="24"/>
          <w:szCs w:val="24"/>
        </w:rPr>
        <w:t>ripronunciarsi</w:t>
      </w:r>
      <w:proofErr w:type="spellEnd"/>
      <w:r w:rsidRPr="003C0A29">
        <w:rPr>
          <w:rFonts w:ascii="Times New Roman" w:hAnsi="Times New Roman" w:cs="Times New Roman"/>
          <w:sz w:val="24"/>
          <w:szCs w:val="24"/>
        </w:rPr>
        <w:t>, quindi, in via espressa su di esso, ferma restando, naturalmente, la piena discrezionalità del suo potere valutativo in merito al perdurare del rischio di infiltrazione mafiosa</w:t>
      </w:r>
      <w:r>
        <w:rPr>
          <w:rFonts w:ascii="Times New Roman" w:hAnsi="Times New Roman" w:cs="Times New Roman"/>
          <w:sz w:val="24"/>
          <w:szCs w:val="24"/>
        </w:rPr>
        <w:t xml:space="preserve"> </w:t>
      </w:r>
      <w:r>
        <w:rPr>
          <w:rStyle w:val="Rimandonotaapidipagina"/>
          <w:rFonts w:ascii="Times New Roman" w:hAnsi="Times New Roman" w:cs="Times New Roman"/>
          <w:sz w:val="24"/>
          <w:szCs w:val="24"/>
        </w:rPr>
        <w:footnoteReference w:id="15"/>
      </w:r>
      <w:r>
        <w:rPr>
          <w:rFonts w:ascii="Times New Roman" w:hAnsi="Times New Roman" w:cs="Times New Roman"/>
          <w:sz w:val="24"/>
          <w:szCs w:val="24"/>
        </w:rPr>
        <w:t>.</w:t>
      </w:r>
    </w:p>
    <w:p w:rsidR="00E10FC7" w:rsidRPr="007D0C8A" w:rsidRDefault="00E10FC7" w:rsidP="00BB2A3A">
      <w:pPr>
        <w:spacing w:after="0" w:line="360" w:lineRule="auto"/>
        <w:jc w:val="both"/>
        <w:rPr>
          <w:rFonts w:ascii="Times New Roman" w:hAnsi="Times New Roman" w:cs="Times New Roman"/>
          <w:sz w:val="24"/>
          <w:szCs w:val="24"/>
        </w:rPr>
      </w:pPr>
    </w:p>
    <w:p w:rsidR="000D2C27" w:rsidRPr="007D0C8A" w:rsidRDefault="000D2C27" w:rsidP="00BB2A3A">
      <w:pPr>
        <w:spacing w:after="0" w:line="360" w:lineRule="auto"/>
        <w:jc w:val="both"/>
        <w:rPr>
          <w:rFonts w:ascii="Times New Roman" w:hAnsi="Times New Roman" w:cs="Times New Roman"/>
          <w:sz w:val="24"/>
          <w:szCs w:val="24"/>
        </w:rPr>
      </w:pPr>
      <w:r w:rsidRPr="007D0C8A">
        <w:rPr>
          <w:rFonts w:ascii="Times New Roman" w:hAnsi="Times New Roman" w:cs="Times New Roman"/>
          <w:sz w:val="24"/>
          <w:szCs w:val="24"/>
        </w:rPr>
        <w:t xml:space="preserve">Sotto il profilo sostanziale bisogna chiedersi che succede in pendenza di un procedimento di riesame. </w:t>
      </w:r>
    </w:p>
    <w:p w:rsidR="000D2C27" w:rsidRPr="007D0C8A" w:rsidRDefault="000D2C27" w:rsidP="00BB2A3A">
      <w:pPr>
        <w:spacing w:after="0" w:line="360" w:lineRule="auto"/>
        <w:jc w:val="both"/>
        <w:rPr>
          <w:rFonts w:ascii="Times New Roman" w:hAnsi="Times New Roman" w:cs="Times New Roman"/>
          <w:sz w:val="24"/>
          <w:szCs w:val="24"/>
        </w:rPr>
      </w:pPr>
      <w:r w:rsidRPr="007D0C8A">
        <w:rPr>
          <w:rFonts w:ascii="Times New Roman" w:hAnsi="Times New Roman" w:cs="Times New Roman"/>
          <w:sz w:val="24"/>
          <w:szCs w:val="24"/>
        </w:rPr>
        <w:t>Le amministrazioni non potr</w:t>
      </w:r>
      <w:r w:rsidR="00BD161A">
        <w:rPr>
          <w:rFonts w:ascii="Times New Roman" w:hAnsi="Times New Roman" w:cs="Times New Roman"/>
          <w:sz w:val="24"/>
          <w:szCs w:val="24"/>
        </w:rPr>
        <w:t xml:space="preserve">ebbero </w:t>
      </w:r>
      <w:r w:rsidRPr="007D0C8A">
        <w:rPr>
          <w:rFonts w:ascii="Times New Roman" w:hAnsi="Times New Roman" w:cs="Times New Roman"/>
          <w:sz w:val="24"/>
          <w:szCs w:val="24"/>
        </w:rPr>
        <w:t xml:space="preserve">utilizzare gli effetti </w:t>
      </w:r>
      <w:proofErr w:type="spellStart"/>
      <w:r w:rsidRPr="007D0C8A">
        <w:rPr>
          <w:rFonts w:ascii="Times New Roman" w:hAnsi="Times New Roman" w:cs="Times New Roman"/>
          <w:sz w:val="24"/>
          <w:szCs w:val="24"/>
        </w:rPr>
        <w:t>interdittivi</w:t>
      </w:r>
      <w:proofErr w:type="spellEnd"/>
      <w:r w:rsidRPr="007D0C8A">
        <w:rPr>
          <w:rFonts w:ascii="Times New Roman" w:hAnsi="Times New Roman" w:cs="Times New Roman"/>
          <w:sz w:val="24"/>
          <w:szCs w:val="24"/>
        </w:rPr>
        <w:t xml:space="preserve"> del provvedimento oggetto di riesame non tanto perché “scaduto” quanto perché sussiste l’evidenza della probabile non attualità dei presupposti di fatto (data la documentata richiesta dell’interessato).</w:t>
      </w:r>
    </w:p>
    <w:p w:rsidR="000D2C27" w:rsidRDefault="00BD161A" w:rsidP="00BB2A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 può arrivare ad affermare che </w:t>
      </w:r>
      <w:r w:rsidR="000D2C27" w:rsidRPr="007D0C8A">
        <w:rPr>
          <w:rFonts w:ascii="Times New Roman" w:hAnsi="Times New Roman" w:cs="Times New Roman"/>
          <w:sz w:val="24"/>
          <w:szCs w:val="24"/>
        </w:rPr>
        <w:t>le Amministrazioni s</w:t>
      </w:r>
      <w:r>
        <w:rPr>
          <w:rFonts w:ascii="Times New Roman" w:hAnsi="Times New Roman" w:cs="Times New Roman"/>
          <w:sz w:val="24"/>
          <w:szCs w:val="24"/>
        </w:rPr>
        <w:t>iano</w:t>
      </w:r>
      <w:r w:rsidR="000D2C27" w:rsidRPr="007D0C8A">
        <w:rPr>
          <w:rFonts w:ascii="Times New Roman" w:hAnsi="Times New Roman" w:cs="Times New Roman"/>
          <w:sz w:val="24"/>
          <w:szCs w:val="24"/>
        </w:rPr>
        <w:t xml:space="preserve"> inibite dal procedere con atti di decadenza, di risoluzione etc. </w:t>
      </w:r>
      <w:r>
        <w:rPr>
          <w:rFonts w:ascii="Times New Roman" w:hAnsi="Times New Roman" w:cs="Times New Roman"/>
          <w:sz w:val="24"/>
          <w:szCs w:val="24"/>
        </w:rPr>
        <w:t xml:space="preserve">dovendo invece </w:t>
      </w:r>
      <w:r w:rsidR="000D2C27" w:rsidRPr="007D0C8A">
        <w:rPr>
          <w:rFonts w:ascii="Times New Roman" w:hAnsi="Times New Roman" w:cs="Times New Roman"/>
          <w:sz w:val="24"/>
          <w:szCs w:val="24"/>
        </w:rPr>
        <w:t>attendere l’esito del riesame</w:t>
      </w:r>
      <w:r>
        <w:rPr>
          <w:rFonts w:ascii="Times New Roman" w:hAnsi="Times New Roman" w:cs="Times New Roman"/>
          <w:sz w:val="24"/>
          <w:szCs w:val="24"/>
        </w:rPr>
        <w:t>?</w:t>
      </w:r>
    </w:p>
    <w:p w:rsidR="00107274" w:rsidRDefault="00BD161A" w:rsidP="00BB2A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 questo a mio avviso un punto problematico della disciplina</w:t>
      </w:r>
      <w:r w:rsidR="00107274">
        <w:rPr>
          <w:rFonts w:ascii="Times New Roman" w:hAnsi="Times New Roman" w:cs="Times New Roman"/>
          <w:sz w:val="24"/>
          <w:szCs w:val="24"/>
        </w:rPr>
        <w:t xml:space="preserve"> perché si rischia di paralizzare l’attività delle Amministrazioni procedenti. Né si può pensare di </w:t>
      </w:r>
      <w:r w:rsidR="004263B7">
        <w:rPr>
          <w:rFonts w:ascii="Times New Roman" w:hAnsi="Times New Roman" w:cs="Times New Roman"/>
          <w:sz w:val="24"/>
          <w:szCs w:val="24"/>
        </w:rPr>
        <w:t>non considerare la pendenza del procedimento di riesame, che potrebbe condurre ad un provvedimento liberatorio.</w:t>
      </w:r>
    </w:p>
    <w:p w:rsidR="00BD161A" w:rsidRDefault="004263B7" w:rsidP="00BB2A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 una questione aperta con pesanti ricadute sull’attività delle Amministrazioni.</w:t>
      </w:r>
    </w:p>
    <w:p w:rsidR="00BD161A" w:rsidRPr="007D0C8A" w:rsidRDefault="00BD161A" w:rsidP="00BB2A3A">
      <w:pPr>
        <w:spacing w:after="0" w:line="360" w:lineRule="auto"/>
        <w:jc w:val="both"/>
        <w:rPr>
          <w:rFonts w:ascii="Times New Roman" w:hAnsi="Times New Roman" w:cs="Times New Roman"/>
          <w:sz w:val="24"/>
          <w:szCs w:val="24"/>
        </w:rPr>
      </w:pPr>
    </w:p>
    <w:p w:rsidR="00113170" w:rsidRPr="007D0C8A" w:rsidRDefault="004263B7" w:rsidP="00BB2A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Va poi ricordato che i</w:t>
      </w:r>
      <w:r w:rsidR="00113170" w:rsidRPr="007D0C8A">
        <w:rPr>
          <w:rFonts w:ascii="Times New Roman" w:hAnsi="Times New Roman" w:cs="Times New Roman"/>
          <w:sz w:val="24"/>
          <w:szCs w:val="24"/>
        </w:rPr>
        <w:t xml:space="preserve">l dovere di riesame sussiste anche prima della scadenza dell’anno dall’adozione del provvedimento </w:t>
      </w:r>
      <w:proofErr w:type="spellStart"/>
      <w:r w:rsidR="00113170" w:rsidRPr="007D0C8A">
        <w:rPr>
          <w:rFonts w:ascii="Times New Roman" w:hAnsi="Times New Roman" w:cs="Times New Roman"/>
          <w:sz w:val="24"/>
          <w:szCs w:val="24"/>
        </w:rPr>
        <w:t>interdittivo</w:t>
      </w:r>
      <w:proofErr w:type="spellEnd"/>
      <w:r w:rsidR="00113170" w:rsidRPr="007D0C8A">
        <w:rPr>
          <w:rFonts w:ascii="Times New Roman" w:hAnsi="Times New Roman" w:cs="Times New Roman"/>
          <w:sz w:val="24"/>
          <w:szCs w:val="24"/>
        </w:rPr>
        <w:t xml:space="preserve">. </w:t>
      </w:r>
    </w:p>
    <w:p w:rsidR="00F506CA" w:rsidRPr="007D0C8A" w:rsidRDefault="00F506CA" w:rsidP="00BB2A3A">
      <w:pPr>
        <w:spacing w:after="0" w:line="360" w:lineRule="auto"/>
        <w:jc w:val="both"/>
        <w:rPr>
          <w:rFonts w:ascii="Times New Roman" w:hAnsi="Times New Roman" w:cs="Times New Roman"/>
          <w:sz w:val="24"/>
          <w:szCs w:val="24"/>
        </w:rPr>
      </w:pPr>
      <w:r w:rsidRPr="007D0C8A">
        <w:rPr>
          <w:rFonts w:ascii="Times New Roman" w:hAnsi="Times New Roman" w:cs="Times New Roman"/>
          <w:sz w:val="24"/>
          <w:szCs w:val="24"/>
        </w:rPr>
        <w:t xml:space="preserve">L’eventuale sopravvenienza di fatti rilevanti e favorevoli all’operatore economico impone </w:t>
      </w:r>
      <w:r w:rsidR="00BF0EA5" w:rsidRPr="007D0C8A">
        <w:rPr>
          <w:rFonts w:ascii="Times New Roman" w:hAnsi="Times New Roman" w:cs="Times New Roman"/>
          <w:sz w:val="24"/>
          <w:szCs w:val="24"/>
        </w:rPr>
        <w:t xml:space="preserve">infatti </w:t>
      </w:r>
      <w:r w:rsidRPr="007D0C8A">
        <w:rPr>
          <w:rFonts w:ascii="Times New Roman" w:hAnsi="Times New Roman" w:cs="Times New Roman"/>
          <w:sz w:val="24"/>
          <w:szCs w:val="24"/>
        </w:rPr>
        <w:t xml:space="preserve">la relativa revisione </w:t>
      </w:r>
      <w:r w:rsidRPr="007D0C8A">
        <w:rPr>
          <w:rFonts w:ascii="Times New Roman" w:hAnsi="Times New Roman" w:cs="Times New Roman"/>
          <w:i/>
          <w:sz w:val="24"/>
          <w:szCs w:val="24"/>
        </w:rPr>
        <w:t xml:space="preserve">in </w:t>
      </w:r>
      <w:proofErr w:type="spellStart"/>
      <w:r w:rsidRPr="007D0C8A">
        <w:rPr>
          <w:rFonts w:ascii="Times New Roman" w:hAnsi="Times New Roman" w:cs="Times New Roman"/>
          <w:i/>
          <w:sz w:val="24"/>
          <w:szCs w:val="24"/>
        </w:rPr>
        <w:t>bonam</w:t>
      </w:r>
      <w:proofErr w:type="spellEnd"/>
      <w:r w:rsidRPr="007D0C8A">
        <w:rPr>
          <w:rFonts w:ascii="Times New Roman" w:hAnsi="Times New Roman" w:cs="Times New Roman"/>
          <w:i/>
          <w:sz w:val="24"/>
          <w:szCs w:val="24"/>
        </w:rPr>
        <w:t xml:space="preserve"> </w:t>
      </w:r>
      <w:proofErr w:type="spellStart"/>
      <w:r w:rsidRPr="007D0C8A">
        <w:rPr>
          <w:rFonts w:ascii="Times New Roman" w:hAnsi="Times New Roman" w:cs="Times New Roman"/>
          <w:i/>
          <w:sz w:val="24"/>
          <w:szCs w:val="24"/>
        </w:rPr>
        <w:t>partem</w:t>
      </w:r>
      <w:proofErr w:type="spellEnd"/>
      <w:r w:rsidRPr="007D0C8A">
        <w:rPr>
          <w:rFonts w:ascii="Times New Roman" w:hAnsi="Times New Roman" w:cs="Times New Roman"/>
          <w:sz w:val="24"/>
          <w:szCs w:val="24"/>
        </w:rPr>
        <w:t xml:space="preserve"> anteriormente alla scadenza del termine annuale di validità di cui all’art. 86, comma 2, del medesimo codice</w:t>
      </w:r>
      <w:r w:rsidR="0069198E">
        <w:rPr>
          <w:rStyle w:val="Rimandonotaapidipagina"/>
          <w:rFonts w:ascii="Times New Roman" w:hAnsi="Times New Roman" w:cs="Times New Roman"/>
          <w:sz w:val="24"/>
          <w:szCs w:val="24"/>
        </w:rPr>
        <w:footnoteReference w:id="16"/>
      </w:r>
      <w:r w:rsidR="0069198E">
        <w:rPr>
          <w:rFonts w:ascii="Times New Roman" w:hAnsi="Times New Roman" w:cs="Times New Roman"/>
          <w:sz w:val="24"/>
          <w:szCs w:val="24"/>
        </w:rPr>
        <w:t>.</w:t>
      </w:r>
      <w:r w:rsidRPr="007D0C8A">
        <w:rPr>
          <w:rFonts w:ascii="Times New Roman" w:hAnsi="Times New Roman" w:cs="Times New Roman"/>
          <w:sz w:val="24"/>
          <w:szCs w:val="24"/>
        </w:rPr>
        <w:t xml:space="preserve"> </w:t>
      </w:r>
    </w:p>
    <w:p w:rsidR="00BF0EA5" w:rsidRDefault="00BF0EA5" w:rsidP="00BB2A3A">
      <w:pPr>
        <w:spacing w:after="0" w:line="360" w:lineRule="auto"/>
        <w:jc w:val="both"/>
        <w:rPr>
          <w:rFonts w:ascii="Times New Roman" w:hAnsi="Times New Roman" w:cs="Times New Roman"/>
          <w:sz w:val="24"/>
          <w:szCs w:val="24"/>
        </w:rPr>
      </w:pPr>
    </w:p>
    <w:p w:rsidR="00112E98" w:rsidRPr="00112E98" w:rsidRDefault="00112E98" w:rsidP="00112E9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Una</w:t>
      </w:r>
      <w:r w:rsidRPr="00112E98">
        <w:rPr>
          <w:rFonts w:ascii="Times New Roman" w:hAnsi="Times New Roman" w:cs="Times New Roman"/>
          <w:sz w:val="24"/>
          <w:szCs w:val="24"/>
        </w:rPr>
        <w:t xml:space="preserve"> riflessione</w:t>
      </w:r>
      <w:r>
        <w:rPr>
          <w:rFonts w:ascii="Times New Roman" w:hAnsi="Times New Roman" w:cs="Times New Roman"/>
          <w:sz w:val="24"/>
          <w:szCs w:val="24"/>
        </w:rPr>
        <w:t xml:space="preserve"> merita poi </w:t>
      </w:r>
      <w:r w:rsidRPr="00112E98">
        <w:rPr>
          <w:rFonts w:ascii="Times New Roman" w:hAnsi="Times New Roman" w:cs="Times New Roman"/>
          <w:sz w:val="24"/>
          <w:szCs w:val="24"/>
        </w:rPr>
        <w:t xml:space="preserve">la disposizione di cui all’art. 86 comma 5 del D.lgs. 159/2011: </w:t>
      </w:r>
      <w:r w:rsidRPr="00112E98">
        <w:rPr>
          <w:rFonts w:ascii="Times New Roman" w:hAnsi="Times New Roman" w:cs="Times New Roman"/>
          <w:i/>
          <w:sz w:val="24"/>
          <w:szCs w:val="24"/>
        </w:rPr>
        <w:t>I soggetti di cui all'articolo 83, commi 1 e 2, che acquisiscono la comunicazione antimafia, di data non anteriore a sei mesi, o l'informazione antimafia, di data non anteriore a dodici mesi, adottano il provvedimento richiesto e gli atti conseguenti o esecutivi, compresi i pagamenti, anche se il provvedimento o gli atti sono perfezionati o eseguiti in data successiva alla scadenza di validità della predetta documentazione antimafia.</w:t>
      </w:r>
    </w:p>
    <w:p w:rsidR="00112E98" w:rsidRPr="00112E98" w:rsidRDefault="00112E98" w:rsidP="00112E98">
      <w:pPr>
        <w:spacing w:after="0" w:line="360" w:lineRule="auto"/>
        <w:jc w:val="both"/>
        <w:rPr>
          <w:rFonts w:ascii="Times New Roman" w:hAnsi="Times New Roman" w:cs="Times New Roman"/>
          <w:i/>
          <w:sz w:val="24"/>
          <w:szCs w:val="24"/>
        </w:rPr>
      </w:pPr>
    </w:p>
    <w:p w:rsidR="00112E98" w:rsidRPr="00112E98" w:rsidRDefault="00112E98" w:rsidP="00112E98">
      <w:pPr>
        <w:spacing w:after="0" w:line="360" w:lineRule="auto"/>
        <w:jc w:val="both"/>
        <w:rPr>
          <w:rFonts w:ascii="Times New Roman" w:hAnsi="Times New Roman" w:cs="Times New Roman"/>
          <w:sz w:val="24"/>
          <w:szCs w:val="24"/>
        </w:rPr>
      </w:pPr>
      <w:r w:rsidRPr="00112E98">
        <w:rPr>
          <w:rFonts w:ascii="Times New Roman" w:hAnsi="Times New Roman" w:cs="Times New Roman"/>
          <w:sz w:val="24"/>
          <w:szCs w:val="24"/>
        </w:rPr>
        <w:t>La norma sembra introdurre positivamente il tema della ultrattività della documentazione antimafia in dipendenza dall’attività dell’Amministrazione, laddove gli atti - diciamo così - applicativi appartengano alla sequenza del procedimento per cui è stata chiesta la documentazione antimafia.</w:t>
      </w:r>
    </w:p>
    <w:p w:rsidR="00112E98" w:rsidRDefault="00112E98" w:rsidP="00112E98">
      <w:pPr>
        <w:spacing w:after="0" w:line="360" w:lineRule="auto"/>
        <w:jc w:val="both"/>
        <w:rPr>
          <w:rFonts w:ascii="Times New Roman" w:hAnsi="Times New Roman" w:cs="Times New Roman"/>
          <w:sz w:val="24"/>
          <w:szCs w:val="24"/>
        </w:rPr>
      </w:pPr>
      <w:r w:rsidRPr="00112E98">
        <w:rPr>
          <w:rFonts w:ascii="Times New Roman" w:hAnsi="Times New Roman" w:cs="Times New Roman"/>
          <w:sz w:val="24"/>
          <w:szCs w:val="24"/>
        </w:rPr>
        <w:t xml:space="preserve">Ora, </w:t>
      </w:r>
      <w:r>
        <w:rPr>
          <w:rFonts w:ascii="Times New Roman" w:hAnsi="Times New Roman" w:cs="Times New Roman"/>
          <w:sz w:val="24"/>
          <w:szCs w:val="24"/>
        </w:rPr>
        <w:t xml:space="preserve">per come è costruita la norma sotto un profilo letterale (facendo riferimento a atti e provvedimenti favorevoli, si veda in particolare i pagamenti), sembra </w:t>
      </w:r>
      <w:r w:rsidRPr="00112E98">
        <w:rPr>
          <w:rFonts w:ascii="Times New Roman" w:hAnsi="Times New Roman" w:cs="Times New Roman"/>
          <w:sz w:val="24"/>
          <w:szCs w:val="24"/>
        </w:rPr>
        <w:t>riferi</w:t>
      </w:r>
      <w:r>
        <w:rPr>
          <w:rFonts w:ascii="Times New Roman" w:hAnsi="Times New Roman" w:cs="Times New Roman"/>
          <w:sz w:val="24"/>
          <w:szCs w:val="24"/>
        </w:rPr>
        <w:t>rsi</w:t>
      </w:r>
      <w:r w:rsidRPr="00112E98">
        <w:rPr>
          <w:rFonts w:ascii="Times New Roman" w:hAnsi="Times New Roman" w:cs="Times New Roman"/>
          <w:sz w:val="24"/>
          <w:szCs w:val="24"/>
        </w:rPr>
        <w:t xml:space="preserve"> a comunicazioni e informazioni dal contenuto liberatorio </w:t>
      </w:r>
      <w:r>
        <w:rPr>
          <w:rFonts w:ascii="Times New Roman" w:hAnsi="Times New Roman" w:cs="Times New Roman"/>
          <w:sz w:val="24"/>
          <w:szCs w:val="24"/>
        </w:rPr>
        <w:t xml:space="preserve">in cui la ultrattività si giustificherebbe in un’ottica di </w:t>
      </w:r>
      <w:r w:rsidRPr="00112E98">
        <w:rPr>
          <w:rFonts w:ascii="Times New Roman" w:hAnsi="Times New Roman" w:cs="Times New Roman"/>
          <w:sz w:val="24"/>
          <w:szCs w:val="24"/>
        </w:rPr>
        <w:t>semplificazione dell’attività</w:t>
      </w:r>
      <w:r>
        <w:rPr>
          <w:rFonts w:ascii="Times New Roman" w:hAnsi="Times New Roman" w:cs="Times New Roman"/>
          <w:sz w:val="24"/>
          <w:szCs w:val="24"/>
        </w:rPr>
        <w:t xml:space="preserve"> delle Amministrazioni. </w:t>
      </w:r>
    </w:p>
    <w:p w:rsidR="00112E98" w:rsidRPr="00112E98" w:rsidRDefault="00112E98" w:rsidP="00112E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Diversamente, ovvero laddove si ritenesse applicabile anche alle informazioni </w:t>
      </w:r>
      <w:proofErr w:type="spellStart"/>
      <w:r>
        <w:rPr>
          <w:rFonts w:ascii="Times New Roman" w:hAnsi="Times New Roman" w:cs="Times New Roman"/>
          <w:sz w:val="24"/>
          <w:szCs w:val="24"/>
        </w:rPr>
        <w:t>interdittive</w:t>
      </w:r>
      <w:proofErr w:type="spellEnd"/>
      <w:r>
        <w:rPr>
          <w:rFonts w:ascii="Times New Roman" w:hAnsi="Times New Roman" w:cs="Times New Roman"/>
          <w:sz w:val="24"/>
          <w:szCs w:val="24"/>
        </w:rPr>
        <w:t xml:space="preserve"> ci si dovrebbe porre la </w:t>
      </w:r>
      <w:r w:rsidR="002503EA">
        <w:rPr>
          <w:rFonts w:ascii="Times New Roman" w:hAnsi="Times New Roman" w:cs="Times New Roman"/>
          <w:sz w:val="24"/>
          <w:szCs w:val="24"/>
        </w:rPr>
        <w:t>domanda</w:t>
      </w:r>
      <w:r>
        <w:rPr>
          <w:rFonts w:ascii="Times New Roman" w:hAnsi="Times New Roman" w:cs="Times New Roman"/>
          <w:sz w:val="24"/>
          <w:szCs w:val="24"/>
        </w:rPr>
        <w:t xml:space="preserve"> circa</w:t>
      </w:r>
      <w:r w:rsidRPr="00112E98">
        <w:rPr>
          <w:rFonts w:ascii="Times New Roman" w:hAnsi="Times New Roman" w:cs="Times New Roman"/>
          <w:sz w:val="24"/>
          <w:szCs w:val="24"/>
        </w:rPr>
        <w:t xml:space="preserve"> </w:t>
      </w:r>
      <w:r>
        <w:rPr>
          <w:rFonts w:ascii="Times New Roman" w:hAnsi="Times New Roman" w:cs="Times New Roman"/>
          <w:sz w:val="24"/>
          <w:szCs w:val="24"/>
        </w:rPr>
        <w:t>l’</w:t>
      </w:r>
      <w:r w:rsidRPr="00112E98">
        <w:rPr>
          <w:rFonts w:ascii="Times New Roman" w:hAnsi="Times New Roman" w:cs="Times New Roman"/>
          <w:sz w:val="24"/>
          <w:szCs w:val="24"/>
        </w:rPr>
        <w:t>attualità dei presupposti fattuali a sostegno dell’informazione assunta, che non sarebbero oggetto di alcuna verifica al momento dell’adozione dell’atto applicativo.</w:t>
      </w:r>
    </w:p>
    <w:p w:rsidR="00112E98" w:rsidRDefault="00112E98" w:rsidP="00112E98">
      <w:pPr>
        <w:spacing w:after="0" w:line="360" w:lineRule="auto"/>
        <w:jc w:val="both"/>
        <w:rPr>
          <w:rFonts w:ascii="Times New Roman" w:hAnsi="Times New Roman" w:cs="Times New Roman"/>
          <w:sz w:val="24"/>
          <w:szCs w:val="24"/>
        </w:rPr>
      </w:pPr>
    </w:p>
    <w:p w:rsidR="002503EA" w:rsidRDefault="002503EA" w:rsidP="00BB2A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Un altro spunto di riflessione sempre in tema di effetti nel tempo delle informazioni </w:t>
      </w:r>
      <w:proofErr w:type="spellStart"/>
      <w:r>
        <w:rPr>
          <w:rFonts w:ascii="Times New Roman" w:hAnsi="Times New Roman" w:cs="Times New Roman"/>
          <w:sz w:val="24"/>
          <w:szCs w:val="24"/>
        </w:rPr>
        <w:t>interdittive</w:t>
      </w:r>
      <w:proofErr w:type="spellEnd"/>
      <w:r>
        <w:rPr>
          <w:rFonts w:ascii="Times New Roman" w:hAnsi="Times New Roman" w:cs="Times New Roman"/>
          <w:sz w:val="24"/>
          <w:szCs w:val="24"/>
        </w:rPr>
        <w:t xml:space="preserve"> è dato dal rapporto tra tali misure ed il controllo giudiziale di cui all’art. 34 bis del D.lgs. 159/2011, introdotto </w:t>
      </w:r>
      <w:r w:rsidRPr="002503EA">
        <w:rPr>
          <w:rFonts w:ascii="Times New Roman" w:hAnsi="Times New Roman" w:cs="Times New Roman"/>
          <w:sz w:val="24"/>
          <w:szCs w:val="24"/>
        </w:rPr>
        <w:t>dall'art. 11, comma 1, L. 17 ottobre 2017, n. 161</w:t>
      </w:r>
      <w:r>
        <w:rPr>
          <w:rFonts w:ascii="Times New Roman" w:hAnsi="Times New Roman" w:cs="Times New Roman"/>
          <w:sz w:val="24"/>
          <w:szCs w:val="24"/>
        </w:rPr>
        <w:t xml:space="preserve">, ovvero </w:t>
      </w:r>
      <w:r w:rsidRPr="002503EA">
        <w:rPr>
          <w:rFonts w:ascii="Times New Roman" w:hAnsi="Times New Roman" w:cs="Times New Roman"/>
          <w:sz w:val="24"/>
          <w:szCs w:val="24"/>
        </w:rPr>
        <w:t>l'amministrazione giudiziaria prevista dall'articolo 34</w:t>
      </w:r>
      <w:r>
        <w:rPr>
          <w:rFonts w:ascii="Times New Roman" w:hAnsi="Times New Roman" w:cs="Times New Roman"/>
          <w:sz w:val="24"/>
          <w:szCs w:val="24"/>
        </w:rPr>
        <w:t xml:space="preserve"> del medesimo Testo Unico.</w:t>
      </w:r>
    </w:p>
    <w:p w:rsidR="002503EA" w:rsidRDefault="002503EA" w:rsidP="00BB2A3A">
      <w:pPr>
        <w:spacing w:after="0" w:line="360" w:lineRule="auto"/>
        <w:jc w:val="both"/>
        <w:rPr>
          <w:rFonts w:ascii="Times New Roman" w:hAnsi="Times New Roman" w:cs="Times New Roman"/>
          <w:sz w:val="24"/>
          <w:szCs w:val="24"/>
        </w:rPr>
      </w:pPr>
      <w:r w:rsidRPr="002503EA">
        <w:rPr>
          <w:rFonts w:ascii="Times New Roman" w:hAnsi="Times New Roman" w:cs="Times New Roman"/>
          <w:sz w:val="24"/>
          <w:szCs w:val="24"/>
        </w:rPr>
        <w:t>Il controllo giudiziario è adottato dal tribunale per un periodo non inferiore a un anno e non superiore a tre anni.</w:t>
      </w:r>
    </w:p>
    <w:p w:rsidR="000F2203" w:rsidRDefault="000F2203" w:rsidP="00BB2A3A">
      <w:pPr>
        <w:spacing w:after="0" w:line="360" w:lineRule="auto"/>
        <w:jc w:val="both"/>
        <w:rPr>
          <w:rFonts w:ascii="Times New Roman" w:hAnsi="Times New Roman" w:cs="Times New Roman"/>
          <w:sz w:val="24"/>
          <w:szCs w:val="24"/>
        </w:rPr>
      </w:pPr>
      <w:r w:rsidRPr="000F2203">
        <w:rPr>
          <w:rFonts w:ascii="Times New Roman" w:hAnsi="Times New Roman" w:cs="Times New Roman"/>
          <w:sz w:val="24"/>
          <w:szCs w:val="24"/>
        </w:rPr>
        <w:t>L'amministrazione giudiziaria dei beni è adottata per un periodo non superiore a un anno e può essere prorogata di ulteriori sei mesi per un periodo comunque non superiore complessivamente a due anni</w:t>
      </w:r>
      <w:r>
        <w:rPr>
          <w:rFonts w:ascii="Times New Roman" w:hAnsi="Times New Roman" w:cs="Times New Roman"/>
          <w:sz w:val="24"/>
          <w:szCs w:val="24"/>
        </w:rPr>
        <w:t>.</w:t>
      </w:r>
    </w:p>
    <w:p w:rsidR="00767A24" w:rsidRDefault="00767A24" w:rsidP="00BB2A3A">
      <w:pPr>
        <w:spacing w:after="0" w:line="360" w:lineRule="auto"/>
        <w:jc w:val="both"/>
        <w:rPr>
          <w:rFonts w:ascii="Times New Roman" w:hAnsi="Times New Roman" w:cs="Times New Roman"/>
          <w:sz w:val="24"/>
          <w:szCs w:val="24"/>
        </w:rPr>
      </w:pPr>
    </w:p>
    <w:p w:rsidR="00F506CA" w:rsidRDefault="002503EA" w:rsidP="00BB2A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Come noto, l’art. 34 bis, al comma 7, prevede che </w:t>
      </w:r>
      <w:r w:rsidRPr="002503EA">
        <w:rPr>
          <w:rFonts w:ascii="Times New Roman" w:hAnsi="Times New Roman" w:cs="Times New Roman"/>
          <w:i/>
          <w:sz w:val="24"/>
          <w:szCs w:val="24"/>
        </w:rPr>
        <w:t>Il provvedimento che dispone l'amministrazione giudiziaria prevista dall'articolo 34 o il controllo giudiziario ai sensi del presente articolo sospende il termine di cui all'articolo 92, comma 2,</w:t>
      </w:r>
      <w:r w:rsidR="0069198E">
        <w:rPr>
          <w:rFonts w:ascii="Times New Roman" w:hAnsi="Times New Roman" w:cs="Times New Roman"/>
          <w:i/>
          <w:sz w:val="24"/>
          <w:szCs w:val="24"/>
        </w:rPr>
        <w:t xml:space="preserve"> </w:t>
      </w:r>
      <w:r>
        <w:rPr>
          <w:rFonts w:ascii="Times New Roman" w:hAnsi="Times New Roman" w:cs="Times New Roman"/>
          <w:sz w:val="24"/>
          <w:szCs w:val="24"/>
        </w:rPr>
        <w:t>(ovvero il termine del procedimento per il rilascio delle informazioni antimafia)</w:t>
      </w:r>
      <w:r w:rsidRPr="002503EA">
        <w:rPr>
          <w:rFonts w:ascii="Times New Roman" w:hAnsi="Times New Roman" w:cs="Times New Roman"/>
          <w:i/>
          <w:sz w:val="24"/>
          <w:szCs w:val="24"/>
        </w:rPr>
        <w:t xml:space="preserve"> nonché gli effetti di cui all'articolo 94</w:t>
      </w:r>
      <w:r w:rsidRPr="002503EA">
        <w:rPr>
          <w:rFonts w:ascii="Times New Roman" w:hAnsi="Times New Roman" w:cs="Times New Roman"/>
          <w:sz w:val="24"/>
          <w:szCs w:val="24"/>
        </w:rPr>
        <w:t>.</w:t>
      </w:r>
    </w:p>
    <w:p w:rsidR="00767A24" w:rsidRDefault="00767A24" w:rsidP="000F2203">
      <w:pPr>
        <w:spacing w:after="0" w:line="360" w:lineRule="auto"/>
        <w:jc w:val="both"/>
        <w:rPr>
          <w:rFonts w:ascii="Times New Roman" w:hAnsi="Times New Roman" w:cs="Times New Roman"/>
          <w:sz w:val="24"/>
          <w:szCs w:val="24"/>
        </w:rPr>
      </w:pPr>
    </w:p>
    <w:p w:rsidR="00F74E64" w:rsidRDefault="000F2203" w:rsidP="000F22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giurisprudenza mi sembra attestata nel ritenere che l</w:t>
      </w:r>
      <w:r w:rsidRPr="000F2203">
        <w:rPr>
          <w:rFonts w:ascii="Times New Roman" w:hAnsi="Times New Roman" w:cs="Times New Roman"/>
          <w:sz w:val="24"/>
          <w:szCs w:val="24"/>
        </w:rPr>
        <w:t xml:space="preserve">a sospensione </w:t>
      </w:r>
      <w:r w:rsidRPr="000F2203">
        <w:rPr>
          <w:rFonts w:ascii="Times New Roman" w:hAnsi="Times New Roman" w:cs="Times New Roman"/>
          <w:i/>
          <w:sz w:val="24"/>
          <w:szCs w:val="24"/>
        </w:rPr>
        <w:t xml:space="preserve">ex </w:t>
      </w:r>
      <w:proofErr w:type="spellStart"/>
      <w:r w:rsidRPr="000F2203">
        <w:rPr>
          <w:rFonts w:ascii="Times New Roman" w:hAnsi="Times New Roman" w:cs="Times New Roman"/>
          <w:i/>
          <w:sz w:val="24"/>
          <w:szCs w:val="24"/>
        </w:rPr>
        <w:t>lege</w:t>
      </w:r>
      <w:proofErr w:type="spellEnd"/>
      <w:r w:rsidRPr="000F2203">
        <w:rPr>
          <w:rFonts w:ascii="Times New Roman" w:hAnsi="Times New Roman" w:cs="Times New Roman"/>
          <w:sz w:val="24"/>
          <w:szCs w:val="24"/>
        </w:rPr>
        <w:t xml:space="preserve"> degli effetti dell'informazione </w:t>
      </w:r>
      <w:proofErr w:type="spellStart"/>
      <w:r w:rsidRPr="000F2203">
        <w:rPr>
          <w:rFonts w:ascii="Times New Roman" w:hAnsi="Times New Roman" w:cs="Times New Roman"/>
          <w:sz w:val="24"/>
          <w:szCs w:val="24"/>
        </w:rPr>
        <w:t>interdittiva</w:t>
      </w:r>
      <w:proofErr w:type="spellEnd"/>
      <w:r w:rsidRPr="000F2203">
        <w:rPr>
          <w:rFonts w:ascii="Times New Roman" w:hAnsi="Times New Roman" w:cs="Times New Roman"/>
          <w:sz w:val="24"/>
          <w:szCs w:val="24"/>
        </w:rPr>
        <w:t xml:space="preserve"> a seguito dell'ammissione alla misura del controllo giudiziario non ha carattere retroattivo, in assenza di un'espressa disposizione che ciò preved</w:t>
      </w:r>
      <w:r w:rsidR="0065404D">
        <w:rPr>
          <w:rFonts w:ascii="Times New Roman" w:hAnsi="Times New Roman" w:cs="Times New Roman"/>
          <w:sz w:val="24"/>
          <w:szCs w:val="24"/>
        </w:rPr>
        <w:t>a</w:t>
      </w:r>
      <w:r>
        <w:rPr>
          <w:rFonts w:ascii="Times New Roman" w:hAnsi="Times New Roman" w:cs="Times New Roman"/>
          <w:sz w:val="24"/>
          <w:szCs w:val="24"/>
        </w:rPr>
        <w:t xml:space="preserve">. Conseguentemente </w:t>
      </w:r>
      <w:r w:rsidRPr="000F2203">
        <w:rPr>
          <w:rFonts w:ascii="Times New Roman" w:hAnsi="Times New Roman" w:cs="Times New Roman"/>
          <w:sz w:val="24"/>
          <w:szCs w:val="24"/>
        </w:rPr>
        <w:t xml:space="preserve">alla misura dell'ammissione al controllo giudiziario </w:t>
      </w:r>
      <w:r>
        <w:rPr>
          <w:rFonts w:ascii="Times New Roman" w:hAnsi="Times New Roman" w:cs="Times New Roman"/>
          <w:sz w:val="24"/>
          <w:szCs w:val="24"/>
        </w:rPr>
        <w:t xml:space="preserve">non consegue </w:t>
      </w:r>
      <w:r w:rsidRPr="000F2203">
        <w:rPr>
          <w:rFonts w:ascii="Times New Roman" w:hAnsi="Times New Roman" w:cs="Times New Roman"/>
          <w:sz w:val="24"/>
          <w:szCs w:val="24"/>
        </w:rPr>
        <w:t xml:space="preserve">l'obbligo della Amministrazione aggiudicatrice di annullare la precedente esclusione e riammettere alla gara il partecipante. La sospensione degli effetti dell'informativa antimafia </w:t>
      </w:r>
      <w:r>
        <w:rPr>
          <w:rFonts w:ascii="Times New Roman" w:hAnsi="Times New Roman" w:cs="Times New Roman"/>
          <w:sz w:val="24"/>
          <w:szCs w:val="24"/>
        </w:rPr>
        <w:t>a seguito de</w:t>
      </w:r>
      <w:r w:rsidRPr="000F2203">
        <w:rPr>
          <w:rFonts w:ascii="Times New Roman" w:hAnsi="Times New Roman" w:cs="Times New Roman"/>
          <w:sz w:val="24"/>
          <w:szCs w:val="24"/>
        </w:rPr>
        <w:t xml:space="preserve">ll'ammissione al controllo giudiziario costituisce, invece, un rimedio volto a consentire all'impresa che ne beneficia di partecipare alle procedure di appalto successivamente indette, ma non anche a "sanare" la partecipazione dell'operatore economico </w:t>
      </w:r>
      <w:r>
        <w:rPr>
          <w:rFonts w:ascii="Times New Roman" w:hAnsi="Times New Roman" w:cs="Times New Roman"/>
          <w:sz w:val="24"/>
          <w:szCs w:val="24"/>
        </w:rPr>
        <w:t>a gare precedenti</w:t>
      </w:r>
      <w:r>
        <w:rPr>
          <w:rStyle w:val="Rimandonotaapidipagina"/>
          <w:rFonts w:ascii="Times New Roman" w:hAnsi="Times New Roman" w:cs="Times New Roman"/>
          <w:sz w:val="24"/>
          <w:szCs w:val="24"/>
        </w:rPr>
        <w:footnoteReference w:id="17"/>
      </w:r>
      <w:r w:rsidR="00F74E64">
        <w:rPr>
          <w:rFonts w:ascii="Times New Roman" w:hAnsi="Times New Roman" w:cs="Times New Roman"/>
          <w:sz w:val="24"/>
          <w:szCs w:val="24"/>
        </w:rPr>
        <w:t>.</w:t>
      </w:r>
    </w:p>
    <w:p w:rsidR="00F74E64" w:rsidRDefault="00F74E64" w:rsidP="000F2203">
      <w:pPr>
        <w:spacing w:after="0" w:line="360" w:lineRule="auto"/>
        <w:jc w:val="both"/>
        <w:rPr>
          <w:rFonts w:ascii="Times New Roman" w:hAnsi="Times New Roman" w:cs="Times New Roman"/>
          <w:sz w:val="24"/>
          <w:szCs w:val="24"/>
        </w:rPr>
      </w:pPr>
    </w:p>
    <w:p w:rsidR="00BC5CC3" w:rsidRDefault="00F74E64" w:rsidP="000F22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Che accade al termine della durata dell’amministrazione giudiziaria o del controllo giudiziale in relazione alle informazioni </w:t>
      </w:r>
      <w:proofErr w:type="spellStart"/>
      <w:r>
        <w:rPr>
          <w:rFonts w:ascii="Times New Roman" w:hAnsi="Times New Roman" w:cs="Times New Roman"/>
          <w:sz w:val="24"/>
          <w:szCs w:val="24"/>
        </w:rPr>
        <w:t>interdittive</w:t>
      </w:r>
      <w:proofErr w:type="spellEnd"/>
      <w:r>
        <w:rPr>
          <w:rFonts w:ascii="Times New Roman" w:hAnsi="Times New Roman" w:cs="Times New Roman"/>
          <w:sz w:val="24"/>
          <w:szCs w:val="24"/>
        </w:rPr>
        <w:t xml:space="preserve"> sospese per effetto dell’adozione di tali istituti? Dato che la norma parla di sospensione degli effetti dovrebbe ritenersi che la misura </w:t>
      </w:r>
      <w:proofErr w:type="spellStart"/>
      <w:r>
        <w:rPr>
          <w:rFonts w:ascii="Times New Roman" w:hAnsi="Times New Roman" w:cs="Times New Roman"/>
          <w:sz w:val="24"/>
          <w:szCs w:val="24"/>
        </w:rPr>
        <w:t>interdittiva</w:t>
      </w:r>
      <w:proofErr w:type="spellEnd"/>
      <w:r>
        <w:rPr>
          <w:rFonts w:ascii="Times New Roman" w:hAnsi="Times New Roman" w:cs="Times New Roman"/>
          <w:sz w:val="24"/>
          <w:szCs w:val="24"/>
        </w:rPr>
        <w:t xml:space="preserve"> riprenda</w:t>
      </w:r>
      <w:r w:rsidR="00BC5CC3">
        <w:rPr>
          <w:rFonts w:ascii="Times New Roman" w:hAnsi="Times New Roman" w:cs="Times New Roman"/>
          <w:sz w:val="24"/>
          <w:szCs w:val="24"/>
        </w:rPr>
        <w:t xml:space="preserve">, </w:t>
      </w:r>
      <w:r w:rsidR="00BC5CC3">
        <w:rPr>
          <w:rFonts w:ascii="Times New Roman" w:hAnsi="Times New Roman" w:cs="Times New Roman"/>
          <w:i/>
          <w:sz w:val="24"/>
          <w:szCs w:val="24"/>
        </w:rPr>
        <w:t>sic et simpliciter</w:t>
      </w:r>
      <w:r w:rsidR="00BC5CC3">
        <w:rPr>
          <w:rFonts w:ascii="Times New Roman" w:hAnsi="Times New Roman" w:cs="Times New Roman"/>
          <w:sz w:val="24"/>
          <w:szCs w:val="24"/>
        </w:rPr>
        <w:t>,</w:t>
      </w:r>
      <w:r>
        <w:rPr>
          <w:rFonts w:ascii="Times New Roman" w:hAnsi="Times New Roman" w:cs="Times New Roman"/>
          <w:sz w:val="24"/>
          <w:szCs w:val="24"/>
        </w:rPr>
        <w:t xml:space="preserve"> ad avere efficacia. </w:t>
      </w:r>
    </w:p>
    <w:p w:rsidR="00F74E64" w:rsidRDefault="00F74E64" w:rsidP="000F22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Eppure, stante il lasso di tempo trascorso (ben tre anni per il controllo giudiziario), l’attualità dei presupposti a sostegno dell’</w:t>
      </w:r>
      <w:proofErr w:type="spellStart"/>
      <w:r>
        <w:rPr>
          <w:rFonts w:ascii="Times New Roman" w:hAnsi="Times New Roman" w:cs="Times New Roman"/>
          <w:sz w:val="24"/>
          <w:szCs w:val="24"/>
        </w:rPr>
        <w:t>interdittiva</w:t>
      </w:r>
      <w:proofErr w:type="spellEnd"/>
      <w:r>
        <w:rPr>
          <w:rFonts w:ascii="Times New Roman" w:hAnsi="Times New Roman" w:cs="Times New Roman"/>
          <w:sz w:val="24"/>
          <w:szCs w:val="24"/>
        </w:rPr>
        <w:t xml:space="preserve"> andrebbe certamente verificata.</w:t>
      </w:r>
    </w:p>
    <w:p w:rsidR="000F2203" w:rsidRDefault="00F74E64" w:rsidP="000F22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Non mi sembra pertanto convincente l’orientamento che qualifica come mera comunicazione l’atto con cui </w:t>
      </w:r>
      <w:r w:rsidRPr="00F74E64">
        <w:rPr>
          <w:rFonts w:ascii="Times New Roman" w:hAnsi="Times New Roman" w:cs="Times New Roman"/>
          <w:sz w:val="24"/>
          <w:szCs w:val="24"/>
        </w:rPr>
        <w:t>la Prefettura porta a conoscenza dell'impresa interessata la chiusura del controllo giudiziario</w:t>
      </w:r>
      <w:r>
        <w:rPr>
          <w:rFonts w:ascii="Times New Roman" w:hAnsi="Times New Roman" w:cs="Times New Roman"/>
          <w:sz w:val="24"/>
          <w:szCs w:val="24"/>
        </w:rPr>
        <w:t xml:space="preserve">, </w:t>
      </w:r>
      <w:r w:rsidR="00F20047">
        <w:rPr>
          <w:rFonts w:ascii="Times New Roman" w:hAnsi="Times New Roman" w:cs="Times New Roman"/>
          <w:sz w:val="24"/>
          <w:szCs w:val="24"/>
        </w:rPr>
        <w:t xml:space="preserve">qualificandolo sostanzialmente un atto </w:t>
      </w:r>
      <w:proofErr w:type="spellStart"/>
      <w:r>
        <w:rPr>
          <w:rFonts w:ascii="Times New Roman" w:hAnsi="Times New Roman" w:cs="Times New Roman"/>
          <w:sz w:val="24"/>
          <w:szCs w:val="24"/>
        </w:rPr>
        <w:t>notiziatorio</w:t>
      </w:r>
      <w:proofErr w:type="spellEnd"/>
      <w:r>
        <w:rPr>
          <w:rFonts w:ascii="Times New Roman" w:hAnsi="Times New Roman" w:cs="Times New Roman"/>
          <w:sz w:val="24"/>
          <w:szCs w:val="24"/>
        </w:rPr>
        <w:t xml:space="preserve"> </w:t>
      </w:r>
      <w:r w:rsidRPr="00F74E64">
        <w:rPr>
          <w:rFonts w:ascii="Times New Roman" w:hAnsi="Times New Roman" w:cs="Times New Roman"/>
          <w:sz w:val="24"/>
          <w:szCs w:val="24"/>
        </w:rPr>
        <w:t xml:space="preserve">del venir meno della causa di sospensione dell'efficacia </w:t>
      </w:r>
      <w:r w:rsidRPr="00F74E64">
        <w:rPr>
          <w:rFonts w:ascii="Times New Roman" w:hAnsi="Times New Roman" w:cs="Times New Roman"/>
          <w:i/>
          <w:sz w:val="24"/>
          <w:szCs w:val="24"/>
        </w:rPr>
        <w:t xml:space="preserve">ex </w:t>
      </w:r>
      <w:proofErr w:type="spellStart"/>
      <w:r w:rsidRPr="00F74E64">
        <w:rPr>
          <w:rFonts w:ascii="Times New Roman" w:hAnsi="Times New Roman" w:cs="Times New Roman"/>
          <w:i/>
          <w:sz w:val="24"/>
          <w:szCs w:val="24"/>
        </w:rPr>
        <w:t>lege</w:t>
      </w:r>
      <w:proofErr w:type="spellEnd"/>
      <w:r w:rsidRPr="00F74E64">
        <w:rPr>
          <w:rFonts w:ascii="Times New Roman" w:hAnsi="Times New Roman" w:cs="Times New Roman"/>
          <w:sz w:val="24"/>
          <w:szCs w:val="24"/>
        </w:rPr>
        <w:t xml:space="preserve"> della informativa antimafia con conseguente</w:t>
      </w:r>
      <w:r w:rsidR="00F20047">
        <w:rPr>
          <w:rFonts w:ascii="Times New Roman" w:hAnsi="Times New Roman" w:cs="Times New Roman"/>
          <w:sz w:val="24"/>
          <w:szCs w:val="24"/>
        </w:rPr>
        <w:t xml:space="preserve"> ripresa di</w:t>
      </w:r>
      <w:r w:rsidRPr="00F74E64">
        <w:rPr>
          <w:rFonts w:ascii="Times New Roman" w:hAnsi="Times New Roman" w:cs="Times New Roman"/>
          <w:sz w:val="24"/>
          <w:szCs w:val="24"/>
        </w:rPr>
        <w:t xml:space="preserve"> efficacia della stessa</w:t>
      </w:r>
      <w:r>
        <w:rPr>
          <w:rStyle w:val="Rimandonotaapidipagina"/>
          <w:rFonts w:ascii="Times New Roman" w:hAnsi="Times New Roman" w:cs="Times New Roman"/>
          <w:sz w:val="24"/>
          <w:szCs w:val="24"/>
        </w:rPr>
        <w:footnoteReference w:id="18"/>
      </w:r>
      <w:r w:rsidRPr="00F74E64">
        <w:rPr>
          <w:rFonts w:ascii="Times New Roman" w:hAnsi="Times New Roman" w:cs="Times New Roman"/>
          <w:sz w:val="24"/>
          <w:szCs w:val="24"/>
        </w:rPr>
        <w:t>.</w:t>
      </w:r>
      <w:r>
        <w:rPr>
          <w:rFonts w:ascii="Times New Roman" w:hAnsi="Times New Roman" w:cs="Times New Roman"/>
          <w:sz w:val="24"/>
          <w:szCs w:val="24"/>
        </w:rPr>
        <w:t xml:space="preserve"> </w:t>
      </w:r>
    </w:p>
    <w:p w:rsidR="00F20047" w:rsidRDefault="00F20047" w:rsidP="000F2203">
      <w:pPr>
        <w:spacing w:after="0" w:line="360" w:lineRule="auto"/>
        <w:jc w:val="both"/>
        <w:rPr>
          <w:rFonts w:ascii="Times New Roman" w:hAnsi="Times New Roman" w:cs="Times New Roman"/>
          <w:sz w:val="24"/>
          <w:szCs w:val="24"/>
        </w:rPr>
      </w:pPr>
    </w:p>
    <w:p w:rsidR="00AC0BBA" w:rsidRDefault="00F74E64" w:rsidP="000F22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mio avviso la Prefettura ha il dovere di verificare la permanenza dei presupposti </w:t>
      </w:r>
      <w:r w:rsidR="00AC0BBA">
        <w:rPr>
          <w:rFonts w:ascii="Times New Roman" w:hAnsi="Times New Roman" w:cs="Times New Roman"/>
          <w:sz w:val="24"/>
          <w:szCs w:val="24"/>
        </w:rPr>
        <w:t xml:space="preserve">a sostegno dell’informazione </w:t>
      </w:r>
      <w:proofErr w:type="spellStart"/>
      <w:r w:rsidR="00AC0BBA">
        <w:rPr>
          <w:rFonts w:ascii="Times New Roman" w:hAnsi="Times New Roman" w:cs="Times New Roman"/>
          <w:sz w:val="24"/>
          <w:szCs w:val="24"/>
        </w:rPr>
        <w:t>interdittiva</w:t>
      </w:r>
      <w:proofErr w:type="spellEnd"/>
      <w:r w:rsidR="00AC0BBA">
        <w:rPr>
          <w:rFonts w:ascii="Times New Roman" w:hAnsi="Times New Roman" w:cs="Times New Roman"/>
          <w:sz w:val="24"/>
          <w:szCs w:val="24"/>
        </w:rPr>
        <w:t>, adottando un vero e proprio provvedimento confermativo, ovvero un provvedimento liberatorio in assenza dei predetti presupposti.</w:t>
      </w:r>
    </w:p>
    <w:p w:rsidR="00820005" w:rsidRDefault="00820005" w:rsidP="000F22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Altrimenti ritengo che l’operatore sia legittimato a presentare istanza di riesame non appena ricevuta la comunicazione circa la ripresa di efficacia dell’informativa.</w:t>
      </w:r>
    </w:p>
    <w:p w:rsidR="00820005" w:rsidRDefault="00820005" w:rsidP="000F2203">
      <w:pPr>
        <w:spacing w:after="0" w:line="360" w:lineRule="auto"/>
        <w:jc w:val="both"/>
        <w:rPr>
          <w:rFonts w:ascii="Times New Roman" w:hAnsi="Times New Roman" w:cs="Times New Roman"/>
          <w:sz w:val="24"/>
          <w:szCs w:val="24"/>
        </w:rPr>
      </w:pPr>
    </w:p>
    <w:p w:rsidR="00BC5CC3" w:rsidRDefault="00BC5CC3" w:rsidP="000F22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Anche in questo caso il tema centrale è quindi quello dell’attualità dei fatti esaminati</w:t>
      </w:r>
      <w:r w:rsidR="0069198E">
        <w:rPr>
          <w:rFonts w:ascii="Times New Roman" w:hAnsi="Times New Roman" w:cs="Times New Roman"/>
          <w:sz w:val="24"/>
          <w:szCs w:val="24"/>
        </w:rPr>
        <w:t>, concetto che riempie di contenuto sostanziale il principio declinato nell’art. 86 comma 2 del D.lgs. 159/2011 della temporaneità dell’</w:t>
      </w:r>
      <w:proofErr w:type="spellStart"/>
      <w:r w:rsidR="0069198E">
        <w:rPr>
          <w:rFonts w:ascii="Times New Roman" w:hAnsi="Times New Roman" w:cs="Times New Roman"/>
          <w:sz w:val="24"/>
          <w:szCs w:val="24"/>
        </w:rPr>
        <w:t>interdittiva</w:t>
      </w:r>
      <w:proofErr w:type="spellEnd"/>
      <w:r w:rsidR="0069198E">
        <w:rPr>
          <w:rFonts w:ascii="Times New Roman" w:hAnsi="Times New Roman" w:cs="Times New Roman"/>
          <w:sz w:val="24"/>
          <w:szCs w:val="24"/>
        </w:rPr>
        <w:t xml:space="preserve"> antimafia</w:t>
      </w:r>
      <w:r>
        <w:rPr>
          <w:rFonts w:ascii="Times New Roman" w:hAnsi="Times New Roman" w:cs="Times New Roman"/>
          <w:sz w:val="24"/>
          <w:szCs w:val="24"/>
        </w:rPr>
        <w:t>.</w:t>
      </w:r>
    </w:p>
    <w:p w:rsidR="00F20047" w:rsidRDefault="00F20047" w:rsidP="000F2203">
      <w:pPr>
        <w:spacing w:after="0" w:line="360" w:lineRule="auto"/>
        <w:jc w:val="both"/>
        <w:rPr>
          <w:rFonts w:ascii="Times New Roman" w:hAnsi="Times New Roman" w:cs="Times New Roman"/>
          <w:sz w:val="24"/>
          <w:szCs w:val="24"/>
        </w:rPr>
      </w:pPr>
    </w:p>
    <w:p w:rsidR="00AC0BBA" w:rsidRPr="00E5738E" w:rsidRDefault="00AC0BBA" w:rsidP="00E5738E">
      <w:pPr>
        <w:spacing w:after="0" w:line="360" w:lineRule="auto"/>
        <w:jc w:val="right"/>
        <w:rPr>
          <w:rFonts w:ascii="Times New Roman" w:hAnsi="Times New Roman" w:cs="Times New Roman"/>
          <w:b/>
          <w:sz w:val="28"/>
          <w:szCs w:val="28"/>
        </w:rPr>
      </w:pPr>
      <w:r w:rsidRPr="00E5738E">
        <w:rPr>
          <w:rFonts w:ascii="Times New Roman" w:hAnsi="Times New Roman" w:cs="Times New Roman"/>
          <w:b/>
          <w:sz w:val="28"/>
          <w:szCs w:val="28"/>
        </w:rPr>
        <w:t>Valentina Mameli</w:t>
      </w:r>
    </w:p>
    <w:p w:rsidR="00F74E64" w:rsidRDefault="00E5738E" w:rsidP="00E5738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 xml:space="preserve">Consigliere </w:t>
      </w:r>
      <w:r w:rsidR="00AC0BBA">
        <w:rPr>
          <w:rFonts w:ascii="Times New Roman" w:hAnsi="Times New Roman" w:cs="Times New Roman"/>
          <w:sz w:val="24"/>
          <w:szCs w:val="24"/>
        </w:rPr>
        <w:t xml:space="preserve">Tar Milano </w:t>
      </w:r>
    </w:p>
    <w:p w:rsidR="00E5738E" w:rsidRDefault="00E5738E" w:rsidP="00E5738E">
      <w:pPr>
        <w:spacing w:after="0" w:line="360" w:lineRule="auto"/>
        <w:jc w:val="right"/>
        <w:rPr>
          <w:rFonts w:ascii="Times New Roman" w:hAnsi="Times New Roman" w:cs="Times New Roman"/>
          <w:sz w:val="24"/>
          <w:szCs w:val="24"/>
        </w:rPr>
      </w:pPr>
    </w:p>
    <w:p w:rsidR="00E5738E" w:rsidRPr="000F2203" w:rsidRDefault="00E5738E" w:rsidP="00E5738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Pubblicata il 16 aprile 2022</w:t>
      </w:r>
    </w:p>
    <w:p w:rsidR="002503EA" w:rsidRPr="007D0C8A" w:rsidRDefault="002503EA" w:rsidP="00BB2A3A">
      <w:pPr>
        <w:spacing w:after="0" w:line="360" w:lineRule="auto"/>
        <w:jc w:val="both"/>
        <w:rPr>
          <w:rFonts w:ascii="Times New Roman" w:hAnsi="Times New Roman" w:cs="Times New Roman"/>
          <w:sz w:val="24"/>
          <w:szCs w:val="24"/>
        </w:rPr>
      </w:pPr>
    </w:p>
    <w:sectPr w:rsidR="002503EA" w:rsidRPr="007D0C8A">
      <w:foot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A72" w:rsidRDefault="00307A72" w:rsidP="00503274">
      <w:pPr>
        <w:spacing w:after="0" w:line="240" w:lineRule="auto"/>
      </w:pPr>
      <w:r>
        <w:separator/>
      </w:r>
    </w:p>
  </w:endnote>
  <w:endnote w:type="continuationSeparator" w:id="0">
    <w:p w:rsidR="00307A72" w:rsidRDefault="00307A72" w:rsidP="00503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826715"/>
      <w:docPartObj>
        <w:docPartGallery w:val="Page Numbers (Bottom of Page)"/>
        <w:docPartUnique/>
      </w:docPartObj>
    </w:sdtPr>
    <w:sdtEndPr/>
    <w:sdtContent>
      <w:p w:rsidR="00AC0BBA" w:rsidRDefault="00AC0BBA">
        <w:pPr>
          <w:pStyle w:val="Pidipagina"/>
          <w:jc w:val="right"/>
        </w:pPr>
        <w:r>
          <w:fldChar w:fldCharType="begin"/>
        </w:r>
        <w:r>
          <w:instrText>PAGE   \* MERGEFORMAT</w:instrText>
        </w:r>
        <w:r>
          <w:fldChar w:fldCharType="separate"/>
        </w:r>
        <w:r w:rsidR="00FF4326">
          <w:rPr>
            <w:noProof/>
          </w:rPr>
          <w:t>1</w:t>
        </w:r>
        <w:r>
          <w:fldChar w:fldCharType="end"/>
        </w:r>
      </w:p>
    </w:sdtContent>
  </w:sdt>
  <w:p w:rsidR="00AC0BBA" w:rsidRDefault="00AC0BB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A72" w:rsidRDefault="00307A72" w:rsidP="00503274">
      <w:pPr>
        <w:spacing w:after="0" w:line="240" w:lineRule="auto"/>
      </w:pPr>
      <w:r>
        <w:separator/>
      </w:r>
    </w:p>
  </w:footnote>
  <w:footnote w:type="continuationSeparator" w:id="0">
    <w:p w:rsidR="00307A72" w:rsidRDefault="00307A72" w:rsidP="00503274">
      <w:pPr>
        <w:spacing w:after="0" w:line="240" w:lineRule="auto"/>
      </w:pPr>
      <w:r>
        <w:continuationSeparator/>
      </w:r>
    </w:p>
  </w:footnote>
  <w:footnote w:id="1">
    <w:p w:rsidR="00FF4326" w:rsidRDefault="00FF4326" w:rsidP="00FF4326">
      <w:pPr>
        <w:pStyle w:val="Testonotaapidipagina"/>
        <w:jc w:val="both"/>
      </w:pPr>
      <w:r>
        <w:rPr>
          <w:rStyle w:val="Rimandonotaapidipagina"/>
        </w:rPr>
        <w:footnoteRef/>
      </w:r>
      <w:r>
        <w:rPr>
          <w:color w:val="000000"/>
          <w:sz w:val="27"/>
          <w:szCs w:val="27"/>
        </w:rPr>
        <w:t xml:space="preserve"> </w:t>
      </w:r>
      <w:r w:rsidRPr="00FF4326">
        <w:rPr>
          <w:rFonts w:ascii="Times New Roman" w:hAnsi="Times New Roman" w:cs="Times New Roman"/>
          <w:sz w:val="24"/>
          <w:szCs w:val="24"/>
        </w:rPr>
        <w:t xml:space="preserve">Intervento svolto al convegno su Il nuovo volto delle </w:t>
      </w:r>
      <w:proofErr w:type="spellStart"/>
      <w:r w:rsidRPr="00FF4326">
        <w:rPr>
          <w:rFonts w:ascii="Times New Roman" w:hAnsi="Times New Roman" w:cs="Times New Roman"/>
          <w:sz w:val="24"/>
          <w:szCs w:val="24"/>
        </w:rPr>
        <w:t>interdittive</w:t>
      </w:r>
      <w:proofErr w:type="spellEnd"/>
      <w:r w:rsidRPr="00FF4326">
        <w:rPr>
          <w:rFonts w:ascii="Times New Roman" w:hAnsi="Times New Roman" w:cs="Times New Roman"/>
          <w:sz w:val="24"/>
          <w:szCs w:val="24"/>
        </w:rPr>
        <w:t xml:space="preserve"> antimafia alla luce del P.N.R.R., organizzato dalla Sezione staccata di Reggio Calabria del T</w:t>
      </w:r>
      <w:r>
        <w:rPr>
          <w:rFonts w:ascii="Times New Roman" w:hAnsi="Times New Roman" w:cs="Times New Roman"/>
          <w:sz w:val="24"/>
          <w:szCs w:val="24"/>
        </w:rPr>
        <w:t xml:space="preserve">ar </w:t>
      </w:r>
      <w:bookmarkStart w:id="0" w:name="_GoBack"/>
      <w:bookmarkEnd w:id="0"/>
      <w:r w:rsidRPr="00FF4326">
        <w:rPr>
          <w:rFonts w:ascii="Times New Roman" w:hAnsi="Times New Roman" w:cs="Times New Roman"/>
          <w:sz w:val="24"/>
          <w:szCs w:val="24"/>
        </w:rPr>
        <w:t>Calabria e dall’Università degli studi di Reggio Calabria, l’8 aprile 2022</w:t>
      </w:r>
    </w:p>
  </w:footnote>
  <w:footnote w:id="2">
    <w:p w:rsidR="00A26A03" w:rsidRPr="00A26A03" w:rsidRDefault="00A26A03" w:rsidP="00A26A03">
      <w:pPr>
        <w:pStyle w:val="Testonotaapidipagina"/>
        <w:jc w:val="both"/>
        <w:rPr>
          <w:rFonts w:ascii="Times New Roman" w:hAnsi="Times New Roman" w:cs="Times New Roman"/>
          <w:sz w:val="24"/>
          <w:szCs w:val="24"/>
        </w:rPr>
      </w:pPr>
      <w:r>
        <w:rPr>
          <w:rStyle w:val="Rimandonotaapidipagina"/>
        </w:rPr>
        <w:footnoteRef/>
      </w:r>
      <w:r>
        <w:t xml:space="preserve"> </w:t>
      </w:r>
      <w:r>
        <w:rPr>
          <w:rFonts w:ascii="Times New Roman" w:hAnsi="Times New Roman" w:cs="Times New Roman"/>
          <w:sz w:val="24"/>
          <w:szCs w:val="24"/>
        </w:rPr>
        <w:t xml:space="preserve">Sia sufficiente ricordare quanto ribadito </w:t>
      </w:r>
      <w:r w:rsidRPr="00A26A03">
        <w:rPr>
          <w:rFonts w:ascii="Times New Roman" w:hAnsi="Times New Roman" w:cs="Times New Roman"/>
          <w:sz w:val="24"/>
          <w:szCs w:val="24"/>
        </w:rPr>
        <w:t xml:space="preserve">dall'Adunanza plenaria del Consiglio di Stato 6 aprile 2018, n. 3, </w:t>
      </w:r>
      <w:r>
        <w:rPr>
          <w:rFonts w:ascii="Times New Roman" w:hAnsi="Times New Roman" w:cs="Times New Roman"/>
          <w:sz w:val="24"/>
          <w:szCs w:val="24"/>
        </w:rPr>
        <w:t>in relazione alla funzione dell</w:t>
      </w:r>
      <w:r w:rsidRPr="00A26A03">
        <w:rPr>
          <w:rFonts w:ascii="Times New Roman" w:hAnsi="Times New Roman" w:cs="Times New Roman"/>
          <w:sz w:val="24"/>
          <w:szCs w:val="24"/>
        </w:rPr>
        <w:t xml:space="preserve">'informazione </w:t>
      </w:r>
      <w:proofErr w:type="spellStart"/>
      <w:r w:rsidRPr="00A26A03">
        <w:rPr>
          <w:rFonts w:ascii="Times New Roman" w:hAnsi="Times New Roman" w:cs="Times New Roman"/>
          <w:sz w:val="24"/>
          <w:szCs w:val="24"/>
        </w:rPr>
        <w:t>interdittiva</w:t>
      </w:r>
      <w:proofErr w:type="spellEnd"/>
      <w:r w:rsidRPr="00A26A03">
        <w:rPr>
          <w:rFonts w:ascii="Times New Roman" w:hAnsi="Times New Roman" w:cs="Times New Roman"/>
          <w:sz w:val="24"/>
          <w:szCs w:val="24"/>
        </w:rPr>
        <w:t xml:space="preserve"> antimafia</w:t>
      </w:r>
      <w:r>
        <w:rPr>
          <w:rFonts w:ascii="Times New Roman" w:hAnsi="Times New Roman" w:cs="Times New Roman"/>
          <w:sz w:val="24"/>
          <w:szCs w:val="24"/>
        </w:rPr>
        <w:t>:</w:t>
      </w:r>
      <w:r w:rsidRPr="00A26A03">
        <w:rPr>
          <w:rFonts w:ascii="Times New Roman" w:hAnsi="Times New Roman" w:cs="Times New Roman"/>
          <w:sz w:val="24"/>
          <w:szCs w:val="24"/>
        </w:rPr>
        <w:t xml:space="preserve"> "</w:t>
      </w:r>
      <w:r w:rsidRPr="00A26A03">
        <w:rPr>
          <w:rFonts w:ascii="Times New Roman" w:hAnsi="Times New Roman" w:cs="Times New Roman"/>
          <w:i/>
          <w:sz w:val="24"/>
          <w:szCs w:val="24"/>
        </w:rPr>
        <w:t xml:space="preserve">è un provvedimento amministrativo al quale deve essere riconosciuta natura cautelare e preventiva, in un'ottica di bilanciamento tra la tutela dell'ordine e della sicurezza pubblica e la libertà di iniziativa economica riconosciuta dall'art. 41 </w:t>
      </w:r>
      <w:proofErr w:type="spellStart"/>
      <w:r w:rsidRPr="00A26A03">
        <w:rPr>
          <w:rFonts w:ascii="Times New Roman" w:hAnsi="Times New Roman" w:cs="Times New Roman"/>
          <w:i/>
          <w:sz w:val="24"/>
          <w:szCs w:val="24"/>
        </w:rPr>
        <w:t>Cost</w:t>
      </w:r>
      <w:proofErr w:type="spellEnd"/>
      <w:r w:rsidRPr="00A26A03">
        <w:rPr>
          <w:rFonts w:ascii="Times New Roman" w:hAnsi="Times New Roman" w:cs="Times New Roman"/>
          <w:i/>
          <w:sz w:val="24"/>
          <w:szCs w:val="24"/>
        </w:rPr>
        <w:t xml:space="preserve">.; costituisce una misura volta - ad un tempo - alla salvaguardia dell'ordine pubblico economico, della libera concorrenza tra le imprese e del buon andamento della Pubblica amministrazione. Tale provvedimento, infatti, mira a prevenire tentativi di infiltrazione mafiosa nelle imprese, volti a condizionare le scelte e gli indirizzi della Pubblica amministrazione e si pone in funzione di tutela sia dei principi di legalità, imparzialità e buon andamento, riconosciuti dall'art. 97 </w:t>
      </w:r>
      <w:proofErr w:type="spellStart"/>
      <w:r w:rsidRPr="00A26A03">
        <w:rPr>
          <w:rFonts w:ascii="Times New Roman" w:hAnsi="Times New Roman" w:cs="Times New Roman"/>
          <w:i/>
          <w:sz w:val="24"/>
          <w:szCs w:val="24"/>
        </w:rPr>
        <w:t>Cost</w:t>
      </w:r>
      <w:proofErr w:type="spellEnd"/>
      <w:r w:rsidRPr="00A26A03">
        <w:rPr>
          <w:rFonts w:ascii="Times New Roman" w:hAnsi="Times New Roman" w:cs="Times New Roman"/>
          <w:i/>
          <w:sz w:val="24"/>
          <w:szCs w:val="24"/>
        </w:rPr>
        <w:t>., sia dello svolgimento leale e corretto della concorrenza tra le stesse imprese nel mercato, sia, infine, del corretto utilizzo delle risorse pubbliche</w:t>
      </w:r>
      <w:r>
        <w:rPr>
          <w:rFonts w:ascii="Times New Roman" w:hAnsi="Times New Roman" w:cs="Times New Roman"/>
          <w:sz w:val="24"/>
          <w:szCs w:val="24"/>
        </w:rPr>
        <w:t>”</w:t>
      </w:r>
      <w:r w:rsidRPr="00A26A03">
        <w:rPr>
          <w:rFonts w:ascii="Times New Roman" w:hAnsi="Times New Roman" w:cs="Times New Roman"/>
          <w:sz w:val="24"/>
          <w:szCs w:val="24"/>
        </w:rPr>
        <w:t>.</w:t>
      </w:r>
    </w:p>
  </w:footnote>
  <w:footnote w:id="3">
    <w:p w:rsidR="00503274" w:rsidRPr="007D0C8A" w:rsidRDefault="00503274" w:rsidP="00503274">
      <w:pPr>
        <w:spacing w:after="0"/>
        <w:jc w:val="both"/>
        <w:rPr>
          <w:rFonts w:ascii="Times New Roman" w:hAnsi="Times New Roman" w:cs="Times New Roman"/>
          <w:sz w:val="24"/>
          <w:szCs w:val="24"/>
        </w:rPr>
      </w:pPr>
      <w:r>
        <w:rPr>
          <w:rStyle w:val="Rimandonotaapidipagina"/>
        </w:rPr>
        <w:footnoteRef/>
      </w:r>
      <w:r>
        <w:t xml:space="preserve"> </w:t>
      </w:r>
      <w:r w:rsidRPr="007D0C8A">
        <w:rPr>
          <w:rFonts w:ascii="Times New Roman" w:hAnsi="Times New Roman" w:cs="Times New Roman"/>
          <w:sz w:val="24"/>
          <w:szCs w:val="24"/>
        </w:rPr>
        <w:t>“</w:t>
      </w:r>
      <w:r w:rsidRPr="007D0C8A">
        <w:rPr>
          <w:rFonts w:ascii="Times New Roman" w:hAnsi="Times New Roman" w:cs="Times New Roman"/>
          <w:i/>
          <w:sz w:val="24"/>
          <w:szCs w:val="24"/>
        </w:rPr>
        <w:t>In questa valutazione complessiva dell'istituto un ruolo particolarmente rilevante assume il carattere provvisorio della misura. È questo il senso della disposizione dell'art. 86, comma 2, del D.lgs. n. 159 del 2011, secondo il quale l'informativa antimafia ha una validità limitata di dodici mesi, cosicché alla scadenza del termine occorre procedere alla verifica della persistenza o meno delle circostanze poste a fondamento dell'</w:t>
      </w:r>
      <w:proofErr w:type="spellStart"/>
      <w:r w:rsidRPr="007D0C8A">
        <w:rPr>
          <w:rFonts w:ascii="Times New Roman" w:hAnsi="Times New Roman" w:cs="Times New Roman"/>
          <w:i/>
          <w:sz w:val="24"/>
          <w:szCs w:val="24"/>
        </w:rPr>
        <w:t>interdittiva</w:t>
      </w:r>
      <w:proofErr w:type="spellEnd"/>
      <w:r w:rsidRPr="007D0C8A">
        <w:rPr>
          <w:rFonts w:ascii="Times New Roman" w:hAnsi="Times New Roman" w:cs="Times New Roman"/>
          <w:i/>
          <w:sz w:val="24"/>
          <w:szCs w:val="24"/>
        </w:rPr>
        <w:t xml:space="preserve">, con l'effetto, in caso di conclusione positiva, della </w:t>
      </w:r>
      <w:proofErr w:type="spellStart"/>
      <w:r w:rsidRPr="007D0C8A">
        <w:rPr>
          <w:rFonts w:ascii="Times New Roman" w:hAnsi="Times New Roman" w:cs="Times New Roman"/>
          <w:i/>
          <w:sz w:val="24"/>
          <w:szCs w:val="24"/>
        </w:rPr>
        <w:t>reiscrizione</w:t>
      </w:r>
      <w:proofErr w:type="spellEnd"/>
      <w:r w:rsidRPr="007D0C8A">
        <w:rPr>
          <w:rFonts w:ascii="Times New Roman" w:hAnsi="Times New Roman" w:cs="Times New Roman"/>
          <w:i/>
          <w:sz w:val="24"/>
          <w:szCs w:val="24"/>
        </w:rPr>
        <w:t xml:space="preserve"> nell'albo delle imprese artigiane, nella specie, e in generale del recupero dell'impresa al mercato. E va sottolineata al riguardo la necessità di un'applicazione puntuale e sostanziale della norma, per scongiurare il rischio della persistenza di una misura non più giustificata e quindi di un danno realmente irreversibile”</w:t>
      </w:r>
      <w:r>
        <w:rPr>
          <w:rFonts w:ascii="Times New Roman" w:hAnsi="Times New Roman" w:cs="Times New Roman"/>
          <w:i/>
          <w:sz w:val="24"/>
          <w:szCs w:val="24"/>
        </w:rPr>
        <w:t xml:space="preserve"> </w:t>
      </w:r>
      <w:r>
        <w:rPr>
          <w:rFonts w:ascii="Times New Roman" w:hAnsi="Times New Roman" w:cs="Times New Roman"/>
          <w:sz w:val="24"/>
          <w:szCs w:val="24"/>
        </w:rPr>
        <w:t xml:space="preserve">(Corte </w:t>
      </w:r>
      <w:proofErr w:type="spellStart"/>
      <w:r>
        <w:rPr>
          <w:rFonts w:ascii="Times New Roman" w:hAnsi="Times New Roman" w:cs="Times New Roman"/>
          <w:sz w:val="24"/>
          <w:szCs w:val="24"/>
        </w:rPr>
        <w:t>Cost</w:t>
      </w:r>
      <w:proofErr w:type="spellEnd"/>
      <w:r>
        <w:rPr>
          <w:rFonts w:ascii="Times New Roman" w:hAnsi="Times New Roman" w:cs="Times New Roman"/>
          <w:sz w:val="24"/>
          <w:szCs w:val="24"/>
        </w:rPr>
        <w:t>. n. 57/2020).</w:t>
      </w:r>
    </w:p>
    <w:p w:rsidR="00503274" w:rsidRDefault="00503274">
      <w:pPr>
        <w:pStyle w:val="Testonotaapidipagina"/>
      </w:pPr>
    </w:p>
  </w:footnote>
  <w:footnote w:id="4">
    <w:p w:rsidR="00BB2A3A" w:rsidRPr="00BB2A3A" w:rsidRDefault="00BB2A3A">
      <w:pPr>
        <w:pStyle w:val="Testonotaapidipagina"/>
        <w:rPr>
          <w:rFonts w:ascii="Times New Roman" w:hAnsi="Times New Roman" w:cs="Times New Roman"/>
          <w:sz w:val="24"/>
          <w:szCs w:val="24"/>
        </w:rPr>
      </w:pPr>
      <w:r>
        <w:rPr>
          <w:rStyle w:val="Rimandonotaapidipagina"/>
        </w:rPr>
        <w:footnoteRef/>
      </w:r>
      <w:r>
        <w:t xml:space="preserve"> </w:t>
      </w:r>
      <w:r w:rsidRPr="00BB2A3A">
        <w:rPr>
          <w:rFonts w:ascii="Times New Roman" w:hAnsi="Times New Roman" w:cs="Times New Roman"/>
          <w:sz w:val="24"/>
          <w:szCs w:val="24"/>
        </w:rPr>
        <w:t>Consiglio di Stato</w:t>
      </w:r>
      <w:r>
        <w:rPr>
          <w:rFonts w:ascii="Times New Roman" w:hAnsi="Times New Roman" w:cs="Times New Roman"/>
          <w:sz w:val="24"/>
          <w:szCs w:val="24"/>
        </w:rPr>
        <w:t xml:space="preserve"> sez. III </w:t>
      </w:r>
      <w:r w:rsidRPr="00BB2A3A">
        <w:rPr>
          <w:rFonts w:ascii="Times New Roman" w:hAnsi="Times New Roman" w:cs="Times New Roman"/>
          <w:sz w:val="24"/>
          <w:szCs w:val="24"/>
        </w:rPr>
        <w:t>5 ottobre 2016</w:t>
      </w:r>
      <w:r>
        <w:rPr>
          <w:rFonts w:ascii="Times New Roman" w:hAnsi="Times New Roman" w:cs="Times New Roman"/>
          <w:sz w:val="24"/>
          <w:szCs w:val="24"/>
        </w:rPr>
        <w:t xml:space="preserve">, n. 4121 </w:t>
      </w:r>
    </w:p>
  </w:footnote>
  <w:footnote w:id="5">
    <w:p w:rsidR="001F5380" w:rsidRDefault="001F5380" w:rsidP="001F5380">
      <w:pPr>
        <w:pStyle w:val="Testonotaapidipagina"/>
      </w:pPr>
      <w:r>
        <w:rPr>
          <w:rStyle w:val="Rimandonotaapidipagina"/>
        </w:rPr>
        <w:footnoteRef/>
      </w:r>
      <w:r>
        <w:t xml:space="preserve"> </w:t>
      </w:r>
      <w:r w:rsidRPr="001F5380">
        <w:rPr>
          <w:rFonts w:ascii="Times New Roman" w:hAnsi="Times New Roman" w:cs="Times New Roman"/>
          <w:sz w:val="24"/>
          <w:szCs w:val="24"/>
        </w:rPr>
        <w:t>Art. 83 Ambito di applicazione della documentazione antimafia</w:t>
      </w:r>
      <w:r>
        <w:t xml:space="preserve"> </w:t>
      </w:r>
    </w:p>
    <w:p w:rsidR="001F5380" w:rsidRPr="001F5380" w:rsidRDefault="001F5380" w:rsidP="001F5380">
      <w:pPr>
        <w:pStyle w:val="Testonotaapidipagina"/>
        <w:jc w:val="both"/>
        <w:rPr>
          <w:rFonts w:ascii="Times New Roman" w:hAnsi="Times New Roman" w:cs="Times New Roman"/>
          <w:i/>
          <w:sz w:val="24"/>
          <w:szCs w:val="24"/>
        </w:rPr>
      </w:pPr>
      <w:r w:rsidRPr="001F5380">
        <w:rPr>
          <w:rFonts w:ascii="Times New Roman" w:hAnsi="Times New Roman" w:cs="Times New Roman"/>
          <w:i/>
          <w:sz w:val="24"/>
          <w:szCs w:val="24"/>
        </w:rPr>
        <w:t>1. Le pubbliche amministrazioni e gli enti pubblici, anche costituiti in stazioni uniche appaltanti, gli enti e le aziende vigilati dallo Stato o da altro ente pubblico e le società o imprese comunque controllate dallo Stato o da altro ente pubblico nonché i concessionari di lavori o di servizi pubblici, devono acquisire la documentazione antimafia di cui all'articolo 84 prima di stipulare, approvare o autorizzare i contratti e subcontratti relativi a lavori, servizi e forniture pubblici, ovvero prima di rilasciare o consentire i provvedimenti indicati nell'articolo 67. (204) (208)</w:t>
      </w:r>
    </w:p>
    <w:p w:rsidR="001F5380" w:rsidRPr="001F5380" w:rsidRDefault="001F5380" w:rsidP="001F5380">
      <w:pPr>
        <w:pStyle w:val="Testonotaapidipagina"/>
        <w:jc w:val="both"/>
        <w:rPr>
          <w:rFonts w:ascii="Times New Roman" w:hAnsi="Times New Roman" w:cs="Times New Roman"/>
          <w:i/>
          <w:sz w:val="24"/>
          <w:szCs w:val="24"/>
        </w:rPr>
      </w:pPr>
      <w:r w:rsidRPr="001F5380">
        <w:rPr>
          <w:rFonts w:ascii="Times New Roman" w:hAnsi="Times New Roman" w:cs="Times New Roman"/>
          <w:i/>
          <w:sz w:val="24"/>
          <w:szCs w:val="24"/>
        </w:rPr>
        <w:t>2. La disposizione di cui al comma 1 si applica ai contraenti generali di cui all'articolo 176 del decreto legislativo 12 aprile 2006, n. 163, di seguito denominati «contraente generale». (208)</w:t>
      </w:r>
    </w:p>
    <w:p w:rsidR="001F5380" w:rsidRPr="001F5380" w:rsidRDefault="001F5380" w:rsidP="001F5380">
      <w:pPr>
        <w:pStyle w:val="Testonotaapidipagina"/>
        <w:jc w:val="both"/>
        <w:rPr>
          <w:rFonts w:ascii="Times New Roman" w:hAnsi="Times New Roman" w:cs="Times New Roman"/>
          <w:i/>
          <w:sz w:val="24"/>
          <w:szCs w:val="24"/>
        </w:rPr>
      </w:pPr>
      <w:r w:rsidRPr="001F5380">
        <w:rPr>
          <w:rFonts w:ascii="Times New Roman" w:hAnsi="Times New Roman" w:cs="Times New Roman"/>
          <w:i/>
          <w:sz w:val="24"/>
          <w:szCs w:val="24"/>
        </w:rPr>
        <w:t>3. La documentazione di cui al comma 1 non è comunque richiesta:</w:t>
      </w:r>
    </w:p>
    <w:p w:rsidR="001F5380" w:rsidRPr="001F5380" w:rsidRDefault="001F5380" w:rsidP="001F5380">
      <w:pPr>
        <w:pStyle w:val="Testonotaapidipagina"/>
        <w:jc w:val="both"/>
        <w:rPr>
          <w:rFonts w:ascii="Times New Roman" w:hAnsi="Times New Roman" w:cs="Times New Roman"/>
          <w:i/>
          <w:sz w:val="24"/>
          <w:szCs w:val="24"/>
        </w:rPr>
      </w:pPr>
      <w:r w:rsidRPr="001F5380">
        <w:rPr>
          <w:rFonts w:ascii="Times New Roman" w:hAnsi="Times New Roman" w:cs="Times New Roman"/>
          <w:i/>
          <w:sz w:val="24"/>
          <w:szCs w:val="24"/>
        </w:rPr>
        <w:t xml:space="preserve">a) per i rapporti fra i soggetti pubblici di cui al comma 1; </w:t>
      </w:r>
    </w:p>
    <w:p w:rsidR="001F5380" w:rsidRPr="001F5380" w:rsidRDefault="001F5380" w:rsidP="001F5380">
      <w:pPr>
        <w:pStyle w:val="Testonotaapidipagina"/>
        <w:jc w:val="both"/>
        <w:rPr>
          <w:rFonts w:ascii="Times New Roman" w:hAnsi="Times New Roman" w:cs="Times New Roman"/>
          <w:i/>
          <w:sz w:val="24"/>
          <w:szCs w:val="24"/>
        </w:rPr>
      </w:pPr>
      <w:r w:rsidRPr="001F5380">
        <w:rPr>
          <w:rFonts w:ascii="Times New Roman" w:hAnsi="Times New Roman" w:cs="Times New Roman"/>
          <w:i/>
          <w:sz w:val="24"/>
          <w:szCs w:val="24"/>
        </w:rPr>
        <w:t xml:space="preserve">b) per i rapporti fra i soggetti pubblici di cui alla lettera a) ed altri soggetti, anche privati, i cui organi rappresentativi e quelli aventi funzioni di amministrazione e di controllo sono sottoposti, per disposizione di legge o di regolamento, alla verifica di particolari requisiti di onorabilità tali da escludere la sussistenza di una delle cause di sospensione, di decadenza o di divieto di cui all'articolo 67; </w:t>
      </w:r>
    </w:p>
    <w:p w:rsidR="001F5380" w:rsidRPr="001F5380" w:rsidRDefault="001F5380" w:rsidP="001F5380">
      <w:pPr>
        <w:pStyle w:val="Testonotaapidipagina"/>
        <w:jc w:val="both"/>
        <w:rPr>
          <w:rFonts w:ascii="Times New Roman" w:hAnsi="Times New Roman" w:cs="Times New Roman"/>
          <w:i/>
          <w:sz w:val="24"/>
          <w:szCs w:val="24"/>
        </w:rPr>
      </w:pPr>
      <w:r w:rsidRPr="001F5380">
        <w:rPr>
          <w:rFonts w:ascii="Times New Roman" w:hAnsi="Times New Roman" w:cs="Times New Roman"/>
          <w:i/>
          <w:sz w:val="24"/>
          <w:szCs w:val="24"/>
        </w:rPr>
        <w:t xml:space="preserve">c) per il rilascio o rinnovo delle autorizzazioni o licenze di polizia di competenza delle autorità nazionali e provinciali di pubblica sicurezza; </w:t>
      </w:r>
    </w:p>
    <w:p w:rsidR="001F5380" w:rsidRPr="001F5380" w:rsidRDefault="001F5380" w:rsidP="001F5380">
      <w:pPr>
        <w:pStyle w:val="Testonotaapidipagina"/>
        <w:jc w:val="both"/>
        <w:rPr>
          <w:rFonts w:ascii="Times New Roman" w:hAnsi="Times New Roman" w:cs="Times New Roman"/>
          <w:i/>
          <w:sz w:val="24"/>
          <w:szCs w:val="24"/>
        </w:rPr>
      </w:pPr>
      <w:r w:rsidRPr="001F5380">
        <w:rPr>
          <w:rFonts w:ascii="Times New Roman" w:hAnsi="Times New Roman" w:cs="Times New Roman"/>
          <w:i/>
          <w:sz w:val="24"/>
          <w:szCs w:val="24"/>
        </w:rPr>
        <w:t xml:space="preserve">d) per la stipulazione o approvazione di contratti e per la concessione di erogazioni a favore di chi esercita attività agricole o professionali, non organizzate in forma di impresa, nonché a favore di chi esercita attività artigiana in forma di impresa individuale e attività di lavoro autonomo anche intellettuale in forma individuale; </w:t>
      </w:r>
    </w:p>
    <w:p w:rsidR="001F5380" w:rsidRPr="001F5380" w:rsidRDefault="001F5380" w:rsidP="001F5380">
      <w:pPr>
        <w:pStyle w:val="Testonotaapidipagina"/>
        <w:jc w:val="both"/>
        <w:rPr>
          <w:rFonts w:ascii="Times New Roman" w:hAnsi="Times New Roman" w:cs="Times New Roman"/>
          <w:i/>
          <w:sz w:val="24"/>
          <w:szCs w:val="24"/>
        </w:rPr>
      </w:pPr>
      <w:r w:rsidRPr="001F5380">
        <w:rPr>
          <w:rFonts w:ascii="Times New Roman" w:hAnsi="Times New Roman" w:cs="Times New Roman"/>
          <w:i/>
          <w:sz w:val="24"/>
          <w:szCs w:val="24"/>
        </w:rPr>
        <w:t xml:space="preserve">e) per i provvedimenti, ivi inclusi quelli di erogazione, gli atti ed i contratti il cui valore complessivo non supera i 150.000 euro (205). </w:t>
      </w:r>
    </w:p>
    <w:p w:rsidR="001F5380" w:rsidRDefault="001F5380" w:rsidP="001F5380">
      <w:pPr>
        <w:pStyle w:val="Testonotaapidipagina"/>
        <w:jc w:val="both"/>
      </w:pPr>
      <w:r w:rsidRPr="001F5380">
        <w:rPr>
          <w:rFonts w:ascii="Times New Roman" w:hAnsi="Times New Roman" w:cs="Times New Roman"/>
          <w:i/>
          <w:sz w:val="24"/>
          <w:szCs w:val="24"/>
        </w:rPr>
        <w:t>3-bis. La documentazione di cui al comma 1 è sempre prevista nelle ipotesi di concessione di terreni agricoli e zootecnici demaniali che ricadono nell'ambito dei regimi di sostegno previsti dalla politica agricola comune, a prescindere dal loro valore complessivo, nonché su tutti i terreni agricoli, a qualunque titolo acquisiti, che usufruiscono di fondi europei per un importo superiore a 25.000 euro o di fondi statali per un importo superiore a 5.000 euro.</w:t>
      </w:r>
    </w:p>
  </w:footnote>
  <w:footnote w:id="6">
    <w:p w:rsidR="004F1679" w:rsidRPr="004F1679" w:rsidRDefault="004F1679">
      <w:pPr>
        <w:pStyle w:val="Testonotaapidipagina"/>
        <w:rPr>
          <w:rFonts w:ascii="Times New Roman" w:hAnsi="Times New Roman" w:cs="Times New Roman"/>
          <w:sz w:val="24"/>
          <w:szCs w:val="24"/>
        </w:rPr>
      </w:pPr>
      <w:r>
        <w:rPr>
          <w:rStyle w:val="Rimandonotaapidipagina"/>
        </w:rPr>
        <w:footnoteRef/>
      </w:r>
      <w:r>
        <w:t xml:space="preserve"> </w:t>
      </w:r>
      <w:r w:rsidRPr="004F1679">
        <w:rPr>
          <w:rFonts w:ascii="Times New Roman" w:hAnsi="Times New Roman" w:cs="Times New Roman"/>
          <w:sz w:val="24"/>
          <w:szCs w:val="24"/>
        </w:rPr>
        <w:t>Consiglio di Stato, Sez. III, 24 luglio 2015, 3653</w:t>
      </w:r>
    </w:p>
  </w:footnote>
  <w:footnote w:id="7">
    <w:p w:rsidR="004F1679" w:rsidRPr="004F1679" w:rsidRDefault="004F1679">
      <w:pPr>
        <w:pStyle w:val="Testonotaapidipagina"/>
        <w:rPr>
          <w:rFonts w:ascii="Times New Roman" w:hAnsi="Times New Roman" w:cs="Times New Roman"/>
          <w:sz w:val="24"/>
          <w:szCs w:val="24"/>
        </w:rPr>
      </w:pPr>
      <w:r>
        <w:rPr>
          <w:rStyle w:val="Rimandonotaapidipagina"/>
        </w:rPr>
        <w:footnoteRef/>
      </w:r>
      <w:r>
        <w:t xml:space="preserve"> </w:t>
      </w:r>
      <w:r w:rsidRPr="004F1679">
        <w:rPr>
          <w:rFonts w:ascii="Times New Roman" w:hAnsi="Times New Roman" w:cs="Times New Roman"/>
          <w:sz w:val="24"/>
          <w:szCs w:val="24"/>
        </w:rPr>
        <w:t xml:space="preserve">Consiglio di Stato </w:t>
      </w:r>
      <w:r>
        <w:rPr>
          <w:rFonts w:ascii="Times New Roman" w:hAnsi="Times New Roman" w:cs="Times New Roman"/>
          <w:sz w:val="24"/>
          <w:szCs w:val="24"/>
        </w:rPr>
        <w:t xml:space="preserve">Sez. III </w:t>
      </w:r>
      <w:r w:rsidRPr="004F1679">
        <w:rPr>
          <w:rFonts w:ascii="Times New Roman" w:hAnsi="Times New Roman" w:cs="Times New Roman"/>
          <w:sz w:val="24"/>
          <w:szCs w:val="24"/>
        </w:rPr>
        <w:t>17 novembre 2015</w:t>
      </w:r>
      <w:r>
        <w:rPr>
          <w:rFonts w:ascii="Times New Roman" w:hAnsi="Times New Roman" w:cs="Times New Roman"/>
          <w:sz w:val="24"/>
          <w:szCs w:val="24"/>
        </w:rPr>
        <w:t xml:space="preserve"> n. 5256 </w:t>
      </w:r>
    </w:p>
  </w:footnote>
  <w:footnote w:id="8">
    <w:p w:rsidR="00A85B49" w:rsidRPr="007D0C8A" w:rsidRDefault="00A85B49" w:rsidP="00A85B49">
      <w:pPr>
        <w:spacing w:after="0" w:line="360" w:lineRule="auto"/>
        <w:jc w:val="both"/>
        <w:rPr>
          <w:rFonts w:ascii="Times New Roman" w:hAnsi="Times New Roman" w:cs="Times New Roman"/>
          <w:sz w:val="24"/>
          <w:szCs w:val="24"/>
        </w:rPr>
      </w:pPr>
      <w:r>
        <w:rPr>
          <w:rStyle w:val="Rimandonotaapidipagina"/>
        </w:rPr>
        <w:footnoteRef/>
      </w:r>
      <w:r>
        <w:t xml:space="preserve"> </w:t>
      </w:r>
      <w:proofErr w:type="spellStart"/>
      <w:r w:rsidRPr="007D0C8A">
        <w:rPr>
          <w:rFonts w:ascii="Times New Roman" w:hAnsi="Times New Roman" w:cs="Times New Roman"/>
          <w:sz w:val="24"/>
          <w:szCs w:val="24"/>
        </w:rPr>
        <w:t>Cons</w:t>
      </w:r>
      <w:proofErr w:type="spellEnd"/>
      <w:r w:rsidRPr="007D0C8A">
        <w:rPr>
          <w:rFonts w:ascii="Times New Roman" w:hAnsi="Times New Roman" w:cs="Times New Roman"/>
          <w:sz w:val="24"/>
          <w:szCs w:val="24"/>
        </w:rPr>
        <w:t xml:space="preserve">. Stato sez. </w:t>
      </w:r>
      <w:r>
        <w:rPr>
          <w:rFonts w:ascii="Times New Roman" w:hAnsi="Times New Roman" w:cs="Times New Roman"/>
          <w:sz w:val="24"/>
          <w:szCs w:val="24"/>
        </w:rPr>
        <w:t>III 2 novembre 2021 n. 7316</w:t>
      </w:r>
      <w:r w:rsidRPr="007D0C8A">
        <w:rPr>
          <w:rFonts w:ascii="Times New Roman" w:hAnsi="Times New Roman" w:cs="Times New Roman"/>
          <w:sz w:val="24"/>
          <w:szCs w:val="24"/>
        </w:rPr>
        <w:t>.</w:t>
      </w:r>
    </w:p>
    <w:p w:rsidR="00A85B49" w:rsidRDefault="00A85B49">
      <w:pPr>
        <w:pStyle w:val="Testonotaapidipagina"/>
      </w:pPr>
    </w:p>
  </w:footnote>
  <w:footnote w:id="9">
    <w:p w:rsidR="00A85B49" w:rsidRPr="00A85B49" w:rsidRDefault="00A85B49">
      <w:pPr>
        <w:pStyle w:val="Testonotaapidipagina"/>
        <w:rPr>
          <w:rFonts w:ascii="Times New Roman" w:hAnsi="Times New Roman" w:cs="Times New Roman"/>
          <w:sz w:val="24"/>
          <w:szCs w:val="24"/>
        </w:rPr>
      </w:pPr>
      <w:r>
        <w:rPr>
          <w:rStyle w:val="Rimandonotaapidipagina"/>
        </w:rPr>
        <w:footnoteRef/>
      </w:r>
      <w:r>
        <w:t xml:space="preserve"> </w:t>
      </w:r>
      <w:proofErr w:type="spellStart"/>
      <w:r w:rsidRPr="00A85B49">
        <w:rPr>
          <w:rFonts w:ascii="Times New Roman" w:hAnsi="Times New Roman" w:cs="Times New Roman"/>
          <w:sz w:val="24"/>
          <w:szCs w:val="24"/>
        </w:rPr>
        <w:t>Cons</w:t>
      </w:r>
      <w:proofErr w:type="spellEnd"/>
      <w:r w:rsidRPr="00A85B49">
        <w:rPr>
          <w:rFonts w:ascii="Times New Roman" w:hAnsi="Times New Roman" w:cs="Times New Roman"/>
          <w:sz w:val="24"/>
          <w:szCs w:val="24"/>
        </w:rPr>
        <w:t>. Stato Sez. III, 13/12/2021, n. 8309</w:t>
      </w:r>
    </w:p>
  </w:footnote>
  <w:footnote w:id="10">
    <w:p w:rsidR="00A85B49" w:rsidRDefault="00A85B49">
      <w:pPr>
        <w:pStyle w:val="Testonotaapidipagina"/>
      </w:pPr>
      <w:r>
        <w:rPr>
          <w:rStyle w:val="Rimandonotaapidipagina"/>
        </w:rPr>
        <w:footnoteRef/>
      </w:r>
      <w:r>
        <w:t xml:space="preserve"> </w:t>
      </w:r>
      <w:proofErr w:type="spellStart"/>
      <w:r w:rsidRPr="00A85B49">
        <w:rPr>
          <w:rFonts w:ascii="Times New Roman" w:hAnsi="Times New Roman" w:cs="Times New Roman"/>
          <w:sz w:val="24"/>
          <w:szCs w:val="24"/>
        </w:rPr>
        <w:t>Cons</w:t>
      </w:r>
      <w:proofErr w:type="spellEnd"/>
      <w:r w:rsidRPr="00A85B49">
        <w:rPr>
          <w:rFonts w:ascii="Times New Roman" w:hAnsi="Times New Roman" w:cs="Times New Roman"/>
          <w:sz w:val="24"/>
          <w:szCs w:val="24"/>
        </w:rPr>
        <w:t>. Stato n. 8309/2021 cit.</w:t>
      </w:r>
    </w:p>
  </w:footnote>
  <w:footnote w:id="11">
    <w:p w:rsidR="007A739A" w:rsidRPr="007A739A" w:rsidRDefault="007A739A">
      <w:pPr>
        <w:pStyle w:val="Testonotaapidipagina"/>
        <w:rPr>
          <w:rFonts w:ascii="Times New Roman" w:hAnsi="Times New Roman" w:cs="Times New Roman"/>
          <w:sz w:val="24"/>
          <w:szCs w:val="24"/>
        </w:rPr>
      </w:pPr>
      <w:r>
        <w:rPr>
          <w:rStyle w:val="Rimandonotaapidipagina"/>
        </w:rPr>
        <w:footnoteRef/>
      </w:r>
      <w:r>
        <w:t xml:space="preserve"> </w:t>
      </w:r>
      <w:proofErr w:type="spellStart"/>
      <w:r w:rsidRPr="007A739A">
        <w:rPr>
          <w:rFonts w:ascii="Times New Roman" w:hAnsi="Times New Roman" w:cs="Times New Roman"/>
          <w:sz w:val="24"/>
          <w:szCs w:val="24"/>
        </w:rPr>
        <w:t>Cons</w:t>
      </w:r>
      <w:proofErr w:type="spellEnd"/>
      <w:r w:rsidRPr="007A739A">
        <w:rPr>
          <w:rFonts w:ascii="Times New Roman" w:hAnsi="Times New Roman" w:cs="Times New Roman"/>
          <w:sz w:val="24"/>
          <w:szCs w:val="24"/>
        </w:rPr>
        <w:t>. Stato sez. III 21 maggio 2021 n. 3915</w:t>
      </w:r>
    </w:p>
  </w:footnote>
  <w:footnote w:id="12">
    <w:p w:rsidR="00956C9A" w:rsidRPr="007D0C8A" w:rsidRDefault="00956C9A" w:rsidP="00956C9A">
      <w:pPr>
        <w:spacing w:after="0" w:line="240" w:lineRule="auto"/>
        <w:jc w:val="both"/>
        <w:rPr>
          <w:rFonts w:ascii="Times New Roman" w:hAnsi="Times New Roman" w:cs="Times New Roman"/>
          <w:sz w:val="24"/>
          <w:szCs w:val="24"/>
        </w:rPr>
      </w:pPr>
      <w:r>
        <w:rPr>
          <w:rStyle w:val="Rimandonotaapidipagina"/>
        </w:rPr>
        <w:footnoteRef/>
      </w:r>
      <w:r>
        <w:rPr>
          <w:rFonts w:ascii="Times New Roman" w:hAnsi="Times New Roman" w:cs="Times New Roman"/>
          <w:sz w:val="24"/>
          <w:szCs w:val="24"/>
        </w:rPr>
        <w:t xml:space="preserve"> I</w:t>
      </w:r>
      <w:r w:rsidRPr="007D0C8A">
        <w:rPr>
          <w:rFonts w:ascii="Times New Roman" w:hAnsi="Times New Roman" w:cs="Times New Roman"/>
          <w:sz w:val="24"/>
          <w:szCs w:val="24"/>
        </w:rPr>
        <w:t>l Tar Reggio Calabria</w:t>
      </w:r>
      <w:r>
        <w:rPr>
          <w:rFonts w:ascii="Times New Roman" w:hAnsi="Times New Roman" w:cs="Times New Roman"/>
          <w:sz w:val="24"/>
          <w:szCs w:val="24"/>
        </w:rPr>
        <w:t>, con il provvedimento richiamato,</w:t>
      </w:r>
      <w:r w:rsidRPr="007D0C8A">
        <w:rPr>
          <w:rFonts w:ascii="Times New Roman" w:hAnsi="Times New Roman" w:cs="Times New Roman"/>
          <w:sz w:val="24"/>
          <w:szCs w:val="24"/>
        </w:rPr>
        <w:t xml:space="preserve"> ha ritenuto non manifestamente infondato la questione di legittimità costituzionale dell’art. dell'articolo 92 del decreto legislativo 6 settembre 2011, n. 159, per contrasto con i principi di eguaglianza, proporzionalità e ragionevolezza di cui all'articolo 3 della Costituzione, con il diritto al lavoro di cui all'art. 4 della Costituzione e con il diritto di difesa di cui all'art. 24 della Costituzione, laddove, diversamente che in caso di misure di prevenzione, in materia di </w:t>
      </w:r>
      <w:proofErr w:type="spellStart"/>
      <w:r w:rsidRPr="007D0C8A">
        <w:rPr>
          <w:rFonts w:ascii="Times New Roman" w:hAnsi="Times New Roman" w:cs="Times New Roman"/>
          <w:sz w:val="24"/>
          <w:szCs w:val="24"/>
        </w:rPr>
        <w:t>interdittive</w:t>
      </w:r>
      <w:proofErr w:type="spellEnd"/>
      <w:r w:rsidRPr="007D0C8A">
        <w:rPr>
          <w:rFonts w:ascii="Times New Roman" w:hAnsi="Times New Roman" w:cs="Times New Roman"/>
          <w:sz w:val="24"/>
          <w:szCs w:val="24"/>
        </w:rPr>
        <w:t xml:space="preserve"> antimafia è precluso al Prefetto, quale autorità che adotta l'atto, la possibilità di escludere le decadenze ed i divieti previsti, nel caso in cui per effetto degli stessi verrebbero a mancare i mezzi di sostentamento all'interessato ed alla sua famiglia, concretizzerebbe un'evidente ed irragio</w:t>
      </w:r>
      <w:r>
        <w:rPr>
          <w:rFonts w:ascii="Times New Roman" w:hAnsi="Times New Roman" w:cs="Times New Roman"/>
          <w:sz w:val="24"/>
          <w:szCs w:val="24"/>
        </w:rPr>
        <w:t>nevole disparità di trattamento</w:t>
      </w:r>
      <w:r w:rsidRPr="007D0C8A">
        <w:rPr>
          <w:rFonts w:ascii="Times New Roman" w:hAnsi="Times New Roman" w:cs="Times New Roman"/>
          <w:sz w:val="24"/>
          <w:szCs w:val="24"/>
        </w:rPr>
        <w:t>.</w:t>
      </w:r>
    </w:p>
    <w:p w:rsidR="00956C9A" w:rsidRDefault="00956C9A">
      <w:pPr>
        <w:pStyle w:val="Testonotaapidipagina"/>
      </w:pPr>
    </w:p>
  </w:footnote>
  <w:footnote w:id="13">
    <w:p w:rsidR="00314DB6" w:rsidRPr="007D0C8A" w:rsidRDefault="00314DB6" w:rsidP="00314DB6">
      <w:pPr>
        <w:spacing w:after="0"/>
        <w:jc w:val="both"/>
        <w:rPr>
          <w:rFonts w:ascii="Times New Roman" w:hAnsi="Times New Roman" w:cs="Times New Roman"/>
          <w:sz w:val="24"/>
          <w:szCs w:val="24"/>
        </w:rPr>
      </w:pPr>
      <w:r>
        <w:rPr>
          <w:rStyle w:val="Rimandonotaapidipagina"/>
        </w:rPr>
        <w:footnoteRef/>
      </w:r>
      <w:r>
        <w:t xml:space="preserve"> </w:t>
      </w:r>
      <w:r w:rsidRPr="007D0C8A">
        <w:rPr>
          <w:rFonts w:ascii="Times New Roman" w:hAnsi="Times New Roman" w:cs="Times New Roman"/>
          <w:i/>
          <w:sz w:val="24"/>
          <w:szCs w:val="24"/>
        </w:rPr>
        <w:t xml:space="preserve">Il prefetto, anche sulla documentata richiesta dell'interessato, aggiorna l'esito dell'informazione al venir meno delle circostanze rilevanti ai fini dell'accertamento dei tentativi di infiltrazione mafiosa. </w:t>
      </w:r>
    </w:p>
    <w:p w:rsidR="00314DB6" w:rsidRDefault="00314DB6">
      <w:pPr>
        <w:pStyle w:val="Testonotaapidipagina"/>
      </w:pPr>
    </w:p>
  </w:footnote>
  <w:footnote w:id="14">
    <w:p w:rsidR="00314DB6" w:rsidRPr="00314DB6" w:rsidRDefault="00314DB6">
      <w:pPr>
        <w:pStyle w:val="Testonotaapidipagina"/>
        <w:rPr>
          <w:rFonts w:ascii="Times New Roman" w:hAnsi="Times New Roman" w:cs="Times New Roman"/>
          <w:sz w:val="24"/>
          <w:szCs w:val="24"/>
        </w:rPr>
      </w:pPr>
      <w:r>
        <w:rPr>
          <w:rStyle w:val="Rimandonotaapidipagina"/>
        </w:rPr>
        <w:footnoteRef/>
      </w:r>
      <w:r>
        <w:t xml:space="preserve"> </w:t>
      </w:r>
      <w:r w:rsidRPr="003C0A29">
        <w:rPr>
          <w:rFonts w:ascii="Times New Roman" w:hAnsi="Times New Roman" w:cs="Times New Roman"/>
          <w:sz w:val="24"/>
          <w:szCs w:val="24"/>
        </w:rPr>
        <w:t xml:space="preserve">CGA </w:t>
      </w:r>
      <w:r w:rsidR="003C0A29" w:rsidRPr="003C0A29">
        <w:rPr>
          <w:rFonts w:ascii="Times New Roman" w:hAnsi="Times New Roman" w:cs="Times New Roman"/>
          <w:sz w:val="24"/>
          <w:szCs w:val="24"/>
        </w:rPr>
        <w:t>31 gennaio 2022 n. 152</w:t>
      </w:r>
    </w:p>
  </w:footnote>
  <w:footnote w:id="15">
    <w:p w:rsidR="003C0A29" w:rsidRDefault="003C0A29">
      <w:pPr>
        <w:pStyle w:val="Testonotaapidipagina"/>
      </w:pPr>
      <w:r>
        <w:rPr>
          <w:rStyle w:val="Rimandonotaapidipagina"/>
        </w:rPr>
        <w:footnoteRef/>
      </w:r>
      <w:r>
        <w:t xml:space="preserve"> </w:t>
      </w:r>
      <w:r w:rsidRPr="003C0A29">
        <w:rPr>
          <w:rFonts w:ascii="Times New Roman" w:hAnsi="Times New Roman" w:cs="Times New Roman"/>
          <w:sz w:val="24"/>
          <w:szCs w:val="24"/>
        </w:rPr>
        <w:t>Tar Reggio Calabria 28 marzo 2022 n. 236</w:t>
      </w:r>
    </w:p>
  </w:footnote>
  <w:footnote w:id="16">
    <w:p w:rsidR="0069198E" w:rsidRDefault="0069198E">
      <w:pPr>
        <w:pStyle w:val="Testonotaapidipagina"/>
      </w:pPr>
      <w:r>
        <w:rPr>
          <w:rStyle w:val="Rimandonotaapidipagina"/>
        </w:rPr>
        <w:footnoteRef/>
      </w:r>
      <w:r>
        <w:t xml:space="preserve"> </w:t>
      </w:r>
      <w:r w:rsidRPr="007D0C8A">
        <w:rPr>
          <w:rFonts w:ascii="Times New Roman" w:hAnsi="Times New Roman" w:cs="Times New Roman"/>
          <w:sz w:val="24"/>
          <w:szCs w:val="24"/>
        </w:rPr>
        <w:t>Tar Reggio Calabria 2 dicembre 2021 n. 905</w:t>
      </w:r>
    </w:p>
  </w:footnote>
  <w:footnote w:id="17">
    <w:p w:rsidR="000F2203" w:rsidRPr="000F2203" w:rsidRDefault="000F2203" w:rsidP="000F2203">
      <w:pPr>
        <w:spacing w:after="0" w:line="360" w:lineRule="auto"/>
        <w:jc w:val="both"/>
        <w:rPr>
          <w:rFonts w:ascii="Times New Roman" w:hAnsi="Times New Roman" w:cs="Times New Roman"/>
          <w:sz w:val="24"/>
          <w:szCs w:val="24"/>
        </w:rPr>
      </w:pPr>
      <w:r>
        <w:rPr>
          <w:rStyle w:val="Rimandonotaapidipagina"/>
        </w:rPr>
        <w:footnoteRef/>
      </w:r>
      <w:r>
        <w:t xml:space="preserve"> </w:t>
      </w:r>
      <w:r w:rsidRPr="000F2203">
        <w:rPr>
          <w:rFonts w:ascii="Times New Roman" w:hAnsi="Times New Roman" w:cs="Times New Roman"/>
          <w:sz w:val="24"/>
          <w:szCs w:val="24"/>
        </w:rPr>
        <w:t xml:space="preserve">T.A.R. Lazio Roma Sez. I bis, 26/07/2021, n. 8938 </w:t>
      </w:r>
    </w:p>
    <w:p w:rsidR="000F2203" w:rsidRDefault="000F2203">
      <w:pPr>
        <w:pStyle w:val="Testonotaapidipagina"/>
      </w:pPr>
    </w:p>
  </w:footnote>
  <w:footnote w:id="18">
    <w:p w:rsidR="00F74E64" w:rsidRPr="00F74E64" w:rsidRDefault="00F74E64" w:rsidP="00F74E64">
      <w:pPr>
        <w:pStyle w:val="Testonotaapidipagina"/>
        <w:jc w:val="both"/>
        <w:rPr>
          <w:rFonts w:ascii="Times New Roman" w:hAnsi="Times New Roman" w:cs="Times New Roman"/>
          <w:sz w:val="24"/>
          <w:szCs w:val="24"/>
        </w:rPr>
      </w:pPr>
      <w:r>
        <w:rPr>
          <w:rStyle w:val="Rimandonotaapidipagina"/>
        </w:rPr>
        <w:footnoteRef/>
      </w:r>
      <w:r>
        <w:t xml:space="preserve"> </w:t>
      </w:r>
      <w:r>
        <w:rPr>
          <w:rFonts w:ascii="Times New Roman" w:hAnsi="Times New Roman" w:cs="Times New Roman"/>
          <w:sz w:val="24"/>
          <w:szCs w:val="24"/>
        </w:rPr>
        <w:t>In tal sens</w:t>
      </w:r>
      <w:r w:rsidRPr="00F74E64">
        <w:rPr>
          <w:rFonts w:ascii="Times New Roman" w:hAnsi="Times New Roman" w:cs="Times New Roman"/>
          <w:sz w:val="24"/>
          <w:szCs w:val="24"/>
        </w:rPr>
        <w:t>o</w:t>
      </w:r>
      <w:r w:rsidRPr="00F74E64">
        <w:t xml:space="preserve"> </w:t>
      </w:r>
      <w:r w:rsidRPr="00F74E64">
        <w:rPr>
          <w:rFonts w:ascii="Times New Roman" w:hAnsi="Times New Roman" w:cs="Times New Roman"/>
          <w:sz w:val="24"/>
          <w:szCs w:val="24"/>
        </w:rPr>
        <w:t>T.A.R. Campania Napoli Sez. I, 12</w:t>
      </w:r>
      <w:r>
        <w:rPr>
          <w:rFonts w:ascii="Times New Roman" w:hAnsi="Times New Roman" w:cs="Times New Roman"/>
          <w:sz w:val="24"/>
          <w:szCs w:val="24"/>
        </w:rPr>
        <w:t xml:space="preserve"> maggio </w:t>
      </w:r>
      <w:r w:rsidRPr="00F74E64">
        <w:rPr>
          <w:rFonts w:ascii="Times New Roman" w:hAnsi="Times New Roman" w:cs="Times New Roman"/>
          <w:sz w:val="24"/>
          <w:szCs w:val="24"/>
        </w:rPr>
        <w:t>2020, n. 1713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E21"/>
    <w:rsid w:val="00085085"/>
    <w:rsid w:val="000A5E7C"/>
    <w:rsid w:val="000D2C27"/>
    <w:rsid w:val="000F2203"/>
    <w:rsid w:val="00107274"/>
    <w:rsid w:val="00112E98"/>
    <w:rsid w:val="00113170"/>
    <w:rsid w:val="001A2B9C"/>
    <w:rsid w:val="001F5380"/>
    <w:rsid w:val="00207940"/>
    <w:rsid w:val="002503EA"/>
    <w:rsid w:val="002F286A"/>
    <w:rsid w:val="003068AB"/>
    <w:rsid w:val="00307A72"/>
    <w:rsid w:val="00314DB6"/>
    <w:rsid w:val="00326B10"/>
    <w:rsid w:val="00394244"/>
    <w:rsid w:val="003C0A29"/>
    <w:rsid w:val="003C1904"/>
    <w:rsid w:val="004263B7"/>
    <w:rsid w:val="00460AB2"/>
    <w:rsid w:val="004B39D4"/>
    <w:rsid w:val="004D089A"/>
    <w:rsid w:val="004F1679"/>
    <w:rsid w:val="00503274"/>
    <w:rsid w:val="005259D5"/>
    <w:rsid w:val="00594A9E"/>
    <w:rsid w:val="005C2326"/>
    <w:rsid w:val="005D3E21"/>
    <w:rsid w:val="00633CA8"/>
    <w:rsid w:val="00652F00"/>
    <w:rsid w:val="0065404D"/>
    <w:rsid w:val="006769C5"/>
    <w:rsid w:val="00681ACA"/>
    <w:rsid w:val="0069198E"/>
    <w:rsid w:val="00691CBF"/>
    <w:rsid w:val="00767A24"/>
    <w:rsid w:val="00797902"/>
    <w:rsid w:val="007A739A"/>
    <w:rsid w:val="007D0C8A"/>
    <w:rsid w:val="007D7A80"/>
    <w:rsid w:val="00820005"/>
    <w:rsid w:val="00852093"/>
    <w:rsid w:val="008C5273"/>
    <w:rsid w:val="008D75FF"/>
    <w:rsid w:val="00932F4E"/>
    <w:rsid w:val="00956C9A"/>
    <w:rsid w:val="00976100"/>
    <w:rsid w:val="009D291A"/>
    <w:rsid w:val="009E337D"/>
    <w:rsid w:val="00A26A03"/>
    <w:rsid w:val="00A32DF5"/>
    <w:rsid w:val="00A46A5A"/>
    <w:rsid w:val="00A51072"/>
    <w:rsid w:val="00A85B49"/>
    <w:rsid w:val="00AC0BBA"/>
    <w:rsid w:val="00B57017"/>
    <w:rsid w:val="00B91D58"/>
    <w:rsid w:val="00BA3AC4"/>
    <w:rsid w:val="00BB2A3A"/>
    <w:rsid w:val="00BB7638"/>
    <w:rsid w:val="00BC1EC6"/>
    <w:rsid w:val="00BC5CC3"/>
    <w:rsid w:val="00BD161A"/>
    <w:rsid w:val="00BF0EA5"/>
    <w:rsid w:val="00C42A7B"/>
    <w:rsid w:val="00D2694C"/>
    <w:rsid w:val="00D65E2F"/>
    <w:rsid w:val="00E10FC7"/>
    <w:rsid w:val="00E41A15"/>
    <w:rsid w:val="00E5738E"/>
    <w:rsid w:val="00E63806"/>
    <w:rsid w:val="00E7408E"/>
    <w:rsid w:val="00EF0030"/>
    <w:rsid w:val="00F20047"/>
    <w:rsid w:val="00F506CA"/>
    <w:rsid w:val="00F5239F"/>
    <w:rsid w:val="00F74E64"/>
    <w:rsid w:val="00F76E34"/>
    <w:rsid w:val="00FA361C"/>
    <w:rsid w:val="00FF43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BBB51D-27B0-471D-BDCA-76FC89224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50327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503274"/>
    <w:rPr>
      <w:sz w:val="20"/>
      <w:szCs w:val="20"/>
    </w:rPr>
  </w:style>
  <w:style w:type="character" w:styleId="Rimandonotaapidipagina">
    <w:name w:val="footnote reference"/>
    <w:basedOn w:val="Carpredefinitoparagrafo"/>
    <w:uiPriority w:val="99"/>
    <w:semiHidden/>
    <w:unhideWhenUsed/>
    <w:rsid w:val="00503274"/>
    <w:rPr>
      <w:vertAlign w:val="superscript"/>
    </w:rPr>
  </w:style>
  <w:style w:type="paragraph" w:styleId="Intestazione">
    <w:name w:val="header"/>
    <w:basedOn w:val="Normale"/>
    <w:link w:val="IntestazioneCarattere"/>
    <w:uiPriority w:val="99"/>
    <w:unhideWhenUsed/>
    <w:rsid w:val="00AC0BB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C0BBA"/>
  </w:style>
  <w:style w:type="paragraph" w:styleId="Pidipagina">
    <w:name w:val="footer"/>
    <w:basedOn w:val="Normale"/>
    <w:link w:val="PidipaginaCarattere"/>
    <w:uiPriority w:val="99"/>
    <w:unhideWhenUsed/>
    <w:rsid w:val="00AC0BB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C0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403014">
      <w:bodyDiv w:val="1"/>
      <w:marLeft w:val="0"/>
      <w:marRight w:val="0"/>
      <w:marTop w:val="0"/>
      <w:marBottom w:val="0"/>
      <w:divBdr>
        <w:top w:val="none" w:sz="0" w:space="0" w:color="auto"/>
        <w:left w:val="none" w:sz="0" w:space="0" w:color="auto"/>
        <w:bottom w:val="none" w:sz="0" w:space="0" w:color="auto"/>
        <w:right w:val="none" w:sz="0" w:space="0" w:color="auto"/>
      </w:divBdr>
      <w:divsChild>
        <w:div w:id="993529327">
          <w:marLeft w:val="0"/>
          <w:marRight w:val="0"/>
          <w:marTop w:val="0"/>
          <w:marBottom w:val="0"/>
          <w:divBdr>
            <w:top w:val="none" w:sz="0" w:space="0" w:color="auto"/>
            <w:left w:val="none" w:sz="0" w:space="0" w:color="auto"/>
            <w:bottom w:val="none" w:sz="0" w:space="0" w:color="auto"/>
            <w:right w:val="none" w:sz="0" w:space="0" w:color="auto"/>
          </w:divBdr>
          <w:divsChild>
            <w:div w:id="2116703019">
              <w:marLeft w:val="0"/>
              <w:marRight w:val="0"/>
              <w:marTop w:val="0"/>
              <w:marBottom w:val="0"/>
              <w:divBdr>
                <w:top w:val="none" w:sz="0" w:space="0" w:color="auto"/>
                <w:left w:val="none" w:sz="0" w:space="0" w:color="auto"/>
                <w:bottom w:val="none" w:sz="0" w:space="0" w:color="auto"/>
                <w:right w:val="none" w:sz="0" w:space="0" w:color="auto"/>
              </w:divBdr>
              <w:divsChild>
                <w:div w:id="482309492">
                  <w:marLeft w:val="0"/>
                  <w:marRight w:val="0"/>
                  <w:marTop w:val="0"/>
                  <w:marBottom w:val="0"/>
                  <w:divBdr>
                    <w:top w:val="none" w:sz="0" w:space="0" w:color="auto"/>
                    <w:left w:val="none" w:sz="0" w:space="0" w:color="auto"/>
                    <w:bottom w:val="none" w:sz="0" w:space="0" w:color="auto"/>
                    <w:right w:val="none" w:sz="0" w:space="0" w:color="auto"/>
                  </w:divBdr>
                  <w:divsChild>
                    <w:div w:id="2134903162">
                      <w:marLeft w:val="0"/>
                      <w:marRight w:val="0"/>
                      <w:marTop w:val="0"/>
                      <w:marBottom w:val="0"/>
                      <w:divBdr>
                        <w:top w:val="none" w:sz="0" w:space="0" w:color="auto"/>
                        <w:left w:val="none" w:sz="0" w:space="0" w:color="auto"/>
                        <w:bottom w:val="none" w:sz="0" w:space="0" w:color="auto"/>
                        <w:right w:val="none" w:sz="0" w:space="0" w:color="auto"/>
                      </w:divBdr>
                      <w:divsChild>
                        <w:div w:id="2100447097">
                          <w:marLeft w:val="0"/>
                          <w:marRight w:val="0"/>
                          <w:marTop w:val="0"/>
                          <w:marBottom w:val="0"/>
                          <w:divBdr>
                            <w:top w:val="none" w:sz="0" w:space="0" w:color="auto"/>
                            <w:left w:val="none" w:sz="0" w:space="0" w:color="auto"/>
                            <w:bottom w:val="none" w:sz="0" w:space="0" w:color="auto"/>
                            <w:right w:val="none" w:sz="0" w:space="0" w:color="auto"/>
                          </w:divBdr>
                          <w:divsChild>
                            <w:div w:id="1086462984">
                              <w:marLeft w:val="0"/>
                              <w:marRight w:val="0"/>
                              <w:marTop w:val="0"/>
                              <w:marBottom w:val="0"/>
                              <w:divBdr>
                                <w:top w:val="none" w:sz="0" w:space="0" w:color="auto"/>
                                <w:left w:val="none" w:sz="0" w:space="0" w:color="auto"/>
                                <w:bottom w:val="none" w:sz="0" w:space="0" w:color="auto"/>
                                <w:right w:val="none" w:sz="0" w:space="0" w:color="auto"/>
                              </w:divBdr>
                              <w:divsChild>
                                <w:div w:id="693580688">
                                  <w:marLeft w:val="0"/>
                                  <w:marRight w:val="0"/>
                                  <w:marTop w:val="0"/>
                                  <w:marBottom w:val="0"/>
                                  <w:divBdr>
                                    <w:top w:val="none" w:sz="0" w:space="0" w:color="auto"/>
                                    <w:left w:val="none" w:sz="0" w:space="0" w:color="auto"/>
                                    <w:bottom w:val="none" w:sz="0" w:space="0" w:color="auto"/>
                                    <w:right w:val="none" w:sz="0" w:space="0" w:color="auto"/>
                                  </w:divBdr>
                                  <w:divsChild>
                                    <w:div w:id="1876313995">
                                      <w:marLeft w:val="0"/>
                                      <w:marRight w:val="0"/>
                                      <w:marTop w:val="0"/>
                                      <w:marBottom w:val="0"/>
                                      <w:divBdr>
                                        <w:top w:val="none" w:sz="0" w:space="0" w:color="auto"/>
                                        <w:left w:val="none" w:sz="0" w:space="0" w:color="auto"/>
                                        <w:bottom w:val="none" w:sz="0" w:space="0" w:color="auto"/>
                                        <w:right w:val="none" w:sz="0" w:space="0" w:color="auto"/>
                                      </w:divBdr>
                                    </w:div>
                                    <w:div w:id="1026979081">
                                      <w:marLeft w:val="0"/>
                                      <w:marRight w:val="0"/>
                                      <w:marTop w:val="0"/>
                                      <w:marBottom w:val="0"/>
                                      <w:divBdr>
                                        <w:top w:val="none" w:sz="0" w:space="0" w:color="auto"/>
                                        <w:left w:val="none" w:sz="0" w:space="0" w:color="auto"/>
                                        <w:bottom w:val="none" w:sz="0" w:space="0" w:color="auto"/>
                                        <w:right w:val="none" w:sz="0" w:space="0" w:color="auto"/>
                                      </w:divBdr>
                                    </w:div>
                                    <w:div w:id="2027975425">
                                      <w:marLeft w:val="0"/>
                                      <w:marRight w:val="0"/>
                                      <w:marTop w:val="0"/>
                                      <w:marBottom w:val="0"/>
                                      <w:divBdr>
                                        <w:top w:val="none" w:sz="0" w:space="0" w:color="auto"/>
                                        <w:left w:val="none" w:sz="0" w:space="0" w:color="auto"/>
                                        <w:bottom w:val="none" w:sz="0" w:space="0" w:color="auto"/>
                                        <w:right w:val="none" w:sz="0" w:space="0" w:color="auto"/>
                                      </w:divBdr>
                                    </w:div>
                                    <w:div w:id="374038210">
                                      <w:marLeft w:val="0"/>
                                      <w:marRight w:val="0"/>
                                      <w:marTop w:val="0"/>
                                      <w:marBottom w:val="0"/>
                                      <w:divBdr>
                                        <w:top w:val="none" w:sz="0" w:space="0" w:color="auto"/>
                                        <w:left w:val="none" w:sz="0" w:space="0" w:color="auto"/>
                                        <w:bottom w:val="none" w:sz="0" w:space="0" w:color="auto"/>
                                        <w:right w:val="none" w:sz="0" w:space="0" w:color="auto"/>
                                      </w:divBdr>
                                    </w:div>
                                    <w:div w:id="157574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967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3336</Words>
  <Characters>19017</Characters>
  <Application>Microsoft Office Word</Application>
  <DocSecurity>0</DocSecurity>
  <Lines>158</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MAMELI Valentina Santina</dc:creator>
  <cp:keywords/>
  <dc:description/>
  <cp:lastModifiedBy>FERRARI Giulia</cp:lastModifiedBy>
  <cp:revision>2</cp:revision>
  <dcterms:created xsi:type="dcterms:W3CDTF">2022-04-14T19:15:00Z</dcterms:created>
  <dcterms:modified xsi:type="dcterms:W3CDTF">2022-04-14T19:15:00Z</dcterms:modified>
</cp:coreProperties>
</file>