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0E4D42" w14:textId="5ABD8B1E" w:rsidR="008956C2" w:rsidRPr="00C46C09" w:rsidRDefault="003869EC" w:rsidP="00A56A01">
      <w:pPr>
        <w:autoSpaceDE w:val="0"/>
        <w:autoSpaceDN w:val="0"/>
        <w:adjustRightInd w:val="0"/>
        <w:spacing w:after="0" w:line="240" w:lineRule="auto"/>
        <w:jc w:val="center"/>
        <w:rPr>
          <w:rFonts w:ascii="Times New Roman" w:hAnsi="Times New Roman" w:cs="Times New Roman"/>
          <w:b/>
          <w:bCs/>
          <w:i/>
          <w:smallCaps/>
        </w:rPr>
      </w:pPr>
      <w:bookmarkStart w:id="0" w:name="_Hlk97640222"/>
      <w:bookmarkStart w:id="1" w:name="_GoBack"/>
      <w:r w:rsidRPr="003869EC">
        <w:rPr>
          <w:rFonts w:ascii="Times New Roman" w:hAnsi="Times New Roman" w:cs="Times New Roman"/>
          <w:b/>
          <w:bCs/>
          <w:iCs/>
          <w:sz w:val="28"/>
          <w:szCs w:val="28"/>
        </w:rPr>
        <w:t>Le ragioni di  nuove  istruzioni e raccomandazioni sulla qualità della regolazione: una rinnovata attenzione per il drafting sostanziale</w:t>
      </w:r>
      <w:bookmarkEnd w:id="1"/>
      <w:r w:rsidR="006E7E02">
        <w:rPr>
          <w:rStyle w:val="Rimandonotaapidipagina"/>
          <w:rFonts w:ascii="Times New Roman" w:hAnsi="Times New Roman" w:cs="Times New Roman"/>
          <w:b/>
          <w:bCs/>
          <w:i/>
          <w:smallCaps/>
        </w:rPr>
        <w:footnoteReference w:id="1"/>
      </w:r>
    </w:p>
    <w:bookmarkEnd w:id="0"/>
    <w:p w14:paraId="14B6BEB0" w14:textId="77777777" w:rsidR="007B064F" w:rsidRPr="00C46C09" w:rsidRDefault="007B064F" w:rsidP="006277A5">
      <w:pPr>
        <w:autoSpaceDE w:val="0"/>
        <w:autoSpaceDN w:val="0"/>
        <w:adjustRightInd w:val="0"/>
        <w:spacing w:after="0" w:line="240" w:lineRule="auto"/>
        <w:jc w:val="center"/>
        <w:rPr>
          <w:rFonts w:ascii="Times New Roman" w:hAnsi="Times New Roman" w:cs="Times New Roman"/>
          <w:b/>
          <w:bCs/>
          <w:smallCaps/>
        </w:rPr>
      </w:pPr>
    </w:p>
    <w:p w14:paraId="41BE1405" w14:textId="7ADD74B0" w:rsidR="007B064F" w:rsidRPr="00C46C09" w:rsidRDefault="00FB7F59" w:rsidP="006277A5">
      <w:pPr>
        <w:autoSpaceDE w:val="0"/>
        <w:autoSpaceDN w:val="0"/>
        <w:adjustRightInd w:val="0"/>
        <w:spacing w:after="0" w:line="240" w:lineRule="auto"/>
        <w:jc w:val="center"/>
        <w:rPr>
          <w:rFonts w:ascii="Times New Roman" w:hAnsi="Times New Roman" w:cs="Times New Roman"/>
          <w:b/>
          <w:bCs/>
          <w:smallCaps/>
        </w:rPr>
      </w:pPr>
      <w:r>
        <w:rPr>
          <w:rStyle w:val="Rimandonotaapidipagina"/>
          <w:rFonts w:ascii="Times New Roman" w:hAnsi="Times New Roman" w:cs="Times New Roman"/>
          <w:b/>
          <w:bCs/>
          <w:smallCaps/>
        </w:rPr>
        <w:footnoteReference w:id="2"/>
      </w:r>
    </w:p>
    <w:p w14:paraId="3412D27E" w14:textId="77777777" w:rsidR="00CB4663" w:rsidRPr="00C46C09" w:rsidRDefault="00CB4663" w:rsidP="006277A5">
      <w:pPr>
        <w:autoSpaceDE w:val="0"/>
        <w:autoSpaceDN w:val="0"/>
        <w:adjustRightInd w:val="0"/>
        <w:spacing w:after="0" w:line="240" w:lineRule="auto"/>
        <w:jc w:val="center"/>
        <w:rPr>
          <w:rFonts w:ascii="Times New Roman" w:hAnsi="Times New Roman" w:cs="Times New Roman"/>
          <w:b/>
          <w:bCs/>
          <w:smallCaps/>
        </w:rPr>
      </w:pPr>
    </w:p>
    <w:p w14:paraId="1FA5FC13" w14:textId="54191F94" w:rsidR="00704A24" w:rsidRPr="008308E8" w:rsidRDefault="00F40C16" w:rsidP="006277A5">
      <w:pPr>
        <w:pStyle w:val="Paragrafoelenco"/>
        <w:autoSpaceDE w:val="0"/>
        <w:autoSpaceDN w:val="0"/>
        <w:adjustRightInd w:val="0"/>
        <w:spacing w:after="0" w:line="240" w:lineRule="auto"/>
        <w:ind w:left="0"/>
        <w:jc w:val="both"/>
        <w:rPr>
          <w:rFonts w:ascii="Times New Roman" w:hAnsi="Times New Roman" w:cs="Times New Roman"/>
          <w:b/>
          <w:bCs/>
          <w:lang w:val="en-US"/>
        </w:rPr>
      </w:pPr>
      <w:r w:rsidRPr="00C46C09">
        <w:rPr>
          <w:rFonts w:ascii="Times New Roman" w:hAnsi="Times New Roman" w:cs="Times New Roman"/>
          <w:b/>
          <w:bCs/>
        </w:rPr>
        <w:t>SOMMARIO</w:t>
      </w:r>
      <w:r w:rsidR="00C46C09">
        <w:rPr>
          <w:rFonts w:ascii="Times New Roman" w:hAnsi="Times New Roman" w:cs="Times New Roman"/>
          <w:b/>
          <w:bCs/>
        </w:rPr>
        <w:t xml:space="preserve">: </w:t>
      </w:r>
      <w:r w:rsidR="00704A24" w:rsidRPr="00C04C08">
        <w:rPr>
          <w:rFonts w:ascii="Times New Roman" w:hAnsi="Times New Roman" w:cs="Times New Roman"/>
          <w:bCs/>
          <w:iCs/>
        </w:rPr>
        <w:t>1.</w:t>
      </w:r>
      <w:r w:rsidR="00DC1597" w:rsidRPr="00C04C08">
        <w:rPr>
          <w:rFonts w:ascii="Times New Roman" w:hAnsi="Times New Roman" w:cs="Times New Roman"/>
          <w:bCs/>
          <w:iCs/>
        </w:rPr>
        <w:t xml:space="preserve"> </w:t>
      </w:r>
      <w:r w:rsidR="007B064F" w:rsidRPr="00C04C08">
        <w:rPr>
          <w:rFonts w:ascii="Times New Roman" w:hAnsi="Times New Roman" w:cs="Times New Roman"/>
          <w:bCs/>
          <w:iCs/>
        </w:rPr>
        <w:t xml:space="preserve">Premessa. 2. </w:t>
      </w:r>
      <w:r w:rsidRPr="00C04C08">
        <w:rPr>
          <w:rFonts w:ascii="Times New Roman" w:hAnsi="Times New Roman" w:cs="Times New Roman"/>
          <w:bCs/>
          <w:iCs/>
        </w:rPr>
        <w:t xml:space="preserve">La necessità di nuove raccomandazioni </w:t>
      </w:r>
      <w:r w:rsidR="007B064F" w:rsidRPr="00C04C08">
        <w:rPr>
          <w:rFonts w:ascii="Times New Roman" w:hAnsi="Times New Roman" w:cs="Times New Roman"/>
          <w:bCs/>
          <w:iCs/>
        </w:rPr>
        <w:t xml:space="preserve">per il </w:t>
      </w:r>
      <w:r w:rsidR="00C04C08" w:rsidRPr="00C04C08">
        <w:rPr>
          <w:rFonts w:ascii="Times New Roman" w:hAnsi="Times New Roman" w:cs="Times New Roman"/>
          <w:bCs/>
          <w:i/>
        </w:rPr>
        <w:t>drafting</w:t>
      </w:r>
      <w:r w:rsidR="007B064F" w:rsidRPr="00C04C08">
        <w:rPr>
          <w:rFonts w:ascii="Times New Roman" w:hAnsi="Times New Roman" w:cs="Times New Roman"/>
          <w:bCs/>
          <w:iCs/>
        </w:rPr>
        <w:t xml:space="preserve"> sostanziale</w:t>
      </w:r>
      <w:r w:rsidR="007B064F" w:rsidRPr="00C04C08">
        <w:rPr>
          <w:rFonts w:ascii="Times New Roman" w:hAnsi="Times New Roman" w:cs="Times New Roman"/>
          <w:iCs/>
        </w:rPr>
        <w:t xml:space="preserve">. </w:t>
      </w:r>
      <w:r w:rsidR="007B064F" w:rsidRPr="00C04C08">
        <w:rPr>
          <w:rFonts w:ascii="Times New Roman" w:hAnsi="Times New Roman" w:cs="Times New Roman"/>
          <w:bCs/>
          <w:iCs/>
        </w:rPr>
        <w:t xml:space="preserve">3. </w:t>
      </w:r>
      <w:r w:rsidR="00393E11" w:rsidRPr="00C04C08">
        <w:rPr>
          <w:rFonts w:ascii="Times New Roman" w:hAnsi="Times New Roman" w:cs="Times New Roman"/>
          <w:bCs/>
          <w:iCs/>
        </w:rPr>
        <w:t>L’”abuso della legge” e la necessità di definire i</w:t>
      </w:r>
      <w:r w:rsidR="007B064F" w:rsidRPr="00C04C08">
        <w:rPr>
          <w:rFonts w:ascii="Times New Roman" w:hAnsi="Times New Roman" w:cs="Times New Roman"/>
          <w:bCs/>
          <w:iCs/>
        </w:rPr>
        <w:t xml:space="preserve"> canoni di una legislazione necessaria, ordinata e coerente.</w:t>
      </w:r>
      <w:r w:rsidR="007B064F" w:rsidRPr="00C04C08">
        <w:rPr>
          <w:rFonts w:ascii="Times New Roman" w:hAnsi="Times New Roman" w:cs="Times New Roman"/>
          <w:iCs/>
          <w:color w:val="000000" w:themeColor="text1"/>
        </w:rPr>
        <w:t xml:space="preserve"> </w:t>
      </w:r>
      <w:r w:rsidR="00704A24" w:rsidRPr="00C04C08">
        <w:rPr>
          <w:rFonts w:ascii="Times New Roman" w:hAnsi="Times New Roman" w:cs="Times New Roman"/>
          <w:iCs/>
          <w:color w:val="000000" w:themeColor="text1"/>
        </w:rPr>
        <w:t>4</w:t>
      </w:r>
      <w:r w:rsidR="007B064F" w:rsidRPr="00C04C08">
        <w:rPr>
          <w:rFonts w:ascii="Times New Roman" w:hAnsi="Times New Roman" w:cs="Times New Roman"/>
          <w:iCs/>
          <w:color w:val="000000" w:themeColor="text1"/>
        </w:rPr>
        <w:t>.</w:t>
      </w:r>
      <w:r w:rsidR="00DC1597" w:rsidRPr="00C04C08">
        <w:rPr>
          <w:rFonts w:ascii="Times New Roman" w:hAnsi="Times New Roman" w:cs="Times New Roman"/>
          <w:iCs/>
          <w:color w:val="000000" w:themeColor="text1"/>
        </w:rPr>
        <w:t xml:space="preserve"> </w:t>
      </w:r>
      <w:r w:rsidR="007B064F" w:rsidRPr="00C04C08">
        <w:rPr>
          <w:rFonts w:ascii="Times New Roman" w:hAnsi="Times New Roman" w:cs="Times New Roman"/>
          <w:bCs/>
          <w:iCs/>
        </w:rPr>
        <w:t xml:space="preserve">La programmazione dell’attività normativa del Governo e il ciclo della regolazione. </w:t>
      </w:r>
      <w:r w:rsidR="00704A24" w:rsidRPr="00C04C08">
        <w:rPr>
          <w:rFonts w:ascii="Times New Roman" w:hAnsi="Times New Roman" w:cs="Times New Roman"/>
          <w:bCs/>
          <w:iCs/>
        </w:rPr>
        <w:t>5</w:t>
      </w:r>
      <w:r w:rsidR="007B064F" w:rsidRPr="00C04C08">
        <w:rPr>
          <w:rFonts w:ascii="Times New Roman" w:hAnsi="Times New Roman" w:cs="Times New Roman"/>
          <w:bCs/>
          <w:iCs/>
        </w:rPr>
        <w:t xml:space="preserve">. Il fenomeno dell’abuso delle deroghe e delle proroghe. </w:t>
      </w:r>
      <w:r w:rsidR="00B072CA" w:rsidRPr="00C04C08">
        <w:rPr>
          <w:rFonts w:ascii="Times New Roman" w:hAnsi="Times New Roman" w:cs="Times New Roman"/>
          <w:bCs/>
          <w:iCs/>
        </w:rPr>
        <w:t xml:space="preserve">6. La verifica postuma dell’efficacia dell’intervento. </w:t>
      </w:r>
      <w:r w:rsidR="00B072CA" w:rsidRPr="00C04C08">
        <w:rPr>
          <w:rFonts w:ascii="Times New Roman" w:hAnsi="Times New Roman" w:cs="Times New Roman"/>
          <w:iCs/>
        </w:rPr>
        <w:t>7</w:t>
      </w:r>
      <w:r w:rsidR="007B064F" w:rsidRPr="00C04C08">
        <w:rPr>
          <w:rFonts w:ascii="Times New Roman" w:hAnsi="Times New Roman" w:cs="Times New Roman"/>
          <w:iCs/>
        </w:rPr>
        <w:t xml:space="preserve">. Le esigenze di aggiornamento attinenti al </w:t>
      </w:r>
      <w:r w:rsidR="00C04C08" w:rsidRPr="00C04C08">
        <w:rPr>
          <w:rFonts w:ascii="Times New Roman" w:hAnsi="Times New Roman" w:cs="Times New Roman"/>
          <w:i/>
        </w:rPr>
        <w:t>drafting</w:t>
      </w:r>
      <w:r w:rsidR="007B064F" w:rsidRPr="00C04C08">
        <w:rPr>
          <w:rFonts w:ascii="Times New Roman" w:hAnsi="Times New Roman" w:cs="Times New Roman"/>
          <w:iCs/>
        </w:rPr>
        <w:t xml:space="preserve"> formale: la necessità di una specifica formazione del personale addetto agli uffici legislativi.</w:t>
      </w:r>
      <w:r w:rsidR="007B064F" w:rsidRPr="00C04C08">
        <w:rPr>
          <w:rFonts w:ascii="Times New Roman" w:hAnsi="Times New Roman" w:cs="Times New Roman"/>
          <w:bCs/>
          <w:iCs/>
        </w:rPr>
        <w:t xml:space="preserve"> </w:t>
      </w:r>
      <w:r w:rsidR="00B072CA" w:rsidRPr="00C04C08">
        <w:rPr>
          <w:rFonts w:ascii="Times New Roman" w:hAnsi="Times New Roman" w:cs="Times New Roman"/>
          <w:bCs/>
          <w:iCs/>
        </w:rPr>
        <w:t>8</w:t>
      </w:r>
      <w:r w:rsidR="007B064F" w:rsidRPr="00C04C08">
        <w:rPr>
          <w:rFonts w:ascii="Times New Roman" w:hAnsi="Times New Roman" w:cs="Times New Roman"/>
          <w:bCs/>
          <w:iCs/>
        </w:rPr>
        <w:t xml:space="preserve">. La chiarezza delle norme nei rapporti tra disposizioni e la (discussa) tecnica della novella. </w:t>
      </w:r>
      <w:r w:rsidR="00B072CA" w:rsidRPr="00C04C08">
        <w:rPr>
          <w:rFonts w:ascii="Times New Roman" w:hAnsi="Times New Roman" w:cs="Times New Roman"/>
          <w:iCs/>
        </w:rPr>
        <w:t>9</w:t>
      </w:r>
      <w:r w:rsidR="00704A24" w:rsidRPr="00C04C08">
        <w:rPr>
          <w:rFonts w:ascii="Times New Roman" w:hAnsi="Times New Roman" w:cs="Times New Roman"/>
          <w:iCs/>
        </w:rPr>
        <w:t>. La necessità di u</w:t>
      </w:r>
      <w:r w:rsidR="00704A24" w:rsidRPr="00C04C08">
        <w:rPr>
          <w:rFonts w:ascii="Times New Roman" w:hAnsi="Times New Roman" w:cs="Times New Roman"/>
          <w:bCs/>
          <w:iCs/>
        </w:rPr>
        <w:t xml:space="preserve">n </w:t>
      </w:r>
      <w:r w:rsidR="00704A24" w:rsidRPr="00C04C08">
        <w:rPr>
          <w:rFonts w:ascii="Times New Roman" w:hAnsi="Times New Roman" w:cs="Times New Roman"/>
          <w:bCs/>
          <w:i/>
        </w:rPr>
        <w:t>corpus</w:t>
      </w:r>
      <w:r w:rsidR="00704A24" w:rsidRPr="00C04C08">
        <w:rPr>
          <w:rFonts w:ascii="Times New Roman" w:hAnsi="Times New Roman" w:cs="Times New Roman"/>
          <w:bCs/>
          <w:iCs/>
        </w:rPr>
        <w:t xml:space="preserve"> unico di regole in materia di istruttoria e r</w:t>
      </w:r>
      <w:r w:rsidR="00B072CA" w:rsidRPr="00C04C08">
        <w:rPr>
          <w:rFonts w:ascii="Times New Roman" w:hAnsi="Times New Roman" w:cs="Times New Roman"/>
          <w:bCs/>
          <w:iCs/>
        </w:rPr>
        <w:t xml:space="preserve">edazione degli atti normativi. </w:t>
      </w:r>
      <w:r w:rsidR="00B072CA" w:rsidRPr="00C04C08">
        <w:rPr>
          <w:rFonts w:ascii="Times New Roman" w:hAnsi="Times New Roman" w:cs="Times New Roman"/>
          <w:bCs/>
          <w:iCs/>
          <w:lang w:val="en-US"/>
        </w:rPr>
        <w:t>10</w:t>
      </w:r>
      <w:r w:rsidR="00704A24" w:rsidRPr="008308E8">
        <w:rPr>
          <w:rFonts w:ascii="Times New Roman" w:hAnsi="Times New Roman" w:cs="Times New Roman"/>
          <w:bCs/>
          <w:iCs/>
          <w:lang w:val="en-US"/>
        </w:rPr>
        <w:t>. Conclusioni: il ruolo della politica.</w:t>
      </w:r>
    </w:p>
    <w:p w14:paraId="3DC421AB" w14:textId="77777777" w:rsidR="00704A24" w:rsidRPr="00C46C09" w:rsidRDefault="00704A24" w:rsidP="006277A5">
      <w:pPr>
        <w:spacing w:after="0" w:line="240" w:lineRule="auto"/>
        <w:jc w:val="both"/>
        <w:rPr>
          <w:rFonts w:ascii="Times New Roman" w:hAnsi="Times New Roman" w:cs="Times New Roman"/>
          <w:b/>
          <w:bCs/>
          <w:lang w:val="en-US"/>
        </w:rPr>
      </w:pPr>
    </w:p>
    <w:p w14:paraId="284C82E0" w14:textId="3A768649" w:rsidR="00B51734" w:rsidRPr="00C46C09" w:rsidRDefault="00D64ED0" w:rsidP="006277A5">
      <w:pPr>
        <w:spacing w:after="0" w:line="240" w:lineRule="auto"/>
        <w:jc w:val="both"/>
        <w:rPr>
          <w:rFonts w:ascii="Times New Roman" w:hAnsi="Times New Roman" w:cs="Times New Roman"/>
          <w:b/>
          <w:bCs/>
          <w:lang w:val="en-GB"/>
        </w:rPr>
      </w:pPr>
      <w:r w:rsidRPr="00C46C09">
        <w:rPr>
          <w:rFonts w:ascii="Times New Roman" w:hAnsi="Times New Roman" w:cs="Times New Roman"/>
          <w:b/>
          <w:bCs/>
          <w:lang w:val="en-US"/>
        </w:rPr>
        <w:t>Abstract:</w:t>
      </w:r>
      <w:r w:rsidR="00B51734" w:rsidRPr="00C46C09">
        <w:rPr>
          <w:rFonts w:ascii="Times New Roman" w:hAnsi="Times New Roman" w:cs="Times New Roman"/>
          <w:lang w:val="en-GB"/>
        </w:rPr>
        <w:t xml:space="preserve"> </w:t>
      </w:r>
      <w:r w:rsidR="00B51734" w:rsidRPr="00C46C09">
        <w:rPr>
          <w:rFonts w:ascii="Times New Roman" w:hAnsi="Times New Roman" w:cs="Times New Roman"/>
          <w:bCs/>
          <w:i/>
          <w:lang w:val="en-GB"/>
        </w:rPr>
        <w:t>Twenty years after the adoption of</w:t>
      </w:r>
      <w:r w:rsidR="00862831" w:rsidRPr="00C46C09">
        <w:rPr>
          <w:rFonts w:ascii="Times New Roman" w:hAnsi="Times New Roman" w:cs="Times New Roman"/>
          <w:i/>
          <w:iCs/>
          <w:lang w:val="en-GB"/>
        </w:rPr>
        <w:t xml:space="preserve"> the </w:t>
      </w:r>
      <w:r w:rsidR="00862831" w:rsidRPr="00C46C09">
        <w:rPr>
          <w:rFonts w:ascii="Times New Roman" w:hAnsi="Times New Roman" w:cs="Times New Roman"/>
          <w:bCs/>
          <w:i/>
          <w:iCs/>
          <w:lang w:val="en-GB"/>
        </w:rPr>
        <w:t xml:space="preserve">guidelines on legislative </w:t>
      </w:r>
      <w:r w:rsidR="00C04C08" w:rsidRPr="00C04C08">
        <w:rPr>
          <w:rFonts w:ascii="Times New Roman" w:hAnsi="Times New Roman" w:cs="Times New Roman"/>
          <w:bCs/>
          <w:i/>
          <w:iCs/>
          <w:lang w:val="en-GB"/>
        </w:rPr>
        <w:t>drafting</w:t>
      </w:r>
      <w:r w:rsidR="00B51734" w:rsidRPr="00C46C09">
        <w:rPr>
          <w:rFonts w:ascii="Times New Roman" w:hAnsi="Times New Roman" w:cs="Times New Roman"/>
          <w:bCs/>
          <w:i/>
          <w:lang w:val="en-GB"/>
        </w:rPr>
        <w:t xml:space="preserve">, issued in 2001 by circulars of the Presidents of the Chambers and of the President of the Council of Ministers, </w:t>
      </w:r>
      <w:r w:rsidR="00AF08D2" w:rsidRPr="00C46C09">
        <w:rPr>
          <w:rFonts w:ascii="Times New Roman" w:hAnsi="Times New Roman" w:cs="Times New Roman"/>
          <w:bCs/>
          <w:i/>
          <w:lang w:val="en-GB"/>
        </w:rPr>
        <w:t xml:space="preserve">the </w:t>
      </w:r>
      <w:r w:rsidR="00B51734" w:rsidRPr="00C46C09">
        <w:rPr>
          <w:rFonts w:ascii="Times New Roman" w:hAnsi="Times New Roman" w:cs="Times New Roman"/>
          <w:bCs/>
          <w:i/>
          <w:lang w:val="en-GB"/>
        </w:rPr>
        <w:t>updat</w:t>
      </w:r>
      <w:r w:rsidR="00862831" w:rsidRPr="00C46C09">
        <w:rPr>
          <w:rFonts w:ascii="Times New Roman" w:hAnsi="Times New Roman" w:cs="Times New Roman"/>
          <w:bCs/>
          <w:i/>
          <w:lang w:val="en-GB"/>
        </w:rPr>
        <w:t>e</w:t>
      </w:r>
      <w:r w:rsidR="00B51734" w:rsidRPr="00C46C09">
        <w:rPr>
          <w:rFonts w:ascii="Times New Roman" w:hAnsi="Times New Roman" w:cs="Times New Roman"/>
          <w:bCs/>
          <w:i/>
          <w:lang w:val="en-GB"/>
        </w:rPr>
        <w:t xml:space="preserve"> </w:t>
      </w:r>
      <w:r w:rsidR="00AF08D2" w:rsidRPr="00C46C09">
        <w:rPr>
          <w:rFonts w:ascii="Times New Roman" w:hAnsi="Times New Roman" w:cs="Times New Roman"/>
          <w:bCs/>
          <w:i/>
          <w:lang w:val="en-GB"/>
        </w:rPr>
        <w:t xml:space="preserve">of </w:t>
      </w:r>
      <w:r w:rsidR="001945B4">
        <w:rPr>
          <w:rFonts w:ascii="Times New Roman" w:hAnsi="Times New Roman" w:cs="Times New Roman"/>
          <w:bCs/>
          <w:i/>
          <w:lang w:val="en-GB"/>
        </w:rPr>
        <w:t xml:space="preserve">legislative </w:t>
      </w:r>
      <w:r w:rsidR="00C04C08" w:rsidRPr="00C04C08">
        <w:rPr>
          <w:rFonts w:ascii="Times New Roman" w:hAnsi="Times New Roman" w:cs="Times New Roman"/>
          <w:bCs/>
          <w:i/>
          <w:lang w:val="en-GB"/>
        </w:rPr>
        <w:t>drafting</w:t>
      </w:r>
      <w:r w:rsidR="00AF08D2" w:rsidRPr="00C46C09">
        <w:rPr>
          <w:rFonts w:ascii="Times New Roman" w:hAnsi="Times New Roman" w:cs="Times New Roman"/>
          <w:bCs/>
          <w:i/>
          <w:lang w:val="en-GB"/>
        </w:rPr>
        <w:t xml:space="preserve"> rules cannot</w:t>
      </w:r>
      <w:r w:rsidR="00B51734" w:rsidRPr="00C46C09">
        <w:rPr>
          <w:rFonts w:ascii="Times New Roman" w:hAnsi="Times New Roman" w:cs="Times New Roman"/>
          <w:bCs/>
          <w:i/>
          <w:lang w:val="en-GB"/>
        </w:rPr>
        <w:t xml:space="preserve"> be further postponed. New technical </w:t>
      </w:r>
      <w:r w:rsidR="00AF08D2" w:rsidRPr="00C46C09">
        <w:rPr>
          <w:rFonts w:ascii="Times New Roman" w:hAnsi="Times New Roman" w:cs="Times New Roman"/>
          <w:bCs/>
          <w:i/>
          <w:lang w:val="en-GB"/>
        </w:rPr>
        <w:t>guidelines</w:t>
      </w:r>
      <w:r w:rsidR="00B51734" w:rsidRPr="00C46C09">
        <w:rPr>
          <w:rFonts w:ascii="Times New Roman" w:hAnsi="Times New Roman" w:cs="Times New Roman"/>
          <w:bCs/>
          <w:i/>
          <w:lang w:val="en-GB"/>
        </w:rPr>
        <w:t xml:space="preserve"> should be provided not only for the formulation of legislative and regulatory drafts (</w:t>
      </w:r>
      <w:r w:rsidR="00B51734" w:rsidRPr="00C46C09">
        <w:rPr>
          <w:rFonts w:ascii="Times New Roman" w:hAnsi="Times New Roman" w:cs="Times New Roman"/>
          <w:bCs/>
          <w:i/>
          <w:iCs/>
          <w:lang w:val="en-GB"/>
        </w:rPr>
        <w:t xml:space="preserve">formal </w:t>
      </w:r>
      <w:r w:rsidR="00C04C08" w:rsidRPr="00C04C08">
        <w:rPr>
          <w:rFonts w:ascii="Times New Roman" w:hAnsi="Times New Roman" w:cs="Times New Roman"/>
          <w:bCs/>
          <w:i/>
          <w:iCs/>
          <w:lang w:val="en-GB"/>
        </w:rPr>
        <w:t>drafting</w:t>
      </w:r>
      <w:r w:rsidR="00B51734" w:rsidRPr="00C46C09">
        <w:rPr>
          <w:rFonts w:ascii="Times New Roman" w:hAnsi="Times New Roman" w:cs="Times New Roman"/>
          <w:bCs/>
          <w:i/>
          <w:lang w:val="en-GB"/>
        </w:rPr>
        <w:t>), but also for strengthening tools and procedures aimed at improving the quality and the effectiveness of regulation for citizens (</w:t>
      </w:r>
      <w:r w:rsidR="00B51734" w:rsidRPr="00C46C09">
        <w:rPr>
          <w:rFonts w:ascii="Times New Roman" w:hAnsi="Times New Roman" w:cs="Times New Roman"/>
          <w:bCs/>
          <w:i/>
          <w:iCs/>
          <w:lang w:val="en-GB"/>
        </w:rPr>
        <w:t xml:space="preserve">substantive </w:t>
      </w:r>
      <w:r w:rsidR="00C04C08" w:rsidRPr="00C04C08">
        <w:rPr>
          <w:rFonts w:ascii="Times New Roman" w:hAnsi="Times New Roman" w:cs="Times New Roman"/>
          <w:bCs/>
          <w:i/>
          <w:iCs/>
          <w:lang w:val="en-GB"/>
        </w:rPr>
        <w:t>drafting</w:t>
      </w:r>
      <w:r w:rsidR="00B51734" w:rsidRPr="00C46C09">
        <w:rPr>
          <w:rFonts w:ascii="Times New Roman" w:hAnsi="Times New Roman" w:cs="Times New Roman"/>
          <w:bCs/>
          <w:i/>
          <w:lang w:val="en-GB"/>
        </w:rPr>
        <w:t xml:space="preserve">). The essay critically analyses consequences of badly designed laws and highlights areas of legislative production that should receive further attention and guidance. </w:t>
      </w:r>
      <w:r w:rsidR="00AF08D2" w:rsidRPr="00C46C09">
        <w:rPr>
          <w:rFonts w:ascii="Times New Roman" w:hAnsi="Times New Roman" w:cs="Times New Roman"/>
          <w:bCs/>
          <w:i/>
          <w:lang w:val="en-GB"/>
        </w:rPr>
        <w:t>T</w:t>
      </w:r>
      <w:r w:rsidR="00B51734" w:rsidRPr="00C46C09">
        <w:rPr>
          <w:rFonts w:ascii="Times New Roman" w:hAnsi="Times New Roman" w:cs="Times New Roman"/>
          <w:bCs/>
          <w:i/>
          <w:lang w:val="en-GB"/>
        </w:rPr>
        <w:t xml:space="preserve">he importance of a wider reform of rules on </w:t>
      </w:r>
      <w:r w:rsidR="00C04C08" w:rsidRPr="00C04C08">
        <w:rPr>
          <w:rFonts w:ascii="Times New Roman" w:hAnsi="Times New Roman" w:cs="Times New Roman"/>
          <w:bCs/>
          <w:i/>
          <w:lang w:val="en-GB"/>
        </w:rPr>
        <w:t>drafting</w:t>
      </w:r>
      <w:r w:rsidR="00B51734" w:rsidRPr="00C46C09">
        <w:rPr>
          <w:rFonts w:ascii="Times New Roman" w:hAnsi="Times New Roman" w:cs="Times New Roman"/>
          <w:bCs/>
          <w:i/>
          <w:lang w:val="en-GB"/>
        </w:rPr>
        <w:t xml:space="preserve"> and regulatory procedures is emphasised</w:t>
      </w:r>
      <w:r w:rsidR="00AF08D2" w:rsidRPr="00C46C09">
        <w:rPr>
          <w:rFonts w:ascii="Times New Roman" w:hAnsi="Times New Roman" w:cs="Times New Roman"/>
          <w:bCs/>
          <w:i/>
          <w:lang w:val="en-GB"/>
        </w:rPr>
        <w:t xml:space="preserve"> by </w:t>
      </w:r>
      <w:r w:rsidR="00B51734" w:rsidRPr="00C46C09">
        <w:rPr>
          <w:rFonts w:ascii="Times New Roman" w:hAnsi="Times New Roman" w:cs="Times New Roman"/>
          <w:bCs/>
          <w:i/>
          <w:lang w:val="en-GB"/>
        </w:rPr>
        <w:t xml:space="preserve">a recent initiative of the Department of Legal and Legislative Affairs (DAGL) of the Presidency of the Council of </w:t>
      </w:r>
      <w:r w:rsidR="00AF08D2" w:rsidRPr="00C46C09">
        <w:rPr>
          <w:rFonts w:ascii="Times New Roman" w:hAnsi="Times New Roman" w:cs="Times New Roman"/>
          <w:bCs/>
          <w:i/>
          <w:lang w:val="en-GB"/>
        </w:rPr>
        <w:t>m</w:t>
      </w:r>
      <w:r w:rsidR="00B51734" w:rsidRPr="00C46C09">
        <w:rPr>
          <w:rFonts w:ascii="Times New Roman" w:hAnsi="Times New Roman" w:cs="Times New Roman"/>
          <w:bCs/>
          <w:i/>
          <w:lang w:val="en-GB"/>
        </w:rPr>
        <w:t xml:space="preserve">inisters for updating, </w:t>
      </w:r>
      <w:r w:rsidR="00AF08D2" w:rsidRPr="00C46C09">
        <w:rPr>
          <w:rFonts w:ascii="Times New Roman" w:hAnsi="Times New Roman" w:cs="Times New Roman"/>
          <w:bCs/>
          <w:i/>
          <w:lang w:val="en-GB"/>
        </w:rPr>
        <w:t>that aim</w:t>
      </w:r>
      <w:r w:rsidR="001945B4">
        <w:rPr>
          <w:rFonts w:ascii="Times New Roman" w:hAnsi="Times New Roman" w:cs="Times New Roman"/>
          <w:bCs/>
          <w:i/>
          <w:lang w:val="en-GB"/>
        </w:rPr>
        <w:t>s</w:t>
      </w:r>
      <w:r w:rsidR="00AF08D2" w:rsidRPr="00C46C09">
        <w:rPr>
          <w:rFonts w:ascii="Times New Roman" w:hAnsi="Times New Roman" w:cs="Times New Roman"/>
          <w:bCs/>
          <w:i/>
          <w:lang w:val="en-GB"/>
        </w:rPr>
        <w:t xml:space="preserve"> to </w:t>
      </w:r>
      <w:r w:rsidR="00B51734" w:rsidRPr="00C46C09">
        <w:rPr>
          <w:rFonts w:ascii="Times New Roman" w:hAnsi="Times New Roman" w:cs="Times New Roman"/>
          <w:bCs/>
          <w:i/>
          <w:lang w:val="en-GB"/>
        </w:rPr>
        <w:t>amend and consolidat</w:t>
      </w:r>
      <w:r w:rsidR="00AF08D2" w:rsidRPr="00C46C09">
        <w:rPr>
          <w:rFonts w:ascii="Times New Roman" w:hAnsi="Times New Roman" w:cs="Times New Roman"/>
          <w:bCs/>
          <w:i/>
          <w:lang w:val="en-GB"/>
        </w:rPr>
        <w:t>e</w:t>
      </w:r>
      <w:r w:rsidR="00B51734" w:rsidRPr="00C46C09">
        <w:rPr>
          <w:rFonts w:ascii="Times New Roman" w:hAnsi="Times New Roman" w:cs="Times New Roman"/>
          <w:bCs/>
          <w:i/>
          <w:lang w:val="en-GB"/>
        </w:rPr>
        <w:t xml:space="preserve"> into one </w:t>
      </w:r>
      <w:r w:rsidR="00AF08D2" w:rsidRPr="00C46C09">
        <w:rPr>
          <w:rFonts w:ascii="Times New Roman" w:hAnsi="Times New Roman" w:cs="Times New Roman"/>
          <w:bCs/>
          <w:i/>
          <w:lang w:val="en-GB"/>
        </w:rPr>
        <w:t xml:space="preserve">only </w:t>
      </w:r>
      <w:r w:rsidR="00B51734" w:rsidRPr="00C46C09">
        <w:rPr>
          <w:rFonts w:ascii="Times New Roman" w:hAnsi="Times New Roman" w:cs="Times New Roman"/>
          <w:bCs/>
          <w:i/>
          <w:lang w:val="en-GB"/>
        </w:rPr>
        <w:t xml:space="preserve">document all </w:t>
      </w:r>
      <w:r w:rsidR="00AF08D2" w:rsidRPr="00C46C09">
        <w:rPr>
          <w:rFonts w:ascii="Times New Roman" w:hAnsi="Times New Roman" w:cs="Times New Roman"/>
          <w:bCs/>
          <w:i/>
          <w:lang w:val="en-GB"/>
        </w:rPr>
        <w:t xml:space="preserve">the </w:t>
      </w:r>
      <w:r w:rsidR="00B51734" w:rsidRPr="00C46C09">
        <w:rPr>
          <w:rFonts w:ascii="Times New Roman" w:hAnsi="Times New Roman" w:cs="Times New Roman"/>
          <w:bCs/>
          <w:i/>
          <w:lang w:val="en-GB"/>
        </w:rPr>
        <w:t>guidelines on legislative production. Finally, it is stressed that the challenge ahead is to develop a new approach to regulation by policy makers, based on cyclical steps of legislative production (formulation, adoption, implementation</w:t>
      </w:r>
      <w:r w:rsidR="00AF08D2" w:rsidRPr="00C46C09">
        <w:rPr>
          <w:rFonts w:ascii="Times New Roman" w:hAnsi="Times New Roman" w:cs="Times New Roman"/>
          <w:bCs/>
          <w:i/>
          <w:lang w:val="en-GB"/>
        </w:rPr>
        <w:t xml:space="preserve"> and</w:t>
      </w:r>
      <w:r w:rsidR="00B51734" w:rsidRPr="00C46C09">
        <w:rPr>
          <w:rFonts w:ascii="Times New Roman" w:hAnsi="Times New Roman" w:cs="Times New Roman"/>
          <w:bCs/>
          <w:i/>
          <w:lang w:val="en-GB"/>
        </w:rPr>
        <w:t xml:space="preserve"> evaluation), in order to contribute to higher quality laws and regulations.</w:t>
      </w:r>
      <w:r w:rsidR="00B51734" w:rsidRPr="00C46C09">
        <w:rPr>
          <w:rFonts w:ascii="Times New Roman" w:hAnsi="Times New Roman" w:cs="Times New Roman"/>
          <w:b/>
          <w:bCs/>
          <w:lang w:val="en-GB"/>
        </w:rPr>
        <w:t xml:space="preserve"> </w:t>
      </w:r>
    </w:p>
    <w:p w14:paraId="7DC38EA4" w14:textId="585A9FD1" w:rsidR="00D64ED0" w:rsidRPr="00777BFC" w:rsidRDefault="00D64ED0" w:rsidP="006277A5">
      <w:pPr>
        <w:autoSpaceDE w:val="0"/>
        <w:autoSpaceDN w:val="0"/>
        <w:adjustRightInd w:val="0"/>
        <w:spacing w:after="0" w:line="240" w:lineRule="auto"/>
        <w:jc w:val="both"/>
        <w:rPr>
          <w:rFonts w:ascii="Times New Roman" w:hAnsi="Times New Roman" w:cs="Times New Roman"/>
          <w:b/>
          <w:bCs/>
          <w:i/>
          <w:lang w:val="en-US"/>
        </w:rPr>
      </w:pPr>
      <w:r w:rsidRPr="00777BFC">
        <w:rPr>
          <w:rFonts w:ascii="Times New Roman" w:hAnsi="Times New Roman" w:cs="Times New Roman"/>
          <w:i/>
          <w:iCs/>
          <w:lang w:val="en-US"/>
        </w:rPr>
        <w:t xml:space="preserve"> </w:t>
      </w:r>
    </w:p>
    <w:p w14:paraId="1C3D2CD2" w14:textId="77777777" w:rsidR="00CB4663" w:rsidRPr="00777BFC" w:rsidRDefault="00CB4663" w:rsidP="006277A5">
      <w:pPr>
        <w:spacing w:after="0" w:line="240" w:lineRule="auto"/>
        <w:jc w:val="both"/>
        <w:rPr>
          <w:rFonts w:ascii="Times New Roman" w:hAnsi="Times New Roman" w:cs="Times New Roman"/>
          <w:b/>
          <w:bCs/>
          <w:lang w:val="en-US"/>
        </w:rPr>
      </w:pPr>
    </w:p>
    <w:p w14:paraId="1BA706A4" w14:textId="585E2459" w:rsidR="007B064F" w:rsidRPr="00777BFC" w:rsidRDefault="007B064F" w:rsidP="006277A5">
      <w:pPr>
        <w:autoSpaceDE w:val="0"/>
        <w:autoSpaceDN w:val="0"/>
        <w:adjustRightInd w:val="0"/>
        <w:spacing w:after="0" w:line="240" w:lineRule="auto"/>
        <w:jc w:val="both"/>
        <w:rPr>
          <w:rFonts w:ascii="Times New Roman" w:hAnsi="Times New Roman" w:cs="Times New Roman"/>
          <w:sz w:val="20"/>
          <w:szCs w:val="20"/>
          <w:lang w:val="en-US"/>
        </w:rPr>
      </w:pPr>
    </w:p>
    <w:p w14:paraId="71B67487" w14:textId="77777777" w:rsidR="008B68B2" w:rsidRPr="00C46C09" w:rsidRDefault="00AE34ED" w:rsidP="00DC1597">
      <w:pPr>
        <w:pStyle w:val="Paragrafoelenco"/>
        <w:numPr>
          <w:ilvl w:val="0"/>
          <w:numId w:val="12"/>
        </w:numPr>
        <w:tabs>
          <w:tab w:val="left" w:pos="284"/>
        </w:tabs>
        <w:autoSpaceDE w:val="0"/>
        <w:autoSpaceDN w:val="0"/>
        <w:adjustRightInd w:val="0"/>
        <w:spacing w:after="0" w:line="240" w:lineRule="auto"/>
        <w:ind w:left="0" w:firstLine="0"/>
        <w:jc w:val="both"/>
        <w:rPr>
          <w:rFonts w:ascii="Times New Roman" w:hAnsi="Times New Roman" w:cs="Times New Roman"/>
          <w:b/>
          <w:bCs/>
        </w:rPr>
      </w:pPr>
      <w:r w:rsidRPr="00C46C09">
        <w:rPr>
          <w:rFonts w:ascii="Times New Roman" w:hAnsi="Times New Roman" w:cs="Times New Roman"/>
          <w:b/>
          <w:bCs/>
        </w:rPr>
        <w:lastRenderedPageBreak/>
        <w:t>Premessa.</w:t>
      </w:r>
    </w:p>
    <w:p w14:paraId="495385BC" w14:textId="528E1248" w:rsidR="00FB7F59" w:rsidRDefault="00B337D2" w:rsidP="00DC1597">
      <w:pPr>
        <w:autoSpaceDE w:val="0"/>
        <w:autoSpaceDN w:val="0"/>
        <w:adjustRightInd w:val="0"/>
        <w:spacing w:after="0" w:line="240" w:lineRule="auto"/>
        <w:ind w:firstLine="284"/>
        <w:jc w:val="both"/>
        <w:rPr>
          <w:rFonts w:ascii="Times New Roman" w:hAnsi="Times New Roman" w:cs="Times New Roman"/>
        </w:rPr>
        <w:sectPr w:rsidR="00FB7F59" w:rsidSect="007E7184">
          <w:footerReference w:type="default" r:id="rId8"/>
          <w:footnotePr>
            <w:numFmt w:val="chicago"/>
          </w:footnotePr>
          <w:pgSz w:w="11906" w:h="16838"/>
          <w:pgMar w:top="2722" w:right="2438" w:bottom="3232" w:left="2438" w:header="567" w:footer="709" w:gutter="0"/>
          <w:cols w:space="708"/>
          <w:docGrid w:linePitch="360"/>
        </w:sectPr>
      </w:pPr>
      <w:r w:rsidRPr="00C46C09">
        <w:rPr>
          <w:rFonts w:ascii="Times New Roman" w:hAnsi="Times New Roman" w:cs="Times New Roman"/>
        </w:rPr>
        <w:t xml:space="preserve">La disciplina delle tecniche di scrittura delle leggi (legistica o </w:t>
      </w:r>
      <w:r w:rsidR="00C04C08" w:rsidRPr="00C04C08">
        <w:rPr>
          <w:rFonts w:ascii="Times New Roman" w:hAnsi="Times New Roman" w:cs="Times New Roman"/>
          <w:i/>
        </w:rPr>
        <w:t>drafting</w:t>
      </w:r>
      <w:r w:rsidRPr="00C46C09">
        <w:rPr>
          <w:rFonts w:ascii="Times New Roman" w:hAnsi="Times New Roman" w:cs="Times New Roman"/>
        </w:rPr>
        <w:t>) è rimasta finora affidata (</w:t>
      </w:r>
      <w:r w:rsidR="007609C9" w:rsidRPr="00C46C09">
        <w:rPr>
          <w:rFonts w:ascii="Times New Roman" w:hAnsi="Times New Roman" w:cs="Times New Roman"/>
        </w:rPr>
        <w:t>oltreché</w:t>
      </w:r>
      <w:r w:rsidRPr="00C46C09">
        <w:rPr>
          <w:rFonts w:ascii="Times New Roman" w:hAnsi="Times New Roman" w:cs="Times New Roman"/>
        </w:rPr>
        <w:t xml:space="preserve"> a studi di carattere scientifico e dottrinale) ad atti di indirizzo, manuali o direttive imputabili ad ogni livello di governo (</w:t>
      </w:r>
      <w:r w:rsidR="001945B4">
        <w:rPr>
          <w:rFonts w:ascii="Times New Roman" w:hAnsi="Times New Roman" w:cs="Times New Roman"/>
        </w:rPr>
        <w:t xml:space="preserve">regionale, </w:t>
      </w:r>
      <w:r w:rsidRPr="00C46C09">
        <w:rPr>
          <w:rFonts w:ascii="Times New Roman" w:hAnsi="Times New Roman" w:cs="Times New Roman"/>
        </w:rPr>
        <w:t xml:space="preserve">nazionale </w:t>
      </w:r>
      <w:r w:rsidR="001945B4">
        <w:rPr>
          <w:rFonts w:ascii="Times New Roman" w:hAnsi="Times New Roman" w:cs="Times New Roman"/>
        </w:rPr>
        <w:t>e</w:t>
      </w:r>
      <w:r w:rsidRPr="00C46C09">
        <w:rPr>
          <w:rFonts w:ascii="Times New Roman" w:hAnsi="Times New Roman" w:cs="Times New Roman"/>
        </w:rPr>
        <w:t xml:space="preserve"> sovranazionale) legittimato alla produzione normativa</w:t>
      </w:r>
    </w:p>
    <w:p w14:paraId="6A06E5B4" w14:textId="77777777" w:rsidR="00B337D2" w:rsidRPr="00C46C09" w:rsidRDefault="00F27C35" w:rsidP="00DC1597">
      <w:pPr>
        <w:autoSpaceDE w:val="0"/>
        <w:autoSpaceDN w:val="0"/>
        <w:adjustRightInd w:val="0"/>
        <w:spacing w:after="0" w:line="240" w:lineRule="auto"/>
        <w:ind w:firstLine="284"/>
        <w:jc w:val="both"/>
        <w:rPr>
          <w:rFonts w:ascii="Times New Roman" w:hAnsi="Times New Roman" w:cs="Times New Roman"/>
        </w:rPr>
      </w:pPr>
      <w:r w:rsidRPr="00C46C09">
        <w:rPr>
          <w:rStyle w:val="Rimandonotaapidipagina"/>
          <w:rFonts w:ascii="Times New Roman" w:hAnsi="Times New Roman" w:cs="Times New Roman"/>
        </w:rPr>
        <w:footnoteReference w:id="3"/>
      </w:r>
      <w:r w:rsidR="00B337D2" w:rsidRPr="00C46C09">
        <w:rPr>
          <w:rFonts w:ascii="Times New Roman" w:hAnsi="Times New Roman" w:cs="Times New Roman"/>
        </w:rPr>
        <w:t>.</w:t>
      </w:r>
    </w:p>
    <w:p w14:paraId="25A72367" w14:textId="0ED51E3A" w:rsidR="00D41F9A" w:rsidRPr="00C46C09" w:rsidRDefault="00B337D2" w:rsidP="00DC1597">
      <w:pPr>
        <w:autoSpaceDE w:val="0"/>
        <w:autoSpaceDN w:val="0"/>
        <w:adjustRightInd w:val="0"/>
        <w:spacing w:after="0" w:line="240" w:lineRule="auto"/>
        <w:ind w:firstLine="284"/>
        <w:jc w:val="both"/>
        <w:rPr>
          <w:rFonts w:ascii="Times New Roman" w:hAnsi="Times New Roman" w:cs="Times New Roman"/>
        </w:rPr>
      </w:pPr>
      <w:r w:rsidRPr="00C46C09">
        <w:rPr>
          <w:rFonts w:ascii="Times New Roman" w:hAnsi="Times New Roman" w:cs="Times New Roman"/>
        </w:rPr>
        <w:t xml:space="preserve">Si tratta, infatti, di un ambito che non si presta a regole giuridiche cogenti, esigibili e sanzionabili (perlomeno per quanto attiene al </w:t>
      </w:r>
      <w:r w:rsidR="00C04C08" w:rsidRPr="00C04C08">
        <w:rPr>
          <w:rFonts w:ascii="Times New Roman" w:hAnsi="Times New Roman" w:cs="Times New Roman"/>
          <w:i/>
        </w:rPr>
        <w:t>drafting</w:t>
      </w:r>
      <w:r w:rsidRPr="00C46C09">
        <w:rPr>
          <w:rFonts w:ascii="Times New Roman" w:hAnsi="Times New Roman" w:cs="Times New Roman"/>
        </w:rPr>
        <w:t xml:space="preserve"> formale) </w:t>
      </w:r>
      <w:r w:rsidR="00D41F9A" w:rsidRPr="00C46C09">
        <w:rPr>
          <w:rFonts w:ascii="Times New Roman" w:hAnsi="Times New Roman" w:cs="Times New Roman"/>
        </w:rPr>
        <w:t>e che tollera più appropriate raccomandazioni e istruzioni redazionali.</w:t>
      </w:r>
    </w:p>
    <w:p w14:paraId="1805E74F" w14:textId="77777777" w:rsidR="00D41F9A" w:rsidRPr="00C46C09" w:rsidRDefault="00D41F9A" w:rsidP="00DC1597">
      <w:pPr>
        <w:autoSpaceDE w:val="0"/>
        <w:autoSpaceDN w:val="0"/>
        <w:adjustRightInd w:val="0"/>
        <w:spacing w:after="0" w:line="240" w:lineRule="auto"/>
        <w:ind w:firstLine="284"/>
        <w:jc w:val="both"/>
        <w:rPr>
          <w:rFonts w:ascii="Times New Roman" w:hAnsi="Times New Roman" w:cs="Times New Roman"/>
        </w:rPr>
      </w:pPr>
      <w:r w:rsidRPr="00C46C09">
        <w:rPr>
          <w:rFonts w:ascii="Times New Roman" w:hAnsi="Times New Roman" w:cs="Times New Roman"/>
        </w:rPr>
        <w:t xml:space="preserve">Nondimeno, l’istanza di assicurare l’ossequio a canoni di scrittura omogenei (perlomeno nel medesimo testo legislativo) </w:t>
      </w:r>
      <w:r w:rsidR="000D1980" w:rsidRPr="00C46C09">
        <w:rPr>
          <w:rFonts w:ascii="Times New Roman" w:hAnsi="Times New Roman" w:cs="Times New Roman"/>
        </w:rPr>
        <w:t>è, da sempre, apparsa indefettibile</w:t>
      </w:r>
      <w:r w:rsidRPr="00C46C09">
        <w:rPr>
          <w:rFonts w:ascii="Times New Roman" w:hAnsi="Times New Roman" w:cs="Times New Roman"/>
        </w:rPr>
        <w:t>, al fine di garantire adeguati standard di coerenza, chiarezza e precisione delle norme</w:t>
      </w:r>
      <w:r w:rsidR="00CB4663" w:rsidRPr="00C46C09">
        <w:rPr>
          <w:rStyle w:val="Rimandonotaapidipagina"/>
          <w:rFonts w:ascii="Times New Roman" w:hAnsi="Times New Roman" w:cs="Times New Roman"/>
        </w:rPr>
        <w:footnoteReference w:id="4"/>
      </w:r>
      <w:r w:rsidRPr="00C46C09">
        <w:rPr>
          <w:rFonts w:ascii="Times New Roman" w:hAnsi="Times New Roman" w:cs="Times New Roman"/>
        </w:rPr>
        <w:t>.</w:t>
      </w:r>
    </w:p>
    <w:p w14:paraId="358780B7" w14:textId="60BC0234" w:rsidR="00B337D2" w:rsidRPr="00C46C09" w:rsidRDefault="00D41F9A" w:rsidP="00DC1597">
      <w:pPr>
        <w:autoSpaceDE w:val="0"/>
        <w:autoSpaceDN w:val="0"/>
        <w:adjustRightInd w:val="0"/>
        <w:spacing w:after="0" w:line="240" w:lineRule="auto"/>
        <w:ind w:firstLine="284"/>
        <w:jc w:val="both"/>
        <w:rPr>
          <w:rFonts w:ascii="Times New Roman" w:hAnsi="Times New Roman" w:cs="Times New Roman"/>
        </w:rPr>
      </w:pPr>
      <w:r w:rsidRPr="00C46C09">
        <w:rPr>
          <w:rFonts w:ascii="Times New Roman" w:hAnsi="Times New Roman" w:cs="Times New Roman"/>
        </w:rPr>
        <w:t xml:space="preserve">Residuano, tuttavia, ambiti (meglio individuati </w:t>
      </w:r>
      <w:r w:rsidRPr="00C46C09">
        <w:rPr>
          <w:rFonts w:ascii="Times New Roman" w:hAnsi="Times New Roman" w:cs="Times New Roman"/>
          <w:i/>
        </w:rPr>
        <w:t>infra</w:t>
      </w:r>
      <w:r w:rsidRPr="00C46C09">
        <w:rPr>
          <w:rFonts w:ascii="Times New Roman" w:hAnsi="Times New Roman" w:cs="Times New Roman"/>
        </w:rPr>
        <w:t xml:space="preserve">) nei quali è utile che la responsabilità della selezione della tecnica redazione preferibile resti rimessa al prudente apprezzamento del </w:t>
      </w:r>
      <w:r w:rsidR="00C04C08" w:rsidRPr="00C04C08">
        <w:rPr>
          <w:rFonts w:ascii="Times New Roman" w:hAnsi="Times New Roman" w:cs="Times New Roman"/>
          <w:i/>
        </w:rPr>
        <w:t>drafter</w:t>
      </w:r>
      <w:r w:rsidRPr="00C46C09">
        <w:rPr>
          <w:rFonts w:ascii="Times New Roman" w:hAnsi="Times New Roman" w:cs="Times New Roman"/>
        </w:rPr>
        <w:t xml:space="preserve"> (</w:t>
      </w:r>
      <w:r w:rsidR="00DE6778" w:rsidRPr="00C46C09">
        <w:rPr>
          <w:rFonts w:ascii="Times New Roman" w:hAnsi="Times New Roman" w:cs="Times New Roman"/>
        </w:rPr>
        <w:t>ancorché</w:t>
      </w:r>
      <w:r w:rsidRPr="00C46C09">
        <w:rPr>
          <w:rFonts w:ascii="Times New Roman" w:hAnsi="Times New Roman" w:cs="Times New Roman"/>
        </w:rPr>
        <w:t xml:space="preserve"> guidato, nella scelta, da istruzioni generali), in relazione alla costruzione della disposizione considerata nel singolo caso. </w:t>
      </w:r>
      <w:r w:rsidR="00B337D2" w:rsidRPr="00C46C09">
        <w:rPr>
          <w:rFonts w:ascii="Times New Roman" w:hAnsi="Times New Roman" w:cs="Times New Roman"/>
        </w:rPr>
        <w:t xml:space="preserve">       </w:t>
      </w:r>
    </w:p>
    <w:p w14:paraId="2A61BD1B" w14:textId="7C8496AD" w:rsidR="00D41F9A" w:rsidRPr="00C46C09" w:rsidRDefault="00D41F9A" w:rsidP="00DC1597">
      <w:pPr>
        <w:autoSpaceDE w:val="0"/>
        <w:autoSpaceDN w:val="0"/>
        <w:adjustRightInd w:val="0"/>
        <w:spacing w:after="0" w:line="240" w:lineRule="auto"/>
        <w:ind w:firstLine="284"/>
        <w:jc w:val="both"/>
        <w:rPr>
          <w:rFonts w:ascii="Times New Roman" w:hAnsi="Times New Roman" w:cs="Times New Roman"/>
        </w:rPr>
      </w:pPr>
      <w:r w:rsidRPr="00C46C09">
        <w:rPr>
          <w:rFonts w:ascii="Times New Roman" w:hAnsi="Times New Roman" w:cs="Times New Roman"/>
        </w:rPr>
        <w:t>Considerazioni peculiari merita</w:t>
      </w:r>
      <w:r w:rsidR="000D1980" w:rsidRPr="00C46C09">
        <w:rPr>
          <w:rFonts w:ascii="Times New Roman" w:hAnsi="Times New Roman" w:cs="Times New Roman"/>
        </w:rPr>
        <w:t>, peraltro,</w:t>
      </w:r>
      <w:r w:rsidRPr="00C46C09">
        <w:rPr>
          <w:rFonts w:ascii="Times New Roman" w:hAnsi="Times New Roman" w:cs="Times New Roman"/>
        </w:rPr>
        <w:t xml:space="preserve"> il </w:t>
      </w:r>
      <w:r w:rsidR="00C04C08" w:rsidRPr="00C04C08">
        <w:rPr>
          <w:rFonts w:ascii="Times New Roman" w:hAnsi="Times New Roman" w:cs="Times New Roman"/>
          <w:i/>
        </w:rPr>
        <w:t>drafting</w:t>
      </w:r>
      <w:r w:rsidRPr="00C46C09">
        <w:rPr>
          <w:rFonts w:ascii="Times New Roman" w:hAnsi="Times New Roman" w:cs="Times New Roman"/>
        </w:rPr>
        <w:t xml:space="preserve"> sostanziale.</w:t>
      </w:r>
    </w:p>
    <w:p w14:paraId="02A0795F" w14:textId="31E5F2B1" w:rsidR="00D41F9A" w:rsidRPr="00C46C09" w:rsidRDefault="00D41F9A" w:rsidP="00DC1597">
      <w:pPr>
        <w:autoSpaceDE w:val="0"/>
        <w:autoSpaceDN w:val="0"/>
        <w:adjustRightInd w:val="0"/>
        <w:spacing w:after="0" w:line="240" w:lineRule="auto"/>
        <w:ind w:firstLine="284"/>
        <w:jc w:val="both"/>
        <w:rPr>
          <w:rFonts w:ascii="Times New Roman" w:hAnsi="Times New Roman" w:cs="Times New Roman"/>
        </w:rPr>
      </w:pPr>
      <w:r w:rsidRPr="00C46C09">
        <w:rPr>
          <w:rFonts w:ascii="Times New Roman" w:hAnsi="Times New Roman" w:cs="Times New Roman"/>
        </w:rPr>
        <w:t>Se, infatti, è vero che, in quest’ambito</w:t>
      </w:r>
      <w:r w:rsidR="00AB4A0E">
        <w:rPr>
          <w:rFonts w:ascii="Times New Roman" w:hAnsi="Times New Roman" w:cs="Times New Roman"/>
        </w:rPr>
        <w:t>,</w:t>
      </w:r>
      <w:r w:rsidRPr="00C46C09">
        <w:rPr>
          <w:rFonts w:ascii="Times New Roman" w:hAnsi="Times New Roman" w:cs="Times New Roman"/>
        </w:rPr>
        <w:t xml:space="preserve"> sono state introdotte precise regole giuridiche sull’AIR, la VIR e la programmazione dell’attività normativa del Governo</w:t>
      </w:r>
      <w:r w:rsidR="00733ECE" w:rsidRPr="00C46C09">
        <w:rPr>
          <w:rStyle w:val="Rimandonotaapidipagina"/>
          <w:rFonts w:ascii="Times New Roman" w:hAnsi="Times New Roman" w:cs="Times New Roman"/>
        </w:rPr>
        <w:footnoteReference w:id="5"/>
      </w:r>
      <w:r w:rsidRPr="00C46C09">
        <w:rPr>
          <w:rFonts w:ascii="Times New Roman" w:hAnsi="Times New Roman" w:cs="Times New Roman"/>
        </w:rPr>
        <w:t>, è anche vero che, al di fuori dei suddetti profili, la fase della progettazione dell’</w:t>
      </w:r>
      <w:r w:rsidR="000D1980" w:rsidRPr="00C46C09">
        <w:rPr>
          <w:rFonts w:ascii="Times New Roman" w:hAnsi="Times New Roman" w:cs="Times New Roman"/>
        </w:rPr>
        <w:t>intervento</w:t>
      </w:r>
      <w:r w:rsidRPr="00C46C09">
        <w:rPr>
          <w:rFonts w:ascii="Times New Roman" w:hAnsi="Times New Roman" w:cs="Times New Roman"/>
        </w:rPr>
        <w:t xml:space="preserve"> deve intendersi riservata a valutazioni non sanzionabili giuridicamente e necessariamente rimesse ad apprezzamenti discrezionali. </w:t>
      </w:r>
    </w:p>
    <w:p w14:paraId="615CECB4" w14:textId="41D5B512" w:rsidR="00E67990" w:rsidRPr="00C46C09" w:rsidRDefault="00D41F9A" w:rsidP="00DC1597">
      <w:pPr>
        <w:autoSpaceDE w:val="0"/>
        <w:autoSpaceDN w:val="0"/>
        <w:adjustRightInd w:val="0"/>
        <w:spacing w:after="0" w:line="240" w:lineRule="auto"/>
        <w:ind w:firstLine="284"/>
        <w:jc w:val="both"/>
        <w:rPr>
          <w:rFonts w:ascii="Times New Roman" w:hAnsi="Times New Roman" w:cs="Times New Roman"/>
        </w:rPr>
      </w:pPr>
      <w:r w:rsidRPr="00C46C09">
        <w:rPr>
          <w:rFonts w:ascii="Times New Roman" w:hAnsi="Times New Roman" w:cs="Times New Roman"/>
        </w:rPr>
        <w:t>Nonostante la fase della progettazione delle leggi non tolleri</w:t>
      </w:r>
      <w:r w:rsidR="00E67990" w:rsidRPr="00C46C09">
        <w:rPr>
          <w:rFonts w:ascii="Times New Roman" w:hAnsi="Times New Roman" w:cs="Times New Roman"/>
        </w:rPr>
        <w:t xml:space="preserve"> vincoli giuridici sul merito delle scelte e sulle tecniche di redazione delle norme, il </w:t>
      </w:r>
      <w:r w:rsidR="00C04C08" w:rsidRPr="00C04C08">
        <w:rPr>
          <w:rFonts w:ascii="Times New Roman" w:hAnsi="Times New Roman" w:cs="Times New Roman"/>
          <w:i/>
        </w:rPr>
        <w:t>drafter</w:t>
      </w:r>
      <w:r w:rsidR="00E67990" w:rsidRPr="00C46C09">
        <w:rPr>
          <w:rFonts w:ascii="Times New Roman" w:hAnsi="Times New Roman" w:cs="Times New Roman"/>
        </w:rPr>
        <w:t xml:space="preserve"> resta, in ogni caso, assoggettato ai parametri generali che presidiano la corretta costruzione di disposizioni legislative.</w:t>
      </w:r>
    </w:p>
    <w:p w14:paraId="44F1A244" w14:textId="405FDAA3" w:rsidR="00E67990" w:rsidRPr="00C46C09" w:rsidRDefault="00E67990" w:rsidP="00DC1597">
      <w:pPr>
        <w:autoSpaceDE w:val="0"/>
        <w:autoSpaceDN w:val="0"/>
        <w:adjustRightInd w:val="0"/>
        <w:spacing w:after="0" w:line="240" w:lineRule="auto"/>
        <w:ind w:firstLine="284"/>
        <w:jc w:val="both"/>
        <w:rPr>
          <w:rFonts w:ascii="Times New Roman" w:hAnsi="Times New Roman" w:cs="Times New Roman"/>
        </w:rPr>
      </w:pPr>
      <w:r w:rsidRPr="00C46C09">
        <w:rPr>
          <w:rFonts w:ascii="Times New Roman" w:hAnsi="Times New Roman" w:cs="Times New Roman"/>
        </w:rPr>
        <w:t xml:space="preserve">Sia nel momento della ideazione del progetto normativo, sia in quello della sua redazione, il decisore (prima) e il </w:t>
      </w:r>
      <w:r w:rsidR="00C04C08" w:rsidRPr="00C04C08">
        <w:rPr>
          <w:rFonts w:ascii="Times New Roman" w:hAnsi="Times New Roman" w:cs="Times New Roman"/>
          <w:i/>
        </w:rPr>
        <w:t>drafter</w:t>
      </w:r>
      <w:r w:rsidRPr="00C46C09">
        <w:rPr>
          <w:rFonts w:ascii="Times New Roman" w:hAnsi="Times New Roman" w:cs="Times New Roman"/>
        </w:rPr>
        <w:t xml:space="preserve"> (poi) dovranno</w:t>
      </w:r>
      <w:r w:rsidR="0014265B" w:rsidRPr="00C46C09">
        <w:rPr>
          <w:rFonts w:ascii="Times New Roman" w:hAnsi="Times New Roman" w:cs="Times New Roman"/>
        </w:rPr>
        <w:t>, infatti,</w:t>
      </w:r>
      <w:r w:rsidRPr="00C46C09">
        <w:rPr>
          <w:rFonts w:ascii="Times New Roman" w:hAnsi="Times New Roman" w:cs="Times New Roman"/>
        </w:rPr>
        <w:t xml:space="preserve"> obbedire ai paradigmi dell’efficacia e dell’effettività della legge e, cioè, dovranno rispettare i can</w:t>
      </w:r>
      <w:r w:rsidR="0014265B" w:rsidRPr="00C46C09">
        <w:rPr>
          <w:rFonts w:ascii="Times New Roman" w:hAnsi="Times New Roman" w:cs="Times New Roman"/>
        </w:rPr>
        <w:t>oni di capacità</w:t>
      </w:r>
      <w:r w:rsidRPr="00C46C09">
        <w:rPr>
          <w:rFonts w:ascii="Times New Roman" w:hAnsi="Times New Roman" w:cs="Times New Roman"/>
        </w:rPr>
        <w:t xml:space="preserve"> della norma di produ</w:t>
      </w:r>
      <w:r w:rsidR="0014265B" w:rsidRPr="00C46C09">
        <w:rPr>
          <w:rFonts w:ascii="Times New Roman" w:hAnsi="Times New Roman" w:cs="Times New Roman"/>
        </w:rPr>
        <w:t>rre i risultati attesi e di adeguatezza rispetto agli obiettivi dell’intervento</w:t>
      </w:r>
      <w:r w:rsidR="00951FD3" w:rsidRPr="00C46C09">
        <w:rPr>
          <w:rStyle w:val="Rimandonotaapidipagina"/>
          <w:rFonts w:ascii="Times New Roman" w:hAnsi="Times New Roman" w:cs="Times New Roman"/>
        </w:rPr>
        <w:footnoteReference w:id="6"/>
      </w:r>
      <w:r w:rsidRPr="00C46C09">
        <w:rPr>
          <w:rFonts w:ascii="Times New Roman" w:hAnsi="Times New Roman" w:cs="Times New Roman"/>
        </w:rPr>
        <w:t>.</w:t>
      </w:r>
    </w:p>
    <w:p w14:paraId="04EAD243" w14:textId="77777777" w:rsidR="00D41F9A" w:rsidRPr="00C46C09" w:rsidRDefault="00C5787D" w:rsidP="00DC1597">
      <w:pPr>
        <w:autoSpaceDE w:val="0"/>
        <w:autoSpaceDN w:val="0"/>
        <w:adjustRightInd w:val="0"/>
        <w:spacing w:after="0" w:line="240" w:lineRule="auto"/>
        <w:ind w:firstLine="284"/>
        <w:jc w:val="both"/>
        <w:rPr>
          <w:rFonts w:ascii="Times New Roman" w:hAnsi="Times New Roman" w:cs="Times New Roman"/>
        </w:rPr>
      </w:pPr>
      <w:r w:rsidRPr="00C46C09">
        <w:rPr>
          <w:rFonts w:ascii="Times New Roman" w:hAnsi="Times New Roman" w:cs="Times New Roman"/>
        </w:rPr>
        <w:lastRenderedPageBreak/>
        <w:t>Per quanto non previsto dal Regolamento AIR</w:t>
      </w:r>
      <w:r w:rsidR="004D4FFA" w:rsidRPr="00C46C09">
        <w:rPr>
          <w:rStyle w:val="Rimandonotaapidipagina"/>
          <w:rFonts w:ascii="Times New Roman" w:hAnsi="Times New Roman" w:cs="Times New Roman"/>
        </w:rPr>
        <w:footnoteReference w:id="7"/>
      </w:r>
      <w:r w:rsidRPr="00C46C09">
        <w:rPr>
          <w:rFonts w:ascii="Times New Roman" w:hAnsi="Times New Roman" w:cs="Times New Roman"/>
        </w:rPr>
        <w:t xml:space="preserve">, anche questo segmento di attività andrà orientato e guidato con raccomandazioni e istruzioni finalizzate a veicolare le scelte più funzionali ad assicurare l’efficienza delle norme. </w:t>
      </w:r>
      <w:r w:rsidR="00E67990" w:rsidRPr="00C46C09">
        <w:rPr>
          <w:rFonts w:ascii="Times New Roman" w:hAnsi="Times New Roman" w:cs="Times New Roman"/>
        </w:rPr>
        <w:t xml:space="preserve">  </w:t>
      </w:r>
      <w:r w:rsidR="00D41F9A" w:rsidRPr="00C46C09">
        <w:rPr>
          <w:rFonts w:ascii="Times New Roman" w:hAnsi="Times New Roman" w:cs="Times New Roman"/>
        </w:rPr>
        <w:t xml:space="preserve"> </w:t>
      </w:r>
    </w:p>
    <w:p w14:paraId="3F9119B9" w14:textId="5C82A5EB" w:rsidR="000D1980" w:rsidRPr="00C46C09" w:rsidRDefault="000D1980" w:rsidP="00DC1597">
      <w:pPr>
        <w:autoSpaceDE w:val="0"/>
        <w:autoSpaceDN w:val="0"/>
        <w:adjustRightInd w:val="0"/>
        <w:spacing w:after="0" w:line="240" w:lineRule="auto"/>
        <w:ind w:firstLine="284"/>
        <w:jc w:val="both"/>
        <w:rPr>
          <w:rFonts w:ascii="Times New Roman" w:hAnsi="Times New Roman" w:cs="Times New Roman"/>
        </w:rPr>
      </w:pPr>
      <w:r w:rsidRPr="00C46C09">
        <w:rPr>
          <w:rFonts w:ascii="Times New Roman" w:hAnsi="Times New Roman" w:cs="Times New Roman"/>
        </w:rPr>
        <w:t xml:space="preserve">Le anzidette esigenze sono state </w:t>
      </w:r>
      <w:r w:rsidR="0014265B" w:rsidRPr="00C46C09">
        <w:rPr>
          <w:rFonts w:ascii="Times New Roman" w:hAnsi="Times New Roman" w:cs="Times New Roman"/>
        </w:rPr>
        <w:t xml:space="preserve">(in larga misura) </w:t>
      </w:r>
      <w:r w:rsidR="00B85878" w:rsidRPr="00C46C09">
        <w:rPr>
          <w:rFonts w:ascii="Times New Roman" w:hAnsi="Times New Roman" w:cs="Times New Roman"/>
        </w:rPr>
        <w:t>soddisfatte con le Circolari della Presidenza del Consiglio dei Ministri del 2001</w:t>
      </w:r>
      <w:r w:rsidR="00A805C7">
        <w:rPr>
          <w:rStyle w:val="Rimandonotaapidipagina"/>
          <w:rFonts w:ascii="Times New Roman" w:hAnsi="Times New Roman" w:cs="Times New Roman"/>
        </w:rPr>
        <w:footnoteReference w:id="8"/>
      </w:r>
      <w:r w:rsidR="00B85878" w:rsidRPr="00C46C09">
        <w:rPr>
          <w:rFonts w:ascii="Times New Roman" w:hAnsi="Times New Roman" w:cs="Times New Roman"/>
        </w:rPr>
        <w:t>, nelle quali sono state sistematicamente cristallizzate regole e raccomandazioni sulla corretta scrittura delle norme.</w:t>
      </w:r>
    </w:p>
    <w:p w14:paraId="3C94AFB0" w14:textId="4ED153B6" w:rsidR="00B337D2" w:rsidRPr="00C46C09" w:rsidRDefault="00B337D2" w:rsidP="00DC1597">
      <w:pPr>
        <w:autoSpaceDE w:val="0"/>
        <w:autoSpaceDN w:val="0"/>
        <w:adjustRightInd w:val="0"/>
        <w:spacing w:after="0" w:line="240" w:lineRule="auto"/>
        <w:ind w:firstLine="284"/>
        <w:jc w:val="both"/>
        <w:rPr>
          <w:rFonts w:ascii="Times New Roman" w:hAnsi="Times New Roman" w:cs="Times New Roman"/>
        </w:rPr>
      </w:pPr>
      <w:r w:rsidRPr="00C46C09">
        <w:rPr>
          <w:rFonts w:ascii="Times New Roman" w:hAnsi="Times New Roman" w:cs="Times New Roman"/>
        </w:rPr>
        <w:t xml:space="preserve">L’esigenza di una revisione delle istruzioni di </w:t>
      </w:r>
      <w:r w:rsidR="00C04C08" w:rsidRPr="00C04C08">
        <w:rPr>
          <w:rFonts w:ascii="Times New Roman" w:hAnsi="Times New Roman" w:cs="Times New Roman"/>
          <w:i/>
        </w:rPr>
        <w:t>drafting</w:t>
      </w:r>
      <w:r w:rsidRPr="00C46C09">
        <w:rPr>
          <w:rFonts w:ascii="Times New Roman" w:hAnsi="Times New Roman" w:cs="Times New Roman"/>
        </w:rPr>
        <w:t xml:space="preserve">, contenute nelle Circolari adottate ormai vent’anni fa, appare, </w:t>
      </w:r>
      <w:r w:rsidR="00B85878" w:rsidRPr="00C46C09">
        <w:rPr>
          <w:rFonts w:ascii="Times New Roman" w:hAnsi="Times New Roman" w:cs="Times New Roman"/>
        </w:rPr>
        <w:t xml:space="preserve">tuttavia, </w:t>
      </w:r>
      <w:r w:rsidRPr="00C46C09">
        <w:rPr>
          <w:rFonts w:ascii="Times New Roman" w:hAnsi="Times New Roman" w:cs="Times New Roman"/>
        </w:rPr>
        <w:t>per molti versi, non più eludibile.</w:t>
      </w:r>
    </w:p>
    <w:p w14:paraId="2F24D8D7" w14:textId="089AC503" w:rsidR="00B337D2" w:rsidRPr="00C46C09" w:rsidRDefault="00AE34ED" w:rsidP="00DC1597">
      <w:pPr>
        <w:autoSpaceDE w:val="0"/>
        <w:autoSpaceDN w:val="0"/>
        <w:adjustRightInd w:val="0"/>
        <w:spacing w:after="0" w:line="240" w:lineRule="auto"/>
        <w:ind w:firstLine="284"/>
        <w:jc w:val="both"/>
        <w:rPr>
          <w:rFonts w:ascii="Times New Roman" w:hAnsi="Times New Roman" w:cs="Times New Roman"/>
        </w:rPr>
      </w:pPr>
      <w:r w:rsidRPr="00C46C09">
        <w:rPr>
          <w:rFonts w:ascii="Times New Roman" w:hAnsi="Times New Roman" w:cs="Times New Roman"/>
        </w:rPr>
        <w:t>E non solo per l</w:t>
      </w:r>
      <w:r w:rsidR="001945B4">
        <w:rPr>
          <w:rFonts w:ascii="Times New Roman" w:hAnsi="Times New Roman" w:cs="Times New Roman"/>
        </w:rPr>
        <w:t>a necessità</w:t>
      </w:r>
      <w:r w:rsidRPr="00C46C09">
        <w:rPr>
          <w:rFonts w:ascii="Times New Roman" w:hAnsi="Times New Roman" w:cs="Times New Roman"/>
        </w:rPr>
        <w:t xml:space="preserve"> di aggiornare le regole del </w:t>
      </w:r>
      <w:r w:rsidR="00C04C08" w:rsidRPr="00C04C08">
        <w:rPr>
          <w:rFonts w:ascii="Times New Roman" w:hAnsi="Times New Roman" w:cs="Times New Roman"/>
          <w:i/>
        </w:rPr>
        <w:t>drafting</w:t>
      </w:r>
      <w:r w:rsidRPr="00C46C09">
        <w:rPr>
          <w:rFonts w:ascii="Times New Roman" w:hAnsi="Times New Roman" w:cs="Times New Roman"/>
        </w:rPr>
        <w:t xml:space="preserve"> formale, al fine di colmare alcune lacune e di migliorare i canoni di scrittura delle norme funzionali ad istanze di intellegibilità e di chiarezza delle disposizioni, ma, (e, forse, soprattutto), anche </w:t>
      </w:r>
      <w:r w:rsidR="001945B4">
        <w:rPr>
          <w:rFonts w:ascii="Times New Roman" w:hAnsi="Times New Roman" w:cs="Times New Roman"/>
        </w:rPr>
        <w:t>allo scopo</w:t>
      </w:r>
      <w:r w:rsidRPr="00C46C09">
        <w:rPr>
          <w:rFonts w:ascii="Times New Roman" w:hAnsi="Times New Roman" w:cs="Times New Roman"/>
        </w:rPr>
        <w:t xml:space="preserve"> di </w:t>
      </w:r>
      <w:r w:rsidR="0014265B" w:rsidRPr="00C46C09">
        <w:rPr>
          <w:rFonts w:ascii="Times New Roman" w:hAnsi="Times New Roman" w:cs="Times New Roman"/>
        </w:rPr>
        <w:t xml:space="preserve">integrare e </w:t>
      </w:r>
      <w:r w:rsidRPr="00C46C09">
        <w:rPr>
          <w:rFonts w:ascii="Times New Roman" w:hAnsi="Times New Roman" w:cs="Times New Roman"/>
        </w:rPr>
        <w:t xml:space="preserve">affinare le indicazioni attinenti al </w:t>
      </w:r>
      <w:r w:rsidR="00C04C08" w:rsidRPr="00C04C08">
        <w:rPr>
          <w:rFonts w:ascii="Times New Roman" w:hAnsi="Times New Roman" w:cs="Times New Roman"/>
          <w:i/>
        </w:rPr>
        <w:t>drafting</w:t>
      </w:r>
      <w:r w:rsidRPr="00C46C09">
        <w:rPr>
          <w:rFonts w:ascii="Times New Roman" w:hAnsi="Times New Roman" w:cs="Times New Roman"/>
        </w:rPr>
        <w:t xml:space="preserve"> sostanziale.</w:t>
      </w:r>
    </w:p>
    <w:p w14:paraId="339F8B25" w14:textId="1E8ABC57" w:rsidR="0073273F" w:rsidRPr="00C46C09" w:rsidRDefault="0073273F" w:rsidP="00DC1597">
      <w:pPr>
        <w:autoSpaceDE w:val="0"/>
        <w:autoSpaceDN w:val="0"/>
        <w:adjustRightInd w:val="0"/>
        <w:spacing w:after="0" w:line="240" w:lineRule="auto"/>
        <w:ind w:firstLine="284"/>
        <w:jc w:val="both"/>
        <w:rPr>
          <w:rFonts w:ascii="Times New Roman" w:hAnsi="Times New Roman" w:cs="Times New Roman"/>
        </w:rPr>
      </w:pPr>
      <w:r w:rsidRPr="00C46C09">
        <w:rPr>
          <w:rFonts w:ascii="Times New Roman" w:hAnsi="Times New Roman" w:cs="Times New Roman"/>
        </w:rPr>
        <w:t>Il presente studio sarà dedicato a illustrare, per linee generali, le prin</w:t>
      </w:r>
      <w:r w:rsidR="00C84A7F" w:rsidRPr="00C46C09">
        <w:rPr>
          <w:rFonts w:ascii="Times New Roman" w:hAnsi="Times New Roman" w:cs="Times New Roman"/>
        </w:rPr>
        <w:t>cipali esigenze di</w:t>
      </w:r>
      <w:r w:rsidRPr="00C46C09">
        <w:rPr>
          <w:rFonts w:ascii="Times New Roman" w:hAnsi="Times New Roman" w:cs="Times New Roman"/>
        </w:rPr>
        <w:t xml:space="preserve"> revisione delle Circolari vigenti</w:t>
      </w:r>
      <w:r w:rsidR="00C84A7F" w:rsidRPr="00C46C09">
        <w:rPr>
          <w:rFonts w:ascii="Times New Roman" w:hAnsi="Times New Roman" w:cs="Times New Roman"/>
        </w:rPr>
        <w:t xml:space="preserve"> (senza trascurare, peraltro, le istanze di aggiornamento della Direttiva del 2009 sull’istruttoria degli atti normativi del Governo</w:t>
      </w:r>
      <w:r w:rsidR="00C84A7F" w:rsidRPr="00C46C09">
        <w:rPr>
          <w:rStyle w:val="Rimandonotaapidipagina"/>
          <w:rFonts w:ascii="Times New Roman" w:hAnsi="Times New Roman" w:cs="Times New Roman"/>
        </w:rPr>
        <w:footnoteReference w:id="9"/>
      </w:r>
      <w:r w:rsidR="00C84A7F" w:rsidRPr="00C46C09">
        <w:rPr>
          <w:rFonts w:ascii="Times New Roman" w:hAnsi="Times New Roman" w:cs="Times New Roman"/>
        </w:rPr>
        <w:t>)</w:t>
      </w:r>
      <w:r w:rsidRPr="00C46C09">
        <w:rPr>
          <w:rFonts w:ascii="Times New Roman" w:hAnsi="Times New Roman" w:cs="Times New Roman"/>
        </w:rPr>
        <w:t>, per come emerse nell’esperienza acquis</w:t>
      </w:r>
      <w:r w:rsidR="00C5181F">
        <w:rPr>
          <w:rFonts w:ascii="Times New Roman" w:hAnsi="Times New Roman" w:cs="Times New Roman"/>
        </w:rPr>
        <w:t>i</w:t>
      </w:r>
      <w:r w:rsidRPr="00C46C09">
        <w:rPr>
          <w:rFonts w:ascii="Times New Roman" w:hAnsi="Times New Roman" w:cs="Times New Roman"/>
        </w:rPr>
        <w:t>ta dal DAGL negli ultimi anni.</w:t>
      </w:r>
    </w:p>
    <w:p w14:paraId="0AA9D885" w14:textId="7C416A1F" w:rsidR="00F82915" w:rsidRPr="00C46C09" w:rsidRDefault="00F82915" w:rsidP="00DC1597">
      <w:pPr>
        <w:autoSpaceDE w:val="0"/>
        <w:autoSpaceDN w:val="0"/>
        <w:adjustRightInd w:val="0"/>
        <w:spacing w:after="0" w:line="240" w:lineRule="auto"/>
        <w:ind w:firstLine="284"/>
        <w:jc w:val="both"/>
        <w:rPr>
          <w:rFonts w:ascii="Times New Roman" w:hAnsi="Times New Roman" w:cs="Times New Roman"/>
        </w:rPr>
      </w:pPr>
      <w:r w:rsidRPr="00C46C09">
        <w:rPr>
          <w:rFonts w:ascii="Times New Roman" w:hAnsi="Times New Roman" w:cs="Times New Roman"/>
        </w:rPr>
        <w:t>Le istanze di adeguamento saranno, inoltre, ricavate dal confronto delle Circolari del 2001</w:t>
      </w:r>
      <w:r w:rsidR="000401C4" w:rsidRPr="00C46C09">
        <w:rPr>
          <w:rStyle w:val="Rimandonotaapidipagina"/>
          <w:rFonts w:ascii="Times New Roman" w:hAnsi="Times New Roman" w:cs="Times New Roman"/>
        </w:rPr>
        <w:footnoteReference w:id="10"/>
      </w:r>
      <w:r w:rsidRPr="00C46C09">
        <w:rPr>
          <w:rFonts w:ascii="Times New Roman" w:hAnsi="Times New Roman" w:cs="Times New Roman"/>
        </w:rPr>
        <w:t xml:space="preserve"> con le diverse raccomandazioni OCSE</w:t>
      </w:r>
      <w:r w:rsidR="00B509A3" w:rsidRPr="00C46C09">
        <w:rPr>
          <w:rStyle w:val="Rimandonotaapidipagina"/>
          <w:rFonts w:ascii="Times New Roman" w:hAnsi="Times New Roman" w:cs="Times New Roman"/>
        </w:rPr>
        <w:footnoteReference w:id="11"/>
      </w:r>
      <w:r w:rsidRPr="00C46C09">
        <w:rPr>
          <w:rFonts w:ascii="Times New Roman" w:hAnsi="Times New Roman" w:cs="Times New Roman"/>
        </w:rPr>
        <w:t>, con il Manuale dell’Osservatorio legislativo interregionale</w:t>
      </w:r>
      <w:r w:rsidR="00B509A3" w:rsidRPr="00C46C09">
        <w:rPr>
          <w:rStyle w:val="Rimandonotaapidipagina"/>
          <w:rFonts w:ascii="Times New Roman" w:hAnsi="Times New Roman" w:cs="Times New Roman"/>
        </w:rPr>
        <w:footnoteReference w:id="12"/>
      </w:r>
      <w:r w:rsidRPr="00C46C09">
        <w:rPr>
          <w:rFonts w:ascii="Times New Roman" w:hAnsi="Times New Roman" w:cs="Times New Roman"/>
        </w:rPr>
        <w:t>, con la Guida pratica comune relativa alla legislazione dell’Unione europea</w:t>
      </w:r>
      <w:r w:rsidR="00B509A3" w:rsidRPr="00C46C09">
        <w:rPr>
          <w:rStyle w:val="Rimandonotaapidipagina"/>
          <w:rFonts w:ascii="Times New Roman" w:hAnsi="Times New Roman" w:cs="Times New Roman"/>
        </w:rPr>
        <w:footnoteReference w:id="13"/>
      </w:r>
      <w:r w:rsidR="00AB4A0E">
        <w:rPr>
          <w:rFonts w:ascii="Times New Roman" w:hAnsi="Times New Roman" w:cs="Times New Roman"/>
        </w:rPr>
        <w:t>, con gli orientamenti</w:t>
      </w:r>
      <w:r w:rsidRPr="00C46C09">
        <w:rPr>
          <w:rFonts w:ascii="Times New Roman" w:hAnsi="Times New Roman" w:cs="Times New Roman"/>
        </w:rPr>
        <w:t xml:space="preserve"> del Comitato per la legislazione</w:t>
      </w:r>
      <w:r w:rsidR="00B509A3" w:rsidRPr="00C46C09">
        <w:rPr>
          <w:rStyle w:val="Rimandonotaapidipagina"/>
          <w:rFonts w:ascii="Times New Roman" w:hAnsi="Times New Roman" w:cs="Times New Roman"/>
        </w:rPr>
        <w:footnoteReference w:id="14"/>
      </w:r>
      <w:r w:rsidRPr="00C46C09">
        <w:rPr>
          <w:rFonts w:ascii="Times New Roman" w:hAnsi="Times New Roman" w:cs="Times New Roman"/>
        </w:rPr>
        <w:t xml:space="preserve"> e con i contributi degli studiosi della legistica</w:t>
      </w:r>
      <w:r w:rsidR="002166EA" w:rsidRPr="00C46C09">
        <w:rPr>
          <w:rFonts w:ascii="Times New Roman" w:hAnsi="Times New Roman" w:cs="Times New Roman"/>
        </w:rPr>
        <w:t xml:space="preserve"> (senza trascurare, ovviamente, la giurisprudenza della Corte Costituzionale</w:t>
      </w:r>
      <w:r w:rsidR="00C84A7F" w:rsidRPr="00C46C09">
        <w:rPr>
          <w:rStyle w:val="Rimandonotaapidipagina"/>
          <w:rFonts w:ascii="Times New Roman" w:hAnsi="Times New Roman" w:cs="Times New Roman"/>
        </w:rPr>
        <w:footnoteReference w:id="15"/>
      </w:r>
      <w:r w:rsidR="002166EA" w:rsidRPr="00C46C09">
        <w:rPr>
          <w:rFonts w:ascii="Times New Roman" w:hAnsi="Times New Roman" w:cs="Times New Roman"/>
        </w:rPr>
        <w:t>)</w:t>
      </w:r>
      <w:r w:rsidRPr="00C46C09">
        <w:rPr>
          <w:rFonts w:ascii="Times New Roman" w:hAnsi="Times New Roman" w:cs="Times New Roman"/>
        </w:rPr>
        <w:t xml:space="preserve">.  </w:t>
      </w:r>
    </w:p>
    <w:p w14:paraId="30E42422" w14:textId="1E54EEC5" w:rsidR="0073273F" w:rsidRPr="00C46C09" w:rsidRDefault="0073273F" w:rsidP="00DC1597">
      <w:pPr>
        <w:autoSpaceDE w:val="0"/>
        <w:autoSpaceDN w:val="0"/>
        <w:adjustRightInd w:val="0"/>
        <w:spacing w:after="0" w:line="240" w:lineRule="auto"/>
        <w:ind w:firstLine="284"/>
        <w:jc w:val="both"/>
        <w:rPr>
          <w:rFonts w:ascii="Times New Roman" w:hAnsi="Times New Roman" w:cs="Times New Roman"/>
        </w:rPr>
      </w:pPr>
      <w:r w:rsidRPr="00C46C09">
        <w:rPr>
          <w:rFonts w:ascii="Times New Roman" w:hAnsi="Times New Roman" w:cs="Times New Roman"/>
        </w:rPr>
        <w:t xml:space="preserve">Il contributo resterà, </w:t>
      </w:r>
      <w:r w:rsidR="00D8220A">
        <w:rPr>
          <w:rFonts w:ascii="Times New Roman" w:hAnsi="Times New Roman" w:cs="Times New Roman"/>
        </w:rPr>
        <w:t>quindi, circoscritto all’analisi</w:t>
      </w:r>
      <w:r w:rsidRPr="00C46C09">
        <w:rPr>
          <w:rFonts w:ascii="Times New Roman" w:hAnsi="Times New Roman" w:cs="Times New Roman"/>
        </w:rPr>
        <w:t xml:space="preserve"> delle più evidenti ragioni del </w:t>
      </w:r>
      <w:r w:rsidRPr="001203AE">
        <w:rPr>
          <w:rFonts w:ascii="Times New Roman" w:hAnsi="Times New Roman" w:cs="Times New Roman"/>
          <w:i/>
        </w:rPr>
        <w:t>deficit</w:t>
      </w:r>
      <w:r w:rsidRPr="00C46C09">
        <w:rPr>
          <w:rFonts w:ascii="Times New Roman" w:hAnsi="Times New Roman" w:cs="Times New Roman"/>
        </w:rPr>
        <w:t xml:space="preserve"> di qualità della legislazione e alla formulazione di alcune opzioni di correzione, da affidare a una nuova direttiva</w:t>
      </w:r>
      <w:r w:rsidR="00273949">
        <w:rPr>
          <w:rStyle w:val="Rimandonotaapidipagina"/>
          <w:rFonts w:ascii="Times New Roman" w:hAnsi="Times New Roman" w:cs="Times New Roman"/>
        </w:rPr>
        <w:footnoteReference w:id="16"/>
      </w:r>
      <w:r w:rsidRPr="00C46C09">
        <w:rPr>
          <w:rFonts w:ascii="Times New Roman" w:hAnsi="Times New Roman" w:cs="Times New Roman"/>
        </w:rPr>
        <w:t>.</w:t>
      </w:r>
    </w:p>
    <w:p w14:paraId="3B4B0092" w14:textId="77777777" w:rsidR="0073273F" w:rsidRPr="00C46C09" w:rsidRDefault="0073273F" w:rsidP="00DC1597">
      <w:pPr>
        <w:autoSpaceDE w:val="0"/>
        <w:autoSpaceDN w:val="0"/>
        <w:adjustRightInd w:val="0"/>
        <w:spacing w:after="0" w:line="240" w:lineRule="auto"/>
        <w:ind w:firstLine="284"/>
        <w:jc w:val="both"/>
        <w:rPr>
          <w:rFonts w:ascii="Times New Roman" w:hAnsi="Times New Roman" w:cs="Times New Roman"/>
        </w:rPr>
      </w:pPr>
      <w:r w:rsidRPr="00C46C09">
        <w:rPr>
          <w:rFonts w:ascii="Times New Roman" w:hAnsi="Times New Roman" w:cs="Times New Roman"/>
        </w:rPr>
        <w:t xml:space="preserve">Rimarrà, di conseguenza, estranea al perimetro delle riflessioni che seguono una disamina profonda ed esauriente delle molteplici questioni tecniche afferenti in senso stretto alla disciplina e alla dottrina della legistica.     </w:t>
      </w:r>
    </w:p>
    <w:p w14:paraId="4761C12C" w14:textId="77777777" w:rsidR="00AE34ED" w:rsidRPr="00C46C09" w:rsidRDefault="00AE34ED" w:rsidP="006277A5">
      <w:pPr>
        <w:autoSpaceDE w:val="0"/>
        <w:autoSpaceDN w:val="0"/>
        <w:adjustRightInd w:val="0"/>
        <w:spacing w:after="0" w:line="240" w:lineRule="auto"/>
        <w:jc w:val="both"/>
        <w:rPr>
          <w:rFonts w:ascii="Times New Roman" w:hAnsi="Times New Roman" w:cs="Times New Roman"/>
          <w:b/>
          <w:bCs/>
        </w:rPr>
      </w:pPr>
    </w:p>
    <w:p w14:paraId="0C3C908D" w14:textId="563D0964" w:rsidR="00C36214" w:rsidRPr="00C46C09" w:rsidRDefault="00AE34ED" w:rsidP="00575506">
      <w:pPr>
        <w:tabs>
          <w:tab w:val="left" w:pos="284"/>
          <w:tab w:val="left" w:pos="426"/>
        </w:tabs>
        <w:autoSpaceDE w:val="0"/>
        <w:autoSpaceDN w:val="0"/>
        <w:adjustRightInd w:val="0"/>
        <w:spacing w:after="0" w:line="240" w:lineRule="auto"/>
        <w:jc w:val="both"/>
        <w:rPr>
          <w:rFonts w:ascii="Times New Roman" w:hAnsi="Times New Roman" w:cs="Times New Roman"/>
          <w:b/>
          <w:bCs/>
          <w:smallCaps/>
        </w:rPr>
      </w:pPr>
      <w:r w:rsidRPr="00C46C09">
        <w:rPr>
          <w:rFonts w:ascii="Times New Roman" w:hAnsi="Times New Roman" w:cs="Times New Roman"/>
          <w:b/>
          <w:bCs/>
        </w:rPr>
        <w:t xml:space="preserve">2. </w:t>
      </w:r>
      <w:r w:rsidR="00F40C16" w:rsidRPr="00C46C09">
        <w:rPr>
          <w:rFonts w:ascii="Times New Roman" w:hAnsi="Times New Roman" w:cs="Times New Roman"/>
          <w:b/>
          <w:bCs/>
        </w:rPr>
        <w:t xml:space="preserve">La necessità di nuove raccomandazioni </w:t>
      </w:r>
      <w:r w:rsidR="00E4592B" w:rsidRPr="00C46C09">
        <w:rPr>
          <w:rFonts w:ascii="Times New Roman" w:hAnsi="Times New Roman" w:cs="Times New Roman"/>
          <w:b/>
          <w:bCs/>
        </w:rPr>
        <w:t>per il</w:t>
      </w:r>
      <w:r w:rsidR="00900488" w:rsidRPr="00C46C09">
        <w:rPr>
          <w:rFonts w:ascii="Times New Roman" w:hAnsi="Times New Roman" w:cs="Times New Roman"/>
          <w:b/>
          <w:bCs/>
        </w:rPr>
        <w:t xml:space="preserve"> </w:t>
      </w:r>
      <w:r w:rsidR="00C04C08" w:rsidRPr="00C04C08">
        <w:rPr>
          <w:rFonts w:ascii="Times New Roman" w:hAnsi="Times New Roman" w:cs="Times New Roman"/>
          <w:b/>
          <w:bCs/>
          <w:i/>
          <w:iCs/>
        </w:rPr>
        <w:t>drafting</w:t>
      </w:r>
      <w:r w:rsidR="00900488" w:rsidRPr="00C46C09">
        <w:rPr>
          <w:rFonts w:ascii="Times New Roman" w:hAnsi="Times New Roman" w:cs="Times New Roman"/>
          <w:b/>
          <w:bCs/>
        </w:rPr>
        <w:t xml:space="preserve"> </w:t>
      </w:r>
      <w:r w:rsidR="00E4592B" w:rsidRPr="00C46C09">
        <w:rPr>
          <w:rFonts w:ascii="Times New Roman" w:hAnsi="Times New Roman" w:cs="Times New Roman"/>
          <w:b/>
          <w:bCs/>
        </w:rPr>
        <w:t>sostanziale</w:t>
      </w:r>
      <w:r w:rsidR="00900488" w:rsidRPr="00C46C09">
        <w:rPr>
          <w:rFonts w:ascii="Times New Roman" w:hAnsi="Times New Roman" w:cs="Times New Roman"/>
        </w:rPr>
        <w:t xml:space="preserve">. </w:t>
      </w:r>
    </w:p>
    <w:p w14:paraId="3D92FB07" w14:textId="21981075" w:rsidR="005579A4" w:rsidRPr="00C46C09" w:rsidRDefault="005579A4" w:rsidP="00DC1597">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 xml:space="preserve">Nella dialettica tra </w:t>
      </w:r>
      <w:r w:rsidR="00C04C08" w:rsidRPr="00C04C08">
        <w:rPr>
          <w:rFonts w:ascii="Times New Roman" w:hAnsi="Times New Roman" w:cs="Times New Roman"/>
          <w:i/>
        </w:rPr>
        <w:t>drafting</w:t>
      </w:r>
      <w:r w:rsidRPr="00C46C09">
        <w:rPr>
          <w:rFonts w:ascii="Times New Roman" w:hAnsi="Times New Roman" w:cs="Times New Roman"/>
        </w:rPr>
        <w:t xml:space="preserve"> formale e </w:t>
      </w:r>
      <w:r w:rsidR="00C04C08" w:rsidRPr="00C04C08">
        <w:rPr>
          <w:rFonts w:ascii="Times New Roman" w:hAnsi="Times New Roman" w:cs="Times New Roman"/>
          <w:i/>
        </w:rPr>
        <w:t>drafting</w:t>
      </w:r>
      <w:r w:rsidRPr="00C46C09">
        <w:rPr>
          <w:rFonts w:ascii="Times New Roman" w:hAnsi="Times New Roman" w:cs="Times New Roman"/>
        </w:rPr>
        <w:t xml:space="preserve"> sostanziale</w:t>
      </w:r>
      <w:r w:rsidR="001C3611" w:rsidRPr="00C46C09">
        <w:rPr>
          <w:rStyle w:val="Rimandonotaapidipagina"/>
          <w:rFonts w:ascii="Times New Roman" w:hAnsi="Times New Roman" w:cs="Times New Roman"/>
        </w:rPr>
        <w:footnoteReference w:id="17"/>
      </w:r>
      <w:r w:rsidRPr="00C46C09">
        <w:rPr>
          <w:rFonts w:ascii="Times New Roman" w:hAnsi="Times New Roman" w:cs="Times New Roman"/>
        </w:rPr>
        <w:t>, e, cioè, tra le istanze connesse a una scrittura corretta della norma e quelle pertinenti alla scrittura di una norma utile, efficace e capace di soddisfare, nel modo migliore, le esigenze regolative che hanno determinato l’intervento, appaiono, da ultimo, prevalenti le seconde.</w:t>
      </w:r>
    </w:p>
    <w:p w14:paraId="4AB51262" w14:textId="05499166" w:rsidR="00B57A71" w:rsidRPr="00C46C09" w:rsidRDefault="005579A4" w:rsidP="00DC1597">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Se è vero, infatti, che una norma coerente con i canoni formali ormai codificati</w:t>
      </w:r>
      <w:r w:rsidR="00B57A71" w:rsidRPr="00C46C09">
        <w:rPr>
          <w:rFonts w:ascii="Times New Roman" w:hAnsi="Times New Roman" w:cs="Times New Roman"/>
        </w:rPr>
        <w:t xml:space="preserve"> dovrebbe veicolare un significato chiaro </w:t>
      </w:r>
      <w:r w:rsidR="00D8220A">
        <w:rPr>
          <w:rFonts w:ascii="Times New Roman" w:hAnsi="Times New Roman" w:cs="Times New Roman"/>
        </w:rPr>
        <w:t xml:space="preserve">del precetto </w:t>
      </w:r>
      <w:r w:rsidR="00B57A71" w:rsidRPr="00C46C09">
        <w:rPr>
          <w:rFonts w:ascii="Times New Roman" w:hAnsi="Times New Roman" w:cs="Times New Roman"/>
        </w:rPr>
        <w:t>ed evitare aporie, antinomie e dubbi esegetici, è anche vero che una norma ben scritta, ma inefficace o inutile, finisce solo per aggravare lo stock della legislazione e accrescer</w:t>
      </w:r>
      <w:r w:rsidR="00291EE5" w:rsidRPr="00C46C09">
        <w:rPr>
          <w:rFonts w:ascii="Times New Roman" w:hAnsi="Times New Roman" w:cs="Times New Roman"/>
        </w:rPr>
        <w:t>e l’inflazione normativa</w:t>
      </w:r>
      <w:r w:rsidR="00B57A71" w:rsidRPr="00C46C09">
        <w:rPr>
          <w:rFonts w:ascii="Times New Roman" w:hAnsi="Times New Roman" w:cs="Times New Roman"/>
        </w:rPr>
        <w:t>.</w:t>
      </w:r>
    </w:p>
    <w:p w14:paraId="1F8F2773" w14:textId="05AA084E" w:rsidR="00B57A71" w:rsidRPr="00C46C09" w:rsidRDefault="00B57A71" w:rsidP="00DC1597">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 xml:space="preserve">L’aggiornamento delle circolari del 2001 non potrà, quindi, prescindere da una rinnovata attenzione per il </w:t>
      </w:r>
      <w:r w:rsidR="00C04C08" w:rsidRPr="00C04C08">
        <w:rPr>
          <w:rFonts w:ascii="Times New Roman" w:hAnsi="Times New Roman" w:cs="Times New Roman"/>
          <w:i/>
        </w:rPr>
        <w:t>drafting</w:t>
      </w:r>
      <w:r w:rsidR="00AB4A0E">
        <w:rPr>
          <w:rFonts w:ascii="Times New Roman" w:hAnsi="Times New Roman" w:cs="Times New Roman"/>
        </w:rPr>
        <w:t xml:space="preserve"> sostanziale</w:t>
      </w:r>
      <w:r w:rsidRPr="00C46C09">
        <w:rPr>
          <w:rFonts w:ascii="Times New Roman" w:hAnsi="Times New Roman" w:cs="Times New Roman"/>
        </w:rPr>
        <w:t xml:space="preserve"> e</w:t>
      </w:r>
      <w:r w:rsidR="00AB4A0E">
        <w:rPr>
          <w:rFonts w:ascii="Times New Roman" w:hAnsi="Times New Roman" w:cs="Times New Roman"/>
        </w:rPr>
        <w:t>,</w:t>
      </w:r>
      <w:r w:rsidRPr="00C46C09">
        <w:rPr>
          <w:rFonts w:ascii="Times New Roman" w:hAnsi="Times New Roman" w:cs="Times New Roman"/>
        </w:rPr>
        <w:t xml:space="preserve"> in particolare, per il momento della progettazione dell’intervento normativo.</w:t>
      </w:r>
    </w:p>
    <w:p w14:paraId="51E92531" w14:textId="0778E086" w:rsidR="00B57A71" w:rsidRPr="00C46C09" w:rsidRDefault="00B57A71" w:rsidP="00DC1597">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La legislazione degli ultimi due anni, per</w:t>
      </w:r>
      <w:r w:rsidR="0006124A" w:rsidRPr="00C46C09">
        <w:rPr>
          <w:rFonts w:ascii="Times New Roman" w:hAnsi="Times New Roman" w:cs="Times New Roman"/>
        </w:rPr>
        <w:t>altro, è stata afflitta dalle e</w:t>
      </w:r>
      <w:r w:rsidRPr="00C46C09">
        <w:rPr>
          <w:rFonts w:ascii="Times New Roman" w:hAnsi="Times New Roman" w:cs="Times New Roman"/>
        </w:rPr>
        <w:t>s</w:t>
      </w:r>
      <w:r w:rsidR="0006124A" w:rsidRPr="00C46C09">
        <w:rPr>
          <w:rFonts w:ascii="Times New Roman" w:hAnsi="Times New Roman" w:cs="Times New Roman"/>
        </w:rPr>
        <w:t>i</w:t>
      </w:r>
      <w:r w:rsidRPr="00C46C09">
        <w:rPr>
          <w:rFonts w:ascii="Times New Roman" w:hAnsi="Times New Roman" w:cs="Times New Roman"/>
        </w:rPr>
        <w:t>g</w:t>
      </w:r>
      <w:r w:rsidR="0006124A" w:rsidRPr="00C46C09">
        <w:rPr>
          <w:rFonts w:ascii="Times New Roman" w:hAnsi="Times New Roman" w:cs="Times New Roman"/>
        </w:rPr>
        <w:t>e</w:t>
      </w:r>
      <w:r w:rsidRPr="00C46C09">
        <w:rPr>
          <w:rFonts w:ascii="Times New Roman" w:hAnsi="Times New Roman" w:cs="Times New Roman"/>
        </w:rPr>
        <w:t>nze, convulse e disordinate, di fronteggiare le crisi sanitaria ed economica (e, negli ultimi giorni</w:t>
      </w:r>
      <w:r w:rsidR="0006124A" w:rsidRPr="00C46C09">
        <w:rPr>
          <w:rFonts w:ascii="Times New Roman" w:hAnsi="Times New Roman" w:cs="Times New Roman"/>
        </w:rPr>
        <w:t>,</w:t>
      </w:r>
      <w:r w:rsidR="00D8220A">
        <w:rPr>
          <w:rFonts w:ascii="Times New Roman" w:hAnsi="Times New Roman" w:cs="Times New Roman"/>
        </w:rPr>
        <w:t xml:space="preserve"> anche</w:t>
      </w:r>
      <w:r w:rsidRPr="00C46C09">
        <w:rPr>
          <w:rFonts w:ascii="Times New Roman" w:hAnsi="Times New Roman" w:cs="Times New Roman"/>
        </w:rPr>
        <w:t xml:space="preserve"> energetica), con la conseguenza di un aggravamento del fenomeno della ipertrofia regolatoria</w:t>
      </w:r>
      <w:r w:rsidR="001945B4">
        <w:rPr>
          <w:rFonts w:ascii="Times New Roman" w:hAnsi="Times New Roman" w:cs="Times New Roman"/>
        </w:rPr>
        <w:t xml:space="preserve"> (fatta salva, ovviamente, la decretazione d’urgenza assistita dalle condizioni costituzionali)</w:t>
      </w:r>
      <w:r w:rsidRPr="00C46C09">
        <w:rPr>
          <w:rFonts w:ascii="Times New Roman" w:hAnsi="Times New Roman" w:cs="Times New Roman"/>
        </w:rPr>
        <w:t>.</w:t>
      </w:r>
    </w:p>
    <w:p w14:paraId="7844AE67" w14:textId="58E2B8A6" w:rsidR="005579A4" w:rsidRPr="00C46C09" w:rsidRDefault="001203AE" w:rsidP="00AB4A0E">
      <w:pPr>
        <w:pStyle w:val="Paragrafoelenco"/>
        <w:autoSpaceDE w:val="0"/>
        <w:autoSpaceDN w:val="0"/>
        <w:adjustRightInd w:val="0"/>
        <w:spacing w:after="0" w:line="240" w:lineRule="auto"/>
        <w:ind w:left="0"/>
        <w:jc w:val="both"/>
        <w:rPr>
          <w:rFonts w:ascii="Times New Roman" w:hAnsi="Times New Roman" w:cs="Times New Roman"/>
        </w:rPr>
      </w:pPr>
      <w:r>
        <w:rPr>
          <w:rFonts w:ascii="Times New Roman" w:hAnsi="Times New Roman" w:cs="Times New Roman"/>
        </w:rPr>
        <w:t xml:space="preserve">     </w:t>
      </w:r>
      <w:r w:rsidR="00B57A71" w:rsidRPr="00C46C09">
        <w:rPr>
          <w:rFonts w:ascii="Times New Roman" w:hAnsi="Times New Roman" w:cs="Times New Roman"/>
        </w:rPr>
        <w:t>Appare, quindi, ancora più necessario, adesso, ribadire le regole di un corretto concepimento dell’intervento normativo</w:t>
      </w:r>
      <w:r w:rsidR="0006124A" w:rsidRPr="00C46C09">
        <w:rPr>
          <w:rFonts w:ascii="Times New Roman" w:hAnsi="Times New Roman" w:cs="Times New Roman"/>
        </w:rPr>
        <w:t xml:space="preserve">, </w:t>
      </w:r>
      <w:r w:rsidR="00B57A71" w:rsidRPr="00C46C09">
        <w:rPr>
          <w:rFonts w:ascii="Times New Roman" w:hAnsi="Times New Roman" w:cs="Times New Roman"/>
        </w:rPr>
        <w:t>a</w:t>
      </w:r>
      <w:r w:rsidR="0006124A" w:rsidRPr="00C46C09">
        <w:rPr>
          <w:rFonts w:ascii="Times New Roman" w:hAnsi="Times New Roman" w:cs="Times New Roman"/>
        </w:rPr>
        <w:t>l</w:t>
      </w:r>
      <w:r w:rsidR="00B57A71" w:rsidRPr="00C46C09">
        <w:rPr>
          <w:rFonts w:ascii="Times New Roman" w:hAnsi="Times New Roman" w:cs="Times New Roman"/>
        </w:rPr>
        <w:t xml:space="preserve"> fine di evitare che la prassi della soluzione di</w:t>
      </w:r>
      <w:r w:rsidR="00AB4A0E">
        <w:rPr>
          <w:rFonts w:ascii="Times New Roman" w:hAnsi="Times New Roman" w:cs="Times New Roman"/>
        </w:rPr>
        <w:t xml:space="preserve"> inedite emergenze</w:t>
      </w:r>
      <w:r w:rsidR="00B57A71" w:rsidRPr="00C46C09">
        <w:rPr>
          <w:rFonts w:ascii="Times New Roman" w:hAnsi="Times New Roman" w:cs="Times New Roman"/>
        </w:rPr>
        <w:t xml:space="preserve"> </w:t>
      </w:r>
      <w:r w:rsidR="00AB4A0E">
        <w:rPr>
          <w:rFonts w:ascii="Times New Roman" w:hAnsi="Times New Roman" w:cs="Times New Roman"/>
        </w:rPr>
        <w:t>c</w:t>
      </w:r>
      <w:r w:rsidR="00B57A71" w:rsidRPr="00C46C09">
        <w:rPr>
          <w:rFonts w:ascii="Times New Roman" w:hAnsi="Times New Roman" w:cs="Times New Roman"/>
        </w:rPr>
        <w:t>on l’introduzione di nuove nor</w:t>
      </w:r>
      <w:r w:rsidR="0006124A" w:rsidRPr="00C46C09">
        <w:rPr>
          <w:rFonts w:ascii="Times New Roman" w:hAnsi="Times New Roman" w:cs="Times New Roman"/>
        </w:rPr>
        <w:t>me si stabilizzi</w:t>
      </w:r>
      <w:r w:rsidR="00AB4A0E">
        <w:rPr>
          <w:rFonts w:ascii="Times New Roman" w:hAnsi="Times New Roman" w:cs="Times New Roman"/>
        </w:rPr>
        <w:t xml:space="preserve"> o degeneri (mediante un approccio strutturale alla risoluzione in via legislativa di qualsivoglia problema)</w:t>
      </w:r>
      <w:r w:rsidR="0006124A" w:rsidRPr="00C46C09">
        <w:rPr>
          <w:rFonts w:ascii="Times New Roman" w:hAnsi="Times New Roman" w:cs="Times New Roman"/>
        </w:rPr>
        <w:t>, contribuendo</w:t>
      </w:r>
      <w:r w:rsidR="00B57A71" w:rsidRPr="00C46C09">
        <w:rPr>
          <w:rFonts w:ascii="Times New Roman" w:hAnsi="Times New Roman" w:cs="Times New Roman"/>
        </w:rPr>
        <w:t xml:space="preserve"> così a peggiorare </w:t>
      </w:r>
      <w:r w:rsidR="00F961D2" w:rsidRPr="00C46C09">
        <w:rPr>
          <w:rFonts w:ascii="Times New Roman" w:hAnsi="Times New Roman" w:cs="Times New Roman"/>
        </w:rPr>
        <w:t xml:space="preserve">le </w:t>
      </w:r>
      <w:r w:rsidR="0006124A" w:rsidRPr="00C46C09">
        <w:rPr>
          <w:rFonts w:ascii="Times New Roman" w:hAnsi="Times New Roman" w:cs="Times New Roman"/>
        </w:rPr>
        <w:t xml:space="preserve">cattive </w:t>
      </w:r>
      <w:r w:rsidR="00F961D2" w:rsidRPr="00C46C09">
        <w:rPr>
          <w:rFonts w:ascii="Times New Roman" w:hAnsi="Times New Roman" w:cs="Times New Roman"/>
        </w:rPr>
        <w:t>a</w:t>
      </w:r>
      <w:r w:rsidR="0006124A" w:rsidRPr="00C46C09">
        <w:rPr>
          <w:rFonts w:ascii="Times New Roman" w:hAnsi="Times New Roman" w:cs="Times New Roman"/>
        </w:rPr>
        <w:t>bitudini della iper</w:t>
      </w:r>
      <w:r w:rsidR="00922010" w:rsidRPr="00C46C09">
        <w:rPr>
          <w:rFonts w:ascii="Times New Roman" w:hAnsi="Times New Roman" w:cs="Times New Roman"/>
        </w:rPr>
        <w:t>-</w:t>
      </w:r>
      <w:r w:rsidR="0006124A" w:rsidRPr="00C46C09">
        <w:rPr>
          <w:rFonts w:ascii="Times New Roman" w:hAnsi="Times New Roman" w:cs="Times New Roman"/>
        </w:rPr>
        <w:t>regolazione.</w:t>
      </w:r>
      <w:r w:rsidR="00B57A71" w:rsidRPr="00C46C09">
        <w:rPr>
          <w:rFonts w:ascii="Times New Roman" w:hAnsi="Times New Roman" w:cs="Times New Roman"/>
        </w:rPr>
        <w:t xml:space="preserve">  </w:t>
      </w:r>
      <w:r w:rsidR="005579A4" w:rsidRPr="00C46C09">
        <w:rPr>
          <w:rFonts w:ascii="Times New Roman" w:hAnsi="Times New Roman" w:cs="Times New Roman"/>
        </w:rPr>
        <w:t xml:space="preserve">    </w:t>
      </w:r>
    </w:p>
    <w:p w14:paraId="7DE38AF1" w14:textId="09B49E66" w:rsidR="0006124A" w:rsidRPr="00C46C09" w:rsidRDefault="001124E4" w:rsidP="00DC1597">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 xml:space="preserve">Il processo di “bonifica” dell’inquinamento normativo, </w:t>
      </w:r>
      <w:r w:rsidR="0006124A" w:rsidRPr="00C46C09">
        <w:rPr>
          <w:rFonts w:ascii="Times New Roman" w:hAnsi="Times New Roman" w:cs="Times New Roman"/>
        </w:rPr>
        <w:t xml:space="preserve">già virtuosamente </w:t>
      </w:r>
      <w:r w:rsidRPr="00C46C09">
        <w:rPr>
          <w:rFonts w:ascii="Times New Roman" w:hAnsi="Times New Roman" w:cs="Times New Roman"/>
        </w:rPr>
        <w:t>intrapreso con determinazione con gli interventi di delegificazione e di co</w:t>
      </w:r>
      <w:r w:rsidR="0006124A" w:rsidRPr="00C46C09">
        <w:rPr>
          <w:rFonts w:ascii="Times New Roman" w:hAnsi="Times New Roman" w:cs="Times New Roman"/>
        </w:rPr>
        <w:t>dificazione, dev’essere</w:t>
      </w:r>
      <w:r w:rsidR="00AB4A0E">
        <w:rPr>
          <w:rFonts w:ascii="Times New Roman" w:hAnsi="Times New Roman" w:cs="Times New Roman"/>
        </w:rPr>
        <w:t>, quindi,</w:t>
      </w:r>
      <w:r w:rsidRPr="00C46C09">
        <w:rPr>
          <w:rFonts w:ascii="Times New Roman" w:hAnsi="Times New Roman" w:cs="Times New Roman"/>
        </w:rPr>
        <w:t xml:space="preserve"> </w:t>
      </w:r>
      <w:r w:rsidR="0006124A" w:rsidRPr="00C46C09">
        <w:rPr>
          <w:rFonts w:ascii="Times New Roman" w:hAnsi="Times New Roman" w:cs="Times New Roman"/>
        </w:rPr>
        <w:t>proseguito e rafforzato</w:t>
      </w:r>
      <w:r w:rsidR="001C3611" w:rsidRPr="00C46C09">
        <w:rPr>
          <w:rStyle w:val="Rimandonotaapidipagina"/>
          <w:rFonts w:ascii="Times New Roman" w:hAnsi="Times New Roman" w:cs="Times New Roman"/>
        </w:rPr>
        <w:footnoteReference w:id="18"/>
      </w:r>
      <w:r w:rsidR="0006124A" w:rsidRPr="00C46C09">
        <w:rPr>
          <w:rFonts w:ascii="Times New Roman" w:hAnsi="Times New Roman" w:cs="Times New Roman"/>
        </w:rPr>
        <w:t>.</w:t>
      </w:r>
    </w:p>
    <w:p w14:paraId="1D56448D" w14:textId="73A1BF65" w:rsidR="001124E4" w:rsidRPr="00C46C09" w:rsidRDefault="0006124A" w:rsidP="00DC1597">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E non solo con l’affinamento delle istruzioni finalizzate a ridurre il numero di nuovi interventi leg</w:t>
      </w:r>
      <w:r w:rsidR="00D8220A">
        <w:rPr>
          <w:rFonts w:ascii="Times New Roman" w:hAnsi="Times New Roman" w:cs="Times New Roman"/>
        </w:rPr>
        <w:t>islativi e ad evitare l’introduzione di disposizioni inutili, confuse, sovrabbondanti, male istruite o sproporzionate</w:t>
      </w:r>
      <w:r w:rsidRPr="00C46C09">
        <w:rPr>
          <w:rFonts w:ascii="Times New Roman" w:hAnsi="Times New Roman" w:cs="Times New Roman"/>
        </w:rPr>
        <w:t xml:space="preserve">, ma anche con la diramazione di nuove indicazioni funzionali a ricondurre l’attività legislativa entro i confini ordinari, favorendo la presentazione di disegni di legge e riconducendo la decretazione d’urgenza nel suo alveo costituzionale. </w:t>
      </w:r>
      <w:r w:rsidR="001124E4" w:rsidRPr="00C46C09">
        <w:rPr>
          <w:rFonts w:ascii="Times New Roman" w:hAnsi="Times New Roman" w:cs="Times New Roman"/>
        </w:rPr>
        <w:t xml:space="preserve">   </w:t>
      </w:r>
    </w:p>
    <w:p w14:paraId="11909896" w14:textId="77777777" w:rsidR="00E30378" w:rsidRPr="00C46C09" w:rsidRDefault="0006124A" w:rsidP="00DC1597">
      <w:pPr>
        <w:autoSpaceDE w:val="0"/>
        <w:autoSpaceDN w:val="0"/>
        <w:adjustRightInd w:val="0"/>
        <w:spacing w:after="0" w:line="240" w:lineRule="auto"/>
        <w:ind w:firstLine="284"/>
        <w:contextualSpacing/>
        <w:jc w:val="both"/>
        <w:rPr>
          <w:rFonts w:ascii="Times New Roman" w:hAnsi="Times New Roman" w:cs="Times New Roman"/>
        </w:rPr>
      </w:pPr>
      <w:r w:rsidRPr="00C46C09">
        <w:rPr>
          <w:rFonts w:ascii="Times New Roman" w:hAnsi="Times New Roman" w:cs="Times New Roman"/>
        </w:rPr>
        <w:t>Sarà, quindi, necessario dedicare un’attenzione particolare al momento della ideazione dell’intervento.</w:t>
      </w:r>
    </w:p>
    <w:p w14:paraId="733A7148" w14:textId="12074F47" w:rsidR="00547B45" w:rsidRPr="00C46C09" w:rsidRDefault="00E30378" w:rsidP="00DC1597">
      <w:pPr>
        <w:spacing w:after="0" w:line="240" w:lineRule="auto"/>
        <w:ind w:firstLine="284"/>
        <w:contextualSpacing/>
        <w:jc w:val="both"/>
        <w:rPr>
          <w:rFonts w:ascii="Times New Roman" w:hAnsi="Times New Roman" w:cs="Times New Roman"/>
        </w:rPr>
      </w:pPr>
      <w:r w:rsidRPr="00C46C09">
        <w:rPr>
          <w:rFonts w:ascii="Times New Roman" w:hAnsi="Times New Roman" w:cs="Times New Roman"/>
        </w:rPr>
        <w:t xml:space="preserve">La progettazione di un provvedimento </w:t>
      </w:r>
      <w:r w:rsidR="00547B45" w:rsidRPr="00C46C09">
        <w:rPr>
          <w:rFonts w:ascii="Times New Roman" w:hAnsi="Times New Roman" w:cs="Times New Roman"/>
        </w:rPr>
        <w:t xml:space="preserve">rappresenta, infatti, la fase </w:t>
      </w:r>
      <w:r w:rsidR="001203AE">
        <w:rPr>
          <w:rFonts w:ascii="Times New Roman" w:hAnsi="Times New Roman" w:cs="Times New Roman"/>
        </w:rPr>
        <w:t>genetica</w:t>
      </w:r>
      <w:r w:rsidR="002C5717" w:rsidRPr="00C46C09">
        <w:rPr>
          <w:rFonts w:ascii="Times New Roman" w:hAnsi="Times New Roman" w:cs="Times New Roman"/>
        </w:rPr>
        <w:t xml:space="preserve"> </w:t>
      </w:r>
      <w:r w:rsidR="00547B45" w:rsidRPr="00C46C09">
        <w:rPr>
          <w:rFonts w:ascii="Times New Roman" w:hAnsi="Times New Roman" w:cs="Times New Roman"/>
        </w:rPr>
        <w:t>del processo normativo</w:t>
      </w:r>
      <w:r w:rsidR="00C84A7F" w:rsidRPr="00C46C09">
        <w:rPr>
          <w:rFonts w:ascii="Times New Roman" w:hAnsi="Times New Roman" w:cs="Times New Roman"/>
        </w:rPr>
        <w:t>:</w:t>
      </w:r>
      <w:r w:rsidR="00547B45" w:rsidRPr="00C46C09">
        <w:rPr>
          <w:rFonts w:ascii="Times New Roman" w:hAnsi="Times New Roman" w:cs="Times New Roman"/>
        </w:rPr>
        <w:t xml:space="preserve"> </w:t>
      </w:r>
      <w:r w:rsidR="005E3DC3" w:rsidRPr="00C46C09">
        <w:rPr>
          <w:rFonts w:ascii="Times New Roman" w:hAnsi="Times New Roman" w:cs="Times New Roman"/>
        </w:rPr>
        <w:t xml:space="preserve">quella </w:t>
      </w:r>
      <w:r w:rsidR="00547B45" w:rsidRPr="00C46C09">
        <w:rPr>
          <w:rFonts w:ascii="Times New Roman" w:hAnsi="Times New Roman" w:cs="Times New Roman"/>
        </w:rPr>
        <w:t>in cui l’Amministrazione che assume l’</w:t>
      </w:r>
      <w:r w:rsidR="00C84A7F" w:rsidRPr="00C46C09">
        <w:rPr>
          <w:rFonts w:ascii="Times New Roman" w:hAnsi="Times New Roman" w:cs="Times New Roman"/>
        </w:rPr>
        <w:t xml:space="preserve">iniziativa è chiamata a </w:t>
      </w:r>
      <w:r w:rsidR="001203AE">
        <w:rPr>
          <w:rFonts w:ascii="Times New Roman" w:hAnsi="Times New Roman" w:cs="Times New Roman"/>
        </w:rPr>
        <w:t xml:space="preserve">ideare l’intervento e a </w:t>
      </w:r>
      <w:r w:rsidR="00C84A7F" w:rsidRPr="00C46C09">
        <w:rPr>
          <w:rFonts w:ascii="Times New Roman" w:hAnsi="Times New Roman" w:cs="Times New Roman"/>
        </w:rPr>
        <w:t xml:space="preserve">selezionare </w:t>
      </w:r>
      <w:r w:rsidR="00547B45" w:rsidRPr="00C46C09">
        <w:rPr>
          <w:rFonts w:ascii="Times New Roman" w:hAnsi="Times New Roman" w:cs="Times New Roman"/>
        </w:rPr>
        <w:t xml:space="preserve">la </w:t>
      </w:r>
      <w:r w:rsidR="00C84A7F" w:rsidRPr="00C46C09">
        <w:rPr>
          <w:rFonts w:ascii="Times New Roman" w:hAnsi="Times New Roman" w:cs="Times New Roman"/>
        </w:rPr>
        <w:t xml:space="preserve">soluzione </w:t>
      </w:r>
      <w:r w:rsidR="00547B45" w:rsidRPr="00C46C09">
        <w:rPr>
          <w:rFonts w:ascii="Times New Roman" w:hAnsi="Times New Roman" w:cs="Times New Roman"/>
        </w:rPr>
        <w:t xml:space="preserve">più efficace </w:t>
      </w:r>
      <w:r w:rsidR="00AB4A0E">
        <w:rPr>
          <w:rFonts w:ascii="Times New Roman" w:hAnsi="Times New Roman" w:cs="Times New Roman"/>
        </w:rPr>
        <w:t xml:space="preserve">rispetto </w:t>
      </w:r>
      <w:r w:rsidR="00547B45" w:rsidRPr="00C46C09">
        <w:rPr>
          <w:rFonts w:ascii="Times New Roman" w:hAnsi="Times New Roman" w:cs="Times New Roman"/>
        </w:rPr>
        <w:t xml:space="preserve">alle specifiche istanze di regolazione </w:t>
      </w:r>
      <w:r w:rsidR="005E3DC3" w:rsidRPr="00C46C09">
        <w:rPr>
          <w:rFonts w:ascii="Times New Roman" w:hAnsi="Times New Roman" w:cs="Times New Roman"/>
        </w:rPr>
        <w:t>rilevate</w:t>
      </w:r>
      <w:r w:rsidR="00547B45" w:rsidRPr="00C46C09">
        <w:rPr>
          <w:rFonts w:ascii="Times New Roman" w:hAnsi="Times New Roman" w:cs="Times New Roman"/>
        </w:rPr>
        <w:t>.</w:t>
      </w:r>
    </w:p>
    <w:p w14:paraId="2418B93D" w14:textId="77777777" w:rsidR="00547B45" w:rsidRPr="00C46C09" w:rsidRDefault="00E30378" w:rsidP="00DC1597">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Tale fase</w:t>
      </w:r>
      <w:r w:rsidR="00547B45" w:rsidRPr="00C46C09">
        <w:rPr>
          <w:rFonts w:ascii="Times New Roman" w:hAnsi="Times New Roman" w:cs="Times New Roman"/>
        </w:rPr>
        <w:t xml:space="preserve"> costituisce, quindi, un momento cruciale nell’ambito dell’attività di regolazione: una corretta progettazione normativa consente, infatti, all’Amministrazione di pervenire a una scelta qualitativamente ponderata, favorendo in tal modo lo svolgimento di una </w:t>
      </w:r>
      <w:r w:rsidR="00C84A7F" w:rsidRPr="00C46C09">
        <w:rPr>
          <w:rFonts w:ascii="Times New Roman" w:hAnsi="Times New Roman" w:cs="Times New Roman"/>
        </w:rPr>
        <w:t>adeguata istruttoria</w:t>
      </w:r>
      <w:r w:rsidR="00547B45" w:rsidRPr="00C46C09">
        <w:rPr>
          <w:rFonts w:ascii="Times New Roman" w:hAnsi="Times New Roman" w:cs="Times New Roman"/>
        </w:rPr>
        <w:t xml:space="preserve"> e l’efficace </w:t>
      </w:r>
      <w:r w:rsidR="00C84A7F" w:rsidRPr="00C46C09">
        <w:rPr>
          <w:rFonts w:ascii="Times New Roman" w:hAnsi="Times New Roman" w:cs="Times New Roman"/>
        </w:rPr>
        <w:t xml:space="preserve">e tempestivo </w:t>
      </w:r>
      <w:r w:rsidR="00547B45" w:rsidRPr="00C46C09">
        <w:rPr>
          <w:rFonts w:ascii="Times New Roman" w:hAnsi="Times New Roman" w:cs="Times New Roman"/>
        </w:rPr>
        <w:t xml:space="preserve">impiego </w:t>
      </w:r>
      <w:r w:rsidR="00C84A7F" w:rsidRPr="00C46C09">
        <w:rPr>
          <w:rFonts w:ascii="Times New Roman" w:hAnsi="Times New Roman" w:cs="Times New Roman"/>
        </w:rPr>
        <w:t>degli strumenti finalizzati a garantire una</w:t>
      </w:r>
      <w:r w:rsidR="00547B45" w:rsidRPr="00C46C09">
        <w:rPr>
          <w:rFonts w:ascii="Times New Roman" w:hAnsi="Times New Roman" w:cs="Times New Roman"/>
        </w:rPr>
        <w:t xml:space="preserve"> buona qualità della regolazione.</w:t>
      </w:r>
    </w:p>
    <w:p w14:paraId="63872A28" w14:textId="4B547AF5" w:rsidR="00291EE5" w:rsidRPr="00C46C09" w:rsidRDefault="00693FEF" w:rsidP="00DC1597">
      <w:pPr>
        <w:pStyle w:val="Paragrafoelenco"/>
        <w:autoSpaceDE w:val="0"/>
        <w:autoSpaceDN w:val="0"/>
        <w:adjustRightInd w:val="0"/>
        <w:spacing w:after="0" w:line="240" w:lineRule="auto"/>
        <w:ind w:left="0" w:firstLine="284"/>
        <w:jc w:val="both"/>
        <w:rPr>
          <w:rFonts w:ascii="Times New Roman" w:hAnsi="Times New Roman" w:cs="Times New Roman"/>
        </w:rPr>
      </w:pPr>
      <w:r>
        <w:rPr>
          <w:rFonts w:ascii="Times New Roman" w:hAnsi="Times New Roman" w:cs="Times New Roman"/>
        </w:rPr>
        <w:t xml:space="preserve">In particolare, l’ideazione e </w:t>
      </w:r>
      <w:r w:rsidR="00291EE5" w:rsidRPr="00C46C09">
        <w:rPr>
          <w:rFonts w:ascii="Times New Roman" w:hAnsi="Times New Roman" w:cs="Times New Roman"/>
        </w:rPr>
        <w:t>la proget</w:t>
      </w:r>
      <w:r>
        <w:rPr>
          <w:rFonts w:ascii="Times New Roman" w:hAnsi="Times New Roman" w:cs="Times New Roman"/>
        </w:rPr>
        <w:t>tazione dell’intervento non devono</w:t>
      </w:r>
      <w:r w:rsidR="00291EE5" w:rsidRPr="00C46C09">
        <w:rPr>
          <w:rFonts w:ascii="Times New Roman" w:hAnsi="Times New Roman" w:cs="Times New Roman"/>
        </w:rPr>
        <w:t xml:space="preserve"> trascurare l’acquisizione di tutte le informazioni necessarie a fondare un’analisi d’impatto attendibile, che consegni, cioè, per un verso, all’Amministrazione dati affidabili circa i risultati attesi dall’applicazione dell’intervento proposto e che eviti, per un altro, l’adozione di provvedimenti normativi di</w:t>
      </w:r>
      <w:r w:rsidR="002B31C3">
        <w:rPr>
          <w:rFonts w:ascii="Times New Roman" w:hAnsi="Times New Roman" w:cs="Times New Roman"/>
        </w:rPr>
        <w:t xml:space="preserve"> difficile attuazione o</w:t>
      </w:r>
      <w:r>
        <w:rPr>
          <w:rFonts w:ascii="Times New Roman" w:hAnsi="Times New Roman" w:cs="Times New Roman"/>
        </w:rPr>
        <w:t xml:space="preserve"> del tutto inidonei a raggiungere</w:t>
      </w:r>
      <w:r w:rsidR="00291EE5" w:rsidRPr="00C46C09">
        <w:rPr>
          <w:rFonts w:ascii="Times New Roman" w:hAnsi="Times New Roman" w:cs="Times New Roman"/>
        </w:rPr>
        <w:t>, in concreto, gli obiettivi perseguiti</w:t>
      </w:r>
      <w:r w:rsidR="00D8220A">
        <w:rPr>
          <w:rFonts w:ascii="Times New Roman" w:hAnsi="Times New Roman" w:cs="Times New Roman"/>
        </w:rPr>
        <w:t xml:space="preserve"> </w:t>
      </w:r>
      <w:r w:rsidR="002B31C3">
        <w:rPr>
          <w:rFonts w:ascii="Times New Roman" w:hAnsi="Times New Roman" w:cs="Times New Roman"/>
        </w:rPr>
        <w:t xml:space="preserve">ovvero, peggio ancora, capaci di produrre risultati opposti a quelli voluti </w:t>
      </w:r>
      <w:r w:rsidR="00D8220A">
        <w:rPr>
          <w:rFonts w:ascii="Times New Roman" w:hAnsi="Times New Roman" w:cs="Times New Roman"/>
        </w:rPr>
        <w:t>(secondo la perversa dinamica dell’eterogenesi dei fini)</w:t>
      </w:r>
      <w:r w:rsidR="00291EE5" w:rsidRPr="00C46C09">
        <w:rPr>
          <w:rFonts w:ascii="Times New Roman" w:hAnsi="Times New Roman" w:cs="Times New Roman"/>
        </w:rPr>
        <w:t xml:space="preserve">. </w:t>
      </w:r>
    </w:p>
    <w:p w14:paraId="536927EE" w14:textId="64EA38FE" w:rsidR="005E3DC3" w:rsidRPr="00C46C09" w:rsidRDefault="00FF149C" w:rsidP="00DC1597">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 xml:space="preserve">È, </w:t>
      </w:r>
      <w:r w:rsidR="009A2AF2" w:rsidRPr="00C46C09">
        <w:rPr>
          <w:rFonts w:ascii="Times New Roman" w:hAnsi="Times New Roman" w:cs="Times New Roman"/>
        </w:rPr>
        <w:t>dunque,</w:t>
      </w:r>
      <w:r w:rsidRPr="00C46C09">
        <w:rPr>
          <w:rFonts w:ascii="Times New Roman" w:hAnsi="Times New Roman" w:cs="Times New Roman"/>
        </w:rPr>
        <w:t xml:space="preserve"> </w:t>
      </w:r>
      <w:r w:rsidR="005E3DC3" w:rsidRPr="00C46C09">
        <w:rPr>
          <w:rFonts w:ascii="Times New Roman" w:hAnsi="Times New Roman" w:cs="Times New Roman"/>
        </w:rPr>
        <w:t>necessario i</w:t>
      </w:r>
      <w:r w:rsidRPr="00C46C09">
        <w:rPr>
          <w:rFonts w:ascii="Times New Roman" w:hAnsi="Times New Roman" w:cs="Times New Roman"/>
        </w:rPr>
        <w:t xml:space="preserve">ntervenire su questa fase con regole </w:t>
      </w:r>
      <w:r w:rsidR="006A2E30" w:rsidRPr="00C46C09">
        <w:rPr>
          <w:rFonts w:ascii="Times New Roman" w:hAnsi="Times New Roman" w:cs="Times New Roman"/>
        </w:rPr>
        <w:t xml:space="preserve">e </w:t>
      </w:r>
      <w:r w:rsidRPr="00C46C09">
        <w:rPr>
          <w:rFonts w:ascii="Times New Roman" w:hAnsi="Times New Roman" w:cs="Times New Roman"/>
        </w:rPr>
        <w:t xml:space="preserve">indicazioni </w:t>
      </w:r>
      <w:r w:rsidR="005E3DC3" w:rsidRPr="00C46C09">
        <w:rPr>
          <w:rFonts w:ascii="Times New Roman" w:hAnsi="Times New Roman" w:cs="Times New Roman"/>
        </w:rPr>
        <w:t>che servano a concepire un intervento effettivamente coerente con le esigenze regolatorie registrate, senza escludere, ovviamente, l’opzione di non intervento</w:t>
      </w:r>
      <w:r w:rsidR="00291EE5" w:rsidRPr="00C46C09">
        <w:rPr>
          <w:rFonts w:ascii="Times New Roman" w:hAnsi="Times New Roman" w:cs="Times New Roman"/>
        </w:rPr>
        <w:t>,</w:t>
      </w:r>
      <w:r w:rsidR="005E3DC3" w:rsidRPr="00C46C09">
        <w:rPr>
          <w:rFonts w:ascii="Times New Roman" w:hAnsi="Times New Roman" w:cs="Times New Roman"/>
        </w:rPr>
        <w:t xml:space="preserve"> e indirizzando le Amministrazioni verso la costruzione di una proposta adeguatamente istruita, efficace, coerente con il segmento ordinamentale nel quale si inserisce</w:t>
      </w:r>
      <w:r w:rsidR="00693FEF">
        <w:rPr>
          <w:rFonts w:ascii="Times New Roman" w:hAnsi="Times New Roman" w:cs="Times New Roman"/>
        </w:rPr>
        <w:t>, conforme all’articolazione costituzionale ed europea del sistema delle fonti</w:t>
      </w:r>
      <w:r w:rsidR="005E3DC3" w:rsidRPr="00C46C09">
        <w:rPr>
          <w:rFonts w:ascii="Times New Roman" w:hAnsi="Times New Roman" w:cs="Times New Roman"/>
        </w:rPr>
        <w:t xml:space="preserve"> e proporzionata allo scopo che si intende perseguire.</w:t>
      </w:r>
    </w:p>
    <w:p w14:paraId="042DC8C8" w14:textId="77777777" w:rsidR="007D57CE" w:rsidRPr="00C46C09" w:rsidRDefault="007D57CE" w:rsidP="006277A5">
      <w:pPr>
        <w:pStyle w:val="Paragrafoelenco"/>
        <w:autoSpaceDE w:val="0"/>
        <w:autoSpaceDN w:val="0"/>
        <w:adjustRightInd w:val="0"/>
        <w:spacing w:after="0" w:line="240" w:lineRule="auto"/>
        <w:ind w:left="0"/>
        <w:jc w:val="both"/>
        <w:rPr>
          <w:rFonts w:ascii="Times New Roman" w:hAnsi="Times New Roman" w:cs="Times New Roman"/>
        </w:rPr>
      </w:pPr>
    </w:p>
    <w:p w14:paraId="6B7C42AC" w14:textId="689029BC" w:rsidR="007D57CE" w:rsidRPr="00C46C09" w:rsidRDefault="00AE34ED" w:rsidP="00E83420">
      <w:pPr>
        <w:pStyle w:val="Paragrafoelenco"/>
        <w:tabs>
          <w:tab w:val="left" w:pos="426"/>
        </w:tabs>
        <w:autoSpaceDE w:val="0"/>
        <w:autoSpaceDN w:val="0"/>
        <w:adjustRightInd w:val="0"/>
        <w:spacing w:after="0" w:line="240" w:lineRule="auto"/>
        <w:ind w:left="0"/>
        <w:jc w:val="both"/>
        <w:rPr>
          <w:rFonts w:ascii="Times New Roman" w:hAnsi="Times New Roman" w:cs="Times New Roman"/>
          <w:b/>
          <w:bCs/>
        </w:rPr>
      </w:pPr>
      <w:r w:rsidRPr="00C46C09">
        <w:rPr>
          <w:rFonts w:ascii="Times New Roman" w:hAnsi="Times New Roman" w:cs="Times New Roman"/>
          <w:b/>
          <w:bCs/>
        </w:rPr>
        <w:t>3</w:t>
      </w:r>
      <w:r w:rsidR="007D57CE" w:rsidRPr="00C46C09">
        <w:rPr>
          <w:rFonts w:ascii="Times New Roman" w:hAnsi="Times New Roman" w:cs="Times New Roman"/>
          <w:b/>
          <w:bCs/>
        </w:rPr>
        <w:t xml:space="preserve">. </w:t>
      </w:r>
      <w:r w:rsidR="00393E11" w:rsidRPr="00C46C09">
        <w:rPr>
          <w:rFonts w:ascii="Times New Roman" w:hAnsi="Times New Roman" w:cs="Times New Roman"/>
          <w:b/>
          <w:bCs/>
        </w:rPr>
        <w:t>L’</w:t>
      </w:r>
      <w:r w:rsidR="002849D4" w:rsidRPr="00C46C09">
        <w:rPr>
          <w:rFonts w:ascii="Times New Roman" w:hAnsi="Times New Roman" w:cs="Times New Roman"/>
          <w:b/>
          <w:bCs/>
        </w:rPr>
        <w:t xml:space="preserve"> “</w:t>
      </w:r>
      <w:r w:rsidR="00393E11" w:rsidRPr="00C46C09">
        <w:rPr>
          <w:rFonts w:ascii="Times New Roman" w:hAnsi="Times New Roman" w:cs="Times New Roman"/>
          <w:b/>
          <w:bCs/>
        </w:rPr>
        <w:t>abuso della legge” e la necessità di definire i</w:t>
      </w:r>
      <w:r w:rsidR="007D57CE" w:rsidRPr="00C46C09">
        <w:rPr>
          <w:rFonts w:ascii="Times New Roman" w:hAnsi="Times New Roman" w:cs="Times New Roman"/>
          <w:b/>
          <w:bCs/>
        </w:rPr>
        <w:t xml:space="preserve"> canoni di una legislazione necessaria, ordinata e coerente.</w:t>
      </w:r>
    </w:p>
    <w:p w14:paraId="15D7551F" w14:textId="4AAAE706" w:rsidR="0077582F" w:rsidRPr="00C46C09" w:rsidRDefault="007D57CE"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 xml:space="preserve">L’esigenza di revisione delle circolari sul </w:t>
      </w:r>
      <w:r w:rsidR="00C04C08" w:rsidRPr="00C04C08">
        <w:rPr>
          <w:rFonts w:ascii="Times New Roman" w:hAnsi="Times New Roman" w:cs="Times New Roman"/>
          <w:bCs/>
          <w:i/>
        </w:rPr>
        <w:t>drafting</w:t>
      </w:r>
      <w:r w:rsidRPr="00C46C09">
        <w:rPr>
          <w:rFonts w:ascii="Times New Roman" w:hAnsi="Times New Roman" w:cs="Times New Roman"/>
          <w:bCs/>
        </w:rPr>
        <w:t xml:space="preserve"> non si esaurisce, tuttavia, con l’indicazione di istruzioni più puntali e mirate alla fase del concepimento dell’intervento normativo, ma comprende anche la necessità di precisare meglio gli ambiti della legislazione di rango primario, di ridurre il fenomeno del rinvio a provvedimenti attuativi secondari, di </w:t>
      </w:r>
      <w:r w:rsidR="00514F78" w:rsidRPr="00C46C09">
        <w:rPr>
          <w:rFonts w:ascii="Times New Roman" w:hAnsi="Times New Roman" w:cs="Times New Roman"/>
          <w:bCs/>
        </w:rPr>
        <w:t xml:space="preserve">scoraggiare e </w:t>
      </w:r>
      <w:r w:rsidRPr="00C46C09">
        <w:rPr>
          <w:rFonts w:ascii="Times New Roman" w:hAnsi="Times New Roman" w:cs="Times New Roman"/>
          <w:bCs/>
        </w:rPr>
        <w:t xml:space="preserve">limitare interventi asistematici, di </w:t>
      </w:r>
      <w:r w:rsidR="0077582F" w:rsidRPr="00C46C09">
        <w:rPr>
          <w:rFonts w:ascii="Times New Roman" w:hAnsi="Times New Roman" w:cs="Times New Roman"/>
          <w:bCs/>
        </w:rPr>
        <w:t>favorire l’utilizzo degli strumenti ordinari di esercizio dell’iniziativa normativa del Governo, riconducendo, ove possibile, la decretazione d’urgenza entro i più appropriati confini costituzionali</w:t>
      </w:r>
      <w:r w:rsidR="00464E41" w:rsidRPr="00C46C09">
        <w:rPr>
          <w:rStyle w:val="Rimandonotaapidipagina"/>
          <w:rFonts w:ascii="Times New Roman" w:hAnsi="Times New Roman" w:cs="Times New Roman"/>
          <w:bCs/>
        </w:rPr>
        <w:footnoteReference w:id="19"/>
      </w:r>
      <w:r w:rsidR="0077582F" w:rsidRPr="00C46C09">
        <w:rPr>
          <w:rFonts w:ascii="Times New Roman" w:hAnsi="Times New Roman" w:cs="Times New Roman"/>
          <w:bCs/>
        </w:rPr>
        <w:t>.</w:t>
      </w:r>
    </w:p>
    <w:p w14:paraId="00E950E5" w14:textId="2935A293" w:rsidR="00514F78" w:rsidRPr="00C46C09" w:rsidRDefault="00393E11"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Si è potuto</w:t>
      </w:r>
      <w:r w:rsidR="00514F78" w:rsidRPr="00C46C09">
        <w:rPr>
          <w:rFonts w:ascii="Times New Roman" w:hAnsi="Times New Roman" w:cs="Times New Roman"/>
          <w:bCs/>
        </w:rPr>
        <w:t xml:space="preserve"> registrare, in particolare, </w:t>
      </w:r>
      <w:r w:rsidRPr="00C46C09">
        <w:rPr>
          <w:rFonts w:ascii="Times New Roman" w:hAnsi="Times New Roman" w:cs="Times New Roman"/>
          <w:bCs/>
        </w:rPr>
        <w:t xml:space="preserve">negli ultimi anni </w:t>
      </w:r>
      <w:r w:rsidR="00514F78" w:rsidRPr="00C46C09">
        <w:rPr>
          <w:rFonts w:ascii="Times New Roman" w:hAnsi="Times New Roman" w:cs="Times New Roman"/>
          <w:bCs/>
        </w:rPr>
        <w:t>un “abuso della legge” e, cioè, un eccessivo e inappropriato ricorso alla fonte legislativa anche per la formal</w:t>
      </w:r>
      <w:r w:rsidR="007F2E6C">
        <w:rPr>
          <w:rFonts w:ascii="Times New Roman" w:hAnsi="Times New Roman" w:cs="Times New Roman"/>
          <w:bCs/>
        </w:rPr>
        <w:t>izzazione di regole, istruzioni o</w:t>
      </w:r>
      <w:r w:rsidR="00514F78" w:rsidRPr="00C46C09">
        <w:rPr>
          <w:rFonts w:ascii="Times New Roman" w:hAnsi="Times New Roman" w:cs="Times New Roman"/>
          <w:bCs/>
        </w:rPr>
        <w:t xml:space="preserve"> indirizzi che </w:t>
      </w:r>
      <w:r w:rsidRPr="00C46C09">
        <w:rPr>
          <w:rFonts w:ascii="Times New Roman" w:hAnsi="Times New Roman" w:cs="Times New Roman"/>
          <w:bCs/>
        </w:rPr>
        <w:t>potrebbero</w:t>
      </w:r>
      <w:r w:rsidR="00514F78" w:rsidRPr="00C46C09">
        <w:rPr>
          <w:rFonts w:ascii="Times New Roman" w:hAnsi="Times New Roman" w:cs="Times New Roman"/>
          <w:bCs/>
        </w:rPr>
        <w:t>, più correttamente, essere adottati con fonti d</w:t>
      </w:r>
      <w:r w:rsidR="001945B4">
        <w:rPr>
          <w:rFonts w:ascii="Times New Roman" w:hAnsi="Times New Roman" w:cs="Times New Roman"/>
          <w:bCs/>
        </w:rPr>
        <w:t>i rango secondario</w:t>
      </w:r>
      <w:r w:rsidR="00514F78" w:rsidRPr="00C46C09">
        <w:rPr>
          <w:rFonts w:ascii="Times New Roman" w:hAnsi="Times New Roman" w:cs="Times New Roman"/>
          <w:bCs/>
        </w:rPr>
        <w:t xml:space="preserve"> o, spesso, in via amministrativa.</w:t>
      </w:r>
    </w:p>
    <w:p w14:paraId="11D11160" w14:textId="6F0252FA" w:rsidR="00514F78" w:rsidRPr="00C46C09" w:rsidRDefault="00514F78"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Ancorchè risulti velleitaria e non praticabile la codificazione delle fattispecie che devono essere regolate con legge (oltre, ovviamen</w:t>
      </w:r>
      <w:r w:rsidR="007F2E6C">
        <w:rPr>
          <w:rFonts w:ascii="Times New Roman" w:hAnsi="Times New Roman" w:cs="Times New Roman"/>
          <w:bCs/>
        </w:rPr>
        <w:t>te, al catalogo</w:t>
      </w:r>
      <w:r w:rsidRPr="00C46C09">
        <w:rPr>
          <w:rFonts w:ascii="Times New Roman" w:hAnsi="Times New Roman" w:cs="Times New Roman"/>
          <w:bCs/>
        </w:rPr>
        <w:t xml:space="preserve"> </w:t>
      </w:r>
      <w:r w:rsidR="007F2E6C">
        <w:rPr>
          <w:rFonts w:ascii="Times New Roman" w:hAnsi="Times New Roman" w:cs="Times New Roman"/>
          <w:bCs/>
        </w:rPr>
        <w:t>delle materie</w:t>
      </w:r>
      <w:r w:rsidRPr="00C46C09">
        <w:rPr>
          <w:rFonts w:ascii="Times New Roman" w:hAnsi="Times New Roman" w:cs="Times New Roman"/>
          <w:bCs/>
        </w:rPr>
        <w:t xml:space="preserve"> coperte da riserva di legge), appare, nondimeno, utile raccomandare alle Amministrazioni di verificare, prima di proporre un intervento legislativo, se l’esigenza regola</w:t>
      </w:r>
      <w:r w:rsidR="00E703B8">
        <w:rPr>
          <w:rFonts w:ascii="Times New Roman" w:hAnsi="Times New Roman" w:cs="Times New Roman"/>
          <w:bCs/>
        </w:rPr>
        <w:t>toria non possa essere parimenti</w:t>
      </w:r>
      <w:r w:rsidRPr="00C46C09">
        <w:rPr>
          <w:rFonts w:ascii="Times New Roman" w:hAnsi="Times New Roman" w:cs="Times New Roman"/>
          <w:bCs/>
        </w:rPr>
        <w:t xml:space="preserve"> soddisfatta </w:t>
      </w:r>
      <w:r w:rsidR="00393E11" w:rsidRPr="00C46C09">
        <w:rPr>
          <w:rFonts w:ascii="Times New Roman" w:hAnsi="Times New Roman" w:cs="Times New Roman"/>
          <w:bCs/>
        </w:rPr>
        <w:t xml:space="preserve">(sempre in ossequio al principio di legalità, ovviamente) </w:t>
      </w:r>
      <w:r w:rsidRPr="00C46C09">
        <w:rPr>
          <w:rFonts w:ascii="Times New Roman" w:hAnsi="Times New Roman" w:cs="Times New Roman"/>
          <w:bCs/>
        </w:rPr>
        <w:t>con atti normativi di livello</w:t>
      </w:r>
      <w:r w:rsidR="000771A2">
        <w:rPr>
          <w:rFonts w:ascii="Times New Roman" w:hAnsi="Times New Roman" w:cs="Times New Roman"/>
          <w:bCs/>
        </w:rPr>
        <w:t xml:space="preserve"> secondario</w:t>
      </w:r>
      <w:r w:rsidRPr="00C46C09">
        <w:rPr>
          <w:rFonts w:ascii="Times New Roman" w:hAnsi="Times New Roman" w:cs="Times New Roman"/>
          <w:bCs/>
        </w:rPr>
        <w:t>, con strumenti di regolazione flessibile o con atti amministrativi generali (quali direttive o circolari).</w:t>
      </w:r>
    </w:p>
    <w:p w14:paraId="1C943B7D" w14:textId="77777777" w:rsidR="00E563D3" w:rsidRPr="00C46C09" w:rsidRDefault="00E563D3"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Allo stesso modo, la legislazione dovrebbe restare circoscritta alle sole norme che producono effetti giuridici, evitando, quindi, l’approvazione di “disposizioni” meramente programmatiche o enunciative di principi, che, pur conservan</w:t>
      </w:r>
      <w:r w:rsidR="002D6505" w:rsidRPr="00C46C09">
        <w:rPr>
          <w:rFonts w:ascii="Times New Roman" w:hAnsi="Times New Roman" w:cs="Times New Roman"/>
          <w:bCs/>
        </w:rPr>
        <w:t>d</w:t>
      </w:r>
      <w:r w:rsidRPr="00C46C09">
        <w:rPr>
          <w:rFonts w:ascii="Times New Roman" w:hAnsi="Times New Roman" w:cs="Times New Roman"/>
          <w:bCs/>
        </w:rPr>
        <w:t>o, un chiaro significato politico, restano del tutto sprovviste di “capacità” di innovazione dell’ordinamento giuridico.</w:t>
      </w:r>
    </w:p>
    <w:p w14:paraId="7DBADE72" w14:textId="548BF0ED" w:rsidR="00514F78" w:rsidRPr="00C46C09" w:rsidRDefault="00E703B8"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Pr>
          <w:rFonts w:ascii="Times New Roman" w:hAnsi="Times New Roman" w:cs="Times New Roman"/>
          <w:bCs/>
        </w:rPr>
        <w:t>Un’attenta analisi di tali profili</w:t>
      </w:r>
      <w:r w:rsidR="00514F78" w:rsidRPr="00C46C09">
        <w:rPr>
          <w:rFonts w:ascii="Times New Roman" w:hAnsi="Times New Roman" w:cs="Times New Roman"/>
          <w:bCs/>
        </w:rPr>
        <w:t xml:space="preserve"> contribu</w:t>
      </w:r>
      <w:r w:rsidR="00910276" w:rsidRPr="00C46C09">
        <w:rPr>
          <w:rFonts w:ascii="Times New Roman" w:hAnsi="Times New Roman" w:cs="Times New Roman"/>
          <w:bCs/>
        </w:rPr>
        <w:t>i</w:t>
      </w:r>
      <w:r w:rsidR="00514F78" w:rsidRPr="00C46C09">
        <w:rPr>
          <w:rFonts w:ascii="Times New Roman" w:hAnsi="Times New Roman" w:cs="Times New Roman"/>
          <w:bCs/>
        </w:rPr>
        <w:t>rebbe ad alleg</w:t>
      </w:r>
      <w:r w:rsidR="00910276" w:rsidRPr="00C46C09">
        <w:rPr>
          <w:rFonts w:ascii="Times New Roman" w:hAnsi="Times New Roman" w:cs="Times New Roman"/>
          <w:bCs/>
        </w:rPr>
        <w:t>g</w:t>
      </w:r>
      <w:r w:rsidR="00514F78" w:rsidRPr="00C46C09">
        <w:rPr>
          <w:rFonts w:ascii="Times New Roman" w:hAnsi="Times New Roman" w:cs="Times New Roman"/>
          <w:bCs/>
        </w:rPr>
        <w:t xml:space="preserve">erire il carico della normazione primaria e </w:t>
      </w:r>
      <w:r w:rsidR="00922010" w:rsidRPr="00C46C09">
        <w:rPr>
          <w:rFonts w:ascii="Times New Roman" w:hAnsi="Times New Roman" w:cs="Times New Roman"/>
          <w:bCs/>
        </w:rPr>
        <w:t xml:space="preserve">a </w:t>
      </w:r>
      <w:r w:rsidR="00514F78" w:rsidRPr="00C46C09">
        <w:rPr>
          <w:rFonts w:ascii="Times New Roman" w:hAnsi="Times New Roman" w:cs="Times New Roman"/>
          <w:bCs/>
        </w:rPr>
        <w:t>ricondurl</w:t>
      </w:r>
      <w:r w:rsidR="00922010" w:rsidRPr="00C46C09">
        <w:rPr>
          <w:rFonts w:ascii="Times New Roman" w:hAnsi="Times New Roman" w:cs="Times New Roman"/>
          <w:bCs/>
        </w:rPr>
        <w:t>a</w:t>
      </w:r>
      <w:r w:rsidR="00514F78" w:rsidRPr="00C46C09">
        <w:rPr>
          <w:rFonts w:ascii="Times New Roman" w:hAnsi="Times New Roman" w:cs="Times New Roman"/>
          <w:bCs/>
        </w:rPr>
        <w:t xml:space="preserve"> entro</w:t>
      </w:r>
      <w:r w:rsidR="00910276" w:rsidRPr="00C46C09">
        <w:rPr>
          <w:rFonts w:ascii="Times New Roman" w:hAnsi="Times New Roman" w:cs="Times New Roman"/>
          <w:bCs/>
        </w:rPr>
        <w:t xml:space="preserve"> </w:t>
      </w:r>
      <w:r w:rsidR="00514F78" w:rsidRPr="00C46C09">
        <w:rPr>
          <w:rFonts w:ascii="Times New Roman" w:hAnsi="Times New Roman" w:cs="Times New Roman"/>
          <w:bCs/>
        </w:rPr>
        <w:t>i</w:t>
      </w:r>
      <w:r>
        <w:rPr>
          <w:rFonts w:ascii="Times New Roman" w:hAnsi="Times New Roman" w:cs="Times New Roman"/>
          <w:bCs/>
        </w:rPr>
        <w:t>l più appropriato</w:t>
      </w:r>
      <w:r w:rsidR="00514F78" w:rsidRPr="00C46C09">
        <w:rPr>
          <w:rFonts w:ascii="Times New Roman" w:hAnsi="Times New Roman" w:cs="Times New Roman"/>
          <w:bCs/>
        </w:rPr>
        <w:t xml:space="preserve"> </w:t>
      </w:r>
      <w:r>
        <w:rPr>
          <w:rFonts w:ascii="Times New Roman" w:hAnsi="Times New Roman" w:cs="Times New Roman"/>
          <w:bCs/>
        </w:rPr>
        <w:t>perimetro</w:t>
      </w:r>
      <w:r w:rsidR="00514F78" w:rsidRPr="00C46C09">
        <w:rPr>
          <w:rFonts w:ascii="Times New Roman" w:hAnsi="Times New Roman" w:cs="Times New Roman"/>
          <w:bCs/>
        </w:rPr>
        <w:t xml:space="preserve"> </w:t>
      </w:r>
      <w:r w:rsidR="00910276" w:rsidRPr="00C46C09">
        <w:rPr>
          <w:rFonts w:ascii="Times New Roman" w:hAnsi="Times New Roman" w:cs="Times New Roman"/>
          <w:bCs/>
        </w:rPr>
        <w:t xml:space="preserve">della legislazione necessaria, limitando, in ultima analisi, o eliminando il fenomeno dell’inflazione legislativa. </w:t>
      </w:r>
    </w:p>
    <w:p w14:paraId="04F4AE2C" w14:textId="3F91C4F1" w:rsidR="00910276" w:rsidRPr="00C46C09" w:rsidRDefault="00910276"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Là dove la predetta verifica imponesse l’adozione di un atto normativo di rango primario (ad esempio per gli interventi che costituiscono diritti o</w:t>
      </w:r>
      <w:r w:rsidR="00A93614" w:rsidRPr="00C46C09">
        <w:rPr>
          <w:rFonts w:ascii="Times New Roman" w:hAnsi="Times New Roman" w:cs="Times New Roman"/>
          <w:bCs/>
        </w:rPr>
        <w:t>d</w:t>
      </w:r>
      <w:r w:rsidRPr="00C46C09">
        <w:rPr>
          <w:rFonts w:ascii="Times New Roman" w:hAnsi="Times New Roman" w:cs="Times New Roman"/>
          <w:bCs/>
        </w:rPr>
        <w:t xml:space="preserve"> obbligazioni dei consociati), le Amministrazioni dovrebbero, in ogni caso, impegnarsi a costruire norme di legge autoapplicative, limitando a</w:t>
      </w:r>
      <w:r w:rsidR="00E8588D">
        <w:rPr>
          <w:rFonts w:ascii="Times New Roman" w:hAnsi="Times New Roman" w:cs="Times New Roman"/>
          <w:bCs/>
        </w:rPr>
        <w:t>i casi strettamente necessari</w:t>
      </w:r>
      <w:r w:rsidRPr="00C46C09">
        <w:rPr>
          <w:rFonts w:ascii="Times New Roman" w:hAnsi="Times New Roman" w:cs="Times New Roman"/>
          <w:bCs/>
        </w:rPr>
        <w:t xml:space="preserve"> il rinvio a provvedimenti attuativi</w:t>
      </w:r>
      <w:r w:rsidR="00425DB5" w:rsidRPr="00C46C09">
        <w:rPr>
          <w:rFonts w:ascii="Times New Roman" w:hAnsi="Times New Roman" w:cs="Times New Roman"/>
          <w:bCs/>
        </w:rPr>
        <w:t xml:space="preserve"> (il cui abuso ha determinato, negli anni, l’aggravamento dello stock di norme rimaste inattuate e che il Governo Draghi sta efficacemente tentando di ridurre con un rinnovato e determinato impulso</w:t>
      </w:r>
      <w:r w:rsidR="000E624C" w:rsidRPr="00C46C09">
        <w:rPr>
          <w:rStyle w:val="Rimandonotaapidipagina"/>
          <w:rFonts w:ascii="Times New Roman" w:hAnsi="Times New Roman" w:cs="Times New Roman"/>
          <w:bCs/>
        </w:rPr>
        <w:footnoteReference w:id="20"/>
      </w:r>
      <w:r w:rsidR="00425DB5" w:rsidRPr="00C46C09">
        <w:rPr>
          <w:rFonts w:ascii="Times New Roman" w:hAnsi="Times New Roman" w:cs="Times New Roman"/>
          <w:bCs/>
        </w:rPr>
        <w:t>)</w:t>
      </w:r>
      <w:r w:rsidRPr="00C46C09">
        <w:rPr>
          <w:rFonts w:ascii="Times New Roman" w:hAnsi="Times New Roman" w:cs="Times New Roman"/>
          <w:bCs/>
        </w:rPr>
        <w:t>.</w:t>
      </w:r>
    </w:p>
    <w:p w14:paraId="39CA7553" w14:textId="77777777" w:rsidR="00910276" w:rsidRPr="00C46C09" w:rsidRDefault="00910276"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Si dovranno, in particolare, indirizzare alle Amministrazioni istru</w:t>
      </w:r>
      <w:r w:rsidR="002D6505" w:rsidRPr="00C46C09">
        <w:rPr>
          <w:rFonts w:ascii="Times New Roman" w:hAnsi="Times New Roman" w:cs="Times New Roman"/>
          <w:bCs/>
        </w:rPr>
        <w:t>zioni finalizzate a catalogare</w:t>
      </w:r>
      <w:r w:rsidRPr="00C46C09">
        <w:rPr>
          <w:rFonts w:ascii="Times New Roman" w:hAnsi="Times New Roman" w:cs="Times New Roman"/>
          <w:bCs/>
        </w:rPr>
        <w:t xml:space="preserve"> </w:t>
      </w:r>
      <w:r w:rsidR="002D6505" w:rsidRPr="00C46C09">
        <w:rPr>
          <w:rFonts w:ascii="Times New Roman" w:hAnsi="Times New Roman" w:cs="Times New Roman"/>
          <w:bCs/>
        </w:rPr>
        <w:t xml:space="preserve">(per quanto possibile) </w:t>
      </w:r>
      <w:r w:rsidRPr="00C46C09">
        <w:rPr>
          <w:rFonts w:ascii="Times New Roman" w:hAnsi="Times New Roman" w:cs="Times New Roman"/>
          <w:bCs/>
        </w:rPr>
        <w:t>le situazioni che ammettono il rinvio ad atti applicativi secondari, rammentando, inoltre, che l’attuazione di disposizioni legislative</w:t>
      </w:r>
      <w:r w:rsidR="008930D6" w:rsidRPr="00C46C09">
        <w:rPr>
          <w:rFonts w:ascii="Times New Roman" w:hAnsi="Times New Roman" w:cs="Times New Roman"/>
          <w:bCs/>
        </w:rPr>
        <w:t>, quando non esige l’introduzione di una normazione secondaria,</w:t>
      </w:r>
      <w:r w:rsidRPr="00C46C09">
        <w:rPr>
          <w:rFonts w:ascii="Times New Roman" w:hAnsi="Times New Roman" w:cs="Times New Roman"/>
          <w:bCs/>
        </w:rPr>
        <w:t xml:space="preserve"> può restare affidata </w:t>
      </w:r>
      <w:r w:rsidR="008930D6" w:rsidRPr="00C46C09">
        <w:rPr>
          <w:rFonts w:ascii="Times New Roman" w:hAnsi="Times New Roman" w:cs="Times New Roman"/>
          <w:bCs/>
        </w:rPr>
        <w:t xml:space="preserve">ad atti amministrativi generali di indirizzo, senza la necessità di menzionarne in legge termini e tipologia. </w:t>
      </w:r>
      <w:r w:rsidRPr="00C46C09">
        <w:rPr>
          <w:rFonts w:ascii="Times New Roman" w:hAnsi="Times New Roman" w:cs="Times New Roman"/>
          <w:bCs/>
        </w:rPr>
        <w:t xml:space="preserve"> </w:t>
      </w:r>
    </w:p>
    <w:p w14:paraId="4E3B2F56" w14:textId="77777777" w:rsidR="00E703B8" w:rsidRDefault="00CB4BF2" w:rsidP="00E703B8">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 xml:space="preserve">Laddove non fosse possibile esaurire la disciplina normativa nella fonte primaria, </w:t>
      </w:r>
      <w:r w:rsidR="00A93614" w:rsidRPr="00C46C09">
        <w:rPr>
          <w:rFonts w:ascii="Times New Roman" w:hAnsi="Times New Roman" w:cs="Times New Roman"/>
          <w:bCs/>
        </w:rPr>
        <w:t>si dovrà</w:t>
      </w:r>
      <w:r w:rsidR="001A50A6" w:rsidRPr="00C46C09">
        <w:rPr>
          <w:rFonts w:ascii="Times New Roman" w:hAnsi="Times New Roman" w:cs="Times New Roman"/>
          <w:bCs/>
        </w:rPr>
        <w:t xml:space="preserve"> assicurare</w:t>
      </w:r>
      <w:r w:rsidRPr="00C46C09">
        <w:rPr>
          <w:rFonts w:ascii="Times New Roman" w:hAnsi="Times New Roman" w:cs="Times New Roman"/>
          <w:bCs/>
        </w:rPr>
        <w:t xml:space="preserve">, al fine di rendere meno </w:t>
      </w:r>
      <w:r w:rsidR="00E703B8">
        <w:rPr>
          <w:rFonts w:ascii="Times New Roman" w:hAnsi="Times New Roman" w:cs="Times New Roman"/>
          <w:bCs/>
        </w:rPr>
        <w:t>incerta l’adozione degli atti di secondo livello, che, nella disposizione legislativa autorizzatoria, restino definiti, con adeguata precisione, ambito, criteri e procedura del provvedimento attuativo.</w:t>
      </w:r>
    </w:p>
    <w:p w14:paraId="44EE2273" w14:textId="16C3D9FD" w:rsidR="00E703B8" w:rsidRPr="00E703B8" w:rsidRDefault="00E703B8" w:rsidP="00E703B8">
      <w:pPr>
        <w:pStyle w:val="Paragrafoelenco"/>
        <w:autoSpaceDE w:val="0"/>
        <w:autoSpaceDN w:val="0"/>
        <w:adjustRightInd w:val="0"/>
        <w:spacing w:after="0" w:line="240" w:lineRule="auto"/>
        <w:ind w:left="0" w:firstLine="284"/>
        <w:jc w:val="both"/>
        <w:rPr>
          <w:rFonts w:ascii="Times New Roman" w:hAnsi="Times New Roman" w:cs="Times New Roman"/>
          <w:bCs/>
        </w:rPr>
      </w:pPr>
      <w:r>
        <w:rPr>
          <w:rFonts w:ascii="Times New Roman" w:hAnsi="Times New Roman" w:cs="Times New Roman"/>
          <w:bCs/>
        </w:rPr>
        <w:t xml:space="preserve">L’esperienza consegna e fonda, infatti, il convincimento che una delle principali cause delle inadempienze ai doveri di adozione di atti secondari consiste nella indeterminatezza e nella genericità dell’oggetto del provvedimento o dei criteri che ne devono guidare l’adozione (che produce, a sua volta, evidenti difficoltà di esegesi del perimetro della “delega”).    </w:t>
      </w:r>
      <w:r w:rsidRPr="00E703B8">
        <w:rPr>
          <w:rFonts w:ascii="Times New Roman" w:hAnsi="Times New Roman" w:cs="Times New Roman"/>
          <w:bCs/>
        </w:rPr>
        <w:t xml:space="preserve">  </w:t>
      </w:r>
    </w:p>
    <w:p w14:paraId="2703B27E" w14:textId="2F781408" w:rsidR="00CB4BF2" w:rsidRPr="00C46C09" w:rsidRDefault="0072495C"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Pr>
          <w:rFonts w:ascii="Times New Roman" w:hAnsi="Times New Roman" w:cs="Times New Roman"/>
          <w:bCs/>
        </w:rPr>
        <w:t xml:space="preserve">Non solo, ma, al fine di rendere meno </w:t>
      </w:r>
      <w:r w:rsidR="00CB4BF2" w:rsidRPr="00C46C09">
        <w:rPr>
          <w:rFonts w:ascii="Times New Roman" w:hAnsi="Times New Roman" w:cs="Times New Roman"/>
          <w:bCs/>
        </w:rPr>
        <w:t xml:space="preserve">farraginoso e più spedito </w:t>
      </w:r>
      <w:r w:rsidR="00A93614" w:rsidRPr="00C46C09">
        <w:rPr>
          <w:rFonts w:ascii="Times New Roman" w:hAnsi="Times New Roman" w:cs="Times New Roman"/>
          <w:bCs/>
        </w:rPr>
        <w:t xml:space="preserve">l’iter degli atti secondari, </w:t>
      </w:r>
      <w:r>
        <w:rPr>
          <w:rFonts w:ascii="Times New Roman" w:hAnsi="Times New Roman" w:cs="Times New Roman"/>
          <w:bCs/>
        </w:rPr>
        <w:t xml:space="preserve">si dovrà garantire </w:t>
      </w:r>
      <w:r w:rsidR="00A93614" w:rsidRPr="00C46C09">
        <w:rPr>
          <w:rFonts w:ascii="Times New Roman" w:hAnsi="Times New Roman" w:cs="Times New Roman"/>
          <w:bCs/>
        </w:rPr>
        <w:t>l’applicazione</w:t>
      </w:r>
      <w:r w:rsidR="00CB4BF2" w:rsidRPr="00C46C09">
        <w:rPr>
          <w:rFonts w:ascii="Times New Roman" w:hAnsi="Times New Roman" w:cs="Times New Roman"/>
          <w:bCs/>
        </w:rPr>
        <w:t xml:space="preserve">, in sede di acquisizione dei concerti (la cui previsione andrà, in ogni caso, circoscritta alle sole ipotesi di effettivo coinvolgimento di funzioni attribuite ad </w:t>
      </w:r>
      <w:r w:rsidR="002D6505" w:rsidRPr="00C46C09">
        <w:rPr>
          <w:rFonts w:ascii="Times New Roman" w:hAnsi="Times New Roman" w:cs="Times New Roman"/>
          <w:bCs/>
        </w:rPr>
        <w:t xml:space="preserve">altre </w:t>
      </w:r>
      <w:r w:rsidR="00CB4BF2" w:rsidRPr="00C46C09">
        <w:rPr>
          <w:rFonts w:ascii="Times New Roman" w:hAnsi="Times New Roman" w:cs="Times New Roman"/>
          <w:bCs/>
        </w:rPr>
        <w:t>Amministrazioni)</w:t>
      </w:r>
      <w:r w:rsidR="00A93614" w:rsidRPr="00C46C09">
        <w:rPr>
          <w:rFonts w:ascii="Times New Roman" w:hAnsi="Times New Roman" w:cs="Times New Roman"/>
          <w:bCs/>
        </w:rPr>
        <w:t>, de</w:t>
      </w:r>
      <w:r w:rsidR="00CB4BF2" w:rsidRPr="00C46C09">
        <w:rPr>
          <w:rFonts w:ascii="Times New Roman" w:hAnsi="Times New Roman" w:cs="Times New Roman"/>
          <w:bCs/>
        </w:rPr>
        <w:t>l meccanismo del silenzio assenso, esteso ai procedimenti diretti all’emanazione di atti normativi in virtù dell’esplicito riferimento contenuto nell’articolo 17-</w:t>
      </w:r>
      <w:r w:rsidR="00CB4BF2" w:rsidRPr="00C46C09">
        <w:rPr>
          <w:rFonts w:ascii="Times New Roman" w:hAnsi="Times New Roman" w:cs="Times New Roman"/>
          <w:bCs/>
          <w:i/>
        </w:rPr>
        <w:t>bis</w:t>
      </w:r>
      <w:r w:rsidR="00CB4BF2" w:rsidRPr="00C46C09">
        <w:rPr>
          <w:rFonts w:ascii="Times New Roman" w:hAnsi="Times New Roman" w:cs="Times New Roman"/>
          <w:bCs/>
        </w:rPr>
        <w:t xml:space="preserve"> della legge n. 241 del 1990</w:t>
      </w:r>
      <w:r w:rsidR="00B82F2E" w:rsidRPr="00C46C09">
        <w:rPr>
          <w:rStyle w:val="Rimandonotaapidipagina"/>
          <w:rFonts w:ascii="Times New Roman" w:hAnsi="Times New Roman" w:cs="Times New Roman"/>
          <w:bCs/>
        </w:rPr>
        <w:footnoteReference w:id="21"/>
      </w:r>
      <w:r w:rsidR="00CB4BF2" w:rsidRPr="00C46C09">
        <w:rPr>
          <w:rFonts w:ascii="Times New Roman" w:hAnsi="Times New Roman" w:cs="Times New Roman"/>
          <w:bCs/>
        </w:rPr>
        <w:t xml:space="preserve"> (rafforzato peraltro dalla previsione dell’art. 2, comma 8-</w:t>
      </w:r>
      <w:r w:rsidR="00CB4BF2" w:rsidRPr="00C46C09">
        <w:rPr>
          <w:rFonts w:ascii="Times New Roman" w:hAnsi="Times New Roman" w:cs="Times New Roman"/>
          <w:bCs/>
          <w:i/>
        </w:rPr>
        <w:t>bis</w:t>
      </w:r>
      <w:r w:rsidR="00CB4BF2" w:rsidRPr="00C46C09">
        <w:rPr>
          <w:rFonts w:ascii="Times New Roman" w:hAnsi="Times New Roman" w:cs="Times New Roman"/>
          <w:bCs/>
        </w:rPr>
        <w:t>, della legge n. 241 del 1990</w:t>
      </w:r>
      <w:r w:rsidR="00B82F2E" w:rsidRPr="00C46C09">
        <w:rPr>
          <w:rStyle w:val="Rimandonotaapidipagina"/>
          <w:rFonts w:ascii="Times New Roman" w:hAnsi="Times New Roman" w:cs="Times New Roman"/>
          <w:bCs/>
        </w:rPr>
        <w:footnoteReference w:id="22"/>
      </w:r>
      <w:r w:rsidR="00CB4BF2" w:rsidRPr="00C46C09">
        <w:rPr>
          <w:rFonts w:ascii="Times New Roman" w:hAnsi="Times New Roman" w:cs="Times New Roman"/>
          <w:bCs/>
        </w:rPr>
        <w:t>, per il quale i pareri e i concerti resi successivamente alla form</w:t>
      </w:r>
      <w:r w:rsidR="007F2E6C">
        <w:rPr>
          <w:rFonts w:ascii="Times New Roman" w:hAnsi="Times New Roman" w:cs="Times New Roman"/>
          <w:bCs/>
        </w:rPr>
        <w:t>azione del silenzio assenso restano</w:t>
      </w:r>
      <w:r w:rsidR="00CB4BF2" w:rsidRPr="00C46C09">
        <w:rPr>
          <w:rFonts w:ascii="Times New Roman" w:hAnsi="Times New Roman" w:cs="Times New Roman"/>
          <w:bCs/>
        </w:rPr>
        <w:t xml:space="preserve"> inefficaci). </w:t>
      </w:r>
    </w:p>
    <w:p w14:paraId="53E34E3C" w14:textId="77777777" w:rsidR="00514F78" w:rsidRPr="00C46C09" w:rsidRDefault="0077582F"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La nuova direttiva dovrà, in</w:t>
      </w:r>
      <w:r w:rsidR="00AB0D09" w:rsidRPr="00C46C09">
        <w:rPr>
          <w:rFonts w:ascii="Times New Roman" w:hAnsi="Times New Roman" w:cs="Times New Roman"/>
          <w:bCs/>
        </w:rPr>
        <w:t>oltre</w:t>
      </w:r>
      <w:r w:rsidRPr="00C46C09">
        <w:rPr>
          <w:rFonts w:ascii="Times New Roman" w:hAnsi="Times New Roman" w:cs="Times New Roman"/>
          <w:bCs/>
        </w:rPr>
        <w:t>, raccomandare</w:t>
      </w:r>
      <w:r w:rsidR="007D57CE" w:rsidRPr="00C46C09">
        <w:rPr>
          <w:rFonts w:ascii="Times New Roman" w:hAnsi="Times New Roman" w:cs="Times New Roman"/>
          <w:bCs/>
        </w:rPr>
        <w:t xml:space="preserve"> </w:t>
      </w:r>
      <w:r w:rsidRPr="00C46C09">
        <w:rPr>
          <w:rFonts w:ascii="Times New Roman" w:hAnsi="Times New Roman" w:cs="Times New Roman"/>
          <w:bCs/>
        </w:rPr>
        <w:t>al</w:t>
      </w:r>
      <w:r w:rsidR="007D57CE" w:rsidRPr="00C46C09">
        <w:rPr>
          <w:rFonts w:ascii="Times New Roman" w:hAnsi="Times New Roman" w:cs="Times New Roman"/>
          <w:bCs/>
        </w:rPr>
        <w:t xml:space="preserve">le </w:t>
      </w:r>
      <w:r w:rsidRPr="00C46C09">
        <w:rPr>
          <w:rFonts w:ascii="Times New Roman" w:hAnsi="Times New Roman" w:cs="Times New Roman"/>
          <w:bCs/>
        </w:rPr>
        <w:t>A</w:t>
      </w:r>
      <w:r w:rsidR="007D57CE" w:rsidRPr="00C46C09">
        <w:rPr>
          <w:rFonts w:ascii="Times New Roman" w:hAnsi="Times New Roman" w:cs="Times New Roman"/>
          <w:bCs/>
        </w:rPr>
        <w:t xml:space="preserve">mministrazioni </w:t>
      </w:r>
      <w:r w:rsidRPr="00C46C09">
        <w:rPr>
          <w:rFonts w:ascii="Times New Roman" w:hAnsi="Times New Roman" w:cs="Times New Roman"/>
          <w:bCs/>
        </w:rPr>
        <w:t>di preferire</w:t>
      </w:r>
      <w:r w:rsidR="007D57CE" w:rsidRPr="00C46C09">
        <w:rPr>
          <w:rFonts w:ascii="Times New Roman" w:hAnsi="Times New Roman" w:cs="Times New Roman"/>
          <w:bCs/>
        </w:rPr>
        <w:t xml:space="preserve"> la via del riordino e del riassetto della normativa vigente</w:t>
      </w:r>
      <w:r w:rsidR="00514F78" w:rsidRPr="00C46C09">
        <w:rPr>
          <w:rFonts w:ascii="Times New Roman" w:hAnsi="Times New Roman" w:cs="Times New Roman"/>
          <w:bCs/>
        </w:rPr>
        <w:t>, evitando interventi eccentrici, asistematici e non coordinati con i corpi normativi di settore.</w:t>
      </w:r>
    </w:p>
    <w:p w14:paraId="523D320E" w14:textId="44482E85" w:rsidR="0098553A" w:rsidRPr="00C46C09" w:rsidRDefault="001A50A6"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 xml:space="preserve">Nella medesima prospettiva, dovrà </w:t>
      </w:r>
      <w:r w:rsidR="0098553A" w:rsidRPr="00C46C09">
        <w:rPr>
          <w:rFonts w:ascii="Times New Roman" w:hAnsi="Times New Roman" w:cs="Times New Roman"/>
          <w:bCs/>
        </w:rPr>
        <w:t>es</w:t>
      </w:r>
      <w:r w:rsidR="0072495C">
        <w:rPr>
          <w:rFonts w:ascii="Times New Roman" w:hAnsi="Times New Roman" w:cs="Times New Roman"/>
          <w:bCs/>
        </w:rPr>
        <w:t>sere ribadita l’istruzione</w:t>
      </w:r>
      <w:r w:rsidR="0098553A" w:rsidRPr="00C46C09">
        <w:rPr>
          <w:rFonts w:ascii="Times New Roman" w:hAnsi="Times New Roman" w:cs="Times New Roman"/>
          <w:bCs/>
        </w:rPr>
        <w:t xml:space="preserve"> di risolvere, con le nuove disposizioni proposte, tutte le esigenze di coordinamento con la normativa vigente, evit</w:t>
      </w:r>
      <w:r w:rsidR="002D6505" w:rsidRPr="00C46C09">
        <w:rPr>
          <w:rFonts w:ascii="Times New Roman" w:hAnsi="Times New Roman" w:cs="Times New Roman"/>
          <w:bCs/>
        </w:rPr>
        <w:t>ando sovrapposizioni disordinate</w:t>
      </w:r>
      <w:r w:rsidR="0098553A" w:rsidRPr="00C46C09">
        <w:rPr>
          <w:rFonts w:ascii="Times New Roman" w:hAnsi="Times New Roman" w:cs="Times New Roman"/>
          <w:bCs/>
        </w:rPr>
        <w:t xml:space="preserve"> di discipline e, in particolar</w:t>
      </w:r>
      <w:r w:rsidR="00922010" w:rsidRPr="00C46C09">
        <w:rPr>
          <w:rFonts w:ascii="Times New Roman" w:hAnsi="Times New Roman" w:cs="Times New Roman"/>
          <w:bCs/>
        </w:rPr>
        <w:t>e</w:t>
      </w:r>
      <w:r w:rsidR="0098553A" w:rsidRPr="00C46C09">
        <w:rPr>
          <w:rFonts w:ascii="Times New Roman" w:hAnsi="Times New Roman" w:cs="Times New Roman"/>
          <w:bCs/>
        </w:rPr>
        <w:t>, incertezze e dubbi esegetici sulle abrogazioni delle disposizioni vigenti che regolano la medesima fattispecie.</w:t>
      </w:r>
    </w:p>
    <w:p w14:paraId="10B63042" w14:textId="77777777" w:rsidR="0098553A" w:rsidRPr="00C46C09" w:rsidRDefault="0098553A"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 xml:space="preserve">Vanno, in particolare, evitate, mediante un uso scrupoloso e puntuale del </w:t>
      </w:r>
      <w:r w:rsidR="00E563D3" w:rsidRPr="00C46C09">
        <w:rPr>
          <w:rFonts w:ascii="Times New Roman" w:hAnsi="Times New Roman" w:cs="Times New Roman"/>
          <w:bCs/>
        </w:rPr>
        <w:t>metodo dell’abrogazione espress</w:t>
      </w:r>
      <w:r w:rsidRPr="00C46C09">
        <w:rPr>
          <w:rFonts w:ascii="Times New Roman" w:hAnsi="Times New Roman" w:cs="Times New Roman"/>
          <w:bCs/>
        </w:rPr>
        <w:t>a</w:t>
      </w:r>
      <w:r w:rsidR="00E563D3" w:rsidRPr="00C46C09">
        <w:rPr>
          <w:rFonts w:ascii="Times New Roman" w:hAnsi="Times New Roman" w:cs="Times New Roman"/>
          <w:bCs/>
        </w:rPr>
        <w:t>,</w:t>
      </w:r>
      <w:r w:rsidRPr="00C46C09">
        <w:rPr>
          <w:rFonts w:ascii="Times New Roman" w:hAnsi="Times New Roman" w:cs="Times New Roman"/>
          <w:bCs/>
        </w:rPr>
        <w:t xml:space="preserve"> antinomie o incompatibilità che finiscono per recare incertezze</w:t>
      </w:r>
      <w:r w:rsidR="001A50A6" w:rsidRPr="00C46C09">
        <w:rPr>
          <w:rFonts w:ascii="Times New Roman" w:hAnsi="Times New Roman" w:cs="Times New Roman"/>
          <w:bCs/>
        </w:rPr>
        <w:t xml:space="preserve"> interpretative (affidate ad esegesi complesse e dagli esiti imprevedibili)</w:t>
      </w:r>
      <w:r w:rsidRPr="00C46C09">
        <w:rPr>
          <w:rFonts w:ascii="Times New Roman" w:hAnsi="Times New Roman" w:cs="Times New Roman"/>
          <w:bCs/>
        </w:rPr>
        <w:t xml:space="preserve"> sulla sopravvivenza dell’efficacia delle disposizioni più vecchie.</w:t>
      </w:r>
    </w:p>
    <w:p w14:paraId="38662067" w14:textId="77777777" w:rsidR="001D5242" w:rsidRPr="00C46C09" w:rsidRDefault="00CB4BF2"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Da ultimo, la revisione della direttiva sull’attività normativa del Governo non potrà non farsi carico del problema dell’uso, divenuto ormai ordinario, del decreto</w:t>
      </w:r>
      <w:r w:rsidR="00922010" w:rsidRPr="00C46C09">
        <w:rPr>
          <w:rFonts w:ascii="Times New Roman" w:hAnsi="Times New Roman" w:cs="Times New Roman"/>
          <w:bCs/>
        </w:rPr>
        <w:t>-</w:t>
      </w:r>
      <w:r w:rsidRPr="00C46C09">
        <w:rPr>
          <w:rFonts w:ascii="Times New Roman" w:hAnsi="Times New Roman" w:cs="Times New Roman"/>
          <w:bCs/>
        </w:rPr>
        <w:t xml:space="preserve">legge come strumento </w:t>
      </w:r>
      <w:r w:rsidR="001D5242" w:rsidRPr="00C46C09">
        <w:rPr>
          <w:rFonts w:ascii="Times New Roman" w:hAnsi="Times New Roman" w:cs="Times New Roman"/>
          <w:bCs/>
        </w:rPr>
        <w:t>principale dell’attività normativa del Governo.</w:t>
      </w:r>
    </w:p>
    <w:p w14:paraId="40F5F3BF" w14:textId="5E5BA110" w:rsidR="001D5242" w:rsidRPr="00C46C09" w:rsidRDefault="001D5242"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Ancorchè, negli ultimi tempi, l’uso de</w:t>
      </w:r>
      <w:r w:rsidR="000736D2">
        <w:rPr>
          <w:rFonts w:ascii="Times New Roman" w:hAnsi="Times New Roman" w:cs="Times New Roman"/>
          <w:bCs/>
        </w:rPr>
        <w:t>lla decretazione d’urgenza debba</w:t>
      </w:r>
      <w:r w:rsidRPr="00C46C09">
        <w:rPr>
          <w:rFonts w:ascii="Times New Roman" w:hAnsi="Times New Roman" w:cs="Times New Roman"/>
          <w:bCs/>
        </w:rPr>
        <w:t xml:space="preserve"> intendersi giustificato dalla straordinaria esigenza di fronteggiare tempestivamente crisi ed emergenze (sanitaria, economica, energetica), resta l’impressione e il timore che possa stabilizzarsi l’uso del decreto</w:t>
      </w:r>
      <w:r w:rsidR="00922010" w:rsidRPr="00C46C09">
        <w:rPr>
          <w:rFonts w:ascii="Times New Roman" w:hAnsi="Times New Roman" w:cs="Times New Roman"/>
          <w:bCs/>
        </w:rPr>
        <w:t>-</w:t>
      </w:r>
      <w:r w:rsidR="00693FEF">
        <w:rPr>
          <w:rFonts w:ascii="Times New Roman" w:hAnsi="Times New Roman" w:cs="Times New Roman"/>
          <w:bCs/>
        </w:rPr>
        <w:t>legge quale strumento ordinario</w:t>
      </w:r>
      <w:r w:rsidRPr="00C46C09">
        <w:rPr>
          <w:rFonts w:ascii="Times New Roman" w:hAnsi="Times New Roman" w:cs="Times New Roman"/>
          <w:bCs/>
        </w:rPr>
        <w:t xml:space="preserve"> di legislazione.</w:t>
      </w:r>
    </w:p>
    <w:p w14:paraId="3694C88B" w14:textId="7283D334" w:rsidR="001D5242" w:rsidRPr="00C46C09" w:rsidRDefault="001D5242"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Si tratta di un rischio che va, chiaramente, scongiurato</w:t>
      </w:r>
      <w:r w:rsidR="0072495C">
        <w:rPr>
          <w:rFonts w:ascii="Times New Roman" w:hAnsi="Times New Roman" w:cs="Times New Roman"/>
          <w:bCs/>
        </w:rPr>
        <w:t xml:space="preserve"> (anche a garanzia delle prerogative costituzionali del Parlamento)</w:t>
      </w:r>
      <w:r w:rsidRPr="00C46C09">
        <w:rPr>
          <w:rFonts w:ascii="Times New Roman" w:hAnsi="Times New Roman" w:cs="Times New Roman"/>
          <w:bCs/>
        </w:rPr>
        <w:t>.</w:t>
      </w:r>
    </w:p>
    <w:p w14:paraId="04DE5464" w14:textId="5223B89B" w:rsidR="001D5242" w:rsidRPr="00C46C09" w:rsidRDefault="001D5242"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Sarà, quindi, necessario, non solo verificare in maniera scrupolosa e severa la ricorrenza dei presupposti costituzionali della decretazione d’urgenza,</w:t>
      </w:r>
      <w:r w:rsidR="00C929F6" w:rsidRPr="00C46C09">
        <w:rPr>
          <w:rFonts w:ascii="Times New Roman" w:hAnsi="Times New Roman" w:cs="Times New Roman"/>
          <w:bCs/>
        </w:rPr>
        <w:t xml:space="preserve"> ivi compreso quello dell’omogeneità del </w:t>
      </w:r>
      <w:r w:rsidR="001A50A6" w:rsidRPr="00C46C09">
        <w:rPr>
          <w:rFonts w:ascii="Times New Roman" w:hAnsi="Times New Roman" w:cs="Times New Roman"/>
          <w:bCs/>
        </w:rPr>
        <w:t>perimetro della regolazione,</w:t>
      </w:r>
      <w:r w:rsidRPr="00C46C09">
        <w:rPr>
          <w:rFonts w:ascii="Times New Roman" w:hAnsi="Times New Roman" w:cs="Times New Roman"/>
          <w:bCs/>
        </w:rPr>
        <w:t xml:space="preserve"> ma anche restituire </w:t>
      </w:r>
      <w:r w:rsidR="0072495C">
        <w:rPr>
          <w:rFonts w:ascii="Times New Roman" w:hAnsi="Times New Roman" w:cs="Times New Roman"/>
          <w:bCs/>
        </w:rPr>
        <w:t xml:space="preserve">(contestualmente) </w:t>
      </w:r>
      <w:r w:rsidRPr="00C46C09">
        <w:rPr>
          <w:rFonts w:ascii="Times New Roman" w:hAnsi="Times New Roman" w:cs="Times New Roman"/>
          <w:bCs/>
        </w:rPr>
        <w:t>efficacia alle procedure legislative di approvazione dei disegni di legge.</w:t>
      </w:r>
    </w:p>
    <w:p w14:paraId="60583646" w14:textId="77777777" w:rsidR="003C41C8" w:rsidRPr="00C46C09" w:rsidRDefault="001D5242"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In questo senso, sarà necessario avviare una interlocuzione istituzionale con le Camere, al fine di condividere, mediante l’utilizzo nella loro massima latitudine degli spazi consentiti dai regolamenti parlamentari, percorsi accelerati e garantiti di esame e approvazione dei disegni di legge che risultino prioritari per l’attuazione del programma di Governo (riservando, ad esempio, ad essi apposite sessioni parlamentari)</w:t>
      </w:r>
      <w:r w:rsidR="00175981" w:rsidRPr="00C46C09">
        <w:rPr>
          <w:rStyle w:val="Rimandonotaapidipagina"/>
          <w:rFonts w:ascii="Times New Roman" w:hAnsi="Times New Roman" w:cs="Times New Roman"/>
          <w:bCs/>
        </w:rPr>
        <w:footnoteReference w:id="23"/>
      </w:r>
      <w:r w:rsidRPr="00C46C09">
        <w:rPr>
          <w:rFonts w:ascii="Times New Roman" w:hAnsi="Times New Roman" w:cs="Times New Roman"/>
          <w:bCs/>
        </w:rPr>
        <w:t>.</w:t>
      </w:r>
      <w:r w:rsidR="007D57CE" w:rsidRPr="00C46C09">
        <w:rPr>
          <w:rFonts w:ascii="Times New Roman" w:hAnsi="Times New Roman" w:cs="Times New Roman"/>
          <w:bCs/>
        </w:rPr>
        <w:t xml:space="preserve"> </w:t>
      </w:r>
    </w:p>
    <w:p w14:paraId="3327133E" w14:textId="77777777" w:rsidR="0098553A" w:rsidRPr="00C46C09" w:rsidRDefault="0098553A"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L’auspicio è che il Governo torni ad esercitare la sua iniziativa normativa mediante lo strumento ordinario dei disegni di legge e che riser</w:t>
      </w:r>
      <w:r w:rsidR="001A50A6" w:rsidRPr="00C46C09">
        <w:rPr>
          <w:rFonts w:ascii="Times New Roman" w:hAnsi="Times New Roman" w:cs="Times New Roman"/>
          <w:bCs/>
        </w:rPr>
        <w:t>vi la decretazione d’urgenza alla regolazione</w:t>
      </w:r>
      <w:r w:rsidRPr="00C46C09">
        <w:rPr>
          <w:rFonts w:ascii="Times New Roman" w:hAnsi="Times New Roman" w:cs="Times New Roman"/>
          <w:bCs/>
        </w:rPr>
        <w:t xml:space="preserve"> </w:t>
      </w:r>
      <w:r w:rsidR="001A50A6" w:rsidRPr="00C46C09">
        <w:rPr>
          <w:rFonts w:ascii="Times New Roman" w:hAnsi="Times New Roman" w:cs="Times New Roman"/>
          <w:bCs/>
        </w:rPr>
        <w:t>del</w:t>
      </w:r>
      <w:r w:rsidRPr="00C46C09">
        <w:rPr>
          <w:rFonts w:ascii="Times New Roman" w:hAnsi="Times New Roman" w:cs="Times New Roman"/>
          <w:bCs/>
        </w:rPr>
        <w:t xml:space="preserve">le </w:t>
      </w:r>
      <w:r w:rsidR="001A50A6" w:rsidRPr="00C46C09">
        <w:rPr>
          <w:rFonts w:ascii="Times New Roman" w:hAnsi="Times New Roman" w:cs="Times New Roman"/>
          <w:bCs/>
        </w:rPr>
        <w:t xml:space="preserve">situazioni </w:t>
      </w:r>
      <w:r w:rsidRPr="00C46C09">
        <w:rPr>
          <w:rFonts w:ascii="Times New Roman" w:hAnsi="Times New Roman" w:cs="Times New Roman"/>
          <w:bCs/>
        </w:rPr>
        <w:t>che esigono, effettivamente, interventi necessitati e non differibili.</w:t>
      </w:r>
    </w:p>
    <w:p w14:paraId="7D19F601" w14:textId="77777777" w:rsidR="001D5242" w:rsidRPr="00C46C09" w:rsidRDefault="001D5242" w:rsidP="006277A5">
      <w:pPr>
        <w:pStyle w:val="Paragrafoelenco"/>
        <w:autoSpaceDE w:val="0"/>
        <w:autoSpaceDN w:val="0"/>
        <w:adjustRightInd w:val="0"/>
        <w:spacing w:after="0" w:line="240" w:lineRule="auto"/>
        <w:ind w:left="0"/>
        <w:jc w:val="both"/>
        <w:rPr>
          <w:rFonts w:ascii="Times New Roman" w:hAnsi="Times New Roman" w:cs="Times New Roman"/>
          <w:bCs/>
        </w:rPr>
      </w:pPr>
    </w:p>
    <w:p w14:paraId="67FF8550" w14:textId="77777777" w:rsidR="003C41C8" w:rsidRPr="00C46C09" w:rsidRDefault="00704A24" w:rsidP="00575506">
      <w:pPr>
        <w:pStyle w:val="Paragrafoelenco"/>
        <w:tabs>
          <w:tab w:val="left" w:pos="426"/>
        </w:tabs>
        <w:autoSpaceDE w:val="0"/>
        <w:autoSpaceDN w:val="0"/>
        <w:adjustRightInd w:val="0"/>
        <w:spacing w:after="0" w:line="240" w:lineRule="auto"/>
        <w:ind w:left="0"/>
        <w:jc w:val="both"/>
        <w:rPr>
          <w:rFonts w:ascii="Times New Roman" w:hAnsi="Times New Roman" w:cs="Times New Roman"/>
          <w:b/>
          <w:bCs/>
        </w:rPr>
      </w:pPr>
      <w:r w:rsidRPr="00C46C09">
        <w:rPr>
          <w:rFonts w:ascii="Times New Roman" w:hAnsi="Times New Roman" w:cs="Times New Roman"/>
          <w:b/>
          <w:color w:val="000000" w:themeColor="text1"/>
        </w:rPr>
        <w:t>4</w:t>
      </w:r>
      <w:r w:rsidR="003C41C8" w:rsidRPr="00C46C09">
        <w:rPr>
          <w:rFonts w:ascii="Times New Roman" w:hAnsi="Times New Roman" w:cs="Times New Roman"/>
          <w:b/>
          <w:color w:val="000000" w:themeColor="text1"/>
        </w:rPr>
        <w:t>.</w:t>
      </w:r>
      <w:r w:rsidR="00C23484" w:rsidRPr="00C46C09">
        <w:rPr>
          <w:rFonts w:ascii="Times New Roman" w:hAnsi="Times New Roman" w:cs="Times New Roman"/>
          <w:b/>
          <w:color w:val="000000" w:themeColor="text1"/>
        </w:rPr>
        <w:t xml:space="preserve"> </w:t>
      </w:r>
      <w:r w:rsidR="003C41C8" w:rsidRPr="00C46C09">
        <w:rPr>
          <w:rFonts w:ascii="Times New Roman" w:hAnsi="Times New Roman" w:cs="Times New Roman"/>
          <w:b/>
          <w:bCs/>
        </w:rPr>
        <w:t xml:space="preserve">La programmazione dell’attività normativa del Governo e il ciclo della regolazione. </w:t>
      </w:r>
    </w:p>
    <w:p w14:paraId="2E44B280" w14:textId="77777777" w:rsidR="00612A10" w:rsidRPr="00C46C09" w:rsidRDefault="003C41C8" w:rsidP="00575506">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L</w:t>
      </w:r>
      <w:r w:rsidR="00D62B89" w:rsidRPr="00C46C09">
        <w:rPr>
          <w:rFonts w:ascii="Times New Roman" w:hAnsi="Times New Roman" w:cs="Times New Roman"/>
        </w:rPr>
        <w:t>e esigenze di una normazione di qualità implicano la disponibilità</w:t>
      </w:r>
      <w:r w:rsidRPr="00C46C09">
        <w:rPr>
          <w:rFonts w:ascii="Times New Roman" w:hAnsi="Times New Roman" w:cs="Times New Roman"/>
        </w:rPr>
        <w:t xml:space="preserve"> </w:t>
      </w:r>
      <w:r w:rsidR="00D62B89" w:rsidRPr="00C46C09">
        <w:rPr>
          <w:rFonts w:ascii="Times New Roman" w:hAnsi="Times New Roman" w:cs="Times New Roman"/>
        </w:rPr>
        <w:t xml:space="preserve">di </w:t>
      </w:r>
      <w:r w:rsidRPr="00C46C09">
        <w:rPr>
          <w:rFonts w:ascii="Times New Roman" w:hAnsi="Times New Roman" w:cs="Times New Roman"/>
        </w:rPr>
        <w:t xml:space="preserve">tempi tecnici </w:t>
      </w:r>
      <w:r w:rsidR="00D62B89" w:rsidRPr="00C46C09">
        <w:rPr>
          <w:rFonts w:ascii="Times New Roman" w:hAnsi="Times New Roman" w:cs="Times New Roman"/>
        </w:rPr>
        <w:t xml:space="preserve">adeguati a uno svolgimento ordinato delle analisi </w:t>
      </w:r>
      <w:r w:rsidR="00612A10" w:rsidRPr="00C46C09">
        <w:rPr>
          <w:rFonts w:ascii="Times New Roman" w:hAnsi="Times New Roman" w:cs="Times New Roman"/>
        </w:rPr>
        <w:t xml:space="preserve">che devono precedere e supportare la progettazione dell’atto e </w:t>
      </w:r>
      <w:r w:rsidRPr="00C46C09">
        <w:rPr>
          <w:rFonts w:ascii="Times New Roman" w:hAnsi="Times New Roman" w:cs="Times New Roman"/>
        </w:rPr>
        <w:t>che</w:t>
      </w:r>
      <w:r w:rsidR="00612A10" w:rsidRPr="00C46C09">
        <w:rPr>
          <w:rFonts w:ascii="Times New Roman" w:hAnsi="Times New Roman" w:cs="Times New Roman"/>
        </w:rPr>
        <w:t>, nondimeno,</w:t>
      </w:r>
      <w:r w:rsidRPr="00C46C09">
        <w:rPr>
          <w:rFonts w:ascii="Times New Roman" w:hAnsi="Times New Roman" w:cs="Times New Roman"/>
        </w:rPr>
        <w:t xml:space="preserve"> rischiano di essere sacrificati in ragione dell’urgenza del provvedere e d</w:t>
      </w:r>
      <w:r w:rsidR="00612A10" w:rsidRPr="00C46C09">
        <w:rPr>
          <w:rFonts w:ascii="Times New Roman" w:hAnsi="Times New Roman" w:cs="Times New Roman"/>
        </w:rPr>
        <w:t xml:space="preserve">el carattere spesso estemporaneo dell’iniziativa (non sempre connessa ad </w:t>
      </w:r>
      <w:r w:rsidRPr="00C46C09">
        <w:rPr>
          <w:rFonts w:ascii="Times New Roman" w:hAnsi="Times New Roman" w:cs="Times New Roman"/>
        </w:rPr>
        <w:t>esigenze contingenti</w:t>
      </w:r>
      <w:r w:rsidR="00612A10" w:rsidRPr="00C46C09">
        <w:rPr>
          <w:rFonts w:ascii="Times New Roman" w:hAnsi="Times New Roman" w:cs="Times New Roman"/>
        </w:rPr>
        <w:t xml:space="preserve"> e imprevedibili)</w:t>
      </w:r>
      <w:r w:rsidRPr="00C46C09">
        <w:rPr>
          <w:rFonts w:ascii="Times New Roman" w:hAnsi="Times New Roman" w:cs="Times New Roman"/>
        </w:rPr>
        <w:t xml:space="preserve">. </w:t>
      </w:r>
    </w:p>
    <w:p w14:paraId="1C80A65A" w14:textId="77777777" w:rsidR="003C41C8" w:rsidRPr="00C46C09" w:rsidRDefault="00DB0C3B" w:rsidP="00575506">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Lo strumento vigente più appropriato, per evitare o ridimensionare il fenomeno di una legislazione istintiva e improvvisata, è senz’altro quello della</w:t>
      </w:r>
      <w:r w:rsidR="003C41C8" w:rsidRPr="00C46C09">
        <w:rPr>
          <w:rFonts w:ascii="Times New Roman" w:hAnsi="Times New Roman" w:cs="Times New Roman"/>
        </w:rPr>
        <w:t xml:space="preserve"> programmazione dell’attività normativa del Governo, introdotta dal regolamento in materia di analisi di impatto della regolamentazione (AIR), di verifica di impatto della regolamentazione (VIR) e di consultazioni, di cui al decreto del Presidente del Consiglio dei ministri 15 settembre 2017, n. 169. </w:t>
      </w:r>
    </w:p>
    <w:p w14:paraId="0E7A99F9" w14:textId="77777777" w:rsidR="00DB0C3B" w:rsidRPr="00C46C09" w:rsidRDefault="00DB0C3B" w:rsidP="00575506">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Si tratta di una innovazione funzionale proprio ad imporre alle Amministrazioni la redazione e la pubblicazione di un’agenda degli interventi programmati e, quindi, a consentire la progettazione degli atti, con le presupposte analisi, in tempi compatibili con le ineludibili istanze istruttorie, conoscitive e valutative che devono sorreggere proposte ordinate e informate</w:t>
      </w:r>
      <w:r w:rsidR="001C3611" w:rsidRPr="00C46C09">
        <w:rPr>
          <w:rStyle w:val="Rimandonotaapidipagina"/>
          <w:rFonts w:ascii="Times New Roman" w:hAnsi="Times New Roman" w:cs="Times New Roman"/>
        </w:rPr>
        <w:footnoteReference w:id="24"/>
      </w:r>
      <w:r w:rsidRPr="00C46C09">
        <w:rPr>
          <w:rFonts w:ascii="Times New Roman" w:hAnsi="Times New Roman" w:cs="Times New Roman"/>
        </w:rPr>
        <w:t xml:space="preserve">. </w:t>
      </w:r>
    </w:p>
    <w:p w14:paraId="10719FAE" w14:textId="543E05EF" w:rsidR="00386176" w:rsidRPr="00C46C09" w:rsidRDefault="00386176" w:rsidP="00575506">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La mancanza di una adeguata e strutturata programmazione, al contrario, determina una normazione (spesso) frettolosa ed estemporanea e non sufficientemente istruita, con la conseguente necessità di revisioni successive delle norme, anche a distanza ravvicinata, con aggravio del fenomeno d</w:t>
      </w:r>
      <w:r w:rsidR="000736D2">
        <w:rPr>
          <w:rFonts w:ascii="Times New Roman" w:hAnsi="Times New Roman" w:cs="Times New Roman"/>
        </w:rPr>
        <w:t>el disordine e del caos</w:t>
      </w:r>
      <w:r w:rsidRPr="00C46C09">
        <w:rPr>
          <w:rFonts w:ascii="Times New Roman" w:hAnsi="Times New Roman" w:cs="Times New Roman"/>
        </w:rPr>
        <w:t xml:space="preserve"> normativo.</w:t>
      </w:r>
    </w:p>
    <w:p w14:paraId="72078EDB" w14:textId="77777777" w:rsidR="003C41C8" w:rsidRPr="00C46C09" w:rsidRDefault="00386176" w:rsidP="00575506">
      <w:pPr>
        <w:spacing w:after="0" w:line="240" w:lineRule="auto"/>
        <w:ind w:firstLine="284"/>
        <w:jc w:val="both"/>
        <w:rPr>
          <w:rFonts w:ascii="Times New Roman" w:hAnsi="Times New Roman" w:cs="Times New Roman"/>
        </w:rPr>
      </w:pPr>
      <w:r w:rsidRPr="00C46C09">
        <w:rPr>
          <w:rFonts w:ascii="Times New Roman" w:hAnsi="Times New Roman" w:cs="Times New Roman"/>
        </w:rPr>
        <w:t>A</w:t>
      </w:r>
      <w:r w:rsidR="003C41C8" w:rsidRPr="00C46C09">
        <w:rPr>
          <w:rFonts w:ascii="Times New Roman" w:hAnsi="Times New Roman" w:cs="Times New Roman"/>
        </w:rPr>
        <w:t xml:space="preserve">l fine di </w:t>
      </w:r>
      <w:r w:rsidRPr="00C46C09">
        <w:rPr>
          <w:rFonts w:ascii="Times New Roman" w:hAnsi="Times New Roman" w:cs="Times New Roman"/>
        </w:rPr>
        <w:t>scongiurare una normazione confusa e disorganica e</w:t>
      </w:r>
      <w:r w:rsidR="003C41C8" w:rsidRPr="00C46C09">
        <w:rPr>
          <w:rFonts w:ascii="Times New Roman" w:hAnsi="Times New Roman" w:cs="Times New Roman"/>
        </w:rPr>
        <w:t xml:space="preserve"> di assicurare interventi normativi coerenti</w:t>
      </w:r>
      <w:r w:rsidRPr="00C46C09">
        <w:rPr>
          <w:rFonts w:ascii="Times New Roman" w:hAnsi="Times New Roman" w:cs="Times New Roman"/>
        </w:rPr>
        <w:t>, ordinati</w:t>
      </w:r>
      <w:r w:rsidR="003C41C8" w:rsidRPr="00C46C09">
        <w:rPr>
          <w:rFonts w:ascii="Times New Roman" w:hAnsi="Times New Roman" w:cs="Times New Roman"/>
        </w:rPr>
        <w:t xml:space="preserve"> e correlati alle priorità e agli obi</w:t>
      </w:r>
      <w:r w:rsidR="00DB0C3B" w:rsidRPr="00C46C09">
        <w:rPr>
          <w:rFonts w:ascii="Times New Roman" w:hAnsi="Times New Roman" w:cs="Times New Roman"/>
        </w:rPr>
        <w:t>ettivi programmatici</w:t>
      </w:r>
      <w:r w:rsidR="003C41C8" w:rsidRPr="00C46C09">
        <w:rPr>
          <w:rFonts w:ascii="Times New Roman" w:hAnsi="Times New Roman" w:cs="Times New Roman"/>
        </w:rPr>
        <w:t xml:space="preserve">, </w:t>
      </w:r>
      <w:r w:rsidR="00DB0C3B" w:rsidRPr="00C46C09">
        <w:rPr>
          <w:rFonts w:ascii="Times New Roman" w:hAnsi="Times New Roman" w:cs="Times New Roman"/>
          <w:bCs/>
        </w:rPr>
        <w:t>l’articolo 4 del citato d.P.C.M.</w:t>
      </w:r>
      <w:r w:rsidR="003C41C8" w:rsidRPr="00C46C09">
        <w:rPr>
          <w:rFonts w:ascii="Times New Roman" w:hAnsi="Times New Roman" w:cs="Times New Roman"/>
        </w:rPr>
        <w:t xml:space="preserve"> ha previsto che i Ministeri, entro il 30 giugno e il 31 dicembre di ogni anno, predispongano e trasmettano al DAGL una scheda analitica, denominata “programma normativo semestrale”, che contiene l'elenco delle iniziative normative proposte per il semestre successivo, fatti salvi i casi di necessità e urgenza.</w:t>
      </w:r>
    </w:p>
    <w:p w14:paraId="27004DB0" w14:textId="77777777" w:rsidR="003C41C8" w:rsidRPr="00C46C09" w:rsidRDefault="003C41C8" w:rsidP="00575506">
      <w:pPr>
        <w:spacing w:after="0" w:line="240" w:lineRule="auto"/>
        <w:ind w:firstLine="284"/>
        <w:jc w:val="both"/>
        <w:rPr>
          <w:rFonts w:ascii="Times New Roman" w:hAnsi="Times New Roman" w:cs="Times New Roman"/>
        </w:rPr>
      </w:pPr>
      <w:r w:rsidRPr="00C46C09">
        <w:rPr>
          <w:rFonts w:ascii="Times New Roman" w:hAnsi="Times New Roman" w:cs="Times New Roman"/>
        </w:rPr>
        <w:t xml:space="preserve">Nel programma normativo </w:t>
      </w:r>
      <w:r w:rsidR="007609C9" w:rsidRPr="00C46C09">
        <w:rPr>
          <w:rFonts w:ascii="Times New Roman" w:hAnsi="Times New Roman" w:cs="Times New Roman"/>
        </w:rPr>
        <w:t>dovrebbero</w:t>
      </w:r>
      <w:r w:rsidRPr="00C46C09">
        <w:rPr>
          <w:rFonts w:ascii="Times New Roman" w:hAnsi="Times New Roman" w:cs="Times New Roman"/>
        </w:rPr>
        <w:t xml:space="preserve">, inoltre, </w:t>
      </w:r>
      <w:r w:rsidR="007609C9" w:rsidRPr="00C46C09">
        <w:rPr>
          <w:rFonts w:ascii="Times New Roman" w:hAnsi="Times New Roman" w:cs="Times New Roman"/>
        </w:rPr>
        <w:t xml:space="preserve">essere </w:t>
      </w:r>
      <w:r w:rsidRPr="00C46C09">
        <w:rPr>
          <w:rFonts w:ascii="Times New Roman" w:hAnsi="Times New Roman" w:cs="Times New Roman"/>
        </w:rPr>
        <w:t>indicat</w:t>
      </w:r>
      <w:r w:rsidR="007609C9" w:rsidRPr="00C46C09">
        <w:rPr>
          <w:rFonts w:ascii="Times New Roman" w:hAnsi="Times New Roman" w:cs="Times New Roman"/>
        </w:rPr>
        <w:t>i</w:t>
      </w:r>
      <w:r w:rsidRPr="00C46C09">
        <w:rPr>
          <w:rFonts w:ascii="Times New Roman" w:hAnsi="Times New Roman" w:cs="Times New Roman"/>
        </w:rPr>
        <w:t xml:space="preserve"> l’ordine di priorità dei provvedimenti segnalati e, almeno in riferimento al primo mese, le tempistiche suggerite per il loro esame in sede di riunione preparatoria del Consiglio dei ministri. </w:t>
      </w:r>
    </w:p>
    <w:p w14:paraId="51B12297" w14:textId="77777777" w:rsidR="003C41C8" w:rsidRPr="00C46C09" w:rsidRDefault="003C41C8" w:rsidP="00575506">
      <w:pPr>
        <w:spacing w:after="0" w:line="240" w:lineRule="auto"/>
        <w:ind w:firstLine="284"/>
        <w:jc w:val="both"/>
        <w:rPr>
          <w:rFonts w:ascii="Times New Roman" w:hAnsi="Times New Roman" w:cs="Times New Roman"/>
        </w:rPr>
      </w:pPr>
      <w:r w:rsidRPr="00C46C09">
        <w:rPr>
          <w:rFonts w:ascii="Times New Roman" w:hAnsi="Times New Roman" w:cs="Times New Roman"/>
        </w:rPr>
        <w:t xml:space="preserve">Sulla base delle indicazioni fornite dalle amministrazioni e degli esiti dell'attività di monitoraggio delle deleghe legislative in scadenza, il DAGL elabora il programma normativo semestrale del Governo. </w:t>
      </w:r>
    </w:p>
    <w:p w14:paraId="1388E9E7" w14:textId="77777777" w:rsidR="00AD5A5A" w:rsidRPr="00C46C09" w:rsidRDefault="003C41C8" w:rsidP="00575506">
      <w:pPr>
        <w:spacing w:after="0" w:line="240" w:lineRule="auto"/>
        <w:ind w:firstLine="284"/>
        <w:jc w:val="both"/>
        <w:rPr>
          <w:rFonts w:ascii="Times New Roman" w:hAnsi="Times New Roman" w:cs="Times New Roman"/>
        </w:rPr>
      </w:pPr>
      <w:r w:rsidRPr="00C46C09">
        <w:rPr>
          <w:rFonts w:ascii="Times New Roman" w:hAnsi="Times New Roman" w:cs="Times New Roman"/>
        </w:rPr>
        <w:t xml:space="preserve">In concreto, tale strumento ha iniziato a trovare applicazione nella più recente esperienza di Governo. </w:t>
      </w:r>
    </w:p>
    <w:p w14:paraId="0681FDBE" w14:textId="1F2FB186" w:rsidR="003C41C8" w:rsidRPr="00C46C09" w:rsidRDefault="00AD5A5A" w:rsidP="00575506">
      <w:pPr>
        <w:spacing w:after="0" w:line="240" w:lineRule="auto"/>
        <w:ind w:firstLine="284"/>
        <w:jc w:val="both"/>
        <w:rPr>
          <w:rFonts w:ascii="Times New Roman" w:hAnsi="Times New Roman" w:cs="Times New Roman"/>
        </w:rPr>
      </w:pPr>
      <w:r w:rsidRPr="00C46C09">
        <w:rPr>
          <w:rFonts w:ascii="Times New Roman" w:hAnsi="Times New Roman" w:cs="Times New Roman"/>
        </w:rPr>
        <w:t xml:space="preserve">Si tratta, adesso, di assicurarne il più coerente ed effettivo utilizzo, raccomandando, poi, alle Amministrazioni il rispetto dell’Agenda di Governo, al fine </w:t>
      </w:r>
      <w:r w:rsidR="001A50A6" w:rsidRPr="00C46C09">
        <w:rPr>
          <w:rFonts w:ascii="Times New Roman" w:hAnsi="Times New Roman" w:cs="Times New Roman"/>
        </w:rPr>
        <w:t xml:space="preserve">di </w:t>
      </w:r>
      <w:r w:rsidRPr="00C46C09">
        <w:rPr>
          <w:rFonts w:ascii="Times New Roman" w:hAnsi="Times New Roman" w:cs="Times New Roman"/>
        </w:rPr>
        <w:t>garantire la disponibilità</w:t>
      </w:r>
      <w:r w:rsidR="003C41C8" w:rsidRPr="00C46C09">
        <w:rPr>
          <w:rFonts w:ascii="Times New Roman" w:hAnsi="Times New Roman" w:cs="Times New Roman"/>
        </w:rPr>
        <w:t xml:space="preserve"> dei necessari tempi tecnici per la redazione di testi normativi, sin dalla fase della loro iniziale progettazione, </w:t>
      </w:r>
      <w:r w:rsidRPr="00C46C09">
        <w:rPr>
          <w:rFonts w:ascii="Times New Roman" w:hAnsi="Times New Roman" w:cs="Times New Roman"/>
        </w:rPr>
        <w:t xml:space="preserve">conformi </w:t>
      </w:r>
      <w:r w:rsidR="003C41C8" w:rsidRPr="00C46C09">
        <w:rPr>
          <w:rFonts w:ascii="Times New Roman" w:hAnsi="Times New Roman" w:cs="Times New Roman"/>
        </w:rPr>
        <w:t xml:space="preserve">alle regole e alle raccomandazioni delle Circolari sul </w:t>
      </w:r>
      <w:r w:rsidR="00C04C08" w:rsidRPr="00C04C08">
        <w:rPr>
          <w:rFonts w:ascii="Times New Roman" w:hAnsi="Times New Roman" w:cs="Times New Roman"/>
          <w:i/>
        </w:rPr>
        <w:t>drafting</w:t>
      </w:r>
      <w:r w:rsidR="003C41C8" w:rsidRPr="00C46C09">
        <w:rPr>
          <w:rFonts w:ascii="Times New Roman" w:hAnsi="Times New Roman" w:cs="Times New Roman"/>
          <w:i/>
        </w:rPr>
        <w:t>.</w:t>
      </w:r>
      <w:r w:rsidR="003C41C8" w:rsidRPr="00C46C09">
        <w:rPr>
          <w:rFonts w:ascii="Times New Roman" w:hAnsi="Times New Roman" w:cs="Times New Roman"/>
        </w:rPr>
        <w:t xml:space="preserve"> </w:t>
      </w:r>
    </w:p>
    <w:p w14:paraId="43F005B0" w14:textId="77777777" w:rsidR="00A90484" w:rsidRPr="00C46C09" w:rsidRDefault="003C41C8" w:rsidP="00575506">
      <w:pPr>
        <w:tabs>
          <w:tab w:val="left" w:pos="426"/>
        </w:tabs>
        <w:spacing w:after="0" w:line="240" w:lineRule="auto"/>
        <w:ind w:firstLine="284"/>
        <w:jc w:val="both"/>
        <w:rPr>
          <w:rFonts w:ascii="Times New Roman" w:eastAsia="Times New Roman" w:hAnsi="Times New Roman" w:cs="Times New Roman"/>
          <w:lang w:eastAsia="it-IT"/>
        </w:rPr>
      </w:pPr>
      <w:r w:rsidRPr="00C46C09">
        <w:rPr>
          <w:rFonts w:ascii="Times New Roman" w:hAnsi="Times New Roman" w:cs="Times New Roman"/>
        </w:rPr>
        <w:t>Non solo</w:t>
      </w:r>
      <w:r w:rsidR="00A90484" w:rsidRPr="00C46C09">
        <w:rPr>
          <w:rFonts w:ascii="Times New Roman" w:hAnsi="Times New Roman" w:cs="Times New Roman"/>
        </w:rPr>
        <w:t>, ma l</w:t>
      </w:r>
      <w:r w:rsidRPr="00C46C09">
        <w:rPr>
          <w:rFonts w:ascii="Times New Roman" w:hAnsi="Times New Roman" w:cs="Times New Roman"/>
        </w:rPr>
        <w:t xml:space="preserve">’avvio di una periodica attività di programmazione offre l’occasione per </w:t>
      </w:r>
      <w:r w:rsidRPr="00C46C09">
        <w:rPr>
          <w:rFonts w:ascii="Times New Roman" w:eastAsia="Times New Roman" w:hAnsi="Times New Roman" w:cs="Times New Roman"/>
          <w:lang w:eastAsia="it-IT"/>
        </w:rPr>
        <w:t xml:space="preserve">superare una visione settoriale della produzione legislativa, spesso </w:t>
      </w:r>
      <w:r w:rsidR="00A90484" w:rsidRPr="00C46C09">
        <w:rPr>
          <w:rFonts w:ascii="Times New Roman" w:eastAsia="Times New Roman" w:hAnsi="Times New Roman" w:cs="Times New Roman"/>
          <w:lang w:eastAsia="it-IT"/>
        </w:rPr>
        <w:t>concentrata</w:t>
      </w:r>
      <w:r w:rsidRPr="00C46C09">
        <w:rPr>
          <w:rFonts w:ascii="Times New Roman" w:eastAsia="Times New Roman" w:hAnsi="Times New Roman" w:cs="Times New Roman"/>
          <w:lang w:eastAsia="it-IT"/>
        </w:rPr>
        <w:t xml:space="preserve"> sul singolo intervento normativo e sulle </w:t>
      </w:r>
      <w:r w:rsidR="00A90484" w:rsidRPr="00C46C09">
        <w:rPr>
          <w:rFonts w:ascii="Times New Roman" w:eastAsia="Times New Roman" w:hAnsi="Times New Roman" w:cs="Times New Roman"/>
          <w:lang w:eastAsia="it-IT"/>
        </w:rPr>
        <w:t xml:space="preserve">presupposte </w:t>
      </w:r>
      <w:r w:rsidRPr="00C46C09">
        <w:rPr>
          <w:rFonts w:ascii="Times New Roman" w:eastAsia="Times New Roman" w:hAnsi="Times New Roman" w:cs="Times New Roman"/>
          <w:lang w:eastAsia="it-IT"/>
        </w:rPr>
        <w:t>contingen</w:t>
      </w:r>
      <w:r w:rsidR="00A90484" w:rsidRPr="00C46C09">
        <w:rPr>
          <w:rFonts w:ascii="Times New Roman" w:eastAsia="Times New Roman" w:hAnsi="Times New Roman" w:cs="Times New Roman"/>
          <w:lang w:eastAsia="it-IT"/>
        </w:rPr>
        <w:t>ze</w:t>
      </w:r>
      <w:r w:rsidR="001C3611" w:rsidRPr="00C46C09">
        <w:rPr>
          <w:rStyle w:val="Rimandonotaapidipagina"/>
          <w:rFonts w:ascii="Times New Roman" w:eastAsia="Times New Roman" w:hAnsi="Times New Roman" w:cs="Times New Roman"/>
          <w:lang w:eastAsia="it-IT"/>
        </w:rPr>
        <w:footnoteReference w:id="25"/>
      </w:r>
      <w:r w:rsidRPr="00C46C09">
        <w:rPr>
          <w:rFonts w:ascii="Times New Roman" w:eastAsia="Times New Roman" w:hAnsi="Times New Roman" w:cs="Times New Roman"/>
          <w:lang w:eastAsia="it-IT"/>
        </w:rPr>
        <w:t xml:space="preserve">. </w:t>
      </w:r>
    </w:p>
    <w:p w14:paraId="6A171C75" w14:textId="77777777" w:rsidR="003C41C8" w:rsidRPr="00C46C09" w:rsidRDefault="00A90484" w:rsidP="00575506">
      <w:pPr>
        <w:tabs>
          <w:tab w:val="left" w:pos="426"/>
        </w:tabs>
        <w:spacing w:after="0" w:line="240" w:lineRule="auto"/>
        <w:ind w:firstLine="284"/>
        <w:jc w:val="both"/>
        <w:rPr>
          <w:rFonts w:ascii="Times New Roman" w:eastAsia="Times New Roman" w:hAnsi="Times New Roman" w:cs="Times New Roman"/>
          <w:color w:val="FF0000"/>
          <w:lang w:eastAsia="it-IT"/>
        </w:rPr>
      </w:pPr>
      <w:r w:rsidRPr="00C46C09">
        <w:rPr>
          <w:rFonts w:ascii="Times New Roman" w:eastAsia="Times New Roman" w:hAnsi="Times New Roman" w:cs="Times New Roman"/>
          <w:lang w:eastAsia="it-IT"/>
        </w:rPr>
        <w:t xml:space="preserve">Appare, invece, </w:t>
      </w:r>
      <w:r w:rsidR="003C41C8" w:rsidRPr="00C46C09">
        <w:rPr>
          <w:rFonts w:ascii="Times New Roman" w:eastAsia="Times New Roman" w:hAnsi="Times New Roman" w:cs="Times New Roman"/>
          <w:lang w:eastAsia="it-IT"/>
        </w:rPr>
        <w:t>necessario promuovere</w:t>
      </w:r>
      <w:r w:rsidRPr="00C46C09">
        <w:rPr>
          <w:rFonts w:ascii="Times New Roman" w:eastAsia="Times New Roman" w:hAnsi="Times New Roman" w:cs="Times New Roman"/>
          <w:lang w:eastAsia="it-IT"/>
        </w:rPr>
        <w:t xml:space="preserve"> </w:t>
      </w:r>
      <w:r w:rsidR="003C41C8" w:rsidRPr="00C46C09">
        <w:rPr>
          <w:rFonts w:ascii="Times New Roman" w:eastAsia="Times New Roman" w:hAnsi="Times New Roman" w:cs="Times New Roman"/>
          <w:lang w:eastAsia="it-IT"/>
        </w:rPr>
        <w:t xml:space="preserve">un approccio sistematico alla </w:t>
      </w:r>
      <w:r w:rsidRPr="00C46C09">
        <w:rPr>
          <w:rFonts w:ascii="Times New Roman" w:eastAsia="Times New Roman" w:hAnsi="Times New Roman" w:cs="Times New Roman"/>
          <w:lang w:eastAsia="it-IT"/>
        </w:rPr>
        <w:t>normazione</w:t>
      </w:r>
      <w:r w:rsidR="003C41C8" w:rsidRPr="00C46C09">
        <w:rPr>
          <w:rFonts w:ascii="Times New Roman" w:eastAsia="Times New Roman" w:hAnsi="Times New Roman" w:cs="Times New Roman"/>
          <w:lang w:eastAsia="it-IT"/>
        </w:rPr>
        <w:t xml:space="preserve">, </w:t>
      </w:r>
      <w:r w:rsidRPr="00C46C09">
        <w:rPr>
          <w:rFonts w:ascii="Times New Roman" w:eastAsia="Times New Roman" w:hAnsi="Times New Roman" w:cs="Times New Roman"/>
          <w:lang w:eastAsia="it-IT"/>
        </w:rPr>
        <w:t>da intendersi secondo l’innovativo paradigma</w:t>
      </w:r>
      <w:r w:rsidR="003C41C8" w:rsidRPr="00C46C09">
        <w:rPr>
          <w:rFonts w:ascii="Times New Roman" w:eastAsia="Times New Roman" w:hAnsi="Times New Roman" w:cs="Times New Roman"/>
          <w:lang w:eastAsia="it-IT"/>
        </w:rPr>
        <w:t xml:space="preserve"> d</w:t>
      </w:r>
      <w:r w:rsidRPr="00C46C09">
        <w:rPr>
          <w:rFonts w:ascii="Times New Roman" w:eastAsia="Times New Roman" w:hAnsi="Times New Roman" w:cs="Times New Roman"/>
          <w:lang w:eastAsia="it-IT"/>
        </w:rPr>
        <w:t>el</w:t>
      </w:r>
      <w:r w:rsidR="003C41C8" w:rsidRPr="00C46C09">
        <w:rPr>
          <w:rFonts w:ascii="Times New Roman" w:eastAsia="Times New Roman" w:hAnsi="Times New Roman" w:cs="Times New Roman"/>
          <w:lang w:eastAsia="it-IT"/>
        </w:rPr>
        <w:t xml:space="preserve"> ciclo della regolazione. </w:t>
      </w:r>
    </w:p>
    <w:p w14:paraId="13ABA772" w14:textId="77777777" w:rsidR="003C41C8" w:rsidRPr="00C46C09" w:rsidRDefault="003C41C8" w:rsidP="00575506">
      <w:pPr>
        <w:tabs>
          <w:tab w:val="left" w:pos="426"/>
        </w:tabs>
        <w:spacing w:after="0" w:line="240" w:lineRule="auto"/>
        <w:ind w:firstLine="284"/>
        <w:jc w:val="both"/>
        <w:rPr>
          <w:rFonts w:ascii="Times New Roman" w:eastAsia="Times New Roman" w:hAnsi="Times New Roman" w:cs="Times New Roman"/>
          <w:lang w:eastAsia="it-IT"/>
        </w:rPr>
      </w:pPr>
      <w:r w:rsidRPr="00C46C09">
        <w:rPr>
          <w:rFonts w:ascii="Times New Roman" w:eastAsia="Times New Roman" w:hAnsi="Times New Roman" w:cs="Times New Roman"/>
          <w:lang w:eastAsia="it-IT"/>
        </w:rPr>
        <w:t xml:space="preserve">Si tratta di un processo che consente una visione </w:t>
      </w:r>
      <w:r w:rsidR="00386176" w:rsidRPr="00C46C09">
        <w:rPr>
          <w:rFonts w:ascii="Times New Roman" w:eastAsia="Times New Roman" w:hAnsi="Times New Roman" w:cs="Times New Roman"/>
          <w:lang w:eastAsia="it-IT"/>
        </w:rPr>
        <w:t>sistematica e organica</w:t>
      </w:r>
      <w:r w:rsidRPr="00C46C09">
        <w:rPr>
          <w:rFonts w:ascii="Times New Roman" w:eastAsia="Times New Roman" w:hAnsi="Times New Roman" w:cs="Times New Roman"/>
          <w:lang w:eastAsia="it-IT"/>
        </w:rPr>
        <w:t xml:space="preserve"> del fenomeno regolatorio, </w:t>
      </w:r>
      <w:r w:rsidR="00386176" w:rsidRPr="00C46C09">
        <w:rPr>
          <w:rFonts w:ascii="Times New Roman" w:eastAsia="Times New Roman" w:hAnsi="Times New Roman" w:cs="Times New Roman"/>
          <w:lang w:eastAsia="it-IT"/>
        </w:rPr>
        <w:t>nella misura in cui esige</w:t>
      </w:r>
      <w:r w:rsidRPr="00C46C09">
        <w:rPr>
          <w:rFonts w:ascii="Times New Roman" w:eastAsia="Times New Roman" w:hAnsi="Times New Roman" w:cs="Times New Roman"/>
          <w:lang w:eastAsia="it-IT"/>
        </w:rPr>
        <w:t xml:space="preserve"> che il </w:t>
      </w:r>
      <w:r w:rsidR="00386176" w:rsidRPr="00C46C09">
        <w:rPr>
          <w:rFonts w:ascii="Times New Roman" w:eastAsia="Times New Roman" w:hAnsi="Times New Roman" w:cs="Times New Roman"/>
          <w:lang w:eastAsia="it-IT"/>
        </w:rPr>
        <w:t>L</w:t>
      </w:r>
      <w:r w:rsidRPr="00C46C09">
        <w:rPr>
          <w:rFonts w:ascii="Times New Roman" w:eastAsia="Times New Roman" w:hAnsi="Times New Roman" w:cs="Times New Roman"/>
          <w:lang w:eastAsia="it-IT"/>
        </w:rPr>
        <w:t xml:space="preserve">egislatore </w:t>
      </w:r>
      <w:r w:rsidR="00386176" w:rsidRPr="00C46C09">
        <w:rPr>
          <w:rFonts w:ascii="Times New Roman" w:eastAsia="Times New Roman" w:hAnsi="Times New Roman" w:cs="Times New Roman"/>
          <w:lang w:eastAsia="it-IT"/>
        </w:rPr>
        <w:t>dedichi</w:t>
      </w:r>
      <w:r w:rsidRPr="00C46C09">
        <w:rPr>
          <w:rFonts w:ascii="Times New Roman" w:eastAsia="Times New Roman" w:hAnsi="Times New Roman" w:cs="Times New Roman"/>
          <w:lang w:eastAsia="it-IT"/>
        </w:rPr>
        <w:t xml:space="preserve"> un’attenzione costante nei confronti del provvedimento normativo, tanto sul piano formale quanto su quello sostanziale, in ogni fase del procedimento, dalla sua iniziale ideazione e progettazione fino alle successive fasi di adozione, attuazione, implementazione e v</w:t>
      </w:r>
      <w:r w:rsidR="001A50A6" w:rsidRPr="00C46C09">
        <w:rPr>
          <w:rFonts w:ascii="Times New Roman" w:eastAsia="Times New Roman" w:hAnsi="Times New Roman" w:cs="Times New Roman"/>
          <w:lang w:eastAsia="it-IT"/>
        </w:rPr>
        <w:t>erifica dei risultati prodotti</w:t>
      </w:r>
      <w:r w:rsidRPr="00C46C09">
        <w:rPr>
          <w:rFonts w:ascii="Times New Roman" w:eastAsia="Times New Roman" w:hAnsi="Times New Roman" w:cs="Times New Roman"/>
          <w:lang w:eastAsia="it-IT"/>
        </w:rPr>
        <w:t>.</w:t>
      </w:r>
    </w:p>
    <w:p w14:paraId="3B438C51" w14:textId="77777777" w:rsidR="003C41C8" w:rsidRPr="00C46C09" w:rsidRDefault="00A363AE" w:rsidP="00575506">
      <w:pPr>
        <w:tabs>
          <w:tab w:val="left" w:pos="426"/>
        </w:tabs>
        <w:spacing w:after="0" w:line="240" w:lineRule="auto"/>
        <w:ind w:firstLine="284"/>
        <w:jc w:val="both"/>
        <w:rPr>
          <w:rFonts w:ascii="Times New Roman" w:eastAsia="Times New Roman" w:hAnsi="Times New Roman" w:cs="Times New Roman"/>
          <w:lang w:eastAsia="it-IT"/>
        </w:rPr>
      </w:pPr>
      <w:r w:rsidRPr="00C46C09">
        <w:rPr>
          <w:rFonts w:ascii="Times New Roman" w:eastAsia="Times New Roman" w:hAnsi="Times New Roman" w:cs="Times New Roman"/>
          <w:lang w:eastAsia="it-IT"/>
        </w:rPr>
        <w:t>Un approccio programmatico e ordinato all’attività normativa del Governo, già necessario in tempi ordinari, si dimostra, peraltro, ancora più ineludibile nell’attuale fase di attuazione del PNRR</w:t>
      </w:r>
      <w:r w:rsidR="00A1593D" w:rsidRPr="00C46C09">
        <w:rPr>
          <w:rStyle w:val="Rimandonotaapidipagina"/>
          <w:rFonts w:ascii="Times New Roman" w:eastAsia="Times New Roman" w:hAnsi="Times New Roman" w:cs="Times New Roman"/>
          <w:lang w:eastAsia="it-IT"/>
        </w:rPr>
        <w:footnoteReference w:id="26"/>
      </w:r>
      <w:r w:rsidRPr="00C46C09">
        <w:rPr>
          <w:rFonts w:ascii="Times New Roman" w:eastAsia="Times New Roman" w:hAnsi="Times New Roman" w:cs="Times New Roman"/>
          <w:lang w:eastAsia="it-IT"/>
        </w:rPr>
        <w:t>, che, per la sua struttura, esige il raggiungimento di obiettivi temporali indefettibili anche per l’approvazione di provvedimenti normativi</w:t>
      </w:r>
      <w:r w:rsidR="00B01D29" w:rsidRPr="00C46C09">
        <w:rPr>
          <w:rStyle w:val="Rimandonotaapidipagina"/>
          <w:rFonts w:ascii="Times New Roman" w:eastAsia="Times New Roman" w:hAnsi="Times New Roman" w:cs="Times New Roman"/>
          <w:lang w:eastAsia="it-IT"/>
        </w:rPr>
        <w:footnoteReference w:id="27"/>
      </w:r>
      <w:r w:rsidRPr="00C46C09">
        <w:rPr>
          <w:rFonts w:ascii="Times New Roman" w:eastAsia="Times New Roman" w:hAnsi="Times New Roman" w:cs="Times New Roman"/>
          <w:lang w:eastAsia="it-IT"/>
        </w:rPr>
        <w:t xml:space="preserve">.   </w:t>
      </w:r>
    </w:p>
    <w:p w14:paraId="296AD957" w14:textId="77777777" w:rsidR="00280F06" w:rsidRPr="00C46C09" w:rsidRDefault="007D57CE" w:rsidP="006277A5">
      <w:pPr>
        <w:pStyle w:val="Paragrafoelenco"/>
        <w:autoSpaceDE w:val="0"/>
        <w:autoSpaceDN w:val="0"/>
        <w:adjustRightInd w:val="0"/>
        <w:spacing w:after="0" w:line="240" w:lineRule="auto"/>
        <w:ind w:left="0"/>
        <w:jc w:val="both"/>
        <w:rPr>
          <w:rFonts w:ascii="Times New Roman" w:hAnsi="Times New Roman" w:cs="Times New Roman"/>
          <w:bCs/>
        </w:rPr>
      </w:pPr>
      <w:r w:rsidRPr="00C46C09">
        <w:rPr>
          <w:rFonts w:ascii="Times New Roman" w:hAnsi="Times New Roman" w:cs="Times New Roman"/>
          <w:b/>
          <w:bCs/>
        </w:rPr>
        <w:t xml:space="preserve"> </w:t>
      </w:r>
    </w:p>
    <w:p w14:paraId="0320B740" w14:textId="026B18C2" w:rsidR="0098553A" w:rsidRPr="00C46C09" w:rsidRDefault="00704A24" w:rsidP="006277A5">
      <w:pPr>
        <w:pStyle w:val="Paragrafoelenco"/>
        <w:autoSpaceDE w:val="0"/>
        <w:autoSpaceDN w:val="0"/>
        <w:adjustRightInd w:val="0"/>
        <w:spacing w:after="0" w:line="240" w:lineRule="auto"/>
        <w:ind w:left="0"/>
        <w:jc w:val="both"/>
        <w:rPr>
          <w:rFonts w:ascii="Times New Roman" w:hAnsi="Times New Roman" w:cs="Times New Roman"/>
          <w:b/>
          <w:bCs/>
        </w:rPr>
      </w:pPr>
      <w:r w:rsidRPr="00C46C09">
        <w:rPr>
          <w:rFonts w:ascii="Times New Roman" w:hAnsi="Times New Roman" w:cs="Times New Roman"/>
          <w:b/>
          <w:bCs/>
        </w:rPr>
        <w:t>5</w:t>
      </w:r>
      <w:r w:rsidR="00280F06" w:rsidRPr="00C46C09">
        <w:rPr>
          <w:rFonts w:ascii="Times New Roman" w:hAnsi="Times New Roman" w:cs="Times New Roman"/>
          <w:b/>
          <w:bCs/>
        </w:rPr>
        <w:t>. Il fenomeno dell’abuso delle der</w:t>
      </w:r>
      <w:r w:rsidR="00315AB2" w:rsidRPr="00C46C09">
        <w:rPr>
          <w:rFonts w:ascii="Times New Roman" w:hAnsi="Times New Roman" w:cs="Times New Roman"/>
          <w:b/>
          <w:bCs/>
        </w:rPr>
        <w:t>og</w:t>
      </w:r>
      <w:r w:rsidR="00280F06" w:rsidRPr="00C46C09">
        <w:rPr>
          <w:rFonts w:ascii="Times New Roman" w:hAnsi="Times New Roman" w:cs="Times New Roman"/>
          <w:b/>
          <w:bCs/>
        </w:rPr>
        <w:t xml:space="preserve">he e delle proroghe. </w:t>
      </w:r>
    </w:p>
    <w:p w14:paraId="6558EA22" w14:textId="77777777" w:rsidR="0098553A" w:rsidRPr="00C46C09" w:rsidRDefault="0098553A" w:rsidP="00575506">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Un altro fenomeno disordinato che la nuova direttiva non potrà trascurare di considerare (e tentare di risolvere) è quello dell’abuso delle disposizioni derogatorie</w:t>
      </w:r>
      <w:r w:rsidR="00365D56" w:rsidRPr="00C46C09">
        <w:rPr>
          <w:rStyle w:val="Rimandonotaapidipagina"/>
          <w:rFonts w:ascii="Times New Roman" w:hAnsi="Times New Roman" w:cs="Times New Roman"/>
        </w:rPr>
        <w:footnoteReference w:id="28"/>
      </w:r>
      <w:r w:rsidRPr="00C46C09">
        <w:rPr>
          <w:rFonts w:ascii="Times New Roman" w:hAnsi="Times New Roman" w:cs="Times New Roman"/>
        </w:rPr>
        <w:t xml:space="preserve"> e di quelle di proroga</w:t>
      </w:r>
      <w:r w:rsidR="00C84508" w:rsidRPr="00C46C09">
        <w:rPr>
          <w:rStyle w:val="Rimandonotaapidipagina"/>
          <w:rFonts w:ascii="Times New Roman" w:hAnsi="Times New Roman" w:cs="Times New Roman"/>
        </w:rPr>
        <w:footnoteReference w:id="29"/>
      </w:r>
      <w:r w:rsidRPr="00C46C09">
        <w:rPr>
          <w:rFonts w:ascii="Times New Roman" w:hAnsi="Times New Roman" w:cs="Times New Roman"/>
        </w:rPr>
        <w:t xml:space="preserve"> di norme che presentano un’efficacia temp</w:t>
      </w:r>
      <w:r w:rsidR="00365D56" w:rsidRPr="00C46C09">
        <w:rPr>
          <w:rFonts w:ascii="Times New Roman" w:hAnsi="Times New Roman" w:cs="Times New Roman"/>
        </w:rPr>
        <w:t>o</w:t>
      </w:r>
      <w:r w:rsidRPr="00C46C09">
        <w:rPr>
          <w:rFonts w:ascii="Times New Roman" w:hAnsi="Times New Roman" w:cs="Times New Roman"/>
        </w:rPr>
        <w:t>rale limitata.</w:t>
      </w:r>
    </w:p>
    <w:p w14:paraId="1F1AF996" w14:textId="0D26476B" w:rsidR="00DF635C" w:rsidRPr="00C46C09" w:rsidRDefault="00920E41" w:rsidP="00575506">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 xml:space="preserve">Tale fenomeno, già </w:t>
      </w:r>
      <w:r w:rsidR="00DF635C" w:rsidRPr="00C46C09">
        <w:rPr>
          <w:rFonts w:ascii="Times New Roman" w:hAnsi="Times New Roman" w:cs="Times New Roman"/>
        </w:rPr>
        <w:t>ampiamente diffuso, si è aggravato (negli ultimi due anni) in ragione della gestione emergenziale delle crisi indotte dalla pandemia.</w:t>
      </w:r>
    </w:p>
    <w:p w14:paraId="68E5C429" w14:textId="08FCE6D2" w:rsidR="00DF635C" w:rsidRPr="00C46C09" w:rsidRDefault="00DF635C" w:rsidP="00575506">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 xml:space="preserve">Le esigenze di amministrazione </w:t>
      </w:r>
      <w:r w:rsidRPr="00667F37">
        <w:rPr>
          <w:rFonts w:ascii="Times New Roman" w:hAnsi="Times New Roman" w:cs="Times New Roman"/>
          <w:i/>
          <w:iCs/>
        </w:rPr>
        <w:t>extra ordinem</w:t>
      </w:r>
      <w:r w:rsidRPr="00C46C09">
        <w:rPr>
          <w:rFonts w:ascii="Times New Roman" w:hAnsi="Times New Roman" w:cs="Times New Roman"/>
        </w:rPr>
        <w:t xml:space="preserve"> di importanti settori dell’ordinamento ha</w:t>
      </w:r>
      <w:r w:rsidR="00E8588D">
        <w:rPr>
          <w:rFonts w:ascii="Times New Roman" w:hAnsi="Times New Roman" w:cs="Times New Roman"/>
        </w:rPr>
        <w:t>nno</w:t>
      </w:r>
      <w:r w:rsidRPr="00C46C09">
        <w:rPr>
          <w:rFonts w:ascii="Times New Roman" w:hAnsi="Times New Roman" w:cs="Times New Roman"/>
        </w:rPr>
        <w:t xml:space="preserve"> prodotto, in particolare, la necessità di introdurre regimi derogator</w:t>
      </w:r>
      <w:r w:rsidR="003949C5">
        <w:rPr>
          <w:rFonts w:ascii="Times New Roman" w:hAnsi="Times New Roman" w:cs="Times New Roman"/>
        </w:rPr>
        <w:t>i e speciali per fronteggiare situazioni critiche</w:t>
      </w:r>
      <w:r w:rsidRPr="00C46C09">
        <w:rPr>
          <w:rFonts w:ascii="Times New Roman" w:hAnsi="Times New Roman" w:cs="Times New Roman"/>
        </w:rPr>
        <w:t>.</w:t>
      </w:r>
    </w:p>
    <w:p w14:paraId="51A33C79" w14:textId="77777777" w:rsidR="00DF635C" w:rsidRPr="00C46C09" w:rsidRDefault="00DF635C" w:rsidP="00575506">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 xml:space="preserve">Tali interventi, </w:t>
      </w:r>
      <w:r w:rsidR="00352335" w:rsidRPr="00C46C09">
        <w:rPr>
          <w:rFonts w:ascii="Times New Roman" w:hAnsi="Times New Roman" w:cs="Times New Roman"/>
        </w:rPr>
        <w:t>ancorché</w:t>
      </w:r>
      <w:r w:rsidRPr="00C46C09">
        <w:rPr>
          <w:rFonts w:ascii="Times New Roman" w:hAnsi="Times New Roman" w:cs="Times New Roman"/>
        </w:rPr>
        <w:t xml:space="preserve"> giustificati nelle fasi più acute dell’emergenza sanitaria, rischiano, adesso, di stabilizzarsi, mediante il consolidamento strutturale e diffuso di regimi speciali</w:t>
      </w:r>
      <w:r w:rsidR="00F810EC" w:rsidRPr="00C46C09">
        <w:rPr>
          <w:rFonts w:ascii="Times New Roman" w:hAnsi="Times New Roman" w:cs="Times New Roman"/>
        </w:rPr>
        <w:t xml:space="preserve"> (anche per effetto della proroga dei relativi termini di scadenza)</w:t>
      </w:r>
      <w:r w:rsidRPr="00C46C09">
        <w:rPr>
          <w:rFonts w:ascii="Times New Roman" w:hAnsi="Times New Roman" w:cs="Times New Roman"/>
        </w:rPr>
        <w:t>.</w:t>
      </w:r>
    </w:p>
    <w:p w14:paraId="7E53D727" w14:textId="77777777" w:rsidR="00DF635C" w:rsidRPr="00C46C09" w:rsidRDefault="00DF635C" w:rsidP="00575506">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Si tratta di un rischio che va scongiurato, per la sua capacità di alterare, in maniera incontrollata e disorganica, la tenuta dell’ordinamento, che tollera, sì, regimi derogatori, ma solo a condizione che siano effettivamente giustificati da circostanze eccezionali e, soprattutto, che restino limitati nel tempo.</w:t>
      </w:r>
    </w:p>
    <w:p w14:paraId="7171F444" w14:textId="77777777" w:rsidR="002467A3" w:rsidRPr="00C46C09" w:rsidRDefault="002467A3" w:rsidP="00575506">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 xml:space="preserve">L’introduzione, o il mantenimento, di discipline speciali postula, in altri termini, che il regime </w:t>
      </w:r>
      <w:r w:rsidRPr="00667F37">
        <w:rPr>
          <w:rFonts w:ascii="Times New Roman" w:hAnsi="Times New Roman" w:cs="Times New Roman"/>
          <w:i/>
          <w:iCs/>
        </w:rPr>
        <w:t>extra ordinem</w:t>
      </w:r>
      <w:r w:rsidRPr="00C46C09">
        <w:rPr>
          <w:rFonts w:ascii="Times New Roman" w:hAnsi="Times New Roman" w:cs="Times New Roman"/>
        </w:rPr>
        <w:t xml:space="preserve"> obbedisca ad esigenze straordinarie e contingenti.</w:t>
      </w:r>
    </w:p>
    <w:p w14:paraId="3BB4D3B5" w14:textId="381CEC4C" w:rsidR="001A6047" w:rsidRPr="00C46C09" w:rsidRDefault="002467A3" w:rsidP="00575506">
      <w:pPr>
        <w:pStyle w:val="Paragrafoelenco"/>
        <w:spacing w:after="0" w:line="240" w:lineRule="auto"/>
        <w:ind w:left="0" w:firstLine="284"/>
        <w:jc w:val="both"/>
        <w:rPr>
          <w:rFonts w:ascii="Times New Roman" w:hAnsi="Times New Roman" w:cs="Times New Roman"/>
          <w:bCs/>
        </w:rPr>
      </w:pPr>
      <w:r w:rsidRPr="00C46C09">
        <w:rPr>
          <w:rFonts w:ascii="Times New Roman" w:hAnsi="Times New Roman" w:cs="Times New Roman"/>
        </w:rPr>
        <w:t>Ove, invece, dovesse emergere</w:t>
      </w:r>
      <w:r w:rsidR="001A6047" w:rsidRPr="00C46C09">
        <w:rPr>
          <w:rFonts w:ascii="Times New Roman" w:hAnsi="Times New Roman" w:cs="Times New Roman"/>
        </w:rPr>
        <w:t xml:space="preserve"> che l’istanza di regolazione, </w:t>
      </w:r>
      <w:r w:rsidR="00352335" w:rsidRPr="00C46C09">
        <w:rPr>
          <w:rFonts w:ascii="Times New Roman" w:hAnsi="Times New Roman" w:cs="Times New Roman"/>
        </w:rPr>
        <w:t>ancorché</w:t>
      </w:r>
      <w:r w:rsidR="001A6047" w:rsidRPr="00C46C09">
        <w:rPr>
          <w:rFonts w:ascii="Times New Roman" w:hAnsi="Times New Roman" w:cs="Times New Roman"/>
        </w:rPr>
        <w:t xml:space="preserve"> </w:t>
      </w:r>
      <w:r w:rsidR="003949C5">
        <w:rPr>
          <w:rFonts w:ascii="Times New Roman" w:hAnsi="Times New Roman" w:cs="Times New Roman"/>
        </w:rPr>
        <w:t xml:space="preserve">geneticamente </w:t>
      </w:r>
      <w:r w:rsidR="001A6047" w:rsidRPr="00C46C09">
        <w:rPr>
          <w:rFonts w:ascii="Times New Roman" w:hAnsi="Times New Roman" w:cs="Times New Roman"/>
        </w:rPr>
        <w:t>connessa all’esigenza di fro</w:t>
      </w:r>
      <w:r w:rsidR="00F810EC" w:rsidRPr="00C46C09">
        <w:rPr>
          <w:rFonts w:ascii="Times New Roman" w:hAnsi="Times New Roman" w:cs="Times New Roman"/>
        </w:rPr>
        <w:t>n</w:t>
      </w:r>
      <w:r w:rsidR="001A6047" w:rsidRPr="00C46C09">
        <w:rPr>
          <w:rFonts w:ascii="Times New Roman" w:hAnsi="Times New Roman" w:cs="Times New Roman"/>
        </w:rPr>
        <w:t xml:space="preserve">teggiare una situazione critica, </w:t>
      </w:r>
      <w:r w:rsidR="001A6047" w:rsidRPr="00C46C09">
        <w:rPr>
          <w:rFonts w:ascii="Times New Roman" w:hAnsi="Times New Roman" w:cs="Times New Roman"/>
          <w:bCs/>
        </w:rPr>
        <w:t>non si limiti a rispondere ad una necessità contingente ma obbedisca a una necessità (stabile) di semplificazione o di miglioramento dell’azione amministrativa, le Amministrazioni proponent</w:t>
      </w:r>
      <w:r w:rsidR="00365D56" w:rsidRPr="00C46C09">
        <w:rPr>
          <w:rFonts w:ascii="Times New Roman" w:hAnsi="Times New Roman" w:cs="Times New Roman"/>
          <w:bCs/>
        </w:rPr>
        <w:t>i</w:t>
      </w:r>
      <w:r w:rsidR="001A6047" w:rsidRPr="00C46C09">
        <w:rPr>
          <w:rFonts w:ascii="Times New Roman" w:hAnsi="Times New Roman" w:cs="Times New Roman"/>
          <w:bCs/>
        </w:rPr>
        <w:t xml:space="preserve"> dovranno valutare l’opportunità di sottoporre a revisione la legislazione vigente ordinaria, anziché introdurre disposizioni speciali</w:t>
      </w:r>
      <w:r w:rsidR="00FD7849" w:rsidRPr="00C46C09">
        <w:rPr>
          <w:rStyle w:val="Rimandonotaapidipagina"/>
          <w:rFonts w:ascii="Times New Roman" w:hAnsi="Times New Roman" w:cs="Times New Roman"/>
          <w:bCs/>
        </w:rPr>
        <w:footnoteReference w:id="30"/>
      </w:r>
      <w:r w:rsidR="001A6047" w:rsidRPr="00C46C09">
        <w:rPr>
          <w:rFonts w:ascii="Times New Roman" w:hAnsi="Times New Roman" w:cs="Times New Roman"/>
          <w:bCs/>
        </w:rPr>
        <w:t>.</w:t>
      </w:r>
    </w:p>
    <w:p w14:paraId="232A9C19" w14:textId="77777777" w:rsidR="001A6047" w:rsidRPr="00C46C09" w:rsidRDefault="001A6047" w:rsidP="00575506">
      <w:pPr>
        <w:pStyle w:val="Paragrafoelenco"/>
        <w:spacing w:after="0" w:line="240" w:lineRule="auto"/>
        <w:ind w:left="0" w:firstLine="284"/>
        <w:jc w:val="both"/>
        <w:rPr>
          <w:rFonts w:ascii="Times New Roman" w:hAnsi="Times New Roman" w:cs="Times New Roman"/>
          <w:bCs/>
        </w:rPr>
      </w:pPr>
      <w:r w:rsidRPr="00C46C09">
        <w:rPr>
          <w:rFonts w:ascii="Times New Roman" w:hAnsi="Times New Roman" w:cs="Times New Roman"/>
          <w:bCs/>
        </w:rPr>
        <w:t>In altri termini, dev’essere evitato il pericolo della stabilizzazione temporale di regimi speciali, con la permanenza (del tutto irragionevole), per un lasso di tempo indeterminato, di una disciplina ordinaria e di una disciplina speciale, senza che quest’ultima resti giustificata da situazioni contingenti e transitorie.</w:t>
      </w:r>
    </w:p>
    <w:p w14:paraId="34B340A7" w14:textId="0AA65B8B" w:rsidR="00F810EC" w:rsidRPr="00C46C09" w:rsidRDefault="001A6047" w:rsidP="00575506">
      <w:pPr>
        <w:pStyle w:val="Paragrafoelenco"/>
        <w:spacing w:after="0" w:line="240" w:lineRule="auto"/>
        <w:ind w:left="0" w:firstLine="284"/>
        <w:jc w:val="both"/>
        <w:rPr>
          <w:rFonts w:ascii="Times New Roman" w:hAnsi="Times New Roman" w:cs="Times New Roman"/>
          <w:bCs/>
        </w:rPr>
      </w:pPr>
      <w:r w:rsidRPr="00C46C09">
        <w:rPr>
          <w:rFonts w:ascii="Times New Roman" w:hAnsi="Times New Roman" w:cs="Times New Roman"/>
          <w:bCs/>
        </w:rPr>
        <w:t xml:space="preserve">Rimane, ovviamente, ferma la regola generale, di </w:t>
      </w:r>
      <w:r w:rsidR="00C04C08" w:rsidRPr="00C04C08">
        <w:rPr>
          <w:rFonts w:ascii="Times New Roman" w:hAnsi="Times New Roman" w:cs="Times New Roman"/>
          <w:bCs/>
          <w:i/>
        </w:rPr>
        <w:t>drafting</w:t>
      </w:r>
      <w:r w:rsidRPr="00C46C09">
        <w:rPr>
          <w:rFonts w:ascii="Times New Roman" w:hAnsi="Times New Roman" w:cs="Times New Roman"/>
          <w:bCs/>
        </w:rPr>
        <w:t xml:space="preserve"> formale, secondo cui ogni disposizione derogato</w:t>
      </w:r>
      <w:r w:rsidR="003949C5">
        <w:rPr>
          <w:rFonts w:ascii="Times New Roman" w:hAnsi="Times New Roman" w:cs="Times New Roman"/>
          <w:bCs/>
        </w:rPr>
        <w:t>ria dev’essere costruita in modo</w:t>
      </w:r>
      <w:r w:rsidRPr="00C46C09">
        <w:rPr>
          <w:rFonts w:ascii="Times New Roman" w:hAnsi="Times New Roman" w:cs="Times New Roman"/>
          <w:bCs/>
        </w:rPr>
        <w:t xml:space="preserve"> da indicare in man</w:t>
      </w:r>
      <w:r w:rsidR="00F810EC" w:rsidRPr="00C46C09">
        <w:rPr>
          <w:rFonts w:ascii="Times New Roman" w:hAnsi="Times New Roman" w:cs="Times New Roman"/>
          <w:bCs/>
        </w:rPr>
        <w:t>i</w:t>
      </w:r>
      <w:r w:rsidRPr="00C46C09">
        <w:rPr>
          <w:rFonts w:ascii="Times New Roman" w:hAnsi="Times New Roman" w:cs="Times New Roman"/>
          <w:bCs/>
        </w:rPr>
        <w:t xml:space="preserve">era univoca </w:t>
      </w:r>
      <w:r w:rsidR="00F810EC" w:rsidRPr="00C46C09">
        <w:rPr>
          <w:rFonts w:ascii="Times New Roman" w:hAnsi="Times New Roman" w:cs="Times New Roman"/>
          <w:bCs/>
        </w:rPr>
        <w:t>la disposizione legislativa derogata, l’oggetto della deroga e la scadenza temporale del regime speciale.</w:t>
      </w:r>
    </w:p>
    <w:p w14:paraId="5BC40AC7" w14:textId="77777777" w:rsidR="00F810EC" w:rsidRPr="00C46C09" w:rsidRDefault="00F810EC" w:rsidP="00575506">
      <w:pPr>
        <w:pStyle w:val="Paragrafoelenco"/>
        <w:spacing w:after="0" w:line="240" w:lineRule="auto"/>
        <w:ind w:left="0" w:firstLine="284"/>
        <w:jc w:val="both"/>
        <w:rPr>
          <w:rFonts w:ascii="Times New Roman" w:hAnsi="Times New Roman" w:cs="Times New Roman"/>
          <w:bCs/>
        </w:rPr>
      </w:pPr>
      <w:r w:rsidRPr="00C46C09">
        <w:rPr>
          <w:rFonts w:ascii="Times New Roman" w:hAnsi="Times New Roman" w:cs="Times New Roman"/>
          <w:bCs/>
        </w:rPr>
        <w:t>Un altro fenomeno da correggere è quello dell’abuso delle</w:t>
      </w:r>
      <w:r w:rsidR="00D52CC6" w:rsidRPr="00C46C09">
        <w:rPr>
          <w:rFonts w:ascii="Times New Roman" w:hAnsi="Times New Roman" w:cs="Times New Roman"/>
          <w:bCs/>
        </w:rPr>
        <w:t xml:space="preserve"> </w:t>
      </w:r>
      <w:r w:rsidRPr="00C46C09">
        <w:rPr>
          <w:rFonts w:ascii="Times New Roman" w:hAnsi="Times New Roman" w:cs="Times New Roman"/>
          <w:bCs/>
        </w:rPr>
        <w:t>disposizion</w:t>
      </w:r>
      <w:r w:rsidR="00D52CC6" w:rsidRPr="00C46C09">
        <w:rPr>
          <w:rFonts w:ascii="Times New Roman" w:hAnsi="Times New Roman" w:cs="Times New Roman"/>
          <w:bCs/>
        </w:rPr>
        <w:t>i</w:t>
      </w:r>
      <w:r w:rsidRPr="00C46C09">
        <w:rPr>
          <w:rFonts w:ascii="Times New Roman" w:hAnsi="Times New Roman" w:cs="Times New Roman"/>
          <w:bCs/>
        </w:rPr>
        <w:t xml:space="preserve"> di proroga di termini legislativi</w:t>
      </w:r>
      <w:r w:rsidR="00F02C85" w:rsidRPr="00C46C09">
        <w:rPr>
          <w:rFonts w:ascii="Times New Roman" w:hAnsi="Times New Roman" w:cs="Times New Roman"/>
          <w:bCs/>
        </w:rPr>
        <w:t xml:space="preserve"> (che ha generato la prassi dei c.d. decreti legge milleproroghe).</w:t>
      </w:r>
    </w:p>
    <w:p w14:paraId="0ADE5268" w14:textId="1B49FC50" w:rsidR="0026287F" w:rsidRPr="00C46C09" w:rsidRDefault="007B525D" w:rsidP="00575506">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Anche in questo caso, occorre raccomandare alle Amministrazioni, innanzitutto, di limitar</w:t>
      </w:r>
      <w:r w:rsidR="0005540E">
        <w:rPr>
          <w:rFonts w:ascii="Times New Roman" w:hAnsi="Times New Roman" w:cs="Times New Roman"/>
        </w:rPr>
        <w:t>e le proposte di norme che presentano</w:t>
      </w:r>
      <w:r w:rsidRPr="00C46C09">
        <w:rPr>
          <w:rFonts w:ascii="Times New Roman" w:hAnsi="Times New Roman" w:cs="Times New Roman"/>
        </w:rPr>
        <w:t xml:space="preserve"> un orizzonte temporale di efficacia limitato alle sole disposizioni che obbediscono a esigenze regolative transitorie e, soprattutto, una volta introdotte, di</w:t>
      </w:r>
      <w:r w:rsidR="00FB2FD7" w:rsidRPr="00C46C09">
        <w:rPr>
          <w:rFonts w:ascii="Times New Roman" w:hAnsi="Times New Roman" w:cs="Times New Roman"/>
        </w:rPr>
        <w:t xml:space="preserve"> contenere</w:t>
      </w:r>
      <w:r w:rsidR="0026287F" w:rsidRPr="00C46C09">
        <w:rPr>
          <w:rFonts w:ascii="Times New Roman" w:hAnsi="Times New Roman" w:cs="Times New Roman"/>
        </w:rPr>
        <w:t xml:space="preserve"> le proroghe alle sole situazioni</w:t>
      </w:r>
      <w:r w:rsidR="00AE34ED" w:rsidRPr="00C46C09">
        <w:rPr>
          <w:rFonts w:ascii="Times New Roman" w:hAnsi="Times New Roman" w:cs="Times New Roman"/>
        </w:rPr>
        <w:t xml:space="preserve"> eccezionali nelle quali le esigenze di intervento s</w:t>
      </w:r>
      <w:r w:rsidR="0026287F" w:rsidRPr="00C46C09">
        <w:rPr>
          <w:rFonts w:ascii="Times New Roman" w:hAnsi="Times New Roman" w:cs="Times New Roman"/>
        </w:rPr>
        <w:t>i protraggano in concreto oltre le previsioni e le valutazioni che hanno generato e giustificato l’intervento originario.</w:t>
      </w:r>
    </w:p>
    <w:p w14:paraId="0E0C18A8" w14:textId="37562596" w:rsidR="0026287F" w:rsidRPr="00C46C09" w:rsidRDefault="0026287F" w:rsidP="00575506">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Si tratta di evitare il rischio (purtroppo non solo astratto) della permanenza nell’ordinamento di norme concepite con un’efficacia temporale limitata di un anno e che resistono</w:t>
      </w:r>
      <w:r w:rsidR="007B525D" w:rsidRPr="00C46C09">
        <w:rPr>
          <w:rFonts w:ascii="Times New Roman" w:hAnsi="Times New Roman" w:cs="Times New Roman"/>
        </w:rPr>
        <w:t xml:space="preserve"> </w:t>
      </w:r>
      <w:r w:rsidRPr="00C46C09">
        <w:rPr>
          <w:rFonts w:ascii="Times New Roman" w:hAnsi="Times New Roman" w:cs="Times New Roman"/>
        </w:rPr>
        <w:t xml:space="preserve">per molti anni (anche più di dieci, in alcuni casi), tradendo, così, la </w:t>
      </w:r>
      <w:r w:rsidR="00FB2FD7" w:rsidRPr="00C46C09">
        <w:rPr>
          <w:rFonts w:ascii="Times New Roman" w:hAnsi="Times New Roman" w:cs="Times New Roman"/>
        </w:rPr>
        <w:t xml:space="preserve">loro </w:t>
      </w:r>
      <w:r w:rsidRPr="00C46C09">
        <w:rPr>
          <w:rFonts w:ascii="Times New Roman" w:hAnsi="Times New Roman" w:cs="Times New Roman"/>
        </w:rPr>
        <w:t>struttura ontologica di disposizioni temporanee.</w:t>
      </w:r>
    </w:p>
    <w:p w14:paraId="011A9357" w14:textId="77777777" w:rsidR="00C54F22" w:rsidRPr="00C46C09" w:rsidRDefault="0026287F" w:rsidP="00575506">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 xml:space="preserve">Si dovrà, quindi, prima di assentire ulteriori proroghe, </w:t>
      </w:r>
      <w:r w:rsidR="00065DFB" w:rsidRPr="00C46C09">
        <w:rPr>
          <w:rFonts w:ascii="Times New Roman" w:hAnsi="Times New Roman" w:cs="Times New Roman"/>
        </w:rPr>
        <w:t xml:space="preserve">compiere una </w:t>
      </w:r>
      <w:r w:rsidR="00C54F22" w:rsidRPr="00C46C09">
        <w:rPr>
          <w:rFonts w:ascii="Times New Roman" w:hAnsi="Times New Roman" w:cs="Times New Roman"/>
        </w:rPr>
        <w:t xml:space="preserve">necessaria </w:t>
      </w:r>
      <w:r w:rsidR="00065DFB" w:rsidRPr="00C46C09">
        <w:rPr>
          <w:rFonts w:ascii="Times New Roman" w:hAnsi="Times New Roman" w:cs="Times New Roman"/>
        </w:rPr>
        <w:t>verifica</w:t>
      </w:r>
      <w:r w:rsidR="00C54F22" w:rsidRPr="00C46C09">
        <w:rPr>
          <w:rFonts w:ascii="Times New Roman" w:hAnsi="Times New Roman" w:cs="Times New Roman"/>
        </w:rPr>
        <w:t xml:space="preserve"> sulla </w:t>
      </w:r>
      <w:r w:rsidR="00FB2FD7" w:rsidRPr="00C46C09">
        <w:rPr>
          <w:rFonts w:ascii="Times New Roman" w:hAnsi="Times New Roman" w:cs="Times New Roman"/>
        </w:rPr>
        <w:t xml:space="preserve">effettiva </w:t>
      </w:r>
      <w:r w:rsidR="00C54F22" w:rsidRPr="00C46C09">
        <w:rPr>
          <w:rFonts w:ascii="Times New Roman" w:hAnsi="Times New Roman" w:cs="Times New Roman"/>
        </w:rPr>
        <w:t>persistenza delle esigenze contingenti che hanno determinato l’intervento.</w:t>
      </w:r>
    </w:p>
    <w:p w14:paraId="73932DD2" w14:textId="07D7BA6D" w:rsidR="00344A52" w:rsidRPr="00C46C09" w:rsidRDefault="00C54F22" w:rsidP="00575506">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All’esito di tale analisi, si dovranno valutare le seguenti tre opzioni: a) non prorogare la norma e lasciare, quindi, che esaurisca definitivamente i suoi effetti, ovviamente nell’ipotesi in cui risultino cessate le presupposte esigenze regolator</w:t>
      </w:r>
      <w:r w:rsidR="00FB2FD7" w:rsidRPr="00C46C09">
        <w:rPr>
          <w:rFonts w:ascii="Times New Roman" w:hAnsi="Times New Roman" w:cs="Times New Roman"/>
        </w:rPr>
        <w:t>i</w:t>
      </w:r>
      <w:r w:rsidRPr="00C46C09">
        <w:rPr>
          <w:rFonts w:ascii="Times New Roman" w:hAnsi="Times New Roman" w:cs="Times New Roman"/>
        </w:rPr>
        <w:t>e; b) eliminare la scadenza temporale e stabilizzare la disposizione, quando</w:t>
      </w:r>
      <w:r w:rsidR="00344A52" w:rsidRPr="00C46C09">
        <w:rPr>
          <w:rFonts w:ascii="Times New Roman" w:hAnsi="Times New Roman" w:cs="Times New Roman"/>
        </w:rPr>
        <w:t xml:space="preserve"> dall’analisi emerga il carattere stabile e strutturale (e no</w:t>
      </w:r>
      <w:r w:rsidR="003949C5">
        <w:rPr>
          <w:rFonts w:ascii="Times New Roman" w:hAnsi="Times New Roman" w:cs="Times New Roman"/>
        </w:rPr>
        <w:t>n più contingente) della necessità normativa</w:t>
      </w:r>
      <w:r w:rsidR="00344A52" w:rsidRPr="00C46C09">
        <w:rPr>
          <w:rFonts w:ascii="Times New Roman" w:hAnsi="Times New Roman" w:cs="Times New Roman"/>
        </w:rPr>
        <w:t>; c) prorogare ulteriormente la norma, nei casi in cui persista la temporan</w:t>
      </w:r>
      <w:r w:rsidR="003949C5">
        <w:rPr>
          <w:rFonts w:ascii="Times New Roman" w:hAnsi="Times New Roman" w:cs="Times New Roman"/>
        </w:rPr>
        <w:t>eità dell’esigenza</w:t>
      </w:r>
      <w:r w:rsidR="00344A52" w:rsidRPr="00C46C09">
        <w:rPr>
          <w:rFonts w:ascii="Times New Roman" w:hAnsi="Times New Roman" w:cs="Times New Roman"/>
        </w:rPr>
        <w:t xml:space="preserve"> (ma a condizione che la presupposta analisi sia s</w:t>
      </w:r>
      <w:r w:rsidR="00FB2FD7" w:rsidRPr="00C46C09">
        <w:rPr>
          <w:rFonts w:ascii="Times New Roman" w:hAnsi="Times New Roman" w:cs="Times New Roman"/>
        </w:rPr>
        <w:t>tata condotta con scrupolo e rivel</w:t>
      </w:r>
      <w:r w:rsidR="00344A52" w:rsidRPr="00C46C09">
        <w:rPr>
          <w:rFonts w:ascii="Times New Roman" w:hAnsi="Times New Roman" w:cs="Times New Roman"/>
        </w:rPr>
        <w:t xml:space="preserve">i il carattere effettivamente transitorio dell’esigenza di una normazione a tempo).  </w:t>
      </w:r>
    </w:p>
    <w:p w14:paraId="7051BA7D" w14:textId="77777777" w:rsidR="00B072CA" w:rsidRPr="00C46C09" w:rsidRDefault="00344A52" w:rsidP="00575506">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 xml:space="preserve">Seguendo tale metodo, dovrebbero evitarsi reiterazioni indefinite di norme originariamente concepite e giustificate come temporanee. </w:t>
      </w:r>
    </w:p>
    <w:p w14:paraId="0A6C33B1" w14:textId="77777777" w:rsidR="00280F06" w:rsidRPr="00C46C09" w:rsidRDefault="00344A52" w:rsidP="006277A5">
      <w:pPr>
        <w:pStyle w:val="Paragrafoelenco"/>
        <w:autoSpaceDE w:val="0"/>
        <w:autoSpaceDN w:val="0"/>
        <w:adjustRightInd w:val="0"/>
        <w:spacing w:after="0" w:line="240" w:lineRule="auto"/>
        <w:ind w:left="0"/>
        <w:jc w:val="both"/>
        <w:rPr>
          <w:rFonts w:ascii="Times New Roman" w:hAnsi="Times New Roman" w:cs="Times New Roman"/>
        </w:rPr>
      </w:pPr>
      <w:r w:rsidRPr="00C46C09">
        <w:rPr>
          <w:rFonts w:ascii="Times New Roman" w:hAnsi="Times New Roman" w:cs="Times New Roman"/>
        </w:rPr>
        <w:t xml:space="preserve"> </w:t>
      </w:r>
      <w:r w:rsidR="00C54F22" w:rsidRPr="00C46C09">
        <w:rPr>
          <w:rFonts w:ascii="Times New Roman" w:hAnsi="Times New Roman" w:cs="Times New Roman"/>
        </w:rPr>
        <w:t xml:space="preserve"> </w:t>
      </w:r>
      <w:r w:rsidR="00065DFB" w:rsidRPr="00C46C09">
        <w:rPr>
          <w:rFonts w:ascii="Times New Roman" w:hAnsi="Times New Roman" w:cs="Times New Roman"/>
        </w:rPr>
        <w:t xml:space="preserve"> </w:t>
      </w:r>
      <w:r w:rsidR="0026287F" w:rsidRPr="00C46C09">
        <w:rPr>
          <w:rFonts w:ascii="Times New Roman" w:hAnsi="Times New Roman" w:cs="Times New Roman"/>
        </w:rPr>
        <w:t xml:space="preserve"> </w:t>
      </w:r>
    </w:p>
    <w:p w14:paraId="7407BE87" w14:textId="1ACF0830" w:rsidR="005E3DC3" w:rsidRPr="00C46C09" w:rsidRDefault="00B072CA" w:rsidP="006277A5">
      <w:pPr>
        <w:pStyle w:val="Paragrafoelenco"/>
        <w:autoSpaceDE w:val="0"/>
        <w:autoSpaceDN w:val="0"/>
        <w:adjustRightInd w:val="0"/>
        <w:spacing w:after="0" w:line="240" w:lineRule="auto"/>
        <w:ind w:left="0"/>
        <w:jc w:val="both"/>
        <w:rPr>
          <w:rFonts w:ascii="Times New Roman" w:hAnsi="Times New Roman" w:cs="Times New Roman"/>
          <w:b/>
          <w:bCs/>
        </w:rPr>
      </w:pPr>
      <w:r w:rsidRPr="00C46C09">
        <w:rPr>
          <w:rFonts w:ascii="Times New Roman" w:hAnsi="Times New Roman" w:cs="Times New Roman"/>
          <w:b/>
          <w:bCs/>
        </w:rPr>
        <w:t>6. La verifica postuma dell’efficacia dell’intervento.</w:t>
      </w:r>
    </w:p>
    <w:p w14:paraId="74766B66" w14:textId="77777777" w:rsidR="00B072CA" w:rsidRPr="00C46C09" w:rsidRDefault="00B072CA" w:rsidP="00575506">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 xml:space="preserve">Non meno importante di una </w:t>
      </w:r>
      <w:r w:rsidR="00291B21" w:rsidRPr="00C46C09">
        <w:rPr>
          <w:rFonts w:ascii="Times New Roman" w:hAnsi="Times New Roman" w:cs="Times New Roman"/>
        </w:rPr>
        <w:t xml:space="preserve">attendibile </w:t>
      </w:r>
      <w:r w:rsidRPr="00C46C09">
        <w:rPr>
          <w:rFonts w:ascii="Times New Roman" w:hAnsi="Times New Roman" w:cs="Times New Roman"/>
        </w:rPr>
        <w:t xml:space="preserve">analisi </w:t>
      </w:r>
      <w:r w:rsidRPr="00ED1963">
        <w:rPr>
          <w:rFonts w:ascii="Times New Roman" w:hAnsi="Times New Roman" w:cs="Times New Roman"/>
          <w:i/>
        </w:rPr>
        <w:t>ex ante</w:t>
      </w:r>
      <w:r w:rsidRPr="00C46C09">
        <w:rPr>
          <w:rFonts w:ascii="Times New Roman" w:hAnsi="Times New Roman" w:cs="Times New Roman"/>
        </w:rPr>
        <w:t xml:space="preserve"> dell’impatto dell’intervento normativo, che dovrebbe garantire alla legge la capacità di conseguire, in maniera adeguata e proporzionata, g</w:t>
      </w:r>
      <w:r w:rsidR="00FB2FD7" w:rsidRPr="00C46C09">
        <w:rPr>
          <w:rFonts w:ascii="Times New Roman" w:hAnsi="Times New Roman" w:cs="Times New Roman"/>
        </w:rPr>
        <w:t>li obiettivi per i quali è stata concepita</w:t>
      </w:r>
      <w:r w:rsidRPr="00C46C09">
        <w:rPr>
          <w:rFonts w:ascii="Times New Roman" w:hAnsi="Times New Roman" w:cs="Times New Roman"/>
        </w:rPr>
        <w:t xml:space="preserve">, è la verifica </w:t>
      </w:r>
      <w:r w:rsidRPr="00ED1963">
        <w:rPr>
          <w:rFonts w:ascii="Times New Roman" w:hAnsi="Times New Roman" w:cs="Times New Roman"/>
          <w:i/>
        </w:rPr>
        <w:t>ex post</w:t>
      </w:r>
      <w:r w:rsidRPr="00C46C09">
        <w:rPr>
          <w:rFonts w:ascii="Times New Roman" w:hAnsi="Times New Roman" w:cs="Times New Roman"/>
        </w:rPr>
        <w:t xml:space="preserve"> degli effetti concretamente prodotti, che dovrebbe consentire di misurare il grado di effettività e di efficienza delle norme (anche al fine di una loro coerente revisione). </w:t>
      </w:r>
    </w:p>
    <w:p w14:paraId="7E031167" w14:textId="77777777" w:rsidR="00B072CA" w:rsidRPr="00C46C09" w:rsidRDefault="00B072CA" w:rsidP="00575506">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Tale insopprimibile esigenza è stata realizzata con la regolazione della VIR, che, se correttamente osservata, dovrebbe consegnare al decisore tutte le informazioni relative ai risultati ottenuti dall’attuazione della legge e, di conseguenza, tutti gli elementi per una sua (eventuale</w:t>
      </w:r>
      <w:r w:rsidR="00334776" w:rsidRPr="00C46C09">
        <w:rPr>
          <w:rFonts w:ascii="Times New Roman" w:hAnsi="Times New Roman" w:cs="Times New Roman"/>
        </w:rPr>
        <w:t>)</w:t>
      </w:r>
      <w:r w:rsidRPr="00C46C09">
        <w:rPr>
          <w:rFonts w:ascii="Times New Roman" w:hAnsi="Times New Roman" w:cs="Times New Roman"/>
        </w:rPr>
        <w:t xml:space="preserve"> modifica, </w:t>
      </w:r>
      <w:r w:rsidR="00334776" w:rsidRPr="00C46C09">
        <w:rPr>
          <w:rFonts w:ascii="Times New Roman" w:hAnsi="Times New Roman" w:cs="Times New Roman"/>
        </w:rPr>
        <w:t xml:space="preserve">implementazione o </w:t>
      </w:r>
      <w:r w:rsidRPr="00C46C09">
        <w:rPr>
          <w:rFonts w:ascii="Times New Roman" w:hAnsi="Times New Roman" w:cs="Times New Roman"/>
        </w:rPr>
        <w:t>abrogazione</w:t>
      </w:r>
      <w:r w:rsidR="00334776" w:rsidRPr="00C46C09">
        <w:rPr>
          <w:rFonts w:ascii="Times New Roman" w:hAnsi="Times New Roman" w:cs="Times New Roman"/>
        </w:rPr>
        <w:t>.</w:t>
      </w:r>
    </w:p>
    <w:p w14:paraId="56BF853E" w14:textId="77777777" w:rsidR="00291B21" w:rsidRPr="00C46C09" w:rsidRDefault="00334776" w:rsidP="00575506">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Nondimeno, si deve registrare una prassi di “legificazione” della VIR, per mezzo</w:t>
      </w:r>
      <w:r w:rsidR="00291B21" w:rsidRPr="00C46C09">
        <w:rPr>
          <w:rFonts w:ascii="Times New Roman" w:hAnsi="Times New Roman" w:cs="Times New Roman"/>
        </w:rPr>
        <w:t xml:space="preserve"> dell’inserimento nel testo legislativo di una disposizione dedicata al monitoraggio dell’attuazione e/o alla valutazione della sua efficacia.</w:t>
      </w:r>
    </w:p>
    <w:p w14:paraId="0C6779DD" w14:textId="3F937D37" w:rsidR="00291B21" w:rsidRPr="00C46C09" w:rsidRDefault="00291B21" w:rsidP="00575506">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Ontologicamente e logicamente, clausole di tale fatta sono più coerenti con disposizioni legislative dichiaratamente introdotte “in via sperimentale”</w:t>
      </w:r>
      <w:r w:rsidR="002737EC">
        <w:rPr>
          <w:rFonts w:ascii="Times New Roman" w:hAnsi="Times New Roman" w:cs="Times New Roman"/>
        </w:rPr>
        <w:t xml:space="preserve"> (quali, ad esempio, quelle afferenti allo schema dell</w:t>
      </w:r>
      <w:r w:rsidR="001A2C8E">
        <w:rPr>
          <w:rFonts w:ascii="Times New Roman" w:hAnsi="Times New Roman" w:cs="Times New Roman"/>
        </w:rPr>
        <w:t>e</w:t>
      </w:r>
      <w:r w:rsidR="002737EC">
        <w:rPr>
          <w:rFonts w:ascii="Times New Roman" w:hAnsi="Times New Roman" w:cs="Times New Roman"/>
        </w:rPr>
        <w:t xml:space="preserve"> </w:t>
      </w:r>
      <w:r w:rsidR="002737EC">
        <w:rPr>
          <w:rFonts w:ascii="Times New Roman" w:hAnsi="Times New Roman" w:cs="Times New Roman"/>
          <w:i/>
        </w:rPr>
        <w:t>regulatory sandbox</w:t>
      </w:r>
      <w:r w:rsidR="001A2C8E">
        <w:rPr>
          <w:rStyle w:val="Rimandonotaapidipagina"/>
          <w:rFonts w:ascii="Times New Roman" w:hAnsi="Times New Roman" w:cs="Times New Roman"/>
          <w:i/>
        </w:rPr>
        <w:footnoteReference w:id="31"/>
      </w:r>
      <w:r w:rsidR="002737EC">
        <w:rPr>
          <w:rFonts w:ascii="Times New Roman" w:hAnsi="Times New Roman" w:cs="Times New Roman"/>
        </w:rPr>
        <w:t>)</w:t>
      </w:r>
      <w:r w:rsidRPr="00C46C09">
        <w:rPr>
          <w:rFonts w:ascii="Times New Roman" w:hAnsi="Times New Roman" w:cs="Times New Roman"/>
        </w:rPr>
        <w:t>.</w:t>
      </w:r>
    </w:p>
    <w:p w14:paraId="78BABAB2" w14:textId="77777777" w:rsidR="00291B21" w:rsidRPr="00C46C09" w:rsidRDefault="00291B21" w:rsidP="00575506">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Il carattere temporaneo e le finalità “di prova” delle discipline sperimentali postulano, infatti, se non impongono, la verifica degli esiti della sperimentazione, proprio al fine della decisione inerente alla sua stabilizzazione, correzione o eliminazione.</w:t>
      </w:r>
    </w:p>
    <w:p w14:paraId="2E992D56" w14:textId="1352074D" w:rsidR="00291B21" w:rsidRPr="00C46C09" w:rsidRDefault="00291B21" w:rsidP="00575506">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Anche con riferimento all’introduzione, in via strutturale (e non temporanea), di nuovi regimi giuridici può, nondimeno</w:t>
      </w:r>
      <w:r w:rsidR="003949C5">
        <w:rPr>
          <w:rFonts w:ascii="Times New Roman" w:hAnsi="Times New Roman" w:cs="Times New Roman"/>
        </w:rPr>
        <w:t>, registrarsi</w:t>
      </w:r>
      <w:r w:rsidRPr="00C46C09">
        <w:rPr>
          <w:rFonts w:ascii="Times New Roman" w:hAnsi="Times New Roman" w:cs="Times New Roman"/>
        </w:rPr>
        <w:t xml:space="preserve"> la previsione di clausole valutative o di monitoraggio, usualmente confezionate mediante la prescrizione di relazioni al Parlamento sull’attuazione della legge da parte dell’autorità politica di Governo titolare dell’intervento.</w:t>
      </w:r>
    </w:p>
    <w:p w14:paraId="456CFAA8" w14:textId="77777777" w:rsidR="00291B21" w:rsidRPr="00C46C09" w:rsidRDefault="00291B21" w:rsidP="00575506">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 xml:space="preserve">Nonostante la disciplina della VIR appaia, di per sé, idonea a soddisfare le istanze conoscitive implicate dalla verifica postuma di efficacia delle leggi, in occasione dell’adozione della nuova direttiva </w:t>
      </w:r>
      <w:r w:rsidR="00FB2FD7" w:rsidRPr="00C46C09">
        <w:rPr>
          <w:rFonts w:ascii="Times New Roman" w:hAnsi="Times New Roman" w:cs="Times New Roman"/>
        </w:rPr>
        <w:t>sarebbe utile indirizzare alcune raccomandazioni sulla più corretta</w:t>
      </w:r>
      <w:r w:rsidRPr="00C46C09">
        <w:rPr>
          <w:rFonts w:ascii="Times New Roman" w:hAnsi="Times New Roman" w:cs="Times New Roman"/>
        </w:rPr>
        <w:t xml:space="preserve"> formulazione di clausole di monitoraggio e valutazione.</w:t>
      </w:r>
    </w:p>
    <w:p w14:paraId="00D8E4A3" w14:textId="77777777" w:rsidR="00E0470E" w:rsidRPr="00C46C09" w:rsidRDefault="00291B21" w:rsidP="00575506">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 xml:space="preserve">Le istruzioni dovranno, in particolare, appuntarsi </w:t>
      </w:r>
      <w:r w:rsidR="00E0470E" w:rsidRPr="00C46C09">
        <w:rPr>
          <w:rFonts w:ascii="Times New Roman" w:hAnsi="Times New Roman" w:cs="Times New Roman"/>
        </w:rPr>
        <w:t>sull’oggetto della verifica, sulla metodologia di rilevazione dei dati e, soprattutto, sulla strumentalità del monitoraggio al successivo adeguamento della legge agli esiti della valutazione degli effetti prodotti.</w:t>
      </w:r>
    </w:p>
    <w:p w14:paraId="1BC80062" w14:textId="30AEDD62" w:rsidR="00291B21" w:rsidRPr="00C46C09" w:rsidRDefault="00E0470E" w:rsidP="00575506">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 xml:space="preserve">Come si vede, si tratta di un’attività indispensabile a garantire la qualità della normazione, nella misura in cui coniuga e sintetizza elementi di </w:t>
      </w:r>
      <w:r w:rsidR="00C04C08" w:rsidRPr="00C04C08">
        <w:rPr>
          <w:rFonts w:ascii="Times New Roman" w:hAnsi="Times New Roman" w:cs="Times New Roman"/>
          <w:i/>
        </w:rPr>
        <w:t>drafting</w:t>
      </w:r>
      <w:r w:rsidRPr="00C46C09">
        <w:rPr>
          <w:rFonts w:ascii="Times New Roman" w:hAnsi="Times New Roman" w:cs="Times New Roman"/>
        </w:rPr>
        <w:t xml:space="preserve"> formale e sostanziale, concorrendo a una costante verifica dell’efficacia delle leggi. </w:t>
      </w:r>
      <w:r w:rsidR="00291B21" w:rsidRPr="00C46C09">
        <w:rPr>
          <w:rFonts w:ascii="Times New Roman" w:hAnsi="Times New Roman" w:cs="Times New Roman"/>
        </w:rPr>
        <w:t xml:space="preserve">    </w:t>
      </w:r>
    </w:p>
    <w:p w14:paraId="62C367CC" w14:textId="77777777" w:rsidR="00334776" w:rsidRPr="00C46C09" w:rsidRDefault="00291B21" w:rsidP="006277A5">
      <w:pPr>
        <w:pStyle w:val="Paragrafoelenco"/>
        <w:autoSpaceDE w:val="0"/>
        <w:autoSpaceDN w:val="0"/>
        <w:adjustRightInd w:val="0"/>
        <w:spacing w:after="0" w:line="240" w:lineRule="auto"/>
        <w:ind w:left="0"/>
        <w:jc w:val="both"/>
        <w:rPr>
          <w:rFonts w:ascii="Times New Roman" w:hAnsi="Times New Roman" w:cs="Times New Roman"/>
        </w:rPr>
      </w:pPr>
      <w:r w:rsidRPr="00C46C09">
        <w:rPr>
          <w:rFonts w:ascii="Times New Roman" w:hAnsi="Times New Roman" w:cs="Times New Roman"/>
        </w:rPr>
        <w:t xml:space="preserve">    </w:t>
      </w:r>
      <w:r w:rsidR="00334776" w:rsidRPr="00C46C09">
        <w:rPr>
          <w:rFonts w:ascii="Times New Roman" w:hAnsi="Times New Roman" w:cs="Times New Roman"/>
        </w:rPr>
        <w:t xml:space="preserve"> </w:t>
      </w:r>
    </w:p>
    <w:p w14:paraId="7D71EB4A" w14:textId="77777777" w:rsidR="00B072CA" w:rsidRPr="00C46C09" w:rsidRDefault="00B072CA" w:rsidP="006277A5">
      <w:pPr>
        <w:pStyle w:val="Paragrafoelenco"/>
        <w:autoSpaceDE w:val="0"/>
        <w:autoSpaceDN w:val="0"/>
        <w:adjustRightInd w:val="0"/>
        <w:spacing w:after="0" w:line="240" w:lineRule="auto"/>
        <w:ind w:left="0"/>
        <w:jc w:val="both"/>
        <w:rPr>
          <w:rFonts w:ascii="Times New Roman" w:hAnsi="Times New Roman" w:cs="Times New Roman"/>
        </w:rPr>
      </w:pPr>
    </w:p>
    <w:p w14:paraId="71E375EA" w14:textId="59129AB5" w:rsidR="00547B45" w:rsidRPr="00575506" w:rsidRDefault="00B072CA" w:rsidP="006277A5">
      <w:pPr>
        <w:pStyle w:val="Paragrafoelenco"/>
        <w:autoSpaceDE w:val="0"/>
        <w:autoSpaceDN w:val="0"/>
        <w:adjustRightInd w:val="0"/>
        <w:spacing w:after="0" w:line="240" w:lineRule="auto"/>
        <w:ind w:left="0"/>
        <w:jc w:val="both"/>
        <w:rPr>
          <w:rFonts w:ascii="Times New Roman" w:hAnsi="Times New Roman" w:cs="Times New Roman"/>
          <w:b/>
        </w:rPr>
      </w:pPr>
      <w:r w:rsidRPr="00C46C09">
        <w:rPr>
          <w:rFonts w:ascii="Times New Roman" w:hAnsi="Times New Roman" w:cs="Times New Roman"/>
          <w:b/>
        </w:rPr>
        <w:t>7</w:t>
      </w:r>
      <w:r w:rsidR="005E3DC3" w:rsidRPr="00C46C09">
        <w:rPr>
          <w:rFonts w:ascii="Times New Roman" w:hAnsi="Times New Roman" w:cs="Times New Roman"/>
          <w:b/>
        </w:rPr>
        <w:t xml:space="preserve">. Le esigenze di aggiornamento attinenti al </w:t>
      </w:r>
      <w:r w:rsidR="00C04C08" w:rsidRPr="00C04C08">
        <w:rPr>
          <w:rFonts w:ascii="Times New Roman" w:hAnsi="Times New Roman" w:cs="Times New Roman"/>
          <w:b/>
          <w:i/>
        </w:rPr>
        <w:t>drafting</w:t>
      </w:r>
      <w:r w:rsidR="00C70AB7">
        <w:rPr>
          <w:rFonts w:ascii="Times New Roman" w:hAnsi="Times New Roman" w:cs="Times New Roman"/>
          <w:b/>
        </w:rPr>
        <w:t xml:space="preserve"> formale: l</w:t>
      </w:r>
      <w:r w:rsidR="00C70AB7" w:rsidRPr="00C46C09">
        <w:rPr>
          <w:rFonts w:ascii="Times New Roman" w:hAnsi="Times New Roman" w:cs="Times New Roman"/>
          <w:b/>
        </w:rPr>
        <w:t>a necessità di una specifica formazione del personale addetto agli uffici legislativi.</w:t>
      </w:r>
      <w:r w:rsidR="00C70AB7" w:rsidRPr="00C46C09">
        <w:rPr>
          <w:rFonts w:ascii="Times New Roman" w:hAnsi="Times New Roman" w:cs="Times New Roman"/>
        </w:rPr>
        <w:t xml:space="preserve">    </w:t>
      </w:r>
    </w:p>
    <w:p w14:paraId="3E2F8A58" w14:textId="75E30F88" w:rsidR="00A90C58" w:rsidRPr="00C46C09" w:rsidRDefault="00344A52" w:rsidP="00575506">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 xml:space="preserve">Nonostante l’esigenza di dedicare una rinnovata attenzione al </w:t>
      </w:r>
      <w:r w:rsidR="00C04C08" w:rsidRPr="00C04C08">
        <w:rPr>
          <w:rFonts w:ascii="Times New Roman" w:hAnsi="Times New Roman" w:cs="Times New Roman"/>
          <w:i/>
        </w:rPr>
        <w:t>drafting</w:t>
      </w:r>
      <w:r w:rsidRPr="00C46C09">
        <w:rPr>
          <w:rFonts w:ascii="Times New Roman" w:hAnsi="Times New Roman" w:cs="Times New Roman"/>
        </w:rPr>
        <w:t xml:space="preserve"> sostanziale, permane (ovviamente) la necessità di aggiornare </w:t>
      </w:r>
      <w:r w:rsidR="00A90C58" w:rsidRPr="00C46C09">
        <w:rPr>
          <w:rFonts w:ascii="Times New Roman" w:hAnsi="Times New Roman" w:cs="Times New Roman"/>
        </w:rPr>
        <w:t xml:space="preserve">anche le istruzioni attinenti al </w:t>
      </w:r>
      <w:r w:rsidR="00C04C08" w:rsidRPr="00C04C08">
        <w:rPr>
          <w:rFonts w:ascii="Times New Roman" w:hAnsi="Times New Roman" w:cs="Times New Roman"/>
          <w:i/>
        </w:rPr>
        <w:t>drafting</w:t>
      </w:r>
      <w:r w:rsidR="00A90C58" w:rsidRPr="00C46C09">
        <w:rPr>
          <w:rFonts w:ascii="Times New Roman" w:hAnsi="Times New Roman" w:cs="Times New Roman"/>
        </w:rPr>
        <w:t xml:space="preserve"> formale e, cioè, alle regole relative al</w:t>
      </w:r>
      <w:r w:rsidR="000A5356" w:rsidRPr="00C46C09">
        <w:rPr>
          <w:rFonts w:ascii="Times New Roman" w:hAnsi="Times New Roman" w:cs="Times New Roman"/>
        </w:rPr>
        <w:t>la qualità redazionale dei tes</w:t>
      </w:r>
      <w:r w:rsidR="00425DB5" w:rsidRPr="00C46C09">
        <w:rPr>
          <w:rFonts w:ascii="Times New Roman" w:hAnsi="Times New Roman" w:cs="Times New Roman"/>
        </w:rPr>
        <w:t>t</w:t>
      </w:r>
      <w:r w:rsidR="000A5356" w:rsidRPr="00C46C09">
        <w:rPr>
          <w:rFonts w:ascii="Times New Roman" w:hAnsi="Times New Roman" w:cs="Times New Roman"/>
        </w:rPr>
        <w:t>i</w:t>
      </w:r>
      <w:r w:rsidR="00A90C58" w:rsidRPr="00C46C09">
        <w:rPr>
          <w:rFonts w:ascii="Times New Roman" w:hAnsi="Times New Roman" w:cs="Times New Roman"/>
        </w:rPr>
        <w:t>.</w:t>
      </w:r>
    </w:p>
    <w:p w14:paraId="40DB2105" w14:textId="29584564" w:rsidR="00383B40" w:rsidRPr="00C46C09" w:rsidRDefault="00383B40" w:rsidP="00575506">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Come è stato rilevato che una norma ben scritta, ma inefficace, è inutile (se</w:t>
      </w:r>
      <w:r w:rsidR="002B31C3">
        <w:rPr>
          <w:rFonts w:ascii="Times New Roman" w:hAnsi="Times New Roman" w:cs="Times New Roman"/>
        </w:rPr>
        <w:t xml:space="preserve"> non dannosa), allo stesso modo</w:t>
      </w:r>
      <w:r w:rsidRPr="00C46C09">
        <w:rPr>
          <w:rFonts w:ascii="Times New Roman" w:hAnsi="Times New Roman" w:cs="Times New Roman"/>
        </w:rPr>
        <w:t xml:space="preserve"> si deve riconoscere, per converso, che una disposizione idonea, in via sostanziale, a perseguire, in modo coerente, la finalità per cui è stata concepita, ma redatta in maniera formalmente scorretta, determina, di per sé, difficoltà esegetiche ed applicative, vanificando, così,</w:t>
      </w:r>
      <w:r w:rsidR="00E81EA5" w:rsidRPr="00C46C09">
        <w:rPr>
          <w:rFonts w:ascii="Times New Roman" w:hAnsi="Times New Roman" w:cs="Times New Roman"/>
        </w:rPr>
        <w:t xml:space="preserve"> la</w:t>
      </w:r>
      <w:r w:rsidRPr="00C46C09">
        <w:rPr>
          <w:rFonts w:ascii="Times New Roman" w:hAnsi="Times New Roman" w:cs="Times New Roman"/>
        </w:rPr>
        <w:t xml:space="preserve"> stessa esigenza </w:t>
      </w:r>
      <w:r w:rsidR="00E81EA5" w:rsidRPr="00C46C09">
        <w:rPr>
          <w:rFonts w:ascii="Times New Roman" w:hAnsi="Times New Roman" w:cs="Times New Roman"/>
        </w:rPr>
        <w:t>sottesa a</w:t>
      </w:r>
      <w:r w:rsidRPr="00C46C09">
        <w:rPr>
          <w:rFonts w:ascii="Times New Roman" w:hAnsi="Times New Roman" w:cs="Times New Roman"/>
        </w:rPr>
        <w:t>ll’intervento normativo.</w:t>
      </w:r>
    </w:p>
    <w:p w14:paraId="318E887F" w14:textId="77777777" w:rsidR="00383B40" w:rsidRPr="00C46C09" w:rsidRDefault="00383B40" w:rsidP="00575506">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In altri termini, il rispetto dei canoni formali di redazione delle norme è altrettanto importante dell’ossequio ai parametri attinenti alla qualità sostanziale.</w:t>
      </w:r>
    </w:p>
    <w:p w14:paraId="44173525" w14:textId="4D0FB5E7" w:rsidR="00383B40" w:rsidRPr="00C46C09" w:rsidRDefault="00383B40" w:rsidP="00575506">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Tanto premesso, l’esperienza registrata al DAGL negli ultimi anni ci consegna la necessità di rafforzare</w:t>
      </w:r>
      <w:r w:rsidR="0013365D" w:rsidRPr="00C46C09">
        <w:rPr>
          <w:rFonts w:ascii="Times New Roman" w:hAnsi="Times New Roman" w:cs="Times New Roman"/>
        </w:rPr>
        <w:t xml:space="preserve"> il lavoro di </w:t>
      </w:r>
      <w:r w:rsidR="00C04C08" w:rsidRPr="00C04C08">
        <w:rPr>
          <w:rFonts w:ascii="Times New Roman" w:hAnsi="Times New Roman" w:cs="Times New Roman"/>
          <w:i/>
          <w:iCs/>
        </w:rPr>
        <w:t>drafting</w:t>
      </w:r>
      <w:r w:rsidR="0013365D" w:rsidRPr="00C46C09">
        <w:rPr>
          <w:rFonts w:ascii="Times New Roman" w:hAnsi="Times New Roman" w:cs="Times New Roman"/>
          <w:i/>
          <w:iCs/>
        </w:rPr>
        <w:t xml:space="preserve"> </w:t>
      </w:r>
      <w:r w:rsidR="0013365D" w:rsidRPr="00C46C09">
        <w:rPr>
          <w:rFonts w:ascii="Times New Roman" w:hAnsi="Times New Roman" w:cs="Times New Roman"/>
        </w:rPr>
        <w:t xml:space="preserve">svolto dagli Uffici legislativi dei Ministeri </w:t>
      </w:r>
      <w:r w:rsidR="00E30378" w:rsidRPr="00C46C09">
        <w:rPr>
          <w:rFonts w:ascii="Times New Roman" w:hAnsi="Times New Roman" w:cs="Times New Roman"/>
        </w:rPr>
        <w:t>in fase di prima scrittura delle norme</w:t>
      </w:r>
      <w:r w:rsidR="001C3611" w:rsidRPr="00C46C09">
        <w:rPr>
          <w:rStyle w:val="Rimandonotaapidipagina"/>
          <w:rFonts w:ascii="Times New Roman" w:hAnsi="Times New Roman" w:cs="Times New Roman"/>
        </w:rPr>
        <w:footnoteReference w:id="32"/>
      </w:r>
      <w:r w:rsidR="0013365D" w:rsidRPr="00C46C09">
        <w:rPr>
          <w:rFonts w:ascii="Times New Roman" w:hAnsi="Times New Roman" w:cs="Times New Roman"/>
        </w:rPr>
        <w:t xml:space="preserve">. </w:t>
      </w:r>
    </w:p>
    <w:p w14:paraId="495EB172" w14:textId="2A89ED5A" w:rsidR="00DF0C17" w:rsidRPr="00C46C09" w:rsidRDefault="005A6CD9" w:rsidP="00575506">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Spesso,</w:t>
      </w:r>
      <w:r w:rsidR="00DF0C17" w:rsidRPr="00C46C09">
        <w:rPr>
          <w:rFonts w:ascii="Times New Roman" w:hAnsi="Times New Roman" w:cs="Times New Roman"/>
        </w:rPr>
        <w:t xml:space="preserve"> infatti,</w:t>
      </w:r>
      <w:r w:rsidRPr="00C46C09">
        <w:rPr>
          <w:rFonts w:ascii="Times New Roman" w:hAnsi="Times New Roman" w:cs="Times New Roman"/>
        </w:rPr>
        <w:t xml:space="preserve"> i tempi dettati dall’urgenza del provvedere inducono a demandare tale attività</w:t>
      </w:r>
      <w:r w:rsidR="004A359D" w:rsidRPr="00C46C09">
        <w:rPr>
          <w:rFonts w:ascii="Times New Roman" w:hAnsi="Times New Roman" w:cs="Times New Roman"/>
        </w:rPr>
        <w:t xml:space="preserve"> </w:t>
      </w:r>
      <w:r w:rsidRPr="00C46C09">
        <w:rPr>
          <w:rFonts w:ascii="Times New Roman" w:hAnsi="Times New Roman" w:cs="Times New Roman"/>
        </w:rPr>
        <w:t>al DAGL</w:t>
      </w:r>
      <w:r w:rsidR="004A359D" w:rsidRPr="00C46C09">
        <w:rPr>
          <w:rFonts w:ascii="Times New Roman" w:hAnsi="Times New Roman" w:cs="Times New Roman"/>
        </w:rPr>
        <w:t xml:space="preserve"> nella successiva fase istruttoria</w:t>
      </w:r>
      <w:r w:rsidRPr="00C46C09">
        <w:rPr>
          <w:rFonts w:ascii="Times New Roman" w:hAnsi="Times New Roman" w:cs="Times New Roman"/>
        </w:rPr>
        <w:t>, nella quale</w:t>
      </w:r>
      <w:r w:rsidR="00E81EA5" w:rsidRPr="00C46C09">
        <w:rPr>
          <w:rFonts w:ascii="Times New Roman" w:hAnsi="Times New Roman" w:cs="Times New Roman"/>
        </w:rPr>
        <w:t>,</w:t>
      </w:r>
      <w:r w:rsidRPr="00C46C09">
        <w:rPr>
          <w:rFonts w:ascii="Times New Roman" w:hAnsi="Times New Roman" w:cs="Times New Roman"/>
        </w:rPr>
        <w:t xml:space="preserve"> </w:t>
      </w:r>
      <w:r w:rsidR="004A359D" w:rsidRPr="00C46C09">
        <w:rPr>
          <w:rFonts w:ascii="Times New Roman" w:hAnsi="Times New Roman" w:cs="Times New Roman"/>
        </w:rPr>
        <w:t>tuttavia</w:t>
      </w:r>
      <w:r w:rsidR="00E81EA5" w:rsidRPr="00C46C09">
        <w:rPr>
          <w:rFonts w:ascii="Times New Roman" w:hAnsi="Times New Roman" w:cs="Times New Roman"/>
        </w:rPr>
        <w:t>,</w:t>
      </w:r>
      <w:r w:rsidR="004A359D" w:rsidRPr="00C46C09">
        <w:rPr>
          <w:rFonts w:ascii="Times New Roman" w:hAnsi="Times New Roman" w:cs="Times New Roman"/>
        </w:rPr>
        <w:t xml:space="preserve"> gli interventi correttivi e migliorativi di un testo normativo già sottoposto all’esame delle Amministrazioni a vario titolo competenti sono di necessità limitati agli aspetti macroscopici, a discapito di una </w:t>
      </w:r>
      <w:r w:rsidR="00571E28" w:rsidRPr="00C46C09">
        <w:rPr>
          <w:rFonts w:ascii="Times New Roman" w:hAnsi="Times New Roman" w:cs="Times New Roman"/>
        </w:rPr>
        <w:t xml:space="preserve">omogenea ed </w:t>
      </w:r>
      <w:r w:rsidR="004A359D" w:rsidRPr="00C46C09">
        <w:rPr>
          <w:rFonts w:ascii="Times New Roman" w:hAnsi="Times New Roman" w:cs="Times New Roman"/>
        </w:rPr>
        <w:t xml:space="preserve">efficace applicazione delle regole di </w:t>
      </w:r>
      <w:r w:rsidR="00C04C08" w:rsidRPr="00C04C08">
        <w:rPr>
          <w:rFonts w:ascii="Times New Roman" w:hAnsi="Times New Roman" w:cs="Times New Roman"/>
          <w:i/>
          <w:iCs/>
        </w:rPr>
        <w:t>drafting</w:t>
      </w:r>
      <w:r w:rsidR="004A359D" w:rsidRPr="00C46C09">
        <w:rPr>
          <w:rFonts w:ascii="Times New Roman" w:hAnsi="Times New Roman" w:cs="Times New Roman"/>
        </w:rPr>
        <w:t>.</w:t>
      </w:r>
      <w:r w:rsidR="00DF0C17" w:rsidRPr="00C46C09">
        <w:rPr>
          <w:rFonts w:ascii="Times New Roman" w:hAnsi="Times New Roman" w:cs="Times New Roman"/>
        </w:rPr>
        <w:t xml:space="preserve"> </w:t>
      </w:r>
    </w:p>
    <w:p w14:paraId="50CA368F" w14:textId="77777777" w:rsidR="00E81EA5" w:rsidRPr="00C46C09" w:rsidRDefault="00DF0C17" w:rsidP="00575506">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Quanto</w:t>
      </w:r>
      <w:r w:rsidR="00FB2FD7" w:rsidRPr="00C46C09">
        <w:rPr>
          <w:rFonts w:ascii="Times New Roman" w:hAnsi="Times New Roman" w:cs="Times New Roman"/>
        </w:rPr>
        <w:t xml:space="preserve"> più si anticipa il rispetto delle</w:t>
      </w:r>
      <w:r w:rsidRPr="00C46C09">
        <w:rPr>
          <w:rFonts w:ascii="Times New Roman" w:hAnsi="Times New Roman" w:cs="Times New Roman"/>
        </w:rPr>
        <w:t xml:space="preserve"> tecniche di redazione degli atti normativi</w:t>
      </w:r>
      <w:r w:rsidR="00E50DF3" w:rsidRPr="00C46C09">
        <w:rPr>
          <w:rFonts w:ascii="Times New Roman" w:hAnsi="Times New Roman" w:cs="Times New Roman"/>
        </w:rPr>
        <w:t xml:space="preserve"> </w:t>
      </w:r>
      <w:r w:rsidRPr="00C46C09">
        <w:rPr>
          <w:rFonts w:ascii="Times New Roman" w:hAnsi="Times New Roman" w:cs="Times New Roman"/>
        </w:rPr>
        <w:t xml:space="preserve">alla fase di </w:t>
      </w:r>
      <w:r w:rsidR="00E30378" w:rsidRPr="00C46C09">
        <w:rPr>
          <w:rFonts w:ascii="Times New Roman" w:hAnsi="Times New Roman" w:cs="Times New Roman"/>
        </w:rPr>
        <w:t>progettazione delle norme</w:t>
      </w:r>
      <w:r w:rsidRPr="00C46C09">
        <w:rPr>
          <w:rFonts w:ascii="Times New Roman" w:hAnsi="Times New Roman" w:cs="Times New Roman"/>
        </w:rPr>
        <w:t xml:space="preserve"> da parte dei Ministeri proponent</w:t>
      </w:r>
      <w:r w:rsidR="00436ED0" w:rsidRPr="00C46C09">
        <w:rPr>
          <w:rFonts w:ascii="Times New Roman" w:hAnsi="Times New Roman" w:cs="Times New Roman"/>
        </w:rPr>
        <w:t xml:space="preserve">i, </w:t>
      </w:r>
      <w:r w:rsidRPr="00C46C09">
        <w:rPr>
          <w:rFonts w:ascii="Times New Roman" w:hAnsi="Times New Roman" w:cs="Times New Roman"/>
        </w:rPr>
        <w:t>tanto più sarà possibile prestare l</w:t>
      </w:r>
      <w:r w:rsidR="000A7077" w:rsidRPr="00C46C09">
        <w:rPr>
          <w:rFonts w:ascii="Times New Roman" w:hAnsi="Times New Roman" w:cs="Times New Roman"/>
        </w:rPr>
        <w:t>a</w:t>
      </w:r>
      <w:r w:rsidRPr="00C46C09">
        <w:rPr>
          <w:rFonts w:ascii="Times New Roman" w:hAnsi="Times New Roman" w:cs="Times New Roman"/>
        </w:rPr>
        <w:t xml:space="preserve"> dovuta attenzione </w:t>
      </w:r>
      <w:r w:rsidR="00E06C9F" w:rsidRPr="00C46C09">
        <w:rPr>
          <w:rFonts w:ascii="Times New Roman" w:hAnsi="Times New Roman" w:cs="Times New Roman"/>
        </w:rPr>
        <w:t>alla qualità redazionale dei testi</w:t>
      </w:r>
      <w:r w:rsidR="00486C56" w:rsidRPr="00C46C09">
        <w:rPr>
          <w:rFonts w:ascii="Times New Roman" w:hAnsi="Times New Roman" w:cs="Times New Roman"/>
        </w:rPr>
        <w:t>, anche in sede di successiva verifica da parte del DAGL</w:t>
      </w:r>
      <w:r w:rsidRPr="00C46C09">
        <w:rPr>
          <w:rFonts w:ascii="Times New Roman" w:hAnsi="Times New Roman" w:cs="Times New Roman"/>
        </w:rPr>
        <w:t xml:space="preserve">. </w:t>
      </w:r>
    </w:p>
    <w:p w14:paraId="3CAC9E3F" w14:textId="4FACB746" w:rsidR="00B13B2A" w:rsidRPr="00C70AB7" w:rsidRDefault="00E81EA5" w:rsidP="00C70AB7">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 xml:space="preserve">L’anticipazione della cura redazionale dei testi alla fase della progettazione e della proposta delle norme contribuisce, peraltro, a garantire il principio di uniformità dei modelli </w:t>
      </w:r>
      <w:r w:rsidR="000A5356" w:rsidRPr="00C46C09">
        <w:rPr>
          <w:rFonts w:ascii="Times New Roman" w:hAnsi="Times New Roman" w:cs="Times New Roman"/>
        </w:rPr>
        <w:t>di</w:t>
      </w:r>
      <w:r w:rsidRPr="00C46C09">
        <w:rPr>
          <w:rFonts w:ascii="Times New Roman" w:hAnsi="Times New Roman" w:cs="Times New Roman"/>
        </w:rPr>
        <w:t xml:space="preserve"> tecnica legislativa che, specialmente con riguardo</w:t>
      </w:r>
      <w:r w:rsidR="000A5356" w:rsidRPr="00C46C09">
        <w:rPr>
          <w:rFonts w:ascii="Times New Roman" w:hAnsi="Times New Roman" w:cs="Times New Roman"/>
        </w:rPr>
        <w:t xml:space="preserve"> </w:t>
      </w:r>
      <w:r w:rsidRPr="00C46C09">
        <w:rPr>
          <w:rFonts w:ascii="Times New Roman" w:hAnsi="Times New Roman" w:cs="Times New Roman"/>
        </w:rPr>
        <w:t xml:space="preserve">ai </w:t>
      </w:r>
      <w:r w:rsidR="000A5356" w:rsidRPr="00C46C09">
        <w:rPr>
          <w:rFonts w:ascii="Times New Roman" w:hAnsi="Times New Roman" w:cs="Times New Roman"/>
        </w:rPr>
        <w:t xml:space="preserve">decreti-legge che contengono disposizioni provenienti da vari Ministeri, risulta particolarmente difficile assicurare, posto che </w:t>
      </w:r>
      <w:r w:rsidR="00FB2FD7" w:rsidRPr="00C46C09">
        <w:rPr>
          <w:rFonts w:ascii="Times New Roman" w:hAnsi="Times New Roman" w:cs="Times New Roman"/>
        </w:rPr>
        <w:t>la</w:t>
      </w:r>
      <w:r w:rsidR="000A5356" w:rsidRPr="00C46C09">
        <w:rPr>
          <w:rFonts w:ascii="Times New Roman" w:hAnsi="Times New Roman" w:cs="Times New Roman"/>
        </w:rPr>
        <w:t xml:space="preserve"> riconduzione ad unità di stili e tecni</w:t>
      </w:r>
      <w:r w:rsidR="00121D43" w:rsidRPr="00C46C09">
        <w:rPr>
          <w:rFonts w:ascii="Times New Roman" w:hAnsi="Times New Roman" w:cs="Times New Roman"/>
        </w:rPr>
        <w:t>che eterogenee</w:t>
      </w:r>
      <w:r w:rsidR="000A5356" w:rsidRPr="00C46C09">
        <w:rPr>
          <w:rFonts w:ascii="Times New Roman" w:hAnsi="Times New Roman" w:cs="Times New Roman"/>
        </w:rPr>
        <w:t xml:space="preserve"> </w:t>
      </w:r>
      <w:r w:rsidR="00121D43" w:rsidRPr="00C46C09">
        <w:rPr>
          <w:rFonts w:ascii="Times New Roman" w:hAnsi="Times New Roman" w:cs="Times New Roman"/>
        </w:rPr>
        <w:t xml:space="preserve">risulta di fatto incompatibile con la ristrettezza dei </w:t>
      </w:r>
      <w:r w:rsidR="000A5356" w:rsidRPr="00C46C09">
        <w:rPr>
          <w:rFonts w:ascii="Times New Roman" w:hAnsi="Times New Roman" w:cs="Times New Roman"/>
        </w:rPr>
        <w:t>tempi istruttori</w:t>
      </w:r>
      <w:r w:rsidRPr="00C46C09">
        <w:rPr>
          <w:rFonts w:ascii="Times New Roman" w:hAnsi="Times New Roman" w:cs="Times New Roman"/>
        </w:rPr>
        <w:t xml:space="preserve"> riservati alla fase del coordinamento</w:t>
      </w:r>
      <w:r w:rsidR="00121D43" w:rsidRPr="00C46C09">
        <w:rPr>
          <w:rFonts w:ascii="Times New Roman" w:hAnsi="Times New Roman" w:cs="Times New Roman"/>
        </w:rPr>
        <w:t xml:space="preserve"> (affidata al DAGL)</w:t>
      </w:r>
      <w:r w:rsidR="000A5356" w:rsidRPr="00C46C09">
        <w:rPr>
          <w:rFonts w:ascii="Times New Roman" w:hAnsi="Times New Roman" w:cs="Times New Roman"/>
        </w:rPr>
        <w:t xml:space="preserve">. </w:t>
      </w:r>
      <w:r w:rsidR="001561E6" w:rsidRPr="00C46C09">
        <w:rPr>
          <w:rFonts w:ascii="Times New Roman" w:hAnsi="Times New Roman" w:cs="Times New Roman"/>
        </w:rPr>
        <w:t xml:space="preserve"> </w:t>
      </w:r>
    </w:p>
    <w:p w14:paraId="0FB16939" w14:textId="3F550BA5" w:rsidR="00BB526C" w:rsidRPr="00C46C09" w:rsidRDefault="00185CE4" w:rsidP="00575506">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Per</w:t>
      </w:r>
      <w:r w:rsidR="00121D43" w:rsidRPr="00C46C09">
        <w:rPr>
          <w:rFonts w:ascii="Times New Roman" w:hAnsi="Times New Roman" w:cs="Times New Roman"/>
        </w:rPr>
        <w:t xml:space="preserve"> assicurare</w:t>
      </w:r>
      <w:r w:rsidR="007422C3" w:rsidRPr="00C46C09">
        <w:rPr>
          <w:rFonts w:ascii="Times New Roman" w:hAnsi="Times New Roman" w:cs="Times New Roman"/>
        </w:rPr>
        <w:t xml:space="preserve"> l’applicazione delle regole e delle raccomandazioni in materia </w:t>
      </w:r>
      <w:r w:rsidRPr="00C46C09">
        <w:rPr>
          <w:rFonts w:ascii="Times New Roman" w:hAnsi="Times New Roman" w:cs="Times New Roman"/>
        </w:rPr>
        <w:t xml:space="preserve">di </w:t>
      </w:r>
      <w:r w:rsidR="00C04C08" w:rsidRPr="00C04C08">
        <w:rPr>
          <w:rFonts w:ascii="Times New Roman" w:hAnsi="Times New Roman" w:cs="Times New Roman"/>
          <w:i/>
          <w:iCs/>
        </w:rPr>
        <w:t>drafting</w:t>
      </w:r>
      <w:r w:rsidRPr="00C46C09">
        <w:rPr>
          <w:rFonts w:ascii="Times New Roman" w:hAnsi="Times New Roman" w:cs="Times New Roman"/>
        </w:rPr>
        <w:t xml:space="preserve"> da</w:t>
      </w:r>
      <w:r w:rsidR="007422C3" w:rsidRPr="00C46C09">
        <w:rPr>
          <w:rFonts w:ascii="Times New Roman" w:hAnsi="Times New Roman" w:cs="Times New Roman"/>
        </w:rPr>
        <w:t xml:space="preserve"> parte dei</w:t>
      </w:r>
      <w:r w:rsidRPr="00C46C09">
        <w:rPr>
          <w:rFonts w:ascii="Times New Roman" w:hAnsi="Times New Roman" w:cs="Times New Roman"/>
        </w:rPr>
        <w:t xml:space="preserve"> Ministeri in fase di redazione delle norme</w:t>
      </w:r>
      <w:r w:rsidR="00DF0C17" w:rsidRPr="00C46C09">
        <w:rPr>
          <w:rFonts w:ascii="Times New Roman" w:hAnsi="Times New Roman" w:cs="Times New Roman"/>
        </w:rPr>
        <w:t xml:space="preserve">, </w:t>
      </w:r>
      <w:r w:rsidR="00121D43" w:rsidRPr="00C46C09">
        <w:rPr>
          <w:rFonts w:ascii="Times New Roman" w:hAnsi="Times New Roman" w:cs="Times New Roman"/>
        </w:rPr>
        <w:t>si rivela</w:t>
      </w:r>
      <w:r w:rsidR="002B31C3">
        <w:rPr>
          <w:rFonts w:ascii="Times New Roman" w:hAnsi="Times New Roman" w:cs="Times New Roman"/>
        </w:rPr>
        <w:t>, in particolare,</w:t>
      </w:r>
      <w:r w:rsidR="000A5356" w:rsidRPr="00C46C09">
        <w:rPr>
          <w:rFonts w:ascii="Times New Roman" w:hAnsi="Times New Roman" w:cs="Times New Roman"/>
        </w:rPr>
        <w:t xml:space="preserve"> necessario</w:t>
      </w:r>
      <w:r w:rsidR="00121D43" w:rsidRPr="00C46C09">
        <w:rPr>
          <w:rFonts w:ascii="Times New Roman" w:hAnsi="Times New Roman" w:cs="Times New Roman"/>
        </w:rPr>
        <w:t xml:space="preserve"> intervenire</w:t>
      </w:r>
      <w:r w:rsidR="0074110A" w:rsidRPr="00C46C09">
        <w:rPr>
          <w:rFonts w:ascii="Times New Roman" w:hAnsi="Times New Roman" w:cs="Times New Roman"/>
        </w:rPr>
        <w:t xml:space="preserve"> </w:t>
      </w:r>
      <w:r w:rsidR="00E50DF3" w:rsidRPr="00C46C09">
        <w:rPr>
          <w:rFonts w:ascii="Times New Roman" w:hAnsi="Times New Roman" w:cs="Times New Roman"/>
        </w:rPr>
        <w:t>su</w:t>
      </w:r>
      <w:r w:rsidR="007422C3" w:rsidRPr="00C46C09">
        <w:rPr>
          <w:rFonts w:ascii="Times New Roman" w:hAnsi="Times New Roman" w:cs="Times New Roman"/>
        </w:rPr>
        <w:t xml:space="preserve"> </w:t>
      </w:r>
      <w:r w:rsidR="00486C56" w:rsidRPr="00C46C09">
        <w:rPr>
          <w:rFonts w:ascii="Times New Roman" w:hAnsi="Times New Roman" w:cs="Times New Roman"/>
        </w:rPr>
        <w:t xml:space="preserve">due </w:t>
      </w:r>
      <w:r w:rsidR="007422C3" w:rsidRPr="00C46C09">
        <w:rPr>
          <w:rFonts w:ascii="Times New Roman" w:hAnsi="Times New Roman" w:cs="Times New Roman"/>
        </w:rPr>
        <w:t>aspetti: la formazione del personale preposto agli Uffici legislativi</w:t>
      </w:r>
      <w:r w:rsidR="00121D43" w:rsidRPr="00C46C09">
        <w:rPr>
          <w:rFonts w:ascii="Times New Roman" w:hAnsi="Times New Roman" w:cs="Times New Roman"/>
        </w:rPr>
        <w:t>, che dovrebbe garantire</w:t>
      </w:r>
      <w:r w:rsidR="00E81EA5" w:rsidRPr="00C46C09">
        <w:rPr>
          <w:rFonts w:ascii="Times New Roman" w:hAnsi="Times New Roman" w:cs="Times New Roman"/>
        </w:rPr>
        <w:t xml:space="preserve"> un’effettiva divulgazione tra i “legisti” delle tecniche redazionali più corrette,</w:t>
      </w:r>
      <w:r w:rsidR="007422C3" w:rsidRPr="00C46C09">
        <w:rPr>
          <w:rFonts w:ascii="Times New Roman" w:hAnsi="Times New Roman" w:cs="Times New Roman"/>
        </w:rPr>
        <w:t xml:space="preserve"> e la programmazione delle iniziative normative</w:t>
      </w:r>
      <w:r w:rsidR="00E065E0" w:rsidRPr="00C46C09">
        <w:rPr>
          <w:rFonts w:ascii="Times New Roman" w:hAnsi="Times New Roman" w:cs="Times New Roman"/>
        </w:rPr>
        <w:t xml:space="preserve"> </w:t>
      </w:r>
      <w:r w:rsidR="003D49C1" w:rsidRPr="00C46C09">
        <w:rPr>
          <w:rFonts w:ascii="Times New Roman" w:hAnsi="Times New Roman" w:cs="Times New Roman"/>
        </w:rPr>
        <w:t xml:space="preserve">(di cui si è detto diffusamente </w:t>
      </w:r>
      <w:r w:rsidR="003D49C1" w:rsidRPr="00C46C09">
        <w:rPr>
          <w:rFonts w:ascii="Times New Roman" w:hAnsi="Times New Roman" w:cs="Times New Roman"/>
          <w:i/>
        </w:rPr>
        <w:t>supra</w:t>
      </w:r>
      <w:r w:rsidR="003D49C1" w:rsidRPr="00C46C09">
        <w:rPr>
          <w:rFonts w:ascii="Times New Roman" w:hAnsi="Times New Roman" w:cs="Times New Roman"/>
        </w:rPr>
        <w:t>)</w:t>
      </w:r>
      <w:r w:rsidR="00E81EA5" w:rsidRPr="00C46C09">
        <w:rPr>
          <w:rFonts w:ascii="Times New Roman" w:hAnsi="Times New Roman" w:cs="Times New Roman"/>
        </w:rPr>
        <w:t>, che dovrebbe garantire la disponibilità di adeguati tempi di scrittura delle norme (oltrechè di istruttoria)</w:t>
      </w:r>
      <w:r w:rsidR="007422C3" w:rsidRPr="00C46C09">
        <w:rPr>
          <w:rFonts w:ascii="Times New Roman" w:hAnsi="Times New Roman" w:cs="Times New Roman"/>
        </w:rPr>
        <w:t xml:space="preserve">.  </w:t>
      </w:r>
      <w:r w:rsidRPr="00C46C09">
        <w:rPr>
          <w:rFonts w:ascii="Times New Roman" w:hAnsi="Times New Roman" w:cs="Times New Roman"/>
        </w:rPr>
        <w:t xml:space="preserve"> </w:t>
      </w:r>
    </w:p>
    <w:p w14:paraId="241E6189" w14:textId="5BBF4DD4" w:rsidR="00693BB3" w:rsidRPr="00C46C09" w:rsidRDefault="00DE49A1" w:rsidP="00575506">
      <w:pPr>
        <w:pStyle w:val="Paragrafoelenco"/>
        <w:autoSpaceDE w:val="0"/>
        <w:autoSpaceDN w:val="0"/>
        <w:adjustRightInd w:val="0"/>
        <w:spacing w:after="0" w:line="240" w:lineRule="auto"/>
        <w:ind w:left="0" w:firstLine="284"/>
        <w:jc w:val="both"/>
        <w:rPr>
          <w:rFonts w:ascii="Times New Roman" w:hAnsi="Times New Roman" w:cs="Times New Roman"/>
          <w:color w:val="000000" w:themeColor="text1"/>
        </w:rPr>
      </w:pPr>
      <w:r w:rsidRPr="00C46C09">
        <w:rPr>
          <w:rFonts w:ascii="Times New Roman" w:hAnsi="Times New Roman" w:cs="Times New Roman"/>
          <w:color w:val="000000" w:themeColor="text1"/>
        </w:rPr>
        <w:t>In merito</w:t>
      </w:r>
      <w:r w:rsidR="00E50DF3" w:rsidRPr="00C46C09">
        <w:rPr>
          <w:rFonts w:ascii="Times New Roman" w:hAnsi="Times New Roman" w:cs="Times New Roman"/>
          <w:color w:val="000000" w:themeColor="text1"/>
        </w:rPr>
        <w:t xml:space="preserve"> </w:t>
      </w:r>
      <w:r w:rsidRPr="00C46C09">
        <w:rPr>
          <w:rFonts w:ascii="Times New Roman" w:hAnsi="Times New Roman" w:cs="Times New Roman"/>
          <w:color w:val="000000" w:themeColor="text1"/>
        </w:rPr>
        <w:t>al</w:t>
      </w:r>
      <w:r w:rsidR="00E50DF3" w:rsidRPr="00C46C09">
        <w:rPr>
          <w:rFonts w:ascii="Times New Roman" w:hAnsi="Times New Roman" w:cs="Times New Roman"/>
          <w:color w:val="000000" w:themeColor="text1"/>
        </w:rPr>
        <w:t xml:space="preserve">la formazione, </w:t>
      </w:r>
      <w:r w:rsidR="00693BB3" w:rsidRPr="00C46C09">
        <w:rPr>
          <w:rFonts w:ascii="Times New Roman" w:hAnsi="Times New Roman" w:cs="Times New Roman"/>
          <w:color w:val="000000" w:themeColor="text1"/>
        </w:rPr>
        <w:t>si dovr</w:t>
      </w:r>
      <w:r w:rsidR="00313FE1">
        <w:rPr>
          <w:rFonts w:ascii="Times New Roman" w:hAnsi="Times New Roman" w:cs="Times New Roman"/>
          <w:color w:val="000000" w:themeColor="text1"/>
        </w:rPr>
        <w:t>ebbero accrescere e diffondere</w:t>
      </w:r>
      <w:r w:rsidR="00693BB3" w:rsidRPr="00C46C09">
        <w:rPr>
          <w:rFonts w:ascii="Times New Roman" w:hAnsi="Times New Roman" w:cs="Times New Roman"/>
          <w:color w:val="000000" w:themeColor="text1"/>
        </w:rPr>
        <w:t xml:space="preserve"> le iniziative didattiche preordinate a </w:t>
      </w:r>
      <w:r w:rsidR="00E50DF3" w:rsidRPr="00C46C09">
        <w:rPr>
          <w:rFonts w:ascii="Times New Roman" w:hAnsi="Times New Roman" w:cs="Times New Roman"/>
          <w:color w:val="000000" w:themeColor="text1"/>
        </w:rPr>
        <w:t xml:space="preserve">garantire la presenza di </w:t>
      </w:r>
      <w:r w:rsidR="00693BB3" w:rsidRPr="00C46C09">
        <w:rPr>
          <w:rFonts w:ascii="Times New Roman" w:hAnsi="Times New Roman" w:cs="Times New Roman"/>
          <w:color w:val="000000" w:themeColor="text1"/>
        </w:rPr>
        <w:t xml:space="preserve">funzionari dotati di </w:t>
      </w:r>
      <w:r w:rsidR="00E50DF3" w:rsidRPr="00C46C09">
        <w:rPr>
          <w:rFonts w:ascii="Times New Roman" w:hAnsi="Times New Roman" w:cs="Times New Roman"/>
          <w:color w:val="000000" w:themeColor="text1"/>
        </w:rPr>
        <w:t xml:space="preserve">specifici </w:t>
      </w:r>
      <w:r w:rsidR="00693BB3" w:rsidRPr="00C46C09">
        <w:rPr>
          <w:rFonts w:ascii="Times New Roman" w:hAnsi="Times New Roman" w:cs="Times New Roman"/>
          <w:color w:val="000000" w:themeColor="text1"/>
        </w:rPr>
        <w:t>e adeguati profili di</w:t>
      </w:r>
      <w:r w:rsidR="00E50DF3" w:rsidRPr="00C46C09">
        <w:rPr>
          <w:rFonts w:ascii="Times New Roman" w:hAnsi="Times New Roman" w:cs="Times New Roman"/>
          <w:color w:val="000000" w:themeColor="text1"/>
        </w:rPr>
        <w:t xml:space="preserve"> esperienza </w:t>
      </w:r>
      <w:r w:rsidR="00693BB3" w:rsidRPr="00C46C09">
        <w:rPr>
          <w:rFonts w:ascii="Times New Roman" w:hAnsi="Times New Roman" w:cs="Times New Roman"/>
          <w:color w:val="000000" w:themeColor="text1"/>
        </w:rPr>
        <w:t xml:space="preserve">e competenza </w:t>
      </w:r>
      <w:r w:rsidR="00E50DF3" w:rsidRPr="00C46C09">
        <w:rPr>
          <w:rFonts w:ascii="Times New Roman" w:hAnsi="Times New Roman" w:cs="Times New Roman"/>
          <w:color w:val="000000" w:themeColor="text1"/>
        </w:rPr>
        <w:t xml:space="preserve">in materia di </w:t>
      </w:r>
      <w:r w:rsidR="00C04C08" w:rsidRPr="00C04C08">
        <w:rPr>
          <w:rFonts w:ascii="Times New Roman" w:hAnsi="Times New Roman" w:cs="Times New Roman"/>
          <w:i/>
          <w:color w:val="000000" w:themeColor="text1"/>
        </w:rPr>
        <w:t>drafting</w:t>
      </w:r>
      <w:r w:rsidR="00E065E0" w:rsidRPr="00C46C09">
        <w:rPr>
          <w:rFonts w:ascii="Times New Roman" w:hAnsi="Times New Roman" w:cs="Times New Roman"/>
          <w:color w:val="000000" w:themeColor="text1"/>
        </w:rPr>
        <w:t xml:space="preserve"> presso gli </w:t>
      </w:r>
      <w:r w:rsidR="003D49C1" w:rsidRPr="00C46C09">
        <w:rPr>
          <w:rFonts w:ascii="Times New Roman" w:hAnsi="Times New Roman" w:cs="Times New Roman"/>
          <w:color w:val="000000" w:themeColor="text1"/>
        </w:rPr>
        <w:t>Uffici legislativi</w:t>
      </w:r>
      <w:r w:rsidR="00693BB3" w:rsidRPr="00C46C09">
        <w:rPr>
          <w:rFonts w:ascii="Times New Roman" w:hAnsi="Times New Roman" w:cs="Times New Roman"/>
          <w:color w:val="000000" w:themeColor="text1"/>
        </w:rPr>
        <w:t>.</w:t>
      </w:r>
    </w:p>
    <w:p w14:paraId="3C909697" w14:textId="77777777" w:rsidR="003210F1" w:rsidRPr="00C46C09" w:rsidRDefault="00693BB3" w:rsidP="00575506">
      <w:pPr>
        <w:pStyle w:val="Paragrafoelenco"/>
        <w:autoSpaceDE w:val="0"/>
        <w:autoSpaceDN w:val="0"/>
        <w:adjustRightInd w:val="0"/>
        <w:spacing w:after="0" w:line="240" w:lineRule="auto"/>
        <w:ind w:left="0" w:firstLine="284"/>
        <w:jc w:val="both"/>
        <w:rPr>
          <w:rFonts w:ascii="Times New Roman" w:hAnsi="Times New Roman" w:cs="Times New Roman"/>
          <w:color w:val="000000" w:themeColor="text1"/>
        </w:rPr>
      </w:pPr>
      <w:r w:rsidRPr="00C46C09">
        <w:rPr>
          <w:rFonts w:ascii="Times New Roman" w:hAnsi="Times New Roman" w:cs="Times New Roman"/>
          <w:color w:val="000000" w:themeColor="text1"/>
        </w:rPr>
        <w:t xml:space="preserve">“Legisti” adeguatamente formati assolveranno, così, il compito di supportare, con una competenza tecnica specifica, </w:t>
      </w:r>
      <w:r w:rsidR="00E065E0" w:rsidRPr="00C46C09">
        <w:rPr>
          <w:rFonts w:ascii="Times New Roman" w:hAnsi="Times New Roman" w:cs="Times New Roman"/>
          <w:color w:val="000000" w:themeColor="text1"/>
        </w:rPr>
        <w:t>l’attività di scrittura compiuta dai funzionari e dai dirigenti che pos</w:t>
      </w:r>
      <w:r w:rsidRPr="00C46C09">
        <w:rPr>
          <w:rFonts w:ascii="Times New Roman" w:hAnsi="Times New Roman" w:cs="Times New Roman"/>
          <w:color w:val="000000" w:themeColor="text1"/>
        </w:rPr>
        <w:t>siedono una specifica conoscenza dei settori di intervento</w:t>
      </w:r>
      <w:r w:rsidR="004E63CD" w:rsidRPr="00C46C09">
        <w:rPr>
          <w:rStyle w:val="Rimandonotaapidipagina"/>
          <w:rFonts w:ascii="Times New Roman" w:hAnsi="Times New Roman" w:cs="Times New Roman"/>
          <w:color w:val="000000" w:themeColor="text1"/>
        </w:rPr>
        <w:footnoteReference w:id="33"/>
      </w:r>
      <w:r w:rsidRPr="00C46C09">
        <w:rPr>
          <w:rFonts w:ascii="Times New Roman" w:hAnsi="Times New Roman" w:cs="Times New Roman"/>
          <w:color w:val="000000" w:themeColor="text1"/>
        </w:rPr>
        <w:t>.</w:t>
      </w:r>
    </w:p>
    <w:p w14:paraId="11EE062F" w14:textId="72E53BF3" w:rsidR="00425DB5" w:rsidRPr="00C46C09" w:rsidRDefault="00425DB5" w:rsidP="00575506">
      <w:pPr>
        <w:pStyle w:val="Paragrafoelenco"/>
        <w:autoSpaceDE w:val="0"/>
        <w:autoSpaceDN w:val="0"/>
        <w:adjustRightInd w:val="0"/>
        <w:spacing w:after="0" w:line="240" w:lineRule="auto"/>
        <w:ind w:left="0" w:firstLine="284"/>
        <w:jc w:val="both"/>
        <w:rPr>
          <w:rFonts w:ascii="Times New Roman" w:hAnsi="Times New Roman" w:cs="Times New Roman"/>
          <w:color w:val="000000" w:themeColor="text1"/>
        </w:rPr>
      </w:pPr>
      <w:r w:rsidRPr="00C46C09">
        <w:rPr>
          <w:rFonts w:ascii="Times New Roman" w:hAnsi="Times New Roman" w:cs="Times New Roman"/>
          <w:color w:val="000000" w:themeColor="text1"/>
        </w:rPr>
        <w:t xml:space="preserve">L’attività formativa dovrà, inoltre, dedicare adeguato spazio alla divulgazione delle istruzioni attinenti ai criteri delle scelte redazionali rimesse alla valutazione </w:t>
      </w:r>
      <w:r w:rsidR="007276DB" w:rsidRPr="00C46C09">
        <w:rPr>
          <w:rFonts w:ascii="Times New Roman" w:hAnsi="Times New Roman" w:cs="Times New Roman"/>
          <w:color w:val="000000" w:themeColor="text1"/>
        </w:rPr>
        <w:t xml:space="preserve">dei </w:t>
      </w:r>
      <w:r w:rsidR="00C04C08" w:rsidRPr="00C04C08">
        <w:rPr>
          <w:rFonts w:ascii="Times New Roman" w:hAnsi="Times New Roman" w:cs="Times New Roman"/>
          <w:i/>
          <w:color w:val="000000" w:themeColor="text1"/>
        </w:rPr>
        <w:t>drafter</w:t>
      </w:r>
      <w:r w:rsidR="007276DB" w:rsidRPr="00C46C09">
        <w:rPr>
          <w:rFonts w:ascii="Times New Roman" w:hAnsi="Times New Roman" w:cs="Times New Roman"/>
          <w:color w:val="000000" w:themeColor="text1"/>
        </w:rPr>
        <w:t>s.</w:t>
      </w:r>
      <w:r w:rsidRPr="00C46C09">
        <w:rPr>
          <w:rFonts w:ascii="Times New Roman" w:hAnsi="Times New Roman" w:cs="Times New Roman"/>
          <w:color w:val="000000" w:themeColor="text1"/>
        </w:rPr>
        <w:t xml:space="preserve"> </w:t>
      </w:r>
    </w:p>
    <w:p w14:paraId="736FFF0E" w14:textId="1BA41F75" w:rsidR="005E3DC3" w:rsidRPr="00C46C09" w:rsidRDefault="007276DB" w:rsidP="00575506">
      <w:pPr>
        <w:pStyle w:val="Paragrafoelenco"/>
        <w:autoSpaceDE w:val="0"/>
        <w:autoSpaceDN w:val="0"/>
        <w:adjustRightInd w:val="0"/>
        <w:spacing w:after="0" w:line="240" w:lineRule="auto"/>
        <w:ind w:left="0" w:firstLine="284"/>
        <w:jc w:val="both"/>
        <w:rPr>
          <w:rFonts w:ascii="Times New Roman" w:hAnsi="Times New Roman" w:cs="Times New Roman"/>
          <w:color w:val="000000" w:themeColor="text1"/>
        </w:rPr>
      </w:pPr>
      <w:r w:rsidRPr="00C46C09">
        <w:rPr>
          <w:rFonts w:ascii="Times New Roman" w:hAnsi="Times New Roman" w:cs="Times New Roman"/>
          <w:color w:val="000000" w:themeColor="text1"/>
        </w:rPr>
        <w:t>L</w:t>
      </w:r>
      <w:r w:rsidR="00693BB3" w:rsidRPr="00C46C09">
        <w:rPr>
          <w:rFonts w:ascii="Times New Roman" w:hAnsi="Times New Roman" w:cs="Times New Roman"/>
          <w:color w:val="000000" w:themeColor="text1"/>
        </w:rPr>
        <w:t>’auspicata</w:t>
      </w:r>
      <w:r w:rsidR="00E065E0" w:rsidRPr="00C46C09">
        <w:rPr>
          <w:rFonts w:ascii="Times New Roman" w:hAnsi="Times New Roman" w:cs="Times New Roman"/>
          <w:color w:val="000000" w:themeColor="text1"/>
        </w:rPr>
        <w:t xml:space="preserve"> revisione della Circolare della Presidenza del Consiglio dei ministri</w:t>
      </w:r>
      <w:r w:rsidR="00BE27CF" w:rsidRPr="00C46C09">
        <w:rPr>
          <w:rFonts w:ascii="Times New Roman" w:hAnsi="Times New Roman" w:cs="Times New Roman"/>
          <w:color w:val="000000" w:themeColor="text1"/>
        </w:rPr>
        <w:t xml:space="preserve"> del 2 maggio 2001</w:t>
      </w:r>
      <w:r w:rsidR="00E065E0" w:rsidRPr="00C46C09">
        <w:rPr>
          <w:rFonts w:ascii="Times New Roman" w:hAnsi="Times New Roman" w:cs="Times New Roman"/>
          <w:color w:val="000000" w:themeColor="text1"/>
        </w:rPr>
        <w:t xml:space="preserve"> sul </w:t>
      </w:r>
      <w:r w:rsidR="00C04C08" w:rsidRPr="00C04C08">
        <w:rPr>
          <w:rFonts w:ascii="Times New Roman" w:hAnsi="Times New Roman" w:cs="Times New Roman"/>
          <w:i/>
          <w:color w:val="000000" w:themeColor="text1"/>
        </w:rPr>
        <w:t>drafting</w:t>
      </w:r>
      <w:r w:rsidRPr="00C46C09">
        <w:rPr>
          <w:rFonts w:ascii="Times New Roman" w:hAnsi="Times New Roman" w:cs="Times New Roman"/>
          <w:color w:val="000000" w:themeColor="text1"/>
        </w:rPr>
        <w:t xml:space="preserve"> potrà (</w:t>
      </w:r>
      <w:r w:rsidRPr="00F309D9">
        <w:rPr>
          <w:rFonts w:ascii="Times New Roman" w:hAnsi="Times New Roman" w:cs="Times New Roman"/>
          <w:i/>
          <w:iCs/>
          <w:color w:val="000000" w:themeColor="text1"/>
        </w:rPr>
        <w:t>rectius</w:t>
      </w:r>
      <w:r w:rsidRPr="00C46C09">
        <w:rPr>
          <w:rFonts w:ascii="Times New Roman" w:hAnsi="Times New Roman" w:cs="Times New Roman"/>
          <w:color w:val="000000" w:themeColor="text1"/>
        </w:rPr>
        <w:t>: dovrà)</w:t>
      </w:r>
      <w:r w:rsidR="00E065E0" w:rsidRPr="00C46C09">
        <w:rPr>
          <w:rFonts w:ascii="Times New Roman" w:hAnsi="Times New Roman" w:cs="Times New Roman"/>
          <w:color w:val="000000" w:themeColor="text1"/>
        </w:rPr>
        <w:t xml:space="preserve"> </w:t>
      </w:r>
      <w:r w:rsidR="00693BB3" w:rsidRPr="00C46C09">
        <w:rPr>
          <w:rFonts w:ascii="Times New Roman" w:hAnsi="Times New Roman" w:cs="Times New Roman"/>
          <w:color w:val="000000" w:themeColor="text1"/>
        </w:rPr>
        <w:t xml:space="preserve">costituire </w:t>
      </w:r>
      <w:r w:rsidR="00E065E0" w:rsidRPr="00C46C09">
        <w:rPr>
          <w:rFonts w:ascii="Times New Roman" w:hAnsi="Times New Roman" w:cs="Times New Roman"/>
          <w:color w:val="000000" w:themeColor="text1"/>
        </w:rPr>
        <w:t xml:space="preserve">l’occasione per avviare specifiche iniziative formative in materia. </w:t>
      </w:r>
    </w:p>
    <w:p w14:paraId="2A98AEF4" w14:textId="725BAD18" w:rsidR="00730366" w:rsidRPr="00C46C09" w:rsidRDefault="00730366" w:rsidP="00575506">
      <w:pPr>
        <w:pStyle w:val="Paragrafoelenco"/>
        <w:autoSpaceDE w:val="0"/>
        <w:autoSpaceDN w:val="0"/>
        <w:adjustRightInd w:val="0"/>
        <w:spacing w:after="0" w:line="240" w:lineRule="auto"/>
        <w:ind w:left="0" w:firstLine="284"/>
        <w:jc w:val="both"/>
        <w:rPr>
          <w:rFonts w:ascii="Times New Roman" w:hAnsi="Times New Roman" w:cs="Times New Roman"/>
          <w:color w:val="000000" w:themeColor="text1"/>
        </w:rPr>
      </w:pPr>
      <w:r w:rsidRPr="00C46C09">
        <w:rPr>
          <w:rFonts w:ascii="Times New Roman" w:hAnsi="Times New Roman" w:cs="Times New Roman"/>
          <w:color w:val="000000" w:themeColor="text1"/>
        </w:rPr>
        <w:t xml:space="preserve">Senza un’adeguata e mirata formazione, l’aggiornamento delle regole e delle istruzioni sul </w:t>
      </w:r>
      <w:r w:rsidR="00C04C08" w:rsidRPr="00C04C08">
        <w:rPr>
          <w:rFonts w:ascii="Times New Roman" w:hAnsi="Times New Roman" w:cs="Times New Roman"/>
          <w:i/>
          <w:color w:val="000000" w:themeColor="text1"/>
        </w:rPr>
        <w:t>drafting</w:t>
      </w:r>
      <w:r w:rsidRPr="00C46C09">
        <w:rPr>
          <w:rFonts w:ascii="Times New Roman" w:hAnsi="Times New Roman" w:cs="Times New Roman"/>
          <w:color w:val="000000" w:themeColor="text1"/>
        </w:rPr>
        <w:t xml:space="preserve"> rischia di restare un’iniziativa velleitaria e di non produrre gli attesi effetti di un miglioramento della qualità redazionale delle norme.</w:t>
      </w:r>
    </w:p>
    <w:p w14:paraId="3E7C8BA6" w14:textId="77777777" w:rsidR="00730366" w:rsidRPr="00C46C09" w:rsidRDefault="00730366" w:rsidP="006277A5">
      <w:pPr>
        <w:pStyle w:val="Paragrafoelenco"/>
        <w:autoSpaceDE w:val="0"/>
        <w:autoSpaceDN w:val="0"/>
        <w:adjustRightInd w:val="0"/>
        <w:spacing w:after="0" w:line="240" w:lineRule="auto"/>
        <w:ind w:left="0"/>
        <w:jc w:val="both"/>
        <w:rPr>
          <w:rFonts w:ascii="Times New Roman" w:hAnsi="Times New Roman" w:cs="Times New Roman"/>
          <w:color w:val="000000" w:themeColor="text1"/>
        </w:rPr>
      </w:pPr>
    </w:p>
    <w:p w14:paraId="4B06444F" w14:textId="77777777" w:rsidR="00730366" w:rsidRPr="00C46C09" w:rsidRDefault="00B072CA" w:rsidP="006277A5">
      <w:pPr>
        <w:pStyle w:val="Paragrafoelenco"/>
        <w:autoSpaceDE w:val="0"/>
        <w:autoSpaceDN w:val="0"/>
        <w:adjustRightInd w:val="0"/>
        <w:spacing w:after="0" w:line="240" w:lineRule="auto"/>
        <w:ind w:left="0"/>
        <w:jc w:val="both"/>
        <w:rPr>
          <w:rFonts w:ascii="Times New Roman" w:hAnsi="Times New Roman" w:cs="Times New Roman"/>
          <w:b/>
          <w:bCs/>
        </w:rPr>
      </w:pPr>
      <w:r w:rsidRPr="00C46C09">
        <w:rPr>
          <w:rFonts w:ascii="Times New Roman" w:hAnsi="Times New Roman" w:cs="Times New Roman"/>
          <w:b/>
          <w:bCs/>
        </w:rPr>
        <w:t>8</w:t>
      </w:r>
      <w:r w:rsidR="00E563D3" w:rsidRPr="00C46C09">
        <w:rPr>
          <w:rFonts w:ascii="Times New Roman" w:hAnsi="Times New Roman" w:cs="Times New Roman"/>
          <w:b/>
          <w:bCs/>
        </w:rPr>
        <w:t>. La chiarezza delle norme nei rapporti tra disposizioni e</w:t>
      </w:r>
      <w:r w:rsidR="00730366" w:rsidRPr="00C46C09">
        <w:rPr>
          <w:rFonts w:ascii="Times New Roman" w:hAnsi="Times New Roman" w:cs="Times New Roman"/>
          <w:b/>
          <w:bCs/>
        </w:rPr>
        <w:t xml:space="preserve"> la (discussa) tecnica della novella. </w:t>
      </w:r>
    </w:p>
    <w:p w14:paraId="607E5DA2" w14:textId="77777777" w:rsidR="0073273F" w:rsidRPr="00C46C09" w:rsidRDefault="0073273F"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La chiarezza e l’intellegibilità delle norme sono state da sempre considerate un presidio democratico.</w:t>
      </w:r>
    </w:p>
    <w:p w14:paraId="6ADAEF88" w14:textId="77777777" w:rsidR="00E563D3" w:rsidRPr="00C46C09" w:rsidRDefault="00E563D3"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Si è rilevato, per un verso, che solo leggi ben scritte e comprensibili determinano l’esigibilità del loro rispetto da parte dei cittadini</w:t>
      </w:r>
      <w:r w:rsidR="00121D43" w:rsidRPr="00C46C09">
        <w:rPr>
          <w:rFonts w:ascii="Times New Roman" w:hAnsi="Times New Roman" w:cs="Times New Roman"/>
          <w:bCs/>
        </w:rPr>
        <w:t>; c</w:t>
      </w:r>
      <w:r w:rsidRPr="00C46C09">
        <w:rPr>
          <w:rFonts w:ascii="Times New Roman" w:hAnsi="Times New Roman" w:cs="Times New Roman"/>
          <w:bCs/>
        </w:rPr>
        <w:t>osì come, per altro verso, appare ormai acquisito</w:t>
      </w:r>
      <w:r w:rsidR="005D0F7E" w:rsidRPr="00C46C09">
        <w:rPr>
          <w:rFonts w:ascii="Times New Roman" w:hAnsi="Times New Roman" w:cs="Times New Roman"/>
          <w:bCs/>
        </w:rPr>
        <w:t>, fin dal rapporto Giannini del 1979</w:t>
      </w:r>
      <w:r w:rsidR="00EC51F6" w:rsidRPr="00C46C09">
        <w:rPr>
          <w:rStyle w:val="Rimandonotaapidipagina"/>
          <w:rFonts w:ascii="Times New Roman" w:hAnsi="Times New Roman" w:cs="Times New Roman"/>
          <w:bCs/>
        </w:rPr>
        <w:footnoteReference w:id="34"/>
      </w:r>
      <w:r w:rsidR="005D0F7E" w:rsidRPr="00C46C09">
        <w:rPr>
          <w:rFonts w:ascii="Times New Roman" w:hAnsi="Times New Roman" w:cs="Times New Roman"/>
          <w:bCs/>
        </w:rPr>
        <w:t>,</w:t>
      </w:r>
      <w:r w:rsidRPr="00C46C09">
        <w:rPr>
          <w:rFonts w:ascii="Times New Roman" w:hAnsi="Times New Roman" w:cs="Times New Roman"/>
          <w:bCs/>
        </w:rPr>
        <w:t xml:space="preserve"> il convincimento che solo dispos</w:t>
      </w:r>
      <w:r w:rsidR="007276DB" w:rsidRPr="00C46C09">
        <w:rPr>
          <w:rFonts w:ascii="Times New Roman" w:hAnsi="Times New Roman" w:cs="Times New Roman"/>
          <w:bCs/>
        </w:rPr>
        <w:t>izioni legislative</w:t>
      </w:r>
      <w:r w:rsidRPr="00C46C09">
        <w:rPr>
          <w:rFonts w:ascii="Times New Roman" w:hAnsi="Times New Roman" w:cs="Times New Roman"/>
          <w:bCs/>
        </w:rPr>
        <w:t xml:space="preserve"> chiare e scevre da ambiguità o incertezze interpretative sono capa</w:t>
      </w:r>
      <w:r w:rsidR="00502F2A" w:rsidRPr="00C46C09">
        <w:rPr>
          <w:rFonts w:ascii="Times New Roman" w:hAnsi="Times New Roman" w:cs="Times New Roman"/>
          <w:bCs/>
        </w:rPr>
        <w:t>c</w:t>
      </w:r>
      <w:r w:rsidRPr="00C46C09">
        <w:rPr>
          <w:rFonts w:ascii="Times New Roman" w:hAnsi="Times New Roman" w:cs="Times New Roman"/>
          <w:bCs/>
        </w:rPr>
        <w:t>i di produrre gli effetti voluti.</w:t>
      </w:r>
    </w:p>
    <w:p w14:paraId="6C2432E2" w14:textId="77777777" w:rsidR="00502F2A" w:rsidRPr="00C46C09" w:rsidRDefault="00502F2A"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In ogni caso, solo leggi ossequiose dei canoni redazionali formali soddisfano le esigenze di sicurezza giuridica, che costituiscono un pilastro dello Stato di diritto, nel senso che il principio di legalità (immanente nel nostro ordinamento costituzionale) può intendersi rispettato solo a fronte di precetti legislativi univoci, nella loro portata semantica e, quindi, giuridica</w:t>
      </w:r>
      <w:r w:rsidR="001C3611" w:rsidRPr="00C46C09">
        <w:rPr>
          <w:rStyle w:val="Rimandonotaapidipagina"/>
          <w:rFonts w:ascii="Times New Roman" w:hAnsi="Times New Roman" w:cs="Times New Roman"/>
          <w:bCs/>
        </w:rPr>
        <w:footnoteReference w:id="35"/>
      </w:r>
      <w:r w:rsidRPr="00C46C09">
        <w:rPr>
          <w:rFonts w:ascii="Times New Roman" w:hAnsi="Times New Roman" w:cs="Times New Roman"/>
          <w:bCs/>
        </w:rPr>
        <w:t xml:space="preserve">.  </w:t>
      </w:r>
    </w:p>
    <w:p w14:paraId="43C0F951" w14:textId="77777777" w:rsidR="0089228E" w:rsidRPr="00C46C09" w:rsidRDefault="00E563D3"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I noti</w:t>
      </w:r>
      <w:r w:rsidR="00EB1445" w:rsidRPr="00C46C09">
        <w:rPr>
          <w:rFonts w:ascii="Times New Roman" w:hAnsi="Times New Roman" w:cs="Times New Roman"/>
          <w:bCs/>
        </w:rPr>
        <w:t xml:space="preserve"> fenomeni della stratificazione di interventi sulla medesima fattispecie, della legislazione convulsa e (a volte) estemporanea e </w:t>
      </w:r>
      <w:r w:rsidR="0089228E" w:rsidRPr="00C46C09">
        <w:rPr>
          <w:rFonts w:ascii="Times New Roman" w:hAnsi="Times New Roman" w:cs="Times New Roman"/>
          <w:bCs/>
        </w:rPr>
        <w:t>della ristrettezza dei tempi di intervento (a volte rimessi alla decisione politica</w:t>
      </w:r>
      <w:r w:rsidRPr="00C46C09">
        <w:rPr>
          <w:rFonts w:ascii="Times New Roman" w:hAnsi="Times New Roman" w:cs="Times New Roman"/>
          <w:bCs/>
        </w:rPr>
        <w:t>;</w:t>
      </w:r>
      <w:r w:rsidR="0089228E" w:rsidRPr="00C46C09">
        <w:rPr>
          <w:rFonts w:ascii="Times New Roman" w:hAnsi="Times New Roman" w:cs="Times New Roman"/>
          <w:bCs/>
        </w:rPr>
        <w:t xml:space="preserve"> altre volte dettati da situazioni di emergenza) hanno</w:t>
      </w:r>
      <w:r w:rsidR="00502F2A" w:rsidRPr="00C46C09">
        <w:rPr>
          <w:rFonts w:ascii="Times New Roman" w:hAnsi="Times New Roman" w:cs="Times New Roman"/>
          <w:bCs/>
        </w:rPr>
        <w:t>, tuttavia,</w:t>
      </w:r>
      <w:r w:rsidR="0089228E" w:rsidRPr="00C46C09">
        <w:rPr>
          <w:rFonts w:ascii="Times New Roman" w:hAnsi="Times New Roman" w:cs="Times New Roman"/>
          <w:bCs/>
        </w:rPr>
        <w:t xml:space="preserve"> sovente determinato la </w:t>
      </w:r>
      <w:r w:rsidRPr="00C46C09">
        <w:rPr>
          <w:rFonts w:ascii="Times New Roman" w:hAnsi="Times New Roman" w:cs="Times New Roman"/>
          <w:bCs/>
        </w:rPr>
        <w:t>redazione di disposizioni</w:t>
      </w:r>
      <w:r w:rsidR="0089228E" w:rsidRPr="00C46C09">
        <w:rPr>
          <w:rFonts w:ascii="Times New Roman" w:hAnsi="Times New Roman" w:cs="Times New Roman"/>
          <w:bCs/>
        </w:rPr>
        <w:t xml:space="preserve"> di non agevole lettura.</w:t>
      </w:r>
    </w:p>
    <w:p w14:paraId="5D2983F2" w14:textId="77777777" w:rsidR="0089228E" w:rsidRPr="00C46C09" w:rsidRDefault="0089228E"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Si tratta, soprattutto, dei casi di relazione tra diverse disposizioni</w:t>
      </w:r>
      <w:r w:rsidR="005C4CC0" w:rsidRPr="00C46C09">
        <w:rPr>
          <w:rFonts w:ascii="Times New Roman" w:hAnsi="Times New Roman" w:cs="Times New Roman"/>
          <w:bCs/>
        </w:rPr>
        <w:t xml:space="preserve"> (rinvii, modifiche, sostituzioni, abrogazioni parziali), in cui la lettura di una norma postula la conoscenza di un’altra</w:t>
      </w:r>
      <w:r w:rsidRPr="00C46C09">
        <w:rPr>
          <w:rFonts w:ascii="Times New Roman" w:hAnsi="Times New Roman" w:cs="Times New Roman"/>
          <w:bCs/>
        </w:rPr>
        <w:t>.</w:t>
      </w:r>
    </w:p>
    <w:p w14:paraId="1CB7CDDB" w14:textId="77777777" w:rsidR="005C4CC0" w:rsidRPr="00C46C09" w:rsidRDefault="009B1560"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Vanno, al riguardo, distinte due fattispecie: i rinvii e le modifiche.</w:t>
      </w:r>
    </w:p>
    <w:p w14:paraId="52611676" w14:textId="77777777" w:rsidR="009B1560" w:rsidRPr="00C46C09" w:rsidRDefault="009B1560"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La prima categoria di disposizioni</w:t>
      </w:r>
      <w:r w:rsidR="000E422C" w:rsidRPr="00C46C09">
        <w:rPr>
          <w:rFonts w:ascii="Times New Roman" w:hAnsi="Times New Roman" w:cs="Times New Roman"/>
          <w:bCs/>
        </w:rPr>
        <w:t>, che si configura quando uno degli elementi della fattispecie regolata è già definito e disciplinato da un’altra norma,</w:t>
      </w:r>
      <w:r w:rsidRPr="00C46C09">
        <w:rPr>
          <w:rFonts w:ascii="Times New Roman" w:hAnsi="Times New Roman" w:cs="Times New Roman"/>
          <w:bCs/>
        </w:rPr>
        <w:t xml:space="preserve"> implica una scelta tra tre diverse tecniche redazionali: a) la riproduzione per intero della norma richiamata; b) il richiamo secco degli estremi della disposizione verso cui è operato il rinvio (rinvio </w:t>
      </w:r>
      <w:r w:rsidR="003768DC" w:rsidRPr="00C46C09">
        <w:rPr>
          <w:rFonts w:ascii="Times New Roman" w:hAnsi="Times New Roman" w:cs="Times New Roman"/>
          <w:bCs/>
        </w:rPr>
        <w:t>“</w:t>
      </w:r>
      <w:r w:rsidRPr="00C46C09">
        <w:rPr>
          <w:rFonts w:ascii="Times New Roman" w:hAnsi="Times New Roman" w:cs="Times New Roman"/>
          <w:bCs/>
        </w:rPr>
        <w:t>muto</w:t>
      </w:r>
      <w:r w:rsidR="003768DC" w:rsidRPr="00C46C09">
        <w:rPr>
          <w:rFonts w:ascii="Times New Roman" w:hAnsi="Times New Roman" w:cs="Times New Roman"/>
          <w:bCs/>
        </w:rPr>
        <w:t>”</w:t>
      </w:r>
      <w:r w:rsidRPr="00C46C09">
        <w:rPr>
          <w:rFonts w:ascii="Times New Roman" w:hAnsi="Times New Roman" w:cs="Times New Roman"/>
          <w:bCs/>
        </w:rPr>
        <w:t>); c) il richiamo della disposizione verso cui è operato il rinvio, ma con l’indicazione esplicita e sintetica dell’oggetto della norma richiamata</w:t>
      </w:r>
      <w:r w:rsidR="00643D50" w:rsidRPr="00C46C09">
        <w:rPr>
          <w:rFonts w:ascii="Times New Roman" w:hAnsi="Times New Roman" w:cs="Times New Roman"/>
          <w:bCs/>
        </w:rPr>
        <w:t xml:space="preserve"> (rinvio </w:t>
      </w:r>
      <w:r w:rsidR="003768DC" w:rsidRPr="00C46C09">
        <w:rPr>
          <w:rFonts w:ascii="Times New Roman" w:hAnsi="Times New Roman" w:cs="Times New Roman"/>
          <w:bCs/>
        </w:rPr>
        <w:t>“</w:t>
      </w:r>
      <w:r w:rsidR="00643D50" w:rsidRPr="00C46C09">
        <w:rPr>
          <w:rFonts w:ascii="Times New Roman" w:hAnsi="Times New Roman" w:cs="Times New Roman"/>
          <w:bCs/>
        </w:rPr>
        <w:t>parlante</w:t>
      </w:r>
      <w:r w:rsidR="003768DC" w:rsidRPr="00C46C09">
        <w:rPr>
          <w:rFonts w:ascii="Times New Roman" w:hAnsi="Times New Roman" w:cs="Times New Roman"/>
          <w:bCs/>
        </w:rPr>
        <w:t>”</w:t>
      </w:r>
      <w:r w:rsidR="00643D50" w:rsidRPr="00C46C09">
        <w:rPr>
          <w:rFonts w:ascii="Times New Roman" w:hAnsi="Times New Roman" w:cs="Times New Roman"/>
          <w:bCs/>
        </w:rPr>
        <w:t>)</w:t>
      </w:r>
      <w:r w:rsidRPr="00C46C09">
        <w:rPr>
          <w:rFonts w:ascii="Times New Roman" w:hAnsi="Times New Roman" w:cs="Times New Roman"/>
          <w:bCs/>
        </w:rPr>
        <w:t>.</w:t>
      </w:r>
    </w:p>
    <w:p w14:paraId="71A786C7" w14:textId="62463253" w:rsidR="0047356E" w:rsidRDefault="0047356E"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Premesso che evidenti ragioni di chiarezza e intellegibilità delle norme impongono di preferire le tecniche sub a) e sub c), non resta che rilevare che la scelta tra le due, entrambe idonee a significare il senso del rinvio</w:t>
      </w:r>
      <w:r w:rsidR="000E422C" w:rsidRPr="00C46C09">
        <w:rPr>
          <w:rFonts w:ascii="Times New Roman" w:hAnsi="Times New Roman" w:cs="Times New Roman"/>
          <w:bCs/>
        </w:rPr>
        <w:t xml:space="preserve"> (seppur con differenti effetti di completezza)</w:t>
      </w:r>
      <w:r w:rsidRPr="00C46C09">
        <w:rPr>
          <w:rFonts w:ascii="Times New Roman" w:hAnsi="Times New Roman" w:cs="Times New Roman"/>
          <w:bCs/>
        </w:rPr>
        <w:t>, dipenderà anche dalla consistenza quantitativa della norma richiamata</w:t>
      </w:r>
      <w:r w:rsidR="00313FE1">
        <w:rPr>
          <w:rFonts w:ascii="Times New Roman" w:hAnsi="Times New Roman" w:cs="Times New Roman"/>
          <w:bCs/>
        </w:rPr>
        <w:t xml:space="preserve"> e deve intendersi comunque rimessa alla scelta del </w:t>
      </w:r>
      <w:r w:rsidR="00313FE1">
        <w:rPr>
          <w:rFonts w:ascii="Times New Roman" w:hAnsi="Times New Roman" w:cs="Times New Roman"/>
          <w:bCs/>
          <w:i/>
        </w:rPr>
        <w:t>drafter</w:t>
      </w:r>
      <w:r w:rsidRPr="00C46C09">
        <w:rPr>
          <w:rFonts w:ascii="Times New Roman" w:hAnsi="Times New Roman" w:cs="Times New Roman"/>
          <w:bCs/>
        </w:rPr>
        <w:t>.</w:t>
      </w:r>
    </w:p>
    <w:p w14:paraId="7021C3F4" w14:textId="57B10DA4" w:rsidR="00C70AB7" w:rsidRDefault="00C70AB7"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Pr>
          <w:rFonts w:ascii="Times New Roman" w:hAnsi="Times New Roman" w:cs="Times New Roman"/>
          <w:bCs/>
        </w:rPr>
        <w:t>Nella recente esperienza è stata spesso utilizzata la tecnica del rinvio “parlante”</w:t>
      </w:r>
      <w:r w:rsidR="000B7DF3">
        <w:rPr>
          <w:rFonts w:ascii="Times New Roman" w:hAnsi="Times New Roman" w:cs="Times New Roman"/>
          <w:bCs/>
        </w:rPr>
        <w:t xml:space="preserve"> (in luogo di quella del rinvio “muto”)</w:t>
      </w:r>
      <w:r w:rsidR="00313FE1">
        <w:rPr>
          <w:rFonts w:ascii="Times New Roman" w:hAnsi="Times New Roman" w:cs="Times New Roman"/>
          <w:bCs/>
        </w:rPr>
        <w:t>, in quanto giudicata quella più capace di significare con immediatezza l’oggetto del rinvio</w:t>
      </w:r>
      <w:r w:rsidR="000B7DF3">
        <w:rPr>
          <w:rFonts w:ascii="Times New Roman" w:hAnsi="Times New Roman" w:cs="Times New Roman"/>
          <w:bCs/>
        </w:rPr>
        <w:t>.</w:t>
      </w:r>
    </w:p>
    <w:p w14:paraId="77A7D634" w14:textId="1903F197" w:rsidR="000B7DF3" w:rsidRDefault="000B7DF3"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Pr>
          <w:rFonts w:ascii="Times New Roman" w:hAnsi="Times New Roman" w:cs="Times New Roman"/>
          <w:bCs/>
        </w:rPr>
        <w:t>Tra le altre fattispecie in cui si è fatta applicazione del metodo del rinvio “parlante”, merita una menzione speciale quella delle proroghe dei termini legislativi, in cui si è preferito esplicitare l’oggetto della disposizione prorogata: nel recente decreto legge n.228 del 30 dicembre 2021, per esempio, invece di scrivere “le disposizioni di cui all’articolo 2-quinquies del decreto legge 17 marzo 2020, n.18…sono prorogate al 31 dicembre 2022”, si è preferito scrivere “le disposizioni di cui all’articolo 2-quinquies del decreto legge 17 marzo 2020, n.18…, relative alla possibilità per i laureati in medicina e chirurgia abilitati di assumere incarichi provvisori o di sostituzione di medici di medicina generale, nonché alla possibilità per i medici iscritti al corso di specializzazione in pediatria, durante il percorso formativo, di assumere incarichi provvisori o di sostituzione di pediatri di libera scelta convenzionati con il servizio sanitario nazionale, sono prorogate al 31 dicembre 2022”.</w:t>
      </w:r>
    </w:p>
    <w:p w14:paraId="3DF260ED" w14:textId="5EF21609" w:rsidR="00FE40B7" w:rsidRDefault="000B7DF3"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Pr>
          <w:rFonts w:ascii="Times New Roman" w:hAnsi="Times New Roman" w:cs="Times New Roman"/>
          <w:bCs/>
        </w:rPr>
        <w:t>Come si vede, si tratta di una innovazione red</w:t>
      </w:r>
      <w:r w:rsidR="009A4D25">
        <w:rPr>
          <w:rFonts w:ascii="Times New Roman" w:hAnsi="Times New Roman" w:cs="Times New Roman"/>
          <w:bCs/>
        </w:rPr>
        <w:t>azionale che serve a comunicare</w:t>
      </w:r>
      <w:r>
        <w:rPr>
          <w:rFonts w:ascii="Times New Roman" w:hAnsi="Times New Roman" w:cs="Times New Roman"/>
          <w:bCs/>
        </w:rPr>
        <w:t xml:space="preserve"> immediatamente </w:t>
      </w:r>
      <w:r w:rsidR="009A4D25">
        <w:rPr>
          <w:rFonts w:ascii="Times New Roman" w:hAnsi="Times New Roman" w:cs="Times New Roman"/>
          <w:bCs/>
        </w:rPr>
        <w:t xml:space="preserve">e chiaramente </w:t>
      </w:r>
      <w:r>
        <w:rPr>
          <w:rFonts w:ascii="Times New Roman" w:hAnsi="Times New Roman" w:cs="Times New Roman"/>
          <w:bCs/>
        </w:rPr>
        <w:t xml:space="preserve">al lettore l’oggetto </w:t>
      </w:r>
      <w:r w:rsidR="00FE40B7">
        <w:rPr>
          <w:rFonts w:ascii="Times New Roman" w:hAnsi="Times New Roman" w:cs="Times New Roman"/>
          <w:bCs/>
        </w:rPr>
        <w:t xml:space="preserve">della proroga </w:t>
      </w:r>
      <w:r>
        <w:rPr>
          <w:rFonts w:ascii="Times New Roman" w:hAnsi="Times New Roman" w:cs="Times New Roman"/>
          <w:bCs/>
        </w:rPr>
        <w:t>(pur nella sintesi lessicale del contenuto sostanziale)</w:t>
      </w:r>
      <w:r w:rsidR="00FE40B7">
        <w:rPr>
          <w:rFonts w:ascii="Times New Roman" w:hAnsi="Times New Roman" w:cs="Times New Roman"/>
          <w:bCs/>
        </w:rPr>
        <w:t>.</w:t>
      </w:r>
    </w:p>
    <w:p w14:paraId="1A4F23FD" w14:textId="7D2E6719" w:rsidR="000B7DF3" w:rsidRPr="00C46C09" w:rsidRDefault="00EA38AF"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Pr>
          <w:rFonts w:ascii="Times New Roman" w:hAnsi="Times New Roman" w:cs="Times New Roman"/>
          <w:bCs/>
        </w:rPr>
        <w:t>È</w:t>
      </w:r>
      <w:r w:rsidR="00FE40B7">
        <w:rPr>
          <w:rFonts w:ascii="Times New Roman" w:hAnsi="Times New Roman" w:cs="Times New Roman"/>
          <w:bCs/>
        </w:rPr>
        <w:t xml:space="preserve"> vero che, per acquisire una completa cognizione della portata precettiva della disposizione prorogata, occorre leggerla, ma è anche vero che la tecnica del rin</w:t>
      </w:r>
      <w:r w:rsidR="009A4D25">
        <w:rPr>
          <w:rFonts w:ascii="Times New Roman" w:hAnsi="Times New Roman" w:cs="Times New Roman"/>
          <w:bCs/>
        </w:rPr>
        <w:t>vio “parlante” vale a significare</w:t>
      </w:r>
      <w:r w:rsidR="00FE40B7">
        <w:rPr>
          <w:rFonts w:ascii="Times New Roman" w:hAnsi="Times New Roman" w:cs="Times New Roman"/>
          <w:bCs/>
        </w:rPr>
        <w:t xml:space="preserve"> in via immediata l’ambito di intervento della proroga. </w:t>
      </w:r>
      <w:r w:rsidR="000B7DF3">
        <w:rPr>
          <w:rFonts w:ascii="Times New Roman" w:hAnsi="Times New Roman" w:cs="Times New Roman"/>
          <w:bCs/>
        </w:rPr>
        <w:t xml:space="preserve">  </w:t>
      </w:r>
    </w:p>
    <w:p w14:paraId="42EA7F4C" w14:textId="77777777" w:rsidR="007276DB" w:rsidRPr="00C46C09" w:rsidRDefault="0047356E"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 xml:space="preserve">Quanto, invece, alla tecnica redazionale da preferire per le ipotesi di modificazioni di disposizioni vigenti, </w:t>
      </w:r>
      <w:r w:rsidR="007276DB" w:rsidRPr="00C46C09">
        <w:rPr>
          <w:rFonts w:ascii="Times New Roman" w:hAnsi="Times New Roman" w:cs="Times New Roman"/>
          <w:bCs/>
        </w:rPr>
        <w:t>oc</w:t>
      </w:r>
      <w:r w:rsidR="00C929F6" w:rsidRPr="00C46C09">
        <w:rPr>
          <w:rFonts w:ascii="Times New Roman" w:hAnsi="Times New Roman" w:cs="Times New Roman"/>
          <w:bCs/>
        </w:rPr>
        <w:t>corre distinguere due questioni</w:t>
      </w:r>
      <w:r w:rsidR="007276DB" w:rsidRPr="00C46C09">
        <w:rPr>
          <w:rFonts w:ascii="Times New Roman" w:hAnsi="Times New Roman" w:cs="Times New Roman"/>
          <w:bCs/>
        </w:rPr>
        <w:t xml:space="preserve">: a) </w:t>
      </w:r>
      <w:r w:rsidR="000E422C" w:rsidRPr="00C46C09">
        <w:rPr>
          <w:rFonts w:ascii="Times New Roman" w:hAnsi="Times New Roman" w:cs="Times New Roman"/>
          <w:bCs/>
        </w:rPr>
        <w:t>la scelta tra modifica implicita</w:t>
      </w:r>
      <w:r w:rsidR="007276DB" w:rsidRPr="00C46C09">
        <w:rPr>
          <w:rFonts w:ascii="Times New Roman" w:hAnsi="Times New Roman" w:cs="Times New Roman"/>
          <w:bCs/>
        </w:rPr>
        <w:t xml:space="preserve"> e novella; b) la scelta </w:t>
      </w:r>
      <w:r w:rsidR="00C929F6" w:rsidRPr="00C46C09">
        <w:rPr>
          <w:rFonts w:ascii="Times New Roman" w:hAnsi="Times New Roman" w:cs="Times New Roman"/>
          <w:bCs/>
        </w:rPr>
        <w:t>tra novella chirurgica e sostituzione del testo vigente</w:t>
      </w:r>
      <w:r w:rsidR="001C3611" w:rsidRPr="00C46C09">
        <w:rPr>
          <w:rStyle w:val="Rimandonotaapidipagina"/>
          <w:rFonts w:ascii="Times New Roman" w:hAnsi="Times New Roman" w:cs="Times New Roman"/>
          <w:bCs/>
        </w:rPr>
        <w:footnoteReference w:id="36"/>
      </w:r>
      <w:r w:rsidR="007276DB" w:rsidRPr="00C46C09">
        <w:rPr>
          <w:rFonts w:ascii="Times New Roman" w:hAnsi="Times New Roman" w:cs="Times New Roman"/>
          <w:bCs/>
        </w:rPr>
        <w:t>.</w:t>
      </w:r>
    </w:p>
    <w:p w14:paraId="39225BF4" w14:textId="77777777" w:rsidR="007276DB" w:rsidRPr="00C46C09" w:rsidRDefault="00C929F6"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 xml:space="preserve">Entrambi i problemi vanno affrontati alla stregua della comparazione delle istanze pertinenti a interessi tra loro potenzialmente confliggenti: a) l’intellegibilità della norma, dal punto di vista del lettore; b) la precisione del disposto normativo, in relazione all’innovazione dell’ordinamento. </w:t>
      </w:r>
    </w:p>
    <w:p w14:paraId="762E7535" w14:textId="12532F85" w:rsidR="00C929F6" w:rsidRPr="00C46C09" w:rsidRDefault="00C929F6"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Si tratta di esigenze entrambe meritevoli di considerazione: le leggi devono essere chiare e comprensibili al lettore, ma devono anche essere “esatte”, nel senso che la consistenza della portata innovativa dev’essere ricostruibile in maniera univoca</w:t>
      </w:r>
      <w:r w:rsidR="00FE40B7">
        <w:rPr>
          <w:rFonts w:ascii="Times New Roman" w:hAnsi="Times New Roman" w:cs="Times New Roman"/>
          <w:bCs/>
        </w:rPr>
        <w:t>,</w:t>
      </w:r>
      <w:r w:rsidRPr="00C46C09">
        <w:rPr>
          <w:rFonts w:ascii="Times New Roman" w:hAnsi="Times New Roman" w:cs="Times New Roman"/>
          <w:bCs/>
        </w:rPr>
        <w:t xml:space="preserve"> senza alcuna incertezza semantica, lessicale ed ermeneutica.</w:t>
      </w:r>
    </w:p>
    <w:p w14:paraId="6F535CB9" w14:textId="36364C86" w:rsidR="00C929F6" w:rsidRPr="00C46C09" w:rsidRDefault="00C929F6"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 xml:space="preserve">Merita, ancora, di rilevare che le esigenze attinenti alla </w:t>
      </w:r>
      <w:r w:rsidR="000B2377" w:rsidRPr="00C46C09">
        <w:rPr>
          <w:rFonts w:ascii="Times New Roman" w:hAnsi="Times New Roman" w:cs="Times New Roman"/>
          <w:bCs/>
        </w:rPr>
        <w:t xml:space="preserve">leggibilità della modifica </w:t>
      </w:r>
      <w:r w:rsidR="000E422C" w:rsidRPr="00C46C09">
        <w:rPr>
          <w:rFonts w:ascii="Times New Roman" w:hAnsi="Times New Roman" w:cs="Times New Roman"/>
          <w:bCs/>
        </w:rPr>
        <w:t>e, quindi, a</w:t>
      </w:r>
      <w:r w:rsidR="000B2377" w:rsidRPr="00C46C09">
        <w:rPr>
          <w:rFonts w:ascii="Times New Roman" w:hAnsi="Times New Roman" w:cs="Times New Roman"/>
          <w:bCs/>
        </w:rPr>
        <w:t>lla comprensibilità, nella prospettiva del lettore, della norma novellata devono ritenersi dequotate in ragione</w:t>
      </w:r>
      <w:r w:rsidR="00470C50" w:rsidRPr="00C46C09">
        <w:rPr>
          <w:rFonts w:ascii="Times New Roman" w:hAnsi="Times New Roman" w:cs="Times New Roman"/>
          <w:bCs/>
        </w:rPr>
        <w:t xml:space="preserve"> del supporto conoscitivo offerto dalle banche dati giuridiche </w:t>
      </w:r>
      <w:r w:rsidR="00FE40B7">
        <w:rPr>
          <w:rFonts w:ascii="Times New Roman" w:hAnsi="Times New Roman" w:cs="Times New Roman"/>
          <w:bCs/>
        </w:rPr>
        <w:t>(</w:t>
      </w:r>
      <w:r w:rsidR="00470C50" w:rsidRPr="00C46C09">
        <w:rPr>
          <w:rFonts w:ascii="Times New Roman" w:hAnsi="Times New Roman" w:cs="Times New Roman"/>
          <w:bCs/>
        </w:rPr>
        <w:t xml:space="preserve">come </w:t>
      </w:r>
      <w:r w:rsidR="00470C50" w:rsidRPr="00C46C09">
        <w:rPr>
          <w:rFonts w:ascii="Times New Roman" w:hAnsi="Times New Roman" w:cs="Times New Roman"/>
          <w:bCs/>
          <w:i/>
        </w:rPr>
        <w:t>Normattiva</w:t>
      </w:r>
      <w:r w:rsidR="00FE40B7">
        <w:rPr>
          <w:rFonts w:ascii="Times New Roman" w:hAnsi="Times New Roman" w:cs="Times New Roman"/>
          <w:bCs/>
        </w:rPr>
        <w:t>)</w:t>
      </w:r>
      <w:r w:rsidR="00470C50" w:rsidRPr="00C46C09">
        <w:rPr>
          <w:rFonts w:ascii="Times New Roman" w:hAnsi="Times New Roman" w:cs="Times New Roman"/>
          <w:bCs/>
        </w:rPr>
        <w:t xml:space="preserve"> che, ormai, </w:t>
      </w:r>
      <w:r w:rsidR="002D6505" w:rsidRPr="00C46C09">
        <w:rPr>
          <w:rFonts w:ascii="Times New Roman" w:hAnsi="Times New Roman" w:cs="Times New Roman"/>
          <w:bCs/>
        </w:rPr>
        <w:t>pubblicano</w:t>
      </w:r>
      <w:r w:rsidR="00470C50" w:rsidRPr="00C46C09">
        <w:rPr>
          <w:rFonts w:ascii="Times New Roman" w:hAnsi="Times New Roman" w:cs="Times New Roman"/>
          <w:bCs/>
        </w:rPr>
        <w:t xml:space="preserve"> in tempi celeri i testi coordinati risultanti dalle modifiche introdotte.</w:t>
      </w:r>
    </w:p>
    <w:p w14:paraId="6C1929C1" w14:textId="77777777" w:rsidR="0047356E" w:rsidRPr="00C46C09" w:rsidRDefault="000B2377"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Così tracciate le coordinate valutative delle questioni sopra indicate, deve rilevarsi che, in ordine al primo problema, la scelta compiuta</w:t>
      </w:r>
      <w:r w:rsidR="00730366" w:rsidRPr="00C46C09">
        <w:rPr>
          <w:rFonts w:ascii="Times New Roman" w:hAnsi="Times New Roman" w:cs="Times New Roman"/>
          <w:bCs/>
        </w:rPr>
        <w:t xml:space="preserve"> con le Circolari </w:t>
      </w:r>
      <w:r w:rsidR="0047356E" w:rsidRPr="00C46C09">
        <w:rPr>
          <w:rFonts w:ascii="Times New Roman" w:hAnsi="Times New Roman" w:cs="Times New Roman"/>
          <w:bCs/>
        </w:rPr>
        <w:t>del 2001</w:t>
      </w:r>
      <w:r w:rsidR="00730366" w:rsidRPr="00C46C09">
        <w:rPr>
          <w:rFonts w:ascii="Times New Roman" w:hAnsi="Times New Roman" w:cs="Times New Roman"/>
          <w:b/>
          <w:bCs/>
        </w:rPr>
        <w:t xml:space="preserve"> </w:t>
      </w:r>
      <w:r w:rsidR="00730366" w:rsidRPr="00C46C09">
        <w:rPr>
          <w:rFonts w:ascii="Times New Roman" w:hAnsi="Times New Roman" w:cs="Times New Roman"/>
          <w:bCs/>
        </w:rPr>
        <w:t xml:space="preserve">è stata quella di raccomandare il ricorso in via preferenziale alle novelle rispetto alle modifiche implicite della disciplina vigente. </w:t>
      </w:r>
    </w:p>
    <w:p w14:paraId="1C63B765" w14:textId="77777777" w:rsidR="000B2377" w:rsidRPr="00C46C09" w:rsidRDefault="000B2377"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Nel confronto tra i due interessi da assumere a parametro di scrutinio del problema, infatti, quello alla comprensibilità del testo è stato correttamente giudicato recessivo, rispetto a quello (preminente) della precisione della portata innovativa della modifica.</w:t>
      </w:r>
    </w:p>
    <w:p w14:paraId="387F4EEC" w14:textId="77777777" w:rsidR="00730366" w:rsidRPr="00C46C09" w:rsidRDefault="000B2377"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 xml:space="preserve">Se è vero, infatti, che la novella </w:t>
      </w:r>
      <w:r w:rsidR="003768DC" w:rsidRPr="00C46C09">
        <w:rPr>
          <w:rFonts w:ascii="Times New Roman" w:hAnsi="Times New Roman" w:cs="Times New Roman"/>
          <w:bCs/>
        </w:rPr>
        <w:t>induce problemi non trascurabili di immediata comprensione del provvedimento normativo che contiene la novella</w:t>
      </w:r>
      <w:r w:rsidRPr="00C46C09">
        <w:rPr>
          <w:rFonts w:ascii="Times New Roman" w:hAnsi="Times New Roman" w:cs="Times New Roman"/>
          <w:bCs/>
        </w:rPr>
        <w:t xml:space="preserve"> (ancorchè</w:t>
      </w:r>
      <w:r w:rsidR="000E422C" w:rsidRPr="00C46C09">
        <w:rPr>
          <w:rFonts w:ascii="Times New Roman" w:hAnsi="Times New Roman" w:cs="Times New Roman"/>
          <w:bCs/>
        </w:rPr>
        <w:t>, si ripete,</w:t>
      </w:r>
      <w:r w:rsidRPr="00C46C09">
        <w:rPr>
          <w:rFonts w:ascii="Times New Roman" w:hAnsi="Times New Roman" w:cs="Times New Roman"/>
          <w:bCs/>
        </w:rPr>
        <w:t xml:space="preserve"> molto ridimensionati dal supporto conoscitivo delle banche dati giuridiche), è anche vero che</w:t>
      </w:r>
      <w:r w:rsidR="003768DC" w:rsidRPr="00C46C09">
        <w:rPr>
          <w:rFonts w:ascii="Times New Roman" w:hAnsi="Times New Roman" w:cs="Times New Roman"/>
          <w:bCs/>
        </w:rPr>
        <w:t xml:space="preserve"> </w:t>
      </w:r>
      <w:r w:rsidR="00730366" w:rsidRPr="00C46C09">
        <w:rPr>
          <w:rFonts w:ascii="Times New Roman" w:hAnsi="Times New Roman" w:cs="Times New Roman"/>
          <w:bCs/>
        </w:rPr>
        <w:t>evita la stratificazione normativa</w:t>
      </w:r>
      <w:r w:rsidR="0047356E" w:rsidRPr="00C46C09">
        <w:rPr>
          <w:rFonts w:ascii="Times New Roman" w:hAnsi="Times New Roman" w:cs="Times New Roman"/>
          <w:bCs/>
        </w:rPr>
        <w:t>, scongiura dubbi esegetici sul rapporto diacronico tra le norme, assicura la certezza del nuovo precetto</w:t>
      </w:r>
      <w:r w:rsidR="00730366" w:rsidRPr="00C46C09">
        <w:rPr>
          <w:rFonts w:ascii="Times New Roman" w:hAnsi="Times New Roman" w:cs="Times New Roman"/>
          <w:bCs/>
        </w:rPr>
        <w:t xml:space="preserve"> e facilita l’individuazione delle disposizioni di riferimento da parte dei d</w:t>
      </w:r>
      <w:r w:rsidR="003768DC" w:rsidRPr="00C46C09">
        <w:rPr>
          <w:rFonts w:ascii="Times New Roman" w:hAnsi="Times New Roman" w:cs="Times New Roman"/>
          <w:bCs/>
        </w:rPr>
        <w:t>estinatari.</w:t>
      </w:r>
      <w:r w:rsidR="0047356E" w:rsidRPr="00C46C09">
        <w:rPr>
          <w:rFonts w:ascii="Times New Roman" w:hAnsi="Times New Roman" w:cs="Times New Roman"/>
          <w:bCs/>
        </w:rPr>
        <w:t xml:space="preserve"> </w:t>
      </w:r>
    </w:p>
    <w:p w14:paraId="0703742D" w14:textId="6FDAB1AB" w:rsidR="004D0159" w:rsidRPr="00C46C09" w:rsidRDefault="000B2377"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 xml:space="preserve">Si tratta di una tecnica redazionale la cui validità ed appropriatezza merita di essere confermata, soprattutto per la dirimente considerazione che la tecnica della modifica implicita vanifica l’esigenza primaria implicata dal </w:t>
      </w:r>
      <w:r w:rsidR="00C04C08" w:rsidRPr="00C04C08">
        <w:rPr>
          <w:rFonts w:ascii="Times New Roman" w:hAnsi="Times New Roman" w:cs="Times New Roman"/>
          <w:bCs/>
          <w:i/>
        </w:rPr>
        <w:t>drafting</w:t>
      </w:r>
      <w:r w:rsidRPr="00C46C09">
        <w:rPr>
          <w:rFonts w:ascii="Times New Roman" w:hAnsi="Times New Roman" w:cs="Times New Roman"/>
          <w:bCs/>
        </w:rPr>
        <w:t>: la certezza del diritto e, cioè, la precisione de</w:t>
      </w:r>
      <w:r w:rsidR="004D0159" w:rsidRPr="00C46C09">
        <w:rPr>
          <w:rFonts w:ascii="Times New Roman" w:hAnsi="Times New Roman" w:cs="Times New Roman"/>
          <w:bCs/>
        </w:rPr>
        <w:t>ll’effetto di innovazione prodotto da una legge che si inserisce nel regolare (diversamente) una fattispecie già disciplinata.</w:t>
      </w:r>
    </w:p>
    <w:p w14:paraId="2A8C9DEB" w14:textId="77777777" w:rsidR="004D0159" w:rsidRPr="00C46C09" w:rsidRDefault="004D0159"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La modifica implicita, invero, comporta l’esigenza di una complessa analisi esegetica che si risolve nel confronto tra due disposizioni legislative e che deve condurre all’apprezzamento, dagli esiti incerti e non prevedibili, dell’abrogazione tacita per incompatibilità (e della sua consistenza) della norma più vecchia.</w:t>
      </w:r>
    </w:p>
    <w:p w14:paraId="6F93035B" w14:textId="77777777" w:rsidR="004D0159" w:rsidRPr="00C46C09" w:rsidRDefault="004D0159"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Al contrario, la novella produce in maniera esatta e senza ambiguità il suo effetto di innovazione.</w:t>
      </w:r>
    </w:p>
    <w:p w14:paraId="75F4A2BB" w14:textId="77777777" w:rsidR="004D0159" w:rsidRPr="00C46C09" w:rsidRDefault="004D0159"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Possono, nondimeno, configurarsi alcune fattispecie nelle quali è preferibile la modifica implicita.</w:t>
      </w:r>
    </w:p>
    <w:p w14:paraId="4513D6B2" w14:textId="520F1832" w:rsidR="000B2377" w:rsidRPr="00C46C09" w:rsidRDefault="004D0159"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Si tratta delle ipotesi particolari di una diversa disciplina delle disposizioni transitorie o della sostituzione di una o più parole in tutto l’ordinamento (</w:t>
      </w:r>
      <w:r w:rsidR="00FE40B7">
        <w:rPr>
          <w:rFonts w:ascii="Times New Roman" w:hAnsi="Times New Roman" w:cs="Times New Roman"/>
          <w:bCs/>
        </w:rPr>
        <w:t xml:space="preserve">mediante la formula </w:t>
      </w:r>
      <w:r w:rsidRPr="00C46C09">
        <w:rPr>
          <w:rFonts w:ascii="Times New Roman" w:hAnsi="Times New Roman" w:cs="Times New Roman"/>
          <w:bCs/>
        </w:rPr>
        <w:t xml:space="preserve">“ovunque ricorrano”), ma si tratta, appunto, di eccezioni alla regola generale della novella.      </w:t>
      </w:r>
      <w:r w:rsidR="000B2377" w:rsidRPr="00C46C09">
        <w:rPr>
          <w:rFonts w:ascii="Times New Roman" w:hAnsi="Times New Roman" w:cs="Times New Roman"/>
          <w:bCs/>
        </w:rPr>
        <w:t xml:space="preserve"> </w:t>
      </w:r>
    </w:p>
    <w:p w14:paraId="252040C2" w14:textId="77777777" w:rsidR="003768DC" w:rsidRPr="00C46C09" w:rsidRDefault="0047356E"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Una volta acquisita la tecnica della novella come quella che garantisce l’esattezza della portata dell’intervento di modifica, residua l’</w:t>
      </w:r>
      <w:r w:rsidR="003768DC" w:rsidRPr="00C46C09">
        <w:rPr>
          <w:rFonts w:ascii="Times New Roman" w:hAnsi="Times New Roman" w:cs="Times New Roman"/>
          <w:bCs/>
        </w:rPr>
        <w:t>alternativa</w:t>
      </w:r>
      <w:r w:rsidR="00730366" w:rsidRPr="00C46C09">
        <w:rPr>
          <w:rFonts w:ascii="Times New Roman" w:hAnsi="Times New Roman" w:cs="Times New Roman"/>
          <w:bCs/>
        </w:rPr>
        <w:t xml:space="preserve"> tra </w:t>
      </w:r>
      <w:r w:rsidR="003768DC" w:rsidRPr="00C46C09">
        <w:rPr>
          <w:rFonts w:ascii="Times New Roman" w:hAnsi="Times New Roman" w:cs="Times New Roman"/>
          <w:bCs/>
        </w:rPr>
        <w:t xml:space="preserve">la tecnica della </w:t>
      </w:r>
      <w:r w:rsidR="00730366" w:rsidRPr="00C46C09">
        <w:rPr>
          <w:rFonts w:ascii="Times New Roman" w:hAnsi="Times New Roman" w:cs="Times New Roman"/>
          <w:bCs/>
        </w:rPr>
        <w:t xml:space="preserve">novella chirurgica </w:t>
      </w:r>
      <w:r w:rsidR="004D0159" w:rsidRPr="00C46C09">
        <w:rPr>
          <w:rFonts w:ascii="Times New Roman" w:hAnsi="Times New Roman" w:cs="Times New Roman"/>
          <w:bCs/>
        </w:rPr>
        <w:t>(che si limita a</w:t>
      </w:r>
      <w:r w:rsidR="003768DC" w:rsidRPr="00C46C09">
        <w:rPr>
          <w:rFonts w:ascii="Times New Roman" w:hAnsi="Times New Roman" w:cs="Times New Roman"/>
          <w:bCs/>
        </w:rPr>
        <w:t xml:space="preserve"> sostituire o ad eliminare solo una o più parole della disposizione novellata) </w:t>
      </w:r>
      <w:r w:rsidR="00730366" w:rsidRPr="00C46C09">
        <w:rPr>
          <w:rFonts w:ascii="Times New Roman" w:hAnsi="Times New Roman" w:cs="Times New Roman"/>
          <w:bCs/>
        </w:rPr>
        <w:t xml:space="preserve">e </w:t>
      </w:r>
      <w:r w:rsidR="003768DC" w:rsidRPr="00C46C09">
        <w:rPr>
          <w:rFonts w:ascii="Times New Roman" w:hAnsi="Times New Roman" w:cs="Times New Roman"/>
          <w:bCs/>
        </w:rPr>
        <w:t xml:space="preserve">quella della </w:t>
      </w:r>
      <w:r w:rsidR="00730366" w:rsidRPr="00C46C09">
        <w:rPr>
          <w:rFonts w:ascii="Times New Roman" w:hAnsi="Times New Roman" w:cs="Times New Roman"/>
          <w:bCs/>
        </w:rPr>
        <w:t>novella sostitutiva de</w:t>
      </w:r>
      <w:r w:rsidR="003768DC" w:rsidRPr="00C46C09">
        <w:rPr>
          <w:rFonts w:ascii="Times New Roman" w:hAnsi="Times New Roman" w:cs="Times New Roman"/>
          <w:bCs/>
        </w:rPr>
        <w:t>ll’unità minima.</w:t>
      </w:r>
    </w:p>
    <w:p w14:paraId="61612100" w14:textId="77777777" w:rsidR="003768DC" w:rsidRPr="00C46C09" w:rsidRDefault="003768DC"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Premesso che entrambe le tecniche postulano, per l’esatta comprensione dell’innovazione, il confronto tra il testo novellato e la novella, la scelta tra le due opzioni, entrambe idonee ad assicurare con precisione la portata dell’intervento, dovrà obbedire più a parametri quantitativi che qualitativi (nel senso che sarà preferibile la novella chirurgica quando la portata dell’innovazione si rivela esigua, rispetto alla disposizione innovata).</w:t>
      </w:r>
    </w:p>
    <w:p w14:paraId="663BE4A0" w14:textId="6D41C20D" w:rsidR="00B45E58" w:rsidRDefault="00B45E58"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 xml:space="preserve">Si tratta, in altri termini, di uno di quei casi in cui la scelta può essere rimessa alla valutazione del </w:t>
      </w:r>
      <w:r w:rsidR="00C04C08" w:rsidRPr="00C04C08">
        <w:rPr>
          <w:rFonts w:ascii="Times New Roman" w:hAnsi="Times New Roman" w:cs="Times New Roman"/>
          <w:bCs/>
          <w:i/>
        </w:rPr>
        <w:t>drafter</w:t>
      </w:r>
      <w:r w:rsidRPr="00C46C09">
        <w:rPr>
          <w:rFonts w:ascii="Times New Roman" w:hAnsi="Times New Roman" w:cs="Times New Roman"/>
          <w:bCs/>
        </w:rPr>
        <w:t>, che “caso per caso” valuterà se sia preferibile la sostituzione dell’unità minima o la integrazione chirurgica del testo novellato.</w:t>
      </w:r>
    </w:p>
    <w:p w14:paraId="0EBE68E2" w14:textId="6FA50B33" w:rsidR="00FE40B7" w:rsidRPr="00C46C09" w:rsidRDefault="00FE40B7"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Pr>
          <w:rFonts w:ascii="Times New Roman" w:hAnsi="Times New Roman" w:cs="Times New Roman"/>
          <w:bCs/>
        </w:rPr>
        <w:t xml:space="preserve">Nella scelta tra le due tecniche non si dovrà peraltro trascurare, tra i parametri valutativi, la considerazione che la sostituzione dell’unità minima, ancorchè più leggibile, reca l’inconveniente di ampliare le possibilità emendative in sede id esame parlamentare. </w:t>
      </w:r>
    </w:p>
    <w:p w14:paraId="22BEAFFC" w14:textId="77777777" w:rsidR="00B45E58" w:rsidRPr="00C46C09" w:rsidRDefault="00B45E58"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Gli (inevitabili) inconvenienti delle novelle, attinenti alla immediata intellegibilità della modifica da parte del lettore, potrebbero, peraltro, essere eliminati o attenuati per mezzo della pubblicazione, insieme al provvedimento legislativo, di un testo coordinato (che renderebbe percepibile da subito la portata dell’innovazione), anche se (si ripete</w:t>
      </w:r>
      <w:r w:rsidR="000E422C" w:rsidRPr="00C46C09">
        <w:rPr>
          <w:rFonts w:ascii="Times New Roman" w:hAnsi="Times New Roman" w:cs="Times New Roman"/>
          <w:bCs/>
        </w:rPr>
        <w:t xml:space="preserve"> un’altra volta</w:t>
      </w:r>
      <w:r w:rsidRPr="00C46C09">
        <w:rPr>
          <w:rFonts w:ascii="Times New Roman" w:hAnsi="Times New Roman" w:cs="Times New Roman"/>
          <w:bCs/>
        </w:rPr>
        <w:t>) il problema deve intendersi di molto sminuito per effetto dell’efficienza delle banche</w:t>
      </w:r>
      <w:r w:rsidR="000E422C" w:rsidRPr="00C46C09">
        <w:rPr>
          <w:rFonts w:ascii="Times New Roman" w:hAnsi="Times New Roman" w:cs="Times New Roman"/>
          <w:bCs/>
        </w:rPr>
        <w:t xml:space="preserve"> dati giuridiche</w:t>
      </w:r>
      <w:r w:rsidRPr="00C46C09">
        <w:rPr>
          <w:rFonts w:ascii="Times New Roman" w:hAnsi="Times New Roman" w:cs="Times New Roman"/>
          <w:bCs/>
        </w:rPr>
        <w:t xml:space="preserve"> (che pubblicano quasi in tempo reale il testo consolidato con le modifiche). </w:t>
      </w:r>
    </w:p>
    <w:p w14:paraId="08721291" w14:textId="5BA754CA" w:rsidR="00C5439D" w:rsidRPr="00C46C09" w:rsidRDefault="003768DC"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In ogni caso, anche nel</w:t>
      </w:r>
      <w:r w:rsidR="00E8588D">
        <w:rPr>
          <w:rFonts w:ascii="Times New Roman" w:hAnsi="Times New Roman" w:cs="Times New Roman"/>
          <w:bCs/>
        </w:rPr>
        <w:t>l’ipotesi</w:t>
      </w:r>
      <w:r w:rsidRPr="00C46C09">
        <w:rPr>
          <w:rFonts w:ascii="Times New Roman" w:hAnsi="Times New Roman" w:cs="Times New Roman"/>
          <w:bCs/>
        </w:rPr>
        <w:t xml:space="preserve"> delle modificazioni, si dovrà incoraggiare l’uso</w:t>
      </w:r>
      <w:r w:rsidR="00730366" w:rsidRPr="00C46C09">
        <w:rPr>
          <w:rFonts w:ascii="Times New Roman" w:hAnsi="Times New Roman" w:cs="Times New Roman"/>
          <w:bCs/>
        </w:rPr>
        <w:t xml:space="preserve"> di novelle “parlanti”, </w:t>
      </w:r>
      <w:r w:rsidR="00C5439D" w:rsidRPr="00C46C09">
        <w:rPr>
          <w:rFonts w:ascii="Times New Roman" w:hAnsi="Times New Roman" w:cs="Times New Roman"/>
          <w:bCs/>
        </w:rPr>
        <w:t>mediante l’enunciazione</w:t>
      </w:r>
      <w:r w:rsidR="00730366" w:rsidRPr="00C46C09">
        <w:rPr>
          <w:rFonts w:ascii="Times New Roman" w:hAnsi="Times New Roman" w:cs="Times New Roman"/>
          <w:bCs/>
        </w:rPr>
        <w:t xml:space="preserve"> </w:t>
      </w:r>
      <w:r w:rsidR="00C5439D" w:rsidRPr="00C46C09">
        <w:rPr>
          <w:rFonts w:ascii="Times New Roman" w:hAnsi="Times New Roman" w:cs="Times New Roman"/>
          <w:bCs/>
        </w:rPr>
        <w:t xml:space="preserve">sintetica ma esplicita </w:t>
      </w:r>
      <w:r w:rsidR="00730366" w:rsidRPr="00C46C09">
        <w:rPr>
          <w:rFonts w:ascii="Times New Roman" w:hAnsi="Times New Roman" w:cs="Times New Roman"/>
          <w:bCs/>
        </w:rPr>
        <w:t xml:space="preserve">dell’oggetto principale delle disposizioni su cui interviene la novella. </w:t>
      </w:r>
    </w:p>
    <w:p w14:paraId="1B3F0B1C" w14:textId="77777777" w:rsidR="00730366" w:rsidRPr="00C46C09" w:rsidRDefault="00C5439D" w:rsidP="00575506">
      <w:pPr>
        <w:pStyle w:val="Paragrafoelenco"/>
        <w:autoSpaceDE w:val="0"/>
        <w:autoSpaceDN w:val="0"/>
        <w:adjustRightInd w:val="0"/>
        <w:spacing w:after="0" w:line="240" w:lineRule="auto"/>
        <w:ind w:left="0" w:firstLine="284"/>
        <w:jc w:val="both"/>
        <w:rPr>
          <w:rFonts w:ascii="Times New Roman" w:hAnsi="Times New Roman" w:cs="Times New Roman"/>
          <w:b/>
          <w:bCs/>
        </w:rPr>
      </w:pPr>
      <w:r w:rsidRPr="00C46C09">
        <w:rPr>
          <w:rFonts w:ascii="Times New Roman" w:hAnsi="Times New Roman" w:cs="Times New Roman"/>
          <w:bCs/>
        </w:rPr>
        <w:t xml:space="preserve">Quest’ultima tecnica redazione </w:t>
      </w:r>
      <w:r w:rsidR="00730366" w:rsidRPr="00C46C09">
        <w:rPr>
          <w:rFonts w:ascii="Times New Roman" w:hAnsi="Times New Roman" w:cs="Times New Roman"/>
          <w:bCs/>
        </w:rPr>
        <w:t xml:space="preserve">consente, quantomeno, di avere immediata conoscenza dell’ambito </w:t>
      </w:r>
      <w:r w:rsidR="00581C44" w:rsidRPr="00C46C09">
        <w:rPr>
          <w:rFonts w:ascii="Times New Roman" w:hAnsi="Times New Roman" w:cs="Times New Roman"/>
          <w:bCs/>
        </w:rPr>
        <w:t>oggetto della nuova disposizione</w:t>
      </w:r>
      <w:r w:rsidR="00730366" w:rsidRPr="00C46C09">
        <w:rPr>
          <w:rFonts w:ascii="Times New Roman" w:hAnsi="Times New Roman" w:cs="Times New Roman"/>
          <w:bCs/>
        </w:rPr>
        <w:t xml:space="preserve">. </w:t>
      </w:r>
      <w:r w:rsidR="00730366" w:rsidRPr="00C46C09">
        <w:rPr>
          <w:rFonts w:ascii="Times New Roman" w:hAnsi="Times New Roman" w:cs="Times New Roman"/>
          <w:b/>
          <w:bCs/>
        </w:rPr>
        <w:t xml:space="preserve">   </w:t>
      </w:r>
    </w:p>
    <w:p w14:paraId="5C9A011E" w14:textId="77777777" w:rsidR="00F02D18" w:rsidRPr="00C46C09" w:rsidRDefault="00704A24"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Non può trascurarsi, inoltre</w:t>
      </w:r>
      <w:r w:rsidR="00F02D18" w:rsidRPr="00C46C09">
        <w:rPr>
          <w:rFonts w:ascii="Times New Roman" w:hAnsi="Times New Roman" w:cs="Times New Roman"/>
          <w:bCs/>
        </w:rPr>
        <w:t>, il fenomeno della stratificazione e della frammentazione di diverse disposizioni che, anche a distanza di tempo ravvicinato, intervengono sul medesimo oggetto o, comunque, sullo stesso segmento di materia.</w:t>
      </w:r>
    </w:p>
    <w:p w14:paraId="1B29D4D6" w14:textId="77777777" w:rsidR="00F02D18" w:rsidRPr="00C46C09" w:rsidRDefault="00F02D18"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Anche qui, la certezza e la conoscibilità del quadro regolatorio vigente sono minacciate dalla persistente vigenza di disposizioni spesso allocate in diversi testi legislativi e, comunque, di arduo coordinamento.</w:t>
      </w:r>
    </w:p>
    <w:p w14:paraId="2ED6CFAA" w14:textId="77777777" w:rsidR="00581C44" w:rsidRPr="00C46C09" w:rsidRDefault="00F02D18"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Al fine di evit</w:t>
      </w:r>
      <w:r w:rsidR="002D6505" w:rsidRPr="00C46C09">
        <w:rPr>
          <w:rFonts w:ascii="Times New Roman" w:hAnsi="Times New Roman" w:cs="Times New Roman"/>
          <w:bCs/>
        </w:rPr>
        <w:t>are i suddetti difetti, si dovrà</w:t>
      </w:r>
      <w:r w:rsidRPr="00C46C09">
        <w:rPr>
          <w:rFonts w:ascii="Times New Roman" w:hAnsi="Times New Roman" w:cs="Times New Roman"/>
          <w:bCs/>
        </w:rPr>
        <w:t xml:space="preserve"> provvedere al consolidamento in un unico testo della disciplina risultante dal coordinamento diacronico tra le diverse norme con contestuale abrogazione di tutti i testi “riassunti” in quello consolidato.     </w:t>
      </w:r>
    </w:p>
    <w:p w14:paraId="01E96FE6" w14:textId="77777777" w:rsidR="00F02D18" w:rsidRPr="00C46C09" w:rsidRDefault="00F02D18"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Nelle ipotesi, poi, in cui la frammentazione conosca dimensioni afferenti a interi settori organici dell’ordinamento, le esigenze di semplificazion</w:t>
      </w:r>
      <w:r w:rsidR="007609C9" w:rsidRPr="00C46C09">
        <w:rPr>
          <w:rFonts w:ascii="Times New Roman" w:hAnsi="Times New Roman" w:cs="Times New Roman"/>
          <w:bCs/>
        </w:rPr>
        <w:t>e</w:t>
      </w:r>
      <w:r w:rsidRPr="00C46C09">
        <w:rPr>
          <w:rFonts w:ascii="Times New Roman" w:hAnsi="Times New Roman" w:cs="Times New Roman"/>
          <w:bCs/>
        </w:rPr>
        <w:t xml:space="preserve"> potranno essere soddisfatte solo med</w:t>
      </w:r>
      <w:r w:rsidR="000E422C" w:rsidRPr="00C46C09">
        <w:rPr>
          <w:rFonts w:ascii="Times New Roman" w:hAnsi="Times New Roman" w:cs="Times New Roman"/>
          <w:bCs/>
        </w:rPr>
        <w:t>iante nuove codificazioni oppure</w:t>
      </w:r>
      <w:r w:rsidRPr="00C46C09">
        <w:rPr>
          <w:rFonts w:ascii="Times New Roman" w:hAnsi="Times New Roman" w:cs="Times New Roman"/>
          <w:bCs/>
        </w:rPr>
        <w:t xml:space="preserve"> per mezzo del consolidamento nei codici esistenti di norme rimaste </w:t>
      </w:r>
      <w:r w:rsidRPr="005904EE">
        <w:rPr>
          <w:rFonts w:ascii="Times New Roman" w:hAnsi="Times New Roman" w:cs="Times New Roman"/>
          <w:bCs/>
          <w:i/>
        </w:rPr>
        <w:t>extra vagantes</w:t>
      </w:r>
      <w:r w:rsidR="001C3611" w:rsidRPr="00C46C09">
        <w:rPr>
          <w:rStyle w:val="Rimandonotaapidipagina"/>
          <w:rFonts w:ascii="Times New Roman" w:hAnsi="Times New Roman" w:cs="Times New Roman"/>
          <w:bCs/>
        </w:rPr>
        <w:footnoteReference w:id="37"/>
      </w:r>
      <w:r w:rsidRPr="00C46C09">
        <w:rPr>
          <w:rFonts w:ascii="Times New Roman" w:hAnsi="Times New Roman" w:cs="Times New Roman"/>
          <w:bCs/>
        </w:rPr>
        <w:t xml:space="preserve">.  </w:t>
      </w:r>
    </w:p>
    <w:p w14:paraId="73767470" w14:textId="77777777" w:rsidR="00704A24" w:rsidRPr="00C46C09" w:rsidRDefault="00704A24" w:rsidP="00575506">
      <w:pPr>
        <w:pStyle w:val="NormaleWeb"/>
        <w:spacing w:before="0" w:beforeAutospacing="0" w:after="0" w:afterAutospacing="0"/>
        <w:ind w:firstLine="284"/>
        <w:jc w:val="both"/>
        <w:rPr>
          <w:sz w:val="22"/>
          <w:szCs w:val="22"/>
        </w:rPr>
      </w:pPr>
      <w:r w:rsidRPr="00C46C09">
        <w:rPr>
          <w:bCs/>
          <w:sz w:val="22"/>
          <w:szCs w:val="22"/>
        </w:rPr>
        <w:t xml:space="preserve">Al fine di accrescere l’intellegibilità delle norme, andrà, inoltre, raccomandato l’uso della tecnica delle definizioni, soprattutto nelle ipotesi in cui l’enunciazione di un elemento della norma postula il rinvio a un'altra legge (come, ad esempio, è stato recentemente disposto con riferimento al </w:t>
      </w:r>
      <w:r w:rsidR="002F0FE1" w:rsidRPr="00C46C09">
        <w:rPr>
          <w:bCs/>
          <w:sz w:val="22"/>
          <w:szCs w:val="22"/>
        </w:rPr>
        <w:t xml:space="preserve">cd. </w:t>
      </w:r>
      <w:r w:rsidRPr="00C46C09">
        <w:rPr>
          <w:bCs/>
          <w:sz w:val="22"/>
          <w:szCs w:val="22"/>
        </w:rPr>
        <w:t xml:space="preserve">green pass, là dove, in luogo della originaria dizione </w:t>
      </w:r>
      <w:r w:rsidR="002D6505" w:rsidRPr="00C46C09">
        <w:rPr>
          <w:sz w:val="22"/>
          <w:szCs w:val="22"/>
        </w:rPr>
        <w:t>“certificazioni verdi COVID-19 di cui all'articolo 9, comma 2, lettere a), b) e c-</w:t>
      </w:r>
      <w:r w:rsidR="002D6505" w:rsidRPr="00C46C09">
        <w:rPr>
          <w:i/>
          <w:sz w:val="22"/>
          <w:szCs w:val="22"/>
        </w:rPr>
        <w:t>bis</w:t>
      </w:r>
      <w:r w:rsidR="002D6505" w:rsidRPr="00C46C09">
        <w:rPr>
          <w:sz w:val="22"/>
          <w:szCs w:val="22"/>
        </w:rPr>
        <w:t>)</w:t>
      </w:r>
      <w:r w:rsidR="002F0FE1" w:rsidRPr="00C46C09">
        <w:rPr>
          <w:bCs/>
          <w:sz w:val="22"/>
          <w:szCs w:val="22"/>
        </w:rPr>
        <w:t>”</w:t>
      </w:r>
      <w:r w:rsidRPr="00C46C09">
        <w:rPr>
          <w:bCs/>
          <w:sz w:val="22"/>
          <w:szCs w:val="22"/>
        </w:rPr>
        <w:t>, si è usata la definizione sintetica e immediatamente percepibile “green pass rafforzato”)</w:t>
      </w:r>
      <w:r w:rsidR="009611E9" w:rsidRPr="00C46C09">
        <w:rPr>
          <w:rStyle w:val="Rimandonotaapidipagina"/>
          <w:bCs/>
          <w:sz w:val="22"/>
          <w:szCs w:val="22"/>
        </w:rPr>
        <w:footnoteReference w:id="38"/>
      </w:r>
      <w:r w:rsidRPr="00C46C09">
        <w:rPr>
          <w:bCs/>
          <w:sz w:val="22"/>
          <w:szCs w:val="22"/>
        </w:rPr>
        <w:t>.</w:t>
      </w:r>
    </w:p>
    <w:p w14:paraId="225DDB23" w14:textId="750E9561" w:rsidR="00704A24" w:rsidRPr="00C46C09" w:rsidRDefault="00704A24"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Con un sapiente uso delle definizioni, la lettura di un testo risulta sempli</w:t>
      </w:r>
      <w:r w:rsidR="005904EE">
        <w:rPr>
          <w:rFonts w:ascii="Times New Roman" w:hAnsi="Times New Roman" w:cs="Times New Roman"/>
          <w:bCs/>
        </w:rPr>
        <w:t>ficata e alleggerita, con evidente</w:t>
      </w:r>
      <w:r w:rsidRPr="00C46C09">
        <w:rPr>
          <w:rFonts w:ascii="Times New Roman" w:hAnsi="Times New Roman" w:cs="Times New Roman"/>
          <w:bCs/>
        </w:rPr>
        <w:t xml:space="preserve"> beneficio delle istanze di chiarezza e immediata comprensibilità del significato delle norme.   </w:t>
      </w:r>
    </w:p>
    <w:p w14:paraId="05AC8E3B" w14:textId="77777777" w:rsidR="00DB7D87" w:rsidRPr="00C46C09" w:rsidRDefault="00DB7D87" w:rsidP="006277A5">
      <w:pPr>
        <w:autoSpaceDE w:val="0"/>
        <w:autoSpaceDN w:val="0"/>
        <w:adjustRightInd w:val="0"/>
        <w:spacing w:after="0" w:line="240" w:lineRule="auto"/>
        <w:jc w:val="both"/>
        <w:rPr>
          <w:rFonts w:ascii="Times New Roman" w:hAnsi="Times New Roman" w:cs="Times New Roman"/>
          <w:bCs/>
        </w:rPr>
      </w:pPr>
    </w:p>
    <w:p w14:paraId="47D92FF8" w14:textId="77777777" w:rsidR="004C7F58" w:rsidRPr="00C46C09" w:rsidRDefault="00B072CA" w:rsidP="006277A5">
      <w:pPr>
        <w:spacing w:after="0" w:line="240" w:lineRule="auto"/>
        <w:jc w:val="both"/>
        <w:rPr>
          <w:rFonts w:ascii="Times New Roman" w:hAnsi="Times New Roman" w:cs="Times New Roman"/>
          <w:b/>
          <w:bCs/>
        </w:rPr>
      </w:pPr>
      <w:r w:rsidRPr="00C46C09">
        <w:rPr>
          <w:rFonts w:ascii="Times New Roman" w:hAnsi="Times New Roman" w:cs="Times New Roman"/>
          <w:b/>
        </w:rPr>
        <w:t>9</w:t>
      </w:r>
      <w:r w:rsidR="004C7F58" w:rsidRPr="00C46C09">
        <w:rPr>
          <w:rFonts w:ascii="Times New Roman" w:hAnsi="Times New Roman" w:cs="Times New Roman"/>
          <w:b/>
        </w:rPr>
        <w:t>.</w:t>
      </w:r>
      <w:r w:rsidR="004C7F58" w:rsidRPr="00C46C09">
        <w:rPr>
          <w:rFonts w:ascii="Times New Roman" w:hAnsi="Times New Roman" w:cs="Times New Roman"/>
        </w:rPr>
        <w:t xml:space="preserve"> </w:t>
      </w:r>
      <w:r w:rsidR="00502F2A" w:rsidRPr="00C46C09">
        <w:rPr>
          <w:rFonts w:ascii="Times New Roman" w:hAnsi="Times New Roman" w:cs="Times New Roman"/>
          <w:b/>
        </w:rPr>
        <w:t>La necessità di u</w:t>
      </w:r>
      <w:r w:rsidR="00900488" w:rsidRPr="00C46C09">
        <w:rPr>
          <w:rFonts w:ascii="Times New Roman" w:hAnsi="Times New Roman" w:cs="Times New Roman"/>
          <w:b/>
          <w:bCs/>
        </w:rPr>
        <w:t xml:space="preserve">n </w:t>
      </w:r>
      <w:r w:rsidR="00900488" w:rsidRPr="00133336">
        <w:rPr>
          <w:rFonts w:ascii="Times New Roman" w:hAnsi="Times New Roman" w:cs="Times New Roman"/>
          <w:b/>
          <w:bCs/>
          <w:i/>
          <w:iCs/>
        </w:rPr>
        <w:t>corpus</w:t>
      </w:r>
      <w:r w:rsidR="00900488" w:rsidRPr="00C46C09">
        <w:rPr>
          <w:rFonts w:ascii="Times New Roman" w:hAnsi="Times New Roman" w:cs="Times New Roman"/>
          <w:b/>
          <w:bCs/>
        </w:rPr>
        <w:t xml:space="preserve"> unico di regole in materia di istruttoria e redazione degli atti normativi</w:t>
      </w:r>
      <w:r w:rsidR="00D448DB" w:rsidRPr="00C46C09">
        <w:rPr>
          <w:rFonts w:ascii="Times New Roman" w:hAnsi="Times New Roman" w:cs="Times New Roman"/>
          <w:b/>
          <w:bCs/>
        </w:rPr>
        <w:t xml:space="preserve">. </w:t>
      </w:r>
    </w:p>
    <w:p w14:paraId="3CBB8CD7" w14:textId="6C3EBF40" w:rsidR="00373CD1" w:rsidRPr="00C46C09" w:rsidRDefault="00F02D18" w:rsidP="00575506">
      <w:pPr>
        <w:spacing w:after="0" w:line="240" w:lineRule="auto"/>
        <w:ind w:firstLine="284"/>
        <w:jc w:val="both"/>
        <w:rPr>
          <w:rFonts w:ascii="Times New Roman" w:hAnsi="Times New Roman" w:cs="Times New Roman"/>
          <w:bCs/>
        </w:rPr>
      </w:pPr>
      <w:r w:rsidRPr="00C46C09">
        <w:rPr>
          <w:rFonts w:ascii="Times New Roman" w:hAnsi="Times New Roman" w:cs="Times New Roman"/>
          <w:bCs/>
        </w:rPr>
        <w:t xml:space="preserve">Le esigenze di raccolta in un unico testo non si esauriscono, tuttavia, </w:t>
      </w:r>
      <w:r w:rsidR="00373CD1" w:rsidRPr="00C46C09">
        <w:rPr>
          <w:rFonts w:ascii="Times New Roman" w:hAnsi="Times New Roman" w:cs="Times New Roman"/>
          <w:bCs/>
        </w:rPr>
        <w:t xml:space="preserve">nelle codificazioni legislative, ma concernono anche atti di indirizzo o circolari, proprio come quelle relative al </w:t>
      </w:r>
      <w:r w:rsidR="00C04C08" w:rsidRPr="00C04C08">
        <w:rPr>
          <w:rFonts w:ascii="Times New Roman" w:hAnsi="Times New Roman" w:cs="Times New Roman"/>
          <w:bCs/>
          <w:i/>
        </w:rPr>
        <w:t>drafting</w:t>
      </w:r>
      <w:r w:rsidR="00373CD1" w:rsidRPr="00C46C09">
        <w:rPr>
          <w:rFonts w:ascii="Times New Roman" w:hAnsi="Times New Roman" w:cs="Times New Roman"/>
          <w:bCs/>
        </w:rPr>
        <w:t>.</w:t>
      </w:r>
    </w:p>
    <w:p w14:paraId="0216E110" w14:textId="73C0926A" w:rsidR="00D448DB" w:rsidRPr="00C46C09" w:rsidRDefault="00373CD1" w:rsidP="00575506">
      <w:pPr>
        <w:spacing w:after="0" w:line="240" w:lineRule="auto"/>
        <w:ind w:firstLine="284"/>
        <w:jc w:val="both"/>
        <w:rPr>
          <w:rFonts w:ascii="Times New Roman" w:hAnsi="Times New Roman" w:cs="Times New Roman"/>
          <w:bCs/>
        </w:rPr>
      </w:pPr>
      <w:r w:rsidRPr="00C46C09">
        <w:rPr>
          <w:rFonts w:ascii="Times New Roman" w:hAnsi="Times New Roman" w:cs="Times New Roman"/>
          <w:bCs/>
        </w:rPr>
        <w:t xml:space="preserve">In quest’ottica, </w:t>
      </w:r>
      <w:r w:rsidR="006D0C59">
        <w:rPr>
          <w:rFonts w:ascii="Times New Roman" w:hAnsi="Times New Roman" w:cs="Times New Roman"/>
          <w:bCs/>
        </w:rPr>
        <w:t>sarebbe</w:t>
      </w:r>
      <w:r w:rsidR="006A13A9" w:rsidRPr="00C46C09">
        <w:rPr>
          <w:rFonts w:ascii="Times New Roman" w:hAnsi="Times New Roman" w:cs="Times New Roman"/>
          <w:bCs/>
        </w:rPr>
        <w:t xml:space="preserve"> utile la sintesi, in un solo documento di indirizzo, di tutte le direttive e le circolari dedicate all’istruttoria e al </w:t>
      </w:r>
      <w:r w:rsidR="00C04C08" w:rsidRPr="00C04C08">
        <w:rPr>
          <w:rFonts w:ascii="Times New Roman" w:hAnsi="Times New Roman" w:cs="Times New Roman"/>
          <w:bCs/>
          <w:i/>
        </w:rPr>
        <w:t>drafting</w:t>
      </w:r>
      <w:r w:rsidR="006A13A9" w:rsidRPr="00C46C09">
        <w:rPr>
          <w:rFonts w:ascii="Times New Roman" w:hAnsi="Times New Roman" w:cs="Times New Roman"/>
          <w:bCs/>
        </w:rPr>
        <w:t xml:space="preserve"> degli atti normativi del Governo (tra le quali vanno sicuramente comprese </w:t>
      </w:r>
      <w:r w:rsidR="00486C56" w:rsidRPr="00C46C09">
        <w:rPr>
          <w:rFonts w:ascii="Times New Roman" w:hAnsi="Times New Roman" w:cs="Times New Roman"/>
          <w:bCs/>
        </w:rPr>
        <w:t>la direttiva del Presidente del Consiglio dei ministri del 26 febbraio 2009 in materia di “Istruttoria degli atti normativi del Governo”</w:t>
      </w:r>
      <w:r w:rsidR="005904EE">
        <w:rPr>
          <w:rFonts w:ascii="Times New Roman" w:hAnsi="Times New Roman" w:cs="Times New Roman"/>
          <w:bCs/>
        </w:rPr>
        <w:t xml:space="preserve"> e </w:t>
      </w:r>
      <w:r w:rsidR="00DA547B" w:rsidRPr="00C46C09">
        <w:rPr>
          <w:rFonts w:ascii="Times New Roman" w:hAnsi="Times New Roman" w:cs="Times New Roman"/>
          <w:bCs/>
        </w:rPr>
        <w:t xml:space="preserve">la “Guida alla redazione dei testi normativi”, di cui alla circolare della Presidenza del Consiglio dei ministri </w:t>
      </w:r>
      <w:r w:rsidR="006A13A9" w:rsidRPr="00C46C09">
        <w:rPr>
          <w:rFonts w:ascii="Times New Roman" w:hAnsi="Times New Roman" w:cs="Times New Roman"/>
          <w:bCs/>
        </w:rPr>
        <w:t xml:space="preserve">del </w:t>
      </w:r>
      <w:r w:rsidR="00DA547B" w:rsidRPr="00C46C09">
        <w:rPr>
          <w:rFonts w:ascii="Times New Roman" w:hAnsi="Times New Roman" w:cs="Times New Roman"/>
          <w:bCs/>
        </w:rPr>
        <w:t>2 maggio 2001</w:t>
      </w:r>
      <w:r w:rsidR="006A13A9" w:rsidRPr="00C46C09">
        <w:rPr>
          <w:rFonts w:ascii="Times New Roman" w:hAnsi="Times New Roman" w:cs="Times New Roman"/>
          <w:bCs/>
        </w:rPr>
        <w:t>)</w:t>
      </w:r>
      <w:r w:rsidR="00DA547B" w:rsidRPr="00C46C09">
        <w:rPr>
          <w:rFonts w:ascii="Times New Roman" w:hAnsi="Times New Roman" w:cs="Times New Roman"/>
          <w:bCs/>
        </w:rPr>
        <w:t xml:space="preserve">. </w:t>
      </w:r>
    </w:p>
    <w:p w14:paraId="11BFE4B1" w14:textId="2F3F6E7E" w:rsidR="006A13A9" w:rsidRPr="00C46C09" w:rsidRDefault="006A13A9" w:rsidP="00575506">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 xml:space="preserve">Con un nuovo </w:t>
      </w:r>
      <w:r w:rsidR="005904EE">
        <w:rPr>
          <w:rFonts w:ascii="Times New Roman" w:hAnsi="Times New Roman" w:cs="Times New Roman"/>
        </w:rPr>
        <w:t>“</w:t>
      </w:r>
      <w:r w:rsidRPr="00C46C09">
        <w:rPr>
          <w:rFonts w:ascii="Times New Roman" w:hAnsi="Times New Roman" w:cs="Times New Roman"/>
        </w:rPr>
        <w:t>testo</w:t>
      </w:r>
      <w:r w:rsidR="005904EE">
        <w:rPr>
          <w:rFonts w:ascii="Times New Roman" w:hAnsi="Times New Roman" w:cs="Times New Roman"/>
        </w:rPr>
        <w:t xml:space="preserve"> unico”</w:t>
      </w:r>
      <w:r w:rsidRPr="00C46C09">
        <w:rPr>
          <w:rFonts w:ascii="Times New Roman" w:hAnsi="Times New Roman" w:cs="Times New Roman"/>
        </w:rPr>
        <w:t xml:space="preserve">, rivisto e aggiornato, </w:t>
      </w:r>
      <w:r w:rsidR="005904EE">
        <w:rPr>
          <w:rFonts w:ascii="Times New Roman" w:hAnsi="Times New Roman" w:cs="Times New Roman"/>
        </w:rPr>
        <w:t xml:space="preserve">comprensivo </w:t>
      </w:r>
      <w:r w:rsidRPr="00C46C09">
        <w:rPr>
          <w:rFonts w:ascii="Times New Roman" w:hAnsi="Times New Roman" w:cs="Times New Roman"/>
        </w:rPr>
        <w:t xml:space="preserve">della direttiva sull’istruttoria e della circolare sul </w:t>
      </w:r>
      <w:r w:rsidR="00C04C08" w:rsidRPr="00C04C08">
        <w:rPr>
          <w:rFonts w:ascii="Times New Roman" w:hAnsi="Times New Roman" w:cs="Times New Roman"/>
          <w:i/>
        </w:rPr>
        <w:t>drafting</w:t>
      </w:r>
      <w:r w:rsidRPr="00C46C09">
        <w:rPr>
          <w:rFonts w:ascii="Times New Roman" w:hAnsi="Times New Roman" w:cs="Times New Roman"/>
        </w:rPr>
        <w:t>,</w:t>
      </w:r>
      <w:r w:rsidR="00DA547B" w:rsidRPr="00C46C09">
        <w:rPr>
          <w:rFonts w:ascii="Times New Roman" w:hAnsi="Times New Roman" w:cs="Times New Roman"/>
        </w:rPr>
        <w:t xml:space="preserve"> </w:t>
      </w:r>
      <w:r w:rsidR="007E0D70" w:rsidRPr="00C46C09">
        <w:rPr>
          <w:rFonts w:ascii="Times New Roman" w:hAnsi="Times New Roman" w:cs="Times New Roman"/>
        </w:rPr>
        <w:t xml:space="preserve">le Amministrazioni coinvolte, a vario titolo, nell’attività normativa del Governo disporranno di un </w:t>
      </w:r>
      <w:r w:rsidR="007E0D70" w:rsidRPr="00C46C09">
        <w:rPr>
          <w:rFonts w:ascii="Times New Roman" w:hAnsi="Times New Roman" w:cs="Times New Roman"/>
          <w:i/>
        </w:rPr>
        <w:t>corpus</w:t>
      </w:r>
      <w:r w:rsidR="005904EE">
        <w:rPr>
          <w:rFonts w:ascii="Times New Roman" w:hAnsi="Times New Roman" w:cs="Times New Roman"/>
        </w:rPr>
        <w:t xml:space="preserve"> unitario</w:t>
      </w:r>
      <w:r w:rsidR="007E0D70" w:rsidRPr="00C46C09">
        <w:rPr>
          <w:rFonts w:ascii="Times New Roman" w:hAnsi="Times New Roman" w:cs="Times New Roman"/>
        </w:rPr>
        <w:t xml:space="preserve"> </w:t>
      </w:r>
      <w:r w:rsidRPr="00C46C09">
        <w:rPr>
          <w:rFonts w:ascii="Times New Roman" w:hAnsi="Times New Roman" w:cs="Times New Roman"/>
        </w:rPr>
        <w:t xml:space="preserve">e coerente </w:t>
      </w:r>
      <w:r w:rsidR="007E0D70" w:rsidRPr="00C46C09">
        <w:rPr>
          <w:rFonts w:ascii="Times New Roman" w:hAnsi="Times New Roman" w:cs="Times New Roman"/>
        </w:rPr>
        <w:t xml:space="preserve">di regole </w:t>
      </w:r>
      <w:r w:rsidR="005904EE">
        <w:rPr>
          <w:rFonts w:ascii="Times New Roman" w:hAnsi="Times New Roman" w:cs="Times New Roman"/>
        </w:rPr>
        <w:t>e di indirizzi</w:t>
      </w:r>
      <w:r w:rsidRPr="00C46C09">
        <w:rPr>
          <w:rFonts w:ascii="Times New Roman" w:hAnsi="Times New Roman" w:cs="Times New Roman"/>
        </w:rPr>
        <w:t xml:space="preserve"> </w:t>
      </w:r>
      <w:r w:rsidR="005904EE">
        <w:rPr>
          <w:rFonts w:ascii="Times New Roman" w:hAnsi="Times New Roman" w:cs="Times New Roman"/>
        </w:rPr>
        <w:t>ai</w:t>
      </w:r>
      <w:r w:rsidR="007E0D70" w:rsidRPr="00C46C09">
        <w:rPr>
          <w:rFonts w:ascii="Times New Roman" w:hAnsi="Times New Roman" w:cs="Times New Roman"/>
        </w:rPr>
        <w:t xml:space="preserve"> quali </w:t>
      </w:r>
      <w:r w:rsidRPr="00C46C09">
        <w:rPr>
          <w:rFonts w:ascii="Times New Roman" w:hAnsi="Times New Roman" w:cs="Times New Roman"/>
        </w:rPr>
        <w:t>conformare la progettazione e la redazione degli atti normativi.</w:t>
      </w:r>
    </w:p>
    <w:p w14:paraId="09B52575" w14:textId="6161A301" w:rsidR="00DA547B" w:rsidRPr="00C46C09" w:rsidRDefault="006A13A9" w:rsidP="00575506">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Al tempo stesso, le istruzioni</w:t>
      </w:r>
      <w:r w:rsidR="007E0D70" w:rsidRPr="00C46C09">
        <w:rPr>
          <w:rFonts w:ascii="Times New Roman" w:hAnsi="Times New Roman" w:cs="Times New Roman"/>
        </w:rPr>
        <w:t xml:space="preserve"> e le raccomandazioni di </w:t>
      </w:r>
      <w:r w:rsidR="00C04C08" w:rsidRPr="00C04C08">
        <w:rPr>
          <w:rFonts w:ascii="Times New Roman" w:hAnsi="Times New Roman" w:cs="Times New Roman"/>
          <w:i/>
        </w:rPr>
        <w:t>drafting</w:t>
      </w:r>
      <w:r w:rsidR="007E0D70" w:rsidRPr="00C46C09">
        <w:rPr>
          <w:rFonts w:ascii="Times New Roman" w:hAnsi="Times New Roman" w:cs="Times New Roman"/>
        </w:rPr>
        <w:t xml:space="preserve"> assumeranno, anche nell’ottica di favorirne la </w:t>
      </w:r>
      <w:r w:rsidRPr="00C46C09">
        <w:rPr>
          <w:rFonts w:ascii="Times New Roman" w:hAnsi="Times New Roman" w:cs="Times New Roman"/>
        </w:rPr>
        <w:t xml:space="preserve">più ampia </w:t>
      </w:r>
      <w:r w:rsidR="007E0D70" w:rsidRPr="00C46C09">
        <w:rPr>
          <w:rFonts w:ascii="Times New Roman" w:hAnsi="Times New Roman" w:cs="Times New Roman"/>
        </w:rPr>
        <w:t xml:space="preserve">conoscenza </w:t>
      </w:r>
      <w:r w:rsidRPr="00C46C09">
        <w:rPr>
          <w:rFonts w:ascii="Times New Roman" w:hAnsi="Times New Roman" w:cs="Times New Roman"/>
        </w:rPr>
        <w:t>e diffusione</w:t>
      </w:r>
      <w:r w:rsidR="007E0D70" w:rsidRPr="00C46C09">
        <w:rPr>
          <w:rFonts w:ascii="Times New Roman" w:hAnsi="Times New Roman" w:cs="Times New Roman"/>
        </w:rPr>
        <w:t>, una</w:t>
      </w:r>
      <w:r w:rsidR="000E7F69" w:rsidRPr="00C46C09">
        <w:rPr>
          <w:rFonts w:ascii="Times New Roman" w:hAnsi="Times New Roman" w:cs="Times New Roman"/>
        </w:rPr>
        <w:t xml:space="preserve"> maggiore</w:t>
      </w:r>
      <w:r w:rsidR="007E0D70" w:rsidRPr="00C46C09">
        <w:rPr>
          <w:rFonts w:ascii="Times New Roman" w:hAnsi="Times New Roman" w:cs="Times New Roman"/>
        </w:rPr>
        <w:t xml:space="preserve"> visibilità nel contesto delle fonti di riferimento sulla produzione normativa. </w:t>
      </w:r>
    </w:p>
    <w:p w14:paraId="056AB41A" w14:textId="51CF826A" w:rsidR="00FC5DB7" w:rsidRPr="00C46C09" w:rsidRDefault="006A13A9" w:rsidP="00575506">
      <w:pPr>
        <w:pStyle w:val="Paragrafoelenco"/>
        <w:autoSpaceDE w:val="0"/>
        <w:autoSpaceDN w:val="0"/>
        <w:adjustRightInd w:val="0"/>
        <w:spacing w:after="0" w:line="240" w:lineRule="auto"/>
        <w:ind w:left="0" w:firstLine="284"/>
        <w:jc w:val="both"/>
        <w:rPr>
          <w:rFonts w:ascii="Times New Roman" w:hAnsi="Times New Roman" w:cs="Times New Roman"/>
        </w:rPr>
      </w:pPr>
      <w:r w:rsidRPr="00C46C09">
        <w:rPr>
          <w:rFonts w:ascii="Times New Roman" w:hAnsi="Times New Roman" w:cs="Times New Roman"/>
        </w:rPr>
        <w:t xml:space="preserve">La pubblicazione di un testo unico rivisto e aggiornato degli atti di indirizzo sulla produzione </w:t>
      </w:r>
      <w:r w:rsidR="002D6505" w:rsidRPr="00C46C09">
        <w:rPr>
          <w:rFonts w:ascii="Times New Roman" w:hAnsi="Times New Roman" w:cs="Times New Roman"/>
        </w:rPr>
        <w:t>normativa del Governo dovrebbe</w:t>
      </w:r>
      <w:r w:rsidRPr="00C46C09">
        <w:rPr>
          <w:rFonts w:ascii="Times New Roman" w:hAnsi="Times New Roman" w:cs="Times New Roman"/>
        </w:rPr>
        <w:t xml:space="preserve"> determinare, in sintesi, un </w:t>
      </w:r>
      <w:r w:rsidR="006D0C59">
        <w:rPr>
          <w:rFonts w:ascii="Times New Roman" w:hAnsi="Times New Roman" w:cs="Times New Roman"/>
        </w:rPr>
        <w:t xml:space="preserve">rinnovato stimolo al </w:t>
      </w:r>
      <w:r w:rsidRPr="00C46C09">
        <w:rPr>
          <w:rFonts w:ascii="Times New Roman" w:hAnsi="Times New Roman" w:cs="Times New Roman"/>
        </w:rPr>
        <w:t xml:space="preserve">miglioramento della qualità delle leggi e dei regolamenti, sia sul piano sostanziale dell’efficacia e dell’impatto che su quello </w:t>
      </w:r>
      <w:r w:rsidR="00FC5DB7" w:rsidRPr="00C46C09">
        <w:rPr>
          <w:rFonts w:ascii="Times New Roman" w:hAnsi="Times New Roman" w:cs="Times New Roman"/>
        </w:rPr>
        <w:t xml:space="preserve">formale </w:t>
      </w:r>
      <w:r w:rsidRPr="00C46C09">
        <w:rPr>
          <w:rFonts w:ascii="Times New Roman" w:hAnsi="Times New Roman" w:cs="Times New Roman"/>
        </w:rPr>
        <w:t>della</w:t>
      </w:r>
      <w:r w:rsidR="00FC5DB7" w:rsidRPr="00C46C09">
        <w:rPr>
          <w:rFonts w:ascii="Times New Roman" w:hAnsi="Times New Roman" w:cs="Times New Roman"/>
        </w:rPr>
        <w:t xml:space="preserve"> correttezza redazionale e della chiarezza.</w:t>
      </w:r>
      <w:r w:rsidRPr="00C46C09">
        <w:rPr>
          <w:rFonts w:ascii="Times New Roman" w:hAnsi="Times New Roman" w:cs="Times New Roman"/>
        </w:rPr>
        <w:t xml:space="preserve">  </w:t>
      </w:r>
    </w:p>
    <w:p w14:paraId="698BFE91" w14:textId="32CDBA7A" w:rsidR="00A213AA" w:rsidRPr="00C46C09" w:rsidRDefault="00FC5DB7"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rPr>
        <w:t>Sotto quest’ultimo profilo, risulta</w:t>
      </w:r>
      <w:r w:rsidR="006D0C59">
        <w:rPr>
          <w:rFonts w:ascii="Times New Roman" w:hAnsi="Times New Roman" w:cs="Times New Roman"/>
        </w:rPr>
        <w:t>, in particolare,</w:t>
      </w:r>
      <w:r w:rsidRPr="00C46C09">
        <w:rPr>
          <w:rFonts w:ascii="Times New Roman" w:hAnsi="Times New Roman" w:cs="Times New Roman"/>
        </w:rPr>
        <w:t xml:space="preserve"> necessario </w:t>
      </w:r>
      <w:r w:rsidRPr="00C46C09">
        <w:rPr>
          <w:rFonts w:ascii="Times New Roman" w:hAnsi="Times New Roman" w:cs="Times New Roman"/>
          <w:bCs/>
        </w:rPr>
        <w:t xml:space="preserve">aggiornare la guida normativa, che contiene le regole di </w:t>
      </w:r>
      <w:r w:rsidR="00C04C08" w:rsidRPr="00C04C08">
        <w:rPr>
          <w:rFonts w:ascii="Times New Roman" w:hAnsi="Times New Roman" w:cs="Times New Roman"/>
          <w:bCs/>
          <w:i/>
        </w:rPr>
        <w:t>drafting</w:t>
      </w:r>
      <w:r w:rsidRPr="00C46C09">
        <w:rPr>
          <w:rFonts w:ascii="Times New Roman" w:hAnsi="Times New Roman" w:cs="Times New Roman"/>
          <w:bCs/>
        </w:rPr>
        <w:t xml:space="preserve"> formale in senso stretto, con la duplice finalità di rimuovere le criticità registrate nell’esperienza del DAGL e di arricchire il testo con innesti specifici relativi alla redazione dei regolamenti ministeriali e interministeriali, delle premesse degli atti normativi (corredando la guida con un repertorio aggiornato di esempi per ciascun tipo di provvedimento), alla “nuova” legge di delegazione europea </w:t>
      </w:r>
      <w:r w:rsidR="00A213AA" w:rsidRPr="00C46C09">
        <w:rPr>
          <w:rFonts w:ascii="Times New Roman" w:hAnsi="Times New Roman" w:cs="Times New Roman"/>
          <w:bCs/>
        </w:rPr>
        <w:t>(</w:t>
      </w:r>
      <w:r w:rsidRPr="00C46C09">
        <w:rPr>
          <w:rFonts w:ascii="Times New Roman" w:hAnsi="Times New Roman" w:cs="Times New Roman"/>
          <w:bCs/>
        </w:rPr>
        <w:t>che ha sostituito nel 2012 la legge comunitaria</w:t>
      </w:r>
      <w:r w:rsidR="00A213AA" w:rsidRPr="00C46C09">
        <w:rPr>
          <w:rFonts w:ascii="Times New Roman" w:hAnsi="Times New Roman" w:cs="Times New Roman"/>
          <w:bCs/>
        </w:rPr>
        <w:t>) e ad alcune</w:t>
      </w:r>
      <w:r w:rsidRPr="00C46C09">
        <w:rPr>
          <w:rFonts w:ascii="Times New Roman" w:hAnsi="Times New Roman" w:cs="Times New Roman"/>
          <w:bCs/>
        </w:rPr>
        <w:t xml:space="preserve"> </w:t>
      </w:r>
      <w:r w:rsidR="00A213AA" w:rsidRPr="00C46C09">
        <w:rPr>
          <w:rFonts w:ascii="Times New Roman" w:hAnsi="Times New Roman" w:cs="Times New Roman"/>
          <w:bCs/>
        </w:rPr>
        <w:t>specifiche questioni attinenti al</w:t>
      </w:r>
      <w:r w:rsidRPr="00C46C09">
        <w:rPr>
          <w:rFonts w:ascii="Times New Roman" w:hAnsi="Times New Roman" w:cs="Times New Roman"/>
          <w:bCs/>
        </w:rPr>
        <w:t xml:space="preserve"> recepimento </w:t>
      </w:r>
      <w:r w:rsidR="00A213AA" w:rsidRPr="00C46C09">
        <w:rPr>
          <w:rFonts w:ascii="Times New Roman" w:hAnsi="Times New Roman" w:cs="Times New Roman"/>
          <w:bCs/>
        </w:rPr>
        <w:t xml:space="preserve">e all’attuazione </w:t>
      </w:r>
      <w:r w:rsidRPr="00C46C09">
        <w:rPr>
          <w:rFonts w:ascii="Times New Roman" w:hAnsi="Times New Roman" w:cs="Times New Roman"/>
          <w:bCs/>
        </w:rPr>
        <w:t xml:space="preserve">degli atti </w:t>
      </w:r>
      <w:r w:rsidR="00A213AA" w:rsidRPr="00C46C09">
        <w:rPr>
          <w:rFonts w:ascii="Times New Roman" w:hAnsi="Times New Roman" w:cs="Times New Roman"/>
          <w:bCs/>
        </w:rPr>
        <w:t xml:space="preserve">normativi </w:t>
      </w:r>
      <w:r w:rsidRPr="00C46C09">
        <w:rPr>
          <w:rFonts w:ascii="Times New Roman" w:hAnsi="Times New Roman" w:cs="Times New Roman"/>
          <w:bCs/>
        </w:rPr>
        <w:t xml:space="preserve">europei. </w:t>
      </w:r>
    </w:p>
    <w:p w14:paraId="3AB1F890" w14:textId="77777777" w:rsidR="00E0470E" w:rsidRPr="00C46C09" w:rsidRDefault="00E0470E"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 xml:space="preserve">A quest’ultimo riguardo, si dovrà, inoltre, rammentare agli uffici legislativi uno scrupoloso rispetto della disciplina relativa al </w:t>
      </w:r>
      <w:r w:rsidRPr="00C46C09">
        <w:rPr>
          <w:rFonts w:ascii="Times New Roman" w:hAnsi="Times New Roman" w:cs="Times New Roman"/>
          <w:bCs/>
          <w:i/>
        </w:rPr>
        <w:t>gold plating</w:t>
      </w:r>
      <w:r w:rsidRPr="00C46C09">
        <w:rPr>
          <w:rFonts w:ascii="Times New Roman" w:hAnsi="Times New Roman" w:cs="Times New Roman"/>
          <w:bCs/>
        </w:rPr>
        <w:t xml:space="preserve">, raccomandando, in particolare, una rigorosa verifica delle condizioni eccezionali che autorizzano l’introduzione nell’ordinamento nazionale di livelli di regolazione superiori a quelli imposti dagli </w:t>
      </w:r>
      <w:r w:rsidR="001239DA" w:rsidRPr="00C46C09">
        <w:rPr>
          <w:rFonts w:ascii="Times New Roman" w:hAnsi="Times New Roman" w:cs="Times New Roman"/>
          <w:bCs/>
        </w:rPr>
        <w:t xml:space="preserve">atti </w:t>
      </w:r>
      <w:r w:rsidRPr="00C46C09">
        <w:rPr>
          <w:rFonts w:ascii="Times New Roman" w:hAnsi="Times New Roman" w:cs="Times New Roman"/>
          <w:bCs/>
        </w:rPr>
        <w:t>legislativi europei.</w:t>
      </w:r>
    </w:p>
    <w:p w14:paraId="589977C4" w14:textId="600D2C4C" w:rsidR="00E0470E" w:rsidRPr="00C46C09" w:rsidRDefault="00E0470E"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 xml:space="preserve">Si tratta, anche in questo caso, di correggere prassi non virtuose (e dannose) di traduzione nell’ordinamento domestico di direttive </w:t>
      </w:r>
      <w:r w:rsidR="005904EE">
        <w:rPr>
          <w:rFonts w:ascii="Times New Roman" w:hAnsi="Times New Roman" w:cs="Times New Roman"/>
          <w:bCs/>
        </w:rPr>
        <w:t>(o di attuazione di</w:t>
      </w:r>
      <w:r w:rsidRPr="00C46C09">
        <w:rPr>
          <w:rFonts w:ascii="Times New Roman" w:hAnsi="Times New Roman" w:cs="Times New Roman"/>
          <w:bCs/>
        </w:rPr>
        <w:t xml:space="preserve"> regolamenti</w:t>
      </w:r>
      <w:r w:rsidR="005904EE">
        <w:rPr>
          <w:rFonts w:ascii="Times New Roman" w:hAnsi="Times New Roman" w:cs="Times New Roman"/>
          <w:bCs/>
        </w:rPr>
        <w:t>)</w:t>
      </w:r>
      <w:r w:rsidRPr="00C46C09">
        <w:rPr>
          <w:rFonts w:ascii="Times New Roman" w:hAnsi="Times New Roman" w:cs="Times New Roman"/>
          <w:bCs/>
        </w:rPr>
        <w:t xml:space="preserve"> mediante la contestuale previ</w:t>
      </w:r>
      <w:r w:rsidR="001239DA" w:rsidRPr="00C46C09">
        <w:rPr>
          <w:rFonts w:ascii="Times New Roman" w:hAnsi="Times New Roman" w:cs="Times New Roman"/>
          <w:bCs/>
        </w:rPr>
        <w:t>sione di oneri non previsti da</w:t>
      </w:r>
      <w:r w:rsidRPr="00C46C09">
        <w:rPr>
          <w:rFonts w:ascii="Times New Roman" w:hAnsi="Times New Roman" w:cs="Times New Roman"/>
          <w:bCs/>
        </w:rPr>
        <w:t xml:space="preserve">i </w:t>
      </w:r>
      <w:r w:rsidR="001239DA" w:rsidRPr="00C46C09">
        <w:rPr>
          <w:rFonts w:ascii="Times New Roman" w:hAnsi="Times New Roman" w:cs="Times New Roman"/>
          <w:bCs/>
        </w:rPr>
        <w:t xml:space="preserve">provvedimenti </w:t>
      </w:r>
      <w:r w:rsidRPr="00C46C09">
        <w:rPr>
          <w:rFonts w:ascii="Times New Roman" w:hAnsi="Times New Roman" w:cs="Times New Roman"/>
          <w:bCs/>
        </w:rPr>
        <w:t>europei (o più gravosi di quelli ivi contemplati)</w:t>
      </w:r>
      <w:r w:rsidR="001C3611" w:rsidRPr="00C46C09">
        <w:rPr>
          <w:rStyle w:val="Rimandonotaapidipagina"/>
          <w:rFonts w:ascii="Times New Roman" w:hAnsi="Times New Roman" w:cs="Times New Roman"/>
          <w:bCs/>
        </w:rPr>
        <w:footnoteReference w:id="39"/>
      </w:r>
      <w:r w:rsidRPr="00C46C09">
        <w:rPr>
          <w:rFonts w:ascii="Times New Roman" w:hAnsi="Times New Roman" w:cs="Times New Roman"/>
          <w:bCs/>
        </w:rPr>
        <w:t xml:space="preserve">.     </w:t>
      </w:r>
    </w:p>
    <w:p w14:paraId="129470AC" w14:textId="2E72B29F" w:rsidR="00FC5DB7" w:rsidRDefault="00A213AA" w:rsidP="00575506">
      <w:pPr>
        <w:pStyle w:val="Paragrafoelenco"/>
        <w:autoSpaceDE w:val="0"/>
        <w:autoSpaceDN w:val="0"/>
        <w:adjustRightInd w:val="0"/>
        <w:spacing w:after="0" w:line="240" w:lineRule="auto"/>
        <w:ind w:left="0" w:firstLine="284"/>
        <w:jc w:val="both"/>
        <w:rPr>
          <w:rFonts w:ascii="Times New Roman" w:hAnsi="Times New Roman" w:cs="Times New Roman"/>
          <w:bCs/>
        </w:rPr>
      </w:pPr>
      <w:r w:rsidRPr="00C46C09">
        <w:rPr>
          <w:rFonts w:ascii="Times New Roman" w:hAnsi="Times New Roman" w:cs="Times New Roman"/>
          <w:bCs/>
        </w:rPr>
        <w:t>L’aggiornamento della guida normativa dovrà essere, inoltre, assistito da esempi e modelli redazionali, funzionali ad</w:t>
      </w:r>
      <w:r w:rsidR="00FC5DB7" w:rsidRPr="00C46C09">
        <w:rPr>
          <w:rFonts w:ascii="Times New Roman" w:hAnsi="Times New Roman" w:cs="Times New Roman"/>
          <w:bCs/>
        </w:rPr>
        <w:t xml:space="preserve"> assicurare l’omogeneità delle formulazioni </w:t>
      </w:r>
      <w:r w:rsidRPr="00C46C09">
        <w:rPr>
          <w:rFonts w:ascii="Times New Roman" w:hAnsi="Times New Roman" w:cs="Times New Roman"/>
          <w:bCs/>
        </w:rPr>
        <w:t>e a limitare casi di eccentrica creatività</w:t>
      </w:r>
      <w:r w:rsidR="00FC5DB7" w:rsidRPr="00C46C09">
        <w:rPr>
          <w:rFonts w:ascii="Times New Roman" w:hAnsi="Times New Roman" w:cs="Times New Roman"/>
          <w:bCs/>
        </w:rPr>
        <w:t>.</w:t>
      </w:r>
    </w:p>
    <w:p w14:paraId="013B4C11" w14:textId="4ED7FF94" w:rsidR="006D0C59" w:rsidRPr="00C46C09" w:rsidRDefault="006D0C59" w:rsidP="00575506">
      <w:pPr>
        <w:pStyle w:val="Paragrafoelenco"/>
        <w:autoSpaceDE w:val="0"/>
        <w:autoSpaceDN w:val="0"/>
        <w:adjustRightInd w:val="0"/>
        <w:spacing w:after="0" w:line="240" w:lineRule="auto"/>
        <w:ind w:left="0" w:firstLine="284"/>
        <w:jc w:val="both"/>
        <w:rPr>
          <w:rFonts w:ascii="Times New Roman" w:hAnsi="Times New Roman" w:cs="Times New Roman"/>
        </w:rPr>
      </w:pPr>
      <w:r>
        <w:rPr>
          <w:rFonts w:ascii="Times New Roman" w:hAnsi="Times New Roman" w:cs="Times New Roman"/>
          <w:bCs/>
        </w:rPr>
        <w:t xml:space="preserve">L’aggiornamento delle istruzioni non dovrà esaurirsi, quindi, nella diramazione di nuovi indirizzi, ma dovrà comprendere anche la diffusione di moduli </w:t>
      </w:r>
      <w:r w:rsidR="00E66388">
        <w:rPr>
          <w:rFonts w:ascii="Times New Roman" w:hAnsi="Times New Roman" w:cs="Times New Roman"/>
          <w:bCs/>
        </w:rPr>
        <w:t xml:space="preserve">di scrittura tipici e uniformi, con funzioni di supporto ai </w:t>
      </w:r>
      <w:r w:rsidR="00E66388">
        <w:rPr>
          <w:rFonts w:ascii="Times New Roman" w:hAnsi="Times New Roman" w:cs="Times New Roman"/>
          <w:bCs/>
          <w:i/>
        </w:rPr>
        <w:t xml:space="preserve">drafters, </w:t>
      </w:r>
      <w:r w:rsidR="00E66388">
        <w:rPr>
          <w:rFonts w:ascii="Times New Roman" w:hAnsi="Times New Roman" w:cs="Times New Roman"/>
          <w:bCs/>
        </w:rPr>
        <w:t xml:space="preserve">da cui dovrebbe derivare l’introduzione e il rispetto di standard redazionali omogenei.  </w:t>
      </w:r>
      <w:r>
        <w:rPr>
          <w:rFonts w:ascii="Times New Roman" w:hAnsi="Times New Roman" w:cs="Times New Roman"/>
          <w:bCs/>
        </w:rPr>
        <w:t xml:space="preserve"> </w:t>
      </w:r>
    </w:p>
    <w:p w14:paraId="63B3417C" w14:textId="77777777" w:rsidR="00FC5DB7" w:rsidRPr="00C46C09" w:rsidRDefault="00FC5DB7" w:rsidP="00575506">
      <w:pPr>
        <w:pStyle w:val="Paragrafoelenco"/>
        <w:autoSpaceDE w:val="0"/>
        <w:autoSpaceDN w:val="0"/>
        <w:adjustRightInd w:val="0"/>
        <w:spacing w:after="0" w:line="240" w:lineRule="auto"/>
        <w:ind w:left="0" w:firstLine="284"/>
        <w:jc w:val="both"/>
        <w:rPr>
          <w:rFonts w:ascii="Times New Roman" w:hAnsi="Times New Roman" w:cs="Times New Roman"/>
          <w:bCs/>
          <w:caps/>
        </w:rPr>
      </w:pPr>
      <w:r w:rsidRPr="00C46C09">
        <w:rPr>
          <w:rFonts w:ascii="Times New Roman" w:hAnsi="Times New Roman" w:cs="Times New Roman"/>
        </w:rPr>
        <w:t xml:space="preserve">Appare, da ultimo, necessario precisare che resterà estranea al perimetro della nuova direttiva la Circolare della Presidenza del Consiglio dei ministri del 20 aprile 2001, che, in quanto emanata in collaborazione con le Presidenze della Camera dei deputati e del Senato della Repubblica, esige, ai fini di un suo, pur auspicabile, adeguamento, il rispetto delle medesime forme. </w:t>
      </w:r>
    </w:p>
    <w:p w14:paraId="6EE42B6E" w14:textId="77777777" w:rsidR="00FC5DB7" w:rsidRPr="00C46C09" w:rsidRDefault="00FC5DB7" w:rsidP="006277A5">
      <w:pPr>
        <w:spacing w:after="0" w:line="240" w:lineRule="auto"/>
        <w:jc w:val="both"/>
        <w:rPr>
          <w:rFonts w:ascii="Times New Roman" w:hAnsi="Times New Roman" w:cs="Times New Roman"/>
          <w:bCs/>
        </w:rPr>
      </w:pPr>
    </w:p>
    <w:p w14:paraId="6AD19D25" w14:textId="77777777" w:rsidR="004C7F58" w:rsidRPr="00C46C09" w:rsidRDefault="00CF3D78" w:rsidP="006277A5">
      <w:pPr>
        <w:pStyle w:val="Paragrafoelenco"/>
        <w:autoSpaceDE w:val="0"/>
        <w:autoSpaceDN w:val="0"/>
        <w:adjustRightInd w:val="0"/>
        <w:spacing w:after="0" w:line="240" w:lineRule="auto"/>
        <w:ind w:left="0"/>
        <w:jc w:val="both"/>
        <w:rPr>
          <w:rFonts w:ascii="Times New Roman" w:hAnsi="Times New Roman" w:cs="Times New Roman"/>
          <w:bCs/>
          <w:caps/>
        </w:rPr>
      </w:pPr>
      <w:r w:rsidRPr="00C46C09">
        <w:rPr>
          <w:rFonts w:ascii="Times New Roman" w:hAnsi="Times New Roman" w:cs="Times New Roman"/>
          <w:bCs/>
        </w:rPr>
        <w:t xml:space="preserve"> </w:t>
      </w:r>
      <w:r w:rsidR="00B072CA" w:rsidRPr="00C46C09">
        <w:rPr>
          <w:rFonts w:ascii="Times New Roman" w:hAnsi="Times New Roman" w:cs="Times New Roman"/>
          <w:b/>
          <w:bCs/>
        </w:rPr>
        <w:t>10</w:t>
      </w:r>
      <w:r w:rsidR="00FB3861" w:rsidRPr="00C46C09">
        <w:rPr>
          <w:rFonts w:ascii="Times New Roman" w:hAnsi="Times New Roman" w:cs="Times New Roman"/>
          <w:b/>
          <w:bCs/>
        </w:rPr>
        <w:t>.</w:t>
      </w:r>
      <w:r w:rsidR="00FB3861" w:rsidRPr="00C46C09">
        <w:rPr>
          <w:rFonts w:ascii="Times New Roman" w:hAnsi="Times New Roman" w:cs="Times New Roman"/>
          <w:bCs/>
        </w:rPr>
        <w:t xml:space="preserve"> </w:t>
      </w:r>
      <w:r w:rsidR="004C7F58" w:rsidRPr="00C46C09">
        <w:rPr>
          <w:rFonts w:ascii="Times New Roman" w:hAnsi="Times New Roman" w:cs="Times New Roman"/>
          <w:b/>
          <w:bCs/>
        </w:rPr>
        <w:t>Conclusioni</w:t>
      </w:r>
      <w:r w:rsidR="00704A24" w:rsidRPr="00C46C09">
        <w:rPr>
          <w:rFonts w:ascii="Times New Roman" w:hAnsi="Times New Roman" w:cs="Times New Roman"/>
          <w:b/>
          <w:bCs/>
        </w:rPr>
        <w:t>: il ruolo della politica.</w:t>
      </w:r>
    </w:p>
    <w:p w14:paraId="73F2F068" w14:textId="3D6CA9F7" w:rsidR="00867452" w:rsidRPr="00C46C09" w:rsidRDefault="00867452" w:rsidP="00324825">
      <w:pPr>
        <w:pStyle w:val="Paragrafoelenco"/>
        <w:spacing w:after="0" w:line="240" w:lineRule="auto"/>
        <w:ind w:left="0" w:firstLine="284"/>
        <w:jc w:val="both"/>
        <w:rPr>
          <w:rFonts w:ascii="Times New Roman" w:hAnsi="Times New Roman" w:cs="Times New Roman"/>
          <w:bCs/>
        </w:rPr>
      </w:pPr>
      <w:r w:rsidRPr="00C46C09">
        <w:rPr>
          <w:rFonts w:ascii="Times New Roman" w:hAnsi="Times New Roman" w:cs="Times New Roman"/>
          <w:bCs/>
        </w:rPr>
        <w:t>Può apparire anacronistico e velleitario rivedere il sistema delle regole di una normazione di qualità in una fase storica in cui le diverse emergenze che hanno afflitto (e continuano ad affliggere) il Paese, e, con esso, l’ordinamento, sembrano imporre parametri di necessità e urgenza difficilmente compatibili con le istanze di una legislazione ordinata, programmata e meditata.</w:t>
      </w:r>
    </w:p>
    <w:p w14:paraId="49FDC1B6" w14:textId="77777777" w:rsidR="00FB3861" w:rsidRPr="00C46C09" w:rsidRDefault="00867452" w:rsidP="00324825">
      <w:pPr>
        <w:pStyle w:val="Paragrafoelenco"/>
        <w:spacing w:after="0" w:line="240" w:lineRule="auto"/>
        <w:ind w:left="0" w:firstLine="284"/>
        <w:jc w:val="both"/>
        <w:rPr>
          <w:rFonts w:ascii="Times New Roman" w:hAnsi="Times New Roman" w:cs="Times New Roman"/>
          <w:bCs/>
        </w:rPr>
      </w:pPr>
      <w:r w:rsidRPr="00C46C09">
        <w:rPr>
          <w:rFonts w:ascii="Times New Roman" w:hAnsi="Times New Roman" w:cs="Times New Roman"/>
          <w:bCs/>
        </w:rPr>
        <w:t>Nondimeno,</w:t>
      </w:r>
      <w:r w:rsidR="00FB3861" w:rsidRPr="00C46C09">
        <w:rPr>
          <w:rFonts w:ascii="Times New Roman" w:hAnsi="Times New Roman" w:cs="Times New Roman"/>
          <w:bCs/>
        </w:rPr>
        <w:t xml:space="preserve"> le già segnalate </w:t>
      </w:r>
      <w:r w:rsidR="00526A85" w:rsidRPr="00C46C09">
        <w:rPr>
          <w:rFonts w:ascii="Times New Roman" w:hAnsi="Times New Roman" w:cs="Times New Roman"/>
          <w:bCs/>
        </w:rPr>
        <w:t>e studiate interrelazioni tra la qualità della normazione e il rispetto, per un verso, dei canoni costituzionali e democratici del pri</w:t>
      </w:r>
      <w:r w:rsidR="00062D42" w:rsidRPr="00C46C09">
        <w:rPr>
          <w:rFonts w:ascii="Times New Roman" w:hAnsi="Times New Roman" w:cs="Times New Roman"/>
          <w:bCs/>
        </w:rPr>
        <w:t>ncipio di legalità e dello Stato</w:t>
      </w:r>
      <w:r w:rsidR="00526A85" w:rsidRPr="00C46C09">
        <w:rPr>
          <w:rFonts w:ascii="Times New Roman" w:hAnsi="Times New Roman" w:cs="Times New Roman"/>
          <w:bCs/>
        </w:rPr>
        <w:t xml:space="preserve"> di diritto e, per un altro, delle istanze relative ai bisogni afferenti alla crescita (o, comunque, alla tenuta) economica e sociale del Paese, esigono </w:t>
      </w:r>
      <w:r w:rsidR="00C95EAD" w:rsidRPr="00C46C09">
        <w:rPr>
          <w:rFonts w:ascii="Times New Roman" w:hAnsi="Times New Roman" w:cs="Times New Roman"/>
          <w:bCs/>
        </w:rPr>
        <w:t>che la bontà delle leggi resti presidiata da un sistema di regole capace di assicurarla (se osservato, ovviamente)</w:t>
      </w:r>
      <w:r w:rsidR="00743485" w:rsidRPr="00C46C09">
        <w:rPr>
          <w:rFonts w:ascii="Times New Roman" w:hAnsi="Times New Roman" w:cs="Times New Roman"/>
          <w:bCs/>
        </w:rPr>
        <w:t>, anche in tempi di emergenza</w:t>
      </w:r>
      <w:r w:rsidR="00C95EAD" w:rsidRPr="00C46C09">
        <w:rPr>
          <w:rFonts w:ascii="Times New Roman" w:hAnsi="Times New Roman" w:cs="Times New Roman"/>
          <w:bCs/>
        </w:rPr>
        <w:t>.</w:t>
      </w:r>
      <w:r w:rsidR="00526A85" w:rsidRPr="00C46C09">
        <w:rPr>
          <w:rFonts w:ascii="Times New Roman" w:hAnsi="Times New Roman" w:cs="Times New Roman"/>
          <w:bCs/>
        </w:rPr>
        <w:t xml:space="preserve"> </w:t>
      </w:r>
    </w:p>
    <w:p w14:paraId="26FD4DBE" w14:textId="77777777" w:rsidR="00743485" w:rsidRPr="00C46C09" w:rsidRDefault="00FB3861" w:rsidP="00324825">
      <w:pPr>
        <w:pStyle w:val="Paragrafoelenco"/>
        <w:spacing w:after="0" w:line="240" w:lineRule="auto"/>
        <w:ind w:left="0" w:firstLine="284"/>
        <w:jc w:val="both"/>
        <w:rPr>
          <w:rFonts w:ascii="Times New Roman" w:hAnsi="Times New Roman" w:cs="Times New Roman"/>
          <w:bCs/>
        </w:rPr>
      </w:pPr>
      <w:r w:rsidRPr="00C46C09">
        <w:rPr>
          <w:rFonts w:ascii="Times New Roman" w:hAnsi="Times New Roman" w:cs="Times New Roman"/>
          <w:bCs/>
        </w:rPr>
        <w:t>L’esercizio di un aggiornamento</w:t>
      </w:r>
      <w:r w:rsidR="00C95EAD" w:rsidRPr="00C46C09">
        <w:rPr>
          <w:rFonts w:ascii="Times New Roman" w:hAnsi="Times New Roman" w:cs="Times New Roman"/>
          <w:bCs/>
        </w:rPr>
        <w:t xml:space="preserve"> degli atti di indirizzo può, per</w:t>
      </w:r>
      <w:r w:rsidRPr="00C46C09">
        <w:rPr>
          <w:rFonts w:ascii="Times New Roman" w:hAnsi="Times New Roman" w:cs="Times New Roman"/>
          <w:bCs/>
        </w:rPr>
        <w:t>a</w:t>
      </w:r>
      <w:r w:rsidR="00C95EAD" w:rsidRPr="00C46C09">
        <w:rPr>
          <w:rFonts w:ascii="Times New Roman" w:hAnsi="Times New Roman" w:cs="Times New Roman"/>
          <w:bCs/>
        </w:rPr>
        <w:t>l</w:t>
      </w:r>
      <w:r w:rsidRPr="00C46C09">
        <w:rPr>
          <w:rFonts w:ascii="Times New Roman" w:hAnsi="Times New Roman" w:cs="Times New Roman"/>
          <w:bCs/>
        </w:rPr>
        <w:t>tro, prestarsi a un altro ordine di critiche</w:t>
      </w:r>
      <w:r w:rsidR="00743485" w:rsidRPr="00C46C09">
        <w:rPr>
          <w:rFonts w:ascii="Times New Roman" w:hAnsi="Times New Roman" w:cs="Times New Roman"/>
          <w:bCs/>
        </w:rPr>
        <w:t>.</w:t>
      </w:r>
    </w:p>
    <w:p w14:paraId="5E9C37B5" w14:textId="2040C0F5" w:rsidR="00743485" w:rsidRPr="00C46C09" w:rsidRDefault="00743485" w:rsidP="00324825">
      <w:pPr>
        <w:pStyle w:val="Paragrafoelenco"/>
        <w:spacing w:after="0" w:line="240" w:lineRule="auto"/>
        <w:ind w:left="0" w:firstLine="284"/>
        <w:jc w:val="both"/>
        <w:rPr>
          <w:rFonts w:ascii="Times New Roman" w:hAnsi="Times New Roman" w:cs="Times New Roman"/>
          <w:bCs/>
        </w:rPr>
      </w:pPr>
      <w:r w:rsidRPr="00C46C09">
        <w:rPr>
          <w:rFonts w:ascii="Times New Roman" w:hAnsi="Times New Roman" w:cs="Times New Roman"/>
          <w:bCs/>
        </w:rPr>
        <w:t xml:space="preserve">Potrebbe, cioè, obiettarsi che le direttive sulla qualità della regolazione sono destinate inevitabilmente a fallire in ragione della invincibile forza di cattive e croniche prassi, come dimostra la constatazione che le leggi continuano a presentare i </w:t>
      </w:r>
      <w:r w:rsidR="001B6B1D">
        <w:rPr>
          <w:rFonts w:ascii="Times New Roman" w:hAnsi="Times New Roman" w:cs="Times New Roman"/>
          <w:bCs/>
        </w:rPr>
        <w:t>medesimi difetti da oltre vent’</w:t>
      </w:r>
      <w:r w:rsidRPr="00C46C09">
        <w:rPr>
          <w:rFonts w:ascii="Times New Roman" w:hAnsi="Times New Roman" w:cs="Times New Roman"/>
          <w:bCs/>
        </w:rPr>
        <w:t>anni.</w:t>
      </w:r>
    </w:p>
    <w:p w14:paraId="2A11F1BF" w14:textId="77777777" w:rsidR="00743485" w:rsidRPr="00C46C09" w:rsidRDefault="00743485" w:rsidP="00324825">
      <w:pPr>
        <w:pStyle w:val="Paragrafoelenco"/>
        <w:spacing w:after="0" w:line="240" w:lineRule="auto"/>
        <w:ind w:left="0" w:firstLine="284"/>
        <w:jc w:val="both"/>
        <w:rPr>
          <w:rFonts w:ascii="Times New Roman" w:hAnsi="Times New Roman" w:cs="Times New Roman"/>
          <w:bCs/>
        </w:rPr>
      </w:pPr>
      <w:r w:rsidRPr="00C46C09">
        <w:rPr>
          <w:rFonts w:ascii="Times New Roman" w:hAnsi="Times New Roman" w:cs="Times New Roman"/>
          <w:bCs/>
        </w:rPr>
        <w:t>L’obiezione ha una sua consistenza ed impone una replica che coinvolga anche la politica.</w:t>
      </w:r>
    </w:p>
    <w:p w14:paraId="0D7401CF" w14:textId="418072B6" w:rsidR="00045EAE" w:rsidRPr="00C46C09" w:rsidRDefault="00743485" w:rsidP="00324825">
      <w:pPr>
        <w:pStyle w:val="Paragrafoelenco"/>
        <w:spacing w:after="0" w:line="240" w:lineRule="auto"/>
        <w:ind w:left="0" w:firstLine="284"/>
        <w:jc w:val="both"/>
        <w:rPr>
          <w:rFonts w:ascii="Times New Roman" w:hAnsi="Times New Roman" w:cs="Times New Roman"/>
          <w:bCs/>
        </w:rPr>
      </w:pPr>
      <w:r w:rsidRPr="00C46C09">
        <w:rPr>
          <w:rFonts w:ascii="Times New Roman" w:hAnsi="Times New Roman" w:cs="Times New Roman"/>
          <w:bCs/>
        </w:rPr>
        <w:t xml:space="preserve">Senza sminuire od omettere di considerare le responsabilità degli uffici legislativi </w:t>
      </w:r>
      <w:r w:rsidR="00274145">
        <w:rPr>
          <w:rFonts w:ascii="Times New Roman" w:hAnsi="Times New Roman" w:cs="Times New Roman"/>
          <w:bCs/>
        </w:rPr>
        <w:t xml:space="preserve">sul </w:t>
      </w:r>
      <w:r w:rsidR="00274145" w:rsidRPr="00DF4E16">
        <w:rPr>
          <w:rFonts w:ascii="Times New Roman" w:hAnsi="Times New Roman" w:cs="Times New Roman"/>
          <w:bCs/>
          <w:i/>
        </w:rPr>
        <w:t>deficit</w:t>
      </w:r>
      <w:r w:rsidR="00274145">
        <w:rPr>
          <w:rFonts w:ascii="Times New Roman" w:hAnsi="Times New Roman" w:cs="Times New Roman"/>
          <w:bCs/>
        </w:rPr>
        <w:t xml:space="preserve"> di bontà delle leggi, in relazione al</w:t>
      </w:r>
      <w:r w:rsidRPr="00C46C09">
        <w:rPr>
          <w:rFonts w:ascii="Times New Roman" w:hAnsi="Times New Roman" w:cs="Times New Roman"/>
          <w:bCs/>
        </w:rPr>
        <w:t xml:space="preserve"> quale si è accennato a un’esigenza di </w:t>
      </w:r>
      <w:r w:rsidR="00045EAE" w:rsidRPr="00C46C09">
        <w:rPr>
          <w:rFonts w:ascii="Times New Roman" w:hAnsi="Times New Roman" w:cs="Times New Roman"/>
          <w:bCs/>
        </w:rPr>
        <w:t xml:space="preserve">adeguata e robusta </w:t>
      </w:r>
      <w:r w:rsidRPr="00C46C09">
        <w:rPr>
          <w:rFonts w:ascii="Times New Roman" w:hAnsi="Times New Roman" w:cs="Times New Roman"/>
          <w:bCs/>
        </w:rPr>
        <w:t>formazione</w:t>
      </w:r>
      <w:r w:rsidR="00045EAE" w:rsidRPr="00C46C09">
        <w:rPr>
          <w:rFonts w:ascii="Times New Roman" w:hAnsi="Times New Roman" w:cs="Times New Roman"/>
          <w:bCs/>
        </w:rPr>
        <w:t>, non può, nondimeno,</w:t>
      </w:r>
      <w:r w:rsidR="001B6B1D">
        <w:rPr>
          <w:rFonts w:ascii="Times New Roman" w:hAnsi="Times New Roman" w:cs="Times New Roman"/>
          <w:bCs/>
        </w:rPr>
        <w:t xml:space="preserve"> tacersi che (a volte</w:t>
      </w:r>
      <w:r w:rsidR="00274145">
        <w:rPr>
          <w:rFonts w:ascii="Times New Roman" w:hAnsi="Times New Roman" w:cs="Times New Roman"/>
          <w:bCs/>
        </w:rPr>
        <w:t>) la</w:t>
      </w:r>
      <w:r w:rsidR="00045EAE" w:rsidRPr="00C46C09">
        <w:rPr>
          <w:rFonts w:ascii="Times New Roman" w:hAnsi="Times New Roman" w:cs="Times New Roman"/>
          <w:bCs/>
        </w:rPr>
        <w:t xml:space="preserve"> qualità delle norme </w:t>
      </w:r>
      <w:r w:rsidR="00274145">
        <w:rPr>
          <w:rFonts w:ascii="Times New Roman" w:hAnsi="Times New Roman" w:cs="Times New Roman"/>
          <w:bCs/>
        </w:rPr>
        <w:t xml:space="preserve">soffre </w:t>
      </w:r>
      <w:r w:rsidR="00E66388">
        <w:rPr>
          <w:rFonts w:ascii="Times New Roman" w:hAnsi="Times New Roman" w:cs="Times New Roman"/>
          <w:bCs/>
        </w:rPr>
        <w:t>la ristrettezza de</w:t>
      </w:r>
      <w:r w:rsidR="00045EAE" w:rsidRPr="00C46C09">
        <w:rPr>
          <w:rFonts w:ascii="Times New Roman" w:hAnsi="Times New Roman" w:cs="Times New Roman"/>
          <w:bCs/>
        </w:rPr>
        <w:t>i tempi di in</w:t>
      </w:r>
      <w:r w:rsidR="00E66388">
        <w:rPr>
          <w:rFonts w:ascii="Times New Roman" w:hAnsi="Times New Roman" w:cs="Times New Roman"/>
          <w:bCs/>
        </w:rPr>
        <w:t>tervento</w:t>
      </w:r>
      <w:r w:rsidR="00045EAE" w:rsidRPr="00C46C09">
        <w:rPr>
          <w:rFonts w:ascii="Times New Roman" w:hAnsi="Times New Roman" w:cs="Times New Roman"/>
          <w:bCs/>
        </w:rPr>
        <w:t xml:space="preserve">, </w:t>
      </w:r>
      <w:r w:rsidR="001B6B1D">
        <w:rPr>
          <w:rFonts w:ascii="Times New Roman" w:hAnsi="Times New Roman" w:cs="Times New Roman"/>
          <w:bCs/>
        </w:rPr>
        <w:t>non di rado</w:t>
      </w:r>
      <w:r w:rsidR="00045EAE" w:rsidRPr="00C46C09">
        <w:rPr>
          <w:rFonts w:ascii="Times New Roman" w:hAnsi="Times New Roman" w:cs="Times New Roman"/>
          <w:bCs/>
        </w:rPr>
        <w:t xml:space="preserve"> incompatibili sia con un’adeguata e coerente analisi d’impatto, sia con il rispetto di adeguati standard qualitativi formali.</w:t>
      </w:r>
    </w:p>
    <w:p w14:paraId="674A2C58" w14:textId="1DD12EC5" w:rsidR="009E31E9" w:rsidRPr="001B6B1D" w:rsidRDefault="001B6B1D" w:rsidP="001B6B1D">
      <w:pPr>
        <w:pStyle w:val="Paragrafoelenco"/>
        <w:spacing w:after="0" w:line="240" w:lineRule="auto"/>
        <w:ind w:left="0" w:firstLine="284"/>
        <w:jc w:val="both"/>
        <w:rPr>
          <w:rFonts w:ascii="Times New Roman" w:hAnsi="Times New Roman" w:cs="Times New Roman"/>
          <w:bCs/>
        </w:rPr>
      </w:pPr>
      <w:r>
        <w:rPr>
          <w:rFonts w:ascii="Times New Roman" w:hAnsi="Times New Roman" w:cs="Times New Roman"/>
          <w:bCs/>
        </w:rPr>
        <w:t>Occorre, dunque, un’intesa virtuosa</w:t>
      </w:r>
      <w:r w:rsidR="00045EAE" w:rsidRPr="00C46C09">
        <w:rPr>
          <w:rFonts w:ascii="Times New Roman" w:hAnsi="Times New Roman" w:cs="Times New Roman"/>
          <w:bCs/>
        </w:rPr>
        <w:t xml:space="preserve"> </w:t>
      </w:r>
      <w:r>
        <w:rPr>
          <w:rFonts w:ascii="Times New Roman" w:hAnsi="Times New Roman" w:cs="Times New Roman"/>
          <w:bCs/>
        </w:rPr>
        <w:t>tra i decisori politici e la “burocrazia” dei tecnici addetti agli Uffici legislativi</w:t>
      </w:r>
      <w:r w:rsidR="00274145" w:rsidRPr="001B6B1D">
        <w:rPr>
          <w:rFonts w:ascii="Times New Roman" w:hAnsi="Times New Roman" w:cs="Times New Roman"/>
          <w:bCs/>
        </w:rPr>
        <w:t>, nel nome di un rinnovato ordine legislativo.</w:t>
      </w:r>
      <w:r w:rsidRPr="001B6B1D">
        <w:rPr>
          <w:rFonts w:ascii="Times New Roman" w:hAnsi="Times New Roman" w:cs="Times New Roman"/>
          <w:bCs/>
        </w:rPr>
        <w:t xml:space="preserve"> </w:t>
      </w:r>
      <w:r w:rsidR="00DF4E16" w:rsidRPr="001B6B1D">
        <w:rPr>
          <w:rFonts w:ascii="Times New Roman" w:hAnsi="Times New Roman" w:cs="Times New Roman"/>
          <w:bCs/>
        </w:rPr>
        <w:t xml:space="preserve"> </w:t>
      </w:r>
    </w:p>
    <w:p w14:paraId="67161614" w14:textId="7820C225" w:rsidR="009E31E9" w:rsidRDefault="009E31E9" w:rsidP="00324825">
      <w:pPr>
        <w:pStyle w:val="Paragrafoelenco"/>
        <w:spacing w:after="0" w:line="240" w:lineRule="auto"/>
        <w:ind w:left="0" w:firstLine="284"/>
        <w:jc w:val="both"/>
        <w:rPr>
          <w:rFonts w:ascii="Times New Roman" w:hAnsi="Times New Roman" w:cs="Times New Roman"/>
          <w:bCs/>
        </w:rPr>
      </w:pPr>
      <w:r>
        <w:rPr>
          <w:rFonts w:ascii="Times New Roman" w:hAnsi="Times New Roman" w:cs="Times New Roman"/>
          <w:bCs/>
        </w:rPr>
        <w:t>L’auspicio è che si determini un inedito e sinergico impulso alla formazione di</w:t>
      </w:r>
      <w:r w:rsidR="00E66388">
        <w:rPr>
          <w:rFonts w:ascii="Times New Roman" w:hAnsi="Times New Roman" w:cs="Times New Roman"/>
          <w:bCs/>
        </w:rPr>
        <w:t xml:space="preserve"> una classe di “legisti”</w:t>
      </w:r>
      <w:r w:rsidR="00045EAE" w:rsidRPr="00C46C09">
        <w:rPr>
          <w:rFonts w:ascii="Times New Roman" w:hAnsi="Times New Roman" w:cs="Times New Roman"/>
          <w:bCs/>
        </w:rPr>
        <w:t xml:space="preserve"> </w:t>
      </w:r>
      <w:r w:rsidR="00E66388">
        <w:rPr>
          <w:rFonts w:ascii="Times New Roman" w:hAnsi="Times New Roman" w:cs="Times New Roman"/>
          <w:bCs/>
        </w:rPr>
        <w:t>(</w:t>
      </w:r>
      <w:r w:rsidR="00045EAE" w:rsidRPr="00C46C09">
        <w:rPr>
          <w:rFonts w:ascii="Times New Roman" w:hAnsi="Times New Roman" w:cs="Times New Roman"/>
          <w:bCs/>
        </w:rPr>
        <w:t>dotati di competenze e conoscenza delle tecniche redaziona</w:t>
      </w:r>
      <w:r w:rsidR="00E66388">
        <w:rPr>
          <w:rFonts w:ascii="Times New Roman" w:hAnsi="Times New Roman" w:cs="Times New Roman"/>
          <w:bCs/>
        </w:rPr>
        <w:t>li)</w:t>
      </w:r>
      <w:r>
        <w:rPr>
          <w:rFonts w:ascii="Times New Roman" w:hAnsi="Times New Roman" w:cs="Times New Roman"/>
          <w:bCs/>
        </w:rPr>
        <w:t xml:space="preserve"> e alla cura della scrittura dei testi legislativi, che riconosca e rispetti il valore primario della chiarezza e della precisione delle regole.</w:t>
      </w:r>
    </w:p>
    <w:p w14:paraId="36761860" w14:textId="337CFDCC" w:rsidR="005A4569" w:rsidRPr="00C46C09" w:rsidRDefault="009E31E9" w:rsidP="00324825">
      <w:pPr>
        <w:pStyle w:val="Paragrafoelenco"/>
        <w:spacing w:after="0" w:line="240" w:lineRule="auto"/>
        <w:ind w:left="0" w:firstLine="284"/>
        <w:jc w:val="both"/>
        <w:rPr>
          <w:rFonts w:ascii="Times New Roman" w:hAnsi="Times New Roman" w:cs="Times New Roman"/>
          <w:bCs/>
        </w:rPr>
      </w:pPr>
      <w:r>
        <w:rPr>
          <w:rFonts w:ascii="Times New Roman" w:hAnsi="Times New Roman" w:cs="Times New Roman"/>
          <w:bCs/>
        </w:rPr>
        <w:t>Allo stesso modo, dovranno essere rispettati</w:t>
      </w:r>
      <w:r w:rsidR="00045EAE" w:rsidRPr="00C46C09">
        <w:rPr>
          <w:rFonts w:ascii="Times New Roman" w:hAnsi="Times New Roman" w:cs="Times New Roman"/>
          <w:bCs/>
        </w:rPr>
        <w:t xml:space="preserve"> i tempi della programmazione e </w:t>
      </w:r>
      <w:r>
        <w:rPr>
          <w:rFonts w:ascii="Times New Roman" w:hAnsi="Times New Roman" w:cs="Times New Roman"/>
          <w:bCs/>
        </w:rPr>
        <w:t xml:space="preserve">si dovrà </w:t>
      </w:r>
      <w:r w:rsidR="00045EAE" w:rsidRPr="00C46C09">
        <w:rPr>
          <w:rFonts w:ascii="Times New Roman" w:hAnsi="Times New Roman" w:cs="Times New Roman"/>
          <w:bCs/>
        </w:rPr>
        <w:t>consentire che ogni nuovo atto normativo (fatti salvi quelli di estrema urgenza) sia preceduto da un’istruttoria compiuta e da una seria analisi d’impatto, nonché da tempi di redazione compatibili con una verifica delle esigenze di coordinamento con la normativa vigente e con l’ossequio ai canoni formali di scrittura.</w:t>
      </w:r>
    </w:p>
    <w:p w14:paraId="6B91DADD" w14:textId="25738B93" w:rsidR="001C36BB" w:rsidRDefault="009E31E9" w:rsidP="00324825">
      <w:pPr>
        <w:pStyle w:val="Paragrafoelenco"/>
        <w:spacing w:after="0" w:line="240" w:lineRule="auto"/>
        <w:ind w:left="0" w:firstLine="284"/>
        <w:jc w:val="both"/>
        <w:rPr>
          <w:rFonts w:ascii="Times New Roman" w:hAnsi="Times New Roman" w:cs="Times New Roman"/>
          <w:bCs/>
        </w:rPr>
      </w:pPr>
      <w:r>
        <w:rPr>
          <w:rFonts w:ascii="Times New Roman" w:hAnsi="Times New Roman" w:cs="Times New Roman"/>
          <w:bCs/>
        </w:rPr>
        <w:t>Non solo, ma si</w:t>
      </w:r>
      <w:r w:rsidR="001C36BB" w:rsidRPr="00C46C09">
        <w:rPr>
          <w:rFonts w:ascii="Times New Roman" w:hAnsi="Times New Roman" w:cs="Times New Roman"/>
          <w:bCs/>
        </w:rPr>
        <w:t xml:space="preserve"> deve assumere responsabilmente il nuovo paradigma </w:t>
      </w:r>
      <w:r w:rsidR="00E77073" w:rsidRPr="00C46C09">
        <w:rPr>
          <w:rFonts w:ascii="Times New Roman" w:hAnsi="Times New Roman" w:cs="Times New Roman"/>
          <w:bCs/>
        </w:rPr>
        <w:t xml:space="preserve">secondo cui la </w:t>
      </w:r>
      <w:r w:rsidR="001C36BB" w:rsidRPr="00C46C09">
        <w:rPr>
          <w:rFonts w:ascii="Times New Roman" w:hAnsi="Times New Roman" w:cs="Times New Roman"/>
          <w:bCs/>
        </w:rPr>
        <w:t xml:space="preserve">legge non è l’unico modo di amministrare lo Stato e </w:t>
      </w:r>
      <w:r w:rsidR="00E77073" w:rsidRPr="00C46C09">
        <w:rPr>
          <w:rFonts w:ascii="Times New Roman" w:hAnsi="Times New Roman" w:cs="Times New Roman"/>
          <w:bCs/>
        </w:rPr>
        <w:t>(spesso) non è neanche il più efficace</w:t>
      </w:r>
      <w:r w:rsidR="001C36BB" w:rsidRPr="00C46C09">
        <w:rPr>
          <w:rFonts w:ascii="Times New Roman" w:hAnsi="Times New Roman" w:cs="Times New Roman"/>
          <w:bCs/>
        </w:rPr>
        <w:t>.</w:t>
      </w:r>
    </w:p>
    <w:p w14:paraId="254D4B4C" w14:textId="2DC18455" w:rsidR="007E698C" w:rsidRDefault="001B6B1D" w:rsidP="00324825">
      <w:pPr>
        <w:pStyle w:val="Paragrafoelenco"/>
        <w:spacing w:after="0" w:line="240" w:lineRule="auto"/>
        <w:ind w:left="0" w:firstLine="284"/>
        <w:jc w:val="both"/>
        <w:rPr>
          <w:rFonts w:ascii="Times New Roman" w:hAnsi="Times New Roman" w:cs="Times New Roman"/>
          <w:bCs/>
        </w:rPr>
      </w:pPr>
      <w:r>
        <w:rPr>
          <w:rFonts w:ascii="Times New Roman" w:hAnsi="Times New Roman" w:cs="Times New Roman"/>
          <w:bCs/>
        </w:rPr>
        <w:t>Senza ignorare la complessità, anche tecnica, degli ordinamenti settoriali e dei fenomeni sociali ed economici che gli Stati contemporanei sono chiamati a governare e regolare,</w:t>
      </w:r>
      <w:r w:rsidR="007574C5">
        <w:rPr>
          <w:rFonts w:ascii="Times New Roman" w:hAnsi="Times New Roman" w:cs="Times New Roman"/>
          <w:bCs/>
        </w:rPr>
        <w:t xml:space="preserve"> si deve, nondimen</w:t>
      </w:r>
      <w:r>
        <w:rPr>
          <w:rFonts w:ascii="Times New Roman" w:hAnsi="Times New Roman" w:cs="Times New Roman"/>
          <w:bCs/>
        </w:rPr>
        <w:t>o</w:t>
      </w:r>
      <w:r w:rsidR="007574C5">
        <w:rPr>
          <w:rFonts w:ascii="Times New Roman" w:hAnsi="Times New Roman" w:cs="Times New Roman"/>
          <w:bCs/>
        </w:rPr>
        <w:t>, ammettere</w:t>
      </w:r>
      <w:r w:rsidR="007E698C">
        <w:rPr>
          <w:rFonts w:ascii="Times New Roman" w:hAnsi="Times New Roman" w:cs="Times New Roman"/>
          <w:bCs/>
        </w:rPr>
        <w:t xml:space="preserve"> che rischia di strutturarsi</w:t>
      </w:r>
      <w:r w:rsidR="007574C5">
        <w:rPr>
          <w:rFonts w:ascii="Times New Roman" w:hAnsi="Times New Roman" w:cs="Times New Roman"/>
          <w:bCs/>
        </w:rPr>
        <w:t xml:space="preserve"> la cattiva abitudine di affidare alle leggi </w:t>
      </w:r>
      <w:r w:rsidR="007E698C">
        <w:rPr>
          <w:rFonts w:ascii="Times New Roman" w:hAnsi="Times New Roman" w:cs="Times New Roman"/>
          <w:bCs/>
        </w:rPr>
        <w:t>compiti inappropriati.</w:t>
      </w:r>
    </w:p>
    <w:p w14:paraId="5CBE49B0" w14:textId="4318F262" w:rsidR="001B6B1D" w:rsidRPr="00C46C09" w:rsidRDefault="007E698C" w:rsidP="00324825">
      <w:pPr>
        <w:pStyle w:val="Paragrafoelenco"/>
        <w:spacing w:after="0" w:line="240" w:lineRule="auto"/>
        <w:ind w:left="0" w:firstLine="284"/>
        <w:jc w:val="both"/>
        <w:rPr>
          <w:rFonts w:ascii="Times New Roman" w:hAnsi="Times New Roman" w:cs="Times New Roman"/>
          <w:bCs/>
        </w:rPr>
      </w:pPr>
      <w:r>
        <w:rPr>
          <w:rFonts w:ascii="Times New Roman" w:hAnsi="Times New Roman" w:cs="Times New Roman"/>
          <w:bCs/>
        </w:rPr>
        <w:t xml:space="preserve">Occorre, in altri termini, riconoscere che non pochi interventi esulano dal perimetro della legislazione necessaria.   </w:t>
      </w:r>
      <w:r w:rsidR="007574C5">
        <w:rPr>
          <w:rFonts w:ascii="Times New Roman" w:hAnsi="Times New Roman" w:cs="Times New Roman"/>
          <w:bCs/>
        </w:rPr>
        <w:t xml:space="preserve"> </w:t>
      </w:r>
      <w:r w:rsidR="001B6B1D">
        <w:rPr>
          <w:rFonts w:ascii="Times New Roman" w:hAnsi="Times New Roman" w:cs="Times New Roman"/>
          <w:bCs/>
        </w:rPr>
        <w:t xml:space="preserve">   </w:t>
      </w:r>
    </w:p>
    <w:p w14:paraId="55862EC5" w14:textId="3240E6C4" w:rsidR="001C36BB" w:rsidRPr="00C46C09" w:rsidRDefault="00DF4E16" w:rsidP="00324825">
      <w:pPr>
        <w:pStyle w:val="Paragrafoelenco"/>
        <w:spacing w:after="0" w:line="240" w:lineRule="auto"/>
        <w:ind w:left="0" w:firstLine="284"/>
        <w:jc w:val="both"/>
        <w:rPr>
          <w:rFonts w:ascii="Times New Roman" w:hAnsi="Times New Roman" w:cs="Times New Roman"/>
          <w:bCs/>
        </w:rPr>
      </w:pPr>
      <w:r>
        <w:rPr>
          <w:rFonts w:ascii="Times New Roman" w:hAnsi="Times New Roman" w:cs="Times New Roman"/>
          <w:bCs/>
        </w:rPr>
        <w:t>P</w:t>
      </w:r>
      <w:r w:rsidR="001C36BB" w:rsidRPr="00C46C09">
        <w:rPr>
          <w:rFonts w:ascii="Times New Roman" w:hAnsi="Times New Roman" w:cs="Times New Roman"/>
          <w:bCs/>
        </w:rPr>
        <w:t>olitica</w:t>
      </w:r>
      <w:r>
        <w:rPr>
          <w:rFonts w:ascii="Times New Roman" w:hAnsi="Times New Roman" w:cs="Times New Roman"/>
          <w:bCs/>
        </w:rPr>
        <w:t xml:space="preserve"> e tecnica,</w:t>
      </w:r>
      <w:r w:rsidR="00E77073" w:rsidRPr="00C46C09">
        <w:rPr>
          <w:rFonts w:ascii="Times New Roman" w:hAnsi="Times New Roman" w:cs="Times New Roman"/>
          <w:bCs/>
        </w:rPr>
        <w:t xml:space="preserve"> in </w:t>
      </w:r>
      <w:r w:rsidR="007E698C">
        <w:rPr>
          <w:rFonts w:ascii="Times New Roman" w:hAnsi="Times New Roman" w:cs="Times New Roman"/>
          <w:bCs/>
        </w:rPr>
        <w:t>definitiva</w:t>
      </w:r>
      <w:r w:rsidR="00E77073" w:rsidRPr="00C46C09">
        <w:rPr>
          <w:rFonts w:ascii="Times New Roman" w:hAnsi="Times New Roman" w:cs="Times New Roman"/>
          <w:bCs/>
        </w:rPr>
        <w:t>,</w:t>
      </w:r>
      <w:r>
        <w:rPr>
          <w:rFonts w:ascii="Times New Roman" w:hAnsi="Times New Roman" w:cs="Times New Roman"/>
          <w:bCs/>
        </w:rPr>
        <w:t xml:space="preserve"> devono</w:t>
      </w:r>
      <w:r w:rsidR="001C36BB" w:rsidRPr="00C46C09">
        <w:rPr>
          <w:rFonts w:ascii="Times New Roman" w:hAnsi="Times New Roman" w:cs="Times New Roman"/>
          <w:bCs/>
        </w:rPr>
        <w:t xml:space="preserve"> acquisire </w:t>
      </w:r>
      <w:r>
        <w:rPr>
          <w:rFonts w:ascii="Times New Roman" w:hAnsi="Times New Roman" w:cs="Times New Roman"/>
          <w:bCs/>
        </w:rPr>
        <w:t xml:space="preserve">(insieme) </w:t>
      </w:r>
      <w:r w:rsidR="001C36BB" w:rsidRPr="00C46C09">
        <w:rPr>
          <w:rFonts w:ascii="Times New Roman" w:hAnsi="Times New Roman" w:cs="Times New Roman"/>
          <w:bCs/>
        </w:rPr>
        <w:t>la consapevolezza che le leggi indispensabili sono poche, che quelle sovrabbondanti generano caos e inefficienza e</w:t>
      </w:r>
      <w:r w:rsidR="00062D42" w:rsidRPr="00C46C09">
        <w:rPr>
          <w:rFonts w:ascii="Times New Roman" w:hAnsi="Times New Roman" w:cs="Times New Roman"/>
          <w:bCs/>
        </w:rPr>
        <w:t xml:space="preserve"> che una larga parte dell’opera</w:t>
      </w:r>
      <w:r w:rsidR="001C36BB" w:rsidRPr="00C46C09">
        <w:rPr>
          <w:rFonts w:ascii="Times New Roman" w:hAnsi="Times New Roman" w:cs="Times New Roman"/>
          <w:bCs/>
        </w:rPr>
        <w:t xml:space="preserve"> di governo può essere (più effi</w:t>
      </w:r>
      <w:r w:rsidR="00062D42" w:rsidRPr="00C46C09">
        <w:rPr>
          <w:rFonts w:ascii="Times New Roman" w:hAnsi="Times New Roman" w:cs="Times New Roman"/>
          <w:bCs/>
        </w:rPr>
        <w:t>cacemente) riservata ad azioni</w:t>
      </w:r>
      <w:r w:rsidR="001C36BB" w:rsidRPr="00C46C09">
        <w:rPr>
          <w:rFonts w:ascii="Times New Roman" w:hAnsi="Times New Roman" w:cs="Times New Roman"/>
          <w:bCs/>
        </w:rPr>
        <w:t xml:space="preserve"> amministrative.   </w:t>
      </w:r>
    </w:p>
    <w:p w14:paraId="17BD175B" w14:textId="77777777" w:rsidR="00045EAE" w:rsidRPr="00C46C09" w:rsidRDefault="00062D42" w:rsidP="00324825">
      <w:pPr>
        <w:pStyle w:val="Paragrafoelenco"/>
        <w:spacing w:after="0" w:line="240" w:lineRule="auto"/>
        <w:ind w:left="0" w:firstLine="284"/>
        <w:jc w:val="both"/>
        <w:rPr>
          <w:rFonts w:ascii="Times New Roman" w:hAnsi="Times New Roman" w:cs="Times New Roman"/>
        </w:rPr>
      </w:pPr>
      <w:r w:rsidRPr="00C46C09">
        <w:rPr>
          <w:rFonts w:ascii="Times New Roman" w:hAnsi="Times New Roman" w:cs="Times New Roman"/>
        </w:rPr>
        <w:t>D’altra parte, già ne</w:t>
      </w:r>
      <w:r w:rsidR="00171E24" w:rsidRPr="00C46C09">
        <w:rPr>
          <w:rFonts w:ascii="Times New Roman" w:hAnsi="Times New Roman" w:cs="Times New Roman"/>
        </w:rPr>
        <w:t xml:space="preserve"> “</w:t>
      </w:r>
      <w:r w:rsidRPr="00C46C09">
        <w:rPr>
          <w:rFonts w:ascii="Times New Roman" w:hAnsi="Times New Roman" w:cs="Times New Roman"/>
        </w:rPr>
        <w:t>Lo s</w:t>
      </w:r>
      <w:r w:rsidR="00171E24" w:rsidRPr="00C46C09">
        <w:rPr>
          <w:rFonts w:ascii="Times New Roman" w:hAnsi="Times New Roman" w:cs="Times New Roman"/>
        </w:rPr>
        <w:t xml:space="preserve">pirito delle leggi” Montesquieu ammoniva che </w:t>
      </w:r>
      <w:r w:rsidR="007A2DF4" w:rsidRPr="00C46C09">
        <w:rPr>
          <w:rFonts w:ascii="Times New Roman" w:hAnsi="Times New Roman" w:cs="Times New Roman"/>
        </w:rPr>
        <w:t>“</w:t>
      </w:r>
      <w:r w:rsidR="00171E24" w:rsidRPr="00C46C09">
        <w:rPr>
          <w:rFonts w:ascii="Times New Roman" w:hAnsi="Times New Roman" w:cs="Times New Roman"/>
        </w:rPr>
        <w:t>le leggi inu</w:t>
      </w:r>
      <w:r w:rsidR="007A2DF4" w:rsidRPr="00C46C09">
        <w:rPr>
          <w:rFonts w:ascii="Times New Roman" w:hAnsi="Times New Roman" w:cs="Times New Roman"/>
        </w:rPr>
        <w:t>tili indeboliscono le leggi necessarie”</w:t>
      </w:r>
      <w:r w:rsidR="00171E24" w:rsidRPr="00C46C09">
        <w:rPr>
          <w:rStyle w:val="Rimandonotaapidipagina"/>
          <w:rFonts w:ascii="Times New Roman" w:hAnsi="Times New Roman" w:cs="Times New Roman"/>
        </w:rPr>
        <w:footnoteReference w:id="40"/>
      </w:r>
      <w:r w:rsidR="00171E24" w:rsidRPr="00C46C09">
        <w:rPr>
          <w:rFonts w:ascii="Times New Roman" w:hAnsi="Times New Roman" w:cs="Times New Roman"/>
        </w:rPr>
        <w:t>.</w:t>
      </w:r>
    </w:p>
    <w:p w14:paraId="4C35C517" w14:textId="77777777" w:rsidR="00171E24" w:rsidRPr="00C46C09" w:rsidRDefault="00171E24" w:rsidP="00324825">
      <w:pPr>
        <w:pStyle w:val="Paragrafoelenco"/>
        <w:spacing w:after="0" w:line="240" w:lineRule="auto"/>
        <w:ind w:left="0" w:firstLine="284"/>
        <w:jc w:val="both"/>
        <w:rPr>
          <w:rFonts w:ascii="Times New Roman" w:hAnsi="Times New Roman" w:cs="Times New Roman"/>
        </w:rPr>
      </w:pPr>
      <w:r w:rsidRPr="00C46C09">
        <w:rPr>
          <w:rFonts w:ascii="Times New Roman" w:hAnsi="Times New Roman" w:cs="Times New Roman"/>
        </w:rPr>
        <w:t>E solo poche leggi necessarie contribuiscono al bene comune.</w:t>
      </w:r>
    </w:p>
    <w:p w14:paraId="45D6E4B0" w14:textId="77777777" w:rsidR="00171E24" w:rsidRDefault="00171E24" w:rsidP="006277A5">
      <w:pPr>
        <w:pStyle w:val="Paragrafoelenco"/>
        <w:spacing w:after="0" w:line="240" w:lineRule="auto"/>
        <w:ind w:left="0"/>
        <w:jc w:val="both"/>
        <w:rPr>
          <w:rFonts w:ascii="Times New Roman" w:hAnsi="Times New Roman" w:cs="Times New Roman"/>
        </w:rPr>
      </w:pPr>
      <w:r w:rsidRPr="00C46C09">
        <w:rPr>
          <w:rFonts w:ascii="Times New Roman" w:hAnsi="Times New Roman" w:cs="Times New Roman"/>
        </w:rPr>
        <w:t xml:space="preserve"> </w:t>
      </w:r>
    </w:p>
    <w:p w14:paraId="1CD26CC4" w14:textId="77777777" w:rsidR="00777BFC" w:rsidRDefault="00777BFC" w:rsidP="00777BFC">
      <w:pPr>
        <w:pStyle w:val="Paragrafoelenco"/>
        <w:spacing w:after="0" w:line="240" w:lineRule="auto"/>
        <w:ind w:left="0" w:firstLine="284"/>
        <w:jc w:val="right"/>
        <w:rPr>
          <w:rFonts w:ascii="Times New Roman" w:hAnsi="Times New Roman" w:cs="Times New Roman"/>
        </w:rPr>
      </w:pPr>
    </w:p>
    <w:p w14:paraId="4FA3532D" w14:textId="47BAB320" w:rsidR="00777BFC" w:rsidRPr="00777BFC" w:rsidRDefault="00777BFC" w:rsidP="00777BFC">
      <w:pPr>
        <w:pStyle w:val="Paragrafoelenco"/>
        <w:spacing w:after="0" w:line="240" w:lineRule="auto"/>
        <w:ind w:left="0" w:firstLine="284"/>
        <w:jc w:val="right"/>
        <w:rPr>
          <w:rFonts w:ascii="Times New Roman" w:hAnsi="Times New Roman" w:cs="Times New Roman"/>
          <w:b/>
          <w:sz w:val="32"/>
          <w:szCs w:val="32"/>
        </w:rPr>
      </w:pPr>
      <w:r w:rsidRPr="00777BFC">
        <w:rPr>
          <w:rFonts w:ascii="Times New Roman" w:hAnsi="Times New Roman" w:cs="Times New Roman"/>
          <w:b/>
          <w:sz w:val="32"/>
          <w:szCs w:val="32"/>
        </w:rPr>
        <w:t>Carlo Deodato</w:t>
      </w:r>
    </w:p>
    <w:p w14:paraId="60769AEE" w14:textId="48424450" w:rsidR="00777BFC" w:rsidRDefault="00777BFC" w:rsidP="00777BFC">
      <w:pPr>
        <w:pStyle w:val="Paragrafoelenco"/>
        <w:spacing w:after="0" w:line="240" w:lineRule="auto"/>
        <w:ind w:left="0" w:firstLine="284"/>
        <w:jc w:val="right"/>
        <w:rPr>
          <w:rFonts w:ascii="Times New Roman" w:hAnsi="Times New Roman" w:cs="Times New Roman"/>
          <w:sz w:val="32"/>
          <w:szCs w:val="32"/>
        </w:rPr>
      </w:pPr>
      <w:r w:rsidRPr="00777BFC">
        <w:rPr>
          <w:rFonts w:ascii="Times New Roman" w:hAnsi="Times New Roman" w:cs="Times New Roman"/>
          <w:sz w:val="32"/>
          <w:szCs w:val="32"/>
        </w:rPr>
        <w:t xml:space="preserve">Presidente </w:t>
      </w:r>
      <w:r>
        <w:rPr>
          <w:rFonts w:ascii="Times New Roman" w:hAnsi="Times New Roman" w:cs="Times New Roman"/>
          <w:sz w:val="32"/>
          <w:szCs w:val="32"/>
        </w:rPr>
        <w:t>di Sezione del Consiglio di Stato</w:t>
      </w:r>
    </w:p>
    <w:p w14:paraId="7F35A685" w14:textId="77777777" w:rsidR="00777BFC" w:rsidRDefault="00777BFC" w:rsidP="00777BFC">
      <w:pPr>
        <w:pStyle w:val="Paragrafoelenco"/>
        <w:spacing w:after="0" w:line="240" w:lineRule="auto"/>
        <w:ind w:left="0" w:firstLine="284"/>
        <w:jc w:val="right"/>
        <w:rPr>
          <w:rFonts w:ascii="Times New Roman" w:hAnsi="Times New Roman" w:cs="Times New Roman"/>
          <w:sz w:val="32"/>
          <w:szCs w:val="32"/>
        </w:rPr>
      </w:pPr>
    </w:p>
    <w:p w14:paraId="31437E9D" w14:textId="0BC440E7" w:rsidR="00777BFC" w:rsidRPr="00777BFC" w:rsidRDefault="003869EC" w:rsidP="00777BFC">
      <w:pPr>
        <w:pStyle w:val="Paragrafoelenco"/>
        <w:spacing w:after="0" w:line="240" w:lineRule="auto"/>
        <w:ind w:left="0" w:firstLine="284"/>
        <w:jc w:val="right"/>
        <w:rPr>
          <w:rFonts w:ascii="Times New Roman" w:hAnsi="Times New Roman" w:cs="Times New Roman"/>
          <w:sz w:val="32"/>
          <w:szCs w:val="32"/>
        </w:rPr>
      </w:pPr>
      <w:r>
        <w:rPr>
          <w:rFonts w:ascii="Times New Roman" w:hAnsi="Times New Roman" w:cs="Times New Roman"/>
        </w:rPr>
        <w:t>Pubblicato il 15 aprile 2022</w:t>
      </w:r>
    </w:p>
    <w:sectPr w:rsidR="00777BFC" w:rsidRPr="00777BFC" w:rsidSect="00FB7F59">
      <w:footnotePr>
        <w:numRestart w:val="eachSect"/>
      </w:footnotePr>
      <w:type w:val="continuous"/>
      <w:pgSz w:w="11906" w:h="16838"/>
      <w:pgMar w:top="2722" w:right="2438" w:bottom="3232" w:left="243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DAE80" w14:textId="77777777" w:rsidR="00853F2B" w:rsidRDefault="00853F2B" w:rsidP="008956C2">
      <w:pPr>
        <w:spacing w:after="0" w:line="240" w:lineRule="auto"/>
      </w:pPr>
      <w:r>
        <w:separator/>
      </w:r>
    </w:p>
  </w:endnote>
  <w:endnote w:type="continuationSeparator" w:id="0">
    <w:p w14:paraId="6C7FFFDA" w14:textId="77777777" w:rsidR="00853F2B" w:rsidRDefault="00853F2B" w:rsidP="00895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tempel Garamond Roman">
    <w:altName w:val="Cambria"/>
    <w:charset w:val="4D"/>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596936"/>
      <w:docPartObj>
        <w:docPartGallery w:val="Page Numbers (Bottom of Page)"/>
        <w:docPartUnique/>
      </w:docPartObj>
    </w:sdtPr>
    <w:sdtEndPr>
      <w:rPr>
        <w:sz w:val="16"/>
        <w:szCs w:val="16"/>
      </w:rPr>
    </w:sdtEndPr>
    <w:sdtContent>
      <w:p w14:paraId="6E136194" w14:textId="7C8AA6C5" w:rsidR="00F02D18" w:rsidRPr="00CF6365" w:rsidRDefault="00F02D18" w:rsidP="00CF6365">
        <w:pPr>
          <w:pStyle w:val="Pidipagina"/>
          <w:jc w:val="center"/>
          <w:rPr>
            <w:sz w:val="16"/>
            <w:szCs w:val="16"/>
          </w:rPr>
        </w:pPr>
        <w:r w:rsidRPr="00CF6365">
          <w:rPr>
            <w:sz w:val="16"/>
            <w:szCs w:val="16"/>
          </w:rPr>
          <w:fldChar w:fldCharType="begin"/>
        </w:r>
        <w:r w:rsidRPr="00CF6365">
          <w:rPr>
            <w:sz w:val="16"/>
            <w:szCs w:val="16"/>
          </w:rPr>
          <w:instrText>PAGE   \* MERGEFORMAT</w:instrText>
        </w:r>
        <w:r w:rsidRPr="00CF6365">
          <w:rPr>
            <w:sz w:val="16"/>
            <w:szCs w:val="16"/>
          </w:rPr>
          <w:fldChar w:fldCharType="separate"/>
        </w:r>
        <w:r w:rsidR="003869EC">
          <w:rPr>
            <w:noProof/>
            <w:sz w:val="16"/>
            <w:szCs w:val="16"/>
          </w:rPr>
          <w:t>1</w:t>
        </w:r>
        <w:r w:rsidRPr="00CF6365">
          <w:rPr>
            <w:sz w:val="16"/>
            <w:szCs w:val="16"/>
          </w:rPr>
          <w:fldChar w:fldCharType="end"/>
        </w:r>
      </w:p>
    </w:sdtContent>
  </w:sdt>
  <w:p w14:paraId="78936499" w14:textId="77777777" w:rsidR="00F02D18" w:rsidRDefault="00F02D1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3C9FA" w14:textId="77777777" w:rsidR="00853F2B" w:rsidRDefault="00853F2B" w:rsidP="008956C2">
      <w:pPr>
        <w:spacing w:after="0" w:line="240" w:lineRule="auto"/>
      </w:pPr>
      <w:r>
        <w:separator/>
      </w:r>
    </w:p>
  </w:footnote>
  <w:footnote w:type="continuationSeparator" w:id="0">
    <w:p w14:paraId="72E42E5B" w14:textId="77777777" w:rsidR="00853F2B" w:rsidRDefault="00853F2B" w:rsidP="008956C2">
      <w:pPr>
        <w:spacing w:after="0" w:line="240" w:lineRule="auto"/>
      </w:pPr>
      <w:r>
        <w:continuationSeparator/>
      </w:r>
    </w:p>
  </w:footnote>
  <w:footnote w:id="1">
    <w:p w14:paraId="5D712757" w14:textId="440344C5" w:rsidR="006E7E02" w:rsidRPr="00C46C09" w:rsidRDefault="006E7E02" w:rsidP="006E7E02">
      <w:pPr>
        <w:autoSpaceDE w:val="0"/>
        <w:autoSpaceDN w:val="0"/>
        <w:adjustRightInd w:val="0"/>
        <w:spacing w:after="0" w:line="240" w:lineRule="auto"/>
        <w:jc w:val="both"/>
        <w:rPr>
          <w:rFonts w:ascii="Times New Roman" w:hAnsi="Times New Roman" w:cs="Times New Roman"/>
          <w:b/>
          <w:bCs/>
          <w:i/>
        </w:rPr>
      </w:pPr>
      <w:r>
        <w:rPr>
          <w:rStyle w:val="Rimandonotaapidipagina"/>
        </w:rPr>
        <w:footnoteRef/>
      </w:r>
      <w:r>
        <w:t xml:space="preserve"> </w:t>
      </w:r>
      <w:r w:rsidRPr="006E7E02">
        <w:rPr>
          <w:rFonts w:ascii="Times New Roman" w:hAnsi="Times New Roman" w:cs="Times New Roman"/>
          <w:sz w:val="17"/>
          <w:szCs w:val="17"/>
        </w:rPr>
        <w:t xml:space="preserve">Articolo pubblicato in </w:t>
      </w:r>
      <w:r w:rsidRPr="006E7E02">
        <w:rPr>
          <w:rFonts w:ascii="Times New Roman" w:hAnsi="Times New Roman" w:cs="Times New Roman"/>
          <w:i/>
          <w:iCs/>
          <w:sz w:val="17"/>
          <w:szCs w:val="17"/>
        </w:rPr>
        <w:t>Osservatorio sulle fonti</w:t>
      </w:r>
      <w:r w:rsidRPr="006E7E02">
        <w:rPr>
          <w:rFonts w:ascii="Times New Roman" w:hAnsi="Times New Roman" w:cs="Times New Roman"/>
          <w:sz w:val="17"/>
          <w:szCs w:val="17"/>
        </w:rPr>
        <w:t>, n. 1/2022. Disponibile in: http://www.osservatoriosullefonti.it</w:t>
      </w:r>
    </w:p>
    <w:p w14:paraId="01C71A55" w14:textId="12586D9F" w:rsidR="006E7E02" w:rsidRDefault="006E7E02">
      <w:pPr>
        <w:pStyle w:val="Testonotaapidipagina"/>
      </w:pPr>
    </w:p>
  </w:footnote>
  <w:footnote w:id="2">
    <w:p w14:paraId="6EAC1C12" w14:textId="36699751" w:rsidR="00FB7F59" w:rsidRPr="00FB7F59" w:rsidRDefault="00FB7F59" w:rsidP="00FB7F59">
      <w:pPr>
        <w:pStyle w:val="Testonotaapidipagina"/>
        <w:jc w:val="both"/>
        <w:rPr>
          <w:rFonts w:ascii="Times New Roman" w:hAnsi="Times New Roman" w:cs="Times New Roman"/>
          <w:sz w:val="17"/>
          <w:szCs w:val="17"/>
        </w:rPr>
      </w:pPr>
      <w:r w:rsidRPr="00FB7F59">
        <w:rPr>
          <w:rStyle w:val="Rimandonotaapidipagina"/>
          <w:rFonts w:ascii="Times New Roman" w:hAnsi="Times New Roman" w:cs="Times New Roman"/>
          <w:sz w:val="17"/>
          <w:szCs w:val="17"/>
        </w:rPr>
        <w:footnoteRef/>
      </w:r>
      <w:r>
        <w:rPr>
          <w:rFonts w:ascii="Times New Roman" w:hAnsi="Times New Roman" w:cs="Times New Roman"/>
          <w:sz w:val="17"/>
          <w:szCs w:val="17"/>
        </w:rPr>
        <w:t xml:space="preserve"> </w:t>
      </w:r>
      <w:r w:rsidRPr="00FB7F59">
        <w:rPr>
          <w:rFonts w:ascii="Times New Roman" w:hAnsi="Times New Roman" w:cs="Times New Roman"/>
          <w:sz w:val="17"/>
          <w:szCs w:val="17"/>
        </w:rPr>
        <w:t>Presidente di sezione del Consiglio di Stato e Capo del Dipartimento per gli affari giuridici e legislativi della Presidenza del Consiglio dei ministri</w:t>
      </w:r>
      <w:r w:rsidR="006E7E02">
        <w:rPr>
          <w:rFonts w:ascii="Times New Roman" w:hAnsi="Times New Roman" w:cs="Times New Roman"/>
          <w:sz w:val="17"/>
          <w:szCs w:val="17"/>
        </w:rPr>
        <w:t>.</w:t>
      </w:r>
    </w:p>
  </w:footnote>
  <w:footnote w:id="3">
    <w:p w14:paraId="6B4124DC" w14:textId="29FB3B2D" w:rsidR="00F27C35" w:rsidRPr="00C46C09" w:rsidRDefault="00FB7F59" w:rsidP="006277A5">
      <w:pPr>
        <w:pStyle w:val="Testonotaapidipagina"/>
        <w:ind w:right="-28"/>
        <w:jc w:val="both"/>
        <w:rPr>
          <w:sz w:val="17"/>
          <w:szCs w:val="17"/>
        </w:rPr>
      </w:pPr>
      <w:r>
        <w:rPr>
          <w:rStyle w:val="Rimandonotaapidipagina"/>
        </w:rPr>
        <w:footnoteRef/>
      </w:r>
      <w:r w:rsidR="00F27C35" w:rsidRPr="00C46C09">
        <w:rPr>
          <w:sz w:val="17"/>
          <w:szCs w:val="17"/>
        </w:rPr>
        <w:t xml:space="preserve"> </w:t>
      </w:r>
      <w:r w:rsidR="00F27C35" w:rsidRPr="00C46C09">
        <w:rPr>
          <w:rFonts w:ascii="Times New Roman" w:hAnsi="Times New Roman" w:cs="Times New Roman"/>
          <w:sz w:val="17"/>
          <w:szCs w:val="17"/>
        </w:rPr>
        <w:t xml:space="preserve">Per </w:t>
      </w:r>
      <w:r w:rsidR="0014265B" w:rsidRPr="00C46C09">
        <w:rPr>
          <w:rFonts w:ascii="Times New Roman" w:hAnsi="Times New Roman" w:cs="Times New Roman"/>
          <w:sz w:val="17"/>
          <w:szCs w:val="17"/>
        </w:rPr>
        <w:t>una rassegna</w:t>
      </w:r>
      <w:r w:rsidR="00F27C35" w:rsidRPr="00C46C09">
        <w:rPr>
          <w:rFonts w:ascii="Times New Roman" w:hAnsi="Times New Roman" w:cs="Times New Roman"/>
          <w:sz w:val="17"/>
          <w:szCs w:val="17"/>
        </w:rPr>
        <w:t xml:space="preserve"> complessiva della disciplina della legistica, cfr. </w:t>
      </w:r>
      <w:r w:rsidR="00F27C35" w:rsidRPr="00C46C09">
        <w:rPr>
          <w:rFonts w:ascii="Times New Roman" w:hAnsi="Times New Roman" w:cs="Times New Roman"/>
          <w:smallCaps/>
          <w:sz w:val="17"/>
          <w:szCs w:val="17"/>
        </w:rPr>
        <w:t xml:space="preserve">R. Pagano, </w:t>
      </w:r>
      <w:r w:rsidR="00F27C35" w:rsidRPr="00C46C09">
        <w:rPr>
          <w:rFonts w:ascii="Times New Roman" w:hAnsi="Times New Roman" w:cs="Times New Roman"/>
          <w:i/>
          <w:sz w:val="17"/>
          <w:szCs w:val="17"/>
        </w:rPr>
        <w:t xml:space="preserve">Introduzione alla legistica. L’arte di preparare le leggi, </w:t>
      </w:r>
      <w:r w:rsidR="00F27C35" w:rsidRPr="00C46C09">
        <w:rPr>
          <w:rFonts w:ascii="Times New Roman" w:hAnsi="Times New Roman" w:cs="Times New Roman"/>
          <w:sz w:val="17"/>
          <w:szCs w:val="17"/>
        </w:rPr>
        <w:t>Giuffré, Milano, 2004</w:t>
      </w:r>
      <w:r w:rsidR="00CB4663" w:rsidRPr="00C46C09">
        <w:rPr>
          <w:rFonts w:ascii="Times New Roman" w:hAnsi="Times New Roman" w:cs="Times New Roman"/>
          <w:sz w:val="17"/>
          <w:szCs w:val="17"/>
        </w:rPr>
        <w:t xml:space="preserve"> e</w:t>
      </w:r>
      <w:r w:rsidR="00F27C35" w:rsidRPr="00C46C09">
        <w:rPr>
          <w:rFonts w:ascii="Times New Roman" w:hAnsi="Times New Roman" w:cs="Times New Roman"/>
          <w:sz w:val="17"/>
          <w:szCs w:val="17"/>
        </w:rPr>
        <w:t xml:space="preserve"> </w:t>
      </w:r>
      <w:r w:rsidR="00F27C35" w:rsidRPr="00C46C09">
        <w:rPr>
          <w:rFonts w:ascii="Times New Roman" w:hAnsi="Times New Roman" w:cs="Times New Roman"/>
          <w:smallCaps/>
          <w:sz w:val="17"/>
          <w:szCs w:val="17"/>
        </w:rPr>
        <w:t xml:space="preserve">E. Albanesi, </w:t>
      </w:r>
      <w:r w:rsidR="00F27C35" w:rsidRPr="00C46C09">
        <w:rPr>
          <w:rFonts w:ascii="Times New Roman" w:hAnsi="Times New Roman" w:cs="Times New Roman"/>
          <w:i/>
          <w:iCs/>
          <w:sz w:val="17"/>
          <w:szCs w:val="17"/>
        </w:rPr>
        <w:t>Teoria e tecnica legislativa nel sistema costituzionale</w:t>
      </w:r>
      <w:r w:rsidR="00F27C35" w:rsidRPr="00C46C09">
        <w:rPr>
          <w:rFonts w:ascii="Times New Roman" w:hAnsi="Times New Roman" w:cs="Times New Roman"/>
          <w:sz w:val="17"/>
          <w:szCs w:val="17"/>
        </w:rPr>
        <w:t>, Editoriale Scientifica, Napoli, 2019.</w:t>
      </w:r>
    </w:p>
  </w:footnote>
  <w:footnote w:id="4">
    <w:p w14:paraId="3D2FF319" w14:textId="77777777" w:rsidR="00CB4663" w:rsidRPr="00C46C09" w:rsidRDefault="00CB4663" w:rsidP="006277A5">
      <w:pPr>
        <w:pStyle w:val="Testonotaapidipagina"/>
        <w:ind w:right="-28"/>
        <w:rPr>
          <w:rFonts w:ascii="Times New Roman" w:hAnsi="Times New Roman" w:cs="Times New Roman"/>
          <w:sz w:val="17"/>
          <w:szCs w:val="17"/>
        </w:rPr>
      </w:pPr>
      <w:r w:rsidRPr="00C46C09">
        <w:rPr>
          <w:rStyle w:val="Rimandonotaapidipagina"/>
          <w:rFonts w:ascii="Times New Roman" w:hAnsi="Times New Roman" w:cs="Times New Roman"/>
          <w:sz w:val="17"/>
          <w:szCs w:val="17"/>
        </w:rPr>
        <w:footnoteRef/>
      </w:r>
      <w:r w:rsidRPr="00C46C09">
        <w:rPr>
          <w:rFonts w:ascii="Times New Roman" w:hAnsi="Times New Roman" w:cs="Times New Roman"/>
          <w:sz w:val="17"/>
          <w:szCs w:val="17"/>
        </w:rPr>
        <w:t xml:space="preserve"> Si veda </w:t>
      </w:r>
      <w:r w:rsidRPr="00C46C09">
        <w:rPr>
          <w:rFonts w:ascii="Times New Roman" w:hAnsi="Times New Roman" w:cs="Times New Roman"/>
          <w:smallCaps/>
          <w:sz w:val="17"/>
          <w:szCs w:val="17"/>
        </w:rPr>
        <w:t>G. Pastore</w:t>
      </w:r>
      <w:r w:rsidRPr="00C46C09">
        <w:rPr>
          <w:rFonts w:ascii="Times New Roman" w:hAnsi="Times New Roman" w:cs="Times New Roman"/>
          <w:sz w:val="17"/>
          <w:szCs w:val="17"/>
        </w:rPr>
        <w:t xml:space="preserve">, Il valore delle regole di tecnica legislativa nel discorso del legislatore, </w:t>
      </w:r>
      <w:bookmarkStart w:id="2" w:name="_Hlk97640888"/>
      <w:r w:rsidRPr="00C46C09">
        <w:rPr>
          <w:rFonts w:ascii="Times New Roman" w:hAnsi="Times New Roman" w:cs="Times New Roman"/>
          <w:sz w:val="17"/>
          <w:szCs w:val="17"/>
        </w:rPr>
        <w:t xml:space="preserve">in </w:t>
      </w:r>
      <w:r w:rsidRPr="00C46C09">
        <w:rPr>
          <w:rFonts w:ascii="Times New Roman" w:hAnsi="Times New Roman" w:cs="Times New Roman"/>
          <w:i/>
          <w:sz w:val="17"/>
          <w:szCs w:val="17"/>
        </w:rPr>
        <w:t>Tigor. Rivista di scienze della Comunicazione</w:t>
      </w:r>
      <w:r w:rsidRPr="00C46C09">
        <w:rPr>
          <w:rFonts w:ascii="Times New Roman" w:hAnsi="Times New Roman" w:cs="Times New Roman"/>
          <w:sz w:val="17"/>
          <w:szCs w:val="17"/>
        </w:rPr>
        <w:t>, I, 2009</w:t>
      </w:r>
      <w:bookmarkEnd w:id="2"/>
      <w:r w:rsidR="004E63CD" w:rsidRPr="00C46C09">
        <w:rPr>
          <w:rFonts w:ascii="Times New Roman" w:hAnsi="Times New Roman" w:cs="Times New Roman"/>
          <w:sz w:val="17"/>
          <w:szCs w:val="17"/>
        </w:rPr>
        <w:t>.</w:t>
      </w:r>
    </w:p>
  </w:footnote>
  <w:footnote w:id="5">
    <w:p w14:paraId="738DE490" w14:textId="77777777" w:rsidR="00733ECE" w:rsidRPr="00C46C09" w:rsidRDefault="00733ECE" w:rsidP="006277A5">
      <w:pPr>
        <w:pStyle w:val="Testonotaapidipagina"/>
        <w:ind w:right="-28"/>
        <w:jc w:val="both"/>
        <w:rPr>
          <w:rFonts w:ascii="Times New Roman" w:hAnsi="Times New Roman" w:cs="Times New Roman"/>
          <w:sz w:val="17"/>
          <w:szCs w:val="17"/>
        </w:rPr>
      </w:pPr>
      <w:r w:rsidRPr="00C46C09">
        <w:rPr>
          <w:rStyle w:val="Rimandonotaapidipagina"/>
          <w:rFonts w:ascii="Times New Roman" w:hAnsi="Times New Roman" w:cs="Times New Roman"/>
          <w:sz w:val="17"/>
          <w:szCs w:val="17"/>
        </w:rPr>
        <w:footnoteRef/>
      </w:r>
      <w:r w:rsidRPr="00C46C09">
        <w:rPr>
          <w:rFonts w:ascii="Times New Roman" w:hAnsi="Times New Roman" w:cs="Times New Roman"/>
          <w:sz w:val="17"/>
          <w:szCs w:val="17"/>
        </w:rPr>
        <w:t xml:space="preserve"> </w:t>
      </w:r>
      <w:r w:rsidR="00BA338B" w:rsidRPr="00C46C09">
        <w:rPr>
          <w:rFonts w:ascii="Times New Roman" w:hAnsi="Times New Roman" w:cs="Times New Roman"/>
          <w:sz w:val="17"/>
          <w:szCs w:val="17"/>
        </w:rPr>
        <w:t xml:space="preserve">La disciplina concernente l’analisi di impatto della regolamentazione (AIR), la verifica di impatto della regolamentazione (VIR) e le consultazioni è contenuta nel regolamento di cui al decreto del Presidente del Consiglio dei ministri 15 settembre 2017, n. 169. </w:t>
      </w:r>
    </w:p>
  </w:footnote>
  <w:footnote w:id="6">
    <w:p w14:paraId="25866A64" w14:textId="77777777" w:rsidR="00951FD3" w:rsidRPr="00C46C09" w:rsidRDefault="00951FD3" w:rsidP="006277A5">
      <w:pPr>
        <w:pStyle w:val="Testonotaapidipagina"/>
        <w:ind w:right="-28"/>
        <w:jc w:val="both"/>
        <w:rPr>
          <w:rFonts w:ascii="Times New Roman" w:hAnsi="Times New Roman" w:cs="Times New Roman"/>
          <w:sz w:val="17"/>
          <w:szCs w:val="17"/>
          <w:lang w:val="en-US"/>
        </w:rPr>
      </w:pPr>
      <w:r w:rsidRPr="00C46C09">
        <w:rPr>
          <w:rStyle w:val="Rimandonotaapidipagina"/>
          <w:rFonts w:ascii="Times New Roman" w:hAnsi="Times New Roman" w:cs="Times New Roman"/>
          <w:sz w:val="17"/>
          <w:szCs w:val="17"/>
        </w:rPr>
        <w:footnoteRef/>
      </w:r>
      <w:r w:rsidRPr="00C46C09">
        <w:rPr>
          <w:rFonts w:ascii="Times New Roman" w:hAnsi="Times New Roman" w:cs="Times New Roman"/>
          <w:sz w:val="17"/>
          <w:szCs w:val="17"/>
        </w:rPr>
        <w:t xml:space="preserve"> </w:t>
      </w:r>
      <w:r w:rsidR="00983AE2" w:rsidRPr="00C46C09">
        <w:rPr>
          <w:rFonts w:ascii="Times New Roman" w:hAnsi="Times New Roman" w:cs="Times New Roman"/>
          <w:sz w:val="17"/>
          <w:szCs w:val="17"/>
        </w:rPr>
        <w:t xml:space="preserve">Sul punto si veda </w:t>
      </w:r>
      <w:r w:rsidR="00983AE2" w:rsidRPr="00C46C09">
        <w:rPr>
          <w:rFonts w:ascii="Times New Roman" w:hAnsi="Times New Roman" w:cs="Times New Roman"/>
          <w:smallCaps/>
          <w:sz w:val="17"/>
          <w:szCs w:val="17"/>
        </w:rPr>
        <w:t xml:space="preserve">H. </w:t>
      </w:r>
      <w:bookmarkStart w:id="3" w:name="_Hlk526693073"/>
      <w:r w:rsidR="00983AE2" w:rsidRPr="00C46C09">
        <w:rPr>
          <w:rFonts w:ascii="Times New Roman" w:hAnsi="Times New Roman" w:cs="Times New Roman"/>
          <w:smallCaps/>
          <w:sz w:val="17"/>
          <w:szCs w:val="17"/>
        </w:rPr>
        <w:t>Xanthaki</w:t>
      </w:r>
      <w:r w:rsidR="00983AE2" w:rsidRPr="00C46C09">
        <w:rPr>
          <w:rFonts w:ascii="Times New Roman" w:hAnsi="Times New Roman" w:cs="Times New Roman"/>
          <w:sz w:val="17"/>
          <w:szCs w:val="17"/>
        </w:rPr>
        <w:t xml:space="preserve">, </w:t>
      </w:r>
      <w:r w:rsidR="00983AE2" w:rsidRPr="00C46C09">
        <w:rPr>
          <w:rFonts w:ascii="Times New Roman" w:hAnsi="Times New Roman" w:cs="Times New Roman"/>
          <w:i/>
          <w:sz w:val="17"/>
          <w:szCs w:val="17"/>
        </w:rPr>
        <w:t xml:space="preserve">Drafting Legislation. </w:t>
      </w:r>
      <w:r w:rsidR="00983AE2" w:rsidRPr="00C46C09">
        <w:rPr>
          <w:rFonts w:ascii="Times New Roman" w:hAnsi="Times New Roman" w:cs="Times New Roman"/>
          <w:i/>
          <w:sz w:val="17"/>
          <w:szCs w:val="17"/>
          <w:lang w:val="en-US"/>
        </w:rPr>
        <w:t xml:space="preserve">Art and Technology of Rules for Regulation, </w:t>
      </w:r>
      <w:r w:rsidR="00983AE2" w:rsidRPr="00C46C09">
        <w:rPr>
          <w:rFonts w:ascii="Times New Roman" w:hAnsi="Times New Roman" w:cs="Times New Roman"/>
          <w:sz w:val="17"/>
          <w:szCs w:val="17"/>
          <w:lang w:val="en-US"/>
        </w:rPr>
        <w:t>Oxford and Portland (Oregon), Hart Publishing, 2014</w:t>
      </w:r>
      <w:bookmarkEnd w:id="3"/>
      <w:r w:rsidR="00983AE2" w:rsidRPr="00C46C09">
        <w:rPr>
          <w:rFonts w:ascii="Times New Roman" w:hAnsi="Times New Roman" w:cs="Times New Roman"/>
          <w:sz w:val="17"/>
          <w:szCs w:val="17"/>
          <w:lang w:val="en-US"/>
        </w:rPr>
        <w:t>, 10 ss.</w:t>
      </w:r>
    </w:p>
  </w:footnote>
  <w:footnote w:id="7">
    <w:p w14:paraId="30AC3E65" w14:textId="77777777" w:rsidR="004D4FFA" w:rsidRPr="00C46C09" w:rsidRDefault="004D4FFA" w:rsidP="006277A5">
      <w:pPr>
        <w:pStyle w:val="Testonotaapidipagina"/>
        <w:ind w:right="-28"/>
        <w:jc w:val="both"/>
        <w:rPr>
          <w:rFonts w:ascii="Times New Roman" w:hAnsi="Times New Roman" w:cs="Times New Roman"/>
          <w:i/>
          <w:sz w:val="17"/>
          <w:szCs w:val="17"/>
        </w:rPr>
      </w:pPr>
      <w:r w:rsidRPr="00C46C09">
        <w:rPr>
          <w:rStyle w:val="Rimandonotaapidipagina"/>
          <w:rFonts w:ascii="Times New Roman" w:hAnsi="Times New Roman" w:cs="Times New Roman"/>
          <w:sz w:val="17"/>
          <w:szCs w:val="17"/>
        </w:rPr>
        <w:footnoteRef/>
      </w:r>
      <w:r w:rsidR="00CD3558" w:rsidRPr="00C46C09">
        <w:rPr>
          <w:rFonts w:ascii="Times New Roman" w:hAnsi="Times New Roman" w:cs="Times New Roman"/>
          <w:sz w:val="17"/>
          <w:szCs w:val="17"/>
        </w:rPr>
        <w:t xml:space="preserve"> Decreto del Presidente del Consiglio dei ministri 15 settembre 2017, n. 169, “</w:t>
      </w:r>
      <w:r w:rsidR="00CD3558" w:rsidRPr="00C46C09">
        <w:rPr>
          <w:rFonts w:ascii="Times New Roman" w:hAnsi="Times New Roman" w:cs="Times New Roman"/>
          <w:i/>
          <w:sz w:val="17"/>
          <w:szCs w:val="17"/>
        </w:rPr>
        <w:t>Regolamento recante disciplina sull’analisi di</w:t>
      </w:r>
      <w:r w:rsidR="00156FF1" w:rsidRPr="00C46C09">
        <w:rPr>
          <w:rFonts w:ascii="Times New Roman" w:hAnsi="Times New Roman" w:cs="Times New Roman"/>
          <w:i/>
          <w:sz w:val="17"/>
          <w:szCs w:val="17"/>
        </w:rPr>
        <w:t xml:space="preserve"> </w:t>
      </w:r>
      <w:r w:rsidR="00CD3558" w:rsidRPr="00C46C09">
        <w:rPr>
          <w:rFonts w:ascii="Times New Roman" w:hAnsi="Times New Roman" w:cs="Times New Roman"/>
          <w:i/>
          <w:sz w:val="17"/>
          <w:szCs w:val="17"/>
        </w:rPr>
        <w:t>impatto della regolamentazione, la verifica dell’impatto della regolamentazione e la consultazione</w:t>
      </w:r>
      <w:r w:rsidR="00CD3558" w:rsidRPr="00C46C09">
        <w:rPr>
          <w:rFonts w:ascii="Times New Roman" w:hAnsi="Times New Roman" w:cs="Times New Roman"/>
          <w:sz w:val="17"/>
          <w:szCs w:val="17"/>
        </w:rPr>
        <w:t>”.</w:t>
      </w:r>
    </w:p>
  </w:footnote>
  <w:footnote w:id="8">
    <w:p w14:paraId="1B2408CE" w14:textId="7EBEAA92" w:rsidR="00A805C7" w:rsidRPr="00A805C7" w:rsidRDefault="00A805C7" w:rsidP="00A805C7">
      <w:pPr>
        <w:pStyle w:val="Testonotaapidipagina"/>
        <w:ind w:right="-28"/>
        <w:jc w:val="both"/>
        <w:rPr>
          <w:rFonts w:ascii="Times New Roman" w:hAnsi="Times New Roman" w:cs="Times New Roman"/>
          <w:sz w:val="17"/>
          <w:szCs w:val="17"/>
        </w:rPr>
      </w:pPr>
      <w:r>
        <w:rPr>
          <w:rStyle w:val="Rimandonotaapidipagina"/>
        </w:rPr>
        <w:footnoteRef/>
      </w:r>
      <w:r>
        <w:t xml:space="preserve"> </w:t>
      </w:r>
      <w:r w:rsidRPr="00C46C09">
        <w:rPr>
          <w:rFonts w:ascii="Times New Roman" w:hAnsi="Times New Roman" w:cs="Times New Roman"/>
          <w:sz w:val="17"/>
          <w:szCs w:val="17"/>
        </w:rPr>
        <w:t xml:space="preserve">Si tratta delle </w:t>
      </w:r>
      <w:r w:rsidRPr="00C46C09">
        <w:rPr>
          <w:rFonts w:ascii="Times New Roman" w:eastAsia="Stempel Garamond Roman" w:hAnsi="Times New Roman" w:cs="Times New Roman"/>
          <w:iCs/>
          <w:sz w:val="17"/>
          <w:szCs w:val="17"/>
        </w:rPr>
        <w:t xml:space="preserve">Circolari, di identico contenuto, del Presidente del Senato, del Presidente della Camera e del Presidente del Consiglio dei ministri, del 20 aprile 2001, sulle </w:t>
      </w:r>
      <w:r w:rsidRPr="00C46C09">
        <w:rPr>
          <w:rFonts w:ascii="Times New Roman" w:eastAsia="Stempel Garamond Roman" w:hAnsi="Times New Roman" w:cs="Times New Roman"/>
          <w:i/>
          <w:iCs/>
          <w:sz w:val="17"/>
          <w:szCs w:val="17"/>
        </w:rPr>
        <w:t>Regole e raccomandazioni per la formulazione tecnica dei testi legislativi</w:t>
      </w:r>
      <w:r w:rsidRPr="00C46C09">
        <w:rPr>
          <w:rFonts w:ascii="Times New Roman" w:eastAsia="Stempel Garamond Roman" w:hAnsi="Times New Roman" w:cs="Times New Roman"/>
          <w:iCs/>
          <w:sz w:val="17"/>
          <w:szCs w:val="17"/>
        </w:rPr>
        <w:t xml:space="preserve">; nonché della Circolare della Presidenza del Consiglio dei ministri del 2 maggio 2001, n. 1/1.1.26/10888/9.92, recante la </w:t>
      </w:r>
      <w:r w:rsidRPr="00C46C09">
        <w:rPr>
          <w:rFonts w:ascii="Times New Roman" w:eastAsia="Stempel Garamond Roman" w:hAnsi="Times New Roman" w:cs="Times New Roman"/>
          <w:i/>
          <w:sz w:val="17"/>
          <w:szCs w:val="17"/>
        </w:rPr>
        <w:t>Guida alla redazione dei testi normativi</w:t>
      </w:r>
      <w:r w:rsidRPr="00C46C09">
        <w:rPr>
          <w:rFonts w:ascii="Times New Roman" w:eastAsia="Stempel Garamond Roman" w:hAnsi="Times New Roman" w:cs="Times New Roman"/>
          <w:iCs/>
          <w:sz w:val="17"/>
          <w:szCs w:val="17"/>
        </w:rPr>
        <w:t>, pubblicata in G.U., supp. ord., n. 101, del 3 maggio 2001, elaborata dal Dipartimento per gli affari giuridici e legislativi in esecuzione della predetta Circolare 20 aprile 2001, n. 1.1.26/10888/9.92 del Presidente del Consiglio dei ministri, pubblicata in G.U. n. 97 del 27 aprile 2001.</w:t>
      </w:r>
    </w:p>
  </w:footnote>
  <w:footnote w:id="9">
    <w:p w14:paraId="3AB43B40" w14:textId="77777777" w:rsidR="00C84A7F" w:rsidRPr="00A805C7" w:rsidRDefault="00C84A7F" w:rsidP="006277A5">
      <w:pPr>
        <w:pStyle w:val="Testonotaapidipagina"/>
        <w:ind w:right="-28"/>
        <w:jc w:val="both"/>
        <w:rPr>
          <w:rFonts w:ascii="Times New Roman" w:hAnsi="Times New Roman" w:cs="Times New Roman"/>
          <w:sz w:val="17"/>
          <w:szCs w:val="17"/>
        </w:rPr>
      </w:pPr>
      <w:r w:rsidRPr="00A805C7">
        <w:rPr>
          <w:rStyle w:val="Rimandonotaapidipagina"/>
          <w:rFonts w:ascii="Times New Roman" w:hAnsi="Times New Roman" w:cs="Times New Roman"/>
          <w:sz w:val="17"/>
          <w:szCs w:val="17"/>
        </w:rPr>
        <w:footnoteRef/>
      </w:r>
      <w:r w:rsidRPr="00A805C7">
        <w:rPr>
          <w:rFonts w:ascii="Times New Roman" w:hAnsi="Times New Roman" w:cs="Times New Roman"/>
          <w:sz w:val="17"/>
          <w:szCs w:val="17"/>
        </w:rPr>
        <w:t xml:space="preserve"> Direttiva</w:t>
      </w:r>
      <w:r w:rsidR="00BA5E3E" w:rsidRPr="00A805C7">
        <w:rPr>
          <w:rFonts w:ascii="Times New Roman" w:hAnsi="Times New Roman" w:cs="Times New Roman"/>
          <w:sz w:val="17"/>
          <w:szCs w:val="17"/>
        </w:rPr>
        <w:t xml:space="preserve"> 26 febbraio 2009, recante </w:t>
      </w:r>
      <w:r w:rsidR="00BA5E3E" w:rsidRPr="00A805C7">
        <w:rPr>
          <w:rFonts w:ascii="Times New Roman" w:hAnsi="Times New Roman" w:cs="Times New Roman"/>
          <w:i/>
          <w:iCs/>
          <w:sz w:val="17"/>
          <w:szCs w:val="17"/>
        </w:rPr>
        <w:t>Istruttoria degli atti normativi del Governo</w:t>
      </w:r>
      <w:r w:rsidR="00BA5E3E" w:rsidRPr="00A805C7">
        <w:rPr>
          <w:rFonts w:ascii="Times New Roman" w:hAnsi="Times New Roman" w:cs="Times New Roman"/>
          <w:sz w:val="17"/>
          <w:szCs w:val="17"/>
        </w:rPr>
        <w:t>, pubblicata in G.U., suppl. ord., n. 82 dell’8 aprile 2009.</w:t>
      </w:r>
    </w:p>
  </w:footnote>
  <w:footnote w:id="10">
    <w:p w14:paraId="2F51C6B1" w14:textId="77777777" w:rsidR="000401C4" w:rsidRPr="00A805C7" w:rsidRDefault="000401C4" w:rsidP="006277A5">
      <w:pPr>
        <w:pStyle w:val="Testonotaapidipagina"/>
        <w:ind w:right="-28"/>
        <w:jc w:val="both"/>
        <w:rPr>
          <w:rFonts w:ascii="Times New Roman" w:hAnsi="Times New Roman" w:cs="Times New Roman"/>
          <w:sz w:val="17"/>
          <w:szCs w:val="17"/>
        </w:rPr>
      </w:pPr>
      <w:r w:rsidRPr="00A805C7">
        <w:rPr>
          <w:rStyle w:val="Rimandonotaapidipagina"/>
          <w:rFonts w:ascii="Times New Roman" w:hAnsi="Times New Roman" w:cs="Times New Roman"/>
          <w:sz w:val="17"/>
          <w:szCs w:val="17"/>
        </w:rPr>
        <w:footnoteRef/>
      </w:r>
      <w:r w:rsidRPr="00A805C7">
        <w:rPr>
          <w:rFonts w:ascii="Times New Roman" w:hAnsi="Times New Roman" w:cs="Times New Roman"/>
          <w:sz w:val="17"/>
          <w:szCs w:val="17"/>
        </w:rPr>
        <w:t xml:space="preserve"> </w:t>
      </w:r>
      <w:r w:rsidR="00BA5E3E" w:rsidRPr="00A805C7">
        <w:rPr>
          <w:rFonts w:ascii="Times New Roman" w:hAnsi="Times New Roman" w:cs="Times New Roman"/>
          <w:sz w:val="17"/>
          <w:szCs w:val="17"/>
        </w:rPr>
        <w:t>Si veda la nota 6.</w:t>
      </w:r>
    </w:p>
  </w:footnote>
  <w:footnote w:id="11">
    <w:p w14:paraId="6F402FDE" w14:textId="77777777" w:rsidR="00B509A3" w:rsidRPr="00C46C09" w:rsidRDefault="00B509A3" w:rsidP="006277A5">
      <w:pPr>
        <w:pStyle w:val="Testonotaapidipagina"/>
        <w:ind w:right="-28"/>
        <w:jc w:val="both"/>
        <w:rPr>
          <w:rFonts w:ascii="Times New Roman" w:hAnsi="Times New Roman" w:cs="Times New Roman"/>
          <w:sz w:val="17"/>
          <w:szCs w:val="17"/>
        </w:rPr>
      </w:pPr>
      <w:r w:rsidRPr="00C46C09">
        <w:rPr>
          <w:rStyle w:val="Rimandonotaapidipagina"/>
          <w:rFonts w:ascii="Times New Roman" w:hAnsi="Times New Roman" w:cs="Times New Roman"/>
          <w:sz w:val="17"/>
          <w:szCs w:val="17"/>
        </w:rPr>
        <w:footnoteRef/>
      </w:r>
      <w:r w:rsidRPr="00C46C09">
        <w:rPr>
          <w:rFonts w:ascii="Times New Roman" w:hAnsi="Times New Roman" w:cs="Times New Roman"/>
          <w:sz w:val="17"/>
          <w:szCs w:val="17"/>
        </w:rPr>
        <w:t xml:space="preserve"> </w:t>
      </w:r>
      <w:r w:rsidR="000746D6" w:rsidRPr="00C46C09">
        <w:rPr>
          <w:rFonts w:ascii="Times New Roman" w:hAnsi="Times New Roman" w:cs="Times New Roman"/>
          <w:sz w:val="17"/>
          <w:szCs w:val="17"/>
        </w:rPr>
        <w:t>In particolare, la raccomandazione del Consiglio sul miglioramento della qualità della regolamentazione governativa</w:t>
      </w:r>
      <w:r w:rsidR="004349A3" w:rsidRPr="00C46C09">
        <w:rPr>
          <w:rFonts w:ascii="Times New Roman" w:hAnsi="Times New Roman" w:cs="Times New Roman"/>
          <w:sz w:val="17"/>
          <w:szCs w:val="17"/>
        </w:rPr>
        <w:t xml:space="preserve"> (1995);</w:t>
      </w:r>
      <w:r w:rsidR="000746D6" w:rsidRPr="00C46C09">
        <w:rPr>
          <w:rFonts w:ascii="Times New Roman" w:hAnsi="Times New Roman" w:cs="Times New Roman"/>
          <w:sz w:val="17"/>
          <w:szCs w:val="17"/>
        </w:rPr>
        <w:t xml:space="preserve"> </w:t>
      </w:r>
      <w:r w:rsidR="004349A3" w:rsidRPr="00C46C09">
        <w:rPr>
          <w:rFonts w:ascii="Times New Roman" w:hAnsi="Times New Roman" w:cs="Times New Roman"/>
          <w:i/>
          <w:sz w:val="17"/>
          <w:szCs w:val="17"/>
        </w:rPr>
        <w:t xml:space="preserve">APEC-OECD Integrated Checklist on Regulatory Reform </w:t>
      </w:r>
      <w:r w:rsidR="004349A3" w:rsidRPr="00C46C09">
        <w:rPr>
          <w:rFonts w:ascii="Times New Roman" w:hAnsi="Times New Roman" w:cs="Times New Roman"/>
          <w:sz w:val="17"/>
          <w:szCs w:val="17"/>
        </w:rPr>
        <w:t>(2005);</w:t>
      </w:r>
      <w:r w:rsidR="00313655" w:rsidRPr="00C46C09">
        <w:rPr>
          <w:sz w:val="17"/>
          <w:szCs w:val="17"/>
        </w:rPr>
        <w:t xml:space="preserve"> </w:t>
      </w:r>
      <w:r w:rsidR="00313655" w:rsidRPr="00C46C09">
        <w:rPr>
          <w:rFonts w:ascii="Times New Roman" w:hAnsi="Times New Roman" w:cs="Times New Roman"/>
          <w:i/>
          <w:sz w:val="17"/>
          <w:szCs w:val="17"/>
        </w:rPr>
        <w:t>OECD Guiding Principles for Regulatory Quality and Performance</w:t>
      </w:r>
      <w:r w:rsidR="00313655" w:rsidRPr="00C46C09">
        <w:rPr>
          <w:rFonts w:ascii="Times New Roman" w:hAnsi="Times New Roman" w:cs="Times New Roman"/>
          <w:sz w:val="17"/>
          <w:szCs w:val="17"/>
        </w:rPr>
        <w:t xml:space="preserve"> (2005);</w:t>
      </w:r>
      <w:r w:rsidR="004349A3" w:rsidRPr="00C46C09">
        <w:rPr>
          <w:rFonts w:ascii="Times New Roman" w:hAnsi="Times New Roman" w:cs="Times New Roman"/>
          <w:i/>
          <w:sz w:val="17"/>
          <w:szCs w:val="17"/>
        </w:rPr>
        <w:t xml:space="preserve"> </w:t>
      </w:r>
      <w:r w:rsidR="000746D6" w:rsidRPr="00C46C09">
        <w:rPr>
          <w:rFonts w:ascii="Times New Roman" w:hAnsi="Times New Roman" w:cs="Times New Roman"/>
          <w:sz w:val="17"/>
          <w:szCs w:val="17"/>
        </w:rPr>
        <w:t xml:space="preserve">la raccomandazione del Consiglio sulla politica e la </w:t>
      </w:r>
      <w:r w:rsidR="000746D6" w:rsidRPr="00C46C09">
        <w:rPr>
          <w:rFonts w:ascii="Times New Roman" w:hAnsi="Times New Roman" w:cs="Times New Roman"/>
          <w:i/>
          <w:sz w:val="17"/>
          <w:szCs w:val="17"/>
        </w:rPr>
        <w:t>governance</w:t>
      </w:r>
      <w:r w:rsidR="004349A3" w:rsidRPr="00C46C09">
        <w:rPr>
          <w:rFonts w:ascii="Times New Roman" w:hAnsi="Times New Roman" w:cs="Times New Roman"/>
          <w:sz w:val="17"/>
          <w:szCs w:val="17"/>
        </w:rPr>
        <w:t xml:space="preserve"> della regolazione (2012); il </w:t>
      </w:r>
      <w:r w:rsidR="004349A3" w:rsidRPr="00C46C09">
        <w:rPr>
          <w:rFonts w:ascii="Times New Roman" w:hAnsi="Times New Roman" w:cs="Times New Roman"/>
          <w:i/>
          <w:sz w:val="17"/>
          <w:szCs w:val="17"/>
        </w:rPr>
        <w:t xml:space="preserve">Regulatory Policy Outlook </w:t>
      </w:r>
      <w:r w:rsidR="004349A3" w:rsidRPr="00C46C09">
        <w:rPr>
          <w:rFonts w:ascii="Times New Roman" w:hAnsi="Times New Roman" w:cs="Times New Roman"/>
          <w:sz w:val="17"/>
          <w:szCs w:val="17"/>
        </w:rPr>
        <w:t xml:space="preserve">(2015); </w:t>
      </w:r>
      <w:r w:rsidR="00313655" w:rsidRPr="00C46C09">
        <w:rPr>
          <w:rFonts w:ascii="Times New Roman" w:hAnsi="Times New Roman" w:cs="Times New Roman"/>
          <w:sz w:val="17"/>
          <w:szCs w:val="17"/>
        </w:rPr>
        <w:t xml:space="preserve">la raccomandazione del Consiglio per una </w:t>
      </w:r>
      <w:r w:rsidR="00313655" w:rsidRPr="00C46C09">
        <w:rPr>
          <w:rFonts w:ascii="Times New Roman" w:hAnsi="Times New Roman" w:cs="Times New Roman"/>
          <w:i/>
          <w:sz w:val="17"/>
          <w:szCs w:val="17"/>
        </w:rPr>
        <w:t xml:space="preserve">governance </w:t>
      </w:r>
      <w:r w:rsidR="00313655" w:rsidRPr="00C46C09">
        <w:rPr>
          <w:rFonts w:ascii="Times New Roman" w:hAnsi="Times New Roman" w:cs="Times New Roman"/>
          <w:sz w:val="17"/>
          <w:szCs w:val="17"/>
        </w:rPr>
        <w:t>normativa agile per guidare l’innovazione (2021).</w:t>
      </w:r>
    </w:p>
  </w:footnote>
  <w:footnote w:id="12">
    <w:p w14:paraId="0C794100" w14:textId="77777777" w:rsidR="00B509A3" w:rsidRPr="00C46C09" w:rsidRDefault="00B509A3" w:rsidP="006277A5">
      <w:pPr>
        <w:pStyle w:val="Testonotaapidipagina"/>
        <w:ind w:right="-28"/>
        <w:jc w:val="both"/>
        <w:rPr>
          <w:rFonts w:ascii="Times New Roman" w:hAnsi="Times New Roman" w:cs="Times New Roman"/>
          <w:sz w:val="17"/>
          <w:szCs w:val="17"/>
        </w:rPr>
      </w:pPr>
      <w:r w:rsidRPr="00C46C09">
        <w:rPr>
          <w:rStyle w:val="Rimandonotaapidipagina"/>
          <w:rFonts w:ascii="Times New Roman" w:hAnsi="Times New Roman" w:cs="Times New Roman"/>
          <w:sz w:val="17"/>
          <w:szCs w:val="17"/>
        </w:rPr>
        <w:footnoteRef/>
      </w:r>
      <w:r w:rsidRPr="00C46C09">
        <w:rPr>
          <w:rFonts w:ascii="Times New Roman" w:hAnsi="Times New Roman" w:cs="Times New Roman"/>
          <w:sz w:val="17"/>
          <w:szCs w:val="17"/>
        </w:rPr>
        <w:t xml:space="preserve"> Si fa riferimento alla terza edizione del Manuale concernente “Regole e suggerimenti per la redazione dei testi normativi”, approvato dalla Conferenza dei Presidenti delle Assemblee delle regioni e delle province autonome nel dicembre 2007.</w:t>
      </w:r>
    </w:p>
  </w:footnote>
  <w:footnote w:id="13">
    <w:p w14:paraId="22BF5F77" w14:textId="77777777" w:rsidR="00B509A3" w:rsidRPr="00C46C09" w:rsidRDefault="00B509A3" w:rsidP="006277A5">
      <w:pPr>
        <w:pStyle w:val="Testonotaapidipagina"/>
        <w:ind w:right="-28"/>
        <w:jc w:val="both"/>
        <w:rPr>
          <w:rFonts w:ascii="Times New Roman" w:hAnsi="Times New Roman" w:cs="Times New Roman"/>
          <w:sz w:val="17"/>
          <w:szCs w:val="17"/>
        </w:rPr>
      </w:pPr>
      <w:r w:rsidRPr="00C46C09">
        <w:rPr>
          <w:rStyle w:val="Rimandonotaapidipagina"/>
          <w:rFonts w:ascii="Times New Roman" w:hAnsi="Times New Roman" w:cs="Times New Roman"/>
          <w:sz w:val="17"/>
          <w:szCs w:val="17"/>
        </w:rPr>
        <w:footnoteRef/>
      </w:r>
      <w:r w:rsidRPr="00C46C09">
        <w:rPr>
          <w:rFonts w:ascii="Times New Roman" w:hAnsi="Times New Roman" w:cs="Times New Roman"/>
          <w:sz w:val="17"/>
          <w:szCs w:val="17"/>
        </w:rPr>
        <w:t xml:space="preserve"> Commissione europea, Servizio giuridico, </w:t>
      </w:r>
      <w:r w:rsidRPr="00C46C09">
        <w:rPr>
          <w:rFonts w:ascii="Times New Roman" w:hAnsi="Times New Roman" w:cs="Times New Roman"/>
          <w:i/>
          <w:sz w:val="17"/>
          <w:szCs w:val="17"/>
        </w:rPr>
        <w:t>Guida pratica comune del Parlamento europeo, del Consiglio e della Commissione per la redazione dei testi legislativi dell'Unione europea</w:t>
      </w:r>
      <w:r w:rsidRPr="00C46C09">
        <w:rPr>
          <w:rFonts w:ascii="Times New Roman" w:hAnsi="Times New Roman" w:cs="Times New Roman"/>
          <w:sz w:val="17"/>
          <w:szCs w:val="17"/>
        </w:rPr>
        <w:t>, Ufficio delle pubblicazioni, 2016.</w:t>
      </w:r>
    </w:p>
  </w:footnote>
  <w:footnote w:id="14">
    <w:p w14:paraId="22BE1021" w14:textId="77777777" w:rsidR="00B509A3" w:rsidRPr="00C46C09" w:rsidRDefault="00B509A3" w:rsidP="006277A5">
      <w:pPr>
        <w:pStyle w:val="Testonotaapidipagina"/>
        <w:ind w:right="-28"/>
        <w:jc w:val="both"/>
        <w:rPr>
          <w:rFonts w:ascii="Times New Roman" w:hAnsi="Times New Roman" w:cs="Times New Roman"/>
          <w:sz w:val="17"/>
          <w:szCs w:val="17"/>
        </w:rPr>
      </w:pPr>
      <w:r w:rsidRPr="00C46C09">
        <w:rPr>
          <w:rStyle w:val="Rimandonotaapidipagina"/>
          <w:rFonts w:ascii="Times New Roman" w:hAnsi="Times New Roman" w:cs="Times New Roman"/>
          <w:sz w:val="17"/>
          <w:szCs w:val="17"/>
        </w:rPr>
        <w:footnoteRef/>
      </w:r>
      <w:r w:rsidR="006263E7" w:rsidRPr="00C46C09">
        <w:rPr>
          <w:rFonts w:ascii="Times New Roman" w:hAnsi="Times New Roman" w:cs="Times New Roman"/>
          <w:sz w:val="17"/>
          <w:szCs w:val="17"/>
        </w:rPr>
        <w:t xml:space="preserve"> </w:t>
      </w:r>
      <w:r w:rsidR="00812B44" w:rsidRPr="00C46C09">
        <w:rPr>
          <w:rFonts w:ascii="Times New Roman" w:hAnsi="Times New Roman" w:cs="Times New Roman"/>
          <w:sz w:val="17"/>
          <w:szCs w:val="17"/>
        </w:rPr>
        <w:t>In proposito, oltre ai pareri resi dal Comitato per la legislazione nell’esercizio della propria attività consultiva</w:t>
      </w:r>
      <w:r w:rsidR="009406BC" w:rsidRPr="00C46C09">
        <w:rPr>
          <w:rFonts w:ascii="Times New Roman" w:hAnsi="Times New Roman" w:cs="Times New Roman"/>
          <w:sz w:val="17"/>
          <w:szCs w:val="17"/>
        </w:rPr>
        <w:t xml:space="preserve"> presso la Camera dei deputati</w:t>
      </w:r>
      <w:r w:rsidR="00812B44" w:rsidRPr="00C46C09">
        <w:rPr>
          <w:rFonts w:ascii="Times New Roman" w:hAnsi="Times New Roman" w:cs="Times New Roman"/>
          <w:sz w:val="17"/>
          <w:szCs w:val="17"/>
        </w:rPr>
        <w:t xml:space="preserve">, è utile fare rinvio ai </w:t>
      </w:r>
      <w:r w:rsidR="009406BC" w:rsidRPr="00C46C09">
        <w:rPr>
          <w:rFonts w:ascii="Times New Roman" w:hAnsi="Times New Roman" w:cs="Times New Roman"/>
          <w:sz w:val="17"/>
          <w:szCs w:val="17"/>
        </w:rPr>
        <w:t>“Rapporti sull’attività del Comitato per la legislazione”, redatti al termine di ciascun turno di Presidenza del Comitato, i quali generalmente riportano in Appendice i pareri resi dal Comitato nel turno di Presidenza</w:t>
      </w:r>
      <w:r w:rsidR="00AD2B4E" w:rsidRPr="00C46C09">
        <w:rPr>
          <w:rFonts w:ascii="Times New Roman" w:hAnsi="Times New Roman" w:cs="Times New Roman"/>
          <w:sz w:val="17"/>
          <w:szCs w:val="17"/>
        </w:rPr>
        <w:t xml:space="preserve"> ovvero</w:t>
      </w:r>
      <w:r w:rsidR="009406BC" w:rsidRPr="00C46C09">
        <w:rPr>
          <w:rFonts w:ascii="Times New Roman" w:hAnsi="Times New Roman" w:cs="Times New Roman"/>
          <w:sz w:val="17"/>
          <w:szCs w:val="17"/>
        </w:rPr>
        <w:t xml:space="preserve"> delle schede analitiche che offrono una lettura circostanziata dei pareri espressi.</w:t>
      </w:r>
    </w:p>
  </w:footnote>
  <w:footnote w:id="15">
    <w:p w14:paraId="707D88CB" w14:textId="538051CE" w:rsidR="00C84A7F" w:rsidRPr="00A805C7" w:rsidRDefault="00C84A7F" w:rsidP="006277A5">
      <w:pPr>
        <w:pStyle w:val="Testonotaapidipagina"/>
        <w:ind w:right="-28"/>
        <w:jc w:val="both"/>
        <w:rPr>
          <w:rFonts w:ascii="Times New Roman" w:hAnsi="Times New Roman" w:cs="Times New Roman"/>
          <w:sz w:val="17"/>
          <w:szCs w:val="17"/>
        </w:rPr>
      </w:pPr>
      <w:r w:rsidRPr="00C46C09">
        <w:rPr>
          <w:rStyle w:val="Rimandonotaapidipagina"/>
          <w:rFonts w:ascii="Times New Roman" w:hAnsi="Times New Roman" w:cs="Times New Roman"/>
          <w:sz w:val="17"/>
          <w:szCs w:val="17"/>
        </w:rPr>
        <w:footnoteRef/>
      </w:r>
      <w:r w:rsidRPr="00C46C09">
        <w:rPr>
          <w:rFonts w:ascii="Times New Roman" w:hAnsi="Times New Roman" w:cs="Times New Roman"/>
          <w:sz w:val="17"/>
          <w:szCs w:val="17"/>
        </w:rPr>
        <w:t xml:space="preserve"> </w:t>
      </w:r>
      <w:r w:rsidR="00BA5E3E" w:rsidRPr="00A805C7">
        <w:rPr>
          <w:rFonts w:ascii="Times New Roman" w:hAnsi="Times New Roman" w:cs="Times New Roman"/>
          <w:sz w:val="17"/>
          <w:szCs w:val="17"/>
        </w:rPr>
        <w:t>Sull’</w:t>
      </w:r>
      <w:r w:rsidRPr="00A805C7">
        <w:rPr>
          <w:rFonts w:ascii="Times New Roman" w:hAnsi="Times New Roman" w:cs="Times New Roman"/>
          <w:sz w:val="17"/>
          <w:szCs w:val="17"/>
        </w:rPr>
        <w:t xml:space="preserve">omogeneità </w:t>
      </w:r>
      <w:r w:rsidR="00A805C7" w:rsidRPr="00A805C7">
        <w:rPr>
          <w:rFonts w:ascii="Times New Roman" w:hAnsi="Times New Roman" w:cs="Times New Roman"/>
          <w:sz w:val="17"/>
          <w:szCs w:val="17"/>
        </w:rPr>
        <w:t xml:space="preserve">dei </w:t>
      </w:r>
      <w:r w:rsidRPr="00A805C7">
        <w:rPr>
          <w:rFonts w:ascii="Times New Roman" w:hAnsi="Times New Roman" w:cs="Times New Roman"/>
          <w:sz w:val="17"/>
          <w:szCs w:val="17"/>
        </w:rPr>
        <w:t>decreti</w:t>
      </w:r>
      <w:r w:rsidR="00BA5E3E" w:rsidRPr="00A805C7">
        <w:rPr>
          <w:rFonts w:ascii="Times New Roman" w:hAnsi="Times New Roman" w:cs="Times New Roman"/>
          <w:sz w:val="17"/>
          <w:szCs w:val="17"/>
        </w:rPr>
        <w:t>-</w:t>
      </w:r>
      <w:r w:rsidRPr="00A805C7">
        <w:rPr>
          <w:rFonts w:ascii="Times New Roman" w:hAnsi="Times New Roman" w:cs="Times New Roman"/>
          <w:sz w:val="17"/>
          <w:szCs w:val="17"/>
        </w:rPr>
        <w:t xml:space="preserve">legge </w:t>
      </w:r>
      <w:r w:rsidR="00BA5E3E" w:rsidRPr="00A805C7">
        <w:rPr>
          <w:rFonts w:ascii="Times New Roman" w:hAnsi="Times New Roman" w:cs="Times New Roman"/>
          <w:sz w:val="17"/>
          <w:szCs w:val="17"/>
        </w:rPr>
        <w:t xml:space="preserve">si ricordano, </w:t>
      </w:r>
      <w:r w:rsidR="00BA5E3E" w:rsidRPr="00A805C7">
        <w:rPr>
          <w:rFonts w:ascii="Times New Roman" w:hAnsi="Times New Roman" w:cs="Times New Roman"/>
          <w:i/>
          <w:sz w:val="17"/>
          <w:szCs w:val="17"/>
        </w:rPr>
        <w:t>ex multis</w:t>
      </w:r>
      <w:r w:rsidR="00BA5E3E" w:rsidRPr="00A805C7">
        <w:rPr>
          <w:rFonts w:ascii="Times New Roman" w:hAnsi="Times New Roman" w:cs="Times New Roman"/>
          <w:sz w:val="17"/>
          <w:szCs w:val="17"/>
        </w:rPr>
        <w:t xml:space="preserve">, le sentenze nn. 115 del 2020, 247 del 2019, 169 del 2017, 251 e 32 del 2014, 22 del 2012 </w:t>
      </w:r>
      <w:r w:rsidRPr="00A805C7">
        <w:rPr>
          <w:rFonts w:ascii="Times New Roman" w:hAnsi="Times New Roman" w:cs="Times New Roman"/>
          <w:sz w:val="17"/>
          <w:szCs w:val="17"/>
        </w:rPr>
        <w:t>e</w:t>
      </w:r>
      <w:r w:rsidR="00BA5E3E" w:rsidRPr="00A805C7">
        <w:rPr>
          <w:rFonts w:ascii="Times New Roman" w:hAnsi="Times New Roman" w:cs="Times New Roman"/>
          <w:sz w:val="17"/>
          <w:szCs w:val="17"/>
        </w:rPr>
        <w:t>, in materia di</w:t>
      </w:r>
      <w:r w:rsidRPr="00A805C7">
        <w:rPr>
          <w:rFonts w:ascii="Times New Roman" w:hAnsi="Times New Roman" w:cs="Times New Roman"/>
          <w:sz w:val="17"/>
          <w:szCs w:val="17"/>
        </w:rPr>
        <w:t xml:space="preserve"> reviviscenza</w:t>
      </w:r>
      <w:r w:rsidR="00BA5E3E" w:rsidRPr="00A805C7">
        <w:rPr>
          <w:rFonts w:ascii="Times New Roman" w:hAnsi="Times New Roman" w:cs="Times New Roman"/>
          <w:sz w:val="17"/>
          <w:szCs w:val="17"/>
        </w:rPr>
        <w:t>, le pronunce nn. 255 del 2019 e 13 del 2012.</w:t>
      </w:r>
    </w:p>
  </w:footnote>
  <w:footnote w:id="16">
    <w:p w14:paraId="1AF5C68A" w14:textId="77777777" w:rsidR="00273949" w:rsidRPr="004C2AD9" w:rsidRDefault="00273949" w:rsidP="006277A5">
      <w:pPr>
        <w:pStyle w:val="Testonotaapidipagina"/>
        <w:ind w:right="-28"/>
        <w:jc w:val="both"/>
        <w:rPr>
          <w:rFonts w:ascii="Times New Roman" w:hAnsi="Times New Roman" w:cs="Times New Roman"/>
          <w:b/>
          <w:bCs/>
          <w:sz w:val="17"/>
          <w:szCs w:val="17"/>
        </w:rPr>
      </w:pPr>
      <w:r w:rsidRPr="00A805C7">
        <w:rPr>
          <w:rStyle w:val="Rimandonotaapidipagina"/>
          <w:rFonts w:ascii="Times New Roman" w:hAnsi="Times New Roman" w:cs="Times New Roman"/>
          <w:sz w:val="17"/>
          <w:szCs w:val="17"/>
        </w:rPr>
        <w:footnoteRef/>
      </w:r>
      <w:r w:rsidRPr="00A805C7">
        <w:rPr>
          <w:rFonts w:ascii="Times New Roman" w:hAnsi="Times New Roman" w:cs="Times New Roman"/>
          <w:sz w:val="17"/>
          <w:szCs w:val="17"/>
        </w:rPr>
        <w:t xml:space="preserve"> </w:t>
      </w:r>
      <w:r w:rsidR="004C2AD9" w:rsidRPr="00A805C7">
        <w:rPr>
          <w:rFonts w:ascii="Times New Roman" w:hAnsi="Times New Roman" w:cs="Times New Roman"/>
          <w:sz w:val="17"/>
          <w:szCs w:val="17"/>
        </w:rPr>
        <w:t xml:space="preserve">Sul tema ampio della qualità e delle caratteristiche della produzione normative del Governo si veda </w:t>
      </w:r>
      <w:r w:rsidR="004C2AD9" w:rsidRPr="00A805C7">
        <w:rPr>
          <w:rFonts w:ascii="Times New Roman" w:hAnsi="Times New Roman" w:cs="Times New Roman"/>
          <w:smallCaps/>
          <w:sz w:val="17"/>
          <w:szCs w:val="17"/>
        </w:rPr>
        <w:t>N. Lupo</w:t>
      </w:r>
      <w:r w:rsidR="004C2AD9" w:rsidRPr="00A805C7">
        <w:rPr>
          <w:rFonts w:ascii="Times New Roman" w:hAnsi="Times New Roman" w:cs="Times New Roman"/>
          <w:sz w:val="17"/>
          <w:szCs w:val="17"/>
        </w:rPr>
        <w:t xml:space="preserve">, </w:t>
      </w:r>
      <w:r w:rsidR="004C2AD9" w:rsidRPr="00A805C7">
        <w:rPr>
          <w:rFonts w:ascii="Times New Roman" w:hAnsi="Times New Roman" w:cs="Times New Roman"/>
          <w:bCs/>
          <w:i/>
          <w:sz w:val="17"/>
          <w:szCs w:val="17"/>
        </w:rPr>
        <w:t>Dalla legge al regolamento. Lo sviluppo della potestà normativa del Governo nella disciplina delle pubbliche amministrazioni</w:t>
      </w:r>
      <w:r w:rsidR="004C2AD9" w:rsidRPr="00A805C7">
        <w:rPr>
          <w:rFonts w:ascii="Times New Roman" w:hAnsi="Times New Roman" w:cs="Times New Roman"/>
          <w:bCs/>
          <w:sz w:val="17"/>
          <w:szCs w:val="17"/>
        </w:rPr>
        <w:t xml:space="preserve">, il Mulino, Bologna, 2003 e </w:t>
      </w:r>
      <w:r w:rsidR="004C2AD9" w:rsidRPr="00A805C7">
        <w:rPr>
          <w:rFonts w:ascii="Times New Roman" w:hAnsi="Times New Roman" w:cs="Times New Roman"/>
          <w:bCs/>
          <w:smallCaps/>
          <w:sz w:val="17"/>
          <w:szCs w:val="17"/>
        </w:rPr>
        <w:t>B.G. Mattarella</w:t>
      </w:r>
      <w:r w:rsidR="004C2AD9" w:rsidRPr="00A805C7">
        <w:rPr>
          <w:rFonts w:ascii="Times New Roman" w:hAnsi="Times New Roman" w:cs="Times New Roman"/>
          <w:bCs/>
          <w:sz w:val="17"/>
          <w:szCs w:val="17"/>
        </w:rPr>
        <w:t xml:space="preserve">, </w:t>
      </w:r>
      <w:r w:rsidR="004C2AD9" w:rsidRPr="00A805C7">
        <w:rPr>
          <w:rFonts w:ascii="Times New Roman" w:hAnsi="Times New Roman" w:cs="Times New Roman"/>
          <w:bCs/>
          <w:i/>
          <w:sz w:val="17"/>
          <w:szCs w:val="17"/>
        </w:rPr>
        <w:t>La trappola delle leggi: Molte, oscure, complicate</w:t>
      </w:r>
      <w:r w:rsidR="004C2AD9" w:rsidRPr="00A805C7">
        <w:rPr>
          <w:rFonts w:ascii="Times New Roman" w:hAnsi="Times New Roman" w:cs="Times New Roman"/>
          <w:bCs/>
          <w:sz w:val="17"/>
          <w:szCs w:val="17"/>
        </w:rPr>
        <w:t>, il Mulino, Bologna, 2011.</w:t>
      </w:r>
    </w:p>
  </w:footnote>
  <w:footnote w:id="17">
    <w:p w14:paraId="61CE5A19" w14:textId="77777777" w:rsidR="001C3611" w:rsidRPr="00C46C09" w:rsidRDefault="001C3611" w:rsidP="006277A5">
      <w:pPr>
        <w:pStyle w:val="Testonotaapidipagina"/>
        <w:ind w:right="-28"/>
        <w:jc w:val="both"/>
        <w:rPr>
          <w:sz w:val="17"/>
          <w:szCs w:val="17"/>
        </w:rPr>
      </w:pPr>
      <w:r w:rsidRPr="00C46C09">
        <w:rPr>
          <w:rStyle w:val="Rimandonotaapidipagina"/>
          <w:sz w:val="17"/>
          <w:szCs w:val="17"/>
        </w:rPr>
        <w:footnoteRef/>
      </w:r>
      <w:r w:rsidRPr="00C46C09">
        <w:rPr>
          <w:sz w:val="17"/>
          <w:szCs w:val="17"/>
        </w:rPr>
        <w:t xml:space="preserve"> </w:t>
      </w:r>
      <w:r w:rsidRPr="00C46C09">
        <w:rPr>
          <w:rFonts w:ascii="Times New Roman" w:eastAsia="Stempel Garamond Roman" w:hAnsi="Times New Roman" w:cs="Times New Roman"/>
          <w:sz w:val="17"/>
          <w:szCs w:val="17"/>
        </w:rPr>
        <w:t xml:space="preserve">Sulla distinzione dei due concetti cfr. </w:t>
      </w:r>
      <w:r w:rsidRPr="00C46C09">
        <w:rPr>
          <w:rFonts w:ascii="Times New Roman" w:eastAsia="Stempel Garamond Roman" w:hAnsi="Times New Roman" w:cs="Times New Roman"/>
          <w:smallCaps/>
          <w:sz w:val="17"/>
          <w:szCs w:val="17"/>
        </w:rPr>
        <w:t xml:space="preserve">E. Albanesi, </w:t>
      </w:r>
      <w:r w:rsidRPr="00C46C09">
        <w:rPr>
          <w:rFonts w:ascii="Times New Roman" w:eastAsia="Stempel Garamond Roman" w:hAnsi="Times New Roman" w:cs="Times New Roman"/>
          <w:i/>
          <w:iCs/>
          <w:sz w:val="17"/>
          <w:szCs w:val="17"/>
        </w:rPr>
        <w:t>Teoria e tecnica legislativa nel sistema costituzionale</w:t>
      </w:r>
      <w:r w:rsidRPr="00C46C09">
        <w:rPr>
          <w:rFonts w:ascii="Times New Roman" w:eastAsia="Stempel Garamond Roman" w:hAnsi="Times New Roman" w:cs="Times New Roman"/>
          <w:sz w:val="17"/>
          <w:szCs w:val="17"/>
        </w:rPr>
        <w:t xml:space="preserve">, </w:t>
      </w:r>
      <w:r w:rsidR="00F27C35" w:rsidRPr="00C46C09">
        <w:rPr>
          <w:rFonts w:ascii="Times New Roman" w:eastAsia="Stempel Garamond Roman" w:hAnsi="Times New Roman" w:cs="Times New Roman"/>
          <w:sz w:val="17"/>
          <w:szCs w:val="17"/>
        </w:rPr>
        <w:t xml:space="preserve">cit., </w:t>
      </w:r>
      <w:r w:rsidRPr="00C46C09">
        <w:rPr>
          <w:rFonts w:ascii="Times New Roman" w:eastAsia="Stempel Garamond Roman" w:hAnsi="Times New Roman" w:cs="Times New Roman"/>
          <w:sz w:val="17"/>
          <w:szCs w:val="17"/>
        </w:rPr>
        <w:t>24</w:t>
      </w:r>
      <w:r w:rsidR="004E63CD" w:rsidRPr="00C46C09">
        <w:rPr>
          <w:rFonts w:ascii="Times New Roman" w:eastAsia="Stempel Garamond Roman" w:hAnsi="Times New Roman" w:cs="Times New Roman"/>
          <w:sz w:val="17"/>
          <w:szCs w:val="17"/>
        </w:rPr>
        <w:t xml:space="preserve"> nonché </w:t>
      </w:r>
      <w:r w:rsidR="004E63CD" w:rsidRPr="00C46C09">
        <w:rPr>
          <w:rFonts w:ascii="Times New Roman" w:hAnsi="Times New Roman" w:cs="Times New Roman"/>
          <w:smallCaps/>
          <w:sz w:val="17"/>
          <w:szCs w:val="17"/>
        </w:rPr>
        <w:t>F. Foschini</w:t>
      </w:r>
      <w:r w:rsidR="004E63CD" w:rsidRPr="00C46C09">
        <w:rPr>
          <w:rFonts w:ascii="Times New Roman" w:hAnsi="Times New Roman" w:cs="Times New Roman"/>
          <w:sz w:val="17"/>
          <w:szCs w:val="17"/>
        </w:rPr>
        <w:t xml:space="preserve">, </w:t>
      </w:r>
      <w:r w:rsidR="004E63CD" w:rsidRPr="00C46C09">
        <w:rPr>
          <w:rFonts w:ascii="Times New Roman" w:hAnsi="Times New Roman" w:cs="Times New Roman"/>
          <w:i/>
          <w:sz w:val="17"/>
          <w:szCs w:val="17"/>
        </w:rPr>
        <w:t>Brevi cenni di riflessione sul drafting formale e sul drafting sostanziale. Analisi di due facce della stessa medaglia</w:t>
      </w:r>
      <w:r w:rsidR="004E63CD" w:rsidRPr="00C46C09">
        <w:rPr>
          <w:rFonts w:ascii="Times New Roman" w:hAnsi="Times New Roman" w:cs="Times New Roman"/>
          <w:sz w:val="17"/>
          <w:szCs w:val="17"/>
        </w:rPr>
        <w:t xml:space="preserve">, in </w:t>
      </w:r>
      <w:r w:rsidR="004E63CD" w:rsidRPr="00C46C09">
        <w:rPr>
          <w:rFonts w:ascii="Times New Roman" w:hAnsi="Times New Roman" w:cs="Times New Roman"/>
          <w:i/>
          <w:sz w:val="17"/>
          <w:szCs w:val="17"/>
        </w:rPr>
        <w:t>Tigor. Rivista di Scienze della Comunicazione</w:t>
      </w:r>
      <w:r w:rsidR="004E63CD" w:rsidRPr="00C46C09">
        <w:rPr>
          <w:rFonts w:ascii="Times New Roman" w:hAnsi="Times New Roman" w:cs="Times New Roman"/>
          <w:sz w:val="17"/>
          <w:szCs w:val="17"/>
        </w:rPr>
        <w:t>, I, 2013, 109.</w:t>
      </w:r>
    </w:p>
  </w:footnote>
  <w:footnote w:id="18">
    <w:p w14:paraId="4463533D" w14:textId="3B957BD5" w:rsidR="001C3611" w:rsidRPr="00C46C09" w:rsidRDefault="001C3611" w:rsidP="006277A5">
      <w:pPr>
        <w:pStyle w:val="Testonotaapidipagina"/>
        <w:ind w:right="-28"/>
        <w:jc w:val="both"/>
        <w:rPr>
          <w:sz w:val="17"/>
          <w:szCs w:val="17"/>
        </w:rPr>
      </w:pPr>
      <w:r w:rsidRPr="00C46C09">
        <w:rPr>
          <w:rStyle w:val="Rimandonotaapidipagina"/>
          <w:sz w:val="17"/>
          <w:szCs w:val="17"/>
        </w:rPr>
        <w:footnoteRef/>
      </w:r>
      <w:r w:rsidRPr="00C46C09">
        <w:rPr>
          <w:sz w:val="17"/>
          <w:szCs w:val="17"/>
        </w:rPr>
        <w:t xml:space="preserve"> </w:t>
      </w:r>
      <w:r w:rsidRPr="00C46C09">
        <w:rPr>
          <w:rFonts w:ascii="Times New Roman" w:hAnsi="Times New Roman" w:cs="Times New Roman"/>
          <w:sz w:val="17"/>
          <w:szCs w:val="17"/>
        </w:rPr>
        <w:t xml:space="preserve">Recentemente sul punto si veda </w:t>
      </w:r>
      <w:r w:rsidRPr="00C46C09">
        <w:rPr>
          <w:rFonts w:ascii="Times New Roman" w:hAnsi="Times New Roman" w:cs="Times New Roman"/>
          <w:smallCaps/>
          <w:sz w:val="17"/>
          <w:szCs w:val="17"/>
        </w:rPr>
        <w:t>L. Carbone</w:t>
      </w:r>
      <w:r w:rsidRPr="00C46C09">
        <w:rPr>
          <w:rFonts w:ascii="Times New Roman" w:hAnsi="Times New Roman" w:cs="Times New Roman"/>
          <w:sz w:val="17"/>
          <w:szCs w:val="17"/>
        </w:rPr>
        <w:t xml:space="preserve">, </w:t>
      </w:r>
      <w:r w:rsidRPr="00C46C09">
        <w:rPr>
          <w:rFonts w:ascii="Times New Roman" w:hAnsi="Times New Roman" w:cs="Times New Roman"/>
          <w:i/>
          <w:sz w:val="17"/>
          <w:szCs w:val="17"/>
        </w:rPr>
        <w:t xml:space="preserve">Quali rimedi per l’inflazione legislativa. Abrogazioni e codificazioni in Italia, </w:t>
      </w:r>
      <w:r w:rsidRPr="00C46C09">
        <w:rPr>
          <w:rFonts w:ascii="Times New Roman" w:eastAsia="Stempel Garamond Roman" w:hAnsi="Times New Roman" w:cs="Times New Roman"/>
          <w:sz w:val="17"/>
          <w:szCs w:val="17"/>
        </w:rPr>
        <w:t>disponibile all’indirizzo:</w:t>
      </w:r>
      <w:r w:rsidRPr="00C46C09">
        <w:rPr>
          <w:sz w:val="17"/>
          <w:szCs w:val="17"/>
        </w:rPr>
        <w:t xml:space="preserve"> </w:t>
      </w:r>
      <w:hyperlink r:id="rId1" w:history="1">
        <w:r w:rsidR="00F27C35" w:rsidRPr="00C46C09">
          <w:rPr>
            <w:rStyle w:val="Collegamentoipertestuale"/>
            <w:rFonts w:ascii="Times New Roman" w:eastAsia="Stempel Garamond Roman" w:hAnsi="Times New Roman" w:cs="Times New Roman"/>
            <w:sz w:val="17"/>
            <w:szCs w:val="17"/>
          </w:rPr>
          <w:t>https://www.giustizia-amministrativa.it/</w:t>
        </w:r>
      </w:hyperlink>
      <w:r w:rsidR="00A65497">
        <w:rPr>
          <w:rFonts w:ascii="Times New Roman" w:hAnsi="Times New Roman" w:cs="Times New Roman"/>
          <w:sz w:val="17"/>
          <w:szCs w:val="17"/>
        </w:rPr>
        <w:t>.</w:t>
      </w:r>
    </w:p>
  </w:footnote>
  <w:footnote w:id="19">
    <w:p w14:paraId="317D230D" w14:textId="77777777" w:rsidR="00464E41" w:rsidRPr="00C46C09" w:rsidRDefault="00464E41" w:rsidP="006277A5">
      <w:pPr>
        <w:pStyle w:val="Testonotaapidipagina"/>
        <w:ind w:right="-28"/>
        <w:jc w:val="both"/>
        <w:rPr>
          <w:rFonts w:ascii="Times New Roman" w:hAnsi="Times New Roman" w:cs="Times New Roman"/>
          <w:sz w:val="17"/>
          <w:szCs w:val="17"/>
        </w:rPr>
      </w:pPr>
      <w:r w:rsidRPr="00C46C09">
        <w:rPr>
          <w:rStyle w:val="Rimandonotaapidipagina"/>
          <w:rFonts w:ascii="Times New Roman" w:hAnsi="Times New Roman" w:cs="Times New Roman"/>
          <w:sz w:val="17"/>
          <w:szCs w:val="17"/>
        </w:rPr>
        <w:footnoteRef/>
      </w:r>
      <w:r w:rsidRPr="00C46C09">
        <w:rPr>
          <w:rFonts w:ascii="Times New Roman" w:hAnsi="Times New Roman" w:cs="Times New Roman"/>
          <w:sz w:val="17"/>
          <w:szCs w:val="17"/>
        </w:rPr>
        <w:t xml:space="preserve"> Sulla </w:t>
      </w:r>
      <w:r w:rsidRPr="00C46C09">
        <w:rPr>
          <w:rFonts w:ascii="Times New Roman" w:hAnsi="Times New Roman" w:cs="Times New Roman"/>
          <w:i/>
          <w:sz w:val="17"/>
          <w:szCs w:val="17"/>
        </w:rPr>
        <w:t>precarizzazione</w:t>
      </w:r>
      <w:r w:rsidRPr="00C46C09">
        <w:rPr>
          <w:rFonts w:ascii="Times New Roman" w:hAnsi="Times New Roman" w:cs="Times New Roman"/>
          <w:sz w:val="17"/>
          <w:szCs w:val="17"/>
        </w:rPr>
        <w:t xml:space="preserve"> delle fonti primarie, cfr. </w:t>
      </w:r>
      <w:r w:rsidRPr="00C46C09">
        <w:rPr>
          <w:rFonts w:ascii="Times New Roman" w:hAnsi="Times New Roman" w:cs="Times New Roman"/>
          <w:smallCaps/>
          <w:sz w:val="17"/>
          <w:szCs w:val="17"/>
        </w:rPr>
        <w:t>E. Longo</w:t>
      </w:r>
      <w:r w:rsidRPr="00C46C09">
        <w:rPr>
          <w:rFonts w:ascii="Times New Roman" w:hAnsi="Times New Roman" w:cs="Times New Roman"/>
          <w:sz w:val="17"/>
          <w:szCs w:val="17"/>
        </w:rPr>
        <w:t xml:space="preserve">, </w:t>
      </w:r>
      <w:r w:rsidRPr="00C46C09">
        <w:rPr>
          <w:rFonts w:ascii="Times New Roman" w:hAnsi="Times New Roman" w:cs="Times New Roman"/>
          <w:i/>
          <w:iCs/>
          <w:sz w:val="17"/>
          <w:szCs w:val="17"/>
        </w:rPr>
        <w:t xml:space="preserve">La legge precaria. Le trasformazioni della funzione legislativa nell’età dell’accelerazione, </w:t>
      </w:r>
      <w:r w:rsidRPr="00C46C09">
        <w:rPr>
          <w:rFonts w:ascii="Times New Roman" w:hAnsi="Times New Roman" w:cs="Times New Roman"/>
          <w:sz w:val="17"/>
          <w:szCs w:val="17"/>
        </w:rPr>
        <w:t>Giappichelli, Torino, 2017.</w:t>
      </w:r>
    </w:p>
  </w:footnote>
  <w:footnote w:id="20">
    <w:p w14:paraId="28B68609" w14:textId="77777777" w:rsidR="000E624C" w:rsidRPr="00C46C09" w:rsidRDefault="000E624C" w:rsidP="006277A5">
      <w:pPr>
        <w:pStyle w:val="Testonotaapidipagina"/>
        <w:ind w:right="-28"/>
        <w:jc w:val="both"/>
        <w:rPr>
          <w:rFonts w:ascii="Times New Roman" w:hAnsi="Times New Roman" w:cs="Times New Roman"/>
          <w:sz w:val="17"/>
          <w:szCs w:val="17"/>
        </w:rPr>
      </w:pPr>
      <w:r w:rsidRPr="00C46C09">
        <w:rPr>
          <w:rStyle w:val="Rimandonotaapidipagina"/>
          <w:rFonts w:ascii="Times New Roman" w:hAnsi="Times New Roman" w:cs="Times New Roman"/>
          <w:sz w:val="17"/>
          <w:szCs w:val="17"/>
        </w:rPr>
        <w:footnoteRef/>
      </w:r>
      <w:r w:rsidRPr="00C46C09">
        <w:rPr>
          <w:rFonts w:ascii="Times New Roman" w:hAnsi="Times New Roman" w:cs="Times New Roman"/>
          <w:sz w:val="17"/>
          <w:szCs w:val="17"/>
        </w:rPr>
        <w:t xml:space="preserve"> </w:t>
      </w:r>
      <w:r w:rsidR="000920E2" w:rsidRPr="00C46C09">
        <w:rPr>
          <w:rFonts w:ascii="Times New Roman" w:hAnsi="Times New Roman" w:cs="Times New Roman"/>
          <w:sz w:val="17"/>
          <w:szCs w:val="17"/>
        </w:rPr>
        <w:t xml:space="preserve">Le leggi “non autoapplicative” demandano ad altri provvedimenti normativi di rango secondario la loro completa attuazione e impongono ad altri soggetti istituzionali, generalmente le pubbliche amministrazioni centrali dello Stato, di attivarsi per la loro adozione. Da qui prende avvio l’attività di monitoraggio svolta dall’Ufficio per il programma di Governo della Presidenza del Consiglio dei ministri, che segue il processo di adozione dei provvedimenti previsti dalle singole leggi in raccordo con le amministrazioni interessate. L’attività di monitoraggio è svolta attraverso il sistema informativo “Monitor” e gli esiti di tale attività sono periodicamente pubblicati </w:t>
      </w:r>
      <w:r w:rsidR="00B82F2E" w:rsidRPr="00C46C09">
        <w:rPr>
          <w:rFonts w:ascii="Times New Roman" w:hAnsi="Times New Roman" w:cs="Times New Roman"/>
          <w:sz w:val="17"/>
          <w:szCs w:val="17"/>
        </w:rPr>
        <w:t xml:space="preserve">sul sito istituzionale dell’Ufficio per il programma di Governo. </w:t>
      </w:r>
    </w:p>
  </w:footnote>
  <w:footnote w:id="21">
    <w:p w14:paraId="7D40D8B7" w14:textId="77777777" w:rsidR="00B82F2E" w:rsidRPr="00C46C09" w:rsidRDefault="00B82F2E" w:rsidP="006277A5">
      <w:pPr>
        <w:pStyle w:val="Testonotaapidipagina"/>
        <w:ind w:right="-28"/>
        <w:jc w:val="both"/>
        <w:rPr>
          <w:rFonts w:ascii="Times New Roman" w:hAnsi="Times New Roman" w:cs="Times New Roman"/>
          <w:sz w:val="17"/>
          <w:szCs w:val="17"/>
        </w:rPr>
      </w:pPr>
      <w:r w:rsidRPr="00C46C09">
        <w:rPr>
          <w:rStyle w:val="Rimandonotaapidipagina"/>
          <w:rFonts w:ascii="Times New Roman" w:hAnsi="Times New Roman" w:cs="Times New Roman"/>
          <w:sz w:val="17"/>
          <w:szCs w:val="17"/>
        </w:rPr>
        <w:footnoteRef/>
      </w:r>
      <w:r w:rsidRPr="00C46C09">
        <w:rPr>
          <w:rFonts w:ascii="Times New Roman" w:hAnsi="Times New Roman" w:cs="Times New Roman"/>
          <w:sz w:val="17"/>
          <w:szCs w:val="17"/>
        </w:rPr>
        <w:t xml:space="preserve"> </w:t>
      </w:r>
      <w:r w:rsidR="00152EAE" w:rsidRPr="00C46C09">
        <w:rPr>
          <w:rFonts w:ascii="Times New Roman" w:hAnsi="Times New Roman" w:cs="Times New Roman"/>
          <w:sz w:val="17"/>
          <w:szCs w:val="17"/>
        </w:rPr>
        <w:t>L’articolo 17-</w:t>
      </w:r>
      <w:r w:rsidR="00152EAE" w:rsidRPr="00C46C09">
        <w:rPr>
          <w:rFonts w:ascii="Times New Roman" w:hAnsi="Times New Roman" w:cs="Times New Roman"/>
          <w:i/>
          <w:sz w:val="17"/>
          <w:szCs w:val="17"/>
        </w:rPr>
        <w:t>bis</w:t>
      </w:r>
      <w:r w:rsidR="00152EAE" w:rsidRPr="00C46C09">
        <w:rPr>
          <w:rFonts w:ascii="Times New Roman" w:hAnsi="Times New Roman" w:cs="Times New Roman"/>
          <w:sz w:val="17"/>
          <w:szCs w:val="17"/>
        </w:rPr>
        <w:t xml:space="preserve"> è stato introdotto nella legge n. 241 del 1990 dall’articolo </w:t>
      </w:r>
      <w:r w:rsidR="003A71AE" w:rsidRPr="00C46C09">
        <w:rPr>
          <w:rFonts w:ascii="Times New Roman" w:hAnsi="Times New Roman" w:cs="Times New Roman"/>
          <w:sz w:val="17"/>
          <w:szCs w:val="17"/>
        </w:rPr>
        <w:t>3,</w:t>
      </w:r>
      <w:r w:rsidR="00152EAE" w:rsidRPr="00C46C09">
        <w:rPr>
          <w:rFonts w:ascii="Times New Roman" w:hAnsi="Times New Roman" w:cs="Times New Roman"/>
          <w:sz w:val="17"/>
          <w:szCs w:val="17"/>
        </w:rPr>
        <w:t xml:space="preserve"> comma 1, della legge 7 agosto 2015, n. 214, con la finalità di estendere ai rapporti orizzontali tra pubbliche amministrazioni il meccanismo del silenzio assenso già operante tra privati e pubbliche amministrazioni. In merito all’applicazione di tale </w:t>
      </w:r>
      <w:r w:rsidR="003A71AE" w:rsidRPr="00C46C09">
        <w:rPr>
          <w:rFonts w:ascii="Times New Roman" w:hAnsi="Times New Roman" w:cs="Times New Roman"/>
          <w:sz w:val="17"/>
          <w:szCs w:val="17"/>
        </w:rPr>
        <w:t>istituto</w:t>
      </w:r>
      <w:r w:rsidR="00152EAE" w:rsidRPr="00C46C09">
        <w:rPr>
          <w:rFonts w:ascii="Times New Roman" w:hAnsi="Times New Roman" w:cs="Times New Roman"/>
          <w:sz w:val="17"/>
          <w:szCs w:val="17"/>
        </w:rPr>
        <w:t xml:space="preserve"> ai procedimenti per l’adozione di atti normativi, si fa rinvio al parere reso dal Consiglio di Stato, Commissione speciale, 13 luglio 2016, n. 1640.</w:t>
      </w:r>
    </w:p>
  </w:footnote>
  <w:footnote w:id="22">
    <w:p w14:paraId="3BC6CF54" w14:textId="77777777" w:rsidR="00B82F2E" w:rsidRPr="00C46C09" w:rsidRDefault="00B82F2E" w:rsidP="006277A5">
      <w:pPr>
        <w:pStyle w:val="Testonotaapidipagina"/>
        <w:ind w:right="-28"/>
        <w:jc w:val="both"/>
        <w:rPr>
          <w:rFonts w:ascii="Times New Roman" w:hAnsi="Times New Roman" w:cs="Times New Roman"/>
          <w:sz w:val="17"/>
          <w:szCs w:val="17"/>
        </w:rPr>
      </w:pPr>
      <w:r w:rsidRPr="00C46C09">
        <w:rPr>
          <w:rStyle w:val="Rimandonotaapidipagina"/>
          <w:rFonts w:ascii="Times New Roman" w:hAnsi="Times New Roman" w:cs="Times New Roman"/>
          <w:sz w:val="17"/>
          <w:szCs w:val="17"/>
        </w:rPr>
        <w:footnoteRef/>
      </w:r>
      <w:r w:rsidRPr="00C46C09">
        <w:rPr>
          <w:rFonts w:ascii="Times New Roman" w:hAnsi="Times New Roman" w:cs="Times New Roman"/>
          <w:sz w:val="17"/>
          <w:szCs w:val="17"/>
        </w:rPr>
        <w:t xml:space="preserve"> </w:t>
      </w:r>
      <w:r w:rsidR="001D7807" w:rsidRPr="00C46C09">
        <w:rPr>
          <w:rFonts w:ascii="Times New Roman" w:hAnsi="Times New Roman" w:cs="Times New Roman"/>
          <w:sz w:val="17"/>
          <w:szCs w:val="17"/>
        </w:rPr>
        <w:t>L’articolo 2, comma 8-</w:t>
      </w:r>
      <w:r w:rsidR="001D7807" w:rsidRPr="00C46C09">
        <w:rPr>
          <w:rFonts w:ascii="Times New Roman" w:hAnsi="Times New Roman" w:cs="Times New Roman"/>
          <w:i/>
          <w:sz w:val="17"/>
          <w:szCs w:val="17"/>
        </w:rPr>
        <w:t>bis</w:t>
      </w:r>
      <w:r w:rsidR="001D7807" w:rsidRPr="00C46C09">
        <w:rPr>
          <w:rFonts w:ascii="Times New Roman" w:hAnsi="Times New Roman" w:cs="Times New Roman"/>
          <w:sz w:val="17"/>
          <w:szCs w:val="17"/>
        </w:rPr>
        <w:t>, della legge n. 241 del 1990, introdotto dall’articolo 12, comma 1, lett. a), del decreto-legge 16 luglio 2020, n. 76, convertito, con modificazioni, dalla legge 11 settembre 2020, n. 120, così recita: «</w:t>
      </w:r>
      <w:r w:rsidR="001D7807" w:rsidRPr="00C46C09">
        <w:rPr>
          <w:rFonts w:ascii="Times New Roman" w:eastAsia="Times New Roman" w:hAnsi="Times New Roman" w:cs="Times New Roman"/>
          <w:color w:val="19191A"/>
          <w:sz w:val="17"/>
          <w:szCs w:val="17"/>
          <w:lang w:eastAsia="it-IT"/>
        </w:rPr>
        <w:t xml:space="preserve"> </w:t>
      </w:r>
      <w:r w:rsidR="001D7807" w:rsidRPr="00C46C09">
        <w:rPr>
          <w:rFonts w:ascii="Times New Roman" w:hAnsi="Times New Roman" w:cs="Times New Roman"/>
          <w:sz w:val="17"/>
          <w:szCs w:val="17"/>
        </w:rPr>
        <w:t>Le   determinazioni   relative   ai   provvedimenti,   alle autorizzazioni, ai pareri, ai nulla  osta  e  agli  atti  di  assenso, comunque denominati, adottate dopo la scadenza  dei  termini  di  cui agli articoli 14-bis, comma 2, lettera c), 17-bis, commi 1 e  3,  20, comma  1,  ovvero  successivamente   all'ultima   riunione   di   cui all'articolo 14-ter, comma 7, nonché i provvedimenti di  divieto  di prosecuzione dell'attività e di rimozione degli  eventuali  effetti, di cui all'articolo 19, commi 3 e 6-</w:t>
      </w:r>
      <w:r w:rsidR="001D7807" w:rsidRPr="00C46C09">
        <w:rPr>
          <w:rFonts w:ascii="Times New Roman" w:hAnsi="Times New Roman" w:cs="Times New Roman"/>
          <w:i/>
          <w:sz w:val="17"/>
          <w:szCs w:val="17"/>
        </w:rPr>
        <w:t>bis</w:t>
      </w:r>
      <w:r w:rsidR="001D7807" w:rsidRPr="00C46C09">
        <w:rPr>
          <w:rFonts w:ascii="Times New Roman" w:hAnsi="Times New Roman" w:cs="Times New Roman"/>
          <w:sz w:val="17"/>
          <w:szCs w:val="17"/>
        </w:rPr>
        <w:t>, primo periodo, adottati dopo la scadenza dei termini ivi previsti, sono inefficaci, fermo restando quanto  previsto  dall'articolo  21-nonies,  ove   ne   ricorrano   i presupposti e le condizioni.».</w:t>
      </w:r>
    </w:p>
  </w:footnote>
  <w:footnote w:id="23">
    <w:p w14:paraId="550CA441" w14:textId="77777777" w:rsidR="00175981" w:rsidRPr="00C46C09" w:rsidRDefault="00175981" w:rsidP="006277A5">
      <w:pPr>
        <w:pStyle w:val="Testonotaapidipagina"/>
        <w:ind w:right="-28"/>
        <w:jc w:val="both"/>
        <w:rPr>
          <w:rFonts w:ascii="Times New Roman" w:hAnsi="Times New Roman" w:cs="Times New Roman"/>
          <w:sz w:val="17"/>
          <w:szCs w:val="17"/>
        </w:rPr>
      </w:pPr>
      <w:r w:rsidRPr="00C46C09">
        <w:rPr>
          <w:rStyle w:val="Rimandonotaapidipagina"/>
          <w:rFonts w:ascii="Times New Roman" w:hAnsi="Times New Roman" w:cs="Times New Roman"/>
          <w:sz w:val="17"/>
          <w:szCs w:val="17"/>
        </w:rPr>
        <w:footnoteRef/>
      </w:r>
      <w:r w:rsidRPr="00C46C09">
        <w:rPr>
          <w:rFonts w:ascii="Times New Roman" w:hAnsi="Times New Roman" w:cs="Times New Roman"/>
          <w:sz w:val="17"/>
          <w:szCs w:val="17"/>
        </w:rPr>
        <w:t xml:space="preserve"> In proposito, </w:t>
      </w:r>
      <w:r w:rsidR="00A1593D" w:rsidRPr="00C46C09">
        <w:rPr>
          <w:rFonts w:ascii="Times New Roman" w:hAnsi="Times New Roman" w:cs="Times New Roman"/>
          <w:sz w:val="17"/>
          <w:szCs w:val="17"/>
        </w:rPr>
        <w:t xml:space="preserve">interessanti </w:t>
      </w:r>
      <w:r w:rsidRPr="00C46C09">
        <w:rPr>
          <w:rFonts w:ascii="Times New Roman" w:hAnsi="Times New Roman" w:cs="Times New Roman"/>
          <w:sz w:val="17"/>
          <w:szCs w:val="17"/>
        </w:rPr>
        <w:t xml:space="preserve">spunti di riflessione sono offerti da </w:t>
      </w:r>
      <w:r w:rsidRPr="00C46C09">
        <w:rPr>
          <w:rFonts w:ascii="Times New Roman" w:hAnsi="Times New Roman" w:cs="Times New Roman"/>
          <w:smallCaps/>
          <w:sz w:val="17"/>
          <w:szCs w:val="17"/>
        </w:rPr>
        <w:t>A. Malaschini</w:t>
      </w:r>
      <w:r w:rsidR="007609C9" w:rsidRPr="00C46C09">
        <w:rPr>
          <w:rFonts w:ascii="Times New Roman" w:hAnsi="Times New Roman" w:cs="Times New Roman"/>
          <w:smallCaps/>
          <w:sz w:val="17"/>
          <w:szCs w:val="17"/>
        </w:rPr>
        <w:t>-</w:t>
      </w:r>
      <w:r w:rsidRPr="00C46C09">
        <w:rPr>
          <w:rFonts w:ascii="Times New Roman" w:hAnsi="Times New Roman" w:cs="Times New Roman"/>
          <w:smallCaps/>
          <w:sz w:val="17"/>
          <w:szCs w:val="17"/>
        </w:rPr>
        <w:t>M. Pandolfelli</w:t>
      </w:r>
      <w:r w:rsidRPr="00C46C09">
        <w:rPr>
          <w:rFonts w:ascii="Times New Roman" w:hAnsi="Times New Roman" w:cs="Times New Roman"/>
          <w:sz w:val="17"/>
          <w:szCs w:val="17"/>
        </w:rPr>
        <w:t xml:space="preserve">, </w:t>
      </w:r>
      <w:r w:rsidRPr="00C46C09">
        <w:rPr>
          <w:rFonts w:ascii="Times New Roman" w:hAnsi="Times New Roman" w:cs="Times New Roman"/>
          <w:i/>
          <w:sz w:val="17"/>
          <w:szCs w:val="17"/>
        </w:rPr>
        <w:t>Crisi della legislazione: riorganizzazione parziale del procedimento legislativo o codificazione ordinaria ex post?</w:t>
      </w:r>
      <w:r w:rsidRPr="00C46C09">
        <w:rPr>
          <w:rFonts w:ascii="Times New Roman" w:hAnsi="Times New Roman" w:cs="Times New Roman"/>
          <w:sz w:val="17"/>
          <w:szCs w:val="17"/>
        </w:rPr>
        <w:t xml:space="preserve">, in </w:t>
      </w:r>
      <w:r w:rsidRPr="00C46C09">
        <w:rPr>
          <w:rFonts w:ascii="Times New Roman" w:hAnsi="Times New Roman" w:cs="Times New Roman"/>
          <w:i/>
          <w:sz w:val="17"/>
          <w:szCs w:val="17"/>
        </w:rPr>
        <w:t>Forum di Quaderni Costituzionali</w:t>
      </w:r>
      <w:r w:rsidRPr="00C46C09">
        <w:rPr>
          <w:rFonts w:ascii="Times New Roman" w:hAnsi="Times New Roman" w:cs="Times New Roman"/>
          <w:sz w:val="17"/>
          <w:szCs w:val="17"/>
        </w:rPr>
        <w:t xml:space="preserve">, </w:t>
      </w:r>
      <w:r w:rsidR="00F27C35" w:rsidRPr="00C46C09">
        <w:rPr>
          <w:rFonts w:ascii="Times New Roman" w:hAnsi="Times New Roman" w:cs="Times New Roman"/>
          <w:sz w:val="17"/>
          <w:szCs w:val="17"/>
        </w:rPr>
        <w:t xml:space="preserve"> </w:t>
      </w:r>
      <w:r w:rsidR="00983AE2" w:rsidRPr="00C46C09">
        <w:rPr>
          <w:rFonts w:ascii="Times New Roman" w:hAnsi="Times New Roman" w:cs="Times New Roman"/>
          <w:sz w:val="17"/>
          <w:szCs w:val="17"/>
        </w:rPr>
        <w:t>d</w:t>
      </w:r>
      <w:r w:rsidRPr="00C46C09">
        <w:rPr>
          <w:rFonts w:ascii="Times New Roman" w:hAnsi="Times New Roman" w:cs="Times New Roman"/>
          <w:sz w:val="17"/>
          <w:szCs w:val="17"/>
        </w:rPr>
        <w:t xml:space="preserve">isponibile in: </w:t>
      </w:r>
      <w:hyperlink r:id="rId2" w:history="1">
        <w:r w:rsidR="00F27C35" w:rsidRPr="00C46C09">
          <w:rPr>
            <w:rStyle w:val="Collegamentoipertestuale"/>
            <w:rFonts w:ascii="Times New Roman" w:hAnsi="Times New Roman" w:cs="Times New Roman"/>
            <w:sz w:val="17"/>
            <w:szCs w:val="17"/>
          </w:rPr>
          <w:t>www.forumcostituzionale.it</w:t>
        </w:r>
      </w:hyperlink>
      <w:r w:rsidR="00F27C35" w:rsidRPr="00C46C09">
        <w:rPr>
          <w:rFonts w:ascii="Times New Roman" w:hAnsi="Times New Roman" w:cs="Times New Roman"/>
          <w:sz w:val="17"/>
          <w:szCs w:val="17"/>
        </w:rPr>
        <w:t>, 3, 2021</w:t>
      </w:r>
      <w:r w:rsidR="00352335" w:rsidRPr="00C46C09">
        <w:rPr>
          <w:rFonts w:ascii="Times New Roman" w:hAnsi="Times New Roman" w:cs="Times New Roman"/>
          <w:sz w:val="17"/>
          <w:szCs w:val="17"/>
        </w:rPr>
        <w:t>, 181.</w:t>
      </w:r>
    </w:p>
  </w:footnote>
  <w:footnote w:id="24">
    <w:p w14:paraId="61062A2D" w14:textId="7B5E10AC" w:rsidR="001C3611" w:rsidRPr="00C46C09" w:rsidRDefault="001C3611" w:rsidP="006277A5">
      <w:pPr>
        <w:pStyle w:val="Testonotaapidipagina"/>
        <w:ind w:right="-28"/>
        <w:jc w:val="both"/>
        <w:rPr>
          <w:sz w:val="17"/>
          <w:szCs w:val="17"/>
        </w:rPr>
      </w:pPr>
      <w:r w:rsidRPr="00C46C09">
        <w:rPr>
          <w:rStyle w:val="Rimandonotaapidipagina"/>
          <w:sz w:val="17"/>
          <w:szCs w:val="17"/>
        </w:rPr>
        <w:footnoteRef/>
      </w:r>
      <w:r w:rsidRPr="00C46C09">
        <w:rPr>
          <w:sz w:val="17"/>
          <w:szCs w:val="17"/>
        </w:rPr>
        <w:t xml:space="preserve"> </w:t>
      </w:r>
      <w:r w:rsidRPr="00C46C09">
        <w:rPr>
          <w:rFonts w:ascii="Times New Roman" w:hAnsi="Times New Roman" w:cs="Times New Roman"/>
          <w:sz w:val="17"/>
          <w:szCs w:val="17"/>
        </w:rPr>
        <w:t xml:space="preserve">Sulla necessità di una programmazione governativa stringente si veda </w:t>
      </w:r>
      <w:r w:rsidRPr="00C46C09">
        <w:rPr>
          <w:rFonts w:ascii="Times New Roman" w:hAnsi="Times New Roman" w:cs="Times New Roman"/>
          <w:smallCaps/>
          <w:sz w:val="17"/>
          <w:szCs w:val="17"/>
        </w:rPr>
        <w:t>G. Rivosecchi</w:t>
      </w:r>
      <w:r w:rsidRPr="00C46C09">
        <w:rPr>
          <w:rFonts w:ascii="Times New Roman" w:hAnsi="Times New Roman" w:cs="Times New Roman"/>
          <w:sz w:val="17"/>
          <w:szCs w:val="17"/>
        </w:rPr>
        <w:t xml:space="preserve">, </w:t>
      </w:r>
      <w:r w:rsidRPr="00C46C09">
        <w:rPr>
          <w:rFonts w:ascii="Times New Roman" w:hAnsi="Times New Roman" w:cs="Times New Roman"/>
          <w:i/>
          <w:sz w:val="17"/>
          <w:szCs w:val="17"/>
        </w:rPr>
        <w:t>Considerazioni sparse in ordine alle attuali tendenze della produzione normativa</w:t>
      </w:r>
      <w:r w:rsidRPr="00C46C09">
        <w:rPr>
          <w:rFonts w:ascii="Times New Roman" w:hAnsi="Times New Roman" w:cs="Times New Roman"/>
          <w:sz w:val="17"/>
          <w:szCs w:val="17"/>
        </w:rPr>
        <w:t xml:space="preserve">, in </w:t>
      </w:r>
      <w:r w:rsidRPr="00C46C09">
        <w:rPr>
          <w:rFonts w:ascii="Times New Roman" w:hAnsi="Times New Roman" w:cs="Times New Roman"/>
          <w:i/>
          <w:sz w:val="17"/>
          <w:szCs w:val="17"/>
        </w:rPr>
        <w:t>Osservatorio AIC</w:t>
      </w:r>
      <w:r w:rsidRPr="00C46C09">
        <w:rPr>
          <w:rFonts w:ascii="Times New Roman" w:hAnsi="Times New Roman" w:cs="Times New Roman"/>
          <w:sz w:val="17"/>
          <w:szCs w:val="17"/>
        </w:rPr>
        <w:t>, disponibile all’indirizzo</w:t>
      </w:r>
      <w:r w:rsidR="007549FF" w:rsidRPr="00C46C09">
        <w:rPr>
          <w:rFonts w:ascii="Times New Roman" w:hAnsi="Times New Roman" w:cs="Times New Roman"/>
          <w:sz w:val="17"/>
          <w:szCs w:val="17"/>
        </w:rPr>
        <w:t>:</w:t>
      </w:r>
      <w:r w:rsidRPr="00C46C09">
        <w:rPr>
          <w:rFonts w:ascii="Times New Roman" w:hAnsi="Times New Roman" w:cs="Times New Roman"/>
          <w:sz w:val="17"/>
          <w:szCs w:val="17"/>
        </w:rPr>
        <w:t xml:space="preserve"> www.osservatorioaic.it, </w:t>
      </w:r>
      <w:r w:rsidR="007549FF" w:rsidRPr="00C46C09">
        <w:rPr>
          <w:rFonts w:ascii="Times New Roman" w:hAnsi="Times New Roman" w:cs="Times New Roman"/>
          <w:sz w:val="17"/>
          <w:szCs w:val="17"/>
        </w:rPr>
        <w:t xml:space="preserve">1-2, </w:t>
      </w:r>
      <w:r w:rsidR="00F27C35" w:rsidRPr="00C46C09">
        <w:rPr>
          <w:rFonts w:ascii="Times New Roman" w:hAnsi="Times New Roman" w:cs="Times New Roman"/>
          <w:sz w:val="17"/>
          <w:szCs w:val="17"/>
        </w:rPr>
        <w:t xml:space="preserve">2019, </w:t>
      </w:r>
      <w:r w:rsidRPr="00C46C09">
        <w:rPr>
          <w:rFonts w:ascii="Times New Roman" w:hAnsi="Times New Roman" w:cs="Times New Roman"/>
          <w:sz w:val="17"/>
          <w:szCs w:val="17"/>
        </w:rPr>
        <w:t>84.</w:t>
      </w:r>
    </w:p>
  </w:footnote>
  <w:footnote w:id="25">
    <w:p w14:paraId="448CF503" w14:textId="77777777" w:rsidR="001C3611" w:rsidRPr="00C46C09" w:rsidRDefault="001C3611" w:rsidP="006277A5">
      <w:pPr>
        <w:pStyle w:val="Testonotaapidipagina"/>
        <w:ind w:right="-28"/>
        <w:jc w:val="both"/>
        <w:rPr>
          <w:sz w:val="17"/>
          <w:szCs w:val="17"/>
        </w:rPr>
      </w:pPr>
      <w:r w:rsidRPr="00C46C09">
        <w:rPr>
          <w:rStyle w:val="Rimandonotaapidipagina"/>
          <w:sz w:val="17"/>
          <w:szCs w:val="17"/>
        </w:rPr>
        <w:footnoteRef/>
      </w:r>
      <w:r w:rsidRPr="00C46C09">
        <w:rPr>
          <w:sz w:val="17"/>
          <w:szCs w:val="17"/>
        </w:rPr>
        <w:t xml:space="preserve"> </w:t>
      </w:r>
      <w:r w:rsidRPr="00C46C09">
        <w:rPr>
          <w:rFonts w:ascii="Times New Roman" w:hAnsi="Times New Roman" w:cs="Times New Roman"/>
          <w:sz w:val="17"/>
          <w:szCs w:val="17"/>
        </w:rPr>
        <w:t xml:space="preserve">Sulla necessità di valorizzare il DAGL quale “cabina di regia” e quindi centro di coordinamento dell’intero processo valutativo e programmatorio, si veda </w:t>
      </w:r>
      <w:r w:rsidRPr="00C46C09">
        <w:rPr>
          <w:rFonts w:ascii="Times New Roman" w:hAnsi="Times New Roman" w:cs="Times New Roman"/>
          <w:smallCaps/>
          <w:sz w:val="17"/>
          <w:szCs w:val="17"/>
        </w:rPr>
        <w:t>G. Tarli</w:t>
      </w:r>
      <w:r w:rsidR="007549FF" w:rsidRPr="00C46C09">
        <w:rPr>
          <w:rFonts w:ascii="Times New Roman" w:hAnsi="Times New Roman" w:cs="Times New Roman"/>
          <w:smallCaps/>
          <w:sz w:val="17"/>
          <w:szCs w:val="17"/>
        </w:rPr>
        <w:t xml:space="preserve"> </w:t>
      </w:r>
      <w:r w:rsidRPr="00C46C09">
        <w:rPr>
          <w:rFonts w:ascii="Times New Roman" w:hAnsi="Times New Roman" w:cs="Times New Roman"/>
          <w:smallCaps/>
          <w:sz w:val="17"/>
          <w:szCs w:val="17"/>
        </w:rPr>
        <w:t>Barbieri</w:t>
      </w:r>
      <w:r w:rsidRPr="00C46C09">
        <w:rPr>
          <w:rFonts w:ascii="Times New Roman" w:hAnsi="Times New Roman" w:cs="Times New Roman"/>
          <w:sz w:val="17"/>
          <w:szCs w:val="17"/>
        </w:rPr>
        <w:t xml:space="preserve">, </w:t>
      </w:r>
      <w:r w:rsidRPr="00C46C09">
        <w:rPr>
          <w:rFonts w:ascii="Times New Roman" w:hAnsi="Times New Roman" w:cs="Times New Roman"/>
          <w:i/>
          <w:sz w:val="17"/>
          <w:szCs w:val="17"/>
        </w:rPr>
        <w:t>L’attività normativa del Governo</w:t>
      </w:r>
      <w:r w:rsidRPr="00C46C09">
        <w:rPr>
          <w:rFonts w:ascii="Times New Roman" w:hAnsi="Times New Roman" w:cs="Times New Roman"/>
          <w:sz w:val="17"/>
          <w:szCs w:val="17"/>
        </w:rPr>
        <w:t xml:space="preserve">, in </w:t>
      </w:r>
      <w:r w:rsidRPr="00C46C09">
        <w:rPr>
          <w:rFonts w:ascii="Times New Roman" w:hAnsi="Times New Roman" w:cs="Times New Roman"/>
          <w:bCs/>
          <w:i/>
          <w:iCs/>
          <w:sz w:val="17"/>
          <w:szCs w:val="17"/>
        </w:rPr>
        <w:t xml:space="preserve">La Presidenza del Consiglio dei Ministri a trent’anni dalla legge n. 400 del 1988, Atti del Convegno di Studi del 20 febbraio 2018, Roma, Università LUISS Guido Carli, </w:t>
      </w:r>
      <w:r w:rsidR="007549FF" w:rsidRPr="00C46C09">
        <w:rPr>
          <w:rFonts w:ascii="Times New Roman" w:hAnsi="Times New Roman" w:cs="Times New Roman"/>
          <w:sz w:val="17"/>
          <w:szCs w:val="17"/>
        </w:rPr>
        <w:t>disponibile in: www.governo.it,</w:t>
      </w:r>
      <w:r w:rsidR="007549FF" w:rsidRPr="00C46C09">
        <w:rPr>
          <w:rFonts w:ascii="Times New Roman" w:hAnsi="Times New Roman" w:cs="Times New Roman"/>
          <w:bCs/>
          <w:i/>
          <w:iCs/>
          <w:sz w:val="17"/>
          <w:szCs w:val="17"/>
        </w:rPr>
        <w:t xml:space="preserve"> </w:t>
      </w:r>
      <w:r w:rsidRPr="00C46C09">
        <w:rPr>
          <w:rFonts w:ascii="Times New Roman" w:hAnsi="Times New Roman" w:cs="Times New Roman"/>
          <w:bCs/>
          <w:iCs/>
          <w:sz w:val="17"/>
          <w:szCs w:val="17"/>
        </w:rPr>
        <w:t>2020</w:t>
      </w:r>
      <w:r w:rsidRPr="00C46C09">
        <w:rPr>
          <w:rFonts w:ascii="Times New Roman" w:hAnsi="Times New Roman" w:cs="Times New Roman"/>
          <w:bCs/>
          <w:i/>
          <w:iCs/>
          <w:sz w:val="17"/>
          <w:szCs w:val="17"/>
        </w:rPr>
        <w:t>,</w:t>
      </w:r>
      <w:r w:rsidRPr="00C46C09">
        <w:rPr>
          <w:rFonts w:ascii="Times New Roman" w:hAnsi="Times New Roman" w:cs="Times New Roman"/>
          <w:sz w:val="17"/>
          <w:szCs w:val="17"/>
        </w:rPr>
        <w:t xml:space="preserve"> 96.</w:t>
      </w:r>
    </w:p>
  </w:footnote>
  <w:footnote w:id="26">
    <w:p w14:paraId="6EA046CF" w14:textId="77777777" w:rsidR="00A1593D" w:rsidRPr="00C46C09" w:rsidRDefault="00A1593D" w:rsidP="006277A5">
      <w:pPr>
        <w:pStyle w:val="Testonotaapidipagina"/>
        <w:ind w:right="-28"/>
        <w:jc w:val="both"/>
        <w:rPr>
          <w:rFonts w:ascii="Times New Roman" w:hAnsi="Times New Roman" w:cs="Times New Roman"/>
          <w:sz w:val="17"/>
          <w:szCs w:val="17"/>
        </w:rPr>
      </w:pPr>
      <w:r w:rsidRPr="00C46C09">
        <w:rPr>
          <w:rStyle w:val="Rimandonotaapidipagina"/>
          <w:rFonts w:ascii="Times New Roman" w:hAnsi="Times New Roman" w:cs="Times New Roman"/>
          <w:sz w:val="17"/>
          <w:szCs w:val="17"/>
        </w:rPr>
        <w:footnoteRef/>
      </w:r>
      <w:r w:rsidRPr="00C46C09">
        <w:rPr>
          <w:rFonts w:ascii="Times New Roman" w:hAnsi="Times New Roman" w:cs="Times New Roman"/>
          <w:sz w:val="17"/>
          <w:szCs w:val="17"/>
        </w:rPr>
        <w:t xml:space="preserve"> Si fa riferimento al Piano nazionale di ripresa e resilienza (PNRR), </w:t>
      </w:r>
      <w:r w:rsidR="001C465F" w:rsidRPr="00C46C09">
        <w:rPr>
          <w:rFonts w:ascii="Times New Roman" w:hAnsi="Times New Roman" w:cs="Times New Roman"/>
          <w:sz w:val="17"/>
          <w:szCs w:val="17"/>
        </w:rPr>
        <w:t xml:space="preserve">approvato con decisione del Consiglio dell’Unione europea del </w:t>
      </w:r>
      <w:r w:rsidR="00975D2F" w:rsidRPr="00C46C09">
        <w:rPr>
          <w:rFonts w:ascii="Times New Roman" w:hAnsi="Times New Roman" w:cs="Times New Roman"/>
          <w:sz w:val="17"/>
          <w:szCs w:val="17"/>
        </w:rPr>
        <w:t>13 luglio 2020</w:t>
      </w:r>
      <w:r w:rsidR="00D569C3" w:rsidRPr="00C46C09">
        <w:rPr>
          <w:rFonts w:ascii="Times New Roman" w:hAnsi="Times New Roman" w:cs="Times New Roman"/>
          <w:sz w:val="17"/>
          <w:szCs w:val="17"/>
        </w:rPr>
        <w:t xml:space="preserve">. Il Piano costituisce lo strumento per dare attuazione al programma europeo </w:t>
      </w:r>
      <w:r w:rsidR="00D569C3" w:rsidRPr="00C46C09">
        <w:rPr>
          <w:rFonts w:ascii="Times New Roman" w:hAnsi="Times New Roman" w:cs="Times New Roman"/>
          <w:i/>
          <w:sz w:val="17"/>
          <w:szCs w:val="17"/>
        </w:rPr>
        <w:t xml:space="preserve">Next Generation EU, </w:t>
      </w:r>
      <w:r w:rsidR="00D569C3" w:rsidRPr="00C46C09">
        <w:rPr>
          <w:rFonts w:ascii="Times New Roman" w:hAnsi="Times New Roman" w:cs="Times New Roman"/>
          <w:sz w:val="17"/>
          <w:szCs w:val="17"/>
        </w:rPr>
        <w:t>adottato dall’Unione europea</w:t>
      </w:r>
      <w:r w:rsidR="001738AE" w:rsidRPr="00C46C09">
        <w:rPr>
          <w:rFonts w:ascii="Times New Roman" w:hAnsi="Times New Roman" w:cs="Times New Roman"/>
          <w:sz w:val="17"/>
          <w:szCs w:val="17"/>
        </w:rPr>
        <w:t xml:space="preserve"> per la ripresa post pandemia da Covid-19</w:t>
      </w:r>
      <w:r w:rsidR="00173458" w:rsidRPr="00C46C09">
        <w:rPr>
          <w:rFonts w:ascii="Times New Roman" w:hAnsi="Times New Roman" w:cs="Times New Roman"/>
          <w:sz w:val="17"/>
          <w:szCs w:val="17"/>
        </w:rPr>
        <w:t xml:space="preserve"> e il rilancio</w:t>
      </w:r>
      <w:r w:rsidR="001738AE" w:rsidRPr="00C46C09">
        <w:rPr>
          <w:rFonts w:ascii="Times New Roman" w:hAnsi="Times New Roman" w:cs="Times New Roman"/>
          <w:sz w:val="17"/>
          <w:szCs w:val="17"/>
        </w:rPr>
        <w:t xml:space="preserve"> </w:t>
      </w:r>
      <w:r w:rsidR="00173458" w:rsidRPr="00C46C09">
        <w:rPr>
          <w:rFonts w:ascii="Times New Roman" w:hAnsi="Times New Roman" w:cs="Times New Roman"/>
          <w:sz w:val="17"/>
          <w:szCs w:val="17"/>
        </w:rPr>
        <w:t>del</w:t>
      </w:r>
      <w:r w:rsidR="001738AE" w:rsidRPr="00C46C09">
        <w:rPr>
          <w:rFonts w:ascii="Times New Roman" w:hAnsi="Times New Roman" w:cs="Times New Roman"/>
          <w:sz w:val="17"/>
          <w:szCs w:val="17"/>
        </w:rPr>
        <w:t>l’economia degli Stati membri attraverso riforme e investimenti per il periodo 2021-2026.</w:t>
      </w:r>
    </w:p>
  </w:footnote>
  <w:footnote w:id="27">
    <w:p w14:paraId="15C9616C" w14:textId="77777777" w:rsidR="00B01D29" w:rsidRPr="00C46C09" w:rsidRDefault="00B01D29" w:rsidP="006277A5">
      <w:pPr>
        <w:autoSpaceDE w:val="0"/>
        <w:autoSpaceDN w:val="0"/>
        <w:adjustRightInd w:val="0"/>
        <w:spacing w:line="276" w:lineRule="auto"/>
        <w:ind w:right="-28"/>
        <w:jc w:val="both"/>
        <w:rPr>
          <w:rFonts w:ascii="Times New Roman" w:hAnsi="Times New Roman" w:cs="Times New Roman"/>
          <w:sz w:val="17"/>
          <w:szCs w:val="17"/>
        </w:rPr>
      </w:pPr>
      <w:r w:rsidRPr="00C46C09">
        <w:rPr>
          <w:rStyle w:val="Rimandonotaapidipagina"/>
          <w:rFonts w:ascii="Times New Roman" w:hAnsi="Times New Roman" w:cs="Times New Roman"/>
          <w:sz w:val="17"/>
          <w:szCs w:val="17"/>
        </w:rPr>
        <w:footnoteRef/>
      </w:r>
      <w:r w:rsidRPr="00C46C09">
        <w:rPr>
          <w:rFonts w:ascii="Times New Roman" w:hAnsi="Times New Roman" w:cs="Times New Roman"/>
          <w:sz w:val="17"/>
          <w:szCs w:val="17"/>
        </w:rPr>
        <w:t xml:space="preserve"> La stretta correlazione che l’attività di programmazione presenta rispetto all’attuazione delle misure previste nel Piano nazionale di ripresa e resilienza (PNRR) assume rilevanza sotto una duplice dimensione. Per un verso, nell’ambito degli interventi di riforma previsti dal PNRR per il miglioramento dell’efficacia e della qualità della regolazione è stato riconosciuto rilievo prioritario alle misure relative “</w:t>
      </w:r>
      <w:r w:rsidRPr="00C46C09">
        <w:rPr>
          <w:rFonts w:ascii="Times New Roman" w:hAnsi="Times New Roman" w:cs="Times New Roman"/>
          <w:i/>
          <w:iCs/>
          <w:sz w:val="17"/>
          <w:szCs w:val="17"/>
        </w:rPr>
        <w:t>alla programmazione delle iniziative normative del Governo, al fine di consentire una adeguata istruttoria degli interventi, anche mediante il ricorso alla consultazione</w:t>
      </w:r>
      <w:r w:rsidRPr="00C46C09">
        <w:rPr>
          <w:rFonts w:ascii="Times New Roman" w:hAnsi="Times New Roman" w:cs="Times New Roman"/>
          <w:sz w:val="17"/>
          <w:szCs w:val="17"/>
        </w:rPr>
        <w:t>”. Per altro verso, una sistematica ed efficace programmazione dell’attività di regolazione è funzionale ad un costante e attento monitoraggio degli atti normativi necessari all’attuazione delle misure previste dal PNRR e favorisce, al tempo stesso, la pianificazione di adeguati tempi istruttori da parte della Amministrazioni responsabili delle misure.</w:t>
      </w:r>
    </w:p>
  </w:footnote>
  <w:footnote w:id="28">
    <w:p w14:paraId="69AB2733" w14:textId="77777777" w:rsidR="00365D56" w:rsidRPr="00C46C09" w:rsidRDefault="00365D56" w:rsidP="006277A5">
      <w:pPr>
        <w:pStyle w:val="Testonotaapidipagina"/>
        <w:ind w:right="-28"/>
        <w:jc w:val="both"/>
        <w:rPr>
          <w:rFonts w:ascii="Times New Roman" w:hAnsi="Times New Roman" w:cs="Times New Roman"/>
          <w:sz w:val="17"/>
          <w:szCs w:val="17"/>
        </w:rPr>
      </w:pPr>
      <w:r w:rsidRPr="00C46C09">
        <w:rPr>
          <w:rStyle w:val="Rimandonotaapidipagina"/>
          <w:rFonts w:ascii="Times New Roman" w:hAnsi="Times New Roman" w:cs="Times New Roman"/>
          <w:sz w:val="17"/>
          <w:szCs w:val="17"/>
        </w:rPr>
        <w:footnoteRef/>
      </w:r>
      <w:r w:rsidRPr="00C46C09">
        <w:rPr>
          <w:rFonts w:ascii="Times New Roman" w:hAnsi="Times New Roman" w:cs="Times New Roman"/>
          <w:sz w:val="17"/>
          <w:szCs w:val="17"/>
        </w:rPr>
        <w:t xml:space="preserve"> La Circolare della Presidenza del Consiglio dei ministri del 2 maggio 2001</w:t>
      </w:r>
      <w:r w:rsidR="00C84508" w:rsidRPr="00C46C09">
        <w:rPr>
          <w:rFonts w:ascii="Times New Roman" w:hAnsi="Times New Roman" w:cs="Times New Roman"/>
          <w:sz w:val="17"/>
          <w:szCs w:val="17"/>
        </w:rPr>
        <w:t xml:space="preserve">, par. 3.2, </w:t>
      </w:r>
      <w:r w:rsidRPr="00C46C09">
        <w:rPr>
          <w:rFonts w:ascii="Times New Roman" w:hAnsi="Times New Roman" w:cs="Times New Roman"/>
          <w:sz w:val="17"/>
          <w:szCs w:val="17"/>
        </w:rPr>
        <w:t>specifica che «</w:t>
      </w:r>
      <w:r w:rsidRPr="00C46C09">
        <w:rPr>
          <w:rFonts w:ascii="Times New Roman" w:hAnsi="Times New Roman" w:cs="Times New Roman"/>
          <w:i/>
          <w:sz w:val="17"/>
          <w:szCs w:val="17"/>
        </w:rPr>
        <w:t>la deroga interviene quando si prevede, con una nuova disposizione, una eccezione alla disposizione già in vigore sulla stessa materia. Qualora la deroga sia successivamente eliminata, la originaria disposizione riespande la sua efficacia</w:t>
      </w:r>
      <w:r w:rsidRPr="00C46C09">
        <w:rPr>
          <w:rFonts w:ascii="Times New Roman" w:hAnsi="Times New Roman" w:cs="Times New Roman"/>
          <w:sz w:val="17"/>
          <w:szCs w:val="17"/>
        </w:rPr>
        <w:t>».</w:t>
      </w:r>
      <w:r w:rsidR="00C84508" w:rsidRPr="00C46C09">
        <w:rPr>
          <w:rFonts w:ascii="Times New Roman" w:hAnsi="Times New Roman" w:cs="Times New Roman"/>
          <w:sz w:val="17"/>
          <w:szCs w:val="17"/>
        </w:rPr>
        <w:t xml:space="preserve"> </w:t>
      </w:r>
    </w:p>
  </w:footnote>
  <w:footnote w:id="29">
    <w:p w14:paraId="660BCDDB" w14:textId="77777777" w:rsidR="00C84508" w:rsidRPr="00C46C09" w:rsidRDefault="00C84508" w:rsidP="006277A5">
      <w:pPr>
        <w:pStyle w:val="Testonotaapidipagina"/>
        <w:ind w:right="-28"/>
        <w:jc w:val="both"/>
        <w:rPr>
          <w:rFonts w:ascii="Times New Roman" w:hAnsi="Times New Roman" w:cs="Times New Roman"/>
          <w:sz w:val="17"/>
          <w:szCs w:val="17"/>
        </w:rPr>
      </w:pPr>
      <w:r w:rsidRPr="00C46C09">
        <w:rPr>
          <w:rStyle w:val="Rimandonotaapidipagina"/>
          <w:rFonts w:ascii="Times New Roman" w:hAnsi="Times New Roman" w:cs="Times New Roman"/>
          <w:sz w:val="17"/>
          <w:szCs w:val="17"/>
        </w:rPr>
        <w:footnoteRef/>
      </w:r>
      <w:r w:rsidRPr="00C46C09">
        <w:rPr>
          <w:rFonts w:ascii="Times New Roman" w:hAnsi="Times New Roman" w:cs="Times New Roman"/>
          <w:sz w:val="17"/>
          <w:szCs w:val="17"/>
        </w:rPr>
        <w:t xml:space="preserve"> La Circolare della Presidenza del Consiglio dei ministri del 2 maggio 2001, par. 3.4, specifica che «</w:t>
      </w:r>
      <w:r w:rsidRPr="00C46C09">
        <w:rPr>
          <w:rFonts w:ascii="Times New Roman" w:hAnsi="Times New Roman" w:cs="Times New Roman"/>
          <w:i/>
          <w:sz w:val="17"/>
          <w:szCs w:val="17"/>
        </w:rPr>
        <w:t>la proroga di una norma interviene sui limiti temporali di applicazione di una disposizione ovvero quando i termini di vigenza della disposizione stessa non sono ancora scaduti; interviene, invece, il differimento quando i termini di vigenza della disposizione sono già scaduti</w:t>
      </w:r>
      <w:r w:rsidRPr="00C46C09">
        <w:rPr>
          <w:rFonts w:ascii="Times New Roman" w:hAnsi="Times New Roman" w:cs="Times New Roman"/>
          <w:sz w:val="17"/>
          <w:szCs w:val="17"/>
        </w:rPr>
        <w:t>».</w:t>
      </w:r>
    </w:p>
  </w:footnote>
  <w:footnote w:id="30">
    <w:p w14:paraId="6DE52DD6" w14:textId="77777777" w:rsidR="00FD7849" w:rsidRPr="00C46C09" w:rsidRDefault="00FD7849" w:rsidP="006277A5">
      <w:pPr>
        <w:pStyle w:val="Testonotaapidipagina"/>
        <w:ind w:right="-28"/>
        <w:jc w:val="both"/>
        <w:rPr>
          <w:rFonts w:ascii="Times New Roman" w:hAnsi="Times New Roman" w:cs="Times New Roman"/>
          <w:sz w:val="17"/>
          <w:szCs w:val="17"/>
        </w:rPr>
      </w:pPr>
      <w:r w:rsidRPr="00C46C09">
        <w:rPr>
          <w:rStyle w:val="Rimandonotaapidipagina"/>
          <w:rFonts w:ascii="Times New Roman" w:hAnsi="Times New Roman" w:cs="Times New Roman"/>
          <w:sz w:val="17"/>
          <w:szCs w:val="17"/>
        </w:rPr>
        <w:footnoteRef/>
      </w:r>
      <w:r w:rsidRPr="00C46C09">
        <w:rPr>
          <w:rFonts w:ascii="Times New Roman" w:hAnsi="Times New Roman" w:cs="Times New Roman"/>
          <w:sz w:val="17"/>
          <w:szCs w:val="17"/>
        </w:rPr>
        <w:t xml:space="preserve"> </w:t>
      </w:r>
      <w:r w:rsidR="00862831" w:rsidRPr="00C46C09">
        <w:rPr>
          <w:rFonts w:ascii="Times New Roman" w:hAnsi="Times New Roman" w:cs="Times New Roman"/>
          <w:sz w:val="17"/>
          <w:szCs w:val="17"/>
        </w:rPr>
        <w:t>Già nella Circolare del Presidente del Consiglio dei ministri Spadolini, del 22 gennaio 1982, in materia di coordinamento delle attività preparatorie alla iniziativa legislativa del Governo</w:t>
      </w:r>
      <w:r w:rsidRPr="00C46C09">
        <w:rPr>
          <w:rFonts w:ascii="Times New Roman" w:hAnsi="Times New Roman" w:cs="Times New Roman"/>
          <w:sz w:val="17"/>
          <w:szCs w:val="17"/>
        </w:rPr>
        <w:t xml:space="preserve">, si </w:t>
      </w:r>
      <w:r w:rsidR="00862831" w:rsidRPr="00C46C09">
        <w:rPr>
          <w:rFonts w:ascii="Times New Roman" w:hAnsi="Times New Roman" w:cs="Times New Roman"/>
          <w:sz w:val="17"/>
          <w:szCs w:val="17"/>
        </w:rPr>
        <w:t>raccomandava</w:t>
      </w:r>
      <w:r w:rsidRPr="00C46C09">
        <w:rPr>
          <w:rFonts w:ascii="Times New Roman" w:hAnsi="Times New Roman" w:cs="Times New Roman"/>
          <w:sz w:val="17"/>
          <w:szCs w:val="17"/>
        </w:rPr>
        <w:t xml:space="preserve">: </w:t>
      </w:r>
      <w:r w:rsidR="00862831" w:rsidRPr="00C46C09">
        <w:rPr>
          <w:rFonts w:ascii="Times New Roman" w:hAnsi="Times New Roman" w:cs="Times New Roman"/>
          <w:sz w:val="17"/>
          <w:szCs w:val="17"/>
        </w:rPr>
        <w:t>«</w:t>
      </w:r>
      <w:r w:rsidR="00983AE2" w:rsidRPr="00C46C09">
        <w:rPr>
          <w:rFonts w:ascii="Times New Roman" w:hAnsi="Times New Roman" w:cs="Times New Roman"/>
          <w:sz w:val="17"/>
          <w:szCs w:val="17"/>
        </w:rPr>
        <w:t xml:space="preserve">(…) </w:t>
      </w:r>
      <w:r w:rsidRPr="00C46C09">
        <w:rPr>
          <w:rFonts w:ascii="Times New Roman" w:hAnsi="Times New Roman" w:cs="Times New Roman"/>
          <w:sz w:val="17"/>
          <w:szCs w:val="17"/>
        </w:rPr>
        <w:t xml:space="preserve">Nelle ipotesi comunque di periodiche reiterazioni di tali differimenti, è necessario </w:t>
      </w:r>
      <w:r w:rsidR="00862831" w:rsidRPr="00C46C09">
        <w:rPr>
          <w:rFonts w:ascii="Times New Roman" w:hAnsi="Times New Roman" w:cs="Times New Roman"/>
          <w:sz w:val="17"/>
          <w:szCs w:val="17"/>
        </w:rPr>
        <w:t>riconsiderare</w:t>
      </w:r>
      <w:r w:rsidRPr="00C46C09">
        <w:rPr>
          <w:rFonts w:ascii="Times New Roman" w:hAnsi="Times New Roman" w:cs="Times New Roman"/>
          <w:sz w:val="17"/>
          <w:szCs w:val="17"/>
        </w:rPr>
        <w:t xml:space="preserve"> realisticamente la normativa cui essi ineriscono, affidando a disegni di legge modificativi la revisione di assetti strutturali, amministrativi ed opera</w:t>
      </w:r>
      <w:r w:rsidR="00862831" w:rsidRPr="00C46C09">
        <w:rPr>
          <w:rFonts w:ascii="Times New Roman" w:hAnsi="Times New Roman" w:cs="Times New Roman"/>
          <w:sz w:val="17"/>
          <w:szCs w:val="17"/>
        </w:rPr>
        <w:t>t</w:t>
      </w:r>
      <w:r w:rsidRPr="00C46C09">
        <w:rPr>
          <w:rFonts w:ascii="Times New Roman" w:hAnsi="Times New Roman" w:cs="Times New Roman"/>
          <w:sz w:val="17"/>
          <w:szCs w:val="17"/>
        </w:rPr>
        <w:t>ivi</w:t>
      </w:r>
      <w:r w:rsidR="00862831" w:rsidRPr="00C46C09">
        <w:rPr>
          <w:rFonts w:ascii="Times New Roman" w:hAnsi="Times New Roman" w:cs="Times New Roman"/>
          <w:sz w:val="17"/>
          <w:szCs w:val="17"/>
        </w:rPr>
        <w:t xml:space="preserve"> rilevatisi inadeguati alla luce dell’esperienza o della vocazione delle amministrazioni responsabili».</w:t>
      </w:r>
    </w:p>
  </w:footnote>
  <w:footnote w:id="31">
    <w:p w14:paraId="74E21CDC" w14:textId="77B6010D" w:rsidR="001A2C8E" w:rsidRPr="001A2C8E" w:rsidRDefault="001A2C8E" w:rsidP="001A2C8E">
      <w:pPr>
        <w:pStyle w:val="Testonotaapidipagina"/>
        <w:jc w:val="both"/>
        <w:rPr>
          <w:rFonts w:ascii="Times New Roman" w:hAnsi="Times New Roman" w:cs="Times New Roman"/>
          <w:sz w:val="17"/>
          <w:szCs w:val="17"/>
        </w:rPr>
      </w:pPr>
      <w:r w:rsidRPr="001A2C8E">
        <w:rPr>
          <w:rStyle w:val="Rimandonotaapidipagina"/>
          <w:rFonts w:ascii="Times New Roman" w:hAnsi="Times New Roman" w:cs="Times New Roman"/>
          <w:sz w:val="16"/>
          <w:szCs w:val="16"/>
        </w:rPr>
        <w:footnoteRef/>
      </w:r>
      <w:r w:rsidRPr="001A2C8E">
        <w:rPr>
          <w:rFonts w:ascii="Times New Roman" w:hAnsi="Times New Roman" w:cs="Times New Roman"/>
          <w:sz w:val="16"/>
          <w:szCs w:val="16"/>
        </w:rPr>
        <w:t xml:space="preserve"> </w:t>
      </w:r>
      <w:r w:rsidRPr="001A2C8E">
        <w:rPr>
          <w:rFonts w:ascii="Times New Roman" w:hAnsi="Times New Roman" w:cs="Times New Roman"/>
          <w:sz w:val="17"/>
          <w:szCs w:val="17"/>
        </w:rPr>
        <w:t xml:space="preserve">Nel nostro ordinamento sono state introdotte alcune fattispecie di </w:t>
      </w:r>
      <w:r w:rsidRPr="001A2C8E">
        <w:rPr>
          <w:rFonts w:ascii="Times New Roman" w:hAnsi="Times New Roman" w:cs="Times New Roman"/>
          <w:i/>
          <w:sz w:val="17"/>
          <w:szCs w:val="17"/>
        </w:rPr>
        <w:t xml:space="preserve">regulatory sandbox. </w:t>
      </w:r>
      <w:r w:rsidRPr="001A2C8E">
        <w:rPr>
          <w:rFonts w:ascii="Times New Roman" w:hAnsi="Times New Roman" w:cs="Times New Roman"/>
          <w:sz w:val="17"/>
          <w:szCs w:val="17"/>
        </w:rPr>
        <w:t>Si tratta della “Sperimentazione Fintech” (articolo 36, commi 2-bis e seguenti, del decreto-legge 30 aprile 2019, n. 34, convertito, con modificazioni, dalla legge 28 giugno 2019, n. 58, e decreto del Ministro dell’economia e delle finanze, 30 aprile 2021, n.100 in attuazione) e della “Sperimentazione Italia” (articolo 36 del decreto-legge 16 luglio 2020 n. 76 convertito, con modificazioni, dalla legge n. 120 dell'11 settembre 2020, concernente “Misure di semplificazione amministrativa per l'innovazione”).</w:t>
      </w:r>
    </w:p>
  </w:footnote>
  <w:footnote w:id="32">
    <w:p w14:paraId="0C1C5E6F" w14:textId="77777777" w:rsidR="001C3611" w:rsidRPr="00C46C09" w:rsidRDefault="001C3611" w:rsidP="006277A5">
      <w:pPr>
        <w:pStyle w:val="Testonotaapidipagina"/>
        <w:ind w:right="-28"/>
        <w:jc w:val="both"/>
        <w:rPr>
          <w:sz w:val="17"/>
          <w:szCs w:val="17"/>
        </w:rPr>
      </w:pPr>
      <w:r w:rsidRPr="00C46C09">
        <w:rPr>
          <w:rStyle w:val="Rimandonotaapidipagina"/>
          <w:sz w:val="17"/>
          <w:szCs w:val="17"/>
        </w:rPr>
        <w:footnoteRef/>
      </w:r>
      <w:r w:rsidRPr="00C46C09">
        <w:rPr>
          <w:sz w:val="17"/>
          <w:szCs w:val="17"/>
        </w:rPr>
        <w:t xml:space="preserve"> </w:t>
      </w:r>
      <w:r w:rsidRPr="00C46C09">
        <w:rPr>
          <w:rFonts w:ascii="Times New Roman" w:hAnsi="Times New Roman" w:cs="Times New Roman"/>
          <w:sz w:val="17"/>
          <w:szCs w:val="17"/>
        </w:rPr>
        <w:t xml:space="preserve">Si tratta di un problema annoso, già diffusamente descritto in </w:t>
      </w:r>
      <w:r w:rsidRPr="00C46C09">
        <w:rPr>
          <w:rFonts w:ascii="Times New Roman" w:hAnsi="Times New Roman" w:cs="Times New Roman"/>
          <w:smallCaps/>
          <w:sz w:val="17"/>
          <w:szCs w:val="17"/>
        </w:rPr>
        <w:t>B. Leoni</w:t>
      </w:r>
      <w:r w:rsidRPr="00C46C09">
        <w:rPr>
          <w:rFonts w:ascii="Times New Roman" w:hAnsi="Times New Roman" w:cs="Times New Roman"/>
          <w:sz w:val="17"/>
          <w:szCs w:val="17"/>
        </w:rPr>
        <w:t xml:space="preserve">, </w:t>
      </w:r>
      <w:r w:rsidRPr="00C46C09">
        <w:rPr>
          <w:rFonts w:ascii="Times New Roman" w:hAnsi="Times New Roman" w:cs="Times New Roman"/>
          <w:i/>
          <w:sz w:val="17"/>
          <w:szCs w:val="17"/>
        </w:rPr>
        <w:t xml:space="preserve">Tecnica di formazione delle leggi e uffici legislativi, </w:t>
      </w:r>
      <w:r w:rsidR="004E63CD" w:rsidRPr="00C46C09">
        <w:rPr>
          <w:rFonts w:ascii="Times New Roman" w:hAnsi="Times New Roman" w:cs="Times New Roman"/>
          <w:sz w:val="17"/>
          <w:szCs w:val="17"/>
        </w:rPr>
        <w:t>in</w:t>
      </w:r>
      <w:r w:rsidR="004E63CD" w:rsidRPr="00C46C09">
        <w:rPr>
          <w:rFonts w:ascii="Times New Roman" w:hAnsi="Times New Roman" w:cs="Times New Roman"/>
          <w:i/>
          <w:sz w:val="17"/>
          <w:szCs w:val="17"/>
        </w:rPr>
        <w:t xml:space="preserve"> Responsabilità e dialogo, </w:t>
      </w:r>
      <w:r w:rsidR="004E63CD" w:rsidRPr="00C46C09">
        <w:rPr>
          <w:rFonts w:ascii="Times New Roman" w:hAnsi="Times New Roman" w:cs="Times New Roman"/>
          <w:sz w:val="17"/>
          <w:szCs w:val="17"/>
        </w:rPr>
        <w:t xml:space="preserve">1969, </w:t>
      </w:r>
      <w:r w:rsidRPr="00C46C09">
        <w:rPr>
          <w:rFonts w:ascii="Times New Roman" w:hAnsi="Times New Roman" w:cs="Times New Roman"/>
          <w:sz w:val="17"/>
          <w:szCs w:val="17"/>
        </w:rPr>
        <w:t>64.</w:t>
      </w:r>
    </w:p>
  </w:footnote>
  <w:footnote w:id="33">
    <w:p w14:paraId="375F8D2F" w14:textId="77777777" w:rsidR="004E63CD" w:rsidRPr="00C46C09" w:rsidRDefault="004E63CD" w:rsidP="006277A5">
      <w:pPr>
        <w:pStyle w:val="Testonotaapidipagina"/>
        <w:ind w:right="-28"/>
        <w:jc w:val="both"/>
        <w:rPr>
          <w:sz w:val="17"/>
          <w:szCs w:val="17"/>
        </w:rPr>
      </w:pPr>
      <w:r w:rsidRPr="00C46C09">
        <w:rPr>
          <w:rStyle w:val="Rimandonotaapidipagina"/>
          <w:sz w:val="17"/>
          <w:szCs w:val="17"/>
        </w:rPr>
        <w:footnoteRef/>
      </w:r>
      <w:r w:rsidRPr="00C46C09">
        <w:rPr>
          <w:sz w:val="17"/>
          <w:szCs w:val="17"/>
        </w:rPr>
        <w:t xml:space="preserve"> </w:t>
      </w:r>
      <w:r w:rsidRPr="00C46C09">
        <w:rPr>
          <w:rFonts w:ascii="Times New Roman" w:hAnsi="Times New Roman" w:cs="Times New Roman"/>
          <w:sz w:val="17"/>
          <w:szCs w:val="17"/>
        </w:rPr>
        <w:t xml:space="preserve">Come infatti affermava uno dei primi legisti dell’Italia repubblicana: «(….)la tecnica legislativa è qualcosa di più e di diverso dalla tecnica giuridica pura. In questo senso può anche dirsi che il redattore di leggi non deve essere soltanto un uomo di legge, perché la formulazione legislativa richiede, oltre al possesso di nozioni giuridiche, particolari doti di intuizione e di sensibilità; è un’arte che si affina con l’esperienza ed il continuo esercizio», B. Leoni, </w:t>
      </w:r>
      <w:r w:rsidRPr="00C46C09">
        <w:rPr>
          <w:rFonts w:ascii="Times New Roman" w:hAnsi="Times New Roman" w:cs="Times New Roman"/>
          <w:i/>
          <w:sz w:val="17"/>
          <w:szCs w:val="17"/>
        </w:rPr>
        <w:t xml:space="preserve">Tecnica di formazione delle leggi e uffici legislativi, </w:t>
      </w:r>
      <w:r w:rsidRPr="00C46C09">
        <w:rPr>
          <w:rFonts w:ascii="Times New Roman" w:hAnsi="Times New Roman" w:cs="Times New Roman"/>
          <w:sz w:val="17"/>
          <w:szCs w:val="17"/>
        </w:rPr>
        <w:t>cit., 64.</w:t>
      </w:r>
    </w:p>
  </w:footnote>
  <w:footnote w:id="34">
    <w:p w14:paraId="67B81B24" w14:textId="77777777" w:rsidR="00EC51F6" w:rsidRPr="00C46C09" w:rsidRDefault="00EC51F6" w:rsidP="006277A5">
      <w:pPr>
        <w:pStyle w:val="Testonotaapidipagina"/>
        <w:ind w:right="-28"/>
        <w:jc w:val="both"/>
        <w:rPr>
          <w:sz w:val="17"/>
          <w:szCs w:val="17"/>
        </w:rPr>
      </w:pPr>
      <w:r w:rsidRPr="00C46C09">
        <w:rPr>
          <w:rStyle w:val="Rimandonotaapidipagina"/>
          <w:rFonts w:ascii="Times New Roman" w:hAnsi="Times New Roman" w:cs="Times New Roman"/>
          <w:sz w:val="17"/>
          <w:szCs w:val="17"/>
        </w:rPr>
        <w:footnoteRef/>
      </w:r>
      <w:r w:rsidRPr="00C46C09">
        <w:rPr>
          <w:rFonts w:ascii="Times New Roman" w:hAnsi="Times New Roman" w:cs="Times New Roman"/>
          <w:sz w:val="17"/>
          <w:szCs w:val="17"/>
        </w:rPr>
        <w:t xml:space="preserve"> </w:t>
      </w:r>
      <w:r w:rsidR="001C557D" w:rsidRPr="00C46C09">
        <w:rPr>
          <w:rFonts w:ascii="Times New Roman" w:hAnsi="Times New Roman" w:cs="Times New Roman"/>
          <w:i/>
          <w:sz w:val="17"/>
          <w:szCs w:val="17"/>
        </w:rPr>
        <w:t>Rapporto sui principali problemi della amministrazione dello Stato</w:t>
      </w:r>
      <w:r w:rsidR="001C557D" w:rsidRPr="00C46C09">
        <w:rPr>
          <w:rFonts w:ascii="Times New Roman" w:hAnsi="Times New Roman" w:cs="Times New Roman"/>
          <w:sz w:val="17"/>
          <w:szCs w:val="17"/>
        </w:rPr>
        <w:t>, trasmesso al Senato della Repubblica e alla Camera dei deputati dal Ministro per la funzione pubblica Massimo Severo Giannini il 16 novembre 1979.</w:t>
      </w:r>
    </w:p>
  </w:footnote>
  <w:footnote w:id="35">
    <w:p w14:paraId="1CF61078" w14:textId="77777777" w:rsidR="001C3611" w:rsidRPr="00C46C09" w:rsidRDefault="001C3611" w:rsidP="006277A5">
      <w:pPr>
        <w:pStyle w:val="Testonotaapidipagina"/>
        <w:ind w:right="-28"/>
        <w:jc w:val="both"/>
        <w:rPr>
          <w:rFonts w:ascii="Times New Roman" w:hAnsi="Times New Roman" w:cs="Times New Roman"/>
          <w:sz w:val="17"/>
          <w:szCs w:val="17"/>
        </w:rPr>
      </w:pPr>
      <w:r w:rsidRPr="00C46C09">
        <w:rPr>
          <w:rStyle w:val="Rimandonotaapidipagina"/>
          <w:sz w:val="17"/>
          <w:szCs w:val="17"/>
        </w:rPr>
        <w:footnoteRef/>
      </w:r>
      <w:r w:rsidRPr="00C46C09">
        <w:rPr>
          <w:sz w:val="17"/>
          <w:szCs w:val="17"/>
        </w:rPr>
        <w:t xml:space="preserve"> </w:t>
      </w:r>
      <w:r w:rsidRPr="00C46C09">
        <w:rPr>
          <w:rFonts w:ascii="Times New Roman" w:hAnsi="Times New Roman" w:cs="Times New Roman"/>
          <w:sz w:val="17"/>
          <w:szCs w:val="17"/>
        </w:rPr>
        <w:t xml:space="preserve">Sulla stretta connessione fra i problemi di tecnica legislativa e quelli propri del diritto costituzionale si veda </w:t>
      </w:r>
      <w:r w:rsidRPr="00C46C09">
        <w:rPr>
          <w:rFonts w:ascii="Times New Roman" w:hAnsi="Times New Roman" w:cs="Times New Roman"/>
          <w:smallCaps/>
          <w:sz w:val="17"/>
          <w:szCs w:val="17"/>
        </w:rPr>
        <w:t>P. Costanzo</w:t>
      </w:r>
      <w:r w:rsidRPr="00C46C09">
        <w:rPr>
          <w:rFonts w:ascii="Times New Roman" w:hAnsi="Times New Roman" w:cs="Times New Roman"/>
          <w:sz w:val="17"/>
          <w:szCs w:val="17"/>
        </w:rPr>
        <w:t xml:space="preserve">, </w:t>
      </w:r>
      <w:r w:rsidRPr="00C46C09">
        <w:rPr>
          <w:rFonts w:ascii="Times New Roman" w:hAnsi="Times New Roman" w:cs="Times New Roman"/>
          <w:i/>
          <w:sz w:val="17"/>
          <w:szCs w:val="17"/>
        </w:rPr>
        <w:t>Il fondamento costituzionale della qualità della normazione</w:t>
      </w:r>
      <w:r w:rsidRPr="00C46C09">
        <w:rPr>
          <w:rFonts w:ascii="Times New Roman" w:hAnsi="Times New Roman" w:cs="Times New Roman"/>
          <w:sz w:val="17"/>
          <w:szCs w:val="17"/>
        </w:rPr>
        <w:t xml:space="preserve">, relazione presentata il 1° febbraio 2008 al Corso di perfezionamento sulla qualità della normazione e, in particolare, la formazione e la valutazione delle leggi dell’Università degli Studi di Firenze, disponibile in </w:t>
      </w:r>
      <w:hyperlink r:id="rId3" w:history="1">
        <w:r w:rsidRPr="00C46C09">
          <w:rPr>
            <w:rStyle w:val="Collegamentoipertestuale"/>
            <w:rFonts w:ascii="Times New Roman" w:hAnsi="Times New Roman" w:cs="Times New Roman"/>
            <w:sz w:val="17"/>
            <w:szCs w:val="17"/>
          </w:rPr>
          <w:t>http://www.consiglio.regione.toscana.it</w:t>
        </w:r>
      </w:hyperlink>
      <w:r w:rsidRPr="00C46C09">
        <w:rPr>
          <w:rFonts w:ascii="Times New Roman" w:hAnsi="Times New Roman" w:cs="Times New Roman"/>
          <w:sz w:val="17"/>
          <w:szCs w:val="17"/>
        </w:rPr>
        <w:t xml:space="preserve">. </w:t>
      </w:r>
    </w:p>
    <w:p w14:paraId="26E27DA6" w14:textId="77777777" w:rsidR="001C3611" w:rsidRPr="00C46C09" w:rsidRDefault="001C3611" w:rsidP="006277A5">
      <w:pPr>
        <w:pStyle w:val="Testonotaapidipagina"/>
        <w:ind w:right="-28"/>
        <w:rPr>
          <w:sz w:val="17"/>
          <w:szCs w:val="17"/>
        </w:rPr>
      </w:pPr>
    </w:p>
  </w:footnote>
  <w:footnote w:id="36">
    <w:p w14:paraId="59FB09AB" w14:textId="3AC531DE" w:rsidR="001C3611" w:rsidRPr="00C46C09" w:rsidRDefault="001C3611" w:rsidP="006277A5">
      <w:pPr>
        <w:pStyle w:val="Testonotaapidipagina"/>
        <w:ind w:right="-28"/>
        <w:rPr>
          <w:sz w:val="17"/>
          <w:szCs w:val="17"/>
        </w:rPr>
      </w:pPr>
      <w:r w:rsidRPr="00C46C09">
        <w:rPr>
          <w:rStyle w:val="Rimandonotaapidipagina"/>
          <w:sz w:val="17"/>
          <w:szCs w:val="17"/>
        </w:rPr>
        <w:footnoteRef/>
      </w:r>
      <w:r w:rsidRPr="00C46C09">
        <w:rPr>
          <w:sz w:val="17"/>
          <w:szCs w:val="17"/>
        </w:rPr>
        <w:t xml:space="preserve"> </w:t>
      </w:r>
      <w:r w:rsidRPr="00C46C09">
        <w:rPr>
          <w:rFonts w:ascii="Times New Roman" w:hAnsi="Times New Roman" w:cs="Times New Roman"/>
          <w:sz w:val="17"/>
          <w:szCs w:val="17"/>
        </w:rPr>
        <w:t xml:space="preserve">Sul tema si rimanda a </w:t>
      </w:r>
      <w:r w:rsidRPr="00C46C09">
        <w:rPr>
          <w:rFonts w:ascii="Times New Roman" w:eastAsia="Stempel Garamond Roman" w:hAnsi="Times New Roman" w:cs="Times New Roman"/>
          <w:sz w:val="17"/>
          <w:szCs w:val="17"/>
        </w:rPr>
        <w:t xml:space="preserve">R. </w:t>
      </w:r>
      <w:r w:rsidRPr="00C46C09">
        <w:rPr>
          <w:rFonts w:ascii="Times New Roman" w:eastAsia="Stempel Garamond Roman" w:hAnsi="Times New Roman" w:cs="Times New Roman"/>
          <w:smallCaps/>
          <w:sz w:val="17"/>
          <w:szCs w:val="17"/>
        </w:rPr>
        <w:t>Pagano</w:t>
      </w:r>
      <w:r w:rsidRPr="00C46C09">
        <w:rPr>
          <w:rFonts w:ascii="Times New Roman" w:eastAsia="Stempel Garamond Roman" w:hAnsi="Times New Roman" w:cs="Times New Roman"/>
          <w:sz w:val="17"/>
          <w:szCs w:val="17"/>
        </w:rPr>
        <w:t xml:space="preserve">, </w:t>
      </w:r>
      <w:r w:rsidRPr="00C46C09">
        <w:rPr>
          <w:rFonts w:ascii="Times New Roman" w:eastAsia="Stempel Garamond Roman" w:hAnsi="Times New Roman" w:cs="Times New Roman"/>
          <w:i/>
          <w:sz w:val="17"/>
          <w:szCs w:val="17"/>
        </w:rPr>
        <w:t xml:space="preserve">Introduzione alla legistica, L’arte di preparare le leggi, </w:t>
      </w:r>
      <w:r w:rsidR="00F27C35" w:rsidRPr="00C46C09">
        <w:rPr>
          <w:rFonts w:ascii="Times New Roman" w:eastAsia="Stempel Garamond Roman" w:hAnsi="Times New Roman" w:cs="Times New Roman"/>
          <w:sz w:val="17"/>
          <w:szCs w:val="17"/>
        </w:rPr>
        <w:t>cit.,</w:t>
      </w:r>
      <w:r w:rsidRPr="00C46C09">
        <w:rPr>
          <w:rFonts w:ascii="Times New Roman" w:eastAsia="Stempel Garamond Roman" w:hAnsi="Times New Roman" w:cs="Times New Roman"/>
          <w:sz w:val="17"/>
          <w:szCs w:val="17"/>
        </w:rPr>
        <w:t xml:space="preserve"> 161</w:t>
      </w:r>
      <w:r w:rsidR="00E52AD6">
        <w:rPr>
          <w:rFonts w:ascii="Times New Roman" w:eastAsia="Stempel Garamond Roman" w:hAnsi="Times New Roman" w:cs="Times New Roman"/>
          <w:sz w:val="17"/>
          <w:szCs w:val="17"/>
        </w:rPr>
        <w:t xml:space="preserve"> s</w:t>
      </w:r>
      <w:r w:rsidRPr="00C46C09">
        <w:rPr>
          <w:rFonts w:ascii="Times New Roman" w:eastAsia="Stempel Garamond Roman" w:hAnsi="Times New Roman" w:cs="Times New Roman"/>
          <w:sz w:val="17"/>
          <w:szCs w:val="17"/>
        </w:rPr>
        <w:t>s.</w:t>
      </w:r>
    </w:p>
  </w:footnote>
  <w:footnote w:id="37">
    <w:p w14:paraId="0EAEC016" w14:textId="6B58CC11" w:rsidR="001C3611" w:rsidRPr="00C46C09" w:rsidRDefault="001C3611" w:rsidP="006277A5">
      <w:pPr>
        <w:pStyle w:val="Testonotaapidipagina"/>
        <w:ind w:right="-28"/>
        <w:jc w:val="both"/>
        <w:rPr>
          <w:sz w:val="17"/>
          <w:szCs w:val="17"/>
        </w:rPr>
      </w:pPr>
      <w:r w:rsidRPr="00C46C09">
        <w:rPr>
          <w:rStyle w:val="Rimandonotaapidipagina"/>
          <w:sz w:val="17"/>
          <w:szCs w:val="17"/>
        </w:rPr>
        <w:footnoteRef/>
      </w:r>
      <w:r w:rsidRPr="00C46C09">
        <w:rPr>
          <w:sz w:val="17"/>
          <w:szCs w:val="17"/>
        </w:rPr>
        <w:t xml:space="preserve"> </w:t>
      </w:r>
      <w:r w:rsidRPr="00C46C09">
        <w:rPr>
          <w:rFonts w:ascii="Times New Roman" w:hAnsi="Times New Roman" w:cs="Times New Roman"/>
          <w:sz w:val="17"/>
          <w:szCs w:val="17"/>
        </w:rPr>
        <w:t xml:space="preserve">Sul tema, particolarmente ampio, si rinvia a </w:t>
      </w:r>
      <w:r w:rsidRPr="00C46C09">
        <w:rPr>
          <w:rFonts w:ascii="Times New Roman" w:hAnsi="Times New Roman" w:cs="Times New Roman"/>
          <w:smallCaps/>
          <w:sz w:val="17"/>
          <w:szCs w:val="17"/>
        </w:rPr>
        <w:t>M. A. Sandulli</w:t>
      </w:r>
      <w:r w:rsidRPr="00C46C09">
        <w:rPr>
          <w:rFonts w:ascii="Times New Roman" w:hAnsi="Times New Roman" w:cs="Times New Roman"/>
          <w:sz w:val="17"/>
          <w:szCs w:val="17"/>
        </w:rPr>
        <w:t xml:space="preserve"> (a cura di), </w:t>
      </w:r>
      <w:r w:rsidRPr="00C46C09">
        <w:rPr>
          <w:rFonts w:ascii="Times New Roman" w:hAnsi="Times New Roman" w:cs="Times New Roman"/>
          <w:i/>
          <w:sz w:val="17"/>
          <w:szCs w:val="17"/>
        </w:rPr>
        <w:t>Codificazione, semplificazione e qualità delle regole. Atti del Convegno (Roma, 17-18 marzo 2005)</w:t>
      </w:r>
      <w:r w:rsidRPr="00C46C09">
        <w:rPr>
          <w:rFonts w:ascii="Times New Roman" w:hAnsi="Times New Roman" w:cs="Times New Roman"/>
          <w:sz w:val="17"/>
          <w:szCs w:val="17"/>
        </w:rPr>
        <w:t xml:space="preserve">, </w:t>
      </w:r>
      <w:r w:rsidR="007549FF" w:rsidRPr="00C46C09">
        <w:rPr>
          <w:rFonts w:ascii="Times New Roman" w:hAnsi="Times New Roman" w:cs="Times New Roman"/>
          <w:sz w:val="17"/>
          <w:szCs w:val="17"/>
        </w:rPr>
        <w:t xml:space="preserve">Giuffrè, </w:t>
      </w:r>
      <w:r w:rsidRPr="00C46C09">
        <w:rPr>
          <w:rFonts w:ascii="Times New Roman" w:hAnsi="Times New Roman" w:cs="Times New Roman"/>
          <w:sz w:val="17"/>
          <w:szCs w:val="17"/>
        </w:rPr>
        <w:t>Milano,</w:t>
      </w:r>
      <w:r w:rsidR="007549FF" w:rsidRPr="00C46C09">
        <w:rPr>
          <w:rFonts w:ascii="Times New Roman" w:hAnsi="Times New Roman" w:cs="Times New Roman"/>
          <w:sz w:val="17"/>
          <w:szCs w:val="17"/>
        </w:rPr>
        <w:t xml:space="preserve"> 2004</w:t>
      </w:r>
      <w:r w:rsidRPr="00C46C09">
        <w:rPr>
          <w:rFonts w:ascii="Times New Roman" w:hAnsi="Times New Roman" w:cs="Times New Roman"/>
          <w:bCs/>
          <w:sz w:val="17"/>
          <w:szCs w:val="17"/>
        </w:rPr>
        <w:t>.</w:t>
      </w:r>
    </w:p>
  </w:footnote>
  <w:footnote w:id="38">
    <w:p w14:paraId="610BD319" w14:textId="77777777" w:rsidR="009611E9" w:rsidRPr="00C46C09" w:rsidRDefault="009611E9" w:rsidP="006277A5">
      <w:pPr>
        <w:pStyle w:val="Testonotaapidipagina"/>
        <w:ind w:right="-28"/>
        <w:jc w:val="both"/>
        <w:rPr>
          <w:rFonts w:ascii="Times New Roman" w:hAnsi="Times New Roman" w:cs="Times New Roman"/>
          <w:sz w:val="17"/>
          <w:szCs w:val="17"/>
        </w:rPr>
      </w:pPr>
      <w:r w:rsidRPr="00C46C09">
        <w:rPr>
          <w:rStyle w:val="Rimandonotaapidipagina"/>
          <w:rFonts w:ascii="Times New Roman" w:hAnsi="Times New Roman" w:cs="Times New Roman"/>
          <w:sz w:val="17"/>
          <w:szCs w:val="17"/>
        </w:rPr>
        <w:footnoteRef/>
      </w:r>
      <w:r w:rsidRPr="00C46C09">
        <w:rPr>
          <w:rFonts w:ascii="Times New Roman" w:hAnsi="Times New Roman" w:cs="Times New Roman"/>
          <w:sz w:val="17"/>
          <w:szCs w:val="17"/>
        </w:rPr>
        <w:t xml:space="preserve"> Si veda, nello specifico, quanto disposto dall’articolo </w:t>
      </w:r>
      <w:r w:rsidR="000910ED" w:rsidRPr="00C46C09">
        <w:rPr>
          <w:rFonts w:ascii="Times New Roman" w:hAnsi="Times New Roman" w:cs="Times New Roman"/>
          <w:sz w:val="17"/>
          <w:szCs w:val="17"/>
        </w:rPr>
        <w:t>9 del decreto-legge 22 aprile 2021, n. 52,</w:t>
      </w:r>
      <w:r w:rsidR="00D63FEE" w:rsidRPr="00C46C09">
        <w:rPr>
          <w:rFonts w:ascii="Times New Roman" w:hAnsi="Times New Roman" w:cs="Times New Roman"/>
          <w:sz w:val="17"/>
          <w:szCs w:val="17"/>
        </w:rPr>
        <w:t xml:space="preserve"> “</w:t>
      </w:r>
      <w:r w:rsidR="00D63FEE" w:rsidRPr="00C46C09">
        <w:rPr>
          <w:rFonts w:ascii="Times New Roman" w:hAnsi="Times New Roman" w:cs="Times New Roman"/>
          <w:i/>
          <w:color w:val="19191A"/>
          <w:sz w:val="17"/>
          <w:szCs w:val="17"/>
          <w:shd w:val="clear" w:color="auto" w:fill="FFFFFF"/>
        </w:rPr>
        <w:t>Misure urgenti per la graduale ripresa delle attività economiche e sociali nel rispetto delle esigenze di contenimento della diffusione dell'epidemia da COVID-19</w:t>
      </w:r>
      <w:r w:rsidR="00D63FEE" w:rsidRPr="00C46C09">
        <w:rPr>
          <w:rFonts w:ascii="Times New Roman" w:hAnsi="Times New Roman" w:cs="Times New Roman"/>
          <w:color w:val="19191A"/>
          <w:sz w:val="17"/>
          <w:szCs w:val="17"/>
          <w:shd w:val="clear" w:color="auto" w:fill="FFFFFF"/>
        </w:rPr>
        <w:t>”,</w:t>
      </w:r>
      <w:r w:rsidR="000910ED" w:rsidRPr="00C46C09">
        <w:rPr>
          <w:rFonts w:ascii="Times New Roman" w:hAnsi="Times New Roman" w:cs="Times New Roman"/>
          <w:i/>
          <w:sz w:val="17"/>
          <w:szCs w:val="17"/>
        </w:rPr>
        <w:t xml:space="preserve"> </w:t>
      </w:r>
      <w:r w:rsidR="000910ED" w:rsidRPr="00C46C09">
        <w:rPr>
          <w:rFonts w:ascii="Times New Roman" w:hAnsi="Times New Roman" w:cs="Times New Roman"/>
          <w:sz w:val="17"/>
          <w:szCs w:val="17"/>
        </w:rPr>
        <w:t>convertito, con modificazioni, dalla legge 17 giugno 2021, n. 87, come risultante dalle modifiche successivamente introdotte dal decreto-legge 24 dicembre 2021, n. 221, recante “</w:t>
      </w:r>
      <w:r w:rsidR="000910ED" w:rsidRPr="00C46C09">
        <w:rPr>
          <w:rFonts w:ascii="Times New Roman" w:hAnsi="Times New Roman" w:cs="Times New Roman"/>
          <w:i/>
          <w:sz w:val="17"/>
          <w:szCs w:val="17"/>
        </w:rPr>
        <w:t>Proroga dello stato di emergenza nazionale e ulteriori misure per il contenimento della diffusione dell’epidemia da COVID-19</w:t>
      </w:r>
      <w:r w:rsidR="000910ED" w:rsidRPr="00C46C09">
        <w:rPr>
          <w:rFonts w:ascii="Times New Roman" w:hAnsi="Times New Roman" w:cs="Times New Roman"/>
          <w:sz w:val="17"/>
          <w:szCs w:val="17"/>
        </w:rPr>
        <w:t>”, convertito, con modificazioni, dalla legge 18 febbraio 2022, n. 11.</w:t>
      </w:r>
    </w:p>
  </w:footnote>
  <w:footnote w:id="39">
    <w:p w14:paraId="1DAE4E62" w14:textId="77777777" w:rsidR="001C3611" w:rsidRPr="00C46C09" w:rsidRDefault="001C3611" w:rsidP="006277A5">
      <w:pPr>
        <w:pStyle w:val="Testonotaapidipagina"/>
        <w:ind w:right="-28"/>
        <w:jc w:val="both"/>
        <w:rPr>
          <w:sz w:val="17"/>
          <w:szCs w:val="17"/>
        </w:rPr>
      </w:pPr>
      <w:r w:rsidRPr="00C46C09">
        <w:rPr>
          <w:rStyle w:val="Rimandonotaapidipagina"/>
          <w:sz w:val="17"/>
          <w:szCs w:val="17"/>
        </w:rPr>
        <w:footnoteRef/>
      </w:r>
      <w:r w:rsidRPr="00C46C09">
        <w:rPr>
          <w:sz w:val="17"/>
          <w:szCs w:val="17"/>
        </w:rPr>
        <w:t xml:space="preserve"> </w:t>
      </w:r>
      <w:r w:rsidRPr="00C46C09">
        <w:rPr>
          <w:rFonts w:ascii="Times New Roman" w:hAnsi="Times New Roman" w:cs="Times New Roman"/>
          <w:sz w:val="17"/>
          <w:szCs w:val="17"/>
        </w:rPr>
        <w:t xml:space="preserve">Da questo punto di vista interessanti spunti di riflessione giungono dall’ordinamento francese e in particolare dal </w:t>
      </w:r>
      <w:r w:rsidRPr="00C46C09">
        <w:rPr>
          <w:rFonts w:ascii="Times New Roman" w:hAnsi="Times New Roman" w:cs="Times New Roman"/>
          <w:i/>
          <w:sz w:val="17"/>
          <w:szCs w:val="17"/>
        </w:rPr>
        <w:t>Projet de loi portant suppression de sur-transpositions de directives européennes en droit français (n. 1389)</w:t>
      </w:r>
      <w:r w:rsidRPr="00C46C09">
        <w:rPr>
          <w:rFonts w:ascii="Times New Roman" w:hAnsi="Times New Roman" w:cs="Times New Roman"/>
          <w:sz w:val="17"/>
          <w:szCs w:val="17"/>
        </w:rPr>
        <w:t>, attualmente in discussione presso l’Assemblée nationale, dopo l’approvazione da parte del Senato.</w:t>
      </w:r>
    </w:p>
  </w:footnote>
  <w:footnote w:id="40">
    <w:p w14:paraId="4301D972" w14:textId="77777777" w:rsidR="00171E24" w:rsidRPr="00C46C09" w:rsidRDefault="00171E24" w:rsidP="006277A5">
      <w:pPr>
        <w:pStyle w:val="Testonotaapidipagina"/>
        <w:ind w:right="-28"/>
        <w:jc w:val="both"/>
        <w:rPr>
          <w:rFonts w:ascii="Times New Roman" w:hAnsi="Times New Roman" w:cs="Times New Roman"/>
          <w:sz w:val="17"/>
          <w:szCs w:val="17"/>
        </w:rPr>
      </w:pPr>
      <w:r w:rsidRPr="00C46C09">
        <w:rPr>
          <w:rStyle w:val="Rimandonotaapidipagina"/>
          <w:rFonts w:ascii="Times New Roman" w:hAnsi="Times New Roman" w:cs="Times New Roman"/>
          <w:sz w:val="17"/>
          <w:szCs w:val="17"/>
        </w:rPr>
        <w:footnoteRef/>
      </w:r>
      <w:r w:rsidRPr="00C46C09">
        <w:rPr>
          <w:rFonts w:ascii="Times New Roman" w:hAnsi="Times New Roman" w:cs="Times New Roman"/>
          <w:sz w:val="17"/>
          <w:szCs w:val="17"/>
        </w:rPr>
        <w:t xml:space="preserve"> </w:t>
      </w:r>
      <w:r w:rsidRPr="00C1718F">
        <w:rPr>
          <w:rFonts w:ascii="Times New Roman" w:hAnsi="Times New Roman" w:cs="Times New Roman"/>
          <w:smallCaps/>
          <w:sz w:val="17"/>
          <w:szCs w:val="17"/>
        </w:rPr>
        <w:t>Montesquieu</w:t>
      </w:r>
      <w:r w:rsidRPr="00C46C09">
        <w:rPr>
          <w:rFonts w:ascii="Times New Roman" w:hAnsi="Times New Roman" w:cs="Times New Roman"/>
          <w:sz w:val="17"/>
          <w:szCs w:val="17"/>
        </w:rPr>
        <w:t xml:space="preserve">, </w:t>
      </w:r>
      <w:r w:rsidRPr="00DF4D18">
        <w:rPr>
          <w:rFonts w:ascii="Times New Roman" w:hAnsi="Times New Roman" w:cs="Times New Roman"/>
          <w:i/>
          <w:iCs/>
          <w:sz w:val="17"/>
          <w:szCs w:val="17"/>
        </w:rPr>
        <w:t>Lo spirito delle leggi</w:t>
      </w:r>
      <w:r w:rsidRPr="00C46C09">
        <w:rPr>
          <w:rFonts w:ascii="Times New Roman" w:hAnsi="Times New Roman" w:cs="Times New Roman"/>
          <w:sz w:val="17"/>
          <w:szCs w:val="17"/>
        </w:rPr>
        <w:t>, libro XXIX, cap. XVI</w:t>
      </w:r>
      <w:r w:rsidR="009611E9" w:rsidRPr="00C46C09">
        <w:rPr>
          <w:rFonts w:ascii="Times New Roman" w:hAnsi="Times New Roman" w:cs="Times New Roman"/>
          <w:sz w:val="17"/>
          <w:szCs w:val="17"/>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3D3796E"/>
    <w:multiLevelType w:val="hybridMultilevel"/>
    <w:tmpl w:val="75C13F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285BEA"/>
    <w:multiLevelType w:val="hybridMultilevel"/>
    <w:tmpl w:val="B96021E8"/>
    <w:lvl w:ilvl="0" w:tplc="3D14AA8E">
      <w:start w:val="1"/>
      <w:numFmt w:val="decimal"/>
      <w:lvlText w:val="%1."/>
      <w:lvlJc w:val="left"/>
      <w:pPr>
        <w:ind w:left="-633" w:hanging="360"/>
      </w:pPr>
      <w:rPr>
        <w:rFonts w:hint="default"/>
      </w:rPr>
    </w:lvl>
    <w:lvl w:ilvl="1" w:tplc="04100019" w:tentative="1">
      <w:start w:val="1"/>
      <w:numFmt w:val="lowerLetter"/>
      <w:lvlText w:val="%2."/>
      <w:lvlJc w:val="left"/>
      <w:pPr>
        <w:ind w:left="87" w:hanging="360"/>
      </w:pPr>
    </w:lvl>
    <w:lvl w:ilvl="2" w:tplc="0410001B" w:tentative="1">
      <w:start w:val="1"/>
      <w:numFmt w:val="lowerRoman"/>
      <w:lvlText w:val="%3."/>
      <w:lvlJc w:val="right"/>
      <w:pPr>
        <w:ind w:left="807" w:hanging="180"/>
      </w:pPr>
    </w:lvl>
    <w:lvl w:ilvl="3" w:tplc="0410000F" w:tentative="1">
      <w:start w:val="1"/>
      <w:numFmt w:val="decimal"/>
      <w:lvlText w:val="%4."/>
      <w:lvlJc w:val="left"/>
      <w:pPr>
        <w:ind w:left="1527" w:hanging="360"/>
      </w:pPr>
    </w:lvl>
    <w:lvl w:ilvl="4" w:tplc="04100019" w:tentative="1">
      <w:start w:val="1"/>
      <w:numFmt w:val="lowerLetter"/>
      <w:lvlText w:val="%5."/>
      <w:lvlJc w:val="left"/>
      <w:pPr>
        <w:ind w:left="2247" w:hanging="360"/>
      </w:pPr>
    </w:lvl>
    <w:lvl w:ilvl="5" w:tplc="0410001B" w:tentative="1">
      <w:start w:val="1"/>
      <w:numFmt w:val="lowerRoman"/>
      <w:lvlText w:val="%6."/>
      <w:lvlJc w:val="right"/>
      <w:pPr>
        <w:ind w:left="2967" w:hanging="180"/>
      </w:pPr>
    </w:lvl>
    <w:lvl w:ilvl="6" w:tplc="0410000F" w:tentative="1">
      <w:start w:val="1"/>
      <w:numFmt w:val="decimal"/>
      <w:lvlText w:val="%7."/>
      <w:lvlJc w:val="left"/>
      <w:pPr>
        <w:ind w:left="3687" w:hanging="360"/>
      </w:pPr>
    </w:lvl>
    <w:lvl w:ilvl="7" w:tplc="04100019" w:tentative="1">
      <w:start w:val="1"/>
      <w:numFmt w:val="lowerLetter"/>
      <w:lvlText w:val="%8."/>
      <w:lvlJc w:val="left"/>
      <w:pPr>
        <w:ind w:left="4407" w:hanging="360"/>
      </w:pPr>
    </w:lvl>
    <w:lvl w:ilvl="8" w:tplc="0410001B" w:tentative="1">
      <w:start w:val="1"/>
      <w:numFmt w:val="lowerRoman"/>
      <w:lvlText w:val="%9."/>
      <w:lvlJc w:val="right"/>
      <w:pPr>
        <w:ind w:left="5127" w:hanging="180"/>
      </w:pPr>
    </w:lvl>
  </w:abstractNum>
  <w:abstractNum w:abstractNumId="2" w15:restartNumberingAfterBreak="0">
    <w:nsid w:val="112A3235"/>
    <w:multiLevelType w:val="hybridMultilevel"/>
    <w:tmpl w:val="26026854"/>
    <w:lvl w:ilvl="0" w:tplc="A4942D82">
      <w:start w:val="3"/>
      <w:numFmt w:val="decimal"/>
      <w:lvlText w:val="%1"/>
      <w:lvlJc w:val="left"/>
      <w:pPr>
        <w:ind w:left="-633" w:hanging="360"/>
      </w:pPr>
      <w:rPr>
        <w:rFonts w:eastAsiaTheme="minorHAnsi" w:hint="default"/>
        <w:b/>
        <w:color w:val="000000" w:themeColor="text1"/>
      </w:rPr>
    </w:lvl>
    <w:lvl w:ilvl="1" w:tplc="04100019" w:tentative="1">
      <w:start w:val="1"/>
      <w:numFmt w:val="lowerLetter"/>
      <w:lvlText w:val="%2."/>
      <w:lvlJc w:val="left"/>
      <w:pPr>
        <w:ind w:left="87" w:hanging="360"/>
      </w:pPr>
    </w:lvl>
    <w:lvl w:ilvl="2" w:tplc="0410001B" w:tentative="1">
      <w:start w:val="1"/>
      <w:numFmt w:val="lowerRoman"/>
      <w:lvlText w:val="%3."/>
      <w:lvlJc w:val="right"/>
      <w:pPr>
        <w:ind w:left="807" w:hanging="180"/>
      </w:pPr>
    </w:lvl>
    <w:lvl w:ilvl="3" w:tplc="0410000F" w:tentative="1">
      <w:start w:val="1"/>
      <w:numFmt w:val="decimal"/>
      <w:lvlText w:val="%4."/>
      <w:lvlJc w:val="left"/>
      <w:pPr>
        <w:ind w:left="1527" w:hanging="360"/>
      </w:pPr>
    </w:lvl>
    <w:lvl w:ilvl="4" w:tplc="04100019" w:tentative="1">
      <w:start w:val="1"/>
      <w:numFmt w:val="lowerLetter"/>
      <w:lvlText w:val="%5."/>
      <w:lvlJc w:val="left"/>
      <w:pPr>
        <w:ind w:left="2247" w:hanging="360"/>
      </w:pPr>
    </w:lvl>
    <w:lvl w:ilvl="5" w:tplc="0410001B" w:tentative="1">
      <w:start w:val="1"/>
      <w:numFmt w:val="lowerRoman"/>
      <w:lvlText w:val="%6."/>
      <w:lvlJc w:val="right"/>
      <w:pPr>
        <w:ind w:left="2967" w:hanging="180"/>
      </w:pPr>
    </w:lvl>
    <w:lvl w:ilvl="6" w:tplc="0410000F" w:tentative="1">
      <w:start w:val="1"/>
      <w:numFmt w:val="decimal"/>
      <w:lvlText w:val="%7."/>
      <w:lvlJc w:val="left"/>
      <w:pPr>
        <w:ind w:left="3687" w:hanging="360"/>
      </w:pPr>
    </w:lvl>
    <w:lvl w:ilvl="7" w:tplc="04100019" w:tentative="1">
      <w:start w:val="1"/>
      <w:numFmt w:val="lowerLetter"/>
      <w:lvlText w:val="%8."/>
      <w:lvlJc w:val="left"/>
      <w:pPr>
        <w:ind w:left="4407" w:hanging="360"/>
      </w:pPr>
    </w:lvl>
    <w:lvl w:ilvl="8" w:tplc="0410001B" w:tentative="1">
      <w:start w:val="1"/>
      <w:numFmt w:val="lowerRoman"/>
      <w:lvlText w:val="%9."/>
      <w:lvlJc w:val="right"/>
      <w:pPr>
        <w:ind w:left="5127" w:hanging="180"/>
      </w:pPr>
    </w:lvl>
  </w:abstractNum>
  <w:abstractNum w:abstractNumId="3" w15:restartNumberingAfterBreak="0">
    <w:nsid w:val="235A736E"/>
    <w:multiLevelType w:val="hybridMultilevel"/>
    <w:tmpl w:val="B81ECF3E"/>
    <w:lvl w:ilvl="0" w:tplc="07545CA6">
      <w:start w:val="1"/>
      <w:numFmt w:val="decimal"/>
      <w:lvlText w:val="%1."/>
      <w:lvlJc w:val="left"/>
      <w:pPr>
        <w:ind w:left="-633" w:hanging="360"/>
      </w:pPr>
      <w:rPr>
        <w:rFonts w:hint="default"/>
      </w:rPr>
    </w:lvl>
    <w:lvl w:ilvl="1" w:tplc="04100019" w:tentative="1">
      <w:start w:val="1"/>
      <w:numFmt w:val="lowerLetter"/>
      <w:lvlText w:val="%2."/>
      <w:lvlJc w:val="left"/>
      <w:pPr>
        <w:ind w:left="87" w:hanging="360"/>
      </w:pPr>
    </w:lvl>
    <w:lvl w:ilvl="2" w:tplc="0410001B" w:tentative="1">
      <w:start w:val="1"/>
      <w:numFmt w:val="lowerRoman"/>
      <w:lvlText w:val="%3."/>
      <w:lvlJc w:val="right"/>
      <w:pPr>
        <w:ind w:left="807" w:hanging="180"/>
      </w:pPr>
    </w:lvl>
    <w:lvl w:ilvl="3" w:tplc="0410000F" w:tentative="1">
      <w:start w:val="1"/>
      <w:numFmt w:val="decimal"/>
      <w:lvlText w:val="%4."/>
      <w:lvlJc w:val="left"/>
      <w:pPr>
        <w:ind w:left="1527" w:hanging="360"/>
      </w:pPr>
    </w:lvl>
    <w:lvl w:ilvl="4" w:tplc="04100019" w:tentative="1">
      <w:start w:val="1"/>
      <w:numFmt w:val="lowerLetter"/>
      <w:lvlText w:val="%5."/>
      <w:lvlJc w:val="left"/>
      <w:pPr>
        <w:ind w:left="2247" w:hanging="360"/>
      </w:pPr>
    </w:lvl>
    <w:lvl w:ilvl="5" w:tplc="0410001B" w:tentative="1">
      <w:start w:val="1"/>
      <w:numFmt w:val="lowerRoman"/>
      <w:lvlText w:val="%6."/>
      <w:lvlJc w:val="right"/>
      <w:pPr>
        <w:ind w:left="2967" w:hanging="180"/>
      </w:pPr>
    </w:lvl>
    <w:lvl w:ilvl="6" w:tplc="0410000F" w:tentative="1">
      <w:start w:val="1"/>
      <w:numFmt w:val="decimal"/>
      <w:lvlText w:val="%7."/>
      <w:lvlJc w:val="left"/>
      <w:pPr>
        <w:ind w:left="3687" w:hanging="360"/>
      </w:pPr>
    </w:lvl>
    <w:lvl w:ilvl="7" w:tplc="04100019" w:tentative="1">
      <w:start w:val="1"/>
      <w:numFmt w:val="lowerLetter"/>
      <w:lvlText w:val="%8."/>
      <w:lvlJc w:val="left"/>
      <w:pPr>
        <w:ind w:left="4407" w:hanging="360"/>
      </w:pPr>
    </w:lvl>
    <w:lvl w:ilvl="8" w:tplc="0410001B" w:tentative="1">
      <w:start w:val="1"/>
      <w:numFmt w:val="lowerRoman"/>
      <w:lvlText w:val="%9."/>
      <w:lvlJc w:val="right"/>
      <w:pPr>
        <w:ind w:left="5127" w:hanging="180"/>
      </w:pPr>
    </w:lvl>
  </w:abstractNum>
  <w:abstractNum w:abstractNumId="4" w15:restartNumberingAfterBreak="0">
    <w:nsid w:val="299612BA"/>
    <w:multiLevelType w:val="hybridMultilevel"/>
    <w:tmpl w:val="240C29A2"/>
    <w:lvl w:ilvl="0" w:tplc="9EC0DC6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287CDE"/>
    <w:multiLevelType w:val="hybridMultilevel"/>
    <w:tmpl w:val="4B740AB8"/>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6" w15:restartNumberingAfterBreak="0">
    <w:nsid w:val="35C44E29"/>
    <w:multiLevelType w:val="hybridMultilevel"/>
    <w:tmpl w:val="46D6D922"/>
    <w:lvl w:ilvl="0" w:tplc="B1689A2E">
      <w:start w:val="8"/>
      <w:numFmt w:val="decimal"/>
      <w:lvlText w:val="%1."/>
      <w:lvlJc w:val="left"/>
      <w:pPr>
        <w:ind w:left="-558" w:hanging="360"/>
      </w:pPr>
      <w:rPr>
        <w:rFonts w:hint="default"/>
        <w:b/>
      </w:rPr>
    </w:lvl>
    <w:lvl w:ilvl="1" w:tplc="04100019" w:tentative="1">
      <w:start w:val="1"/>
      <w:numFmt w:val="lowerLetter"/>
      <w:lvlText w:val="%2."/>
      <w:lvlJc w:val="left"/>
      <w:pPr>
        <w:ind w:left="162" w:hanging="360"/>
      </w:pPr>
    </w:lvl>
    <w:lvl w:ilvl="2" w:tplc="0410001B" w:tentative="1">
      <w:start w:val="1"/>
      <w:numFmt w:val="lowerRoman"/>
      <w:lvlText w:val="%3."/>
      <w:lvlJc w:val="right"/>
      <w:pPr>
        <w:ind w:left="882" w:hanging="180"/>
      </w:pPr>
    </w:lvl>
    <w:lvl w:ilvl="3" w:tplc="0410000F" w:tentative="1">
      <w:start w:val="1"/>
      <w:numFmt w:val="decimal"/>
      <w:lvlText w:val="%4."/>
      <w:lvlJc w:val="left"/>
      <w:pPr>
        <w:ind w:left="1602" w:hanging="360"/>
      </w:pPr>
    </w:lvl>
    <w:lvl w:ilvl="4" w:tplc="04100019" w:tentative="1">
      <w:start w:val="1"/>
      <w:numFmt w:val="lowerLetter"/>
      <w:lvlText w:val="%5."/>
      <w:lvlJc w:val="left"/>
      <w:pPr>
        <w:ind w:left="2322" w:hanging="360"/>
      </w:pPr>
    </w:lvl>
    <w:lvl w:ilvl="5" w:tplc="0410001B" w:tentative="1">
      <w:start w:val="1"/>
      <w:numFmt w:val="lowerRoman"/>
      <w:lvlText w:val="%6."/>
      <w:lvlJc w:val="right"/>
      <w:pPr>
        <w:ind w:left="3042" w:hanging="180"/>
      </w:pPr>
    </w:lvl>
    <w:lvl w:ilvl="6" w:tplc="0410000F" w:tentative="1">
      <w:start w:val="1"/>
      <w:numFmt w:val="decimal"/>
      <w:lvlText w:val="%7."/>
      <w:lvlJc w:val="left"/>
      <w:pPr>
        <w:ind w:left="3762" w:hanging="360"/>
      </w:pPr>
    </w:lvl>
    <w:lvl w:ilvl="7" w:tplc="04100019" w:tentative="1">
      <w:start w:val="1"/>
      <w:numFmt w:val="lowerLetter"/>
      <w:lvlText w:val="%8."/>
      <w:lvlJc w:val="left"/>
      <w:pPr>
        <w:ind w:left="4482" w:hanging="360"/>
      </w:pPr>
    </w:lvl>
    <w:lvl w:ilvl="8" w:tplc="0410001B" w:tentative="1">
      <w:start w:val="1"/>
      <w:numFmt w:val="lowerRoman"/>
      <w:lvlText w:val="%9."/>
      <w:lvlJc w:val="right"/>
      <w:pPr>
        <w:ind w:left="5202" w:hanging="180"/>
      </w:pPr>
    </w:lvl>
  </w:abstractNum>
  <w:abstractNum w:abstractNumId="7" w15:restartNumberingAfterBreak="0">
    <w:nsid w:val="389B5E63"/>
    <w:multiLevelType w:val="hybridMultilevel"/>
    <w:tmpl w:val="1230246A"/>
    <w:lvl w:ilvl="0" w:tplc="04100005">
      <w:start w:val="1"/>
      <w:numFmt w:val="bullet"/>
      <w:lvlText w:val=""/>
      <w:lvlJc w:val="left"/>
      <w:pPr>
        <w:ind w:left="-273" w:hanging="360"/>
      </w:pPr>
      <w:rPr>
        <w:rFonts w:ascii="Wingdings" w:hAnsi="Wingdings" w:hint="default"/>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8" w15:restartNumberingAfterBreak="0">
    <w:nsid w:val="47960B62"/>
    <w:multiLevelType w:val="hybridMultilevel"/>
    <w:tmpl w:val="1150A04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5126D1F"/>
    <w:multiLevelType w:val="hybridMultilevel"/>
    <w:tmpl w:val="84F422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2516FE1"/>
    <w:multiLevelType w:val="hybridMultilevel"/>
    <w:tmpl w:val="2C7E54E8"/>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2F14F8C"/>
    <w:multiLevelType w:val="hybridMultilevel"/>
    <w:tmpl w:val="768E7FCC"/>
    <w:lvl w:ilvl="0" w:tplc="D11A5D36">
      <w:numFmt w:val="bullet"/>
      <w:lvlText w:val="-"/>
      <w:lvlJc w:val="left"/>
      <w:pPr>
        <w:ind w:left="644" w:hanging="360"/>
      </w:pPr>
      <w:rPr>
        <w:rFonts w:ascii="Times New Roman" w:eastAsiaTheme="minorHAnsi"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11"/>
  </w:num>
  <w:num w:numId="2">
    <w:abstractNumId w:val="0"/>
  </w:num>
  <w:num w:numId="3">
    <w:abstractNumId w:val="5"/>
  </w:num>
  <w:num w:numId="4">
    <w:abstractNumId w:val="4"/>
  </w:num>
  <w:num w:numId="5">
    <w:abstractNumId w:val="8"/>
  </w:num>
  <w:num w:numId="6">
    <w:abstractNumId w:val="7"/>
  </w:num>
  <w:num w:numId="7">
    <w:abstractNumId w:val="9"/>
  </w:num>
  <w:num w:numId="8">
    <w:abstractNumId w:val="10"/>
  </w:num>
  <w:num w:numId="9">
    <w:abstractNumId w:val="2"/>
  </w:num>
  <w:num w:numId="10">
    <w:abstractNumId w:val="6"/>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6C2"/>
    <w:rsid w:val="00025D8C"/>
    <w:rsid w:val="00027074"/>
    <w:rsid w:val="0003009F"/>
    <w:rsid w:val="000401C4"/>
    <w:rsid w:val="00045EAE"/>
    <w:rsid w:val="0005540E"/>
    <w:rsid w:val="00056867"/>
    <w:rsid w:val="0006124A"/>
    <w:rsid w:val="00062D42"/>
    <w:rsid w:val="00065DFB"/>
    <w:rsid w:val="00071B61"/>
    <w:rsid w:val="000736D2"/>
    <w:rsid w:val="000746D6"/>
    <w:rsid w:val="000770E6"/>
    <w:rsid w:val="000771A2"/>
    <w:rsid w:val="000826B4"/>
    <w:rsid w:val="00090DAA"/>
    <w:rsid w:val="000910ED"/>
    <w:rsid w:val="000920E2"/>
    <w:rsid w:val="00094F36"/>
    <w:rsid w:val="00096704"/>
    <w:rsid w:val="000A5356"/>
    <w:rsid w:val="000A701E"/>
    <w:rsid w:val="000A7077"/>
    <w:rsid w:val="000B2377"/>
    <w:rsid w:val="000B3289"/>
    <w:rsid w:val="000B502D"/>
    <w:rsid w:val="000B7DF3"/>
    <w:rsid w:val="000D0054"/>
    <w:rsid w:val="000D1980"/>
    <w:rsid w:val="000E422C"/>
    <w:rsid w:val="000E624C"/>
    <w:rsid w:val="000E7F69"/>
    <w:rsid w:val="000F4662"/>
    <w:rsid w:val="00103ECE"/>
    <w:rsid w:val="001057DF"/>
    <w:rsid w:val="00106E07"/>
    <w:rsid w:val="0011198E"/>
    <w:rsid w:val="001124E4"/>
    <w:rsid w:val="001203AE"/>
    <w:rsid w:val="00121D43"/>
    <w:rsid w:val="001239DA"/>
    <w:rsid w:val="00127899"/>
    <w:rsid w:val="00133336"/>
    <w:rsid w:val="0013365D"/>
    <w:rsid w:val="00141016"/>
    <w:rsid w:val="0014265B"/>
    <w:rsid w:val="00144433"/>
    <w:rsid w:val="00152EAE"/>
    <w:rsid w:val="0015380E"/>
    <w:rsid w:val="001561E6"/>
    <w:rsid w:val="001567BE"/>
    <w:rsid w:val="00156FF1"/>
    <w:rsid w:val="00171E24"/>
    <w:rsid w:val="00173458"/>
    <w:rsid w:val="001738AE"/>
    <w:rsid w:val="00175981"/>
    <w:rsid w:val="00182689"/>
    <w:rsid w:val="0018365E"/>
    <w:rsid w:val="00185CE4"/>
    <w:rsid w:val="00192BED"/>
    <w:rsid w:val="00193774"/>
    <w:rsid w:val="001945B4"/>
    <w:rsid w:val="001A2B2B"/>
    <w:rsid w:val="001A2C8E"/>
    <w:rsid w:val="001A50A6"/>
    <w:rsid w:val="001A6047"/>
    <w:rsid w:val="001B6B1D"/>
    <w:rsid w:val="001C3552"/>
    <w:rsid w:val="001C3611"/>
    <w:rsid w:val="001C36BB"/>
    <w:rsid w:val="001C465F"/>
    <w:rsid w:val="001C557D"/>
    <w:rsid w:val="001D1492"/>
    <w:rsid w:val="001D5242"/>
    <w:rsid w:val="001D656F"/>
    <w:rsid w:val="001D71D8"/>
    <w:rsid w:val="001D7807"/>
    <w:rsid w:val="0020690C"/>
    <w:rsid w:val="00216618"/>
    <w:rsid w:val="002166EA"/>
    <w:rsid w:val="00227A78"/>
    <w:rsid w:val="00234A1E"/>
    <w:rsid w:val="00243D84"/>
    <w:rsid w:val="002467A3"/>
    <w:rsid w:val="00255532"/>
    <w:rsid w:val="0026287F"/>
    <w:rsid w:val="002628A0"/>
    <w:rsid w:val="0026696F"/>
    <w:rsid w:val="00267DD7"/>
    <w:rsid w:val="002712EA"/>
    <w:rsid w:val="002737EC"/>
    <w:rsid w:val="00273949"/>
    <w:rsid w:val="00274145"/>
    <w:rsid w:val="002775EF"/>
    <w:rsid w:val="00280F06"/>
    <w:rsid w:val="00283DE9"/>
    <w:rsid w:val="002849D4"/>
    <w:rsid w:val="00285DCE"/>
    <w:rsid w:val="00291B21"/>
    <w:rsid w:val="00291EE5"/>
    <w:rsid w:val="00292EFE"/>
    <w:rsid w:val="002A0BC3"/>
    <w:rsid w:val="002B31C3"/>
    <w:rsid w:val="002B3B96"/>
    <w:rsid w:val="002C0395"/>
    <w:rsid w:val="002C26C9"/>
    <w:rsid w:val="002C5717"/>
    <w:rsid w:val="002D6505"/>
    <w:rsid w:val="002E6EB8"/>
    <w:rsid w:val="002F0FE1"/>
    <w:rsid w:val="002F5046"/>
    <w:rsid w:val="002F73EE"/>
    <w:rsid w:val="002F74D9"/>
    <w:rsid w:val="00302809"/>
    <w:rsid w:val="00313655"/>
    <w:rsid w:val="00313FE1"/>
    <w:rsid w:val="00315AB2"/>
    <w:rsid w:val="00317320"/>
    <w:rsid w:val="003210F1"/>
    <w:rsid w:val="00324825"/>
    <w:rsid w:val="00334776"/>
    <w:rsid w:val="003415C7"/>
    <w:rsid w:val="00344A52"/>
    <w:rsid w:val="00352335"/>
    <w:rsid w:val="00356E51"/>
    <w:rsid w:val="00365D56"/>
    <w:rsid w:val="00365EAE"/>
    <w:rsid w:val="00373CD1"/>
    <w:rsid w:val="0037481A"/>
    <w:rsid w:val="00374AF6"/>
    <w:rsid w:val="00375B86"/>
    <w:rsid w:val="003768DC"/>
    <w:rsid w:val="00382883"/>
    <w:rsid w:val="00383B40"/>
    <w:rsid w:val="00386176"/>
    <w:rsid w:val="003869EC"/>
    <w:rsid w:val="00393E11"/>
    <w:rsid w:val="003949C5"/>
    <w:rsid w:val="003A208F"/>
    <w:rsid w:val="003A71AE"/>
    <w:rsid w:val="003B0BB3"/>
    <w:rsid w:val="003B5E33"/>
    <w:rsid w:val="003C41C8"/>
    <w:rsid w:val="003D10BC"/>
    <w:rsid w:val="003D49C1"/>
    <w:rsid w:val="003E7CBC"/>
    <w:rsid w:val="003F28F9"/>
    <w:rsid w:val="004044C9"/>
    <w:rsid w:val="00405831"/>
    <w:rsid w:val="00415FCB"/>
    <w:rsid w:val="004217F7"/>
    <w:rsid w:val="00425DB5"/>
    <w:rsid w:val="00432391"/>
    <w:rsid w:val="00434193"/>
    <w:rsid w:val="004349A3"/>
    <w:rsid w:val="004362FE"/>
    <w:rsid w:val="00436D1C"/>
    <w:rsid w:val="00436ED0"/>
    <w:rsid w:val="004374B7"/>
    <w:rsid w:val="00445EE5"/>
    <w:rsid w:val="00452758"/>
    <w:rsid w:val="00463B8C"/>
    <w:rsid w:val="00464E41"/>
    <w:rsid w:val="00470C50"/>
    <w:rsid w:val="004723E9"/>
    <w:rsid w:val="0047356E"/>
    <w:rsid w:val="00486C56"/>
    <w:rsid w:val="0049170D"/>
    <w:rsid w:val="004A359D"/>
    <w:rsid w:val="004B0EA2"/>
    <w:rsid w:val="004C2AD9"/>
    <w:rsid w:val="004C7F58"/>
    <w:rsid w:val="004D0159"/>
    <w:rsid w:val="004D4FFA"/>
    <w:rsid w:val="004E03FF"/>
    <w:rsid w:val="004E63CD"/>
    <w:rsid w:val="004F496D"/>
    <w:rsid w:val="00502F2A"/>
    <w:rsid w:val="0050670B"/>
    <w:rsid w:val="00507E09"/>
    <w:rsid w:val="00514F78"/>
    <w:rsid w:val="00521D66"/>
    <w:rsid w:val="00526142"/>
    <w:rsid w:val="005266D8"/>
    <w:rsid w:val="00526A85"/>
    <w:rsid w:val="00545AFB"/>
    <w:rsid w:val="00547B45"/>
    <w:rsid w:val="005533E1"/>
    <w:rsid w:val="005579A4"/>
    <w:rsid w:val="00571E28"/>
    <w:rsid w:val="00574CC2"/>
    <w:rsid w:val="00575506"/>
    <w:rsid w:val="00581C44"/>
    <w:rsid w:val="005904EE"/>
    <w:rsid w:val="00595413"/>
    <w:rsid w:val="005A4569"/>
    <w:rsid w:val="005A6CD9"/>
    <w:rsid w:val="005A7812"/>
    <w:rsid w:val="005B6434"/>
    <w:rsid w:val="005B646E"/>
    <w:rsid w:val="005C4CC0"/>
    <w:rsid w:val="005D0F7E"/>
    <w:rsid w:val="005D45D5"/>
    <w:rsid w:val="005E289B"/>
    <w:rsid w:val="005E2CEA"/>
    <w:rsid w:val="005E3DC3"/>
    <w:rsid w:val="005E7885"/>
    <w:rsid w:val="00612A10"/>
    <w:rsid w:val="00615D3C"/>
    <w:rsid w:val="0061674B"/>
    <w:rsid w:val="006263E7"/>
    <w:rsid w:val="006277A5"/>
    <w:rsid w:val="00643D50"/>
    <w:rsid w:val="00664667"/>
    <w:rsid w:val="00667F37"/>
    <w:rsid w:val="0068378E"/>
    <w:rsid w:val="0068472A"/>
    <w:rsid w:val="00693BB3"/>
    <w:rsid w:val="00693FEF"/>
    <w:rsid w:val="00697C5E"/>
    <w:rsid w:val="006A13A9"/>
    <w:rsid w:val="006A24BE"/>
    <w:rsid w:val="006A2E30"/>
    <w:rsid w:val="006B4278"/>
    <w:rsid w:val="006C3C73"/>
    <w:rsid w:val="006D0C59"/>
    <w:rsid w:val="006D2BF5"/>
    <w:rsid w:val="006D4D32"/>
    <w:rsid w:val="006E52E0"/>
    <w:rsid w:val="006E7E02"/>
    <w:rsid w:val="00703694"/>
    <w:rsid w:val="00704A24"/>
    <w:rsid w:val="00710D0D"/>
    <w:rsid w:val="007209DE"/>
    <w:rsid w:val="00721D77"/>
    <w:rsid w:val="007221DC"/>
    <w:rsid w:val="0072495C"/>
    <w:rsid w:val="0072679B"/>
    <w:rsid w:val="007276DB"/>
    <w:rsid w:val="00730366"/>
    <w:rsid w:val="0073273F"/>
    <w:rsid w:val="0073321C"/>
    <w:rsid w:val="00733ECE"/>
    <w:rsid w:val="00737955"/>
    <w:rsid w:val="007405BE"/>
    <w:rsid w:val="00740F0F"/>
    <w:rsid w:val="0074110A"/>
    <w:rsid w:val="007412A5"/>
    <w:rsid w:val="007422C3"/>
    <w:rsid w:val="00743485"/>
    <w:rsid w:val="007472BB"/>
    <w:rsid w:val="00753DD3"/>
    <w:rsid w:val="007549FF"/>
    <w:rsid w:val="007574C5"/>
    <w:rsid w:val="007609C9"/>
    <w:rsid w:val="00761AF7"/>
    <w:rsid w:val="0077582F"/>
    <w:rsid w:val="00777BFC"/>
    <w:rsid w:val="00780955"/>
    <w:rsid w:val="00793055"/>
    <w:rsid w:val="00797385"/>
    <w:rsid w:val="007A0D94"/>
    <w:rsid w:val="007A1133"/>
    <w:rsid w:val="007A2DF4"/>
    <w:rsid w:val="007B064F"/>
    <w:rsid w:val="007B32FD"/>
    <w:rsid w:val="007B525D"/>
    <w:rsid w:val="007C039F"/>
    <w:rsid w:val="007C0B95"/>
    <w:rsid w:val="007D40D4"/>
    <w:rsid w:val="007D4CAB"/>
    <w:rsid w:val="007D57CE"/>
    <w:rsid w:val="007D667F"/>
    <w:rsid w:val="007E0D70"/>
    <w:rsid w:val="007E698C"/>
    <w:rsid w:val="007E7184"/>
    <w:rsid w:val="007F2E6C"/>
    <w:rsid w:val="007F788D"/>
    <w:rsid w:val="00812B44"/>
    <w:rsid w:val="008308E8"/>
    <w:rsid w:val="00834A82"/>
    <w:rsid w:val="00835DC3"/>
    <w:rsid w:val="0085145E"/>
    <w:rsid w:val="00853F2B"/>
    <w:rsid w:val="00854CA0"/>
    <w:rsid w:val="008618D3"/>
    <w:rsid w:val="00862831"/>
    <w:rsid w:val="008644EB"/>
    <w:rsid w:val="00864FE7"/>
    <w:rsid w:val="00867452"/>
    <w:rsid w:val="0088219B"/>
    <w:rsid w:val="00882DF9"/>
    <w:rsid w:val="00890966"/>
    <w:rsid w:val="00891B6E"/>
    <w:rsid w:val="0089228E"/>
    <w:rsid w:val="008930D6"/>
    <w:rsid w:val="008956C2"/>
    <w:rsid w:val="008B0DC9"/>
    <w:rsid w:val="008B5162"/>
    <w:rsid w:val="008B68B2"/>
    <w:rsid w:val="008B6F96"/>
    <w:rsid w:val="008C3811"/>
    <w:rsid w:val="008C625E"/>
    <w:rsid w:val="008D1B7A"/>
    <w:rsid w:val="008E0717"/>
    <w:rsid w:val="008F10DB"/>
    <w:rsid w:val="00900488"/>
    <w:rsid w:val="00901808"/>
    <w:rsid w:val="0090504B"/>
    <w:rsid w:val="0090583D"/>
    <w:rsid w:val="00906821"/>
    <w:rsid w:val="00910276"/>
    <w:rsid w:val="009102ED"/>
    <w:rsid w:val="00916280"/>
    <w:rsid w:val="00920E41"/>
    <w:rsid w:val="00922010"/>
    <w:rsid w:val="00922B84"/>
    <w:rsid w:val="0092405E"/>
    <w:rsid w:val="009406BC"/>
    <w:rsid w:val="0095161A"/>
    <w:rsid w:val="00951FD3"/>
    <w:rsid w:val="00960DA1"/>
    <w:rsid w:val="009611E9"/>
    <w:rsid w:val="00966C80"/>
    <w:rsid w:val="00975D2F"/>
    <w:rsid w:val="00983AE2"/>
    <w:rsid w:val="0098553A"/>
    <w:rsid w:val="009A2AF2"/>
    <w:rsid w:val="009A4D25"/>
    <w:rsid w:val="009A7973"/>
    <w:rsid w:val="009A7FE9"/>
    <w:rsid w:val="009B1560"/>
    <w:rsid w:val="009C0035"/>
    <w:rsid w:val="009C38F1"/>
    <w:rsid w:val="009C73EB"/>
    <w:rsid w:val="009E212E"/>
    <w:rsid w:val="009E31E9"/>
    <w:rsid w:val="009E3DE0"/>
    <w:rsid w:val="00A02AC7"/>
    <w:rsid w:val="00A155AF"/>
    <w:rsid w:val="00A1593D"/>
    <w:rsid w:val="00A213AA"/>
    <w:rsid w:val="00A21C01"/>
    <w:rsid w:val="00A363AE"/>
    <w:rsid w:val="00A560A0"/>
    <w:rsid w:val="00A56A01"/>
    <w:rsid w:val="00A65497"/>
    <w:rsid w:val="00A805C7"/>
    <w:rsid w:val="00A806B8"/>
    <w:rsid w:val="00A82C72"/>
    <w:rsid w:val="00A85080"/>
    <w:rsid w:val="00A8647E"/>
    <w:rsid w:val="00A90484"/>
    <w:rsid w:val="00A90C58"/>
    <w:rsid w:val="00A93180"/>
    <w:rsid w:val="00A93614"/>
    <w:rsid w:val="00A948F0"/>
    <w:rsid w:val="00A96FE7"/>
    <w:rsid w:val="00AA7F12"/>
    <w:rsid w:val="00AB0D09"/>
    <w:rsid w:val="00AB4A0E"/>
    <w:rsid w:val="00AB5E99"/>
    <w:rsid w:val="00AC6F33"/>
    <w:rsid w:val="00AD2B4E"/>
    <w:rsid w:val="00AD4B58"/>
    <w:rsid w:val="00AD4E79"/>
    <w:rsid w:val="00AD561C"/>
    <w:rsid w:val="00AD5714"/>
    <w:rsid w:val="00AD5A5A"/>
    <w:rsid w:val="00AE34ED"/>
    <w:rsid w:val="00AF08D2"/>
    <w:rsid w:val="00AF4F24"/>
    <w:rsid w:val="00B019BE"/>
    <w:rsid w:val="00B01D29"/>
    <w:rsid w:val="00B072CA"/>
    <w:rsid w:val="00B123E3"/>
    <w:rsid w:val="00B13B2A"/>
    <w:rsid w:val="00B337D2"/>
    <w:rsid w:val="00B45E58"/>
    <w:rsid w:val="00B509A3"/>
    <w:rsid w:val="00B51734"/>
    <w:rsid w:val="00B57A71"/>
    <w:rsid w:val="00B62290"/>
    <w:rsid w:val="00B630DD"/>
    <w:rsid w:val="00B6773F"/>
    <w:rsid w:val="00B75372"/>
    <w:rsid w:val="00B80205"/>
    <w:rsid w:val="00B82F2E"/>
    <w:rsid w:val="00B83484"/>
    <w:rsid w:val="00B85878"/>
    <w:rsid w:val="00BA338B"/>
    <w:rsid w:val="00BA5E3E"/>
    <w:rsid w:val="00BB526C"/>
    <w:rsid w:val="00BD4443"/>
    <w:rsid w:val="00BE27CF"/>
    <w:rsid w:val="00BF1F0B"/>
    <w:rsid w:val="00BF4D77"/>
    <w:rsid w:val="00C04C08"/>
    <w:rsid w:val="00C123E2"/>
    <w:rsid w:val="00C1718F"/>
    <w:rsid w:val="00C2009E"/>
    <w:rsid w:val="00C23484"/>
    <w:rsid w:val="00C23784"/>
    <w:rsid w:val="00C334D4"/>
    <w:rsid w:val="00C3581B"/>
    <w:rsid w:val="00C36214"/>
    <w:rsid w:val="00C44126"/>
    <w:rsid w:val="00C443A3"/>
    <w:rsid w:val="00C46C09"/>
    <w:rsid w:val="00C5181F"/>
    <w:rsid w:val="00C5439D"/>
    <w:rsid w:val="00C54F22"/>
    <w:rsid w:val="00C55300"/>
    <w:rsid w:val="00C5787D"/>
    <w:rsid w:val="00C60B40"/>
    <w:rsid w:val="00C65D2C"/>
    <w:rsid w:val="00C70AB7"/>
    <w:rsid w:val="00C84508"/>
    <w:rsid w:val="00C84A7F"/>
    <w:rsid w:val="00C929F6"/>
    <w:rsid w:val="00C95EAD"/>
    <w:rsid w:val="00CA3440"/>
    <w:rsid w:val="00CB4663"/>
    <w:rsid w:val="00CB4BF2"/>
    <w:rsid w:val="00CC0EAC"/>
    <w:rsid w:val="00CD3558"/>
    <w:rsid w:val="00CE2C91"/>
    <w:rsid w:val="00CE41C1"/>
    <w:rsid w:val="00CF3758"/>
    <w:rsid w:val="00CF3D78"/>
    <w:rsid w:val="00CF6365"/>
    <w:rsid w:val="00D106D3"/>
    <w:rsid w:val="00D10C0E"/>
    <w:rsid w:val="00D15FD9"/>
    <w:rsid w:val="00D179A8"/>
    <w:rsid w:val="00D36AF7"/>
    <w:rsid w:val="00D4140B"/>
    <w:rsid w:val="00D41F9A"/>
    <w:rsid w:val="00D448DB"/>
    <w:rsid w:val="00D517C1"/>
    <w:rsid w:val="00D52CC6"/>
    <w:rsid w:val="00D569C3"/>
    <w:rsid w:val="00D61992"/>
    <w:rsid w:val="00D6218F"/>
    <w:rsid w:val="00D62B89"/>
    <w:rsid w:val="00D63FEE"/>
    <w:rsid w:val="00D64ED0"/>
    <w:rsid w:val="00D773E9"/>
    <w:rsid w:val="00D779C5"/>
    <w:rsid w:val="00D8220A"/>
    <w:rsid w:val="00D833F5"/>
    <w:rsid w:val="00D83FD3"/>
    <w:rsid w:val="00D859E8"/>
    <w:rsid w:val="00D8693C"/>
    <w:rsid w:val="00DA547B"/>
    <w:rsid w:val="00DB0C3B"/>
    <w:rsid w:val="00DB282C"/>
    <w:rsid w:val="00DB5449"/>
    <w:rsid w:val="00DB7D87"/>
    <w:rsid w:val="00DC1597"/>
    <w:rsid w:val="00DD6A2A"/>
    <w:rsid w:val="00DE49A1"/>
    <w:rsid w:val="00DE5EED"/>
    <w:rsid w:val="00DE6778"/>
    <w:rsid w:val="00DF0C17"/>
    <w:rsid w:val="00DF112B"/>
    <w:rsid w:val="00DF4270"/>
    <w:rsid w:val="00DF4D18"/>
    <w:rsid w:val="00DF4E16"/>
    <w:rsid w:val="00DF635C"/>
    <w:rsid w:val="00E0470E"/>
    <w:rsid w:val="00E065E0"/>
    <w:rsid w:val="00E06C9F"/>
    <w:rsid w:val="00E073CF"/>
    <w:rsid w:val="00E0751D"/>
    <w:rsid w:val="00E110B6"/>
    <w:rsid w:val="00E11210"/>
    <w:rsid w:val="00E148D7"/>
    <w:rsid w:val="00E2290E"/>
    <w:rsid w:val="00E22FCC"/>
    <w:rsid w:val="00E23847"/>
    <w:rsid w:val="00E300EA"/>
    <w:rsid w:val="00E30378"/>
    <w:rsid w:val="00E417D9"/>
    <w:rsid w:val="00E4592B"/>
    <w:rsid w:val="00E50DF3"/>
    <w:rsid w:val="00E52AD6"/>
    <w:rsid w:val="00E5352B"/>
    <w:rsid w:val="00E563D3"/>
    <w:rsid w:val="00E66388"/>
    <w:rsid w:val="00E67990"/>
    <w:rsid w:val="00E703B8"/>
    <w:rsid w:val="00E70AA8"/>
    <w:rsid w:val="00E77073"/>
    <w:rsid w:val="00E777A9"/>
    <w:rsid w:val="00E81EA5"/>
    <w:rsid w:val="00E83420"/>
    <w:rsid w:val="00E849C3"/>
    <w:rsid w:val="00E84B74"/>
    <w:rsid w:val="00E8588D"/>
    <w:rsid w:val="00E97A7E"/>
    <w:rsid w:val="00EA38AF"/>
    <w:rsid w:val="00EB1445"/>
    <w:rsid w:val="00EB7152"/>
    <w:rsid w:val="00EC04CC"/>
    <w:rsid w:val="00EC51F6"/>
    <w:rsid w:val="00ED1963"/>
    <w:rsid w:val="00EF5121"/>
    <w:rsid w:val="00EF72EC"/>
    <w:rsid w:val="00F00950"/>
    <w:rsid w:val="00F0106B"/>
    <w:rsid w:val="00F02C85"/>
    <w:rsid w:val="00F02D18"/>
    <w:rsid w:val="00F1303F"/>
    <w:rsid w:val="00F153F4"/>
    <w:rsid w:val="00F2473A"/>
    <w:rsid w:val="00F27C35"/>
    <w:rsid w:val="00F309D9"/>
    <w:rsid w:val="00F32AE7"/>
    <w:rsid w:val="00F34D8C"/>
    <w:rsid w:val="00F35D58"/>
    <w:rsid w:val="00F40C16"/>
    <w:rsid w:val="00F43FED"/>
    <w:rsid w:val="00F47A46"/>
    <w:rsid w:val="00F530C5"/>
    <w:rsid w:val="00F56125"/>
    <w:rsid w:val="00F56690"/>
    <w:rsid w:val="00F642B4"/>
    <w:rsid w:val="00F810EC"/>
    <w:rsid w:val="00F82915"/>
    <w:rsid w:val="00F87A36"/>
    <w:rsid w:val="00F961D2"/>
    <w:rsid w:val="00FB2FD7"/>
    <w:rsid w:val="00FB3861"/>
    <w:rsid w:val="00FB7F59"/>
    <w:rsid w:val="00FC5DB7"/>
    <w:rsid w:val="00FD090F"/>
    <w:rsid w:val="00FD0CDB"/>
    <w:rsid w:val="00FD7849"/>
    <w:rsid w:val="00FE176F"/>
    <w:rsid w:val="00FE40B7"/>
    <w:rsid w:val="00FF00B4"/>
    <w:rsid w:val="00FF149C"/>
    <w:rsid w:val="00FF17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10D097"/>
  <w15:docId w15:val="{D92BF056-8C27-4DB0-A087-8A46B6454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956C2"/>
    <w:pPr>
      <w:spacing w:after="160" w:line="259" w:lineRule="auto"/>
    </w:pPr>
    <w:rPr>
      <w:sz w:val="22"/>
      <w:szCs w:val="22"/>
    </w:rPr>
  </w:style>
  <w:style w:type="paragraph" w:styleId="Titolo1">
    <w:name w:val="heading 1"/>
    <w:basedOn w:val="Normale"/>
    <w:next w:val="Normale"/>
    <w:link w:val="Titolo1Carattere"/>
    <w:uiPriority w:val="9"/>
    <w:qFormat/>
    <w:rsid w:val="004C2A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Schriftart: 9 pt,Schriftart: 10 pt,Schriftart: 8 pt,WB-Fußnotentext,fn,Footnote ak,Carattere,Testo nota a piè di pagina_Rientro,Testo nota a piè di pagina Carattere3, Carattere,Char Char, Char Char,Footnotes"/>
    <w:basedOn w:val="Normale"/>
    <w:link w:val="TestonotaapidipaginaCarattere"/>
    <w:uiPriority w:val="99"/>
    <w:unhideWhenUsed/>
    <w:rsid w:val="008956C2"/>
    <w:pPr>
      <w:spacing w:after="0" w:line="240" w:lineRule="auto"/>
    </w:pPr>
    <w:rPr>
      <w:sz w:val="20"/>
      <w:szCs w:val="20"/>
    </w:rPr>
  </w:style>
  <w:style w:type="character" w:customStyle="1" w:styleId="TestonotaapidipaginaCarattere">
    <w:name w:val="Testo nota a piè di pagina Carattere"/>
    <w:aliases w:val="Schriftart: 9 pt Carattere,Schriftart: 10 pt Carattere,Schriftart: 8 pt Carattere,WB-Fußnotentext Carattere,fn Carattere,Footnote ak Carattere,Carattere Carattere,Testo nota a piè di pagina_Rientro Carattere"/>
    <w:basedOn w:val="Carpredefinitoparagrafo"/>
    <w:link w:val="Testonotaapidipagina"/>
    <w:uiPriority w:val="99"/>
    <w:qFormat/>
    <w:rsid w:val="008956C2"/>
    <w:rPr>
      <w:sz w:val="20"/>
      <w:szCs w:val="20"/>
    </w:rPr>
  </w:style>
  <w:style w:type="character" w:styleId="Rimandonotaapidipagina">
    <w:name w:val="footnote reference"/>
    <w:basedOn w:val="Carpredefinitoparagrafo"/>
    <w:uiPriority w:val="99"/>
    <w:unhideWhenUsed/>
    <w:rsid w:val="008956C2"/>
    <w:rPr>
      <w:vertAlign w:val="superscript"/>
    </w:rPr>
  </w:style>
  <w:style w:type="character" w:styleId="Collegamentoipertestuale">
    <w:name w:val="Hyperlink"/>
    <w:basedOn w:val="Carpredefinitoparagrafo"/>
    <w:uiPriority w:val="99"/>
    <w:unhideWhenUsed/>
    <w:rsid w:val="008956C2"/>
    <w:rPr>
      <w:color w:val="0563C1" w:themeColor="hyperlink"/>
      <w:u w:val="single"/>
    </w:rPr>
  </w:style>
  <w:style w:type="character" w:customStyle="1" w:styleId="Menzionenonrisolta1">
    <w:name w:val="Menzione non risolta1"/>
    <w:basedOn w:val="Carpredefinitoparagrafo"/>
    <w:uiPriority w:val="99"/>
    <w:semiHidden/>
    <w:unhideWhenUsed/>
    <w:rsid w:val="008956C2"/>
    <w:rPr>
      <w:color w:val="605E5C"/>
      <w:shd w:val="clear" w:color="auto" w:fill="E1DFDD"/>
    </w:rPr>
  </w:style>
  <w:style w:type="paragraph" w:styleId="Intestazione">
    <w:name w:val="header"/>
    <w:basedOn w:val="Normale"/>
    <w:link w:val="IntestazioneCarattere"/>
    <w:uiPriority w:val="99"/>
    <w:unhideWhenUsed/>
    <w:rsid w:val="008956C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956C2"/>
    <w:rPr>
      <w:sz w:val="22"/>
      <w:szCs w:val="22"/>
    </w:rPr>
  </w:style>
  <w:style w:type="paragraph" w:styleId="Pidipagina">
    <w:name w:val="footer"/>
    <w:basedOn w:val="Normale"/>
    <w:link w:val="PidipaginaCarattere"/>
    <w:uiPriority w:val="99"/>
    <w:unhideWhenUsed/>
    <w:rsid w:val="008956C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956C2"/>
    <w:rPr>
      <w:sz w:val="22"/>
      <w:szCs w:val="22"/>
    </w:rPr>
  </w:style>
  <w:style w:type="paragraph" w:styleId="Paragrafoelenco">
    <w:name w:val="List Paragraph"/>
    <w:basedOn w:val="Normale"/>
    <w:uiPriority w:val="34"/>
    <w:qFormat/>
    <w:rsid w:val="008956C2"/>
    <w:pPr>
      <w:ind w:left="720"/>
      <w:contextualSpacing/>
    </w:pPr>
  </w:style>
  <w:style w:type="character" w:customStyle="1" w:styleId="Funotenanker">
    <w:name w:val="Fußnotenanker"/>
    <w:rsid w:val="008956C2"/>
    <w:rPr>
      <w:vertAlign w:val="superscript"/>
    </w:rPr>
  </w:style>
  <w:style w:type="character" w:customStyle="1" w:styleId="Funotenzeichen">
    <w:name w:val="Fußnotenzeichen"/>
    <w:qFormat/>
    <w:rsid w:val="008956C2"/>
  </w:style>
  <w:style w:type="paragraph" w:styleId="PreformattatoHTML">
    <w:name w:val="HTML Preformatted"/>
    <w:basedOn w:val="Normale"/>
    <w:link w:val="PreformattatoHTMLCarattere"/>
    <w:uiPriority w:val="99"/>
    <w:unhideWhenUsed/>
    <w:rsid w:val="00895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8956C2"/>
    <w:rPr>
      <w:rFonts w:ascii="Courier New" w:eastAsia="Times New Roman" w:hAnsi="Courier New" w:cs="Courier New"/>
      <w:sz w:val="20"/>
      <w:szCs w:val="20"/>
      <w:lang w:eastAsia="it-IT"/>
    </w:rPr>
  </w:style>
  <w:style w:type="character" w:customStyle="1" w:styleId="comma">
    <w:name w:val="comma"/>
    <w:basedOn w:val="Carpredefinitoparagrafo"/>
    <w:rsid w:val="008956C2"/>
  </w:style>
  <w:style w:type="paragraph" w:styleId="NormaleWeb">
    <w:name w:val="Normal (Web)"/>
    <w:basedOn w:val="Normale"/>
    <w:uiPriority w:val="99"/>
    <w:unhideWhenUsed/>
    <w:rsid w:val="008956C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8956C2"/>
    <w:pPr>
      <w:autoSpaceDE w:val="0"/>
      <w:autoSpaceDN w:val="0"/>
      <w:adjustRightInd w:val="0"/>
    </w:pPr>
    <w:rPr>
      <w:rFonts w:ascii="Consolas" w:hAnsi="Consolas" w:cs="Consolas"/>
      <w:color w:val="000000"/>
    </w:rPr>
  </w:style>
  <w:style w:type="character" w:styleId="Rimandocommento">
    <w:name w:val="annotation reference"/>
    <w:basedOn w:val="Carpredefinitoparagrafo"/>
    <w:uiPriority w:val="99"/>
    <w:semiHidden/>
    <w:unhideWhenUsed/>
    <w:rsid w:val="008956C2"/>
    <w:rPr>
      <w:sz w:val="16"/>
      <w:szCs w:val="16"/>
    </w:rPr>
  </w:style>
  <w:style w:type="paragraph" w:styleId="Testocommento">
    <w:name w:val="annotation text"/>
    <w:basedOn w:val="Normale"/>
    <w:link w:val="TestocommentoCarattere"/>
    <w:uiPriority w:val="99"/>
    <w:semiHidden/>
    <w:unhideWhenUsed/>
    <w:rsid w:val="008956C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956C2"/>
    <w:rPr>
      <w:sz w:val="20"/>
      <w:szCs w:val="20"/>
    </w:rPr>
  </w:style>
  <w:style w:type="paragraph" w:styleId="Soggettocommento">
    <w:name w:val="annotation subject"/>
    <w:basedOn w:val="Testocommento"/>
    <w:next w:val="Testocommento"/>
    <w:link w:val="SoggettocommentoCarattere"/>
    <w:uiPriority w:val="99"/>
    <w:semiHidden/>
    <w:unhideWhenUsed/>
    <w:rsid w:val="008956C2"/>
    <w:rPr>
      <w:b/>
      <w:bCs/>
    </w:rPr>
  </w:style>
  <w:style w:type="character" w:customStyle="1" w:styleId="SoggettocommentoCarattere">
    <w:name w:val="Soggetto commento Carattere"/>
    <w:basedOn w:val="TestocommentoCarattere"/>
    <w:link w:val="Soggettocommento"/>
    <w:uiPriority w:val="99"/>
    <w:semiHidden/>
    <w:rsid w:val="008956C2"/>
    <w:rPr>
      <w:b/>
      <w:bCs/>
      <w:sz w:val="20"/>
      <w:szCs w:val="20"/>
    </w:rPr>
  </w:style>
  <w:style w:type="paragraph" w:styleId="Testofumetto">
    <w:name w:val="Balloon Text"/>
    <w:basedOn w:val="Normale"/>
    <w:link w:val="TestofumettoCarattere"/>
    <w:uiPriority w:val="99"/>
    <w:semiHidden/>
    <w:unhideWhenUsed/>
    <w:rsid w:val="00C4412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44126"/>
    <w:rPr>
      <w:rFonts w:ascii="Segoe UI" w:hAnsi="Segoe UI" w:cs="Segoe UI"/>
      <w:sz w:val="18"/>
      <w:szCs w:val="18"/>
    </w:rPr>
  </w:style>
  <w:style w:type="character" w:customStyle="1" w:styleId="Menzionenonrisolta2">
    <w:name w:val="Menzione non risolta2"/>
    <w:basedOn w:val="Carpredefinitoparagrafo"/>
    <w:uiPriority w:val="99"/>
    <w:semiHidden/>
    <w:unhideWhenUsed/>
    <w:rsid w:val="00F27C35"/>
    <w:rPr>
      <w:color w:val="605E5C"/>
      <w:shd w:val="clear" w:color="auto" w:fill="E1DFDD"/>
    </w:rPr>
  </w:style>
  <w:style w:type="character" w:customStyle="1" w:styleId="Titolo1Carattere">
    <w:name w:val="Titolo 1 Carattere"/>
    <w:basedOn w:val="Carpredefinitoparagrafo"/>
    <w:link w:val="Titolo1"/>
    <w:uiPriority w:val="9"/>
    <w:rsid w:val="004C2AD9"/>
    <w:rPr>
      <w:rFonts w:asciiTheme="majorHAnsi" w:eastAsiaTheme="majorEastAsia" w:hAnsiTheme="majorHAnsi" w:cstheme="majorBidi"/>
      <w:color w:val="2F5496" w:themeColor="accent1" w:themeShade="BF"/>
      <w:sz w:val="32"/>
      <w:szCs w:val="32"/>
    </w:rPr>
  </w:style>
  <w:style w:type="character" w:customStyle="1" w:styleId="Menzionenonrisolta3">
    <w:name w:val="Menzione non risolta3"/>
    <w:basedOn w:val="Carpredefinitoparagrafo"/>
    <w:uiPriority w:val="99"/>
    <w:semiHidden/>
    <w:unhideWhenUsed/>
    <w:rsid w:val="00667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22936">
      <w:bodyDiv w:val="1"/>
      <w:marLeft w:val="0"/>
      <w:marRight w:val="0"/>
      <w:marTop w:val="0"/>
      <w:marBottom w:val="0"/>
      <w:divBdr>
        <w:top w:val="none" w:sz="0" w:space="0" w:color="auto"/>
        <w:left w:val="none" w:sz="0" w:space="0" w:color="auto"/>
        <w:bottom w:val="none" w:sz="0" w:space="0" w:color="auto"/>
        <w:right w:val="none" w:sz="0" w:space="0" w:color="auto"/>
      </w:divBdr>
    </w:div>
    <w:div w:id="296106198">
      <w:bodyDiv w:val="1"/>
      <w:marLeft w:val="0"/>
      <w:marRight w:val="0"/>
      <w:marTop w:val="0"/>
      <w:marBottom w:val="0"/>
      <w:divBdr>
        <w:top w:val="none" w:sz="0" w:space="0" w:color="auto"/>
        <w:left w:val="none" w:sz="0" w:space="0" w:color="auto"/>
        <w:bottom w:val="none" w:sz="0" w:space="0" w:color="auto"/>
        <w:right w:val="none" w:sz="0" w:space="0" w:color="auto"/>
      </w:divBdr>
    </w:div>
    <w:div w:id="430397661">
      <w:bodyDiv w:val="1"/>
      <w:marLeft w:val="0"/>
      <w:marRight w:val="0"/>
      <w:marTop w:val="0"/>
      <w:marBottom w:val="0"/>
      <w:divBdr>
        <w:top w:val="none" w:sz="0" w:space="0" w:color="auto"/>
        <w:left w:val="none" w:sz="0" w:space="0" w:color="auto"/>
        <w:bottom w:val="none" w:sz="0" w:space="0" w:color="auto"/>
        <w:right w:val="none" w:sz="0" w:space="0" w:color="auto"/>
      </w:divBdr>
    </w:div>
    <w:div w:id="649290604">
      <w:bodyDiv w:val="1"/>
      <w:marLeft w:val="0"/>
      <w:marRight w:val="0"/>
      <w:marTop w:val="0"/>
      <w:marBottom w:val="0"/>
      <w:divBdr>
        <w:top w:val="none" w:sz="0" w:space="0" w:color="auto"/>
        <w:left w:val="none" w:sz="0" w:space="0" w:color="auto"/>
        <w:bottom w:val="none" w:sz="0" w:space="0" w:color="auto"/>
        <w:right w:val="none" w:sz="0" w:space="0" w:color="auto"/>
      </w:divBdr>
    </w:div>
    <w:div w:id="865370033">
      <w:bodyDiv w:val="1"/>
      <w:marLeft w:val="0"/>
      <w:marRight w:val="0"/>
      <w:marTop w:val="0"/>
      <w:marBottom w:val="0"/>
      <w:divBdr>
        <w:top w:val="none" w:sz="0" w:space="0" w:color="auto"/>
        <w:left w:val="none" w:sz="0" w:space="0" w:color="auto"/>
        <w:bottom w:val="none" w:sz="0" w:space="0" w:color="auto"/>
        <w:right w:val="none" w:sz="0" w:space="0" w:color="auto"/>
      </w:divBdr>
    </w:div>
    <w:div w:id="1039623314">
      <w:bodyDiv w:val="1"/>
      <w:marLeft w:val="0"/>
      <w:marRight w:val="0"/>
      <w:marTop w:val="0"/>
      <w:marBottom w:val="0"/>
      <w:divBdr>
        <w:top w:val="none" w:sz="0" w:space="0" w:color="auto"/>
        <w:left w:val="none" w:sz="0" w:space="0" w:color="auto"/>
        <w:bottom w:val="none" w:sz="0" w:space="0" w:color="auto"/>
        <w:right w:val="none" w:sz="0" w:space="0" w:color="auto"/>
      </w:divBdr>
    </w:div>
    <w:div w:id="116604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onsiglio.regione.toscana.it" TargetMode="External"/><Relationship Id="rId2" Type="http://schemas.openxmlformats.org/officeDocument/2006/relationships/hyperlink" Target="http://www.forumcostituzionale.it" TargetMode="External"/><Relationship Id="rId1" Type="http://schemas.openxmlformats.org/officeDocument/2006/relationships/hyperlink" Target="https://www.giustizia-amministrati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ACD19-AC45-498B-A290-8A29BE087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8042</Words>
  <Characters>45841</Characters>
  <Application>Microsoft Office Word</Application>
  <DocSecurity>0</DocSecurity>
  <Lines>382</Lines>
  <Paragraphs>107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User;Carlo Deodato</dc:creator>
  <cp:lastModifiedBy>FERRARI Giulia</cp:lastModifiedBy>
  <cp:revision>2</cp:revision>
  <cp:lastPrinted>2022-04-15T08:49:00Z</cp:lastPrinted>
  <dcterms:created xsi:type="dcterms:W3CDTF">2022-04-15T09:13:00Z</dcterms:created>
  <dcterms:modified xsi:type="dcterms:W3CDTF">2022-04-15T09:13:00Z</dcterms:modified>
</cp:coreProperties>
</file>