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B95" w:rsidRPr="005A111D" w:rsidRDefault="00F102AD" w:rsidP="005A6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2"/>
        <w:jc w:val="center"/>
        <w:rPr>
          <w:rFonts w:eastAsia="Times New Roman" w:cs="Times New Roman"/>
          <w:b/>
          <w:bCs/>
          <w:sz w:val="26"/>
          <w:szCs w:val="26"/>
          <w:lang w:eastAsia="it-IT"/>
        </w:rPr>
      </w:pPr>
      <w:r>
        <w:rPr>
          <w:rFonts w:eastAsia="Times New Roman" w:cs="Times New Roman"/>
          <w:b/>
          <w:bCs/>
          <w:sz w:val="26"/>
          <w:szCs w:val="26"/>
          <w:lang w:eastAsia="it-IT"/>
        </w:rPr>
        <w:t>E’</w:t>
      </w:r>
      <w:r w:rsidRPr="005A111D">
        <w:rPr>
          <w:rFonts w:eastAsia="Times New Roman" w:cs="Times New Roman"/>
          <w:b/>
          <w:bCs/>
          <w:sz w:val="26"/>
          <w:szCs w:val="26"/>
          <w:lang w:eastAsia="it-IT"/>
        </w:rPr>
        <w:t xml:space="preserve"> davvero sceso il sipario</w:t>
      </w:r>
      <w:r>
        <w:rPr>
          <w:rFonts w:eastAsia="Times New Roman" w:cs="Times New Roman"/>
          <w:b/>
          <w:bCs/>
          <w:sz w:val="26"/>
          <w:szCs w:val="26"/>
          <w:lang w:eastAsia="it-IT"/>
        </w:rPr>
        <w:t xml:space="preserve"> sulle c</w:t>
      </w:r>
      <w:r w:rsidR="003C1B95" w:rsidRPr="005A111D">
        <w:rPr>
          <w:rFonts w:eastAsia="Times New Roman" w:cs="Times New Roman"/>
          <w:b/>
          <w:bCs/>
          <w:sz w:val="26"/>
          <w:szCs w:val="26"/>
          <w:lang w:eastAsia="it-IT"/>
        </w:rPr>
        <w:t xml:space="preserve">oncessioni </w:t>
      </w:r>
      <w:r w:rsidRPr="00F102AD">
        <w:rPr>
          <w:rFonts w:eastAsia="Times New Roman" w:cs="Times New Roman"/>
          <w:b/>
          <w:bCs/>
          <w:sz w:val="26"/>
          <w:szCs w:val="26"/>
          <w:lang w:eastAsia="it-IT"/>
        </w:rPr>
        <w:t>turistico-ricreative</w:t>
      </w:r>
      <w:r w:rsidR="0091476A" w:rsidRPr="005A111D">
        <w:rPr>
          <w:rFonts w:eastAsia="Times New Roman" w:cs="Times New Roman"/>
          <w:b/>
          <w:bCs/>
          <w:sz w:val="26"/>
          <w:szCs w:val="26"/>
          <w:lang w:eastAsia="it-IT"/>
        </w:rPr>
        <w:t>?</w:t>
      </w:r>
    </w:p>
    <w:p w:rsidR="003C1B95" w:rsidRPr="003C1B95" w:rsidRDefault="003C1B95" w:rsidP="005A6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2"/>
        <w:jc w:val="center"/>
        <w:rPr>
          <w:rFonts w:eastAsia="Times New Roman" w:cs="Times New Roman"/>
          <w:b/>
          <w:bCs/>
          <w:sz w:val="24"/>
          <w:szCs w:val="24"/>
          <w:lang w:eastAsia="it-IT"/>
        </w:rPr>
      </w:pPr>
    </w:p>
    <w:p w:rsidR="003C1B95" w:rsidRDefault="003C1B95" w:rsidP="005A6DE5">
      <w:pPr>
        <w:ind w:left="284" w:right="282"/>
        <w:jc w:val="both"/>
        <w:rPr>
          <w:b/>
        </w:rPr>
      </w:pPr>
    </w:p>
    <w:p w:rsidR="0077049C" w:rsidRPr="0077049C" w:rsidRDefault="0077049C" w:rsidP="005A6DE5">
      <w:pPr>
        <w:numPr>
          <w:ilvl w:val="0"/>
          <w:numId w:val="2"/>
        </w:numPr>
        <w:ind w:left="284" w:right="282" w:firstLine="0"/>
        <w:jc w:val="both"/>
        <w:rPr>
          <w:b/>
        </w:rPr>
      </w:pPr>
      <w:r w:rsidRPr="0077049C">
        <w:rPr>
          <w:b/>
        </w:rPr>
        <w:t>I princìpi affermati dall’Adunanza plenaria del Consiglio di Stato.</w:t>
      </w:r>
    </w:p>
    <w:p w:rsidR="004646D2" w:rsidRDefault="004646D2" w:rsidP="005A6DE5">
      <w:pPr>
        <w:ind w:left="284" w:right="282"/>
        <w:jc w:val="both"/>
      </w:pPr>
      <w:r>
        <w:t>Lo stato dell’arte in materia di concessioni demaniali</w:t>
      </w:r>
      <w:r w:rsidRPr="004646D2">
        <w:t xml:space="preserve"> </w:t>
      </w:r>
      <w:r w:rsidRPr="00C41656">
        <w:t>per finalità turistico-ricreative</w:t>
      </w:r>
      <w:r>
        <w:t xml:space="preserve"> </w:t>
      </w:r>
      <w:r w:rsidR="00DD3F8A">
        <w:t>è</w:t>
      </w:r>
      <w:r w:rsidR="005A111D">
        <w:t xml:space="preserve"> </w:t>
      </w:r>
      <w:r w:rsidR="00AF5275">
        <w:t xml:space="preserve">ormai </w:t>
      </w:r>
      <w:r w:rsidR="005A111D">
        <w:t>scolpito a chiar</w:t>
      </w:r>
      <w:r>
        <w:t xml:space="preserve">e lettere </w:t>
      </w:r>
      <w:r w:rsidR="00DD3F8A">
        <w:t>i</w:t>
      </w:r>
      <w:r>
        <w:t>n</w:t>
      </w:r>
      <w:r w:rsidR="00DD3F8A">
        <w:t xml:space="preserve"> due </w:t>
      </w:r>
      <w:r w:rsidR="00B65C7E">
        <w:t>sentenze</w:t>
      </w:r>
      <w:r w:rsidR="00C41656">
        <w:t xml:space="preserve"> </w:t>
      </w:r>
      <w:r>
        <w:t>del Consiglio di Stato</w:t>
      </w:r>
      <w:r w:rsidR="00DD3F8A">
        <w:rPr>
          <w:rStyle w:val="Rimandonotaapidipagina"/>
        </w:rPr>
        <w:footnoteReference w:id="1"/>
      </w:r>
      <w:r w:rsidR="00ED46AB">
        <w:t xml:space="preserve">, </w:t>
      </w:r>
      <w:r>
        <w:t>le qu</w:t>
      </w:r>
      <w:r w:rsidR="00C41656">
        <w:t>a</w:t>
      </w:r>
      <w:r>
        <w:t>li</w:t>
      </w:r>
      <w:r w:rsidR="00ED46AB">
        <w:t xml:space="preserve"> </w:t>
      </w:r>
      <w:r>
        <w:t>hanno affermato</w:t>
      </w:r>
      <w:r w:rsidR="00ED46AB">
        <w:t xml:space="preserve"> </w:t>
      </w:r>
      <w:r w:rsidR="0035060D">
        <w:t>(</w:t>
      </w:r>
      <w:r>
        <w:t xml:space="preserve">anche </w:t>
      </w:r>
      <w:r w:rsidR="00F32878">
        <w:t xml:space="preserve">se </w:t>
      </w:r>
      <w:r>
        <w:t xml:space="preserve">non </w:t>
      </w:r>
      <w:r w:rsidR="0035060D">
        <w:t>definitivamente</w:t>
      </w:r>
      <w:r w:rsidR="0035060D">
        <w:rPr>
          <w:rStyle w:val="Rimandonotaapidipagina"/>
        </w:rPr>
        <w:footnoteReference w:id="2"/>
      </w:r>
      <w:r w:rsidR="0035060D">
        <w:t>)</w:t>
      </w:r>
      <w:r>
        <w:t xml:space="preserve"> </w:t>
      </w:r>
      <w:r w:rsidR="00B65C7E">
        <w:t>tre</w:t>
      </w:r>
      <w:r>
        <w:t xml:space="preserve"> fondamentali princìpi</w:t>
      </w:r>
      <w:r w:rsidR="005945CE">
        <w:t xml:space="preserve"> di diritto</w:t>
      </w:r>
      <w:r w:rsidR="0086649E">
        <w:t>:</w:t>
      </w:r>
    </w:p>
    <w:p w:rsidR="004646D2" w:rsidRDefault="004646D2" w:rsidP="005A6DE5">
      <w:pPr>
        <w:ind w:left="284" w:right="282"/>
        <w:jc w:val="both"/>
      </w:pPr>
      <w:r>
        <w:t xml:space="preserve">- </w:t>
      </w:r>
      <w:r w:rsidR="0074045E">
        <w:t xml:space="preserve">che </w:t>
      </w:r>
      <w:r w:rsidR="00B65C7E">
        <w:t>sussiste</w:t>
      </w:r>
      <w:r w:rsidRPr="004646D2">
        <w:t xml:space="preserve"> </w:t>
      </w:r>
      <w:r>
        <w:t>l’obbligo</w:t>
      </w:r>
      <w:r w:rsidR="00B65C7E">
        <w:t xml:space="preserve"> </w:t>
      </w:r>
      <w:r>
        <w:t xml:space="preserve">di affidamento tramite </w:t>
      </w:r>
      <w:r w:rsidR="00B65C7E" w:rsidRPr="0051064F">
        <w:t>una “procedura di selezione tra i candidati potenziali, che presenti garanzie di imparzialità e di trasparenza e preveda, in particolare, un’adeguata pubblicità dell’avvio della procedura e del suo svolgimento e completamento</w:t>
      </w:r>
      <w:r w:rsidR="00B65C7E">
        <w:t>”</w:t>
      </w:r>
      <w:r w:rsidR="00B16B90">
        <w:t>,</w:t>
      </w:r>
      <w:r w:rsidR="00B16B90" w:rsidRPr="00B16B90">
        <w:t xml:space="preserve"> </w:t>
      </w:r>
      <w:r w:rsidR="00B16B90">
        <w:t>stabilito</w:t>
      </w:r>
      <w:r w:rsidR="00B16B90" w:rsidRPr="00C41656">
        <w:t xml:space="preserve"> </w:t>
      </w:r>
      <w:r w:rsidR="00B16B90">
        <w:t>a garanzia della concorrenza dal</w:t>
      </w:r>
      <w:r w:rsidR="00B16B90" w:rsidRPr="00C41656">
        <w:t xml:space="preserve">l’art. 49 TFUE e </w:t>
      </w:r>
      <w:r w:rsidR="00B16B90">
        <w:t>dal</w:t>
      </w:r>
      <w:r w:rsidR="00B16B90" w:rsidRPr="00C41656">
        <w:t>l’art. 12 della direttiva 2006/123/CE</w:t>
      </w:r>
      <w:r w:rsidR="00B16B90">
        <w:t xml:space="preserve">, sui servizi nel mercato interno (c.d. direttiva </w:t>
      </w:r>
      <w:proofErr w:type="spellStart"/>
      <w:r w:rsidR="00B16B90" w:rsidRPr="0086649E">
        <w:rPr>
          <w:i/>
        </w:rPr>
        <w:t>Bolkestein</w:t>
      </w:r>
      <w:proofErr w:type="spellEnd"/>
      <w:r w:rsidR="00B16B90">
        <w:t>);</w:t>
      </w:r>
    </w:p>
    <w:p w:rsidR="004646D2" w:rsidRDefault="004646D2" w:rsidP="005A6DE5">
      <w:pPr>
        <w:ind w:left="284" w:right="282"/>
        <w:jc w:val="both"/>
      </w:pPr>
      <w:r>
        <w:t>-</w:t>
      </w:r>
      <w:r w:rsidR="0035060D">
        <w:t xml:space="preserve"> </w:t>
      </w:r>
      <w:r w:rsidR="0074045E">
        <w:t xml:space="preserve">che </w:t>
      </w:r>
      <w:r w:rsidR="00C41656">
        <w:t>le disposizioni, normative ed amministrative</w:t>
      </w:r>
      <w:r w:rsidR="0035060D">
        <w:t>,</w:t>
      </w:r>
      <w:r w:rsidR="00C41656">
        <w:t xml:space="preserve"> </w:t>
      </w:r>
      <w:r w:rsidR="0035060D">
        <w:t>di</w:t>
      </w:r>
      <w:r w:rsidR="00C41656" w:rsidRPr="00C41656">
        <w:t xml:space="preserve"> proroga automatica </w:t>
      </w:r>
      <w:r w:rsidR="0077049C">
        <w:t xml:space="preserve">delle concessioni non devono </w:t>
      </w:r>
      <w:r w:rsidR="0077049C" w:rsidRPr="00C41656">
        <w:t>essere applicate dai giudici</w:t>
      </w:r>
      <w:r w:rsidR="0077049C">
        <w:t xml:space="preserve"> e</w:t>
      </w:r>
      <w:r w:rsidR="0077049C" w:rsidRPr="00C41656">
        <w:t xml:space="preserve"> dalla</w:t>
      </w:r>
      <w:r w:rsidR="0077049C">
        <w:t xml:space="preserve"> pubblica amministrazione</w:t>
      </w:r>
      <w:r w:rsidR="00B16B90">
        <w:t>,</w:t>
      </w:r>
      <w:r w:rsidR="0077049C">
        <w:t xml:space="preserve"> perché </w:t>
      </w:r>
      <w:r w:rsidR="0035060D">
        <w:t>violano</w:t>
      </w:r>
      <w:r>
        <w:t xml:space="preserve"> tale obbligo</w:t>
      </w:r>
      <w:r w:rsidR="00E65FE5">
        <w:t xml:space="preserve"> (e così gli stessi eventuali giudicati intervenuti in tal senso)</w:t>
      </w:r>
      <w:r w:rsidR="0086649E">
        <w:t>;</w:t>
      </w:r>
    </w:p>
    <w:p w:rsidR="00C41656" w:rsidRDefault="004646D2" w:rsidP="005A6DE5">
      <w:pPr>
        <w:ind w:left="284" w:right="282"/>
        <w:jc w:val="both"/>
      </w:pPr>
      <w:r>
        <w:t xml:space="preserve">- </w:t>
      </w:r>
      <w:r w:rsidR="0074045E">
        <w:t xml:space="preserve">che, </w:t>
      </w:r>
      <w:r w:rsidR="000E315C">
        <w:t>on</w:t>
      </w:r>
      <w:r w:rsidR="00C41656" w:rsidRPr="00C41656">
        <w:t>d</w:t>
      </w:r>
      <w:r w:rsidR="000E315C">
        <w:t>e</w:t>
      </w:r>
      <w:r w:rsidR="00C41656" w:rsidRPr="00C41656">
        <w:t xml:space="preserve"> evitare </w:t>
      </w:r>
      <w:r w:rsidR="00C41656">
        <w:t xml:space="preserve">un </w:t>
      </w:r>
      <w:r w:rsidR="0035060D">
        <w:t xml:space="preserve">grave </w:t>
      </w:r>
      <w:r w:rsidR="00C41656">
        <w:t xml:space="preserve">nocumento </w:t>
      </w:r>
      <w:r w:rsidR="0035060D">
        <w:t>al</w:t>
      </w:r>
      <w:r w:rsidR="00C41656">
        <w:t>l’interesse pubblico e</w:t>
      </w:r>
      <w:r w:rsidR="00C41656" w:rsidRPr="00C41656">
        <w:t xml:space="preserve"> nell’auspicio </w:t>
      </w:r>
      <w:r w:rsidR="00011A38">
        <w:t>di un</w:t>
      </w:r>
      <w:r w:rsidR="00C41656" w:rsidRPr="00C41656">
        <w:t xml:space="preserve"> </w:t>
      </w:r>
      <w:r w:rsidR="00C27235">
        <w:t xml:space="preserve">rapido </w:t>
      </w:r>
      <w:r w:rsidR="00C41656" w:rsidRPr="00C41656">
        <w:t>riordin</w:t>
      </w:r>
      <w:r w:rsidR="00011A38">
        <w:t>o</w:t>
      </w:r>
      <w:r w:rsidR="00C41656" w:rsidRPr="00C41656">
        <w:t xml:space="preserve"> </w:t>
      </w:r>
      <w:r w:rsidR="00011A38">
        <w:t>legislativo</w:t>
      </w:r>
      <w:r w:rsidR="00C41656" w:rsidRPr="00C41656">
        <w:t xml:space="preserve">, </w:t>
      </w:r>
      <w:r w:rsidR="00EF26E3">
        <w:t>le concessioni in essere</w:t>
      </w:r>
      <w:r w:rsidR="0021336A">
        <w:t>,</w:t>
      </w:r>
      <w:r w:rsidR="00EF26E3">
        <w:t xml:space="preserve"> violative dell’obbligo</w:t>
      </w:r>
      <w:r w:rsidR="0021336A">
        <w:t>,</w:t>
      </w:r>
      <w:r w:rsidR="007061DD">
        <w:t xml:space="preserve"> </w:t>
      </w:r>
      <w:r w:rsidR="00C41656" w:rsidRPr="00C41656">
        <w:t>continua</w:t>
      </w:r>
      <w:r w:rsidR="005945CE">
        <w:t>no a</w:t>
      </w:r>
      <w:r w:rsidR="00C41656" w:rsidRPr="00C41656">
        <w:t xml:space="preserve"> </w:t>
      </w:r>
      <w:r w:rsidR="0086649E">
        <w:t xml:space="preserve">produrre </w:t>
      </w:r>
      <w:r w:rsidR="00C41656" w:rsidRPr="00C41656">
        <w:t>eff</w:t>
      </w:r>
      <w:r w:rsidR="0086649E">
        <w:t>ett</w:t>
      </w:r>
      <w:r w:rsidR="00C41656" w:rsidRPr="00C41656">
        <w:t>i</w:t>
      </w:r>
      <w:r w:rsidR="0086649E">
        <w:t xml:space="preserve"> fino</w:t>
      </w:r>
      <w:r w:rsidR="00C41656" w:rsidRPr="00C41656">
        <w:t xml:space="preserve"> al 31 dicembre 2023</w:t>
      </w:r>
      <w:r w:rsidR="00B65C7E">
        <w:t>.</w:t>
      </w:r>
    </w:p>
    <w:p w:rsidR="00B3435D" w:rsidRDefault="00B3435D" w:rsidP="005A6DE5">
      <w:pPr>
        <w:ind w:left="284" w:right="282"/>
        <w:jc w:val="both"/>
      </w:pPr>
      <w:r>
        <w:t xml:space="preserve">I </w:t>
      </w:r>
      <w:r w:rsidRPr="0051064F">
        <w:t xml:space="preserve">criteri </w:t>
      </w:r>
      <w:r>
        <w:t>delle future procedure competitive, da stabilire con legge statale, d</w:t>
      </w:r>
      <w:r w:rsidR="00B16B90">
        <w:t>o</w:t>
      </w:r>
      <w:r>
        <w:t>v</w:t>
      </w:r>
      <w:r w:rsidR="00B16B90">
        <w:t>ran</w:t>
      </w:r>
      <w:r>
        <w:t xml:space="preserve">no essere </w:t>
      </w:r>
      <w:r w:rsidRPr="0051064F">
        <w:t>proporzionati, non discriminatori ed equi</w:t>
      </w:r>
      <w:r>
        <w:t>;</w:t>
      </w:r>
      <w:r w:rsidRPr="00B96E26">
        <w:t xml:space="preserve"> </w:t>
      </w:r>
      <w:r>
        <w:t xml:space="preserve">dunque </w:t>
      </w:r>
      <w:r w:rsidRPr="0051064F">
        <w:t xml:space="preserve">collegati </w:t>
      </w:r>
      <w:r>
        <w:t xml:space="preserve">esclusivamente </w:t>
      </w:r>
      <w:r w:rsidRPr="0051064F">
        <w:t xml:space="preserve">all’oggetto del contratto </w:t>
      </w:r>
      <w:r>
        <w:t>ed al</w:t>
      </w:r>
      <w:r w:rsidRPr="0051064F">
        <w:t>l</w:t>
      </w:r>
      <w:r>
        <w:t xml:space="preserve">a </w:t>
      </w:r>
      <w:r w:rsidRPr="0051064F">
        <w:t>capacità tecnica, professionale, finanziaria ed economica degli operatori</w:t>
      </w:r>
      <w:r>
        <w:t xml:space="preserve"> concorrenti.</w:t>
      </w:r>
    </w:p>
    <w:p w:rsidR="00B3435D" w:rsidRDefault="00B3435D" w:rsidP="005A6DE5">
      <w:pPr>
        <w:ind w:left="284" w:right="282"/>
        <w:jc w:val="both"/>
      </w:pPr>
      <w:r>
        <w:t>Nondimeno, l’art. 12 consente di tener</w:t>
      </w:r>
      <w:r w:rsidR="006F67EE">
        <w:t>e</w:t>
      </w:r>
      <w:r>
        <w:t xml:space="preserve"> conto “di</w:t>
      </w:r>
      <w:r w:rsidRPr="0051064F">
        <w:t xml:space="preserve"> considerazioni di salute pubblica, di obiettivi di politica sociale, della salute e della sicurezza dei lavoratori dipendenti ed autonomi, della protezione dell’ambiente, della salvaguardia del patrimonio culturale e di altri motivi imperativi d’interesse generale conformi al diritto</w:t>
      </w:r>
      <w:r>
        <w:t xml:space="preserve"> comunitario”.</w:t>
      </w:r>
    </w:p>
    <w:p w:rsidR="008514F1" w:rsidRPr="0051064F" w:rsidRDefault="003C7FD2" w:rsidP="005A6DE5">
      <w:pPr>
        <w:ind w:left="284" w:right="282"/>
        <w:jc w:val="both"/>
      </w:pPr>
      <w:r>
        <w:t xml:space="preserve">In virtù di ciò, secondo </w:t>
      </w:r>
      <w:r w:rsidR="00B3435D">
        <w:t>l’Adunanza plenaria</w:t>
      </w:r>
      <w:r>
        <w:t>,</w:t>
      </w:r>
      <w:r w:rsidR="000E315C">
        <w:t xml:space="preserve"> </w:t>
      </w:r>
      <w:r>
        <w:t xml:space="preserve">i criteri di gara </w:t>
      </w:r>
      <w:r w:rsidR="009C3092" w:rsidRPr="0051064F">
        <w:t>po</w:t>
      </w:r>
      <w:r w:rsidR="00B16B90">
        <w:t>tran</w:t>
      </w:r>
      <w:r w:rsidR="009C3092" w:rsidRPr="0051064F">
        <w:t>no</w:t>
      </w:r>
      <w:r w:rsidR="00B3435D">
        <w:t xml:space="preserve"> </w:t>
      </w:r>
      <w:r w:rsidR="008514F1">
        <w:t>contenere</w:t>
      </w:r>
      <w:r w:rsidR="009C3092" w:rsidRPr="0051064F">
        <w:t xml:space="preserve"> </w:t>
      </w:r>
      <w:r w:rsidR="009C3092">
        <w:t xml:space="preserve">regole </w:t>
      </w:r>
      <w:r w:rsidR="009C3092" w:rsidRPr="0051064F">
        <w:t xml:space="preserve">che, nel rispetto della </w:t>
      </w:r>
      <w:r w:rsidR="009C3092" w:rsidRPr="0051064F">
        <w:rPr>
          <w:i/>
        </w:rPr>
        <w:t>par condicio</w:t>
      </w:r>
      <w:r w:rsidR="009C3092" w:rsidRPr="0051064F">
        <w:t>, valorizz</w:t>
      </w:r>
      <w:r>
        <w:t>ino</w:t>
      </w:r>
      <w:r w:rsidR="009C3092" w:rsidRPr="0051064F">
        <w:t xml:space="preserve"> l’esperienza professionale e</w:t>
      </w:r>
      <w:r w:rsidR="009C3092">
        <w:t>d</w:t>
      </w:r>
      <w:r w:rsidR="009C3092" w:rsidRPr="0051064F">
        <w:t xml:space="preserve"> il </w:t>
      </w:r>
      <w:r w:rsidR="009C3092" w:rsidRPr="0051064F">
        <w:rPr>
          <w:i/>
        </w:rPr>
        <w:t>know-how</w:t>
      </w:r>
      <w:r w:rsidR="009C3092" w:rsidRPr="0051064F">
        <w:t xml:space="preserve"> </w:t>
      </w:r>
      <w:r>
        <w:t xml:space="preserve">già </w:t>
      </w:r>
      <w:r w:rsidR="009C3092" w:rsidRPr="0051064F">
        <w:t>acquisit</w:t>
      </w:r>
      <w:r>
        <w:t>i</w:t>
      </w:r>
      <w:r w:rsidR="009C3092" w:rsidRPr="0051064F">
        <w:t xml:space="preserve"> (anche d</w:t>
      </w:r>
      <w:r>
        <w:t>a</w:t>
      </w:r>
      <w:r w:rsidR="009C3092" w:rsidRPr="0051064F">
        <w:t xml:space="preserve">l concessionario uscente), la capacità </w:t>
      </w:r>
      <w:r w:rsidRPr="0051064F">
        <w:t xml:space="preserve">del progetto </w:t>
      </w:r>
      <w:r w:rsidR="009C3092" w:rsidRPr="0051064F">
        <w:t>di intera</w:t>
      </w:r>
      <w:r>
        <w:t>gir</w:t>
      </w:r>
      <w:r w:rsidR="009C3092" w:rsidRPr="0051064F">
        <w:t xml:space="preserve">e con il complessivo sistema turistico-ricettivo </w:t>
      </w:r>
      <w:r w:rsidR="008514F1">
        <w:t>territori</w:t>
      </w:r>
      <w:r w:rsidR="009C3092" w:rsidRPr="0051064F">
        <w:t>ale</w:t>
      </w:r>
      <w:r w:rsidR="008514F1">
        <w:t>,</w:t>
      </w:r>
      <w:r w:rsidR="008514F1" w:rsidRPr="008514F1">
        <w:t xml:space="preserve"> </w:t>
      </w:r>
      <w:r w:rsidR="008514F1" w:rsidRPr="0051064F">
        <w:t>i</w:t>
      </w:r>
      <w:r>
        <w:t xml:space="preserve"> maggiori</w:t>
      </w:r>
      <w:r w:rsidR="008514F1" w:rsidRPr="0051064F">
        <w:t xml:space="preserve"> </w:t>
      </w:r>
      <w:r w:rsidR="008514F1" w:rsidRPr="0051064F">
        <w:rPr>
          <w:i/>
        </w:rPr>
        <w:t>standard</w:t>
      </w:r>
      <w:r w:rsidR="008514F1" w:rsidRPr="0051064F">
        <w:t xml:space="preserve"> qualitativi dei servizi </w:t>
      </w:r>
      <w:r>
        <w:t>offerti,</w:t>
      </w:r>
      <w:r w:rsidR="008514F1" w:rsidRPr="0051064F">
        <w:t xml:space="preserve"> la sostenibilità sociale e</w:t>
      </w:r>
      <w:r w:rsidR="008514F1">
        <w:t>d</w:t>
      </w:r>
      <w:r w:rsidR="008514F1" w:rsidRPr="0051064F">
        <w:t xml:space="preserve"> ambientale del piano degli investimenti, in relazione alla tipologia</w:t>
      </w:r>
      <w:r w:rsidR="008514F1">
        <w:t xml:space="preserve"> della concessione da </w:t>
      </w:r>
      <w:r w:rsidR="000E315C">
        <w:t>affida</w:t>
      </w:r>
      <w:r w:rsidR="008514F1">
        <w:t>re.</w:t>
      </w:r>
    </w:p>
    <w:p w:rsidR="008514F1" w:rsidRDefault="008514F1" w:rsidP="005A6DE5">
      <w:pPr>
        <w:ind w:left="284" w:right="282"/>
        <w:jc w:val="both"/>
      </w:pPr>
      <w:r>
        <w:t>E’ inoltre auspicabile che l</w:t>
      </w:r>
      <w:r w:rsidRPr="0051064F">
        <w:t xml:space="preserve">a durata delle concessioni </w:t>
      </w:r>
      <w:r>
        <w:t>sia</w:t>
      </w:r>
      <w:r w:rsidRPr="0051064F">
        <w:t xml:space="preserve"> commisurata al valore e</w:t>
      </w:r>
      <w:r>
        <w:t>d</w:t>
      </w:r>
      <w:r w:rsidRPr="0051064F">
        <w:t xml:space="preserve"> alla complessità organizzativa</w:t>
      </w:r>
      <w:r w:rsidR="003C7FD2">
        <w:t xml:space="preserve"> delle stesse</w:t>
      </w:r>
      <w:r>
        <w:t>,</w:t>
      </w:r>
      <w:r w:rsidRPr="0051064F">
        <w:t xml:space="preserve"> </w:t>
      </w:r>
      <w:r>
        <w:t xml:space="preserve">non </w:t>
      </w:r>
      <w:r w:rsidRPr="0051064F">
        <w:t>ecced</w:t>
      </w:r>
      <w:r>
        <w:t>e</w:t>
      </w:r>
      <w:r w:rsidR="003C7FD2">
        <w:t>ndo</w:t>
      </w:r>
      <w:r w:rsidRPr="0051064F">
        <w:t xml:space="preserve"> il tempo ragionevolmente necessario al recupero degli investimenti</w:t>
      </w:r>
      <w:r w:rsidR="003C7FD2">
        <w:t xml:space="preserve"> ed</w:t>
      </w:r>
      <w:r w:rsidRPr="0051064F">
        <w:t xml:space="preserve"> a</w:t>
      </w:r>
      <w:r w:rsidR="003C7FD2">
        <w:t>ll</w:t>
      </w:r>
      <w:r w:rsidRPr="0051064F">
        <w:t>a remunerazione del capitale investito. </w:t>
      </w:r>
      <w:r>
        <w:t>Ugualmente</w:t>
      </w:r>
      <w:r w:rsidRPr="0051064F">
        <w:t xml:space="preserve">, </w:t>
      </w:r>
      <w:r>
        <w:t>è</w:t>
      </w:r>
      <w:r w:rsidRPr="0051064F">
        <w:t xml:space="preserve"> op</w:t>
      </w:r>
      <w:r w:rsidR="00E35273">
        <w:t xml:space="preserve">portuno che i canoni concessori </w:t>
      </w:r>
      <w:proofErr w:type="spellStart"/>
      <w:r w:rsidRPr="0051064F">
        <w:t>formi</w:t>
      </w:r>
      <w:r>
        <w:t>no</w:t>
      </w:r>
      <w:proofErr w:type="spellEnd"/>
      <w:r w:rsidRPr="0051064F">
        <w:t xml:space="preserve"> oggetto della </w:t>
      </w:r>
      <w:r w:rsidR="003C7FD2">
        <w:t>ga</w:t>
      </w:r>
      <w:r w:rsidRPr="0051064F">
        <w:t xml:space="preserve">ra, in modo che </w:t>
      </w:r>
      <w:r w:rsidR="000E315C">
        <w:t>la competizione</w:t>
      </w:r>
      <w:r w:rsidRPr="0051064F">
        <w:t xml:space="preserve"> rifletta il reale valore economico d</w:t>
      </w:r>
      <w:r w:rsidR="0065020F">
        <w:t>el bene</w:t>
      </w:r>
      <w:r w:rsidR="000E315C">
        <w:t>.</w:t>
      </w:r>
    </w:p>
    <w:p w:rsidR="009C3092" w:rsidRDefault="008514F1" w:rsidP="005A6DE5">
      <w:pPr>
        <w:ind w:left="284" w:right="282"/>
        <w:jc w:val="both"/>
      </w:pPr>
      <w:r>
        <w:t>Infine, i</w:t>
      </w:r>
      <w:r w:rsidRPr="0051064F">
        <w:t xml:space="preserve">l legittimo affidamento dei </w:t>
      </w:r>
      <w:r w:rsidR="0065020F">
        <w:t>concession</w:t>
      </w:r>
      <w:r w:rsidRPr="0051064F">
        <w:t xml:space="preserve">ari </w:t>
      </w:r>
      <w:r>
        <w:t xml:space="preserve">non </w:t>
      </w:r>
      <w:r w:rsidR="00905908">
        <w:t xml:space="preserve">risultati </w:t>
      </w:r>
      <w:r>
        <w:t>aggiudicatari p</w:t>
      </w:r>
      <w:r w:rsidR="00B16B90">
        <w:t>otrà</w:t>
      </w:r>
      <w:r w:rsidR="009C3092">
        <w:t xml:space="preserve"> essere </w:t>
      </w:r>
      <w:r>
        <w:t>compens</w:t>
      </w:r>
      <w:r w:rsidR="009C3092">
        <w:t>ato</w:t>
      </w:r>
      <w:r w:rsidR="009C3092" w:rsidRPr="0051064F">
        <w:t xml:space="preserve"> </w:t>
      </w:r>
      <w:r w:rsidR="003C7FD2">
        <w:t xml:space="preserve">con </w:t>
      </w:r>
      <w:r w:rsidR="009C3092">
        <w:t xml:space="preserve">la previsione di </w:t>
      </w:r>
      <w:r w:rsidR="009C3092" w:rsidRPr="0051064F">
        <w:t>un indennizzo</w:t>
      </w:r>
      <w:r w:rsidR="00905908">
        <w:t xml:space="preserve"> a carico dell’affidat</w:t>
      </w:r>
      <w:r w:rsidR="0065020F">
        <w:t>ario</w:t>
      </w:r>
      <w:r w:rsidR="009C3092">
        <w:t>,</w:t>
      </w:r>
      <w:r w:rsidR="009C3092" w:rsidRPr="0051064F">
        <w:t xml:space="preserve"> funzionale ad ammortizzare gli investimenti effettuati</w:t>
      </w:r>
      <w:r w:rsidR="009C3092">
        <w:t>.</w:t>
      </w:r>
    </w:p>
    <w:p w:rsidR="008514F1" w:rsidRDefault="008514F1" w:rsidP="005A6DE5">
      <w:pPr>
        <w:ind w:left="284" w:right="282"/>
        <w:jc w:val="both"/>
      </w:pPr>
      <w:r>
        <w:lastRenderedPageBreak/>
        <w:t xml:space="preserve">Fin qui i princìpi </w:t>
      </w:r>
      <w:r w:rsidR="00D00C63">
        <w:t xml:space="preserve">di diritto </w:t>
      </w:r>
      <w:r>
        <w:t>affermati dal Consiglio di Stato, il quale, come visto, prospetta, come unica soluzione per uscire dall’</w:t>
      </w:r>
      <w:r w:rsidRPr="00080800">
        <w:rPr>
          <w:i/>
        </w:rPr>
        <w:t>impasse</w:t>
      </w:r>
      <w:r>
        <w:t>, la celebrazione di gare pubbliche competitive e trasparenti</w:t>
      </w:r>
      <w:r w:rsidR="0065020F" w:rsidRPr="0065020F">
        <w:t xml:space="preserve"> </w:t>
      </w:r>
      <w:r w:rsidR="0065020F">
        <w:t>entro il termine de</w:t>
      </w:r>
      <w:r w:rsidR="0065020F" w:rsidRPr="00C41656">
        <w:t>l 31 dicembre 2023</w:t>
      </w:r>
      <w:r>
        <w:t>, con criteri uniformi stabiliti dalla legge nazionale</w:t>
      </w:r>
      <w:r w:rsidR="00410FAD">
        <w:t>, vertendosi in materia d</w:t>
      </w:r>
      <w:r w:rsidR="00905908">
        <w:t>i</w:t>
      </w:r>
      <w:r w:rsidR="00410FAD">
        <w:t xml:space="preserve"> concorrenza</w:t>
      </w:r>
      <w:r w:rsidR="00780243">
        <w:rPr>
          <w:rStyle w:val="Rimandonotaapidipagina"/>
        </w:rPr>
        <w:footnoteReference w:id="3"/>
      </w:r>
      <w:r>
        <w:t>.</w:t>
      </w:r>
    </w:p>
    <w:p w:rsidR="008514F1" w:rsidRDefault="008514F1" w:rsidP="005A6DE5">
      <w:pPr>
        <w:ind w:left="284" w:right="282"/>
        <w:jc w:val="both"/>
      </w:pPr>
      <w:r>
        <w:t xml:space="preserve">In questo senso si è mosso il Governo che, </w:t>
      </w:r>
      <w:r w:rsidR="00905908">
        <w:t>a</w:t>
      </w:r>
      <w:r w:rsidR="00202BA1">
        <w:t>gli artt. 2, 2-</w:t>
      </w:r>
      <w:r w:rsidR="00202BA1" w:rsidRPr="00080800">
        <w:rPr>
          <w:i/>
        </w:rPr>
        <w:t>bis</w:t>
      </w:r>
      <w:r w:rsidR="00202BA1">
        <w:t xml:space="preserve"> e 2-</w:t>
      </w:r>
      <w:r w:rsidR="00202BA1" w:rsidRPr="00080800">
        <w:rPr>
          <w:i/>
        </w:rPr>
        <w:t>ter</w:t>
      </w:r>
      <w:r w:rsidR="00202BA1">
        <w:t xml:space="preserve"> d</w:t>
      </w:r>
      <w:r>
        <w:t>el disegno di legge delega per il mercato e la concorrenza per l’anno 2022,</w:t>
      </w:r>
      <w:r w:rsidRPr="00720B18">
        <w:t xml:space="preserve"> </w:t>
      </w:r>
      <w:r>
        <w:t>ha:</w:t>
      </w:r>
    </w:p>
    <w:p w:rsidR="008514F1" w:rsidRDefault="008514F1" w:rsidP="005A6DE5">
      <w:pPr>
        <w:ind w:left="284" w:right="282"/>
        <w:jc w:val="both"/>
      </w:pPr>
      <w:r>
        <w:t>- disposto la mappatura delle concessioni esistenti;</w:t>
      </w:r>
    </w:p>
    <w:p w:rsidR="008514F1" w:rsidRDefault="008514F1" w:rsidP="005A6DE5">
      <w:pPr>
        <w:ind w:left="284" w:right="282"/>
        <w:jc w:val="both"/>
      </w:pPr>
      <w:r>
        <w:t>- individuato</w:t>
      </w:r>
      <w:r w:rsidR="00952707">
        <w:t xml:space="preserve"> </w:t>
      </w:r>
      <w:r w:rsidR="00D15478">
        <w:t xml:space="preserve">i </w:t>
      </w:r>
      <w:r>
        <w:t>criteri per l’affidamento delle nuove concessioni o dei rinnovi</w:t>
      </w:r>
      <w:r w:rsidR="00D15478">
        <w:t>,</w:t>
      </w:r>
      <w:r>
        <w:t xml:space="preserve"> in linea con le indicazioni</w:t>
      </w:r>
      <w:r w:rsidR="00952707">
        <w:t xml:space="preserve"> del Consiglio di Stato</w:t>
      </w:r>
      <w:r>
        <w:t xml:space="preserve">, </w:t>
      </w:r>
      <w:r w:rsidR="00202BA1">
        <w:t xml:space="preserve">tranne che </w:t>
      </w:r>
      <w:r w:rsidR="00905908">
        <w:t>per</w:t>
      </w:r>
      <w:r>
        <w:t xml:space="preserve"> l’i</w:t>
      </w:r>
      <w:r w:rsidR="00905908">
        <w:t>nserimen</w:t>
      </w:r>
      <w:r>
        <w:t xml:space="preserve">to </w:t>
      </w:r>
      <w:r w:rsidR="00905908">
        <w:t>del valore</w:t>
      </w:r>
      <w:r>
        <w:t xml:space="preserve"> del canone tra gli elementi d</w:t>
      </w:r>
      <w:r w:rsidR="00952707">
        <w:t>i</w:t>
      </w:r>
      <w:r>
        <w:t xml:space="preserve"> gara.</w:t>
      </w:r>
    </w:p>
    <w:p w:rsidR="00202BA1" w:rsidRDefault="00202BA1" w:rsidP="005A6DE5">
      <w:pPr>
        <w:ind w:left="284" w:right="282"/>
        <w:jc w:val="both"/>
      </w:pPr>
    </w:p>
    <w:p w:rsidR="00202BA1" w:rsidRPr="008E26FD" w:rsidRDefault="00202BA1" w:rsidP="005A6DE5">
      <w:pPr>
        <w:numPr>
          <w:ilvl w:val="0"/>
          <w:numId w:val="2"/>
        </w:numPr>
        <w:ind w:left="284" w:right="282" w:firstLine="0"/>
        <w:jc w:val="both"/>
        <w:rPr>
          <w:b/>
        </w:rPr>
      </w:pPr>
      <w:r w:rsidRPr="00202BA1">
        <w:rPr>
          <w:b/>
        </w:rPr>
        <w:t xml:space="preserve">La </w:t>
      </w:r>
      <w:r>
        <w:rPr>
          <w:b/>
        </w:rPr>
        <w:t>ricostru</w:t>
      </w:r>
      <w:r w:rsidRPr="00202BA1">
        <w:rPr>
          <w:b/>
        </w:rPr>
        <w:t xml:space="preserve">zione </w:t>
      </w:r>
      <w:r w:rsidR="002F26E4">
        <w:rPr>
          <w:b/>
        </w:rPr>
        <w:t>logico-giuridica</w:t>
      </w:r>
      <w:r w:rsidR="008E26FD">
        <w:rPr>
          <w:b/>
        </w:rPr>
        <w:t xml:space="preserve">: </w:t>
      </w:r>
      <w:r w:rsidR="008E26FD" w:rsidRPr="008E26FD">
        <w:rPr>
          <w:b/>
        </w:rPr>
        <w:t>l’</w:t>
      </w:r>
      <w:r w:rsidR="00BE5921">
        <w:rPr>
          <w:b/>
        </w:rPr>
        <w:t>accertamento</w:t>
      </w:r>
      <w:r w:rsidR="008E26FD" w:rsidRPr="008E26FD">
        <w:rPr>
          <w:b/>
        </w:rPr>
        <w:t xml:space="preserve"> dell’interesse transfrontaliero certo e della scarsità della risorsa</w:t>
      </w:r>
      <w:r w:rsidRPr="008E26FD">
        <w:rPr>
          <w:b/>
        </w:rPr>
        <w:t>.</w:t>
      </w:r>
    </w:p>
    <w:p w:rsidR="00202BA1" w:rsidRDefault="00905908" w:rsidP="005A6DE5">
      <w:pPr>
        <w:ind w:left="284" w:right="282"/>
        <w:jc w:val="both"/>
      </w:pPr>
      <w:r>
        <w:t>Secondo l</w:t>
      </w:r>
      <w:r w:rsidR="00202BA1" w:rsidRPr="00C41656">
        <w:t>’art. 49 TFUE</w:t>
      </w:r>
      <w:r w:rsidR="00202BA1">
        <w:t xml:space="preserve"> e </w:t>
      </w:r>
      <w:r w:rsidR="00202BA1" w:rsidRPr="00C41656">
        <w:t>l’art. 12 della direttiva 2006/123/CE</w:t>
      </w:r>
      <w:r>
        <w:t>,</w:t>
      </w:r>
      <w:r w:rsidR="00202BA1">
        <w:t xml:space="preserve"> l’obbligo d</w:t>
      </w:r>
      <w:r w:rsidR="00F9270F">
        <w:t>i</w:t>
      </w:r>
      <w:r w:rsidR="00202BA1">
        <w:t xml:space="preserve"> gara</w:t>
      </w:r>
      <w:r w:rsidR="00202BA1" w:rsidRPr="00DB53D9">
        <w:t xml:space="preserve"> </w:t>
      </w:r>
      <w:r w:rsidR="00202BA1">
        <w:t xml:space="preserve">con </w:t>
      </w:r>
      <w:r w:rsidR="00202BA1" w:rsidRPr="0051064F">
        <w:t>garanzi</w:t>
      </w:r>
      <w:r w:rsidR="00F9270F">
        <w:t>a</w:t>
      </w:r>
      <w:r w:rsidR="00202BA1">
        <w:t xml:space="preserve"> di imparzialità,</w:t>
      </w:r>
      <w:r w:rsidR="00202BA1" w:rsidRPr="0051064F">
        <w:t xml:space="preserve"> trasparenza</w:t>
      </w:r>
      <w:r w:rsidR="00202BA1" w:rsidRPr="00DB53D9">
        <w:t xml:space="preserve"> </w:t>
      </w:r>
      <w:r w:rsidR="00202BA1" w:rsidRPr="0051064F">
        <w:t>e</w:t>
      </w:r>
      <w:r w:rsidR="00202BA1">
        <w:t xml:space="preserve"> pubblicità </w:t>
      </w:r>
      <w:r w:rsidR="00C722A9">
        <w:t>discend</w:t>
      </w:r>
      <w:r>
        <w:t xml:space="preserve">e </w:t>
      </w:r>
      <w:r w:rsidR="00C722A9">
        <w:t>d</w:t>
      </w:r>
      <w:r>
        <w:t xml:space="preserve">alla </w:t>
      </w:r>
      <w:r w:rsidR="00202BA1">
        <w:t>sussistenza di almeno uno dei seguenti due requisiti: l’</w:t>
      </w:r>
      <w:r w:rsidR="00202BA1" w:rsidRPr="00DA531D">
        <w:t>interesse transfrontaliero</w:t>
      </w:r>
      <w:r w:rsidR="00202BA1" w:rsidRPr="00EE5A79">
        <w:t xml:space="preserve"> </w:t>
      </w:r>
      <w:r w:rsidR="00202BA1">
        <w:t xml:space="preserve">certo e </w:t>
      </w:r>
      <w:r w:rsidR="00202BA1" w:rsidRPr="00DA531D">
        <w:t>la scarsità dell</w:t>
      </w:r>
      <w:r w:rsidR="00202BA1">
        <w:t>a</w:t>
      </w:r>
      <w:r w:rsidR="00202BA1" w:rsidRPr="00DA531D">
        <w:t xml:space="preserve"> risors</w:t>
      </w:r>
      <w:r w:rsidR="00202BA1">
        <w:t>a gestita.</w:t>
      </w:r>
    </w:p>
    <w:p w:rsidR="00D00C63" w:rsidRDefault="006F67EE" w:rsidP="005A6DE5">
      <w:pPr>
        <w:ind w:left="284" w:right="282"/>
        <w:jc w:val="both"/>
      </w:pPr>
      <w:r w:rsidRPr="006F67EE">
        <w:t>L</w:t>
      </w:r>
      <w:r w:rsidR="00202BA1">
        <w:t>e sentenze</w:t>
      </w:r>
      <w:r>
        <w:t xml:space="preserve"> in esame</w:t>
      </w:r>
      <w:r w:rsidR="00202BA1">
        <w:t xml:space="preserve"> h</w:t>
      </w:r>
      <w:r w:rsidR="00D00C63">
        <w:t>a</w:t>
      </w:r>
      <w:r w:rsidR="00202BA1">
        <w:t>nno</w:t>
      </w:r>
      <w:r w:rsidR="00D00C63">
        <w:t xml:space="preserve"> </w:t>
      </w:r>
      <w:r w:rsidR="00BE216F">
        <w:t>riscontr</w:t>
      </w:r>
      <w:r w:rsidR="00905908">
        <w:t xml:space="preserve">ato la presenza di entrambi i requisiti, sulla scorta di </w:t>
      </w:r>
      <w:r w:rsidR="00D00C63">
        <w:t xml:space="preserve">un </w:t>
      </w:r>
      <w:r w:rsidR="000E4642">
        <w:t>accertamento</w:t>
      </w:r>
      <w:r w:rsidR="00D00C63">
        <w:t xml:space="preserve"> </w:t>
      </w:r>
      <w:r w:rsidR="002F26E4" w:rsidRPr="002F26E4">
        <w:t>logico-giuridico e</w:t>
      </w:r>
      <w:r w:rsidR="002F26E4">
        <w:t xml:space="preserve"> </w:t>
      </w:r>
      <w:r w:rsidR="000E4642">
        <w:t>d</w:t>
      </w:r>
      <w:r w:rsidR="00905908">
        <w:t xml:space="preserve">i fatto </w:t>
      </w:r>
      <w:r w:rsidR="00DB53D9">
        <w:t>così riassumibile.</w:t>
      </w:r>
    </w:p>
    <w:p w:rsidR="00905908" w:rsidRDefault="00905908" w:rsidP="005A6DE5">
      <w:pPr>
        <w:ind w:left="284" w:right="282"/>
        <w:jc w:val="both"/>
      </w:pPr>
      <w:r>
        <w:t>L</w:t>
      </w:r>
      <w:r w:rsidR="00202BA1">
        <w:t>’</w:t>
      </w:r>
      <w:r w:rsidR="00202BA1" w:rsidRPr="00201246">
        <w:t>interesse transfrontaliero certo</w:t>
      </w:r>
      <w:r w:rsidR="000E4642">
        <w:rPr>
          <w:rStyle w:val="Rimandonotaapidipagina"/>
        </w:rPr>
        <w:footnoteReference w:id="4"/>
      </w:r>
      <w:r w:rsidR="00202BA1" w:rsidRPr="00201246">
        <w:t xml:space="preserve"> </w:t>
      </w:r>
      <w:r>
        <w:t>emerge da due elementi.</w:t>
      </w:r>
    </w:p>
    <w:p w:rsidR="00905908" w:rsidRDefault="00905908" w:rsidP="005A6DE5">
      <w:pPr>
        <w:ind w:left="284" w:right="282"/>
        <w:jc w:val="both"/>
      </w:pPr>
      <w:r>
        <w:t xml:space="preserve">Il primo </w:t>
      </w:r>
      <w:r w:rsidR="00E65FE5">
        <w:t>consiste</w:t>
      </w:r>
      <w:r>
        <w:t xml:space="preserve"> nella natura unitaria del patrimonio costiero italiano, il quale, “</w:t>
      </w:r>
      <w:r w:rsidRPr="00201246">
        <w:t xml:space="preserve">per conformazione, ubicazione geografica, condizioni climatiche e vocazione turistica </w:t>
      </w:r>
      <w:r>
        <w:t>…</w:t>
      </w:r>
      <w:r w:rsidRPr="00201246">
        <w:t xml:space="preserve"> certamente oggetto di interesse transfrontaliero, esercitando una indiscutibile capacità attrattiva verso le imprese di altri Stati membri</w:t>
      </w:r>
      <w:r>
        <w:t>”.</w:t>
      </w:r>
    </w:p>
    <w:p w:rsidR="0077049C" w:rsidRDefault="00905908" w:rsidP="005A6DE5">
      <w:pPr>
        <w:ind w:left="284" w:right="282"/>
        <w:jc w:val="both"/>
      </w:pPr>
      <w:r>
        <w:t xml:space="preserve">L’interesse, </w:t>
      </w:r>
      <w:r w:rsidR="00055E10">
        <w:t>insomma</w:t>
      </w:r>
      <w:r>
        <w:t xml:space="preserve">, non va ricercato </w:t>
      </w:r>
      <w:r w:rsidR="00055E10">
        <w:t>per ogni</w:t>
      </w:r>
      <w:r>
        <w:t xml:space="preserve"> singolo </w:t>
      </w:r>
      <w:r w:rsidR="00055E10">
        <w:t xml:space="preserve">bene oggetto di </w:t>
      </w:r>
      <w:r>
        <w:t>affidamento, ma n</w:t>
      </w:r>
      <w:r w:rsidR="008C0F20">
        <w:t>el</w:t>
      </w:r>
      <w:r w:rsidR="0077049C">
        <w:t xml:space="preserve"> “</w:t>
      </w:r>
      <w:r w:rsidR="0077049C" w:rsidRPr="00201246">
        <w:t>complesso di beni demaniali che, valutati unitariamente e complessivamente, costituiscono uno dei patrimoni naturalistici (in termini di coste, laghi e fiumi e connesse aree marittime, lacuali o fluviali) più rinomati e attrattivi del mondo. Basti pensare che il giro d’affari stimato del settore si aggira intorno ai quindici miliardi di euro all’anno, a fronte dei quali l’ammontare dei canoni di concessione supera di poco i cento milioni di euro, il che rende evidente il potenziale maggior introito per le casse pubbliche a seguito di una gestione maggiormente efficiente delle medesime</w:t>
      </w:r>
      <w:r w:rsidR="0077049C">
        <w:t>”</w:t>
      </w:r>
      <w:r w:rsidR="0077049C" w:rsidRPr="00201246">
        <w:t>.</w:t>
      </w:r>
    </w:p>
    <w:p w:rsidR="0077049C" w:rsidRPr="00201246" w:rsidRDefault="00BE216F" w:rsidP="005A6DE5">
      <w:pPr>
        <w:ind w:left="284" w:right="282"/>
        <w:jc w:val="both"/>
      </w:pPr>
      <w:r>
        <w:t>Del resto, u</w:t>
      </w:r>
      <w:r w:rsidR="00905908">
        <w:t>n</w:t>
      </w:r>
      <w:r w:rsidR="002A0213">
        <w:t xml:space="preserve">a </w:t>
      </w:r>
      <w:r w:rsidR="00905908">
        <w:t>vis</w:t>
      </w:r>
      <w:r w:rsidR="008E26FD">
        <w:t xml:space="preserve">ione </w:t>
      </w:r>
      <w:r w:rsidR="0077049C" w:rsidRPr="00201246">
        <w:t>parcellizza</w:t>
      </w:r>
      <w:r w:rsidR="008E26FD">
        <w:t>ta</w:t>
      </w:r>
      <w:r w:rsidR="00905908">
        <w:t xml:space="preserve"> del fenomeno, </w:t>
      </w:r>
      <w:r w:rsidR="008E26FD">
        <w:t>“</w:t>
      </w:r>
      <w:r w:rsidR="0077049C" w:rsidRPr="00201246">
        <w:t xml:space="preserve">oltre a snaturare l’indiscutibile unitarietà del settore, si porrebbe in contrasto, peraltro, con le stesse previsioni legislative nazionali (che, quando hanno previsto le proroghe, lo hanno sempre fatto indistintamente e per tutti, non con riferimento </w:t>
      </w:r>
      <w:r w:rsidR="0077049C" w:rsidRPr="00201246">
        <w:lastRenderedPageBreak/>
        <w:t>alle singole concessioni all’esito di una valutazione caso per caso) e, soprattutto, darebbe luogo ad ingiustificabili ed apodittiche disparità di trattamento, consentendo solo per alcuni (e non per altri) la sopravvivenza del regime della proroga </w:t>
      </w:r>
      <w:r w:rsidR="0077049C" w:rsidRPr="004A46AC">
        <w:rPr>
          <w:i/>
        </w:rPr>
        <w:t xml:space="preserve">ex </w:t>
      </w:r>
      <w:proofErr w:type="spellStart"/>
      <w:r w:rsidR="0077049C" w:rsidRPr="004A46AC">
        <w:rPr>
          <w:i/>
        </w:rPr>
        <w:t>lege</w:t>
      </w:r>
      <w:proofErr w:type="spellEnd"/>
      <w:r w:rsidR="0077049C" w:rsidRPr="00201246">
        <w:t>. Non vi è dubbio, al contrario, che le spiagge italiane (così come le aree lacuali e fluviali) per conformazione, ubicazione geografica e attrazione turistica presentino tutte e nel loro insieme un interesse transfrontaliero certo</w:t>
      </w:r>
      <w:r w:rsidR="0077049C">
        <w:t>”.</w:t>
      </w:r>
    </w:p>
    <w:p w:rsidR="00176896" w:rsidRDefault="00905908" w:rsidP="005A6DE5">
      <w:pPr>
        <w:ind w:left="284" w:right="282"/>
        <w:jc w:val="both"/>
      </w:pPr>
      <w:r>
        <w:t>Il secondo elemento idoneo a radicare l</w:t>
      </w:r>
      <w:r w:rsidR="002A0213">
        <w:t xml:space="preserve">’interesse transfrontaliero certo </w:t>
      </w:r>
      <w:r>
        <w:t xml:space="preserve">è </w:t>
      </w:r>
      <w:r w:rsidR="00176896">
        <w:t>costituito</w:t>
      </w:r>
      <w:r>
        <w:t xml:space="preserve"> </w:t>
      </w:r>
      <w:r w:rsidR="002A0213">
        <w:t>“</w:t>
      </w:r>
      <w:r w:rsidR="00176896">
        <w:t>dall’</w:t>
      </w:r>
      <w:r w:rsidR="002A0213" w:rsidRPr="00201246">
        <w:t>ampia possibilità di ricorrere alla sub-concessione. A tal proposito, l’art</w:t>
      </w:r>
      <w:r w:rsidR="008E26FD">
        <w:t>.</w:t>
      </w:r>
      <w:r w:rsidR="002A0213" w:rsidRPr="00201246">
        <w:t xml:space="preserve"> 45-</w:t>
      </w:r>
      <w:r w:rsidR="002A0213" w:rsidRPr="00F96B09">
        <w:rPr>
          <w:i/>
        </w:rPr>
        <w:t>bis</w:t>
      </w:r>
      <w:r w:rsidR="002A0213" w:rsidRPr="00201246">
        <w:t xml:space="preserve"> cod. </w:t>
      </w:r>
      <w:proofErr w:type="spellStart"/>
      <w:r w:rsidR="002A0213" w:rsidRPr="00201246">
        <w:t>nav</w:t>
      </w:r>
      <w:proofErr w:type="spellEnd"/>
      <w:r w:rsidR="002A0213" w:rsidRPr="00201246">
        <w:t>. consente al concessionario, previa autorizzazione dell’autorità competente, di affidare ad altri soggetti la gestione delle attività oggetto della concessione (o di attività secondarie nell’ambito della concessione stessa)</w:t>
      </w:r>
      <w:r w:rsidR="002A0213">
        <w:t>”</w:t>
      </w:r>
      <w:r w:rsidR="00176896">
        <w:t>.</w:t>
      </w:r>
    </w:p>
    <w:p w:rsidR="002A0213" w:rsidRPr="00201246" w:rsidRDefault="00176896" w:rsidP="005A6DE5">
      <w:pPr>
        <w:ind w:left="284" w:right="282"/>
        <w:jc w:val="both"/>
      </w:pPr>
      <w:r>
        <w:t>L</w:t>
      </w:r>
      <w:r w:rsidR="008E26FD">
        <w:t>’a</w:t>
      </w:r>
      <w:r w:rsidR="00055E10">
        <w:t>p</w:t>
      </w:r>
      <w:r w:rsidR="0053099F">
        <w:t>pe</w:t>
      </w:r>
      <w:r>
        <w:t>t</w:t>
      </w:r>
      <w:r w:rsidR="008E26FD">
        <w:t>i</w:t>
      </w:r>
      <w:r w:rsidR="0053099F">
        <w:t>b</w:t>
      </w:r>
      <w:r w:rsidR="008E26FD">
        <w:t>i</w:t>
      </w:r>
      <w:r w:rsidR="0053099F">
        <w:t>li</w:t>
      </w:r>
      <w:r w:rsidR="008E26FD">
        <w:t xml:space="preserve">tà </w:t>
      </w:r>
      <w:r>
        <w:t xml:space="preserve">dell’operazione commerciale </w:t>
      </w:r>
      <w:r w:rsidR="008E26FD">
        <w:t>sta</w:t>
      </w:r>
      <w:r w:rsidR="0053099F">
        <w:t xml:space="preserve"> dunque</w:t>
      </w:r>
      <w:r w:rsidR="008E26FD">
        <w:t xml:space="preserve"> nel fatto che</w:t>
      </w:r>
      <w:r w:rsidR="002A0213">
        <w:t xml:space="preserve">, “a </w:t>
      </w:r>
      <w:r w:rsidR="002A0213" w:rsidRPr="00201246">
        <w:t>causa del ridotto canone versato all’</w:t>
      </w:r>
      <w:r w:rsidR="008E26FD">
        <w:t>a</w:t>
      </w:r>
      <w:r w:rsidR="002A0213" w:rsidRPr="00201246">
        <w:t>mministrazione concedente, il concessionario ha già la possibilità di ricavare, tramite una semplice sub-concessione, un prezzo più elevato rispetto al canone concessorio, che riflette il reale valore economico e l’effettiva valenza turistica del bene</w:t>
      </w:r>
      <w:r w:rsidR="002A0213">
        <w:t>”</w:t>
      </w:r>
      <w:r w:rsidR="002A0213" w:rsidRPr="00201246">
        <w:t>.</w:t>
      </w:r>
    </w:p>
    <w:p w:rsidR="008E26FD" w:rsidRPr="002F7FC1" w:rsidRDefault="0053099F" w:rsidP="005A6DE5">
      <w:pPr>
        <w:ind w:left="284" w:right="282"/>
        <w:jc w:val="both"/>
      </w:pPr>
      <w:r>
        <w:t>Quanto a</w:t>
      </w:r>
      <w:r w:rsidR="00176896">
        <w:t xml:space="preserve">l requisito della </w:t>
      </w:r>
      <w:r w:rsidR="00176896" w:rsidRPr="002F7FC1">
        <w:t xml:space="preserve">scarsità </w:t>
      </w:r>
      <w:r w:rsidR="00176896">
        <w:t>del bene</w:t>
      </w:r>
      <w:r>
        <w:t>, esso</w:t>
      </w:r>
      <w:r w:rsidR="00176896">
        <w:t xml:space="preserve">, </w:t>
      </w:r>
      <w:r w:rsidR="00F82E0B">
        <w:t xml:space="preserve">secondo il Consiglio di Stato, </w:t>
      </w:r>
      <w:r w:rsidRPr="002F7FC1">
        <w:t>v</w:t>
      </w:r>
      <w:r>
        <w:t>a</w:t>
      </w:r>
      <w:r w:rsidRPr="002F7FC1">
        <w:t xml:space="preserve"> inte</w:t>
      </w:r>
      <w:r>
        <w:t xml:space="preserve">so </w:t>
      </w:r>
      <w:r w:rsidR="008E26FD">
        <w:t>“</w:t>
      </w:r>
      <w:r w:rsidR="008E26FD" w:rsidRPr="002F7FC1">
        <w:t>in termini relativi e non assoluti</w:t>
      </w:r>
      <w:r w:rsidR="008E26FD">
        <w:t xml:space="preserve">, tenendo conto non solo della </w:t>
      </w:r>
      <w:r w:rsidR="008E26FD" w:rsidRPr="00FB11B6">
        <w:rPr>
          <w:i/>
        </w:rPr>
        <w:t>quantità</w:t>
      </w:r>
      <w:r w:rsidR="008E26FD" w:rsidRPr="002F7FC1">
        <w:t xml:space="preserve"> del bene disponibile, ma anche dei suoi aspetti qualitativi e, di conseguenza, della domanda che è in grado di generare da parte di altri potenziali concorrenti, oltre che dei fruitori finali del servizio che tramite esso viene immesso sul mercato. Va ancora considerata la concreta disponibilità di aree ulteriori rispetto a quelle attualmente già oggetto di concessione. </w:t>
      </w:r>
      <w:r w:rsidR="008E26FD">
        <w:t>E’</w:t>
      </w:r>
      <w:r w:rsidR="008E26FD" w:rsidRPr="002F7FC1">
        <w:t xml:space="preserve"> sulle aree potenzialmente ancora concedibili (oltre che su quelle già assentite), infatti, che si deve principalmente concentrare l’attenzione per verificare se l’attuale regime di proroga fino al 31 dicembre 20</w:t>
      </w:r>
      <w:r w:rsidR="008E26FD">
        <w:t>2</w:t>
      </w:r>
      <w:r w:rsidR="008E26FD" w:rsidRPr="002F7FC1">
        <w:t>3 possa creare una barriera all’ingresso di nuovi operatori, in contrasto con gli obiettivi di liberalizzazione perseguiti dalla direttiva. La valutazione della scarsità della risorsa naturale, invero, dipende essenzialmente dall’esistenza di aree disponibili sufficienti a permettere lo svolgimento della prestazione di servizi anche ad operatori economici</w:t>
      </w:r>
      <w:r w:rsidR="008E26FD">
        <w:t xml:space="preserve"> diversi da quelli attualmente </w:t>
      </w:r>
      <w:r w:rsidR="008E26FD" w:rsidRPr="00FB11B6">
        <w:rPr>
          <w:i/>
        </w:rPr>
        <w:t>protetti</w:t>
      </w:r>
      <w:r w:rsidR="008E26FD" w:rsidRPr="002F7FC1">
        <w:t xml:space="preserve"> dalla proroga </w:t>
      </w:r>
      <w:r w:rsidR="008E26FD" w:rsidRPr="002F7FC1">
        <w:rPr>
          <w:i/>
        </w:rPr>
        <w:t xml:space="preserve">ex </w:t>
      </w:r>
      <w:proofErr w:type="spellStart"/>
      <w:r w:rsidR="008E26FD" w:rsidRPr="002F7FC1">
        <w:rPr>
          <w:i/>
        </w:rPr>
        <w:t>lege</w:t>
      </w:r>
      <w:proofErr w:type="spellEnd"/>
      <w:r w:rsidR="008E26FD">
        <w:t>”</w:t>
      </w:r>
      <w:r w:rsidR="008E26FD" w:rsidRPr="002F7FC1">
        <w:t>.</w:t>
      </w:r>
    </w:p>
    <w:p w:rsidR="008E26FD" w:rsidRPr="002F7FC1" w:rsidRDefault="005640F8" w:rsidP="005A6DE5">
      <w:pPr>
        <w:ind w:left="284" w:right="282"/>
        <w:jc w:val="both"/>
      </w:pPr>
      <w:r>
        <w:t xml:space="preserve">Soccorrono, </w:t>
      </w:r>
      <w:r w:rsidR="0053099F">
        <w:t>in proposito</w:t>
      </w:r>
      <w:r w:rsidR="008E26FD">
        <w:t>, “</w:t>
      </w:r>
      <w:r w:rsidR="008E26FD" w:rsidRPr="002F7FC1">
        <w:t xml:space="preserve">i dati forniti dal sistema informativo del demanio marittimo (SID) del Ministero delle Infrastrutture </w:t>
      </w:r>
      <w:r w:rsidR="00343A6A">
        <w:t xml:space="preserve">[i quali] </w:t>
      </w:r>
      <w:r w:rsidR="008E26FD" w:rsidRPr="002F7FC1">
        <w:t>rivelano che in Italia quasi il 50% delle coste sabbiose è occupato da stabilimenti balneari, con picchi che in alcune Regioni (come Liguria, Emilia-Romagna e Campania) arrivano quasi al 70%. Una percentuale di occupazione, quindi, molto elevata, specie se si considera che i tratti di litorale soggetti ad erosione sono in costante aumento e che una p</w:t>
      </w:r>
      <w:r w:rsidR="008E26FD">
        <w:t xml:space="preserve">arte significativa della costa </w:t>
      </w:r>
      <w:r w:rsidR="008E26FD" w:rsidRPr="00FB11B6">
        <w:rPr>
          <w:i/>
        </w:rPr>
        <w:t>libera</w:t>
      </w:r>
      <w:r w:rsidR="008E26FD" w:rsidRPr="002F7FC1">
        <w:t xml:space="preserve"> risulta non fruibile per finalità turistico-ricreativ</w:t>
      </w:r>
      <w:r w:rsidR="008E26FD">
        <w:t xml:space="preserve">e, perché inquinata o comunque </w:t>
      </w:r>
      <w:r w:rsidR="008E26FD" w:rsidRPr="00FB11B6">
        <w:rPr>
          <w:i/>
        </w:rPr>
        <w:t>abbandonata</w:t>
      </w:r>
      <w:r w:rsidR="008E26FD" w:rsidRPr="002F7FC1">
        <w:t>.</w:t>
      </w:r>
      <w:r w:rsidR="008E26FD">
        <w:t xml:space="preserve"> </w:t>
      </w:r>
      <w:r w:rsidR="008E26FD" w:rsidRPr="002F7FC1">
        <w:t>A ciò si aggiunge che in molte Regioni è previsto un limite quantitativo massimo di costa che può essere oggetto di concessione, che nella maggior parte dei casi coincide con la percentuale già assentita</w:t>
      </w:r>
      <w:r w:rsidR="008E26FD">
        <w:t>”</w:t>
      </w:r>
      <w:r w:rsidR="008E26FD" w:rsidRPr="002F7FC1">
        <w:t>.</w:t>
      </w:r>
    </w:p>
    <w:p w:rsidR="008E26FD" w:rsidRPr="002F7FC1" w:rsidRDefault="00176896" w:rsidP="005A6DE5">
      <w:pPr>
        <w:ind w:left="284" w:right="282"/>
        <w:jc w:val="both"/>
      </w:pPr>
      <w:r>
        <w:t>Pertanto</w:t>
      </w:r>
      <w:r w:rsidR="00343A6A">
        <w:t>,</w:t>
      </w:r>
      <w:r w:rsidR="008E26FD">
        <w:t xml:space="preserve"> “</w:t>
      </w:r>
      <w:r w:rsidR="008E26FD" w:rsidRPr="002F7FC1">
        <w:t>l’insieme di questi dati già evidenzia che attualmente le aree demaniali marittime (ma analoghe considerazioni valgono per quelle lacuali o fluviali) a disposizione di nuovi operatori economici sono caratterizzate da una notevole scarsità, ancor più pronunciata se si considera l’ambito territoriale del comune concedente o comunque se si prendono a riferimento porzioni di costa ridotte rispetto alla complessiva estensione delle coste italiane, a maggior ragione alla luce della già evidenziata capacità attrattiva delle coste nazionali e l’elevatissimo livello della domanda in tutto il periodo estivo (che caratterizza l’intero territorio nazionale, al di là della variabilità dei picchi massimi che possono differenziare le singole zone). Pertanto, nel settore delle concessioni demaniali con finalità turistico-ricreative, le risorse naturali a disposizione di nuovi potenziali operatori economici sono scarse, in alcuni casi addirittura inesistenti, perché è stato già raggiunto il – o si è molto vicini al – tetto massimo di aree suscettibile di essere date in concessione</w:t>
      </w:r>
      <w:r w:rsidR="008E26FD">
        <w:t>”</w:t>
      </w:r>
      <w:r w:rsidR="008E26FD" w:rsidRPr="002F7FC1">
        <w:t>.</w:t>
      </w:r>
    </w:p>
    <w:p w:rsidR="006D50DB" w:rsidRDefault="006D50DB" w:rsidP="005A6DE5">
      <w:pPr>
        <w:ind w:left="284" w:right="282"/>
        <w:jc w:val="both"/>
      </w:pPr>
    </w:p>
    <w:p w:rsidR="00343A6A" w:rsidRDefault="00343A6A" w:rsidP="005A6DE5">
      <w:pPr>
        <w:numPr>
          <w:ilvl w:val="0"/>
          <w:numId w:val="2"/>
        </w:numPr>
        <w:ind w:left="284" w:right="282" w:firstLine="0"/>
        <w:jc w:val="both"/>
        <w:rPr>
          <w:b/>
        </w:rPr>
      </w:pPr>
      <w:r>
        <w:rPr>
          <w:b/>
        </w:rPr>
        <w:t>M</w:t>
      </w:r>
      <w:r w:rsidRPr="00343A6A">
        <w:rPr>
          <w:b/>
        </w:rPr>
        <w:t xml:space="preserve">argini per una </w:t>
      </w:r>
      <w:r w:rsidR="00E01809">
        <w:rPr>
          <w:b/>
        </w:rPr>
        <w:t>nuov</w:t>
      </w:r>
      <w:r w:rsidRPr="00343A6A">
        <w:rPr>
          <w:b/>
        </w:rPr>
        <w:t xml:space="preserve">a ricostruzione </w:t>
      </w:r>
      <w:r w:rsidR="002F26E4">
        <w:rPr>
          <w:b/>
        </w:rPr>
        <w:t>logico-giuridica</w:t>
      </w:r>
      <w:r w:rsidR="002F26E4" w:rsidRPr="00343A6A">
        <w:rPr>
          <w:b/>
        </w:rPr>
        <w:t xml:space="preserve"> </w:t>
      </w:r>
      <w:r w:rsidRPr="00343A6A">
        <w:rPr>
          <w:b/>
        </w:rPr>
        <w:t>e per l’affermazione di nuovi princìpi di diritto</w:t>
      </w:r>
      <w:r w:rsidR="006F5881">
        <w:rPr>
          <w:b/>
        </w:rPr>
        <w:t>.</w:t>
      </w:r>
    </w:p>
    <w:p w:rsidR="006F5881" w:rsidRPr="006F5881" w:rsidRDefault="006F5881" w:rsidP="005A6DE5">
      <w:pPr>
        <w:ind w:left="284" w:right="282"/>
        <w:jc w:val="both"/>
        <w:rPr>
          <w:b/>
        </w:rPr>
      </w:pPr>
      <w:r w:rsidRPr="006F5881">
        <w:rPr>
          <w:b/>
        </w:rPr>
        <w:t>3.1. L’interesse transfrontaliero certo.</w:t>
      </w:r>
    </w:p>
    <w:p w:rsidR="0074045E" w:rsidRDefault="0074045E" w:rsidP="005A6DE5">
      <w:pPr>
        <w:ind w:left="284" w:right="282"/>
        <w:jc w:val="both"/>
      </w:pPr>
      <w:r>
        <w:t xml:space="preserve">Punto </w:t>
      </w:r>
      <w:r w:rsidR="00DE643E">
        <w:t xml:space="preserve">necessitato </w:t>
      </w:r>
      <w:r>
        <w:t>di partenza di quest</w:t>
      </w:r>
      <w:r w:rsidR="008A7C74">
        <w:t>’</w:t>
      </w:r>
      <w:r>
        <w:t>analisi è la fondamentale</w:t>
      </w:r>
      <w:r w:rsidRPr="0051064F">
        <w:t xml:space="preserve"> sentenza </w:t>
      </w:r>
      <w:proofErr w:type="spellStart"/>
      <w:r w:rsidRPr="0051064F">
        <w:rPr>
          <w:i/>
        </w:rPr>
        <w:t>Promoimpresa</w:t>
      </w:r>
      <w:proofErr w:type="spellEnd"/>
      <w:r w:rsidR="00BD2ECD">
        <w:rPr>
          <w:rStyle w:val="Rimandonotaapidipagina"/>
        </w:rPr>
        <w:footnoteReference w:id="5"/>
      </w:r>
      <w:r>
        <w:t xml:space="preserve">, </w:t>
      </w:r>
      <w:r w:rsidR="00DE643E">
        <w:t xml:space="preserve">in tema di concessioni turistico-ricreative italiane, </w:t>
      </w:r>
      <w:r>
        <w:t xml:space="preserve">con cui la </w:t>
      </w:r>
      <w:r w:rsidRPr="0051064F">
        <w:t xml:space="preserve">Corte di giustizia </w:t>
      </w:r>
      <w:r>
        <w:t xml:space="preserve">dell’U.E. ha sostanzialmente </w:t>
      </w:r>
      <w:r w:rsidR="00DE643E">
        <w:t xml:space="preserve">affermato </w:t>
      </w:r>
      <w:r>
        <w:t>tre princìpi di diritto:</w:t>
      </w:r>
    </w:p>
    <w:p w:rsidR="005248C1" w:rsidRDefault="0074045E" w:rsidP="005A6DE5">
      <w:pPr>
        <w:ind w:left="284" w:right="282"/>
        <w:jc w:val="both"/>
      </w:pPr>
      <w:r>
        <w:t xml:space="preserve">- </w:t>
      </w:r>
      <w:r w:rsidRPr="0051064F">
        <w:t>che</w:t>
      </w:r>
      <w:r w:rsidR="00884ACC">
        <w:t>,</w:t>
      </w:r>
      <w:r w:rsidR="00BD2ECD">
        <w:t xml:space="preserve"> </w:t>
      </w:r>
      <w:r w:rsidR="00884ACC">
        <w:t>sussistendo i requisiti della</w:t>
      </w:r>
      <w:r w:rsidR="00884ACC" w:rsidRPr="00884ACC">
        <w:t xml:space="preserve"> </w:t>
      </w:r>
      <w:r w:rsidR="00884ACC">
        <w:t>scarsità della risorsa o</w:t>
      </w:r>
      <w:r w:rsidR="00884ACC" w:rsidRPr="005248C1">
        <w:t xml:space="preserve"> </w:t>
      </w:r>
      <w:r w:rsidR="00884ACC">
        <w:t>dell’</w:t>
      </w:r>
      <w:r w:rsidR="00884ACC" w:rsidRPr="005248C1">
        <w:t>interesse transfrontaliero certo</w:t>
      </w:r>
      <w:r w:rsidR="00884ACC">
        <w:t xml:space="preserve">, </w:t>
      </w:r>
      <w:r w:rsidR="005248C1">
        <w:t xml:space="preserve">il diritto europeo osta ad una norma interna recante </w:t>
      </w:r>
      <w:r w:rsidR="005248C1" w:rsidRPr="005248C1">
        <w:t>la proroga automatica</w:t>
      </w:r>
      <w:r w:rsidR="0006539F">
        <w:t xml:space="preserve"> (</w:t>
      </w:r>
      <w:r w:rsidR="005248C1">
        <w:t>ossia</w:t>
      </w:r>
      <w:r w:rsidR="0006539F">
        <w:t>,</w:t>
      </w:r>
      <w:r w:rsidR="005248C1">
        <w:t xml:space="preserve"> </w:t>
      </w:r>
      <w:r w:rsidR="005248C1" w:rsidRPr="005248C1">
        <w:t>in assenza di qualsiasi procedura di</w:t>
      </w:r>
      <w:r w:rsidR="005248C1">
        <w:t xml:space="preserve"> </w:t>
      </w:r>
      <w:r w:rsidR="005248C1" w:rsidRPr="005248C1">
        <w:t>selezione tra i potenziali candidati</w:t>
      </w:r>
      <w:r w:rsidR="0006539F">
        <w:t>)</w:t>
      </w:r>
      <w:r w:rsidR="005248C1" w:rsidRPr="005248C1">
        <w:t xml:space="preserve"> delle autorizzazioni demaniali marittime e</w:t>
      </w:r>
      <w:r w:rsidR="005248C1">
        <w:t xml:space="preserve"> </w:t>
      </w:r>
      <w:r w:rsidR="005248C1" w:rsidRPr="005248C1">
        <w:t>lacuali per attività turistico</w:t>
      </w:r>
      <w:r w:rsidR="005248C1" w:rsidRPr="00AC09CE">
        <w:rPr>
          <w:rFonts w:ascii="MS Gothic" w:eastAsia="MS Gothic" w:hAnsi="MS Gothic" w:cs="MS Gothic" w:hint="eastAsia"/>
        </w:rPr>
        <w:t>‑</w:t>
      </w:r>
      <w:r w:rsidR="00884ACC">
        <w:t>ricreative</w:t>
      </w:r>
      <w:r w:rsidR="005248C1">
        <w:t>;</w:t>
      </w:r>
    </w:p>
    <w:p w:rsidR="0074045E" w:rsidRDefault="005248C1" w:rsidP="005A6DE5">
      <w:pPr>
        <w:ind w:left="284" w:right="282"/>
        <w:jc w:val="both"/>
      </w:pPr>
      <w:r>
        <w:t xml:space="preserve">- che </w:t>
      </w:r>
      <w:r w:rsidR="00A0333C">
        <w:t xml:space="preserve">la scarsità della risorsa e </w:t>
      </w:r>
      <w:r>
        <w:t>l’</w:t>
      </w:r>
      <w:r w:rsidRPr="005248C1">
        <w:t xml:space="preserve">interesse transfrontaliero certo </w:t>
      </w:r>
      <w:r w:rsidR="00A0333C">
        <w:t>sono</w:t>
      </w:r>
      <w:r>
        <w:t xml:space="preserve"> valutat</w:t>
      </w:r>
      <w:r w:rsidR="00A0333C">
        <w:t>i</w:t>
      </w:r>
      <w:r>
        <w:t xml:space="preserve"> </w:t>
      </w:r>
      <w:r w:rsidR="00A0333C">
        <w:t xml:space="preserve">dall’amministrazione concedente </w:t>
      </w:r>
      <w:r>
        <w:t>in relazione al</w:t>
      </w:r>
      <w:r w:rsidR="00BD2ECD">
        <w:t>l</w:t>
      </w:r>
      <w:r w:rsidR="00A0333C">
        <w:t>a</w:t>
      </w:r>
      <w:r w:rsidR="00BD2ECD">
        <w:t xml:space="preserve"> singol</w:t>
      </w:r>
      <w:r w:rsidR="00A0333C">
        <w:t>a</w:t>
      </w:r>
      <w:r w:rsidR="00BD2ECD">
        <w:t xml:space="preserve"> </w:t>
      </w:r>
      <w:r w:rsidR="00BD2ECD" w:rsidRPr="005248C1">
        <w:t>concession</w:t>
      </w:r>
      <w:r w:rsidR="00A0333C">
        <w:t>e</w:t>
      </w:r>
      <w:r w:rsidR="00AC09CE">
        <w:t>,</w:t>
      </w:r>
      <w:r w:rsidR="00AC09CE" w:rsidRPr="00AC09CE">
        <w:t xml:space="preserve"> spettando poi al giudice</w:t>
      </w:r>
      <w:r w:rsidR="00AC09CE">
        <w:t xml:space="preserve"> </w:t>
      </w:r>
      <w:r w:rsidR="00AC09CE" w:rsidRPr="00AC09CE">
        <w:t xml:space="preserve">nazionale </w:t>
      </w:r>
      <w:r w:rsidR="00AC09CE">
        <w:t>il sindacato su tale apprezzamento</w:t>
      </w:r>
      <w:r w:rsidR="00BD2ECD" w:rsidRPr="005248C1">
        <w:t>;</w:t>
      </w:r>
    </w:p>
    <w:p w:rsidR="00BD2ECD" w:rsidRDefault="005248C1" w:rsidP="005A6DE5">
      <w:pPr>
        <w:ind w:left="284" w:right="282"/>
        <w:jc w:val="both"/>
      </w:pPr>
      <w:r>
        <w:t xml:space="preserve">- che, in presenza di un legittimo affidamento sulla legittimità della proroga, </w:t>
      </w:r>
      <w:r w:rsidR="0006539F">
        <w:t>da valutare “caso per caso”</w:t>
      </w:r>
      <w:r w:rsidR="00A0333C" w:rsidRPr="00F82E0B">
        <w:rPr>
          <w:vertAlign w:val="superscript"/>
        </w:rPr>
        <w:footnoteReference w:id="6"/>
      </w:r>
      <w:r w:rsidR="0006539F">
        <w:t xml:space="preserve">, </w:t>
      </w:r>
      <w:r>
        <w:t>al concessionario il cui rapporto sia stato risolto per violazione del</w:t>
      </w:r>
      <w:r w:rsidR="0006539F">
        <w:t xml:space="preserve"> diritto </w:t>
      </w:r>
      <w:r>
        <w:t>europe</w:t>
      </w:r>
      <w:r w:rsidR="0006539F">
        <w:t>o</w:t>
      </w:r>
      <w:r>
        <w:t>, dev</w:t>
      </w:r>
      <w:r w:rsidR="0006539F">
        <w:t>’</w:t>
      </w:r>
      <w:r>
        <w:t>essere assicurato “</w:t>
      </w:r>
      <w:r w:rsidRPr="005248C1">
        <w:t>un periodo transitorio che permetta alle parti del contratto di sciogliere i rispettivi rapporti contrattuali a condizioni accettabili, in particolare, dal punto di vista economico”.</w:t>
      </w:r>
    </w:p>
    <w:p w:rsidR="0006539F" w:rsidRPr="00201246" w:rsidRDefault="0053099F" w:rsidP="005A6DE5">
      <w:pPr>
        <w:ind w:left="284" w:right="282"/>
        <w:jc w:val="both"/>
      </w:pPr>
      <w:r>
        <w:t xml:space="preserve">In precedenza, </w:t>
      </w:r>
      <w:r w:rsidR="00F82E0B">
        <w:t xml:space="preserve">anche in relazione alla materia degli appalti pubblici la </w:t>
      </w:r>
      <w:r w:rsidR="00F82E0B" w:rsidRPr="0051064F">
        <w:t>Corte di giustizia</w:t>
      </w:r>
      <w:r w:rsidR="00F82E0B">
        <w:t xml:space="preserve"> </w:t>
      </w:r>
      <w:r w:rsidR="006F67EE">
        <w:t>h</w:t>
      </w:r>
      <w:r w:rsidR="00F82E0B">
        <w:t>a affermato i</w:t>
      </w:r>
      <w:r w:rsidR="00F82E0B" w:rsidRPr="00F82E0B">
        <w:t xml:space="preserve">l metodo </w:t>
      </w:r>
      <w:r w:rsidR="0006539F">
        <w:t>della ve</w:t>
      </w:r>
      <w:r w:rsidR="008A7C74">
        <w:t>rifica</w:t>
      </w:r>
      <w:r w:rsidR="0006539F">
        <w:t xml:space="preserve"> </w:t>
      </w:r>
      <w:proofErr w:type="spellStart"/>
      <w:r w:rsidR="0006539F" w:rsidRPr="0006539F">
        <w:rPr>
          <w:i/>
        </w:rPr>
        <w:t>singulatim</w:t>
      </w:r>
      <w:proofErr w:type="spellEnd"/>
      <w:r w:rsidR="0006539F">
        <w:t xml:space="preserve"> </w:t>
      </w:r>
      <w:r w:rsidR="008A7C74">
        <w:t xml:space="preserve">e non </w:t>
      </w:r>
      <w:proofErr w:type="spellStart"/>
      <w:r w:rsidR="008A7C74" w:rsidRPr="008A7C74">
        <w:rPr>
          <w:i/>
        </w:rPr>
        <w:t>generaliter</w:t>
      </w:r>
      <w:proofErr w:type="spellEnd"/>
      <w:r w:rsidR="008A7C74">
        <w:t xml:space="preserve"> </w:t>
      </w:r>
      <w:r w:rsidR="0006539F">
        <w:t>dell’</w:t>
      </w:r>
      <w:r w:rsidR="0006539F" w:rsidRPr="005248C1">
        <w:t>interesse transfrontaliero</w:t>
      </w:r>
      <w:r w:rsidR="00BE216F">
        <w:t xml:space="preserve"> certo</w:t>
      </w:r>
      <w:r w:rsidR="0006539F">
        <w:t>, i</w:t>
      </w:r>
      <w:r w:rsidR="00F82E0B">
        <w:t xml:space="preserve"> cui</w:t>
      </w:r>
      <w:r w:rsidR="0006539F">
        <w:t xml:space="preserve"> indici vanno ri</w:t>
      </w:r>
      <w:r w:rsidR="00BE216F">
        <w:t>nvenu</w:t>
      </w:r>
      <w:r w:rsidR="0006539F">
        <w:t xml:space="preserve">ti </w:t>
      </w:r>
      <w:r w:rsidR="0006539F" w:rsidRPr="00201246">
        <w:t>“nell’importo di una certa consistenza dell’appalto in questione, in combinazione con il luogo di esecuzione dei lavori o, ancora, nelle caratteristiche tecniche dell’appalto e nelle caratteristiche specifiche dei prodotti in causa. A tal riguardo, si può altresì tenere conto dell’esistenza di denunce presentate da operatori ubicati in altri Stati membri, purché sia accertato che queste ultime sono reali e non fittizie”</w:t>
      </w:r>
      <w:r w:rsidR="0006539F">
        <w:rPr>
          <w:rStyle w:val="Rimandonotaapidipagina"/>
        </w:rPr>
        <w:footnoteReference w:id="7"/>
      </w:r>
      <w:r w:rsidR="0006539F" w:rsidRPr="00201246">
        <w:t>.</w:t>
      </w:r>
    </w:p>
    <w:p w:rsidR="0006539F" w:rsidRDefault="0053099F" w:rsidP="005A6DE5">
      <w:pPr>
        <w:ind w:left="284" w:right="282"/>
        <w:jc w:val="both"/>
      </w:pPr>
      <w:r>
        <w:t>P</w:t>
      </w:r>
      <w:r w:rsidR="00A91DE0">
        <w:t>er come detto, muovendo</w:t>
      </w:r>
      <w:r w:rsidR="00F82E0B">
        <w:t xml:space="preserve"> </w:t>
      </w:r>
      <w:r w:rsidR="00A91DE0">
        <w:t>d</w:t>
      </w:r>
      <w:r w:rsidR="00F82E0B">
        <w:t>alla ricostruzione</w:t>
      </w:r>
      <w:r w:rsidR="002F26E4">
        <w:t xml:space="preserve"> </w:t>
      </w:r>
      <w:r w:rsidR="002F26E4" w:rsidRPr="002F26E4">
        <w:t>logico-giuridica e</w:t>
      </w:r>
      <w:r w:rsidR="00F82E0B">
        <w:t xml:space="preserve"> fattuale</w:t>
      </w:r>
      <w:r w:rsidR="0006539F">
        <w:t xml:space="preserve"> </w:t>
      </w:r>
      <w:r w:rsidR="00A91DE0">
        <w:t>rilevabil</w:t>
      </w:r>
      <w:r w:rsidR="00F82E0B">
        <w:t>e dagli atti</w:t>
      </w:r>
      <w:r w:rsidR="00A91DE0">
        <w:t xml:space="preserve"> di causa</w:t>
      </w:r>
      <w:r w:rsidR="00F82E0B">
        <w:t xml:space="preserve">, </w:t>
      </w:r>
      <w:r w:rsidR="006F67EE">
        <w:t>l’Adunanza plenaria</w:t>
      </w:r>
      <w:r w:rsidR="0006539F">
        <w:t xml:space="preserve"> ha </w:t>
      </w:r>
      <w:r w:rsidR="00F82E0B">
        <w:t>correlato</w:t>
      </w:r>
      <w:r w:rsidR="004A46AC">
        <w:t xml:space="preserve"> </w:t>
      </w:r>
      <w:r w:rsidR="00397556">
        <w:t xml:space="preserve">l’interesse </w:t>
      </w:r>
      <w:r w:rsidR="00397556" w:rsidRPr="00DA531D">
        <w:t>transfrontaliero</w:t>
      </w:r>
      <w:r w:rsidR="00397556">
        <w:t xml:space="preserve"> certo a</w:t>
      </w:r>
      <w:r w:rsidR="004A46AC">
        <w:t>ll’inter</w:t>
      </w:r>
      <w:r w:rsidR="00397556">
        <w:t>o</w:t>
      </w:r>
      <w:r w:rsidR="004A46AC">
        <w:t xml:space="preserve"> </w:t>
      </w:r>
      <w:r w:rsidR="00397556">
        <w:t xml:space="preserve">compendio del nostro patrimonio </w:t>
      </w:r>
      <w:r w:rsidR="00397556" w:rsidRPr="00201246">
        <w:t>costiero</w:t>
      </w:r>
      <w:r w:rsidR="004A46AC">
        <w:t xml:space="preserve">, </w:t>
      </w:r>
      <w:r w:rsidR="00397556">
        <w:t xml:space="preserve">piuttosto che </w:t>
      </w:r>
      <w:r w:rsidR="00014E7A">
        <w:t>a</w:t>
      </w:r>
      <w:r w:rsidR="004A46AC">
        <w:t xml:space="preserve"> ciascuna singola concessione</w:t>
      </w:r>
      <w:r w:rsidR="00397556">
        <w:t xml:space="preserve"> o</w:t>
      </w:r>
      <w:r w:rsidR="00D82D72">
        <w:t>d</w:t>
      </w:r>
      <w:r w:rsidR="00397556">
        <w:t xml:space="preserve"> </w:t>
      </w:r>
      <w:r w:rsidR="00014E7A">
        <w:t>a</w:t>
      </w:r>
      <w:r w:rsidR="00397556">
        <w:t xml:space="preserve"> ciascun </w:t>
      </w:r>
      <w:r w:rsidR="004D33E1">
        <w:t>à</w:t>
      </w:r>
      <w:r w:rsidR="00397556">
        <w:t>mbito turistico</w:t>
      </w:r>
      <w:r w:rsidR="0006539F">
        <w:t>.</w:t>
      </w:r>
    </w:p>
    <w:p w:rsidR="0006539F" w:rsidRDefault="006F67EE" w:rsidP="005A6DE5">
      <w:pPr>
        <w:ind w:left="284" w:right="282"/>
        <w:jc w:val="both"/>
      </w:pPr>
      <w:r>
        <w:t>Quindi</w:t>
      </w:r>
      <w:r w:rsidR="0006539F">
        <w:t xml:space="preserve">, nel dare </w:t>
      </w:r>
      <w:r w:rsidR="0053099F">
        <w:t>esecu</w:t>
      </w:r>
      <w:r w:rsidR="0006539F">
        <w:t>zione alle d</w:t>
      </w:r>
      <w:r w:rsidR="004D33E1">
        <w:t>ue d</w:t>
      </w:r>
      <w:r w:rsidR="0006539F">
        <w:t xml:space="preserve">ecisioni in esame, il Governo ha </w:t>
      </w:r>
      <w:r w:rsidR="00BE216F">
        <w:t xml:space="preserve">innanzitutto </w:t>
      </w:r>
      <w:r w:rsidR="0006539F">
        <w:t>pro</w:t>
      </w:r>
      <w:r>
        <w:t>gramma</w:t>
      </w:r>
      <w:r w:rsidR="0006539F">
        <w:t xml:space="preserve">to </w:t>
      </w:r>
      <w:r w:rsidR="00810415">
        <w:t>di procedere a</w:t>
      </w:r>
      <w:r w:rsidR="00BE216F">
        <w:t>ll</w:t>
      </w:r>
      <w:r w:rsidR="0006539F">
        <w:t>a mappatura d</w:t>
      </w:r>
      <w:r w:rsidR="00BE216F">
        <w:t xml:space="preserve">i tutte </w:t>
      </w:r>
      <w:r w:rsidR="0006539F">
        <w:t>le concessioni in essere.</w:t>
      </w:r>
    </w:p>
    <w:p w:rsidR="001E0883" w:rsidRDefault="0006539F" w:rsidP="005A6DE5">
      <w:pPr>
        <w:ind w:left="284" w:right="282"/>
        <w:jc w:val="both"/>
      </w:pPr>
      <w:r>
        <w:t>La domanda che si pone è, pertanto</w:t>
      </w:r>
      <w:r w:rsidR="004D33E1">
        <w:t>, la seguente</w:t>
      </w:r>
      <w:r>
        <w:t>: le risultanze d</w:t>
      </w:r>
      <w:r w:rsidR="004D33E1">
        <w:t>ella futura</w:t>
      </w:r>
      <w:r>
        <w:t xml:space="preserve"> mappatura</w:t>
      </w:r>
      <w:r w:rsidR="00397556">
        <w:t xml:space="preserve"> </w:t>
      </w:r>
      <w:r w:rsidR="004D33E1">
        <w:t>po</w:t>
      </w:r>
      <w:r w:rsidR="00A91DE0">
        <w:t>tr</w:t>
      </w:r>
      <w:r w:rsidR="00BE216F">
        <w:t>ebber</w:t>
      </w:r>
      <w:r w:rsidR="004A16BA">
        <w:t>o incidere su</w:t>
      </w:r>
      <w:r w:rsidR="00BE216F">
        <w:t xml:space="preserve"> t</w:t>
      </w:r>
      <w:r w:rsidR="004D33E1">
        <w:t>a</w:t>
      </w:r>
      <w:r w:rsidR="00BE216F">
        <w:t>le</w:t>
      </w:r>
      <w:r w:rsidR="004D33E1">
        <w:t xml:space="preserve"> ricostruzione d</w:t>
      </w:r>
      <w:r w:rsidR="00BE216F">
        <w:t>el</w:t>
      </w:r>
      <w:r w:rsidR="004D33E1">
        <w:t xml:space="preserve"> fatto</w:t>
      </w:r>
      <w:r w:rsidR="00A91DE0">
        <w:t>, nel senso, cioè, di far</w:t>
      </w:r>
      <w:r w:rsidR="004D33E1">
        <w:t xml:space="preserve"> emergere</w:t>
      </w:r>
      <w:r w:rsidR="004D33E1" w:rsidRPr="004D33E1">
        <w:t xml:space="preserve"> </w:t>
      </w:r>
      <w:r w:rsidR="004D33E1">
        <w:t>le</w:t>
      </w:r>
      <w:r w:rsidR="004D33E1" w:rsidRPr="00721771">
        <w:t xml:space="preserve"> dis</w:t>
      </w:r>
      <w:r w:rsidR="004D33E1">
        <w:t>par</w:t>
      </w:r>
      <w:r w:rsidR="004D33E1" w:rsidRPr="00721771">
        <w:t xml:space="preserve">ità </w:t>
      </w:r>
      <w:r w:rsidR="004D33E1">
        <w:t>di contesto paesaggistico, ambientale, turistico, economico</w:t>
      </w:r>
      <w:r w:rsidR="004D33E1" w:rsidRPr="00721771">
        <w:t xml:space="preserve"> e soci</w:t>
      </w:r>
      <w:r w:rsidR="004D33E1">
        <w:t xml:space="preserve">ale esistenti tra le varie regioni ed i vari comuni italiani, sì da far riconsiderare l’opinione secondo cui </w:t>
      </w:r>
      <w:r w:rsidR="00397556">
        <w:t>tutti gli 8.000 chilometri di costa italiani</w:t>
      </w:r>
      <w:r w:rsidR="004D33E1">
        <w:t xml:space="preserve"> abbiano, sotto il profilo </w:t>
      </w:r>
      <w:r w:rsidR="00F96B09">
        <w:t>oggett</w:t>
      </w:r>
      <w:r w:rsidR="004D33E1">
        <w:t>iv</w:t>
      </w:r>
      <w:r w:rsidR="00F96B09">
        <w:t>o</w:t>
      </w:r>
      <w:r w:rsidR="004D33E1">
        <w:t>,</w:t>
      </w:r>
      <w:r w:rsidR="00F96B09">
        <w:t xml:space="preserve"> </w:t>
      </w:r>
      <w:r w:rsidR="00397556">
        <w:t xml:space="preserve">un </w:t>
      </w:r>
      <w:r w:rsidR="00397556" w:rsidRPr="00DA531D">
        <w:t>interesse</w:t>
      </w:r>
      <w:r w:rsidR="00397556" w:rsidRPr="00397556">
        <w:t xml:space="preserve"> </w:t>
      </w:r>
      <w:r w:rsidR="00397556" w:rsidRPr="00DA531D">
        <w:t>transfrontaliero</w:t>
      </w:r>
      <w:r w:rsidR="00397556">
        <w:t xml:space="preserve"> certo?</w:t>
      </w:r>
    </w:p>
    <w:p w:rsidR="009E4FF7" w:rsidRDefault="000E1087" w:rsidP="005A6DE5">
      <w:pPr>
        <w:ind w:left="284" w:right="282"/>
        <w:jc w:val="both"/>
      </w:pPr>
      <w:r>
        <w:t>Quant</w:t>
      </w:r>
      <w:r w:rsidR="00810415">
        <w:t>o, poi</w:t>
      </w:r>
      <w:r w:rsidR="004D33E1">
        <w:t xml:space="preserve">, </w:t>
      </w:r>
      <w:r w:rsidR="00810415">
        <w:t>a</w:t>
      </w:r>
      <w:r w:rsidR="00D66936">
        <w:t>g</w:t>
      </w:r>
      <w:r w:rsidR="004D33E1">
        <w:t>l</w:t>
      </w:r>
      <w:r w:rsidR="00D66936">
        <w:t>i</w:t>
      </w:r>
      <w:r w:rsidR="004D33E1">
        <w:t xml:space="preserve"> </w:t>
      </w:r>
      <w:r w:rsidR="00D66936">
        <w:t xml:space="preserve">aspetti di carattere </w:t>
      </w:r>
      <w:r w:rsidR="004D33E1">
        <w:t>economico</w:t>
      </w:r>
      <w:r>
        <w:t xml:space="preserve"> pure </w:t>
      </w:r>
      <w:r w:rsidR="0053099F">
        <w:t>valut</w:t>
      </w:r>
      <w:r>
        <w:t>ati ai fini dell’integrazione del requisito</w:t>
      </w:r>
      <w:r w:rsidR="00970664">
        <w:t>, occorre rammentare che l</w:t>
      </w:r>
      <w:r w:rsidR="0053099F">
        <w:t>’Adunanza pl</w:t>
      </w:r>
      <w:r w:rsidR="00970664">
        <w:t>e</w:t>
      </w:r>
      <w:r w:rsidR="0053099F">
        <w:t>naria</w:t>
      </w:r>
      <w:r w:rsidR="00970664">
        <w:t xml:space="preserve"> </w:t>
      </w:r>
      <w:r>
        <w:t xml:space="preserve">già </w:t>
      </w:r>
      <w:r w:rsidR="0053099F">
        <w:t>individua</w:t>
      </w:r>
      <w:r w:rsidR="00B35477">
        <w:t>,</w:t>
      </w:r>
      <w:r w:rsidR="00970664">
        <w:t xml:space="preserve"> come obiettiv</w:t>
      </w:r>
      <w:r w:rsidR="00D66936">
        <w:t>i</w:t>
      </w:r>
      <w:r w:rsidR="00970664">
        <w:t xml:space="preserve"> a tendere</w:t>
      </w:r>
      <w:r w:rsidR="00B35477">
        <w:t>,</w:t>
      </w:r>
      <w:r w:rsidR="00970664">
        <w:t xml:space="preserve"> </w:t>
      </w:r>
      <w:r w:rsidR="009E4FF7">
        <w:t>la commisurazione dell</w:t>
      </w:r>
      <w:r w:rsidR="009E4FF7" w:rsidRPr="0051064F">
        <w:t xml:space="preserve">a durata </w:t>
      </w:r>
      <w:r w:rsidR="009E4FF7">
        <w:t>della concessione a</w:t>
      </w:r>
      <w:r w:rsidR="009E4FF7" w:rsidRPr="0051064F">
        <w:t>l tempo ragionevolmente necessario al recupero degli investimenti</w:t>
      </w:r>
      <w:r w:rsidR="009E4FF7">
        <w:t xml:space="preserve"> </w:t>
      </w:r>
      <w:r w:rsidR="009E4FF7" w:rsidRPr="0051064F">
        <w:t xml:space="preserve">ad </w:t>
      </w:r>
      <w:r w:rsidR="009E4FF7">
        <w:t>all</w:t>
      </w:r>
      <w:r w:rsidR="009E4FF7" w:rsidRPr="0051064F">
        <w:t>a remunerazione del capitale investito</w:t>
      </w:r>
      <w:r w:rsidR="009E4FF7">
        <w:t xml:space="preserve">, nonché la previsione di </w:t>
      </w:r>
      <w:r w:rsidR="009E4FF7" w:rsidRPr="0051064F">
        <w:t xml:space="preserve">canoni </w:t>
      </w:r>
      <w:r w:rsidR="009E4FF7">
        <w:t>conson</w:t>
      </w:r>
      <w:r w:rsidR="009E4FF7" w:rsidRPr="0051064F">
        <w:t>i</w:t>
      </w:r>
      <w:r w:rsidR="009E4FF7">
        <w:t xml:space="preserve"> a</w:t>
      </w:r>
      <w:r w:rsidR="009E4FF7" w:rsidRPr="0051064F">
        <w:t>l reale valore economico e turistico d</w:t>
      </w:r>
      <w:r w:rsidR="009E4FF7">
        <w:t>el singolo bene oggetto di affidamento.</w:t>
      </w:r>
    </w:p>
    <w:p w:rsidR="00970664" w:rsidRDefault="00BD3C01" w:rsidP="005A6DE5">
      <w:pPr>
        <w:ind w:left="284" w:right="282"/>
        <w:jc w:val="both"/>
      </w:pPr>
      <w:r>
        <w:t>Il conseguimento di tal</w:t>
      </w:r>
      <w:r w:rsidR="00D66936">
        <w:t>i</w:t>
      </w:r>
      <w:r>
        <w:t xml:space="preserve"> </w:t>
      </w:r>
      <w:r w:rsidR="009E4FF7">
        <w:t>obiettiv</w:t>
      </w:r>
      <w:r w:rsidR="00D66936">
        <w:t>i</w:t>
      </w:r>
      <w:r w:rsidR="009E4FF7">
        <w:t xml:space="preserve">, che </w:t>
      </w:r>
      <w:r w:rsidR="007B11B8">
        <w:t xml:space="preserve">si </w:t>
      </w:r>
      <w:r>
        <w:t xml:space="preserve">è </w:t>
      </w:r>
      <w:r w:rsidR="000E1087">
        <w:t>attual</w:t>
      </w:r>
      <w:r w:rsidR="007B11B8">
        <w:t>izzato</w:t>
      </w:r>
      <w:r w:rsidR="000E1087">
        <w:t xml:space="preserve"> </w:t>
      </w:r>
      <w:r>
        <w:t xml:space="preserve">nelle intenzioni </w:t>
      </w:r>
      <w:r w:rsidR="00D66936">
        <w:t xml:space="preserve">manifestate </w:t>
      </w:r>
      <w:r>
        <w:t>d</w:t>
      </w:r>
      <w:r w:rsidR="00D66936">
        <w:t>a</w:t>
      </w:r>
      <w:r>
        <w:t>l Governo</w:t>
      </w:r>
      <w:r w:rsidR="009E4FF7">
        <w:t>, determiner</w:t>
      </w:r>
      <w:r>
        <w:t>à</w:t>
      </w:r>
      <w:r w:rsidR="009E4FF7">
        <w:t xml:space="preserve"> </w:t>
      </w:r>
      <w:r w:rsidR="00970664">
        <w:t>l’</w:t>
      </w:r>
      <w:r w:rsidR="004D33E1">
        <w:t>elimina</w:t>
      </w:r>
      <w:r w:rsidR="00970664">
        <w:t>zion</w:t>
      </w:r>
      <w:r w:rsidR="004D33E1">
        <w:t xml:space="preserve">e </w:t>
      </w:r>
      <w:r w:rsidR="009E4FF7">
        <w:t xml:space="preserve">della rendita </w:t>
      </w:r>
      <w:r w:rsidR="00D66936">
        <w:t>di posizione</w:t>
      </w:r>
      <w:r w:rsidR="00970664">
        <w:t xml:space="preserve"> di cui </w:t>
      </w:r>
      <w:r w:rsidR="000E1087">
        <w:t xml:space="preserve">gode </w:t>
      </w:r>
      <w:r w:rsidR="00970664">
        <w:t>il concessionario</w:t>
      </w:r>
      <w:r w:rsidR="000E1087">
        <w:t xml:space="preserve">, il quale </w:t>
      </w:r>
      <w:r w:rsidR="009E4FF7">
        <w:t>p</w:t>
      </w:r>
      <w:r w:rsidR="000E1087">
        <w:t>uò</w:t>
      </w:r>
      <w:r>
        <w:t xml:space="preserve"> </w:t>
      </w:r>
      <w:r w:rsidR="00D66936">
        <w:t>d</w:t>
      </w:r>
      <w:r>
        <w:t xml:space="preserve">are </w:t>
      </w:r>
      <w:r w:rsidR="009E4FF7">
        <w:t>in subconcessione</w:t>
      </w:r>
      <w:r>
        <w:t>, a prezzo di mercato,</w:t>
      </w:r>
      <w:r w:rsidR="009E4FF7">
        <w:t xml:space="preserve"> un bene </w:t>
      </w:r>
      <w:r>
        <w:t>su cui egli corrisponde</w:t>
      </w:r>
      <w:r w:rsidR="009E4FF7">
        <w:t xml:space="preserve"> </w:t>
      </w:r>
      <w:r w:rsidR="00970664">
        <w:t xml:space="preserve">un canone </w:t>
      </w:r>
      <w:r>
        <w:t>risibile</w:t>
      </w:r>
      <w:r w:rsidR="00970664">
        <w:t>.</w:t>
      </w:r>
    </w:p>
    <w:p w:rsidR="006F5881" w:rsidRDefault="00DB2D2F" w:rsidP="005A6DE5">
      <w:pPr>
        <w:ind w:left="284" w:right="282"/>
        <w:jc w:val="both"/>
      </w:pPr>
      <w:r>
        <w:t>Verosimilmente,</w:t>
      </w:r>
      <w:r w:rsidR="00BD3C01">
        <w:t xml:space="preserve"> </w:t>
      </w:r>
      <w:r w:rsidR="0053099F">
        <w:t xml:space="preserve">tramontata la rendita di posizione, oggi generalizzata </w:t>
      </w:r>
      <w:r w:rsidR="00796F7F">
        <w:t>per</w:t>
      </w:r>
      <w:r w:rsidR="0053099F">
        <w:t xml:space="preserve"> tutte le concessioni in essere, </w:t>
      </w:r>
      <w:r w:rsidR="00BD3C01">
        <w:t>ve</w:t>
      </w:r>
      <w:r>
        <w:t xml:space="preserve">rrà </w:t>
      </w:r>
      <w:r w:rsidR="00BD3C01">
        <w:t xml:space="preserve">meno </w:t>
      </w:r>
      <w:r w:rsidR="0053099F">
        <w:t xml:space="preserve">anche </w:t>
      </w:r>
      <w:r w:rsidR="00F02C85">
        <w:t>il</w:t>
      </w:r>
      <w:r w:rsidR="00D66936">
        <w:t xml:space="preserve"> secondo </w:t>
      </w:r>
      <w:r w:rsidR="00BD3C01">
        <w:t>indice</w:t>
      </w:r>
      <w:r w:rsidR="00D66936">
        <w:t xml:space="preserve"> </w:t>
      </w:r>
      <w:r w:rsidR="007B11B8">
        <w:t>sintomatico</w:t>
      </w:r>
      <w:r w:rsidR="00F02C85">
        <w:t xml:space="preserve"> </w:t>
      </w:r>
      <w:r w:rsidR="007B11B8">
        <w:t>del</w:t>
      </w:r>
      <w:r w:rsidR="00F02C85">
        <w:t>l’interesse transfrontaliero certo</w:t>
      </w:r>
      <w:r w:rsidR="007B11B8">
        <w:t>, non potendo</w:t>
      </w:r>
      <w:r w:rsidR="007B11B8" w:rsidRPr="007B11B8">
        <w:t xml:space="preserve"> </w:t>
      </w:r>
      <w:r w:rsidR="007B11B8">
        <w:t>l’intero patrimonio costiero</w:t>
      </w:r>
      <w:r w:rsidR="007B11B8" w:rsidRPr="007B11B8">
        <w:t xml:space="preserve"> </w:t>
      </w:r>
      <w:r w:rsidR="007B11B8">
        <w:t>più essere trattato, sotto il profilo economico,</w:t>
      </w:r>
      <w:r w:rsidR="00D66936">
        <w:t xml:space="preserve"> come un complesso unitario</w:t>
      </w:r>
      <w:r w:rsidR="00F02C85">
        <w:t xml:space="preserve"> ed omogeneo di beni</w:t>
      </w:r>
      <w:r w:rsidR="00D66936">
        <w:t>.</w:t>
      </w:r>
    </w:p>
    <w:p w:rsidR="00F02C85" w:rsidRDefault="00F02C85" w:rsidP="005A6DE5">
      <w:pPr>
        <w:ind w:left="284" w:right="282"/>
        <w:jc w:val="both"/>
      </w:pPr>
    </w:p>
    <w:p w:rsidR="00F02C85" w:rsidRPr="00F02C85" w:rsidRDefault="00F02C85" w:rsidP="005A6DE5">
      <w:pPr>
        <w:numPr>
          <w:ilvl w:val="1"/>
          <w:numId w:val="2"/>
        </w:numPr>
        <w:ind w:left="284" w:right="282" w:firstLine="0"/>
        <w:jc w:val="both"/>
        <w:rPr>
          <w:b/>
        </w:rPr>
      </w:pPr>
      <w:r w:rsidRPr="00F02C85">
        <w:rPr>
          <w:b/>
        </w:rPr>
        <w:t>La scarsità della risorsa</w:t>
      </w:r>
      <w:r w:rsidR="00131251">
        <w:rPr>
          <w:b/>
        </w:rPr>
        <w:t xml:space="preserve"> naturale</w:t>
      </w:r>
      <w:r w:rsidRPr="00F02C85">
        <w:rPr>
          <w:b/>
        </w:rPr>
        <w:t>.</w:t>
      </w:r>
    </w:p>
    <w:p w:rsidR="001E0883" w:rsidRDefault="0053099F" w:rsidP="005A6DE5">
      <w:pPr>
        <w:ind w:left="284" w:right="282"/>
        <w:jc w:val="both"/>
      </w:pPr>
      <w:r>
        <w:t>P</w:t>
      </w:r>
      <w:r w:rsidR="00915D52">
        <w:t>e</w:t>
      </w:r>
      <w:r>
        <w:t>r</w:t>
      </w:r>
      <w:r w:rsidR="00915D52">
        <w:t xml:space="preserve"> </w:t>
      </w:r>
      <w:r>
        <w:t>ravvis</w:t>
      </w:r>
      <w:r w:rsidR="00915D52">
        <w:t xml:space="preserve">are </w:t>
      </w:r>
      <w:r>
        <w:t>i</w:t>
      </w:r>
      <w:r w:rsidR="00915D52">
        <w:t>l</w:t>
      </w:r>
      <w:r>
        <w:t xml:space="preserve"> </w:t>
      </w:r>
      <w:r w:rsidR="00131251">
        <w:t xml:space="preserve">requisito della scarsità della risorsa naturale, </w:t>
      </w:r>
      <w:r w:rsidR="00D83600">
        <w:t>l’Adunanza plenaria ha</w:t>
      </w:r>
      <w:r w:rsidR="00131251">
        <w:t xml:space="preserve"> opera</w:t>
      </w:r>
      <w:r w:rsidR="00D83600">
        <w:t>to</w:t>
      </w:r>
      <w:r w:rsidR="00131251">
        <w:t xml:space="preserve"> </w:t>
      </w:r>
      <w:r w:rsidR="00FB11B6">
        <w:t>un’inversione metodologica rispetto a</w:t>
      </w:r>
      <w:r w:rsidR="002F7FC1">
        <w:t>lla verifica</w:t>
      </w:r>
      <w:r w:rsidR="008D1C76" w:rsidRPr="008D1C76">
        <w:t xml:space="preserve"> </w:t>
      </w:r>
      <w:r w:rsidR="008D1C76">
        <w:t>dell’interesse transfrontaliero certo</w:t>
      </w:r>
      <w:r w:rsidR="00A051AE">
        <w:t>,</w:t>
      </w:r>
      <w:r w:rsidR="00FB11B6">
        <w:t xml:space="preserve"> </w:t>
      </w:r>
      <w:r w:rsidR="00131251">
        <w:t xml:space="preserve">non prendendo </w:t>
      </w:r>
      <w:r w:rsidR="00915D52">
        <w:t xml:space="preserve">più </w:t>
      </w:r>
      <w:r w:rsidR="00131251">
        <w:t xml:space="preserve">in considerazione </w:t>
      </w:r>
      <w:r w:rsidR="00290287">
        <w:t xml:space="preserve">l’intero patrimonio costiero </w:t>
      </w:r>
      <w:r w:rsidR="00131251">
        <w:t xml:space="preserve">esistente, ma la parte </w:t>
      </w:r>
      <w:r>
        <w:t xml:space="preserve">di esso </w:t>
      </w:r>
      <w:r w:rsidR="00131251">
        <w:t>attualmente disponibile</w:t>
      </w:r>
      <w:r w:rsidR="00FB11B6">
        <w:t>.</w:t>
      </w:r>
    </w:p>
    <w:p w:rsidR="008F3576" w:rsidRDefault="00131251" w:rsidP="005A6DE5">
      <w:pPr>
        <w:ind w:left="284" w:right="282"/>
        <w:jc w:val="both"/>
      </w:pPr>
      <w:r>
        <w:t>L</w:t>
      </w:r>
      <w:r w:rsidR="007354A8" w:rsidRPr="002F7FC1">
        <w:t xml:space="preserve">a scarsità della risorsa </w:t>
      </w:r>
      <w:r w:rsidR="00290287">
        <w:t xml:space="preserve">è </w:t>
      </w:r>
      <w:r w:rsidR="00D83600">
        <w:t xml:space="preserve">stata </w:t>
      </w:r>
      <w:r>
        <w:t>quindi accert</w:t>
      </w:r>
      <w:r w:rsidR="00290287">
        <w:t>a</w:t>
      </w:r>
      <w:r w:rsidR="007354A8">
        <w:t>ta</w:t>
      </w:r>
      <w:r w:rsidR="00E50534">
        <w:t xml:space="preserve"> </w:t>
      </w:r>
      <w:r>
        <w:t xml:space="preserve">tenendo presente </w:t>
      </w:r>
      <w:r w:rsidR="00A05647">
        <w:t>que</w:t>
      </w:r>
      <w:r w:rsidR="007354A8">
        <w:t>l</w:t>
      </w:r>
      <w:r w:rsidR="00C118CE" w:rsidRPr="002F7FC1">
        <w:t xml:space="preserve"> </w:t>
      </w:r>
      <w:r w:rsidR="00C118CE">
        <w:t>30-</w:t>
      </w:r>
      <w:r w:rsidR="00C118CE" w:rsidRPr="002F7FC1">
        <w:t xml:space="preserve">50% </w:t>
      </w:r>
      <w:r w:rsidR="007354A8">
        <w:t>“</w:t>
      </w:r>
      <w:r w:rsidR="00C118CE" w:rsidRPr="002F7FC1">
        <w:t xml:space="preserve">delle coste sabbiose </w:t>
      </w:r>
      <w:r w:rsidR="00C118CE">
        <w:t>non</w:t>
      </w:r>
      <w:r w:rsidR="00C118CE" w:rsidRPr="002F7FC1">
        <w:t xml:space="preserve"> occupat</w:t>
      </w:r>
      <w:r w:rsidR="0008517D">
        <w:t>o</w:t>
      </w:r>
      <w:r w:rsidR="00C118CE" w:rsidRPr="002F7FC1">
        <w:t xml:space="preserve"> da stabilimenti balneari</w:t>
      </w:r>
      <w:r w:rsidR="007354A8">
        <w:t>”</w:t>
      </w:r>
      <w:r w:rsidR="00E50534">
        <w:t xml:space="preserve"> e</w:t>
      </w:r>
      <w:r>
        <w:t xml:space="preserve"> quindi</w:t>
      </w:r>
      <w:r w:rsidR="00E50534">
        <w:t xml:space="preserve"> “</w:t>
      </w:r>
      <w:r w:rsidR="00E50534" w:rsidRPr="002F7FC1">
        <w:t>suscettibile di essere dat</w:t>
      </w:r>
      <w:r w:rsidR="0008517D">
        <w:t>o</w:t>
      </w:r>
      <w:r w:rsidR="00E50534" w:rsidRPr="002F7FC1">
        <w:t xml:space="preserve"> in concessione</w:t>
      </w:r>
      <w:r w:rsidR="00E50534">
        <w:t>”</w:t>
      </w:r>
      <w:r w:rsidR="007354A8">
        <w:t>.</w:t>
      </w:r>
    </w:p>
    <w:p w:rsidR="00131251" w:rsidRDefault="00131251" w:rsidP="005A6DE5">
      <w:pPr>
        <w:ind w:left="284" w:right="282"/>
        <w:jc w:val="both"/>
      </w:pPr>
      <w:r>
        <w:t>Anche in tal caso, le risultanze della mappatura delle concessioni messa in cantiere dal Governo</w:t>
      </w:r>
      <w:r w:rsidR="00C1698C" w:rsidRPr="00C1698C">
        <w:t xml:space="preserve"> </w:t>
      </w:r>
      <w:r w:rsidR="00C1698C">
        <w:t>potrebbero tornare utili</w:t>
      </w:r>
      <w:r w:rsidR="00C1698C" w:rsidRPr="00C1698C">
        <w:t xml:space="preserve"> </w:t>
      </w:r>
      <w:r w:rsidR="00C1698C">
        <w:t>per sovvertire questo dato di partenza</w:t>
      </w:r>
      <w:r>
        <w:t>.</w:t>
      </w:r>
    </w:p>
    <w:p w:rsidR="007354A8" w:rsidRDefault="00915D52" w:rsidP="005A6DE5">
      <w:pPr>
        <w:ind w:left="284" w:right="282"/>
        <w:jc w:val="both"/>
      </w:pPr>
      <w:r>
        <w:t>Ed infatti, l</w:t>
      </w:r>
      <w:r w:rsidR="00131251">
        <w:t>a</w:t>
      </w:r>
      <w:r w:rsidR="00C1698C">
        <w:t xml:space="preserve"> mappatura</w:t>
      </w:r>
      <w:r w:rsidR="00131251">
        <w:t xml:space="preserve"> potrebbe </w:t>
      </w:r>
      <w:r w:rsidR="00C1698C">
        <w:t>far emergere</w:t>
      </w:r>
      <w:r w:rsidR="00131251">
        <w:t xml:space="preserve"> </w:t>
      </w:r>
      <w:r w:rsidR="001E0883">
        <w:t>c</w:t>
      </w:r>
      <w:r w:rsidR="00D83600">
        <w:t>h</w:t>
      </w:r>
      <w:r w:rsidR="001E0883">
        <w:t>e</w:t>
      </w:r>
      <w:r w:rsidR="00C1698C">
        <w:t>,</w:t>
      </w:r>
      <w:r w:rsidR="001E0883">
        <w:t xml:space="preserve"> </w:t>
      </w:r>
      <w:r w:rsidR="00C1698C">
        <w:t xml:space="preserve">in verità, </w:t>
      </w:r>
      <w:r w:rsidR="003E0FE7">
        <w:t>una c</w:t>
      </w:r>
      <w:r w:rsidR="00E51C99">
        <w:t>onsiderevol</w:t>
      </w:r>
      <w:r w:rsidR="003E0FE7">
        <w:t>e quantità</w:t>
      </w:r>
      <w:r w:rsidR="007354A8">
        <w:t xml:space="preserve"> di </w:t>
      </w:r>
      <w:r w:rsidR="00D83600">
        <w:t>sp</w:t>
      </w:r>
      <w:r w:rsidR="007354A8">
        <w:t>i</w:t>
      </w:r>
      <w:r w:rsidR="00D83600">
        <w:t>agge</w:t>
      </w:r>
      <w:r w:rsidR="007354A8">
        <w:t xml:space="preserve"> </w:t>
      </w:r>
      <w:r w:rsidR="001E0883">
        <w:t>dov</w:t>
      </w:r>
      <w:r w:rsidR="00C1698C">
        <w:t>’</w:t>
      </w:r>
      <w:r w:rsidR="001E0883">
        <w:t xml:space="preserve">è presente uno stabilimento </w:t>
      </w:r>
      <w:r w:rsidR="00D83600">
        <w:t>è</w:t>
      </w:r>
      <w:r w:rsidR="007354A8">
        <w:t xml:space="preserve"> indisponibile solo </w:t>
      </w:r>
      <w:r w:rsidR="007354A8" w:rsidRPr="007354A8">
        <w:rPr>
          <w:i/>
        </w:rPr>
        <w:t>sulla carta</w:t>
      </w:r>
      <w:r w:rsidR="007354A8">
        <w:t xml:space="preserve"> </w:t>
      </w:r>
      <w:r w:rsidR="00E65FE5">
        <w:t>e che</w:t>
      </w:r>
      <w:r w:rsidR="007354A8">
        <w:t xml:space="preserve"> </w:t>
      </w:r>
      <w:r>
        <w:t xml:space="preserve">è </w:t>
      </w:r>
      <w:r w:rsidR="007354A8">
        <w:t xml:space="preserve">possibile </w:t>
      </w:r>
      <w:r>
        <w:t>metter</w:t>
      </w:r>
      <w:r w:rsidR="007354A8">
        <w:t>l</w:t>
      </w:r>
      <w:r w:rsidR="00D83600">
        <w:t>e</w:t>
      </w:r>
      <w:r w:rsidR="007354A8">
        <w:t xml:space="preserve"> </w:t>
      </w:r>
      <w:r w:rsidR="006460D1">
        <w:t>a</w:t>
      </w:r>
      <w:r w:rsidR="007354A8">
        <w:t xml:space="preserve"> gar</w:t>
      </w:r>
      <w:r w:rsidR="006460D1">
        <w:t>a</w:t>
      </w:r>
      <w:r w:rsidR="0053099F">
        <w:t xml:space="preserve"> sin da subito</w:t>
      </w:r>
      <w:r w:rsidR="007354A8">
        <w:t xml:space="preserve">, </w:t>
      </w:r>
      <w:r w:rsidR="0053099F">
        <w:t xml:space="preserve">sia pur </w:t>
      </w:r>
      <w:r w:rsidR="00E65FE5">
        <w:t>prevedendo la</w:t>
      </w:r>
      <w:r w:rsidR="007354A8">
        <w:t xml:space="preserve"> </w:t>
      </w:r>
      <w:r>
        <w:t xml:space="preserve">decorrenza dei nuovi affidamenti a partire dal </w:t>
      </w:r>
      <w:r w:rsidR="007354A8">
        <w:t>1</w:t>
      </w:r>
      <w:r>
        <w:t>°</w:t>
      </w:r>
      <w:r w:rsidR="007354A8">
        <w:t xml:space="preserve"> </w:t>
      </w:r>
      <w:r>
        <w:t xml:space="preserve">gennaio </w:t>
      </w:r>
      <w:r w:rsidR="007354A8">
        <w:t>202</w:t>
      </w:r>
      <w:r>
        <w:t>4</w:t>
      </w:r>
      <w:r w:rsidR="007354A8">
        <w:t>.</w:t>
      </w:r>
    </w:p>
    <w:p w:rsidR="009579AE" w:rsidRDefault="00B73904" w:rsidP="005A6DE5">
      <w:pPr>
        <w:ind w:left="284" w:right="282"/>
        <w:jc w:val="both"/>
      </w:pPr>
      <w:r>
        <w:t>Ciò in quanto</w:t>
      </w:r>
      <w:r w:rsidR="009579AE">
        <w:t>:</w:t>
      </w:r>
      <w:r w:rsidR="00E65FE5">
        <w:t xml:space="preserve"> </w:t>
      </w:r>
      <w:r w:rsidR="009579AE">
        <w:t xml:space="preserve">a) </w:t>
      </w:r>
      <w:r w:rsidR="00E65FE5">
        <w:t xml:space="preserve">gli atti di proroga </w:t>
      </w:r>
      <w:r>
        <w:t xml:space="preserve">automatici </w:t>
      </w:r>
      <w:r w:rsidR="00A96D78">
        <w:t>van</w:t>
      </w:r>
      <w:r w:rsidR="00E65FE5">
        <w:t>no disapplica</w:t>
      </w:r>
      <w:r w:rsidR="00A96D78">
        <w:t>ti;</w:t>
      </w:r>
      <w:r>
        <w:t xml:space="preserve"> </w:t>
      </w:r>
      <w:r w:rsidR="009579AE">
        <w:t>b)</w:t>
      </w:r>
      <w:r>
        <w:t xml:space="preserve"> lo stesso dicasi</w:t>
      </w:r>
      <w:r w:rsidR="00E65FE5">
        <w:t xml:space="preserve"> </w:t>
      </w:r>
      <w:r w:rsidR="00E65FE5" w:rsidRPr="00E65FE5">
        <w:t>per gli affidamenti</w:t>
      </w:r>
      <w:r w:rsidR="00752E67">
        <w:t>,</w:t>
      </w:r>
      <w:r w:rsidR="00A96D78">
        <w:t xml:space="preserve"> anche</w:t>
      </w:r>
      <w:r w:rsidR="00E65FE5" w:rsidRPr="00E65FE5">
        <w:t xml:space="preserve"> </w:t>
      </w:r>
      <w:r w:rsidRPr="00E65FE5">
        <w:t>competitivi</w:t>
      </w:r>
      <w:r w:rsidR="00752E67">
        <w:t>,</w:t>
      </w:r>
      <w:r w:rsidRPr="00E65FE5">
        <w:t xml:space="preserve"> </w:t>
      </w:r>
      <w:r w:rsidR="00A96D78">
        <w:t>effettuati sulla base di leggi</w:t>
      </w:r>
      <w:r w:rsidR="009579AE">
        <w:t xml:space="preserve"> come l’art. 37 cod. </w:t>
      </w:r>
      <w:proofErr w:type="spellStart"/>
      <w:r w:rsidR="009579AE">
        <w:t>nav</w:t>
      </w:r>
      <w:proofErr w:type="spellEnd"/>
      <w:r w:rsidR="009579AE">
        <w:t>.,</w:t>
      </w:r>
      <w:r w:rsidR="00A96D78">
        <w:t xml:space="preserve"> che </w:t>
      </w:r>
      <w:r w:rsidR="00752E67">
        <w:t>escludono</w:t>
      </w:r>
      <w:r w:rsidR="00A96D78">
        <w:t xml:space="preserve"> </w:t>
      </w:r>
      <w:r w:rsidR="00E65FE5" w:rsidRPr="00E65FE5">
        <w:t>una gara conforme ai princìpi europei</w:t>
      </w:r>
      <w:r w:rsidR="00A96D78">
        <w:rPr>
          <w:rStyle w:val="Rimandonotaapidipagina"/>
        </w:rPr>
        <w:footnoteReference w:id="8"/>
      </w:r>
      <w:r w:rsidR="009579AE">
        <w:t xml:space="preserve">; c) </w:t>
      </w:r>
      <w:r w:rsidR="009579AE" w:rsidRPr="009579AE">
        <w:t>l</w:t>
      </w:r>
      <w:r w:rsidR="009579AE">
        <w:t>e</w:t>
      </w:r>
      <w:r w:rsidR="009579AE" w:rsidRPr="009579AE">
        <w:t xml:space="preserve"> concession</w:t>
      </w:r>
      <w:r w:rsidR="009579AE">
        <w:t>i</w:t>
      </w:r>
      <w:r w:rsidR="009579AE" w:rsidRPr="009579AE">
        <w:t xml:space="preserve"> </w:t>
      </w:r>
      <w:r w:rsidR="009579AE">
        <w:t>rilasciate</w:t>
      </w:r>
      <w:r w:rsidR="009579AE" w:rsidRPr="009579AE">
        <w:t xml:space="preserve"> </w:t>
      </w:r>
      <w:r w:rsidR="009579AE">
        <w:t xml:space="preserve">prima </w:t>
      </w:r>
      <w:r w:rsidR="009579AE" w:rsidRPr="009579AE">
        <w:t>d</w:t>
      </w:r>
      <w:r w:rsidR="009579AE">
        <w:t>e</w:t>
      </w:r>
      <w:r w:rsidR="009579AE" w:rsidRPr="009579AE">
        <w:t>ll</w:t>
      </w:r>
      <w:r w:rsidR="009579AE">
        <w:t>’entrata in vigore dell’</w:t>
      </w:r>
      <w:r w:rsidR="009579AE" w:rsidRPr="009579AE">
        <w:t xml:space="preserve">art. 1, comma 18, </w:t>
      </w:r>
      <w:proofErr w:type="spellStart"/>
      <w:r w:rsidR="009579AE" w:rsidRPr="009579AE">
        <w:t>d.l.</w:t>
      </w:r>
      <w:proofErr w:type="spellEnd"/>
      <w:r w:rsidR="009579AE" w:rsidRPr="009579AE">
        <w:t xml:space="preserve"> 30 dicembre 2009, n. 194</w:t>
      </w:r>
      <w:r w:rsidR="000D1DA4">
        <w:t>,</w:t>
      </w:r>
      <w:r w:rsidR="009579AE">
        <w:t xml:space="preserve"> </w:t>
      </w:r>
      <w:r w:rsidR="009579AE" w:rsidRPr="009579AE">
        <w:t xml:space="preserve">non </w:t>
      </w:r>
      <w:r w:rsidR="000D1DA4">
        <w:t>es</w:t>
      </w:r>
      <w:r w:rsidR="009579AE">
        <w:t>s</w:t>
      </w:r>
      <w:r w:rsidR="000D1DA4">
        <w:t>end</w:t>
      </w:r>
      <w:r w:rsidR="009579AE">
        <w:t xml:space="preserve">o soggette </w:t>
      </w:r>
      <w:r w:rsidR="00152304">
        <w:t>a</w:t>
      </w:r>
      <w:r w:rsidR="009579AE">
        <w:t xml:space="preserve"> </w:t>
      </w:r>
      <w:r w:rsidR="009579AE" w:rsidRPr="009579AE">
        <w:t>proroga</w:t>
      </w:r>
      <w:r w:rsidR="00152304">
        <w:t xml:space="preserve"> legale</w:t>
      </w:r>
      <w:r w:rsidR="000D1DA4">
        <w:t>, non godono del termine di grazia del 31 dicembre 2023</w:t>
      </w:r>
      <w:r w:rsidR="009579AE">
        <w:rPr>
          <w:rStyle w:val="Rimandonotaapidipagina"/>
        </w:rPr>
        <w:footnoteReference w:id="9"/>
      </w:r>
      <w:r w:rsidR="009579AE">
        <w:t>.</w:t>
      </w:r>
    </w:p>
    <w:p w:rsidR="00397556" w:rsidRDefault="00915D52" w:rsidP="005A6DE5">
      <w:pPr>
        <w:ind w:left="284" w:right="282"/>
        <w:jc w:val="both"/>
      </w:pPr>
      <w:r>
        <w:t xml:space="preserve">In questo caso, la domanda è: </w:t>
      </w:r>
      <w:r w:rsidR="00E21C62">
        <w:t>ladd</w:t>
      </w:r>
      <w:r>
        <w:t xml:space="preserve">ove la mappatura </w:t>
      </w:r>
      <w:r w:rsidR="00C1698C">
        <w:t>acclara</w:t>
      </w:r>
      <w:r>
        <w:t>sse l’attuale</w:t>
      </w:r>
      <w:r w:rsidR="00C1698C">
        <w:t xml:space="preserve"> disponibilità giuridica di una quota significativa del </w:t>
      </w:r>
      <w:r w:rsidR="00397556">
        <w:t xml:space="preserve">5.400 </w:t>
      </w:r>
      <w:r w:rsidR="00C1698C">
        <w:t>chilometri di costa</w:t>
      </w:r>
      <w:r w:rsidR="00397556">
        <w:t xml:space="preserve"> balneabil</w:t>
      </w:r>
      <w:r w:rsidR="00C1698C">
        <w:t>e</w:t>
      </w:r>
      <w:r w:rsidR="00397556">
        <w:rPr>
          <w:rStyle w:val="Rimandonotaapidipagina"/>
        </w:rPr>
        <w:footnoteReference w:id="10"/>
      </w:r>
      <w:r>
        <w:t>,</w:t>
      </w:r>
      <w:r w:rsidR="00397556">
        <w:t xml:space="preserve"> </w:t>
      </w:r>
      <w:r>
        <w:t>la risorsa</w:t>
      </w:r>
      <w:r w:rsidRPr="00F62AC2">
        <w:t xml:space="preserve"> </w:t>
      </w:r>
      <w:r>
        <w:t>naturale pot</w:t>
      </w:r>
      <w:r w:rsidR="00C1698C">
        <w:t xml:space="preserve">rà </w:t>
      </w:r>
      <w:r w:rsidR="00397556">
        <w:t>an</w:t>
      </w:r>
      <w:r w:rsidR="00C1698C">
        <w:t>c</w:t>
      </w:r>
      <w:r w:rsidR="00397556">
        <w:t>o</w:t>
      </w:r>
      <w:r w:rsidR="00C1698C">
        <w:t>ra</w:t>
      </w:r>
      <w:r w:rsidR="00397556">
        <w:t xml:space="preserve"> </w:t>
      </w:r>
      <w:r w:rsidR="00D12EB2">
        <w:t xml:space="preserve">essere qualificata </w:t>
      </w:r>
      <w:r>
        <w:t xml:space="preserve">come </w:t>
      </w:r>
      <w:r w:rsidR="00C1698C">
        <w:t>scarsa,</w:t>
      </w:r>
      <w:r w:rsidR="00397556">
        <w:t xml:space="preserve"> specie </w:t>
      </w:r>
      <w:r>
        <w:t>in</w:t>
      </w:r>
      <w:r w:rsidR="00397556">
        <w:t xml:space="preserve"> rapport</w:t>
      </w:r>
      <w:r>
        <w:t>o</w:t>
      </w:r>
      <w:r w:rsidR="00397556">
        <w:t xml:space="preserve"> all’infinitamente inferiore numero di chilometri </w:t>
      </w:r>
      <w:r w:rsidR="00C1698C">
        <w:t>balneabili</w:t>
      </w:r>
      <w:r w:rsidR="00397556">
        <w:t xml:space="preserve"> </w:t>
      </w:r>
      <w:r w:rsidR="00C1698C">
        <w:t>d</w:t>
      </w:r>
      <w:r w:rsidR="00397556">
        <w:t xml:space="preserve">egli altri Paesi europei, specie </w:t>
      </w:r>
      <w:r w:rsidR="00C1698C">
        <w:t xml:space="preserve">di </w:t>
      </w:r>
      <w:r w:rsidR="00397556">
        <w:t>quelli nordici?</w:t>
      </w:r>
    </w:p>
    <w:p w:rsidR="004144DA" w:rsidRDefault="004144DA" w:rsidP="005A6DE5">
      <w:pPr>
        <w:ind w:left="284" w:right="282"/>
        <w:jc w:val="both"/>
      </w:pPr>
    </w:p>
    <w:p w:rsidR="00C1698C" w:rsidRPr="00C1698C" w:rsidRDefault="00C1698C" w:rsidP="005A6DE5">
      <w:pPr>
        <w:numPr>
          <w:ilvl w:val="0"/>
          <w:numId w:val="2"/>
        </w:numPr>
        <w:ind w:left="284" w:right="282" w:firstLine="0"/>
        <w:jc w:val="both"/>
        <w:rPr>
          <w:b/>
        </w:rPr>
      </w:pPr>
      <w:r w:rsidRPr="00C1698C">
        <w:rPr>
          <w:b/>
        </w:rPr>
        <w:t>Modelli di gestione ulteriori rispetto alla gara.</w:t>
      </w:r>
    </w:p>
    <w:p w:rsidR="00B50796" w:rsidRDefault="00E21C62" w:rsidP="005A6DE5">
      <w:pPr>
        <w:ind w:left="284" w:right="282"/>
        <w:jc w:val="both"/>
      </w:pPr>
      <w:r>
        <w:t>S</w:t>
      </w:r>
      <w:r w:rsidR="002F26E4">
        <w:t>e</w:t>
      </w:r>
      <w:r w:rsidR="00B50796">
        <w:t xml:space="preserve"> </w:t>
      </w:r>
      <w:r w:rsidR="008A08EC">
        <w:t>a seguito</w:t>
      </w:r>
      <w:r w:rsidR="00B50796">
        <w:t xml:space="preserve"> d</w:t>
      </w:r>
      <w:r w:rsidR="005535EE">
        <w:t>i</w:t>
      </w:r>
      <w:r w:rsidR="00B50796">
        <w:t xml:space="preserve"> sopravvenienze </w:t>
      </w:r>
      <w:r w:rsidR="002F26E4">
        <w:t>fattuali</w:t>
      </w:r>
      <w:r w:rsidR="002F26E4">
        <w:rPr>
          <w:rStyle w:val="Rimandonotaapidipagina"/>
        </w:rPr>
        <w:footnoteReference w:id="11"/>
      </w:r>
      <w:r w:rsidR="002F26E4">
        <w:t xml:space="preserve"> </w:t>
      </w:r>
      <w:r w:rsidR="00B50796">
        <w:t xml:space="preserve">si </w:t>
      </w:r>
      <w:r w:rsidR="008401F2">
        <w:t>stabili</w:t>
      </w:r>
      <w:r>
        <w:t>ss</w:t>
      </w:r>
      <w:r w:rsidR="00B50796">
        <w:t>e</w:t>
      </w:r>
      <w:r w:rsidR="008401F2">
        <w:t xml:space="preserve"> che </w:t>
      </w:r>
      <w:r w:rsidR="00B50796">
        <w:t>la risorsa non è</w:t>
      </w:r>
      <w:r w:rsidR="005535EE">
        <w:t xml:space="preserve"> </w:t>
      </w:r>
      <w:r w:rsidR="00714522">
        <w:t xml:space="preserve">sempre </w:t>
      </w:r>
      <w:r w:rsidR="00B50796">
        <w:t xml:space="preserve">scarsa e che </w:t>
      </w:r>
      <w:r w:rsidR="008401F2">
        <w:t xml:space="preserve">l’interesse transfrontaliero </w:t>
      </w:r>
      <w:r w:rsidR="00B50796">
        <w:t xml:space="preserve">non è sempre </w:t>
      </w:r>
      <w:r w:rsidR="008401F2">
        <w:t>certo,</w:t>
      </w:r>
      <w:r w:rsidR="008401F2" w:rsidRPr="008401F2">
        <w:t xml:space="preserve"> </w:t>
      </w:r>
      <w:r w:rsidR="0053099F">
        <w:t>va</w:t>
      </w:r>
      <w:r w:rsidR="00B50796">
        <w:t xml:space="preserve"> </w:t>
      </w:r>
      <w:r w:rsidR="00796F7F">
        <w:t>compres</w:t>
      </w:r>
      <w:r w:rsidR="0053099F">
        <w:t>o</w:t>
      </w:r>
      <w:r w:rsidR="00B50796">
        <w:t xml:space="preserve"> se </w:t>
      </w:r>
      <w:r w:rsidR="002F26E4">
        <w:t>il legislatore possa utilizzare</w:t>
      </w:r>
      <w:r w:rsidR="00B50796">
        <w:t xml:space="preserve"> modelli di gestione diversi rispetto al</w:t>
      </w:r>
      <w:r w:rsidR="008401F2">
        <w:t>la gara</w:t>
      </w:r>
      <w:r w:rsidR="00B50796">
        <w:t xml:space="preserve"> di cui al</w:t>
      </w:r>
      <w:r w:rsidR="00B50796" w:rsidRPr="00C41656">
        <w:t>l’art. 12 della direttiva 2006/123/CE</w:t>
      </w:r>
      <w:r w:rsidR="00B50796">
        <w:t>.</w:t>
      </w:r>
    </w:p>
    <w:p w:rsidR="00B50796" w:rsidRDefault="00AF5275" w:rsidP="005A6DE5">
      <w:pPr>
        <w:ind w:left="284" w:right="282"/>
        <w:jc w:val="both"/>
      </w:pPr>
      <w:r>
        <w:t xml:space="preserve">Certamente, </w:t>
      </w:r>
      <w:r w:rsidR="008A08EC">
        <w:t xml:space="preserve">e </w:t>
      </w:r>
      <w:r>
        <w:t>sgomb</w:t>
      </w:r>
      <w:r w:rsidR="005535EE">
        <w:t xml:space="preserve">rando il campo da facili conclusioni, occorre precisare a viva voce che </w:t>
      </w:r>
      <w:r w:rsidR="00796F7F">
        <w:t>il</w:t>
      </w:r>
      <w:r w:rsidR="005535EE">
        <w:t xml:space="preserve"> modello alternativo non può essere rappresentato</w:t>
      </w:r>
      <w:r w:rsidR="00465060">
        <w:t xml:space="preserve"> da</w:t>
      </w:r>
      <w:r w:rsidR="0053099F">
        <w:t>l</w:t>
      </w:r>
      <w:r w:rsidR="00465060">
        <w:t xml:space="preserve"> sistem</w:t>
      </w:r>
      <w:r w:rsidR="0053099F">
        <w:t>a</w:t>
      </w:r>
      <w:r w:rsidR="008A08EC">
        <w:t>,</w:t>
      </w:r>
      <w:r w:rsidR="005535EE">
        <w:t xml:space="preserve"> </w:t>
      </w:r>
      <w:r w:rsidR="00465060">
        <w:t>non trasparent</w:t>
      </w:r>
      <w:r w:rsidR="0053099F">
        <w:t>e</w:t>
      </w:r>
      <w:r w:rsidR="008A08EC">
        <w:t>,</w:t>
      </w:r>
      <w:r w:rsidR="00465060">
        <w:t xml:space="preserve"> </w:t>
      </w:r>
      <w:r w:rsidR="0053099F">
        <w:t>dell’affidamento diretto</w:t>
      </w:r>
      <w:r w:rsidR="00E21C62">
        <w:t xml:space="preserve"> o</w:t>
      </w:r>
      <w:r w:rsidR="00CA472A">
        <w:t xml:space="preserve"> </w:t>
      </w:r>
      <w:r w:rsidR="00E21C62">
        <w:t>d</w:t>
      </w:r>
      <w:r w:rsidR="00CA472A">
        <w:t>ell</w:t>
      </w:r>
      <w:r w:rsidR="00E21C62">
        <w:t xml:space="preserve">a </w:t>
      </w:r>
      <w:r w:rsidR="005535EE">
        <w:t>proroga</w:t>
      </w:r>
      <w:r w:rsidR="00CA472A">
        <w:t xml:space="preserve"> automatica</w:t>
      </w:r>
      <w:r w:rsidR="005535EE">
        <w:t>.</w:t>
      </w:r>
    </w:p>
    <w:p w:rsidR="005535EE" w:rsidRDefault="005535EE" w:rsidP="005A6DE5">
      <w:pPr>
        <w:ind w:left="284" w:right="282"/>
        <w:jc w:val="both"/>
      </w:pPr>
      <w:r>
        <w:t xml:space="preserve">E’ la sentenza </w:t>
      </w:r>
      <w:proofErr w:type="spellStart"/>
      <w:r w:rsidRPr="0051064F">
        <w:rPr>
          <w:i/>
        </w:rPr>
        <w:t>Promoimpresa</w:t>
      </w:r>
      <w:proofErr w:type="spellEnd"/>
      <w:r>
        <w:t xml:space="preserve"> ad escluderlo, laddove afferma che </w:t>
      </w:r>
      <w:r w:rsidRPr="005535EE">
        <w:t>“</w:t>
      </w:r>
      <w:r w:rsidR="00D404B6">
        <w:t xml:space="preserve">le autorità pubbliche, qualora </w:t>
      </w:r>
      <w:r w:rsidRPr="005535EE">
        <w:t>intendano assegnare una concessione che non rientra nell’ambito di applicazione delle direttive relative alle diverse categorie di appalti pubblici, sono tenute a rispettare le regole fondamentali del TFUE, in generale, e il principio di non discriminazione, in particolare”.</w:t>
      </w:r>
    </w:p>
    <w:p w:rsidR="00D404B6" w:rsidRDefault="00D404B6" w:rsidP="005A6DE5">
      <w:pPr>
        <w:ind w:left="284" w:right="282"/>
        <w:jc w:val="both"/>
      </w:pPr>
      <w:r>
        <w:t>Ciò non toglie, però, che per le piccole concessioni po</w:t>
      </w:r>
      <w:r w:rsidR="00CA472A">
        <w:t>trebbe</w:t>
      </w:r>
      <w:r>
        <w:t xml:space="preserve"> rimanere in vita il modello competitivo di cui all’art. 37 cod. </w:t>
      </w:r>
      <w:proofErr w:type="spellStart"/>
      <w:r>
        <w:t>nav</w:t>
      </w:r>
      <w:proofErr w:type="spellEnd"/>
      <w:r>
        <w:t>., in tema di “c</w:t>
      </w:r>
      <w:r w:rsidRPr="00D404B6">
        <w:t>oncorso di più domande di concessione</w:t>
      </w:r>
      <w:r>
        <w:t>”, fondato sulla preferenza</w:t>
      </w:r>
      <w:r w:rsidR="0053099F" w:rsidRPr="0053099F">
        <w:t xml:space="preserve"> </w:t>
      </w:r>
      <w:r w:rsidR="0053099F">
        <w:t>per chi</w:t>
      </w:r>
      <w:r>
        <w:t xml:space="preserve">, tra i vari richiedenti, offra la più proficua utilizzazione ed il </w:t>
      </w:r>
      <w:r w:rsidRPr="00D404B6">
        <w:t xml:space="preserve">più rilevante interesse pubblico </w:t>
      </w:r>
      <w:r>
        <w:t>del</w:t>
      </w:r>
      <w:r w:rsidR="0053099F">
        <w:t xml:space="preserve"> bene</w:t>
      </w:r>
      <w:r>
        <w:t xml:space="preserve">, ovvero l’utilizzo di </w:t>
      </w:r>
      <w:r w:rsidRPr="00D404B6">
        <w:t>attrezzature non fisse e completamente amovibili</w:t>
      </w:r>
      <w:r>
        <w:t xml:space="preserve"> a garanzia della tutela dell’ambiente, </w:t>
      </w:r>
      <w:r w:rsidR="00D23826">
        <w:t xml:space="preserve">fatta </w:t>
      </w:r>
      <w:r>
        <w:t xml:space="preserve">salva la possibilità di </w:t>
      </w:r>
      <w:r w:rsidRPr="00D404B6">
        <w:t>procede</w:t>
      </w:r>
      <w:r>
        <w:t>re</w:t>
      </w:r>
      <w:r w:rsidRPr="00D404B6">
        <w:t xml:space="preserve"> a licitazione privata</w:t>
      </w:r>
      <w:r>
        <w:t>, q</w:t>
      </w:r>
      <w:r w:rsidRPr="00D404B6">
        <w:t xml:space="preserve">ualora le </w:t>
      </w:r>
      <w:r>
        <w:t xml:space="preserve">anzidette </w:t>
      </w:r>
      <w:r w:rsidRPr="00D404B6">
        <w:t>ragioni di preferenza non ricorrano.</w:t>
      </w:r>
    </w:p>
    <w:p w:rsidR="00721771" w:rsidRDefault="00656008" w:rsidP="005A6DE5">
      <w:pPr>
        <w:ind w:left="284" w:right="282"/>
        <w:jc w:val="both"/>
      </w:pPr>
      <w:r>
        <w:t>Ben potrebbero essere ammesse,</w:t>
      </w:r>
      <w:r w:rsidR="008401F2">
        <w:t xml:space="preserve"> </w:t>
      </w:r>
      <w:r>
        <w:t>inol</w:t>
      </w:r>
      <w:r w:rsidR="008401F2">
        <w:t>tre</w:t>
      </w:r>
      <w:r>
        <w:t>,</w:t>
      </w:r>
      <w:r w:rsidR="00721771">
        <w:t xml:space="preserve"> </w:t>
      </w:r>
      <w:r w:rsidR="00D63753">
        <w:t xml:space="preserve">forme di </w:t>
      </w:r>
      <w:r w:rsidR="008401F2">
        <w:t>gestione</w:t>
      </w:r>
      <w:r w:rsidRPr="00656008">
        <w:t xml:space="preserve"> </w:t>
      </w:r>
      <w:r>
        <w:t>non confliggenti con le regole europee di tutela del mercato</w:t>
      </w:r>
      <w:r w:rsidR="00D63753">
        <w:t xml:space="preserve">, come la società mista, la società </w:t>
      </w:r>
      <w:r w:rsidR="00D63753" w:rsidRPr="008401F2">
        <w:rPr>
          <w:i/>
        </w:rPr>
        <w:t>in house</w:t>
      </w:r>
      <w:r w:rsidR="00D63753">
        <w:t>, il partenariato pubblico-privato, il progetto di finanza</w:t>
      </w:r>
      <w:r w:rsidR="0087649D">
        <w:t xml:space="preserve">, </w:t>
      </w:r>
      <w:r w:rsidR="00322D55">
        <w:t>l’accordo di programma</w:t>
      </w:r>
      <w:r>
        <w:t>.</w:t>
      </w:r>
    </w:p>
    <w:p w:rsidR="00A26BF1" w:rsidRDefault="004B3F0C" w:rsidP="005A6DE5">
      <w:pPr>
        <w:ind w:left="284" w:right="282"/>
        <w:jc w:val="both"/>
      </w:pPr>
      <w:r>
        <w:t>I</w:t>
      </w:r>
      <w:r w:rsidR="0087649D">
        <w:t xml:space="preserve">nfine, </w:t>
      </w:r>
      <w:r w:rsidR="008401F2">
        <w:t>ov</w:t>
      </w:r>
      <w:r w:rsidR="0087649D">
        <w:t>e si dimostr</w:t>
      </w:r>
      <w:r w:rsidR="008401F2">
        <w:t>i</w:t>
      </w:r>
      <w:r w:rsidR="0087649D">
        <w:t xml:space="preserve"> che la gara non </w:t>
      </w:r>
      <w:r w:rsidR="006460D1">
        <w:t>sia</w:t>
      </w:r>
      <w:r w:rsidR="0087649D">
        <w:t xml:space="preserve"> l’unico sbocco</w:t>
      </w:r>
      <w:r>
        <w:t xml:space="preserve"> utile e che</w:t>
      </w:r>
      <w:r w:rsidR="00D23826">
        <w:t>, quindi,</w:t>
      </w:r>
      <w:r>
        <w:t xml:space="preserve"> la tutela della concorrenza non costituisca l’unico àmbito di produzione normativa</w:t>
      </w:r>
      <w:r w:rsidRPr="004B3F0C">
        <w:t xml:space="preserve"> </w:t>
      </w:r>
      <w:r>
        <w:t>possibile</w:t>
      </w:r>
      <w:r w:rsidR="00A26BF1">
        <w:t>,</w:t>
      </w:r>
      <w:r w:rsidR="0087649D">
        <w:t xml:space="preserve"> </w:t>
      </w:r>
      <w:r>
        <w:t xml:space="preserve">si aprirebbe </w:t>
      </w:r>
      <w:r w:rsidR="0087649D">
        <w:t xml:space="preserve">uno spazio di manovra </w:t>
      </w:r>
      <w:r w:rsidR="006460D1">
        <w:t>p</w:t>
      </w:r>
      <w:r w:rsidR="0087649D">
        <w:t>e</w:t>
      </w:r>
      <w:r w:rsidR="006460D1">
        <w:t>r i</w:t>
      </w:r>
      <w:r>
        <w:t>l legislatore regionale</w:t>
      </w:r>
      <w:r w:rsidR="00D23826">
        <w:t>,</w:t>
      </w:r>
      <w:r w:rsidR="0087649D">
        <w:t xml:space="preserve"> all’interno delle materie</w:t>
      </w:r>
      <w:r>
        <w:t xml:space="preserve">, di competenza legislativa concorrente, </w:t>
      </w:r>
      <w:r w:rsidR="0087649D">
        <w:t xml:space="preserve">della valorizzazione dei beni </w:t>
      </w:r>
      <w:r w:rsidR="008612FA" w:rsidRPr="008612FA">
        <w:t>ambientali</w:t>
      </w:r>
      <w:r w:rsidR="008612FA">
        <w:t xml:space="preserve"> e del</w:t>
      </w:r>
      <w:r w:rsidR="0087649D">
        <w:t xml:space="preserve"> governo del territorio</w:t>
      </w:r>
      <w:r w:rsidR="008612FA">
        <w:t xml:space="preserve">, </w:t>
      </w:r>
      <w:r>
        <w:t>rispetto</w:t>
      </w:r>
      <w:r w:rsidR="008401F2">
        <w:t xml:space="preserve"> </w:t>
      </w:r>
      <w:r>
        <w:t>al</w:t>
      </w:r>
      <w:r w:rsidR="008401F2">
        <w:t>le quali</w:t>
      </w:r>
      <w:r w:rsidR="008612FA">
        <w:t xml:space="preserve"> “sp</w:t>
      </w:r>
      <w:r w:rsidR="008612FA" w:rsidRPr="008612FA">
        <w:t>etta alle Regioni la potestà legislativa, salvo che per la determinazione dei princìpi fondamentali, riservata alla legislazione dello Stato</w:t>
      </w:r>
      <w:r>
        <w:t>”.</w:t>
      </w:r>
    </w:p>
    <w:p w:rsidR="00780243" w:rsidRPr="008910A3" w:rsidRDefault="00780243" w:rsidP="008910A3">
      <w:pPr>
        <w:ind w:left="284" w:right="282"/>
        <w:jc w:val="right"/>
        <w:rPr>
          <w:b/>
          <w:sz w:val="32"/>
          <w:szCs w:val="32"/>
        </w:rPr>
      </w:pPr>
      <w:bookmarkStart w:id="0" w:name="_GoBack"/>
      <w:bookmarkEnd w:id="0"/>
      <w:r w:rsidRPr="008910A3">
        <w:rPr>
          <w:b/>
          <w:sz w:val="32"/>
          <w:szCs w:val="32"/>
        </w:rPr>
        <w:t xml:space="preserve">Nicola Durante </w:t>
      </w:r>
    </w:p>
    <w:p w:rsidR="00780243" w:rsidRDefault="00780243" w:rsidP="008910A3">
      <w:pPr>
        <w:ind w:left="284" w:right="282"/>
        <w:jc w:val="right"/>
      </w:pPr>
      <w:r w:rsidRPr="00C41656">
        <w:t>Presidente Sez. TAR Salerno</w:t>
      </w:r>
    </w:p>
    <w:p w:rsidR="008910A3" w:rsidRDefault="008910A3" w:rsidP="008910A3">
      <w:pPr>
        <w:ind w:left="284" w:right="282"/>
        <w:jc w:val="right"/>
      </w:pPr>
      <w:r>
        <w:t>Pubblicato il 26 aprile</w:t>
      </w:r>
    </w:p>
    <w:sectPr w:rsidR="008910A3" w:rsidSect="00D95729">
      <w:footerReference w:type="default" r:id="rId8"/>
      <w:pgSz w:w="11906" w:h="16838"/>
      <w:pgMar w:top="1701"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C72" w:rsidRDefault="00764C72" w:rsidP="0035060D">
      <w:pPr>
        <w:spacing w:after="0" w:line="240" w:lineRule="auto"/>
      </w:pPr>
      <w:r>
        <w:separator/>
      </w:r>
    </w:p>
  </w:endnote>
  <w:endnote w:type="continuationSeparator" w:id="0">
    <w:p w:rsidR="00764C72" w:rsidRDefault="00764C72" w:rsidP="0035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518386"/>
      <w:docPartObj>
        <w:docPartGallery w:val="Page Numbers (Bottom of Page)"/>
        <w:docPartUnique/>
      </w:docPartObj>
    </w:sdtPr>
    <w:sdtEndPr>
      <w:rPr>
        <w:sz w:val="16"/>
        <w:szCs w:val="16"/>
      </w:rPr>
    </w:sdtEndPr>
    <w:sdtContent>
      <w:p w:rsidR="0053099F" w:rsidRPr="0053577D" w:rsidRDefault="0053099F">
        <w:pPr>
          <w:pStyle w:val="Pidipagina"/>
          <w:jc w:val="center"/>
          <w:rPr>
            <w:sz w:val="16"/>
            <w:szCs w:val="16"/>
          </w:rPr>
        </w:pPr>
        <w:r w:rsidRPr="0053577D">
          <w:rPr>
            <w:sz w:val="16"/>
            <w:szCs w:val="16"/>
          </w:rPr>
          <w:fldChar w:fldCharType="begin"/>
        </w:r>
        <w:r w:rsidRPr="0053577D">
          <w:rPr>
            <w:sz w:val="16"/>
            <w:szCs w:val="16"/>
          </w:rPr>
          <w:instrText>PAGE   \* MERGEFORMAT</w:instrText>
        </w:r>
        <w:r w:rsidRPr="0053577D">
          <w:rPr>
            <w:sz w:val="16"/>
            <w:szCs w:val="16"/>
          </w:rPr>
          <w:fldChar w:fldCharType="separate"/>
        </w:r>
        <w:r w:rsidR="008910A3">
          <w:rPr>
            <w:noProof/>
            <w:sz w:val="16"/>
            <w:szCs w:val="16"/>
          </w:rPr>
          <w:t>5</w:t>
        </w:r>
        <w:r w:rsidRPr="0053577D">
          <w:rPr>
            <w:sz w:val="16"/>
            <w:szCs w:val="16"/>
          </w:rPr>
          <w:fldChar w:fldCharType="end"/>
        </w:r>
      </w:p>
    </w:sdtContent>
  </w:sdt>
  <w:p w:rsidR="0053099F" w:rsidRDefault="005309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C72" w:rsidRDefault="00764C72" w:rsidP="0035060D">
      <w:pPr>
        <w:spacing w:after="0" w:line="240" w:lineRule="auto"/>
      </w:pPr>
      <w:r>
        <w:separator/>
      </w:r>
    </w:p>
  </w:footnote>
  <w:footnote w:type="continuationSeparator" w:id="0">
    <w:p w:rsidR="00764C72" w:rsidRDefault="00764C72" w:rsidP="0035060D">
      <w:pPr>
        <w:spacing w:after="0" w:line="240" w:lineRule="auto"/>
      </w:pPr>
      <w:r>
        <w:continuationSeparator/>
      </w:r>
    </w:p>
  </w:footnote>
  <w:footnote w:id="1">
    <w:p w:rsidR="0053099F" w:rsidRPr="00DD3F8A" w:rsidRDefault="0053099F" w:rsidP="00254849">
      <w:pPr>
        <w:pStyle w:val="Testonotaapidipagina"/>
        <w:ind w:left="284" w:right="282"/>
        <w:jc w:val="both"/>
        <w:rPr>
          <w:sz w:val="18"/>
          <w:szCs w:val="18"/>
        </w:rPr>
      </w:pPr>
      <w:r w:rsidRPr="00DD3F8A">
        <w:rPr>
          <w:rStyle w:val="Rimandonotaapidipagina"/>
          <w:sz w:val="18"/>
          <w:szCs w:val="18"/>
        </w:rPr>
        <w:footnoteRef/>
      </w:r>
      <w:r w:rsidRPr="00DD3F8A">
        <w:rPr>
          <w:sz w:val="18"/>
          <w:szCs w:val="18"/>
        </w:rPr>
        <w:t xml:space="preserve"> Cons. Stato, Ad. </w:t>
      </w:r>
      <w:proofErr w:type="spellStart"/>
      <w:r w:rsidRPr="00DD3F8A">
        <w:rPr>
          <w:sz w:val="18"/>
          <w:szCs w:val="18"/>
        </w:rPr>
        <w:t>plen</w:t>
      </w:r>
      <w:proofErr w:type="spellEnd"/>
      <w:r w:rsidRPr="00DD3F8A">
        <w:rPr>
          <w:sz w:val="18"/>
          <w:szCs w:val="18"/>
        </w:rPr>
        <w:t xml:space="preserve">., </w:t>
      </w:r>
      <w:r>
        <w:rPr>
          <w:sz w:val="18"/>
          <w:szCs w:val="18"/>
        </w:rPr>
        <w:t xml:space="preserve">9 novembre </w:t>
      </w:r>
      <w:r w:rsidRPr="00DD3F8A">
        <w:rPr>
          <w:sz w:val="18"/>
          <w:szCs w:val="18"/>
        </w:rPr>
        <w:t>2021</w:t>
      </w:r>
      <w:r>
        <w:rPr>
          <w:sz w:val="18"/>
          <w:szCs w:val="18"/>
        </w:rPr>
        <w:t>,</w:t>
      </w:r>
      <w:r w:rsidRPr="00DD3F8A">
        <w:rPr>
          <w:sz w:val="18"/>
          <w:szCs w:val="18"/>
        </w:rPr>
        <w:t xml:space="preserve"> n. 17 e n. 18</w:t>
      </w:r>
      <w:r>
        <w:rPr>
          <w:sz w:val="18"/>
          <w:szCs w:val="18"/>
        </w:rPr>
        <w:t>.</w:t>
      </w:r>
    </w:p>
  </w:footnote>
  <w:footnote w:id="2">
    <w:p w:rsidR="0053099F" w:rsidRPr="0026637F" w:rsidRDefault="0053099F" w:rsidP="00254849">
      <w:pPr>
        <w:pStyle w:val="Testonotaapidipagina"/>
        <w:ind w:left="284" w:right="282"/>
        <w:jc w:val="both"/>
        <w:rPr>
          <w:sz w:val="18"/>
          <w:szCs w:val="18"/>
        </w:rPr>
      </w:pPr>
      <w:r w:rsidRPr="0026637F">
        <w:rPr>
          <w:rStyle w:val="Rimandonotaapidipagina"/>
          <w:sz w:val="18"/>
          <w:szCs w:val="18"/>
        </w:rPr>
        <w:footnoteRef/>
      </w:r>
      <w:r w:rsidRPr="0026637F">
        <w:rPr>
          <w:sz w:val="18"/>
          <w:szCs w:val="18"/>
        </w:rPr>
        <w:t xml:space="preserve"> Avverso le due decisioni pende ricorso per cassazione per eccesso di potere giurisdizionale.</w:t>
      </w:r>
    </w:p>
  </w:footnote>
  <w:footnote w:id="3">
    <w:p w:rsidR="0053099F" w:rsidRPr="00780243" w:rsidRDefault="0053099F" w:rsidP="00254849">
      <w:pPr>
        <w:pStyle w:val="Testonotaapidipagina"/>
        <w:ind w:left="284" w:right="282"/>
        <w:jc w:val="both"/>
        <w:rPr>
          <w:sz w:val="18"/>
          <w:szCs w:val="18"/>
        </w:rPr>
      </w:pPr>
      <w:r w:rsidRPr="00FD1E9B">
        <w:rPr>
          <w:sz w:val="18"/>
          <w:szCs w:val="18"/>
          <w:vertAlign w:val="superscript"/>
        </w:rPr>
        <w:footnoteRef/>
      </w:r>
      <w:r w:rsidRPr="00FD1E9B">
        <w:rPr>
          <w:sz w:val="18"/>
          <w:szCs w:val="18"/>
        </w:rPr>
        <w:t xml:space="preserve"> </w:t>
      </w:r>
      <w:r w:rsidRPr="00780243">
        <w:rPr>
          <w:sz w:val="18"/>
          <w:szCs w:val="18"/>
        </w:rPr>
        <w:t xml:space="preserve">Per un primo commento alle </w:t>
      </w:r>
      <w:r>
        <w:rPr>
          <w:sz w:val="18"/>
          <w:szCs w:val="18"/>
        </w:rPr>
        <w:t xml:space="preserve">due </w:t>
      </w:r>
      <w:r w:rsidRPr="00780243">
        <w:rPr>
          <w:sz w:val="18"/>
          <w:szCs w:val="18"/>
        </w:rPr>
        <w:t xml:space="preserve">sentenze: </w:t>
      </w:r>
      <w:r>
        <w:rPr>
          <w:sz w:val="18"/>
          <w:szCs w:val="18"/>
        </w:rPr>
        <w:t>F.</w:t>
      </w:r>
      <w:r w:rsidRPr="00780243">
        <w:rPr>
          <w:sz w:val="18"/>
          <w:szCs w:val="18"/>
        </w:rPr>
        <w:t xml:space="preserve">P. BELLO, </w:t>
      </w:r>
      <w:r w:rsidRPr="00FD1E9B">
        <w:rPr>
          <w:i/>
          <w:sz w:val="18"/>
          <w:szCs w:val="18"/>
        </w:rPr>
        <w:t>Primissime considerazioni sulla “nuova” disciplina delle concessioni balneari nella lettura dell’Adunanza plenaria del Consiglio di Stato</w:t>
      </w:r>
      <w:r w:rsidRPr="00FD1E9B">
        <w:rPr>
          <w:sz w:val="18"/>
          <w:szCs w:val="18"/>
        </w:rPr>
        <w:t xml:space="preserve">, </w:t>
      </w:r>
      <w:r w:rsidRPr="00780243">
        <w:rPr>
          <w:sz w:val="18"/>
          <w:szCs w:val="18"/>
        </w:rPr>
        <w:t xml:space="preserve">in </w:t>
      </w:r>
      <w:r w:rsidRPr="00FD1E9B">
        <w:rPr>
          <w:i/>
          <w:sz w:val="18"/>
          <w:szCs w:val="18"/>
        </w:rPr>
        <w:t>Giustizia Insieme</w:t>
      </w:r>
      <w:r w:rsidRPr="00780243">
        <w:rPr>
          <w:sz w:val="18"/>
          <w:szCs w:val="18"/>
        </w:rPr>
        <w:t xml:space="preserve">, </w:t>
      </w:r>
      <w:r>
        <w:rPr>
          <w:sz w:val="18"/>
          <w:szCs w:val="18"/>
        </w:rPr>
        <w:t>24</w:t>
      </w:r>
      <w:r w:rsidRPr="00780243">
        <w:rPr>
          <w:sz w:val="18"/>
          <w:szCs w:val="18"/>
        </w:rPr>
        <w:t xml:space="preserve"> </w:t>
      </w:r>
      <w:r>
        <w:rPr>
          <w:sz w:val="18"/>
          <w:szCs w:val="18"/>
        </w:rPr>
        <w:t>nov</w:t>
      </w:r>
      <w:r w:rsidRPr="00780243">
        <w:rPr>
          <w:sz w:val="18"/>
          <w:szCs w:val="18"/>
        </w:rPr>
        <w:t xml:space="preserve">embre 2021; E. CANNIZZARO, </w:t>
      </w:r>
      <w:r w:rsidRPr="00FD1E9B">
        <w:rPr>
          <w:i/>
          <w:sz w:val="18"/>
          <w:szCs w:val="18"/>
        </w:rPr>
        <w:t xml:space="preserve">Demanio marittimo. Effetti </w:t>
      </w:r>
      <w:r w:rsidRPr="00FD1E9B">
        <w:rPr>
          <w:sz w:val="18"/>
          <w:szCs w:val="18"/>
        </w:rPr>
        <w:t xml:space="preserve">in </w:t>
      </w:r>
      <w:proofErr w:type="spellStart"/>
      <w:r w:rsidRPr="00FD1E9B">
        <w:rPr>
          <w:sz w:val="18"/>
          <w:szCs w:val="18"/>
        </w:rPr>
        <w:t>malam</w:t>
      </w:r>
      <w:proofErr w:type="spellEnd"/>
      <w:r w:rsidRPr="00FD1E9B">
        <w:rPr>
          <w:sz w:val="18"/>
          <w:szCs w:val="18"/>
        </w:rPr>
        <w:t xml:space="preserve"> </w:t>
      </w:r>
      <w:proofErr w:type="spellStart"/>
      <w:r w:rsidRPr="00FD1E9B">
        <w:rPr>
          <w:sz w:val="18"/>
          <w:szCs w:val="18"/>
        </w:rPr>
        <w:t>partem</w:t>
      </w:r>
      <w:proofErr w:type="spellEnd"/>
      <w:r w:rsidRPr="00FD1E9B">
        <w:rPr>
          <w:i/>
          <w:sz w:val="18"/>
          <w:szCs w:val="18"/>
        </w:rPr>
        <w:t xml:space="preserve"> di direttive europee? In margine alle sentenze 17 e 18/2021 dell’Adunanza Plenaria del Consiglio di Stato</w:t>
      </w:r>
      <w:r w:rsidRPr="00780243">
        <w:rPr>
          <w:sz w:val="18"/>
          <w:szCs w:val="18"/>
        </w:rPr>
        <w:t xml:space="preserve">, in </w:t>
      </w:r>
      <w:r w:rsidRPr="00FD1E9B">
        <w:rPr>
          <w:i/>
          <w:sz w:val="18"/>
          <w:szCs w:val="18"/>
        </w:rPr>
        <w:t>Giustizia Insieme</w:t>
      </w:r>
      <w:r w:rsidRPr="00780243">
        <w:rPr>
          <w:sz w:val="18"/>
          <w:szCs w:val="18"/>
        </w:rPr>
        <w:t xml:space="preserve">, 30 dicembre 2021; R. CAROCCIA, </w:t>
      </w:r>
      <w:r w:rsidRPr="00FD1E9B">
        <w:rPr>
          <w:i/>
          <w:sz w:val="18"/>
          <w:szCs w:val="18"/>
        </w:rPr>
        <w:t xml:space="preserve">Maritime </w:t>
      </w:r>
      <w:proofErr w:type="spellStart"/>
      <w:r w:rsidRPr="00FD1E9B">
        <w:rPr>
          <w:i/>
          <w:sz w:val="18"/>
          <w:szCs w:val="18"/>
        </w:rPr>
        <w:t>Concessions</w:t>
      </w:r>
      <w:proofErr w:type="spellEnd"/>
      <w:r w:rsidRPr="00FD1E9B">
        <w:rPr>
          <w:i/>
          <w:sz w:val="18"/>
          <w:szCs w:val="18"/>
        </w:rPr>
        <w:t xml:space="preserve"> in </w:t>
      </w:r>
      <w:proofErr w:type="spellStart"/>
      <w:r w:rsidRPr="00FD1E9B">
        <w:rPr>
          <w:i/>
          <w:sz w:val="18"/>
          <w:szCs w:val="18"/>
        </w:rPr>
        <w:t>Italy</w:t>
      </w:r>
      <w:proofErr w:type="spellEnd"/>
      <w:r w:rsidRPr="00FD1E9B">
        <w:rPr>
          <w:i/>
          <w:sz w:val="18"/>
          <w:szCs w:val="18"/>
        </w:rPr>
        <w:t xml:space="preserve">: The New </w:t>
      </w:r>
      <w:proofErr w:type="spellStart"/>
      <w:r w:rsidRPr="00FD1E9B">
        <w:rPr>
          <w:i/>
          <w:sz w:val="18"/>
          <w:szCs w:val="18"/>
        </w:rPr>
        <w:t>Perspective</w:t>
      </w:r>
      <w:proofErr w:type="spellEnd"/>
      <w:r w:rsidRPr="00FD1E9B">
        <w:rPr>
          <w:i/>
          <w:sz w:val="18"/>
          <w:szCs w:val="18"/>
        </w:rPr>
        <w:t xml:space="preserve"> </w:t>
      </w:r>
      <w:proofErr w:type="spellStart"/>
      <w:r w:rsidRPr="00FD1E9B">
        <w:rPr>
          <w:i/>
          <w:sz w:val="18"/>
          <w:szCs w:val="18"/>
        </w:rPr>
        <w:t>After</w:t>
      </w:r>
      <w:proofErr w:type="spellEnd"/>
      <w:r w:rsidRPr="00FD1E9B">
        <w:rPr>
          <w:i/>
          <w:sz w:val="18"/>
          <w:szCs w:val="18"/>
        </w:rPr>
        <w:t xml:space="preserve"> the Twin </w:t>
      </w:r>
      <w:proofErr w:type="spellStart"/>
      <w:r w:rsidRPr="00FD1E9B">
        <w:rPr>
          <w:i/>
          <w:sz w:val="18"/>
          <w:szCs w:val="18"/>
        </w:rPr>
        <w:t>Rulings</w:t>
      </w:r>
      <w:proofErr w:type="spellEnd"/>
      <w:r w:rsidRPr="00FD1E9B">
        <w:rPr>
          <w:i/>
          <w:sz w:val="18"/>
          <w:szCs w:val="18"/>
        </w:rPr>
        <w:t xml:space="preserve"> of the </w:t>
      </w:r>
      <w:proofErr w:type="spellStart"/>
      <w:r w:rsidRPr="00FD1E9B">
        <w:rPr>
          <w:i/>
          <w:sz w:val="18"/>
          <w:szCs w:val="18"/>
        </w:rPr>
        <w:t>Council</w:t>
      </w:r>
      <w:proofErr w:type="spellEnd"/>
      <w:r w:rsidRPr="00FD1E9B">
        <w:rPr>
          <w:i/>
          <w:sz w:val="18"/>
          <w:szCs w:val="18"/>
        </w:rPr>
        <w:t xml:space="preserve"> of State</w:t>
      </w:r>
      <w:r w:rsidRPr="00780243">
        <w:rPr>
          <w:sz w:val="18"/>
          <w:szCs w:val="18"/>
        </w:rPr>
        <w:t xml:space="preserve">, </w:t>
      </w:r>
      <w:r>
        <w:rPr>
          <w:sz w:val="18"/>
          <w:szCs w:val="18"/>
        </w:rPr>
        <w:t xml:space="preserve">in </w:t>
      </w:r>
      <w:proofErr w:type="spellStart"/>
      <w:r w:rsidRPr="00FD1E9B">
        <w:rPr>
          <w:i/>
          <w:sz w:val="18"/>
          <w:szCs w:val="18"/>
        </w:rPr>
        <w:t>Slovak</w:t>
      </w:r>
      <w:proofErr w:type="spellEnd"/>
      <w:r w:rsidRPr="00FD1E9B">
        <w:rPr>
          <w:i/>
          <w:sz w:val="18"/>
          <w:szCs w:val="18"/>
        </w:rPr>
        <w:t xml:space="preserve"> Yearbook of </w:t>
      </w:r>
      <w:proofErr w:type="spellStart"/>
      <w:r w:rsidRPr="00FD1E9B">
        <w:rPr>
          <w:i/>
          <w:sz w:val="18"/>
          <w:szCs w:val="18"/>
        </w:rPr>
        <w:t>European</w:t>
      </w:r>
      <w:proofErr w:type="spellEnd"/>
      <w:r w:rsidRPr="00FD1E9B">
        <w:rPr>
          <w:i/>
          <w:sz w:val="18"/>
          <w:szCs w:val="18"/>
        </w:rPr>
        <w:t xml:space="preserve"> Union Law</w:t>
      </w:r>
      <w:r w:rsidRPr="00780243">
        <w:rPr>
          <w:sz w:val="18"/>
          <w:szCs w:val="18"/>
        </w:rPr>
        <w:t xml:space="preserve">, </w:t>
      </w:r>
      <w:r>
        <w:rPr>
          <w:sz w:val="18"/>
          <w:szCs w:val="18"/>
        </w:rPr>
        <w:t>I</w:t>
      </w:r>
      <w:r w:rsidRPr="00780243">
        <w:rPr>
          <w:sz w:val="18"/>
          <w:szCs w:val="18"/>
        </w:rPr>
        <w:t>, 2021, 59-80; A. COSSIRI,</w:t>
      </w:r>
      <w:r>
        <w:rPr>
          <w:sz w:val="18"/>
          <w:szCs w:val="18"/>
        </w:rPr>
        <w:t xml:space="preserve"> </w:t>
      </w:r>
      <w:r w:rsidRPr="00FD1E9B">
        <w:rPr>
          <w:i/>
          <w:sz w:val="18"/>
          <w:szCs w:val="18"/>
        </w:rPr>
        <w:t>Il bilanciamento degli interessi in materia di concessioni balneari: quali spazi per il legislatore statale e per le autonomie?</w:t>
      </w:r>
      <w:r>
        <w:rPr>
          <w:sz w:val="18"/>
          <w:szCs w:val="18"/>
        </w:rPr>
        <w:t xml:space="preserve">, in </w:t>
      </w:r>
      <w:r w:rsidRPr="00FD1E9B">
        <w:rPr>
          <w:i/>
          <w:sz w:val="18"/>
          <w:szCs w:val="18"/>
        </w:rPr>
        <w:t>Federalismi.it</w:t>
      </w:r>
      <w:r>
        <w:rPr>
          <w:sz w:val="18"/>
          <w:szCs w:val="18"/>
        </w:rPr>
        <w:t xml:space="preserve">, 23 marzo 2022; M.A. SANDULLI, </w:t>
      </w:r>
      <w:r w:rsidRPr="00FD1E9B">
        <w:rPr>
          <w:i/>
          <w:sz w:val="18"/>
          <w:szCs w:val="18"/>
        </w:rPr>
        <w:t xml:space="preserve">Sulle “concessioni balneari”, alla luce delle sentenze </w:t>
      </w:r>
      <w:proofErr w:type="spellStart"/>
      <w:r w:rsidRPr="00FD1E9B">
        <w:rPr>
          <w:i/>
          <w:sz w:val="18"/>
          <w:szCs w:val="18"/>
        </w:rPr>
        <w:t>nn</w:t>
      </w:r>
      <w:proofErr w:type="spellEnd"/>
      <w:r w:rsidRPr="00FD1E9B">
        <w:rPr>
          <w:i/>
          <w:sz w:val="18"/>
          <w:szCs w:val="18"/>
        </w:rPr>
        <w:t xml:space="preserve">. 17 e 18 del 2021 dell’Adunanza </w:t>
      </w:r>
      <w:r>
        <w:rPr>
          <w:i/>
          <w:sz w:val="18"/>
          <w:szCs w:val="18"/>
        </w:rPr>
        <w:t>p</w:t>
      </w:r>
      <w:r w:rsidRPr="00FD1E9B">
        <w:rPr>
          <w:i/>
          <w:sz w:val="18"/>
          <w:szCs w:val="18"/>
        </w:rPr>
        <w:t>lenaria</w:t>
      </w:r>
      <w:r>
        <w:rPr>
          <w:sz w:val="18"/>
          <w:szCs w:val="18"/>
        </w:rPr>
        <w:t xml:space="preserve">, </w:t>
      </w:r>
      <w:r w:rsidRPr="00780243">
        <w:rPr>
          <w:sz w:val="18"/>
          <w:szCs w:val="18"/>
        </w:rPr>
        <w:t xml:space="preserve">in </w:t>
      </w:r>
      <w:r w:rsidRPr="00FD1E9B">
        <w:rPr>
          <w:i/>
          <w:sz w:val="18"/>
          <w:szCs w:val="18"/>
        </w:rPr>
        <w:t>Giustizia Insieme</w:t>
      </w:r>
      <w:r w:rsidRPr="00780243">
        <w:rPr>
          <w:sz w:val="18"/>
          <w:szCs w:val="18"/>
        </w:rPr>
        <w:t xml:space="preserve">, </w:t>
      </w:r>
      <w:r>
        <w:rPr>
          <w:sz w:val="18"/>
          <w:szCs w:val="18"/>
        </w:rPr>
        <w:t>16</w:t>
      </w:r>
      <w:r w:rsidRPr="00780243">
        <w:rPr>
          <w:sz w:val="18"/>
          <w:szCs w:val="18"/>
        </w:rPr>
        <w:t xml:space="preserve"> </w:t>
      </w:r>
      <w:r>
        <w:rPr>
          <w:sz w:val="18"/>
          <w:szCs w:val="18"/>
        </w:rPr>
        <w:t>febbraio 2022.</w:t>
      </w:r>
    </w:p>
  </w:footnote>
  <w:footnote w:id="4">
    <w:p w:rsidR="0053099F" w:rsidRDefault="0053099F" w:rsidP="00254849">
      <w:pPr>
        <w:pStyle w:val="Testonotaapidipagina"/>
        <w:ind w:left="284" w:right="282"/>
      </w:pPr>
      <w:r>
        <w:rPr>
          <w:rStyle w:val="Rimandonotaapidipagina"/>
        </w:rPr>
        <w:footnoteRef/>
      </w:r>
      <w:r>
        <w:t xml:space="preserve"> </w:t>
      </w:r>
      <w:r>
        <w:rPr>
          <w:sz w:val="18"/>
          <w:szCs w:val="18"/>
        </w:rPr>
        <w:t>C</w:t>
      </w:r>
      <w:r w:rsidRPr="000E4642">
        <w:rPr>
          <w:sz w:val="18"/>
          <w:szCs w:val="18"/>
        </w:rPr>
        <w:t>onsistente nella capacità di un’operazione economica a regia pubblica di attrarre gli operatori di altri Stati membri</w:t>
      </w:r>
      <w:r>
        <w:rPr>
          <w:sz w:val="18"/>
          <w:szCs w:val="18"/>
        </w:rPr>
        <w:t>.</w:t>
      </w:r>
    </w:p>
  </w:footnote>
  <w:footnote w:id="5">
    <w:p w:rsidR="0053099F" w:rsidRPr="0026637F" w:rsidRDefault="0053099F" w:rsidP="00254849">
      <w:pPr>
        <w:pStyle w:val="Testonotaapidipagina"/>
        <w:ind w:left="284" w:right="282"/>
        <w:jc w:val="both"/>
        <w:rPr>
          <w:sz w:val="18"/>
          <w:szCs w:val="18"/>
        </w:rPr>
      </w:pPr>
      <w:r w:rsidRPr="0026637F">
        <w:rPr>
          <w:rStyle w:val="Rimandonotaapidipagina"/>
          <w:sz w:val="18"/>
          <w:szCs w:val="18"/>
        </w:rPr>
        <w:footnoteRef/>
      </w:r>
      <w:r w:rsidRPr="0026637F">
        <w:rPr>
          <w:sz w:val="18"/>
          <w:szCs w:val="18"/>
        </w:rPr>
        <w:t xml:space="preserve"> CGUE, Sez. V, 14 luglio 2016, </w:t>
      </w:r>
      <w:proofErr w:type="spellStart"/>
      <w:r w:rsidRPr="0026637F">
        <w:rPr>
          <w:i/>
          <w:iCs/>
          <w:sz w:val="18"/>
          <w:szCs w:val="18"/>
        </w:rPr>
        <w:t>Promoimpresa</w:t>
      </w:r>
      <w:proofErr w:type="spellEnd"/>
      <w:r w:rsidRPr="0026637F">
        <w:rPr>
          <w:i/>
          <w:iCs/>
          <w:sz w:val="18"/>
          <w:szCs w:val="18"/>
        </w:rPr>
        <w:t xml:space="preserve"> e Melis</w:t>
      </w:r>
      <w:r w:rsidRPr="0026637F">
        <w:rPr>
          <w:sz w:val="18"/>
          <w:szCs w:val="18"/>
        </w:rPr>
        <w:t xml:space="preserve">, C-458/14 e C-67/15. </w:t>
      </w:r>
    </w:p>
  </w:footnote>
  <w:footnote w:id="6">
    <w:p w:rsidR="0053099F" w:rsidRPr="00607127" w:rsidRDefault="0053099F" w:rsidP="00254849">
      <w:pPr>
        <w:pStyle w:val="Testonotaapidipagina"/>
        <w:ind w:left="284" w:right="282"/>
        <w:jc w:val="both"/>
        <w:rPr>
          <w:sz w:val="18"/>
          <w:szCs w:val="18"/>
        </w:rPr>
      </w:pPr>
      <w:r>
        <w:rPr>
          <w:rStyle w:val="Rimandonotaapidipagina"/>
        </w:rPr>
        <w:footnoteRef/>
      </w:r>
      <w:r>
        <w:t xml:space="preserve"> </w:t>
      </w:r>
      <w:r>
        <w:rPr>
          <w:sz w:val="18"/>
          <w:szCs w:val="18"/>
        </w:rPr>
        <w:t>S</w:t>
      </w:r>
      <w:r w:rsidRPr="005248C1">
        <w:rPr>
          <w:sz w:val="18"/>
          <w:szCs w:val="18"/>
        </w:rPr>
        <w:t>i trattava</w:t>
      </w:r>
      <w:r>
        <w:rPr>
          <w:sz w:val="18"/>
          <w:szCs w:val="18"/>
        </w:rPr>
        <w:t>,</w:t>
      </w:r>
      <w:r w:rsidRPr="005248C1">
        <w:rPr>
          <w:sz w:val="18"/>
          <w:szCs w:val="18"/>
        </w:rPr>
        <w:t xml:space="preserve"> nella fattispecie, di una proroga risalente al 1984, “quando non era ancora stato dichiarato che i contratti aventi un interesse transfrontaliero certo avrebbero potuto essere soggetti a obblighi di trasparenza”)</w:t>
      </w:r>
      <w:r>
        <w:rPr>
          <w:sz w:val="18"/>
          <w:szCs w:val="18"/>
        </w:rPr>
        <w:t>.</w:t>
      </w:r>
    </w:p>
  </w:footnote>
  <w:footnote w:id="7">
    <w:p w:rsidR="0053099F" w:rsidRPr="00201246" w:rsidRDefault="0053099F" w:rsidP="00254849">
      <w:pPr>
        <w:pStyle w:val="Testonotaapidipagina"/>
        <w:ind w:left="284" w:right="282"/>
        <w:jc w:val="both"/>
      </w:pPr>
      <w:r w:rsidRPr="00201246">
        <w:rPr>
          <w:rStyle w:val="Rimandonotaapidipagina"/>
        </w:rPr>
        <w:footnoteRef/>
      </w:r>
      <w:r w:rsidRPr="00201246">
        <w:t xml:space="preserve"> </w:t>
      </w:r>
      <w:r w:rsidRPr="005248C1">
        <w:rPr>
          <w:sz w:val="18"/>
          <w:szCs w:val="18"/>
        </w:rPr>
        <w:t xml:space="preserve">CGUE, Sez. VI, 6 ottobre 2016, n. 318, </w:t>
      </w:r>
      <w:proofErr w:type="spellStart"/>
      <w:r w:rsidRPr="005248C1">
        <w:rPr>
          <w:i/>
          <w:sz w:val="18"/>
          <w:szCs w:val="18"/>
        </w:rPr>
        <w:t>Tecnoedi</w:t>
      </w:r>
      <w:proofErr w:type="spellEnd"/>
      <w:r w:rsidRPr="005248C1">
        <w:rPr>
          <w:sz w:val="18"/>
          <w:szCs w:val="18"/>
        </w:rPr>
        <w:t>, C-318/15.</w:t>
      </w:r>
    </w:p>
  </w:footnote>
  <w:footnote w:id="8">
    <w:p w:rsidR="00602BBD" w:rsidRDefault="00A96D78" w:rsidP="00254849">
      <w:pPr>
        <w:pStyle w:val="Testonotaapidipagina"/>
        <w:ind w:left="284" w:right="282"/>
        <w:jc w:val="both"/>
      </w:pPr>
      <w:r>
        <w:rPr>
          <w:rStyle w:val="Rimandonotaapidipagina"/>
        </w:rPr>
        <w:footnoteRef/>
      </w:r>
      <w:r>
        <w:t xml:space="preserve"> L</w:t>
      </w:r>
      <w:r w:rsidRPr="00A96D78">
        <w:t>a disapplicazione</w:t>
      </w:r>
      <w:r>
        <w:t xml:space="preserve"> </w:t>
      </w:r>
      <w:r w:rsidR="004144DA">
        <w:t>colpisce</w:t>
      </w:r>
      <w:r>
        <w:t xml:space="preserve"> non sol</w:t>
      </w:r>
      <w:r w:rsidR="004144DA">
        <w:t>tant</w:t>
      </w:r>
      <w:r>
        <w:t xml:space="preserve">o </w:t>
      </w:r>
      <w:r w:rsidR="00B9549E">
        <w:t>l’</w:t>
      </w:r>
      <w:r w:rsidRPr="00A96D78">
        <w:t>att</w:t>
      </w:r>
      <w:r w:rsidR="00B9549E">
        <w:t>o</w:t>
      </w:r>
      <w:r w:rsidRPr="00A96D78">
        <w:t xml:space="preserve"> normativ</w:t>
      </w:r>
      <w:r w:rsidR="00B9549E">
        <w:t>o</w:t>
      </w:r>
      <w:r w:rsidRPr="00A96D78">
        <w:t xml:space="preserve"> difform</w:t>
      </w:r>
      <w:r w:rsidR="00B9549E">
        <w:t>e al diritto europeo</w:t>
      </w:r>
      <w:r w:rsidRPr="00A96D78">
        <w:t xml:space="preserve">, </w:t>
      </w:r>
      <w:r>
        <w:t>ma anche</w:t>
      </w:r>
      <w:r w:rsidRPr="00A96D78">
        <w:t xml:space="preserve"> </w:t>
      </w:r>
      <w:r w:rsidR="00B9549E">
        <w:t>il</w:t>
      </w:r>
      <w:r w:rsidRPr="00A96D78">
        <w:t xml:space="preserve"> “provvedimento nazionale … adottato sulla base di una norma interna (attributiva del potere), incompatibile con il diritto comunitario (e quindi disapplicabile)” (Cons. Stato, </w:t>
      </w:r>
      <w:r>
        <w:t>S</w:t>
      </w:r>
      <w:r w:rsidRPr="00A96D78">
        <w:t>ez. V, 19 maggio 2009, n. 3072)</w:t>
      </w:r>
      <w:r w:rsidR="00602BBD">
        <w:t xml:space="preserve">, trattandosi di </w:t>
      </w:r>
      <w:r w:rsidR="00602BBD" w:rsidRPr="0051064F">
        <w:rPr>
          <w:rFonts w:eastAsia="Times New Roman" w:cs="Helvetica"/>
          <w:color w:val="333333"/>
          <w:lang w:eastAsia="it-IT"/>
        </w:rPr>
        <w:t>atto meramente ricognitivo di un effetto prodotto automaticamente dalla legge e quindi alla stessa direttamente riconducibile (</w:t>
      </w:r>
      <w:hyperlink r:id="rId1" w:tgtFrame="_blank" w:history="1">
        <w:r w:rsidR="00602BBD" w:rsidRPr="00602BBD">
          <w:rPr>
            <w:rFonts w:eastAsia="Times New Roman" w:cs="Helvetica"/>
            <w:color w:val="333333"/>
            <w:lang w:eastAsia="it-IT"/>
          </w:rPr>
          <w:t>Cons. St</w:t>
        </w:r>
        <w:r w:rsidR="00602BBD">
          <w:rPr>
            <w:rFonts w:eastAsia="Times New Roman" w:cs="Helvetica"/>
            <w:color w:val="333333"/>
            <w:lang w:eastAsia="it-IT"/>
          </w:rPr>
          <w:t>ato</w:t>
        </w:r>
        <w:r w:rsidR="00602BBD" w:rsidRPr="00602BBD">
          <w:rPr>
            <w:rFonts w:eastAsia="Times New Roman" w:cs="Helvetica"/>
            <w:color w:val="333333"/>
            <w:lang w:eastAsia="it-IT"/>
          </w:rPr>
          <w:t xml:space="preserve">, </w:t>
        </w:r>
        <w:r w:rsidR="00602BBD">
          <w:rPr>
            <w:rFonts w:eastAsia="Times New Roman" w:cs="Helvetica"/>
            <w:color w:val="333333"/>
            <w:lang w:eastAsia="it-IT"/>
          </w:rPr>
          <w:t>S</w:t>
        </w:r>
        <w:r w:rsidR="00602BBD" w:rsidRPr="00602BBD">
          <w:rPr>
            <w:rFonts w:eastAsia="Times New Roman" w:cs="Helvetica"/>
            <w:color w:val="333333"/>
            <w:lang w:eastAsia="it-IT"/>
          </w:rPr>
          <w:t>ez. VI, 18 novembre 2019, n. 7874</w:t>
        </w:r>
      </w:hyperlink>
      <w:r w:rsidR="00602BBD" w:rsidRPr="0051064F">
        <w:rPr>
          <w:rFonts w:eastAsia="Times New Roman" w:cs="Helvetica"/>
          <w:color w:val="333333"/>
          <w:lang w:eastAsia="it-IT"/>
        </w:rPr>
        <w:t>).</w:t>
      </w:r>
    </w:p>
  </w:footnote>
  <w:footnote w:id="9">
    <w:p w:rsidR="009579AE" w:rsidRDefault="009579AE" w:rsidP="00254849">
      <w:pPr>
        <w:pStyle w:val="Testonotaapidipagina"/>
        <w:ind w:left="284" w:right="282"/>
        <w:jc w:val="both"/>
      </w:pPr>
      <w:r>
        <w:rPr>
          <w:rStyle w:val="Rimandonotaapidipagina"/>
        </w:rPr>
        <w:footnoteRef/>
      </w:r>
      <w:r>
        <w:t xml:space="preserve"> Cass. </w:t>
      </w:r>
      <w:proofErr w:type="spellStart"/>
      <w:r>
        <w:t>pen</w:t>
      </w:r>
      <w:proofErr w:type="spellEnd"/>
      <w:r>
        <w:t>., Sez. III, 22 aprile 2022, n. 698.</w:t>
      </w:r>
    </w:p>
  </w:footnote>
  <w:footnote w:id="10">
    <w:p w:rsidR="0053099F" w:rsidRPr="00A26BF1" w:rsidRDefault="0053099F" w:rsidP="00254849">
      <w:pPr>
        <w:pStyle w:val="Testonotaapidipagina"/>
        <w:ind w:left="284" w:right="282"/>
        <w:jc w:val="both"/>
      </w:pPr>
      <w:r w:rsidRPr="00A26BF1">
        <w:rPr>
          <w:rStyle w:val="Rimandonotaapidipagina"/>
        </w:rPr>
        <w:footnoteRef/>
      </w:r>
      <w:r w:rsidRPr="00A26BF1">
        <w:t xml:space="preserve"> </w:t>
      </w:r>
      <w:r w:rsidRPr="004A16BA">
        <w:t>Rapporto annuale del Sistema nazionale per la protezione dell’ambiente.</w:t>
      </w:r>
    </w:p>
  </w:footnote>
  <w:footnote w:id="11">
    <w:p w:rsidR="002F26E4" w:rsidRDefault="002F26E4" w:rsidP="002F26E4">
      <w:pPr>
        <w:pStyle w:val="Testonotaapidipagina"/>
        <w:ind w:left="284" w:right="282"/>
        <w:jc w:val="both"/>
      </w:pPr>
      <w:r>
        <w:rPr>
          <w:rStyle w:val="Rimandonotaapidipagina"/>
        </w:rPr>
        <w:footnoteRef/>
      </w:r>
      <w:r>
        <w:t xml:space="preserve"> L</w:t>
      </w:r>
      <w:r w:rsidRPr="00826B91">
        <w:t>a sopravvenienza </w:t>
      </w:r>
      <w:r>
        <w:t>di fatto o di diritto</w:t>
      </w:r>
      <w:r w:rsidRPr="00826B91">
        <w:t xml:space="preserve"> incide su</w:t>
      </w:r>
      <w:r>
        <w:t xml:space="preserve"> una</w:t>
      </w:r>
      <w:r w:rsidRPr="00826B91">
        <w:t xml:space="preserve"> </w:t>
      </w:r>
      <w:r>
        <w:t>situazione</w:t>
      </w:r>
      <w:r w:rsidRPr="002B440F">
        <w:t xml:space="preserve"> </w:t>
      </w:r>
      <w:r w:rsidRPr="00826B91">
        <w:t>giuridica</w:t>
      </w:r>
      <w:r>
        <w:t xml:space="preserve"> </w:t>
      </w:r>
      <w:r w:rsidRPr="00826B91">
        <w:t>durevol</w:t>
      </w:r>
      <w:r>
        <w:t>e</w:t>
      </w:r>
      <w:r w:rsidRPr="00826B91">
        <w:t xml:space="preserve"> nel tratto dell</w:t>
      </w:r>
      <w:r>
        <w:t>’</w:t>
      </w:r>
      <w:r w:rsidRPr="00826B91">
        <w:t>interesse che si svolge successivamente al giudicato, determinando non un conflitto</w:t>
      </w:r>
      <w:r>
        <w:t>,</w:t>
      </w:r>
      <w:r w:rsidRPr="00826B91">
        <w:t xml:space="preserve"> ma una successione cronologica </w:t>
      </w:r>
      <w:r>
        <w:t>tra le</w:t>
      </w:r>
      <w:r w:rsidRPr="00826B91">
        <w:t xml:space="preserve"> regole che disciplinano la situazione giuridica medesima</w:t>
      </w:r>
      <w:r w:rsidRPr="00E21C62">
        <w:t xml:space="preserve"> </w:t>
      </w:r>
      <w:r>
        <w:t xml:space="preserve">(Cons. Stato, Ad. </w:t>
      </w:r>
      <w:proofErr w:type="spellStart"/>
      <w:r>
        <w:t>plen</w:t>
      </w:r>
      <w:proofErr w:type="spellEnd"/>
      <w:r>
        <w:t>.,</w:t>
      </w:r>
      <w:r w:rsidRPr="00826B91">
        <w:t xml:space="preserve"> 9 giugno 2016, n. 11</w:t>
      </w:r>
      <w:r>
        <w:t>)</w:t>
      </w:r>
      <w:r w:rsidRPr="00826B9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C7CBE"/>
    <w:multiLevelType w:val="hybridMultilevel"/>
    <w:tmpl w:val="BDFCFB28"/>
    <w:lvl w:ilvl="0" w:tplc="91526DF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A85DB8"/>
    <w:multiLevelType w:val="multilevel"/>
    <w:tmpl w:val="B9489D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656"/>
    <w:rsid w:val="00011A38"/>
    <w:rsid w:val="00014E7A"/>
    <w:rsid w:val="00017A3A"/>
    <w:rsid w:val="00045C2C"/>
    <w:rsid w:val="00055E10"/>
    <w:rsid w:val="0006539F"/>
    <w:rsid w:val="00080800"/>
    <w:rsid w:val="0008517D"/>
    <w:rsid w:val="000D1DA4"/>
    <w:rsid w:val="000E1087"/>
    <w:rsid w:val="000E315C"/>
    <w:rsid w:val="000E4642"/>
    <w:rsid w:val="001031D9"/>
    <w:rsid w:val="00131251"/>
    <w:rsid w:val="00132A5D"/>
    <w:rsid w:val="00150F73"/>
    <w:rsid w:val="00152304"/>
    <w:rsid w:val="00163C35"/>
    <w:rsid w:val="00176896"/>
    <w:rsid w:val="00197680"/>
    <w:rsid w:val="001B42D4"/>
    <w:rsid w:val="001B43E1"/>
    <w:rsid w:val="001D5BAA"/>
    <w:rsid w:val="001E0883"/>
    <w:rsid w:val="00201246"/>
    <w:rsid w:val="00202BA1"/>
    <w:rsid w:val="0021336A"/>
    <w:rsid w:val="00215F8D"/>
    <w:rsid w:val="00254849"/>
    <w:rsid w:val="0026637F"/>
    <w:rsid w:val="00273FE2"/>
    <w:rsid w:val="0028665B"/>
    <w:rsid w:val="002869A6"/>
    <w:rsid w:val="00290287"/>
    <w:rsid w:val="002A0213"/>
    <w:rsid w:val="002B440F"/>
    <w:rsid w:val="002F26E4"/>
    <w:rsid w:val="002F7636"/>
    <w:rsid w:val="002F7FC1"/>
    <w:rsid w:val="00321C4C"/>
    <w:rsid w:val="00322D55"/>
    <w:rsid w:val="0033010F"/>
    <w:rsid w:val="00333B34"/>
    <w:rsid w:val="00343A6A"/>
    <w:rsid w:val="0035060D"/>
    <w:rsid w:val="00360559"/>
    <w:rsid w:val="00397556"/>
    <w:rsid w:val="00397F87"/>
    <w:rsid w:val="003B774A"/>
    <w:rsid w:val="003C1B95"/>
    <w:rsid w:val="003C7FD2"/>
    <w:rsid w:val="003D59A9"/>
    <w:rsid w:val="003D5FAF"/>
    <w:rsid w:val="003E0FE7"/>
    <w:rsid w:val="003F27BE"/>
    <w:rsid w:val="003F6494"/>
    <w:rsid w:val="00410FAD"/>
    <w:rsid w:val="004144DA"/>
    <w:rsid w:val="00441809"/>
    <w:rsid w:val="004447BA"/>
    <w:rsid w:val="004646D2"/>
    <w:rsid w:val="00465060"/>
    <w:rsid w:val="00494BC5"/>
    <w:rsid w:val="004A16BA"/>
    <w:rsid w:val="004A46AC"/>
    <w:rsid w:val="004B3F0C"/>
    <w:rsid w:val="004D33E1"/>
    <w:rsid w:val="005248C1"/>
    <w:rsid w:val="0053099F"/>
    <w:rsid w:val="0053577D"/>
    <w:rsid w:val="005535EE"/>
    <w:rsid w:val="005640F8"/>
    <w:rsid w:val="00577CE9"/>
    <w:rsid w:val="005945CE"/>
    <w:rsid w:val="005A111D"/>
    <w:rsid w:val="005A6DE5"/>
    <w:rsid w:val="005D58FE"/>
    <w:rsid w:val="00602BBD"/>
    <w:rsid w:val="00607127"/>
    <w:rsid w:val="006460D1"/>
    <w:rsid w:val="0065020F"/>
    <w:rsid w:val="00656008"/>
    <w:rsid w:val="006D50DB"/>
    <w:rsid w:val="006F5881"/>
    <w:rsid w:val="006F5A80"/>
    <w:rsid w:val="006F67EE"/>
    <w:rsid w:val="00702B96"/>
    <w:rsid w:val="007061DD"/>
    <w:rsid w:val="007113AC"/>
    <w:rsid w:val="00714522"/>
    <w:rsid w:val="00720B18"/>
    <w:rsid w:val="00721771"/>
    <w:rsid w:val="007354A8"/>
    <w:rsid w:val="0074045E"/>
    <w:rsid w:val="00746802"/>
    <w:rsid w:val="00752E67"/>
    <w:rsid w:val="00764C72"/>
    <w:rsid w:val="0077049C"/>
    <w:rsid w:val="00780243"/>
    <w:rsid w:val="00796F7F"/>
    <w:rsid w:val="007B11B8"/>
    <w:rsid w:val="007B6450"/>
    <w:rsid w:val="007F4384"/>
    <w:rsid w:val="00810415"/>
    <w:rsid w:val="00826B91"/>
    <w:rsid w:val="008401F2"/>
    <w:rsid w:val="008514F1"/>
    <w:rsid w:val="00860803"/>
    <w:rsid w:val="008612FA"/>
    <w:rsid w:val="0086649E"/>
    <w:rsid w:val="008749C2"/>
    <w:rsid w:val="0087649D"/>
    <w:rsid w:val="00884ACC"/>
    <w:rsid w:val="008910A3"/>
    <w:rsid w:val="008A08EC"/>
    <w:rsid w:val="008A7C74"/>
    <w:rsid w:val="008C0F20"/>
    <w:rsid w:val="008D1C76"/>
    <w:rsid w:val="008D705C"/>
    <w:rsid w:val="008E26FD"/>
    <w:rsid w:val="008F3576"/>
    <w:rsid w:val="00905908"/>
    <w:rsid w:val="0091476A"/>
    <w:rsid w:val="00915D52"/>
    <w:rsid w:val="00926D71"/>
    <w:rsid w:val="00935CB3"/>
    <w:rsid w:val="009468BA"/>
    <w:rsid w:val="00952707"/>
    <w:rsid w:val="00956479"/>
    <w:rsid w:val="009579AE"/>
    <w:rsid w:val="00970664"/>
    <w:rsid w:val="009741AF"/>
    <w:rsid w:val="009742B2"/>
    <w:rsid w:val="0097678D"/>
    <w:rsid w:val="009C3092"/>
    <w:rsid w:val="009C7940"/>
    <w:rsid w:val="009D03C8"/>
    <w:rsid w:val="009E205B"/>
    <w:rsid w:val="009E4FF7"/>
    <w:rsid w:val="009F77A1"/>
    <w:rsid w:val="00A0333C"/>
    <w:rsid w:val="00A051AE"/>
    <w:rsid w:val="00A05647"/>
    <w:rsid w:val="00A26BF1"/>
    <w:rsid w:val="00A91DE0"/>
    <w:rsid w:val="00A96D78"/>
    <w:rsid w:val="00AA51A3"/>
    <w:rsid w:val="00AC09CE"/>
    <w:rsid w:val="00AF5275"/>
    <w:rsid w:val="00AF68F0"/>
    <w:rsid w:val="00B024D6"/>
    <w:rsid w:val="00B16B90"/>
    <w:rsid w:val="00B3435D"/>
    <w:rsid w:val="00B35477"/>
    <w:rsid w:val="00B36F31"/>
    <w:rsid w:val="00B50796"/>
    <w:rsid w:val="00B65C7E"/>
    <w:rsid w:val="00B73904"/>
    <w:rsid w:val="00B9549E"/>
    <w:rsid w:val="00B96E26"/>
    <w:rsid w:val="00BD2ECD"/>
    <w:rsid w:val="00BD3C01"/>
    <w:rsid w:val="00BE216F"/>
    <w:rsid w:val="00BE5921"/>
    <w:rsid w:val="00C118CE"/>
    <w:rsid w:val="00C1698C"/>
    <w:rsid w:val="00C27235"/>
    <w:rsid w:val="00C41656"/>
    <w:rsid w:val="00C4426D"/>
    <w:rsid w:val="00C722A9"/>
    <w:rsid w:val="00C762B7"/>
    <w:rsid w:val="00C87EB4"/>
    <w:rsid w:val="00CA472A"/>
    <w:rsid w:val="00CE6A9E"/>
    <w:rsid w:val="00D00C63"/>
    <w:rsid w:val="00D12EB2"/>
    <w:rsid w:val="00D15478"/>
    <w:rsid w:val="00D23826"/>
    <w:rsid w:val="00D404B6"/>
    <w:rsid w:val="00D63753"/>
    <w:rsid w:val="00D66936"/>
    <w:rsid w:val="00D76A5F"/>
    <w:rsid w:val="00D82D72"/>
    <w:rsid w:val="00D83600"/>
    <w:rsid w:val="00D8715D"/>
    <w:rsid w:val="00D9143D"/>
    <w:rsid w:val="00D95729"/>
    <w:rsid w:val="00DA531D"/>
    <w:rsid w:val="00DB2D2F"/>
    <w:rsid w:val="00DB53D9"/>
    <w:rsid w:val="00DD3F8A"/>
    <w:rsid w:val="00DE2786"/>
    <w:rsid w:val="00DE62DF"/>
    <w:rsid w:val="00DE643E"/>
    <w:rsid w:val="00E01809"/>
    <w:rsid w:val="00E21C62"/>
    <w:rsid w:val="00E33E36"/>
    <w:rsid w:val="00E35273"/>
    <w:rsid w:val="00E50534"/>
    <w:rsid w:val="00E51C99"/>
    <w:rsid w:val="00E65FE5"/>
    <w:rsid w:val="00E9709A"/>
    <w:rsid w:val="00ED46AB"/>
    <w:rsid w:val="00EE5A79"/>
    <w:rsid w:val="00EF26E3"/>
    <w:rsid w:val="00F02C85"/>
    <w:rsid w:val="00F102AD"/>
    <w:rsid w:val="00F32878"/>
    <w:rsid w:val="00F33B4A"/>
    <w:rsid w:val="00F62AC2"/>
    <w:rsid w:val="00F66163"/>
    <w:rsid w:val="00F74F60"/>
    <w:rsid w:val="00F75773"/>
    <w:rsid w:val="00F82E0B"/>
    <w:rsid w:val="00F9270F"/>
    <w:rsid w:val="00F96B09"/>
    <w:rsid w:val="00FB11B6"/>
    <w:rsid w:val="00FD1E9B"/>
    <w:rsid w:val="00FF46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0E81"/>
  <w15:chartTrackingRefBased/>
  <w15:docId w15:val="{45709361-FCB5-4833-B2C2-FE4ED3DC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41656"/>
  </w:style>
  <w:style w:type="paragraph" w:styleId="Titolo4">
    <w:name w:val="heading 4"/>
    <w:basedOn w:val="Normale"/>
    <w:link w:val="Titolo4Carattere"/>
    <w:uiPriority w:val="9"/>
    <w:qFormat/>
    <w:rsid w:val="00FD1E9B"/>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3506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5060D"/>
    <w:rPr>
      <w:sz w:val="20"/>
      <w:szCs w:val="20"/>
    </w:rPr>
  </w:style>
  <w:style w:type="character" w:styleId="Rimandonotaapidipagina">
    <w:name w:val="footnote reference"/>
    <w:basedOn w:val="Carpredefinitoparagrafo"/>
    <w:uiPriority w:val="99"/>
    <w:semiHidden/>
    <w:unhideWhenUsed/>
    <w:rsid w:val="0035060D"/>
    <w:rPr>
      <w:vertAlign w:val="superscript"/>
    </w:rPr>
  </w:style>
  <w:style w:type="paragraph" w:customStyle="1" w:styleId="popolo">
    <w:name w:val="popolo"/>
    <w:basedOn w:val="Normale"/>
    <w:rsid w:val="00201246"/>
    <w:pPr>
      <w:spacing w:before="100" w:beforeAutospacing="1" w:after="100" w:afterAutospacing="1" w:line="240" w:lineRule="auto"/>
    </w:pPr>
    <w:rPr>
      <w:rFonts w:ascii="Times New Roman" w:hAnsi="Times New Roman" w:cs="Times New Roman"/>
      <w:sz w:val="24"/>
      <w:szCs w:val="24"/>
      <w:lang w:eastAsia="it-IT"/>
    </w:rPr>
  </w:style>
  <w:style w:type="paragraph" w:styleId="Intestazione">
    <w:name w:val="header"/>
    <w:basedOn w:val="Normale"/>
    <w:link w:val="IntestazioneCarattere"/>
    <w:uiPriority w:val="99"/>
    <w:unhideWhenUsed/>
    <w:rsid w:val="005357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577D"/>
  </w:style>
  <w:style w:type="paragraph" w:styleId="Pidipagina">
    <w:name w:val="footer"/>
    <w:basedOn w:val="Normale"/>
    <w:link w:val="PidipaginaCarattere"/>
    <w:uiPriority w:val="99"/>
    <w:unhideWhenUsed/>
    <w:rsid w:val="005357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577D"/>
  </w:style>
  <w:style w:type="character" w:styleId="Collegamentoipertestuale">
    <w:name w:val="Hyperlink"/>
    <w:basedOn w:val="Carpredefinitoparagrafo"/>
    <w:uiPriority w:val="99"/>
    <w:semiHidden/>
    <w:unhideWhenUsed/>
    <w:rsid w:val="00D404B6"/>
    <w:rPr>
      <w:color w:val="0000FF"/>
      <w:u w:val="single"/>
    </w:rPr>
  </w:style>
  <w:style w:type="paragraph" w:customStyle="1" w:styleId="Default">
    <w:name w:val="Default"/>
    <w:rsid w:val="00780243"/>
    <w:pPr>
      <w:autoSpaceDE w:val="0"/>
      <w:autoSpaceDN w:val="0"/>
      <w:adjustRightInd w:val="0"/>
      <w:spacing w:after="0" w:line="240" w:lineRule="auto"/>
    </w:pPr>
    <w:rPr>
      <w:rFonts w:ascii="Garamond" w:hAnsi="Garamond" w:cs="Garamond"/>
      <w:color w:val="000000"/>
      <w:sz w:val="24"/>
      <w:szCs w:val="24"/>
    </w:rPr>
  </w:style>
  <w:style w:type="character" w:styleId="Enfasigrassetto">
    <w:name w:val="Strong"/>
    <w:basedOn w:val="Carpredefinitoparagrafo"/>
    <w:uiPriority w:val="22"/>
    <w:qFormat/>
    <w:rsid w:val="00780243"/>
    <w:rPr>
      <w:b/>
      <w:bCs/>
    </w:rPr>
  </w:style>
  <w:style w:type="character" w:customStyle="1" w:styleId="Titolo4Carattere">
    <w:name w:val="Titolo 4 Carattere"/>
    <w:basedOn w:val="Carpredefinitoparagrafo"/>
    <w:link w:val="Titolo4"/>
    <w:uiPriority w:val="9"/>
    <w:rsid w:val="00FD1E9B"/>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89755">
      <w:bodyDiv w:val="1"/>
      <w:marLeft w:val="0"/>
      <w:marRight w:val="0"/>
      <w:marTop w:val="0"/>
      <w:marBottom w:val="0"/>
      <w:divBdr>
        <w:top w:val="none" w:sz="0" w:space="0" w:color="auto"/>
        <w:left w:val="none" w:sz="0" w:space="0" w:color="auto"/>
        <w:bottom w:val="none" w:sz="0" w:space="0" w:color="auto"/>
        <w:right w:val="none" w:sz="0" w:space="0" w:color="auto"/>
      </w:divBdr>
    </w:div>
    <w:div w:id="1664042577">
      <w:bodyDiv w:val="1"/>
      <w:marLeft w:val="0"/>
      <w:marRight w:val="0"/>
      <w:marTop w:val="0"/>
      <w:marBottom w:val="0"/>
      <w:divBdr>
        <w:top w:val="none" w:sz="0" w:space="0" w:color="auto"/>
        <w:left w:val="none" w:sz="0" w:space="0" w:color="auto"/>
        <w:bottom w:val="none" w:sz="0" w:space="0" w:color="auto"/>
        <w:right w:val="none" w:sz="0" w:space="0" w:color="auto"/>
      </w:divBdr>
      <w:divsChild>
        <w:div w:id="171796774">
          <w:marLeft w:val="0"/>
          <w:marRight w:val="0"/>
          <w:marTop w:val="0"/>
          <w:marBottom w:val="0"/>
          <w:divBdr>
            <w:top w:val="none" w:sz="0" w:space="0" w:color="auto"/>
            <w:left w:val="none" w:sz="0" w:space="0" w:color="auto"/>
            <w:bottom w:val="none" w:sz="0" w:space="0" w:color="auto"/>
            <w:right w:val="none" w:sz="0" w:space="0" w:color="auto"/>
          </w:divBdr>
        </w:div>
        <w:div w:id="2823713">
          <w:marLeft w:val="0"/>
          <w:marRight w:val="0"/>
          <w:marTop w:val="0"/>
          <w:marBottom w:val="0"/>
          <w:divBdr>
            <w:top w:val="none" w:sz="0" w:space="0" w:color="auto"/>
            <w:left w:val="none" w:sz="0" w:space="0" w:color="auto"/>
            <w:bottom w:val="none" w:sz="0" w:space="0" w:color="auto"/>
            <w:right w:val="none" w:sz="0" w:space="0" w:color="auto"/>
          </w:divBdr>
        </w:div>
        <w:div w:id="1860004022">
          <w:marLeft w:val="0"/>
          <w:marRight w:val="0"/>
          <w:marTop w:val="0"/>
          <w:marBottom w:val="0"/>
          <w:divBdr>
            <w:top w:val="none" w:sz="0" w:space="0" w:color="auto"/>
            <w:left w:val="none" w:sz="0" w:space="0" w:color="auto"/>
            <w:bottom w:val="none" w:sz="0" w:space="0" w:color="auto"/>
            <w:right w:val="none" w:sz="0" w:space="0" w:color="auto"/>
          </w:divBdr>
        </w:div>
        <w:div w:id="1055465153">
          <w:marLeft w:val="0"/>
          <w:marRight w:val="0"/>
          <w:marTop w:val="0"/>
          <w:marBottom w:val="0"/>
          <w:divBdr>
            <w:top w:val="none" w:sz="0" w:space="0" w:color="auto"/>
            <w:left w:val="none" w:sz="0" w:space="0" w:color="auto"/>
            <w:bottom w:val="none" w:sz="0" w:space="0" w:color="auto"/>
            <w:right w:val="none" w:sz="0" w:space="0" w:color="auto"/>
          </w:divBdr>
        </w:div>
        <w:div w:id="1423136927">
          <w:marLeft w:val="0"/>
          <w:marRight w:val="0"/>
          <w:marTop w:val="0"/>
          <w:marBottom w:val="0"/>
          <w:divBdr>
            <w:top w:val="none" w:sz="0" w:space="0" w:color="auto"/>
            <w:left w:val="none" w:sz="0" w:space="0" w:color="auto"/>
            <w:bottom w:val="none" w:sz="0" w:space="0" w:color="auto"/>
            <w:right w:val="none" w:sz="0" w:space="0" w:color="auto"/>
          </w:divBdr>
        </w:div>
        <w:div w:id="1936354882">
          <w:marLeft w:val="0"/>
          <w:marRight w:val="0"/>
          <w:marTop w:val="0"/>
          <w:marBottom w:val="0"/>
          <w:divBdr>
            <w:top w:val="none" w:sz="0" w:space="0" w:color="auto"/>
            <w:left w:val="none" w:sz="0" w:space="0" w:color="auto"/>
            <w:bottom w:val="none" w:sz="0" w:space="0" w:color="auto"/>
            <w:right w:val="none" w:sz="0" w:space="0" w:color="auto"/>
          </w:divBdr>
        </w:div>
        <w:div w:id="250823797">
          <w:marLeft w:val="0"/>
          <w:marRight w:val="0"/>
          <w:marTop w:val="0"/>
          <w:marBottom w:val="0"/>
          <w:divBdr>
            <w:top w:val="none" w:sz="0" w:space="0" w:color="auto"/>
            <w:left w:val="none" w:sz="0" w:space="0" w:color="auto"/>
            <w:bottom w:val="none" w:sz="0" w:space="0" w:color="auto"/>
            <w:right w:val="none" w:sz="0" w:space="0" w:color="auto"/>
          </w:divBdr>
        </w:div>
        <w:div w:id="1184325251">
          <w:marLeft w:val="0"/>
          <w:marRight w:val="0"/>
          <w:marTop w:val="0"/>
          <w:marBottom w:val="0"/>
          <w:divBdr>
            <w:top w:val="none" w:sz="0" w:space="0" w:color="auto"/>
            <w:left w:val="none" w:sz="0" w:space="0" w:color="auto"/>
            <w:bottom w:val="none" w:sz="0" w:space="0" w:color="auto"/>
            <w:right w:val="none" w:sz="0" w:space="0" w:color="auto"/>
          </w:divBdr>
        </w:div>
        <w:div w:id="1570387399">
          <w:marLeft w:val="0"/>
          <w:marRight w:val="0"/>
          <w:marTop w:val="0"/>
          <w:marBottom w:val="0"/>
          <w:divBdr>
            <w:top w:val="none" w:sz="0" w:space="0" w:color="auto"/>
            <w:left w:val="none" w:sz="0" w:space="0" w:color="auto"/>
            <w:bottom w:val="none" w:sz="0" w:space="0" w:color="auto"/>
            <w:right w:val="none" w:sz="0" w:space="0" w:color="auto"/>
          </w:divBdr>
        </w:div>
        <w:div w:id="611598293">
          <w:marLeft w:val="0"/>
          <w:marRight w:val="0"/>
          <w:marTop w:val="0"/>
          <w:marBottom w:val="0"/>
          <w:divBdr>
            <w:top w:val="none" w:sz="0" w:space="0" w:color="auto"/>
            <w:left w:val="none" w:sz="0" w:space="0" w:color="auto"/>
            <w:bottom w:val="none" w:sz="0" w:space="0" w:color="auto"/>
            <w:right w:val="none" w:sz="0" w:space="0" w:color="auto"/>
          </w:divBdr>
        </w:div>
        <w:div w:id="1678389430">
          <w:marLeft w:val="0"/>
          <w:marRight w:val="0"/>
          <w:marTop w:val="0"/>
          <w:marBottom w:val="0"/>
          <w:divBdr>
            <w:top w:val="none" w:sz="0" w:space="0" w:color="auto"/>
            <w:left w:val="none" w:sz="0" w:space="0" w:color="auto"/>
            <w:bottom w:val="none" w:sz="0" w:space="0" w:color="auto"/>
            <w:right w:val="none" w:sz="0" w:space="0" w:color="auto"/>
          </w:divBdr>
        </w:div>
        <w:div w:id="969674462">
          <w:marLeft w:val="0"/>
          <w:marRight w:val="0"/>
          <w:marTop w:val="0"/>
          <w:marBottom w:val="0"/>
          <w:divBdr>
            <w:top w:val="none" w:sz="0" w:space="0" w:color="auto"/>
            <w:left w:val="none" w:sz="0" w:space="0" w:color="auto"/>
            <w:bottom w:val="none" w:sz="0" w:space="0" w:color="auto"/>
            <w:right w:val="none" w:sz="0" w:space="0" w:color="auto"/>
          </w:divBdr>
        </w:div>
        <w:div w:id="1882208678">
          <w:marLeft w:val="0"/>
          <w:marRight w:val="0"/>
          <w:marTop w:val="0"/>
          <w:marBottom w:val="0"/>
          <w:divBdr>
            <w:top w:val="none" w:sz="0" w:space="0" w:color="auto"/>
            <w:left w:val="none" w:sz="0" w:space="0" w:color="auto"/>
            <w:bottom w:val="none" w:sz="0" w:space="0" w:color="auto"/>
            <w:right w:val="none" w:sz="0" w:space="0" w:color="auto"/>
          </w:divBdr>
        </w:div>
        <w:div w:id="563878404">
          <w:marLeft w:val="0"/>
          <w:marRight w:val="0"/>
          <w:marTop w:val="0"/>
          <w:marBottom w:val="0"/>
          <w:divBdr>
            <w:top w:val="none" w:sz="0" w:space="0" w:color="auto"/>
            <w:left w:val="none" w:sz="0" w:space="0" w:color="auto"/>
            <w:bottom w:val="none" w:sz="0" w:space="0" w:color="auto"/>
            <w:right w:val="none" w:sz="0" w:space="0" w:color="auto"/>
          </w:divBdr>
        </w:div>
        <w:div w:id="483357496">
          <w:marLeft w:val="0"/>
          <w:marRight w:val="0"/>
          <w:marTop w:val="0"/>
          <w:marBottom w:val="0"/>
          <w:divBdr>
            <w:top w:val="none" w:sz="0" w:space="0" w:color="auto"/>
            <w:left w:val="none" w:sz="0" w:space="0" w:color="auto"/>
            <w:bottom w:val="none" w:sz="0" w:space="0" w:color="auto"/>
            <w:right w:val="none" w:sz="0" w:space="0" w:color="auto"/>
          </w:divBdr>
        </w:div>
        <w:div w:id="1522015008">
          <w:marLeft w:val="0"/>
          <w:marRight w:val="0"/>
          <w:marTop w:val="0"/>
          <w:marBottom w:val="0"/>
          <w:divBdr>
            <w:top w:val="none" w:sz="0" w:space="0" w:color="auto"/>
            <w:left w:val="none" w:sz="0" w:space="0" w:color="auto"/>
            <w:bottom w:val="none" w:sz="0" w:space="0" w:color="auto"/>
            <w:right w:val="none" w:sz="0" w:space="0" w:color="auto"/>
          </w:divBdr>
        </w:div>
        <w:div w:id="961424832">
          <w:marLeft w:val="0"/>
          <w:marRight w:val="0"/>
          <w:marTop w:val="0"/>
          <w:marBottom w:val="0"/>
          <w:divBdr>
            <w:top w:val="none" w:sz="0" w:space="0" w:color="auto"/>
            <w:left w:val="none" w:sz="0" w:space="0" w:color="auto"/>
            <w:bottom w:val="none" w:sz="0" w:space="0" w:color="auto"/>
            <w:right w:val="none" w:sz="0" w:space="0" w:color="auto"/>
          </w:divBdr>
        </w:div>
        <w:div w:id="807089700">
          <w:marLeft w:val="0"/>
          <w:marRight w:val="0"/>
          <w:marTop w:val="0"/>
          <w:marBottom w:val="0"/>
          <w:divBdr>
            <w:top w:val="none" w:sz="0" w:space="0" w:color="auto"/>
            <w:left w:val="none" w:sz="0" w:space="0" w:color="auto"/>
            <w:bottom w:val="none" w:sz="0" w:space="0" w:color="auto"/>
            <w:right w:val="none" w:sz="0" w:space="0" w:color="auto"/>
          </w:divBdr>
        </w:div>
        <w:div w:id="184289386">
          <w:marLeft w:val="0"/>
          <w:marRight w:val="0"/>
          <w:marTop w:val="0"/>
          <w:marBottom w:val="0"/>
          <w:divBdr>
            <w:top w:val="none" w:sz="0" w:space="0" w:color="auto"/>
            <w:left w:val="none" w:sz="0" w:space="0" w:color="auto"/>
            <w:bottom w:val="none" w:sz="0" w:space="0" w:color="auto"/>
            <w:right w:val="none" w:sz="0" w:space="0" w:color="auto"/>
          </w:divBdr>
        </w:div>
        <w:div w:id="1375154996">
          <w:marLeft w:val="0"/>
          <w:marRight w:val="0"/>
          <w:marTop w:val="0"/>
          <w:marBottom w:val="0"/>
          <w:divBdr>
            <w:top w:val="none" w:sz="0" w:space="0" w:color="auto"/>
            <w:left w:val="none" w:sz="0" w:space="0" w:color="auto"/>
            <w:bottom w:val="none" w:sz="0" w:space="0" w:color="auto"/>
            <w:right w:val="none" w:sz="0" w:space="0" w:color="auto"/>
          </w:divBdr>
        </w:div>
        <w:div w:id="2025086925">
          <w:marLeft w:val="0"/>
          <w:marRight w:val="0"/>
          <w:marTop w:val="0"/>
          <w:marBottom w:val="0"/>
          <w:divBdr>
            <w:top w:val="none" w:sz="0" w:space="0" w:color="auto"/>
            <w:left w:val="none" w:sz="0" w:space="0" w:color="auto"/>
            <w:bottom w:val="none" w:sz="0" w:space="0" w:color="auto"/>
            <w:right w:val="none" w:sz="0" w:space="0" w:color="auto"/>
          </w:divBdr>
        </w:div>
        <w:div w:id="1422796370">
          <w:marLeft w:val="0"/>
          <w:marRight w:val="0"/>
          <w:marTop w:val="0"/>
          <w:marBottom w:val="0"/>
          <w:divBdr>
            <w:top w:val="none" w:sz="0" w:space="0" w:color="auto"/>
            <w:left w:val="none" w:sz="0" w:space="0" w:color="auto"/>
            <w:bottom w:val="none" w:sz="0" w:space="0" w:color="auto"/>
            <w:right w:val="none" w:sz="0" w:space="0" w:color="auto"/>
          </w:divBdr>
        </w:div>
        <w:div w:id="519393090">
          <w:marLeft w:val="0"/>
          <w:marRight w:val="0"/>
          <w:marTop w:val="0"/>
          <w:marBottom w:val="0"/>
          <w:divBdr>
            <w:top w:val="none" w:sz="0" w:space="0" w:color="auto"/>
            <w:left w:val="none" w:sz="0" w:space="0" w:color="auto"/>
            <w:bottom w:val="none" w:sz="0" w:space="0" w:color="auto"/>
            <w:right w:val="none" w:sz="0" w:space="0" w:color="auto"/>
          </w:divBdr>
        </w:div>
        <w:div w:id="765348027">
          <w:marLeft w:val="0"/>
          <w:marRight w:val="0"/>
          <w:marTop w:val="0"/>
          <w:marBottom w:val="0"/>
          <w:divBdr>
            <w:top w:val="none" w:sz="0" w:space="0" w:color="auto"/>
            <w:left w:val="none" w:sz="0" w:space="0" w:color="auto"/>
            <w:bottom w:val="none" w:sz="0" w:space="0" w:color="auto"/>
            <w:right w:val="none" w:sz="0" w:space="0" w:color="auto"/>
          </w:divBdr>
        </w:div>
        <w:div w:id="1381631610">
          <w:marLeft w:val="0"/>
          <w:marRight w:val="0"/>
          <w:marTop w:val="0"/>
          <w:marBottom w:val="0"/>
          <w:divBdr>
            <w:top w:val="none" w:sz="0" w:space="0" w:color="auto"/>
            <w:left w:val="none" w:sz="0" w:space="0" w:color="auto"/>
            <w:bottom w:val="none" w:sz="0" w:space="0" w:color="auto"/>
            <w:right w:val="none" w:sz="0" w:space="0" w:color="auto"/>
          </w:divBdr>
        </w:div>
        <w:div w:id="2132311586">
          <w:marLeft w:val="0"/>
          <w:marRight w:val="0"/>
          <w:marTop w:val="0"/>
          <w:marBottom w:val="0"/>
          <w:divBdr>
            <w:top w:val="none" w:sz="0" w:space="0" w:color="auto"/>
            <w:left w:val="none" w:sz="0" w:space="0" w:color="auto"/>
            <w:bottom w:val="none" w:sz="0" w:space="0" w:color="auto"/>
            <w:right w:val="none" w:sz="0" w:space="0" w:color="auto"/>
          </w:divBdr>
        </w:div>
        <w:div w:id="2052148618">
          <w:marLeft w:val="0"/>
          <w:marRight w:val="0"/>
          <w:marTop w:val="0"/>
          <w:marBottom w:val="0"/>
          <w:divBdr>
            <w:top w:val="none" w:sz="0" w:space="0" w:color="auto"/>
            <w:left w:val="none" w:sz="0" w:space="0" w:color="auto"/>
            <w:bottom w:val="none" w:sz="0" w:space="0" w:color="auto"/>
            <w:right w:val="none" w:sz="0" w:space="0" w:color="auto"/>
          </w:divBdr>
        </w:div>
        <w:div w:id="1099376685">
          <w:marLeft w:val="0"/>
          <w:marRight w:val="0"/>
          <w:marTop w:val="0"/>
          <w:marBottom w:val="0"/>
          <w:divBdr>
            <w:top w:val="none" w:sz="0" w:space="0" w:color="auto"/>
            <w:left w:val="none" w:sz="0" w:space="0" w:color="auto"/>
            <w:bottom w:val="none" w:sz="0" w:space="0" w:color="auto"/>
            <w:right w:val="none" w:sz="0" w:space="0" w:color="auto"/>
          </w:divBdr>
        </w:div>
        <w:div w:id="1757479731">
          <w:marLeft w:val="0"/>
          <w:marRight w:val="0"/>
          <w:marTop w:val="0"/>
          <w:marBottom w:val="0"/>
          <w:divBdr>
            <w:top w:val="none" w:sz="0" w:space="0" w:color="auto"/>
            <w:left w:val="none" w:sz="0" w:space="0" w:color="auto"/>
            <w:bottom w:val="none" w:sz="0" w:space="0" w:color="auto"/>
            <w:right w:val="none" w:sz="0" w:space="0" w:color="auto"/>
          </w:divBdr>
        </w:div>
        <w:div w:id="1434859794">
          <w:marLeft w:val="0"/>
          <w:marRight w:val="0"/>
          <w:marTop w:val="0"/>
          <w:marBottom w:val="0"/>
          <w:divBdr>
            <w:top w:val="none" w:sz="0" w:space="0" w:color="auto"/>
            <w:left w:val="none" w:sz="0" w:space="0" w:color="auto"/>
            <w:bottom w:val="none" w:sz="0" w:space="0" w:color="auto"/>
            <w:right w:val="none" w:sz="0" w:space="0" w:color="auto"/>
          </w:divBdr>
        </w:div>
        <w:div w:id="247202031">
          <w:marLeft w:val="0"/>
          <w:marRight w:val="0"/>
          <w:marTop w:val="0"/>
          <w:marBottom w:val="0"/>
          <w:divBdr>
            <w:top w:val="none" w:sz="0" w:space="0" w:color="auto"/>
            <w:left w:val="none" w:sz="0" w:space="0" w:color="auto"/>
            <w:bottom w:val="none" w:sz="0" w:space="0" w:color="auto"/>
            <w:right w:val="none" w:sz="0" w:space="0" w:color="auto"/>
          </w:divBdr>
        </w:div>
        <w:div w:id="1660112191">
          <w:marLeft w:val="0"/>
          <w:marRight w:val="0"/>
          <w:marTop w:val="0"/>
          <w:marBottom w:val="0"/>
          <w:divBdr>
            <w:top w:val="none" w:sz="0" w:space="0" w:color="auto"/>
            <w:left w:val="none" w:sz="0" w:space="0" w:color="auto"/>
            <w:bottom w:val="none" w:sz="0" w:space="0" w:color="auto"/>
            <w:right w:val="none" w:sz="0" w:space="0" w:color="auto"/>
          </w:divBdr>
        </w:div>
        <w:div w:id="128742548">
          <w:marLeft w:val="0"/>
          <w:marRight w:val="0"/>
          <w:marTop w:val="0"/>
          <w:marBottom w:val="0"/>
          <w:divBdr>
            <w:top w:val="none" w:sz="0" w:space="0" w:color="auto"/>
            <w:left w:val="none" w:sz="0" w:space="0" w:color="auto"/>
            <w:bottom w:val="none" w:sz="0" w:space="0" w:color="auto"/>
            <w:right w:val="none" w:sz="0" w:space="0" w:color="auto"/>
          </w:divBdr>
        </w:div>
        <w:div w:id="2021422021">
          <w:marLeft w:val="0"/>
          <w:marRight w:val="0"/>
          <w:marTop w:val="0"/>
          <w:marBottom w:val="0"/>
          <w:divBdr>
            <w:top w:val="none" w:sz="0" w:space="0" w:color="auto"/>
            <w:left w:val="none" w:sz="0" w:space="0" w:color="auto"/>
            <w:bottom w:val="none" w:sz="0" w:space="0" w:color="auto"/>
            <w:right w:val="none" w:sz="0" w:space="0" w:color="auto"/>
          </w:divBdr>
        </w:div>
        <w:div w:id="1802918724">
          <w:marLeft w:val="0"/>
          <w:marRight w:val="0"/>
          <w:marTop w:val="0"/>
          <w:marBottom w:val="0"/>
          <w:divBdr>
            <w:top w:val="none" w:sz="0" w:space="0" w:color="auto"/>
            <w:left w:val="none" w:sz="0" w:space="0" w:color="auto"/>
            <w:bottom w:val="none" w:sz="0" w:space="0" w:color="auto"/>
            <w:right w:val="none" w:sz="0" w:space="0" w:color="auto"/>
          </w:divBdr>
        </w:div>
        <w:div w:id="1502349857">
          <w:marLeft w:val="0"/>
          <w:marRight w:val="0"/>
          <w:marTop w:val="0"/>
          <w:marBottom w:val="0"/>
          <w:divBdr>
            <w:top w:val="none" w:sz="0" w:space="0" w:color="auto"/>
            <w:left w:val="none" w:sz="0" w:space="0" w:color="auto"/>
            <w:bottom w:val="none" w:sz="0" w:space="0" w:color="auto"/>
            <w:right w:val="none" w:sz="0" w:space="0" w:color="auto"/>
          </w:divBdr>
        </w:div>
        <w:div w:id="493689662">
          <w:marLeft w:val="0"/>
          <w:marRight w:val="0"/>
          <w:marTop w:val="0"/>
          <w:marBottom w:val="0"/>
          <w:divBdr>
            <w:top w:val="none" w:sz="0" w:space="0" w:color="auto"/>
            <w:left w:val="none" w:sz="0" w:space="0" w:color="auto"/>
            <w:bottom w:val="none" w:sz="0" w:space="0" w:color="auto"/>
            <w:right w:val="none" w:sz="0" w:space="0" w:color="auto"/>
          </w:divBdr>
        </w:div>
        <w:div w:id="472986367">
          <w:marLeft w:val="0"/>
          <w:marRight w:val="0"/>
          <w:marTop w:val="0"/>
          <w:marBottom w:val="0"/>
          <w:divBdr>
            <w:top w:val="none" w:sz="0" w:space="0" w:color="auto"/>
            <w:left w:val="none" w:sz="0" w:space="0" w:color="auto"/>
            <w:bottom w:val="none" w:sz="0" w:space="0" w:color="auto"/>
            <w:right w:val="none" w:sz="0" w:space="0" w:color="auto"/>
          </w:divBdr>
        </w:div>
        <w:div w:id="1991009820">
          <w:marLeft w:val="0"/>
          <w:marRight w:val="0"/>
          <w:marTop w:val="0"/>
          <w:marBottom w:val="0"/>
          <w:divBdr>
            <w:top w:val="none" w:sz="0" w:space="0" w:color="auto"/>
            <w:left w:val="none" w:sz="0" w:space="0" w:color="auto"/>
            <w:bottom w:val="none" w:sz="0" w:space="0" w:color="auto"/>
            <w:right w:val="none" w:sz="0" w:space="0" w:color="auto"/>
          </w:divBdr>
        </w:div>
        <w:div w:id="1726879468">
          <w:marLeft w:val="0"/>
          <w:marRight w:val="0"/>
          <w:marTop w:val="0"/>
          <w:marBottom w:val="0"/>
          <w:divBdr>
            <w:top w:val="none" w:sz="0" w:space="0" w:color="auto"/>
            <w:left w:val="none" w:sz="0" w:space="0" w:color="auto"/>
            <w:bottom w:val="none" w:sz="0" w:space="0" w:color="auto"/>
            <w:right w:val="none" w:sz="0" w:space="0" w:color="auto"/>
          </w:divBdr>
        </w:div>
        <w:div w:id="1846164489">
          <w:marLeft w:val="0"/>
          <w:marRight w:val="0"/>
          <w:marTop w:val="0"/>
          <w:marBottom w:val="0"/>
          <w:divBdr>
            <w:top w:val="none" w:sz="0" w:space="0" w:color="auto"/>
            <w:left w:val="none" w:sz="0" w:space="0" w:color="auto"/>
            <w:bottom w:val="none" w:sz="0" w:space="0" w:color="auto"/>
            <w:right w:val="none" w:sz="0" w:space="0" w:color="auto"/>
          </w:divBdr>
        </w:div>
        <w:div w:id="1024984204">
          <w:marLeft w:val="0"/>
          <w:marRight w:val="0"/>
          <w:marTop w:val="0"/>
          <w:marBottom w:val="0"/>
          <w:divBdr>
            <w:top w:val="none" w:sz="0" w:space="0" w:color="auto"/>
            <w:left w:val="none" w:sz="0" w:space="0" w:color="auto"/>
            <w:bottom w:val="none" w:sz="0" w:space="0" w:color="auto"/>
            <w:right w:val="none" w:sz="0" w:space="0" w:color="auto"/>
          </w:divBdr>
        </w:div>
        <w:div w:id="163252704">
          <w:marLeft w:val="0"/>
          <w:marRight w:val="0"/>
          <w:marTop w:val="0"/>
          <w:marBottom w:val="0"/>
          <w:divBdr>
            <w:top w:val="none" w:sz="0" w:space="0" w:color="auto"/>
            <w:left w:val="none" w:sz="0" w:space="0" w:color="auto"/>
            <w:bottom w:val="none" w:sz="0" w:space="0" w:color="auto"/>
            <w:right w:val="none" w:sz="0" w:space="0" w:color="auto"/>
          </w:divBdr>
        </w:div>
        <w:div w:id="1673726586">
          <w:marLeft w:val="0"/>
          <w:marRight w:val="0"/>
          <w:marTop w:val="0"/>
          <w:marBottom w:val="0"/>
          <w:divBdr>
            <w:top w:val="none" w:sz="0" w:space="0" w:color="auto"/>
            <w:left w:val="none" w:sz="0" w:space="0" w:color="auto"/>
            <w:bottom w:val="none" w:sz="0" w:space="0" w:color="auto"/>
            <w:right w:val="none" w:sz="0" w:space="0" w:color="auto"/>
          </w:divBdr>
        </w:div>
        <w:div w:id="1776561395">
          <w:marLeft w:val="0"/>
          <w:marRight w:val="0"/>
          <w:marTop w:val="0"/>
          <w:marBottom w:val="0"/>
          <w:divBdr>
            <w:top w:val="none" w:sz="0" w:space="0" w:color="auto"/>
            <w:left w:val="none" w:sz="0" w:space="0" w:color="auto"/>
            <w:bottom w:val="none" w:sz="0" w:space="0" w:color="auto"/>
            <w:right w:val="none" w:sz="0" w:space="0" w:color="auto"/>
          </w:divBdr>
        </w:div>
        <w:div w:id="2019968299">
          <w:marLeft w:val="0"/>
          <w:marRight w:val="0"/>
          <w:marTop w:val="0"/>
          <w:marBottom w:val="0"/>
          <w:divBdr>
            <w:top w:val="none" w:sz="0" w:space="0" w:color="auto"/>
            <w:left w:val="none" w:sz="0" w:space="0" w:color="auto"/>
            <w:bottom w:val="none" w:sz="0" w:space="0" w:color="auto"/>
            <w:right w:val="none" w:sz="0" w:space="0" w:color="auto"/>
          </w:divBdr>
        </w:div>
        <w:div w:id="788012890">
          <w:marLeft w:val="0"/>
          <w:marRight w:val="0"/>
          <w:marTop w:val="0"/>
          <w:marBottom w:val="0"/>
          <w:divBdr>
            <w:top w:val="none" w:sz="0" w:space="0" w:color="auto"/>
            <w:left w:val="none" w:sz="0" w:space="0" w:color="auto"/>
            <w:bottom w:val="none" w:sz="0" w:space="0" w:color="auto"/>
            <w:right w:val="none" w:sz="0" w:space="0" w:color="auto"/>
          </w:divBdr>
        </w:div>
        <w:div w:id="1056900887">
          <w:marLeft w:val="0"/>
          <w:marRight w:val="0"/>
          <w:marTop w:val="0"/>
          <w:marBottom w:val="0"/>
          <w:divBdr>
            <w:top w:val="none" w:sz="0" w:space="0" w:color="auto"/>
            <w:left w:val="none" w:sz="0" w:space="0" w:color="auto"/>
            <w:bottom w:val="none" w:sz="0" w:space="0" w:color="auto"/>
            <w:right w:val="none" w:sz="0" w:space="0" w:color="auto"/>
          </w:divBdr>
        </w:div>
        <w:div w:id="217013505">
          <w:marLeft w:val="0"/>
          <w:marRight w:val="0"/>
          <w:marTop w:val="0"/>
          <w:marBottom w:val="0"/>
          <w:divBdr>
            <w:top w:val="none" w:sz="0" w:space="0" w:color="auto"/>
            <w:left w:val="none" w:sz="0" w:space="0" w:color="auto"/>
            <w:bottom w:val="none" w:sz="0" w:space="0" w:color="auto"/>
            <w:right w:val="none" w:sz="0" w:space="0" w:color="auto"/>
          </w:divBdr>
        </w:div>
        <w:div w:id="438843028">
          <w:marLeft w:val="0"/>
          <w:marRight w:val="0"/>
          <w:marTop w:val="0"/>
          <w:marBottom w:val="0"/>
          <w:divBdr>
            <w:top w:val="none" w:sz="0" w:space="0" w:color="auto"/>
            <w:left w:val="none" w:sz="0" w:space="0" w:color="auto"/>
            <w:bottom w:val="none" w:sz="0" w:space="0" w:color="auto"/>
            <w:right w:val="none" w:sz="0" w:space="0" w:color="auto"/>
          </w:divBdr>
        </w:div>
        <w:div w:id="1832597586">
          <w:marLeft w:val="0"/>
          <w:marRight w:val="0"/>
          <w:marTop w:val="0"/>
          <w:marBottom w:val="0"/>
          <w:divBdr>
            <w:top w:val="none" w:sz="0" w:space="0" w:color="auto"/>
            <w:left w:val="none" w:sz="0" w:space="0" w:color="auto"/>
            <w:bottom w:val="none" w:sz="0" w:space="0" w:color="auto"/>
            <w:right w:val="none" w:sz="0" w:space="0" w:color="auto"/>
          </w:divBdr>
        </w:div>
        <w:div w:id="706224194">
          <w:marLeft w:val="0"/>
          <w:marRight w:val="0"/>
          <w:marTop w:val="0"/>
          <w:marBottom w:val="0"/>
          <w:divBdr>
            <w:top w:val="none" w:sz="0" w:space="0" w:color="auto"/>
            <w:left w:val="none" w:sz="0" w:space="0" w:color="auto"/>
            <w:bottom w:val="none" w:sz="0" w:space="0" w:color="auto"/>
            <w:right w:val="none" w:sz="0" w:space="0" w:color="auto"/>
          </w:divBdr>
        </w:div>
        <w:div w:id="39745953">
          <w:marLeft w:val="0"/>
          <w:marRight w:val="0"/>
          <w:marTop w:val="0"/>
          <w:marBottom w:val="0"/>
          <w:divBdr>
            <w:top w:val="none" w:sz="0" w:space="0" w:color="auto"/>
            <w:left w:val="none" w:sz="0" w:space="0" w:color="auto"/>
            <w:bottom w:val="none" w:sz="0" w:space="0" w:color="auto"/>
            <w:right w:val="none" w:sz="0" w:space="0" w:color="auto"/>
          </w:divBdr>
        </w:div>
        <w:div w:id="1355692104">
          <w:marLeft w:val="0"/>
          <w:marRight w:val="0"/>
          <w:marTop w:val="0"/>
          <w:marBottom w:val="0"/>
          <w:divBdr>
            <w:top w:val="none" w:sz="0" w:space="0" w:color="auto"/>
            <w:left w:val="none" w:sz="0" w:space="0" w:color="auto"/>
            <w:bottom w:val="none" w:sz="0" w:space="0" w:color="auto"/>
            <w:right w:val="none" w:sz="0" w:space="0" w:color="auto"/>
          </w:divBdr>
        </w:div>
        <w:div w:id="958687950">
          <w:marLeft w:val="0"/>
          <w:marRight w:val="0"/>
          <w:marTop w:val="0"/>
          <w:marBottom w:val="0"/>
          <w:divBdr>
            <w:top w:val="none" w:sz="0" w:space="0" w:color="auto"/>
            <w:left w:val="none" w:sz="0" w:space="0" w:color="auto"/>
            <w:bottom w:val="none" w:sz="0" w:space="0" w:color="auto"/>
            <w:right w:val="none" w:sz="0" w:space="0" w:color="auto"/>
          </w:divBdr>
        </w:div>
        <w:div w:id="467741752">
          <w:marLeft w:val="0"/>
          <w:marRight w:val="0"/>
          <w:marTop w:val="0"/>
          <w:marBottom w:val="0"/>
          <w:divBdr>
            <w:top w:val="none" w:sz="0" w:space="0" w:color="auto"/>
            <w:left w:val="none" w:sz="0" w:space="0" w:color="auto"/>
            <w:bottom w:val="none" w:sz="0" w:space="0" w:color="auto"/>
            <w:right w:val="none" w:sz="0" w:space="0" w:color="auto"/>
          </w:divBdr>
        </w:div>
        <w:div w:id="1984961009">
          <w:marLeft w:val="0"/>
          <w:marRight w:val="0"/>
          <w:marTop w:val="0"/>
          <w:marBottom w:val="0"/>
          <w:divBdr>
            <w:top w:val="none" w:sz="0" w:space="0" w:color="auto"/>
            <w:left w:val="none" w:sz="0" w:space="0" w:color="auto"/>
            <w:bottom w:val="none" w:sz="0" w:space="0" w:color="auto"/>
            <w:right w:val="none" w:sz="0" w:space="0" w:color="auto"/>
          </w:divBdr>
        </w:div>
        <w:div w:id="1074007363">
          <w:marLeft w:val="0"/>
          <w:marRight w:val="0"/>
          <w:marTop w:val="0"/>
          <w:marBottom w:val="0"/>
          <w:divBdr>
            <w:top w:val="none" w:sz="0" w:space="0" w:color="auto"/>
            <w:left w:val="none" w:sz="0" w:space="0" w:color="auto"/>
            <w:bottom w:val="none" w:sz="0" w:space="0" w:color="auto"/>
            <w:right w:val="none" w:sz="0" w:space="0" w:color="auto"/>
          </w:divBdr>
        </w:div>
        <w:div w:id="1107847856">
          <w:marLeft w:val="0"/>
          <w:marRight w:val="0"/>
          <w:marTop w:val="0"/>
          <w:marBottom w:val="0"/>
          <w:divBdr>
            <w:top w:val="none" w:sz="0" w:space="0" w:color="auto"/>
            <w:left w:val="none" w:sz="0" w:space="0" w:color="auto"/>
            <w:bottom w:val="none" w:sz="0" w:space="0" w:color="auto"/>
            <w:right w:val="none" w:sz="0" w:space="0" w:color="auto"/>
          </w:divBdr>
        </w:div>
        <w:div w:id="127283532">
          <w:marLeft w:val="0"/>
          <w:marRight w:val="0"/>
          <w:marTop w:val="0"/>
          <w:marBottom w:val="0"/>
          <w:divBdr>
            <w:top w:val="none" w:sz="0" w:space="0" w:color="auto"/>
            <w:left w:val="none" w:sz="0" w:space="0" w:color="auto"/>
            <w:bottom w:val="none" w:sz="0" w:space="0" w:color="auto"/>
            <w:right w:val="none" w:sz="0" w:space="0" w:color="auto"/>
          </w:divBdr>
        </w:div>
        <w:div w:id="937174120">
          <w:marLeft w:val="0"/>
          <w:marRight w:val="0"/>
          <w:marTop w:val="0"/>
          <w:marBottom w:val="0"/>
          <w:divBdr>
            <w:top w:val="none" w:sz="0" w:space="0" w:color="auto"/>
            <w:left w:val="none" w:sz="0" w:space="0" w:color="auto"/>
            <w:bottom w:val="none" w:sz="0" w:space="0" w:color="auto"/>
            <w:right w:val="none" w:sz="0" w:space="0" w:color="auto"/>
          </w:divBdr>
        </w:div>
        <w:div w:id="944852110">
          <w:marLeft w:val="0"/>
          <w:marRight w:val="0"/>
          <w:marTop w:val="0"/>
          <w:marBottom w:val="0"/>
          <w:divBdr>
            <w:top w:val="none" w:sz="0" w:space="0" w:color="auto"/>
            <w:left w:val="none" w:sz="0" w:space="0" w:color="auto"/>
            <w:bottom w:val="none" w:sz="0" w:space="0" w:color="auto"/>
            <w:right w:val="none" w:sz="0" w:space="0" w:color="auto"/>
          </w:divBdr>
        </w:div>
        <w:div w:id="2136674834">
          <w:marLeft w:val="0"/>
          <w:marRight w:val="0"/>
          <w:marTop w:val="0"/>
          <w:marBottom w:val="0"/>
          <w:divBdr>
            <w:top w:val="none" w:sz="0" w:space="0" w:color="auto"/>
            <w:left w:val="none" w:sz="0" w:space="0" w:color="auto"/>
            <w:bottom w:val="none" w:sz="0" w:space="0" w:color="auto"/>
            <w:right w:val="none" w:sz="0" w:space="0" w:color="auto"/>
          </w:divBdr>
        </w:div>
        <w:div w:id="1036352132">
          <w:marLeft w:val="0"/>
          <w:marRight w:val="0"/>
          <w:marTop w:val="0"/>
          <w:marBottom w:val="0"/>
          <w:divBdr>
            <w:top w:val="none" w:sz="0" w:space="0" w:color="auto"/>
            <w:left w:val="none" w:sz="0" w:space="0" w:color="auto"/>
            <w:bottom w:val="none" w:sz="0" w:space="0" w:color="auto"/>
            <w:right w:val="none" w:sz="0" w:space="0" w:color="auto"/>
          </w:divBdr>
        </w:div>
        <w:div w:id="1044908626">
          <w:marLeft w:val="0"/>
          <w:marRight w:val="0"/>
          <w:marTop w:val="0"/>
          <w:marBottom w:val="0"/>
          <w:divBdr>
            <w:top w:val="none" w:sz="0" w:space="0" w:color="auto"/>
            <w:left w:val="none" w:sz="0" w:space="0" w:color="auto"/>
            <w:bottom w:val="none" w:sz="0" w:space="0" w:color="auto"/>
            <w:right w:val="none" w:sz="0" w:space="0" w:color="auto"/>
          </w:divBdr>
        </w:div>
        <w:div w:id="2084838466">
          <w:marLeft w:val="0"/>
          <w:marRight w:val="0"/>
          <w:marTop w:val="0"/>
          <w:marBottom w:val="0"/>
          <w:divBdr>
            <w:top w:val="none" w:sz="0" w:space="0" w:color="auto"/>
            <w:left w:val="none" w:sz="0" w:space="0" w:color="auto"/>
            <w:bottom w:val="none" w:sz="0" w:space="0" w:color="auto"/>
            <w:right w:val="none" w:sz="0" w:space="0" w:color="auto"/>
          </w:divBdr>
        </w:div>
        <w:div w:id="512838358">
          <w:marLeft w:val="0"/>
          <w:marRight w:val="0"/>
          <w:marTop w:val="0"/>
          <w:marBottom w:val="0"/>
          <w:divBdr>
            <w:top w:val="none" w:sz="0" w:space="0" w:color="auto"/>
            <w:left w:val="none" w:sz="0" w:space="0" w:color="auto"/>
            <w:bottom w:val="none" w:sz="0" w:space="0" w:color="auto"/>
            <w:right w:val="none" w:sz="0" w:space="0" w:color="auto"/>
          </w:divBdr>
        </w:div>
        <w:div w:id="478619470">
          <w:marLeft w:val="0"/>
          <w:marRight w:val="0"/>
          <w:marTop w:val="0"/>
          <w:marBottom w:val="0"/>
          <w:divBdr>
            <w:top w:val="none" w:sz="0" w:space="0" w:color="auto"/>
            <w:left w:val="none" w:sz="0" w:space="0" w:color="auto"/>
            <w:bottom w:val="none" w:sz="0" w:space="0" w:color="auto"/>
            <w:right w:val="none" w:sz="0" w:space="0" w:color="auto"/>
          </w:divBdr>
        </w:div>
        <w:div w:id="1721784206">
          <w:marLeft w:val="0"/>
          <w:marRight w:val="0"/>
          <w:marTop w:val="0"/>
          <w:marBottom w:val="0"/>
          <w:divBdr>
            <w:top w:val="none" w:sz="0" w:space="0" w:color="auto"/>
            <w:left w:val="none" w:sz="0" w:space="0" w:color="auto"/>
            <w:bottom w:val="none" w:sz="0" w:space="0" w:color="auto"/>
            <w:right w:val="none" w:sz="0" w:space="0" w:color="auto"/>
          </w:divBdr>
        </w:div>
        <w:div w:id="376970807">
          <w:marLeft w:val="0"/>
          <w:marRight w:val="0"/>
          <w:marTop w:val="0"/>
          <w:marBottom w:val="0"/>
          <w:divBdr>
            <w:top w:val="none" w:sz="0" w:space="0" w:color="auto"/>
            <w:left w:val="none" w:sz="0" w:space="0" w:color="auto"/>
            <w:bottom w:val="none" w:sz="0" w:space="0" w:color="auto"/>
            <w:right w:val="none" w:sz="0" w:space="0" w:color="auto"/>
          </w:divBdr>
        </w:div>
        <w:div w:id="915937872">
          <w:marLeft w:val="0"/>
          <w:marRight w:val="0"/>
          <w:marTop w:val="0"/>
          <w:marBottom w:val="0"/>
          <w:divBdr>
            <w:top w:val="none" w:sz="0" w:space="0" w:color="auto"/>
            <w:left w:val="none" w:sz="0" w:space="0" w:color="auto"/>
            <w:bottom w:val="none" w:sz="0" w:space="0" w:color="auto"/>
            <w:right w:val="none" w:sz="0" w:space="0" w:color="auto"/>
          </w:divBdr>
        </w:div>
        <w:div w:id="228269197">
          <w:marLeft w:val="0"/>
          <w:marRight w:val="0"/>
          <w:marTop w:val="0"/>
          <w:marBottom w:val="0"/>
          <w:divBdr>
            <w:top w:val="none" w:sz="0" w:space="0" w:color="auto"/>
            <w:left w:val="none" w:sz="0" w:space="0" w:color="auto"/>
            <w:bottom w:val="none" w:sz="0" w:space="0" w:color="auto"/>
            <w:right w:val="none" w:sz="0" w:space="0" w:color="auto"/>
          </w:divBdr>
        </w:div>
        <w:div w:id="1868104411">
          <w:marLeft w:val="0"/>
          <w:marRight w:val="0"/>
          <w:marTop w:val="0"/>
          <w:marBottom w:val="0"/>
          <w:divBdr>
            <w:top w:val="none" w:sz="0" w:space="0" w:color="auto"/>
            <w:left w:val="none" w:sz="0" w:space="0" w:color="auto"/>
            <w:bottom w:val="none" w:sz="0" w:space="0" w:color="auto"/>
            <w:right w:val="none" w:sz="0" w:space="0" w:color="auto"/>
          </w:divBdr>
        </w:div>
        <w:div w:id="20127639">
          <w:marLeft w:val="0"/>
          <w:marRight w:val="0"/>
          <w:marTop w:val="0"/>
          <w:marBottom w:val="0"/>
          <w:divBdr>
            <w:top w:val="none" w:sz="0" w:space="0" w:color="auto"/>
            <w:left w:val="none" w:sz="0" w:space="0" w:color="auto"/>
            <w:bottom w:val="none" w:sz="0" w:space="0" w:color="auto"/>
            <w:right w:val="none" w:sz="0" w:space="0" w:color="auto"/>
          </w:divBdr>
        </w:div>
        <w:div w:id="2022584122">
          <w:marLeft w:val="0"/>
          <w:marRight w:val="0"/>
          <w:marTop w:val="0"/>
          <w:marBottom w:val="0"/>
          <w:divBdr>
            <w:top w:val="none" w:sz="0" w:space="0" w:color="auto"/>
            <w:left w:val="none" w:sz="0" w:space="0" w:color="auto"/>
            <w:bottom w:val="none" w:sz="0" w:space="0" w:color="auto"/>
            <w:right w:val="none" w:sz="0" w:space="0" w:color="auto"/>
          </w:divBdr>
        </w:div>
        <w:div w:id="1831020123">
          <w:marLeft w:val="0"/>
          <w:marRight w:val="0"/>
          <w:marTop w:val="0"/>
          <w:marBottom w:val="0"/>
          <w:divBdr>
            <w:top w:val="none" w:sz="0" w:space="0" w:color="auto"/>
            <w:left w:val="none" w:sz="0" w:space="0" w:color="auto"/>
            <w:bottom w:val="none" w:sz="0" w:space="0" w:color="auto"/>
            <w:right w:val="none" w:sz="0" w:space="0" w:color="auto"/>
          </w:divBdr>
        </w:div>
        <w:div w:id="312950240">
          <w:marLeft w:val="0"/>
          <w:marRight w:val="0"/>
          <w:marTop w:val="0"/>
          <w:marBottom w:val="0"/>
          <w:divBdr>
            <w:top w:val="none" w:sz="0" w:space="0" w:color="auto"/>
            <w:left w:val="none" w:sz="0" w:space="0" w:color="auto"/>
            <w:bottom w:val="none" w:sz="0" w:space="0" w:color="auto"/>
            <w:right w:val="none" w:sz="0" w:space="0" w:color="auto"/>
          </w:divBdr>
        </w:div>
        <w:div w:id="1596548213">
          <w:marLeft w:val="0"/>
          <w:marRight w:val="0"/>
          <w:marTop w:val="0"/>
          <w:marBottom w:val="0"/>
          <w:divBdr>
            <w:top w:val="none" w:sz="0" w:space="0" w:color="auto"/>
            <w:left w:val="none" w:sz="0" w:space="0" w:color="auto"/>
            <w:bottom w:val="none" w:sz="0" w:space="0" w:color="auto"/>
            <w:right w:val="none" w:sz="0" w:space="0" w:color="auto"/>
          </w:divBdr>
        </w:div>
        <w:div w:id="2118215294">
          <w:marLeft w:val="0"/>
          <w:marRight w:val="0"/>
          <w:marTop w:val="0"/>
          <w:marBottom w:val="0"/>
          <w:divBdr>
            <w:top w:val="none" w:sz="0" w:space="0" w:color="auto"/>
            <w:left w:val="none" w:sz="0" w:space="0" w:color="auto"/>
            <w:bottom w:val="none" w:sz="0" w:space="0" w:color="auto"/>
            <w:right w:val="none" w:sz="0" w:space="0" w:color="auto"/>
          </w:divBdr>
        </w:div>
        <w:div w:id="374164990">
          <w:marLeft w:val="0"/>
          <w:marRight w:val="0"/>
          <w:marTop w:val="0"/>
          <w:marBottom w:val="0"/>
          <w:divBdr>
            <w:top w:val="none" w:sz="0" w:space="0" w:color="auto"/>
            <w:left w:val="none" w:sz="0" w:space="0" w:color="auto"/>
            <w:bottom w:val="none" w:sz="0" w:space="0" w:color="auto"/>
            <w:right w:val="none" w:sz="0" w:space="0" w:color="auto"/>
          </w:divBdr>
        </w:div>
        <w:div w:id="741634719">
          <w:marLeft w:val="0"/>
          <w:marRight w:val="0"/>
          <w:marTop w:val="0"/>
          <w:marBottom w:val="0"/>
          <w:divBdr>
            <w:top w:val="none" w:sz="0" w:space="0" w:color="auto"/>
            <w:left w:val="none" w:sz="0" w:space="0" w:color="auto"/>
            <w:bottom w:val="none" w:sz="0" w:space="0" w:color="auto"/>
            <w:right w:val="none" w:sz="0" w:space="0" w:color="auto"/>
          </w:divBdr>
        </w:div>
        <w:div w:id="1991859729">
          <w:marLeft w:val="0"/>
          <w:marRight w:val="0"/>
          <w:marTop w:val="0"/>
          <w:marBottom w:val="0"/>
          <w:divBdr>
            <w:top w:val="none" w:sz="0" w:space="0" w:color="auto"/>
            <w:left w:val="none" w:sz="0" w:space="0" w:color="auto"/>
            <w:bottom w:val="none" w:sz="0" w:space="0" w:color="auto"/>
            <w:right w:val="none" w:sz="0" w:space="0" w:color="auto"/>
          </w:divBdr>
        </w:div>
        <w:div w:id="1743521110">
          <w:marLeft w:val="0"/>
          <w:marRight w:val="0"/>
          <w:marTop w:val="0"/>
          <w:marBottom w:val="0"/>
          <w:divBdr>
            <w:top w:val="none" w:sz="0" w:space="0" w:color="auto"/>
            <w:left w:val="none" w:sz="0" w:space="0" w:color="auto"/>
            <w:bottom w:val="none" w:sz="0" w:space="0" w:color="auto"/>
            <w:right w:val="none" w:sz="0" w:space="0" w:color="auto"/>
          </w:divBdr>
        </w:div>
        <w:div w:id="1105928186">
          <w:marLeft w:val="0"/>
          <w:marRight w:val="0"/>
          <w:marTop w:val="0"/>
          <w:marBottom w:val="0"/>
          <w:divBdr>
            <w:top w:val="none" w:sz="0" w:space="0" w:color="auto"/>
            <w:left w:val="none" w:sz="0" w:space="0" w:color="auto"/>
            <w:bottom w:val="none" w:sz="0" w:space="0" w:color="auto"/>
            <w:right w:val="none" w:sz="0" w:space="0" w:color="auto"/>
          </w:divBdr>
        </w:div>
        <w:div w:id="1415082278">
          <w:marLeft w:val="0"/>
          <w:marRight w:val="0"/>
          <w:marTop w:val="0"/>
          <w:marBottom w:val="0"/>
          <w:divBdr>
            <w:top w:val="none" w:sz="0" w:space="0" w:color="auto"/>
            <w:left w:val="none" w:sz="0" w:space="0" w:color="auto"/>
            <w:bottom w:val="none" w:sz="0" w:space="0" w:color="auto"/>
            <w:right w:val="none" w:sz="0" w:space="0" w:color="auto"/>
          </w:divBdr>
        </w:div>
        <w:div w:id="1885024125">
          <w:marLeft w:val="0"/>
          <w:marRight w:val="0"/>
          <w:marTop w:val="0"/>
          <w:marBottom w:val="0"/>
          <w:divBdr>
            <w:top w:val="none" w:sz="0" w:space="0" w:color="auto"/>
            <w:left w:val="none" w:sz="0" w:space="0" w:color="auto"/>
            <w:bottom w:val="none" w:sz="0" w:space="0" w:color="auto"/>
            <w:right w:val="none" w:sz="0" w:space="0" w:color="auto"/>
          </w:divBdr>
        </w:div>
        <w:div w:id="1890721830">
          <w:marLeft w:val="0"/>
          <w:marRight w:val="0"/>
          <w:marTop w:val="0"/>
          <w:marBottom w:val="0"/>
          <w:divBdr>
            <w:top w:val="none" w:sz="0" w:space="0" w:color="auto"/>
            <w:left w:val="none" w:sz="0" w:space="0" w:color="auto"/>
            <w:bottom w:val="none" w:sz="0" w:space="0" w:color="auto"/>
            <w:right w:val="none" w:sz="0" w:space="0" w:color="auto"/>
          </w:divBdr>
        </w:div>
        <w:div w:id="1504709713">
          <w:marLeft w:val="0"/>
          <w:marRight w:val="0"/>
          <w:marTop w:val="0"/>
          <w:marBottom w:val="0"/>
          <w:divBdr>
            <w:top w:val="none" w:sz="0" w:space="0" w:color="auto"/>
            <w:left w:val="none" w:sz="0" w:space="0" w:color="auto"/>
            <w:bottom w:val="none" w:sz="0" w:space="0" w:color="auto"/>
            <w:right w:val="none" w:sz="0" w:space="0" w:color="auto"/>
          </w:divBdr>
        </w:div>
        <w:div w:id="30880517">
          <w:marLeft w:val="0"/>
          <w:marRight w:val="0"/>
          <w:marTop w:val="0"/>
          <w:marBottom w:val="0"/>
          <w:divBdr>
            <w:top w:val="none" w:sz="0" w:space="0" w:color="auto"/>
            <w:left w:val="none" w:sz="0" w:space="0" w:color="auto"/>
            <w:bottom w:val="none" w:sz="0" w:space="0" w:color="auto"/>
            <w:right w:val="none" w:sz="0" w:space="0" w:color="auto"/>
          </w:divBdr>
        </w:div>
        <w:div w:id="1697542493">
          <w:marLeft w:val="0"/>
          <w:marRight w:val="0"/>
          <w:marTop w:val="0"/>
          <w:marBottom w:val="0"/>
          <w:divBdr>
            <w:top w:val="none" w:sz="0" w:space="0" w:color="auto"/>
            <w:left w:val="none" w:sz="0" w:space="0" w:color="auto"/>
            <w:bottom w:val="none" w:sz="0" w:space="0" w:color="auto"/>
            <w:right w:val="none" w:sz="0" w:space="0" w:color="auto"/>
          </w:divBdr>
        </w:div>
        <w:div w:id="819614240">
          <w:marLeft w:val="0"/>
          <w:marRight w:val="0"/>
          <w:marTop w:val="0"/>
          <w:marBottom w:val="0"/>
          <w:divBdr>
            <w:top w:val="none" w:sz="0" w:space="0" w:color="auto"/>
            <w:left w:val="none" w:sz="0" w:space="0" w:color="auto"/>
            <w:bottom w:val="none" w:sz="0" w:space="0" w:color="auto"/>
            <w:right w:val="none" w:sz="0" w:space="0" w:color="auto"/>
          </w:divBdr>
        </w:div>
        <w:div w:id="1112359222">
          <w:marLeft w:val="0"/>
          <w:marRight w:val="0"/>
          <w:marTop w:val="0"/>
          <w:marBottom w:val="0"/>
          <w:divBdr>
            <w:top w:val="none" w:sz="0" w:space="0" w:color="auto"/>
            <w:left w:val="none" w:sz="0" w:space="0" w:color="auto"/>
            <w:bottom w:val="none" w:sz="0" w:space="0" w:color="auto"/>
            <w:right w:val="none" w:sz="0" w:space="0" w:color="auto"/>
          </w:divBdr>
        </w:div>
      </w:divsChild>
    </w:div>
    <w:div w:id="1693796665">
      <w:bodyDiv w:val="1"/>
      <w:marLeft w:val="0"/>
      <w:marRight w:val="0"/>
      <w:marTop w:val="0"/>
      <w:marBottom w:val="0"/>
      <w:divBdr>
        <w:top w:val="none" w:sz="0" w:space="0" w:color="auto"/>
        <w:left w:val="none" w:sz="0" w:space="0" w:color="auto"/>
        <w:bottom w:val="none" w:sz="0" w:space="0" w:color="auto"/>
        <w:right w:val="none" w:sz="0" w:space="0" w:color="auto"/>
      </w:divBdr>
    </w:div>
    <w:div w:id="1880512768">
      <w:bodyDiv w:val="1"/>
      <w:marLeft w:val="0"/>
      <w:marRight w:val="0"/>
      <w:marTop w:val="0"/>
      <w:marBottom w:val="0"/>
      <w:divBdr>
        <w:top w:val="none" w:sz="0" w:space="0" w:color="auto"/>
        <w:left w:val="none" w:sz="0" w:space="0" w:color="auto"/>
        <w:bottom w:val="none" w:sz="0" w:space="0" w:color="auto"/>
        <w:right w:val="none" w:sz="0" w:space="0" w:color="auto"/>
      </w:divBdr>
    </w:div>
    <w:div w:id="209886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iustizia-amministrativa.it/portale/pages/istituzionale/visualizza?nodeRef=&amp;schema=cds&amp;nrg=201804296&amp;nomeFile=201907874_11.html&amp;subDir=Provvedimen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E6774-4636-43C8-99B9-4DF3F90C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2736</Words>
  <Characters>15600</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FERRARI Giulia</cp:lastModifiedBy>
  <cp:revision>3</cp:revision>
  <dcterms:created xsi:type="dcterms:W3CDTF">2022-04-26T14:58:00Z</dcterms:created>
  <dcterms:modified xsi:type="dcterms:W3CDTF">2022-04-26T14:59:00Z</dcterms:modified>
</cp:coreProperties>
</file>